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65A35B">
      <w:pPr>
        <w:jc w:val="right"/>
        <w:rPr>
          <w:rFonts w:ascii="黑体" w:eastAsia="黑体"/>
          <w:color w:val="auto"/>
          <w:szCs w:val="21"/>
          <w:highlight w:val="none"/>
        </w:rPr>
      </w:pPr>
      <w:bookmarkStart w:id="183" w:name="_GoBack"/>
      <w:bookmarkEnd w:id="183"/>
    </w:p>
    <w:p w14:paraId="1416C7B5">
      <w:pPr>
        <w:pStyle w:val="42"/>
        <w:ind w:firstLine="400"/>
        <w:rPr>
          <w:color w:val="auto"/>
          <w:highlight w:val="none"/>
        </w:rPr>
      </w:pPr>
    </w:p>
    <w:p w14:paraId="712E6041">
      <w:pPr>
        <w:rPr>
          <w:color w:val="auto"/>
          <w:highlight w:val="none"/>
        </w:rPr>
      </w:pPr>
    </w:p>
    <w:p w14:paraId="33FB6725">
      <w:pPr>
        <w:rPr>
          <w:color w:val="auto"/>
          <w:highlight w:val="none"/>
        </w:rPr>
      </w:pPr>
    </w:p>
    <w:p w14:paraId="68F98526">
      <w:pPr>
        <w:rPr>
          <w:color w:val="auto"/>
          <w:highlight w:val="none"/>
        </w:rPr>
      </w:pPr>
    </w:p>
    <w:p w14:paraId="2486DA41">
      <w:pPr>
        <w:ind w:right="-28"/>
        <w:jc w:val="center"/>
        <w:textAlignment w:val="bottom"/>
        <w:rPr>
          <w:rFonts w:hint="eastAsia" w:ascii="黑体" w:hAnsi="黑体" w:eastAsia="黑体" w:cs="黑体"/>
          <w:bCs/>
          <w:color w:val="auto"/>
          <w:spacing w:val="57"/>
          <w:sz w:val="96"/>
          <w:szCs w:val="96"/>
          <w:highlight w:val="none"/>
        </w:rPr>
      </w:pPr>
      <w:r>
        <w:rPr>
          <w:rFonts w:hint="eastAsia" w:ascii="黑体" w:hAnsi="黑体" w:eastAsia="黑体" w:cs="黑体"/>
          <w:bCs/>
          <w:color w:val="auto"/>
          <w:spacing w:val="57"/>
          <w:sz w:val="96"/>
          <w:szCs w:val="96"/>
          <w:highlight w:val="none"/>
        </w:rPr>
        <w:t>公开采购文件</w:t>
      </w:r>
    </w:p>
    <w:p w14:paraId="4875F241">
      <w:pPr>
        <w:rPr>
          <w:color w:val="auto"/>
          <w:highlight w:val="none"/>
        </w:rPr>
      </w:pPr>
    </w:p>
    <w:p w14:paraId="55BB48D7">
      <w:pPr>
        <w:pStyle w:val="13"/>
        <w:rPr>
          <w:rFonts w:hint="eastAsia"/>
          <w:color w:val="auto"/>
          <w:highlight w:val="none"/>
        </w:rPr>
      </w:pPr>
    </w:p>
    <w:p w14:paraId="1E250A31">
      <w:pPr>
        <w:ind w:firstLine="240"/>
        <w:rPr>
          <w:color w:val="auto"/>
          <w:highlight w:val="none"/>
        </w:rPr>
      </w:pPr>
    </w:p>
    <w:tbl>
      <w:tblPr>
        <w:tblStyle w:val="30"/>
        <w:tblW w:w="8820" w:type="dxa"/>
        <w:tblInd w:w="40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32"/>
        <w:gridCol w:w="6288"/>
      </w:tblGrid>
      <w:tr w14:paraId="4C771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532" w:type="dxa"/>
            <w:noWrap/>
            <w:vAlign w:val="center"/>
          </w:tcPr>
          <w:p w14:paraId="4CDAD7DF">
            <w:pPr>
              <w:spacing w:before="200"/>
              <w:jc w:val="both"/>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项目名称：</w:t>
            </w:r>
          </w:p>
        </w:tc>
        <w:tc>
          <w:tcPr>
            <w:tcW w:w="6288" w:type="dxa"/>
            <w:noWrap/>
            <w:vAlign w:val="center"/>
          </w:tcPr>
          <w:p w14:paraId="498B07F8">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东莞市建冠物业投资有限公司625kW/2500kWh用户侧储能项目</w:t>
            </w:r>
          </w:p>
        </w:tc>
      </w:tr>
      <w:tr w14:paraId="5F01B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532" w:type="dxa"/>
            <w:noWrap/>
            <w:vAlign w:val="center"/>
          </w:tcPr>
          <w:p w14:paraId="1DC03601">
            <w:pPr>
              <w:spacing w:before="200"/>
              <w:jc w:val="both"/>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项目采购编号：</w:t>
            </w:r>
          </w:p>
        </w:tc>
        <w:tc>
          <w:tcPr>
            <w:tcW w:w="6288" w:type="dxa"/>
            <w:noWrap/>
            <w:vAlign w:val="center"/>
          </w:tcPr>
          <w:p w14:paraId="3E49FA6E">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GXTZ-ZB-2026第（3）号</w:t>
            </w:r>
          </w:p>
        </w:tc>
      </w:tr>
      <w:tr w14:paraId="74584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532" w:type="dxa"/>
            <w:noWrap/>
            <w:vAlign w:val="center"/>
          </w:tcPr>
          <w:p w14:paraId="0A39309D">
            <w:pPr>
              <w:spacing w:before="200"/>
              <w:jc w:val="both"/>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采购人：</w:t>
            </w:r>
          </w:p>
        </w:tc>
        <w:tc>
          <w:tcPr>
            <w:tcW w:w="6288" w:type="dxa"/>
            <w:noWrap/>
            <w:vAlign w:val="center"/>
          </w:tcPr>
          <w:p w14:paraId="20ABB597">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东莞市新有能源投资有限公司</w:t>
            </w:r>
          </w:p>
        </w:tc>
      </w:tr>
      <w:tr w14:paraId="4809B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532" w:type="dxa"/>
            <w:noWrap/>
            <w:vAlign w:val="center"/>
          </w:tcPr>
          <w:p w14:paraId="1F49CEBA">
            <w:pPr>
              <w:spacing w:before="200"/>
              <w:jc w:val="both"/>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采购代理：</w:t>
            </w:r>
          </w:p>
        </w:tc>
        <w:tc>
          <w:tcPr>
            <w:tcW w:w="6288" w:type="dxa"/>
            <w:noWrap/>
            <w:vAlign w:val="center"/>
          </w:tcPr>
          <w:p w14:paraId="4F865E35">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lang w:eastAsia="zh-CN"/>
              </w:rPr>
              <w:t>广西同泽工程项目管理股份有限公司</w:t>
            </w:r>
          </w:p>
        </w:tc>
      </w:tr>
    </w:tbl>
    <w:p w14:paraId="38A36C23">
      <w:pPr>
        <w:jc w:val="center"/>
        <w:rPr>
          <w:rFonts w:ascii="黑体" w:eastAsia="黑体"/>
          <w:color w:val="auto"/>
          <w:szCs w:val="21"/>
          <w:highlight w:val="none"/>
        </w:rPr>
      </w:pPr>
    </w:p>
    <w:p w14:paraId="5FAF4C75">
      <w:pPr>
        <w:jc w:val="center"/>
        <w:rPr>
          <w:rFonts w:ascii="黑体" w:eastAsia="黑体"/>
          <w:color w:val="auto"/>
          <w:szCs w:val="21"/>
          <w:highlight w:val="none"/>
        </w:rPr>
      </w:pPr>
    </w:p>
    <w:p w14:paraId="4F5CDF07">
      <w:pPr>
        <w:jc w:val="center"/>
        <w:rPr>
          <w:rFonts w:ascii="黑体" w:eastAsia="黑体"/>
          <w:color w:val="auto"/>
          <w:szCs w:val="21"/>
          <w:highlight w:val="none"/>
        </w:rPr>
      </w:pPr>
    </w:p>
    <w:p w14:paraId="2461C700">
      <w:pPr>
        <w:pStyle w:val="42"/>
        <w:ind w:firstLine="400"/>
        <w:rPr>
          <w:color w:val="auto"/>
          <w:highlight w:val="none"/>
        </w:rPr>
      </w:pPr>
    </w:p>
    <w:p w14:paraId="431734CD">
      <w:pPr>
        <w:jc w:val="center"/>
        <w:rPr>
          <w:rFonts w:ascii="黑体" w:eastAsia="黑体"/>
          <w:color w:val="auto"/>
          <w:szCs w:val="21"/>
          <w:highlight w:val="none"/>
        </w:rPr>
      </w:pPr>
    </w:p>
    <w:p w14:paraId="30241954">
      <w:pPr>
        <w:jc w:val="center"/>
        <w:rPr>
          <w:rFonts w:ascii="黑体" w:eastAsia="黑体"/>
          <w:color w:val="auto"/>
          <w:szCs w:val="21"/>
          <w:highlight w:val="none"/>
        </w:rPr>
      </w:pPr>
    </w:p>
    <w:p w14:paraId="7496B61C">
      <w:pPr>
        <w:spacing w:before="200"/>
        <w:jc w:val="center"/>
        <w:rPr>
          <w:rFonts w:hint="eastAsia"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202</w:t>
      </w:r>
      <w:r>
        <w:rPr>
          <w:rFonts w:hint="eastAsia" w:ascii="黑体" w:hAnsi="黑体" w:eastAsia="黑体" w:cs="黑体"/>
          <w:bCs/>
          <w:color w:val="auto"/>
          <w:sz w:val="32"/>
          <w:szCs w:val="24"/>
          <w:highlight w:val="none"/>
          <w:lang w:val="en-US" w:eastAsia="zh-CN"/>
        </w:rPr>
        <w:t>6</w:t>
      </w:r>
      <w:r>
        <w:rPr>
          <w:rFonts w:hint="eastAsia" w:ascii="黑体" w:hAnsi="黑体" w:eastAsia="黑体" w:cs="黑体"/>
          <w:bCs/>
          <w:color w:val="auto"/>
          <w:sz w:val="32"/>
          <w:szCs w:val="24"/>
          <w:highlight w:val="none"/>
        </w:rPr>
        <w:t>年</w:t>
      </w:r>
      <w:r>
        <w:rPr>
          <w:rFonts w:hint="eastAsia" w:ascii="黑体" w:hAnsi="黑体" w:eastAsia="黑体" w:cs="黑体"/>
          <w:bCs/>
          <w:color w:val="auto"/>
          <w:sz w:val="32"/>
          <w:szCs w:val="24"/>
          <w:highlight w:val="none"/>
          <w:lang w:val="en-US" w:eastAsia="zh-CN"/>
        </w:rPr>
        <w:t>01</w:t>
      </w:r>
      <w:r>
        <w:rPr>
          <w:rFonts w:hint="eastAsia" w:ascii="黑体" w:hAnsi="黑体" w:eastAsia="黑体" w:cs="黑体"/>
          <w:bCs/>
          <w:color w:val="auto"/>
          <w:sz w:val="32"/>
          <w:szCs w:val="24"/>
          <w:highlight w:val="none"/>
        </w:rPr>
        <w:t>月</w:t>
      </w:r>
    </w:p>
    <w:p w14:paraId="503FDF45">
      <w:pPr>
        <w:pStyle w:val="39"/>
        <w:spacing w:before="180"/>
        <w:ind w:firstLine="480"/>
        <w:rPr>
          <w:color w:val="auto"/>
          <w:highlight w:val="none"/>
        </w:rPr>
      </w:pPr>
      <w:r>
        <w:rPr>
          <w:rFonts w:hint="eastAsia"/>
          <w:color w:val="auto"/>
          <w:highlight w:val="none"/>
        </w:rPr>
        <w:br w:type="page"/>
      </w:r>
    </w:p>
    <w:p w14:paraId="050008A1">
      <w:pPr>
        <w:pStyle w:val="25"/>
        <w:ind w:left="0" w:leftChars="0"/>
        <w:jc w:val="center"/>
        <w:rPr>
          <w:rFonts w:hint="eastAsia"/>
          <w:color w:val="auto"/>
          <w:sz w:val="40"/>
          <w:szCs w:val="40"/>
          <w:highlight w:val="none"/>
        </w:rPr>
      </w:pPr>
      <w:r>
        <w:rPr>
          <w:rFonts w:hint="eastAsia"/>
          <w:color w:val="auto"/>
          <w:sz w:val="40"/>
          <w:szCs w:val="40"/>
          <w:highlight w:val="none"/>
        </w:rPr>
        <w:t>目录</w:t>
      </w:r>
    </w:p>
    <w:p w14:paraId="4FE8193C">
      <w:pPr>
        <w:pStyle w:val="25"/>
        <w:ind w:left="0" w:leftChars="0"/>
        <w:jc w:val="center"/>
        <w:rPr>
          <w:rFonts w:hint="eastAsia" w:ascii="宋体" w:hAnsi="宋体" w:eastAsia="宋体" w:cs="宋体"/>
          <w:b w:val="0"/>
          <w:bCs w:val="0"/>
          <w:color w:val="auto"/>
          <w:kern w:val="2"/>
          <w:sz w:val="21"/>
          <w:szCs w:val="21"/>
          <w:highlight w:val="none"/>
          <w14:ligatures w14:val="standardContextual"/>
        </w:rPr>
      </w:pPr>
      <w:r>
        <w:rPr>
          <w:rStyle w:val="35"/>
          <w:rFonts w:hint="eastAsia" w:ascii="宋体" w:hAnsi="宋体" w:eastAsia="宋体" w:cs="宋体"/>
          <w:bCs/>
          <w:color w:val="auto"/>
          <w:sz w:val="21"/>
          <w:szCs w:val="21"/>
          <w:highlight w:val="none"/>
        </w:rPr>
        <w:fldChar w:fldCharType="begin"/>
      </w:r>
      <w:r>
        <w:rPr>
          <w:rStyle w:val="35"/>
          <w:rFonts w:hint="eastAsia" w:ascii="宋体" w:hAnsi="宋体" w:eastAsia="宋体" w:cs="宋体"/>
          <w:bCs/>
          <w:color w:val="auto"/>
          <w:sz w:val="21"/>
          <w:szCs w:val="21"/>
          <w:highlight w:val="none"/>
        </w:rPr>
        <w:instrText xml:space="preserve"> TOC \o "1-4" \h \z \u </w:instrText>
      </w:r>
      <w:r>
        <w:rPr>
          <w:rStyle w:val="35"/>
          <w:rFonts w:hint="eastAsia" w:ascii="宋体" w:hAnsi="宋体" w:eastAsia="宋体" w:cs="宋体"/>
          <w:bCs/>
          <w:color w:val="auto"/>
          <w:sz w:val="21"/>
          <w:szCs w:val="21"/>
          <w:highlight w:val="none"/>
        </w:rPr>
        <w:fldChar w:fldCharType="separate"/>
      </w: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HYPERLINK \l "_Toc182307965" </w:instrText>
      </w:r>
      <w:r>
        <w:rPr>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第一部分投标邀请</w:t>
      </w:r>
      <w:r>
        <w:rPr>
          <w:rFonts w:hint="eastAsia" w:ascii="宋体" w:hAnsi="宋体" w:eastAsia="宋体" w:cs="宋体"/>
          <w:b w:val="0"/>
          <w:bCs w:val="0"/>
          <w:color w:val="auto"/>
          <w:sz w:val="21"/>
          <w:szCs w:val="21"/>
          <w:highlight w:val="none"/>
        </w:rPr>
        <w:tab/>
      </w: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PAGEREF _Toc182307965 \h </w:instrText>
      </w:r>
      <w:r>
        <w:rPr>
          <w:rFonts w:hint="eastAsia" w:ascii="宋体" w:hAnsi="宋体" w:eastAsia="宋体" w:cs="宋体"/>
          <w:b w:val="0"/>
          <w:bCs w:val="0"/>
          <w:color w:val="auto"/>
          <w:sz w:val="21"/>
          <w:szCs w:val="21"/>
          <w:highlight w:val="none"/>
        </w:rPr>
        <w:fldChar w:fldCharType="separate"/>
      </w:r>
      <w:r>
        <w:rPr>
          <w:rFonts w:hint="eastAsia" w:ascii="宋体" w:hAnsi="宋体" w:eastAsia="宋体" w:cs="宋体"/>
          <w:b w:val="0"/>
          <w:bCs w:val="0"/>
          <w:color w:val="auto"/>
          <w:sz w:val="21"/>
          <w:szCs w:val="21"/>
          <w:highlight w:val="none"/>
        </w:rPr>
        <w:t>5</w:t>
      </w:r>
      <w:r>
        <w:rPr>
          <w:rFonts w:hint="eastAsia" w:ascii="宋体" w:hAnsi="宋体" w:eastAsia="宋体" w:cs="宋体"/>
          <w:b w:val="0"/>
          <w:bCs w:val="0"/>
          <w:color w:val="auto"/>
          <w:sz w:val="21"/>
          <w:szCs w:val="21"/>
          <w:highlight w:val="none"/>
        </w:rPr>
        <w:fldChar w:fldCharType="end"/>
      </w:r>
      <w:r>
        <w:rPr>
          <w:rFonts w:hint="eastAsia" w:ascii="宋体" w:hAnsi="宋体" w:eastAsia="宋体" w:cs="宋体"/>
          <w:b w:val="0"/>
          <w:bCs w:val="0"/>
          <w:color w:val="auto"/>
          <w:sz w:val="21"/>
          <w:szCs w:val="21"/>
          <w:highlight w:val="none"/>
        </w:rPr>
        <w:fldChar w:fldCharType="end"/>
      </w:r>
    </w:p>
    <w:p w14:paraId="11C02D23">
      <w:pPr>
        <w:pStyle w:val="15"/>
        <w:ind w:left="0" w:leftChars="0" w:firstLine="0" w:firstLineChars="0"/>
        <w:jc w:val="center"/>
        <w:rPr>
          <w:rFonts w:hint="eastAsia" w:ascii="宋体" w:hAnsi="宋体" w:eastAsia="宋体" w:cs="宋体"/>
          <w:b w:val="0"/>
          <w:bCs w:val="0"/>
          <w:color w:val="auto"/>
          <w:kern w:val="2"/>
          <w:sz w:val="21"/>
          <w:szCs w:val="21"/>
          <w:highlight w:val="none"/>
          <w14:ligatures w14:val="standardContextual"/>
        </w:rPr>
      </w:pP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HYPERLINK \l "_Toc182307966" </w:instrText>
      </w:r>
      <w:r>
        <w:rPr>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投标邀请书</w:t>
      </w:r>
      <w:r>
        <w:rPr>
          <w:rFonts w:hint="eastAsia" w:ascii="宋体" w:hAnsi="宋体" w:eastAsia="宋体" w:cs="宋体"/>
          <w:b w:val="0"/>
          <w:bCs w:val="0"/>
          <w:color w:val="auto"/>
          <w:sz w:val="21"/>
          <w:szCs w:val="21"/>
          <w:highlight w:val="none"/>
        </w:rPr>
        <w:tab/>
      </w: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PAGEREF _Toc182307966 \h </w:instrText>
      </w:r>
      <w:r>
        <w:rPr>
          <w:rFonts w:hint="eastAsia" w:ascii="宋体" w:hAnsi="宋体" w:eastAsia="宋体" w:cs="宋体"/>
          <w:b w:val="0"/>
          <w:bCs w:val="0"/>
          <w:color w:val="auto"/>
          <w:sz w:val="21"/>
          <w:szCs w:val="21"/>
          <w:highlight w:val="none"/>
        </w:rPr>
        <w:fldChar w:fldCharType="separate"/>
      </w:r>
      <w:r>
        <w:rPr>
          <w:rFonts w:hint="eastAsia" w:ascii="宋体" w:hAnsi="宋体" w:eastAsia="宋体" w:cs="宋体"/>
          <w:b w:val="0"/>
          <w:bCs w:val="0"/>
          <w:color w:val="auto"/>
          <w:sz w:val="21"/>
          <w:szCs w:val="21"/>
          <w:highlight w:val="none"/>
        </w:rPr>
        <w:t>5</w:t>
      </w:r>
      <w:r>
        <w:rPr>
          <w:rFonts w:hint="eastAsia" w:ascii="宋体" w:hAnsi="宋体" w:eastAsia="宋体" w:cs="宋体"/>
          <w:b w:val="0"/>
          <w:bCs w:val="0"/>
          <w:color w:val="auto"/>
          <w:sz w:val="21"/>
          <w:szCs w:val="21"/>
          <w:highlight w:val="none"/>
        </w:rPr>
        <w:fldChar w:fldCharType="end"/>
      </w:r>
      <w:r>
        <w:rPr>
          <w:rFonts w:hint="eastAsia" w:ascii="宋体" w:hAnsi="宋体" w:eastAsia="宋体" w:cs="宋体"/>
          <w:b w:val="0"/>
          <w:bCs w:val="0"/>
          <w:color w:val="auto"/>
          <w:sz w:val="21"/>
          <w:szCs w:val="21"/>
          <w:highlight w:val="none"/>
        </w:rPr>
        <w:fldChar w:fldCharType="end"/>
      </w:r>
    </w:p>
    <w:p w14:paraId="1F608AA1">
      <w:pPr>
        <w:pStyle w:val="25"/>
        <w:ind w:left="0" w:leftChars="0"/>
        <w:jc w:val="center"/>
        <w:rPr>
          <w:rFonts w:hint="eastAsia" w:ascii="宋体" w:hAnsi="宋体" w:eastAsia="宋体" w:cs="宋体"/>
          <w:b w:val="0"/>
          <w:bCs w:val="0"/>
          <w:color w:val="auto"/>
          <w:kern w:val="2"/>
          <w:sz w:val="21"/>
          <w:szCs w:val="21"/>
          <w:highlight w:val="none"/>
          <w14:ligatures w14:val="standardContextual"/>
        </w:rPr>
      </w:pP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HYPERLINK \l "_Toc182307967" </w:instrText>
      </w:r>
      <w:r>
        <w:rPr>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第二部分相关资料表格</w:t>
      </w:r>
      <w:r>
        <w:rPr>
          <w:rFonts w:hint="eastAsia" w:ascii="宋体" w:hAnsi="宋体" w:eastAsia="宋体" w:cs="宋体"/>
          <w:b w:val="0"/>
          <w:bCs w:val="0"/>
          <w:color w:val="auto"/>
          <w:sz w:val="21"/>
          <w:szCs w:val="21"/>
          <w:highlight w:val="none"/>
        </w:rPr>
        <w:tab/>
      </w: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PAGEREF _Toc182307967 \h </w:instrText>
      </w:r>
      <w:r>
        <w:rPr>
          <w:rFonts w:hint="eastAsia" w:ascii="宋体" w:hAnsi="宋体" w:eastAsia="宋体" w:cs="宋体"/>
          <w:b w:val="0"/>
          <w:bCs w:val="0"/>
          <w:color w:val="auto"/>
          <w:sz w:val="21"/>
          <w:szCs w:val="21"/>
          <w:highlight w:val="none"/>
        </w:rPr>
        <w:fldChar w:fldCharType="separate"/>
      </w:r>
      <w:r>
        <w:rPr>
          <w:rFonts w:hint="eastAsia" w:ascii="宋体" w:hAnsi="宋体" w:eastAsia="宋体" w:cs="宋体"/>
          <w:b w:val="0"/>
          <w:bCs w:val="0"/>
          <w:color w:val="auto"/>
          <w:sz w:val="21"/>
          <w:szCs w:val="21"/>
          <w:highlight w:val="none"/>
        </w:rPr>
        <w:t>8</w:t>
      </w:r>
      <w:r>
        <w:rPr>
          <w:rFonts w:hint="eastAsia" w:ascii="宋体" w:hAnsi="宋体" w:eastAsia="宋体" w:cs="宋体"/>
          <w:b w:val="0"/>
          <w:bCs w:val="0"/>
          <w:color w:val="auto"/>
          <w:sz w:val="21"/>
          <w:szCs w:val="21"/>
          <w:highlight w:val="none"/>
        </w:rPr>
        <w:fldChar w:fldCharType="end"/>
      </w:r>
      <w:r>
        <w:rPr>
          <w:rFonts w:hint="eastAsia" w:ascii="宋体" w:hAnsi="宋体" w:eastAsia="宋体" w:cs="宋体"/>
          <w:b w:val="0"/>
          <w:bCs w:val="0"/>
          <w:color w:val="auto"/>
          <w:sz w:val="21"/>
          <w:szCs w:val="21"/>
          <w:highlight w:val="none"/>
        </w:rPr>
        <w:fldChar w:fldCharType="end"/>
      </w:r>
    </w:p>
    <w:p w14:paraId="635105E6">
      <w:pPr>
        <w:pStyle w:val="15"/>
        <w:ind w:left="0" w:leftChars="0" w:firstLine="0" w:firstLineChars="0"/>
        <w:jc w:val="center"/>
        <w:rPr>
          <w:rStyle w:val="35"/>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HYPERLINK \l "_Toc182307968" </w:instrText>
      </w:r>
      <w:r>
        <w:rPr>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附表一：投标资料表</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_Toc182307968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8</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7EAACD6">
      <w:pPr>
        <w:pStyle w:val="15"/>
        <w:ind w:left="0" w:leftChars="0" w:firstLine="0" w:firstLineChars="0"/>
        <w:jc w:val="center"/>
        <w:rPr>
          <w:rStyle w:val="35"/>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HYPERLINK \l "_Toc182307969" </w:instrText>
      </w:r>
      <w:r>
        <w:rPr>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附表二：商务技术评分及价格权重表（满分100分）</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_Toc182307969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12</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970A5FE">
      <w:pPr>
        <w:pStyle w:val="25"/>
        <w:ind w:left="0" w:leftChars="0"/>
        <w:jc w:val="center"/>
        <w:rPr>
          <w:rFonts w:hint="eastAsia" w:ascii="宋体" w:hAnsi="宋体" w:eastAsia="宋体" w:cs="宋体"/>
          <w:b w:val="0"/>
          <w:bCs w:val="0"/>
          <w:color w:val="auto"/>
          <w:kern w:val="2"/>
          <w:sz w:val="21"/>
          <w:szCs w:val="21"/>
          <w:highlight w:val="none"/>
          <w14:ligatures w14:val="standardContextual"/>
        </w:rPr>
      </w:pP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HYPERLINK \l "_Toc182307970" </w:instrText>
      </w:r>
      <w:r>
        <w:rPr>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第三部分用户需求书</w:t>
      </w:r>
      <w:r>
        <w:rPr>
          <w:rFonts w:hint="eastAsia" w:ascii="宋体" w:hAnsi="宋体" w:eastAsia="宋体" w:cs="宋体"/>
          <w:b w:val="0"/>
          <w:bCs w:val="0"/>
          <w:color w:val="auto"/>
          <w:sz w:val="21"/>
          <w:szCs w:val="21"/>
          <w:highlight w:val="none"/>
        </w:rPr>
        <w:tab/>
      </w: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PAGEREF _Toc182307970 \h </w:instrText>
      </w:r>
      <w:r>
        <w:rPr>
          <w:rFonts w:hint="eastAsia" w:ascii="宋体" w:hAnsi="宋体" w:eastAsia="宋体" w:cs="宋体"/>
          <w:b w:val="0"/>
          <w:bCs w:val="0"/>
          <w:color w:val="auto"/>
          <w:sz w:val="21"/>
          <w:szCs w:val="21"/>
          <w:highlight w:val="none"/>
        </w:rPr>
        <w:fldChar w:fldCharType="separate"/>
      </w:r>
      <w:r>
        <w:rPr>
          <w:rFonts w:hint="eastAsia" w:ascii="宋体" w:hAnsi="宋体" w:eastAsia="宋体" w:cs="宋体"/>
          <w:b w:val="0"/>
          <w:bCs w:val="0"/>
          <w:color w:val="auto"/>
          <w:sz w:val="21"/>
          <w:szCs w:val="21"/>
          <w:highlight w:val="none"/>
        </w:rPr>
        <w:t>15</w:t>
      </w:r>
      <w:r>
        <w:rPr>
          <w:rFonts w:hint="eastAsia" w:ascii="宋体" w:hAnsi="宋体" w:eastAsia="宋体" w:cs="宋体"/>
          <w:b w:val="0"/>
          <w:bCs w:val="0"/>
          <w:color w:val="auto"/>
          <w:sz w:val="21"/>
          <w:szCs w:val="21"/>
          <w:highlight w:val="none"/>
        </w:rPr>
        <w:fldChar w:fldCharType="end"/>
      </w:r>
      <w:r>
        <w:rPr>
          <w:rFonts w:hint="eastAsia" w:ascii="宋体" w:hAnsi="宋体" w:eastAsia="宋体" w:cs="宋体"/>
          <w:b w:val="0"/>
          <w:bCs w:val="0"/>
          <w:color w:val="auto"/>
          <w:sz w:val="21"/>
          <w:szCs w:val="21"/>
          <w:highlight w:val="none"/>
        </w:rPr>
        <w:fldChar w:fldCharType="end"/>
      </w:r>
    </w:p>
    <w:p w14:paraId="31E26282">
      <w:pPr>
        <w:pStyle w:val="15"/>
        <w:ind w:left="0" w:leftChars="0" w:firstLine="0" w:firstLineChars="0"/>
        <w:jc w:val="center"/>
        <w:rPr>
          <w:rStyle w:val="35"/>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HYPERLINK \l "_Toc182307971" </w:instrText>
      </w:r>
      <w:r>
        <w:rPr>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第一章 商务需求书</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_Toc182307971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15</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558E73D">
      <w:pPr>
        <w:pStyle w:val="15"/>
        <w:ind w:left="0" w:leftChars="0" w:firstLine="0" w:firstLineChars="0"/>
        <w:jc w:val="center"/>
        <w:rPr>
          <w:rStyle w:val="35"/>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fldChar w:fldCharType="begin"/>
      </w:r>
      <w:r>
        <w:rPr>
          <w:rFonts w:hint="eastAsia" w:ascii="宋体" w:hAnsi="宋体" w:eastAsia="宋体" w:cs="宋体"/>
          <w:b w:val="0"/>
          <w:bCs w:val="0"/>
          <w:color w:val="auto"/>
          <w:sz w:val="21"/>
          <w:szCs w:val="21"/>
          <w:highlight w:val="none"/>
        </w:rPr>
        <w:instrText xml:space="preserve"> HYPERLINK \l "_Toc182307972" </w:instrText>
      </w:r>
      <w:r>
        <w:rPr>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第二章 技术需求书</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_Toc182307972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19</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4ABB7A8">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"_Toc182307980"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第四部分投标人须知</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_Toc182307980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32</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3D6494B">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"_Toc182307981"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一、说明</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_Toc182307981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32</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39CFC2A">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"_Toc182307982"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1.适用范围</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_Toc182307982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32</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05D74780">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"_Toc182307983"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2.定义</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_Toc182307983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32</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2404A52">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"_Toc182307984"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3.货物和服务</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_Toc182307984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32</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D03D2C1">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"_Toc182307985"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4.投标费用</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_Toc182307985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32</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2AF4312">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"_Toc182307986"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5.知识产权</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_Toc182307986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32</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7ABE5676">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"_Toc182307987"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6.关于联合体投标</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_Toc182307987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33</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34C77D8">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"_Toc182307988"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7.关于分支机构投标</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_Toc182307988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33</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504C659">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"_Toc182307989"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8.踏勘现场</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_Toc182307989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34</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027CA60F">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"_Toc182307990"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二、采购文件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_Toc182307990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34</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07659B03">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"_Toc182307991"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9.采购文件的组成</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_Toc182307991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34</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4AC3CA01">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"_Toc182307992"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10.采购文件的澄清或修改</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_Toc182307992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34</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1076192">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"_Toc182307993"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三、投标文件的编制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_Toc182307993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34</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0DAB6A36">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"_Toc182307994"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11.投标文件的语言及度量衡单位</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_Toc182307994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34</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0CDF449">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"_Toc182307995"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12.投标文件的组成</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_Toc182307995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35</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57F20C6">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"_Toc182307996"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13.投标文件编制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_Toc182307996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35</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2F6DF86F">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"_Toc182307997"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14.投标报价说明</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_Toc182307997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35</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0344590B">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"_Toc182307998"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15.投标人所提供的服务或货物的证明文件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_Toc182307998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36</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20242316">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"_Toc182307999"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16.投标有效期</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_Toc182307999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36</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FE0D256">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"_Toc182308000"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17.投标保证金</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_Toc182308000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36</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03900B8">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"_Toc182308001"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四、投标文件的递交</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_Toc182308001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37</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722ACA96">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"_Toc182308002"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18.投标文件的装订，签署，密封和标记</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_Toc182308002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37</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5FA980D">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"_Toc182308003"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19.迟交的投标文件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_Toc182308003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38</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3B2AF16">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"_Toc182308004"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20.投标样品（如需提交）</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_Toc182308004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38</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19225B0">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"_Toc182308005"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21.投标截止期</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_Toc182308005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38</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FFB9DB1">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"_Toc182308006"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22.投标文件的补充、修改与撤回</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_Toc182308006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39</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BED4082">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"_Toc182308007"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五、开标与评标</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_Toc182308007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39</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70099894">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"_Toc182308008"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23.开标</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_Toc182308008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39</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DE166F9">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"_Toc182308009"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24.评标委员会及评标方法</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_Toc182308009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39</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211FC0A2">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"_Toc182308010"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25.评审原则及评标过程的保密</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_Toc182308010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40</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65A7191">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"_Toc182308011"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26.评标程序</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_Toc182308011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40</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9981904">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"_Toc182308012"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27.商务、技术、价格评审（具体评审项目详见投标资料表）</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_Toc182308012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42</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8D9444B">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"_Toc182308013"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28.纪律和保密事项</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_Toc182308013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42</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B1BF422">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"_Toc182308014"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六、授予合同</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_Toc182308014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42</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2463E8B9">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"_Toc182308015"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29.合同授予标准</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_Toc182308015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42</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48DD0542">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"_Toc182308016"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30.发布中标结果</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_Toc182308016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43</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75E10956">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"_Toc182308017"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31.资格后审</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_Toc182308017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43</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E98C17E">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"_Toc182308018"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32.合同的签订与履行</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_Toc182308018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43</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0693FA59">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"_Toc182308019"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33.履约担保</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_Toc182308019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44</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0A741563">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"_Toc182308020"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34.预付款保函（适用于预付款支付）</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_Toc182308020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45</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48AD5EC4">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"_Toc182308021"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七、异议</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_Toc182308021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45</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324E7A4">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"_Toc182308022"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35.异议</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_Toc182308022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45</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AD54A1B">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"_Toc182308023"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八、其他</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_Toc182308023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45</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73999F45">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"_Toc182308024"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36.采购文件的解释权</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_Toc182308024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45</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7BAF2341">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"_Toc182308025"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第五部分  合同条款格式</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_Toc182308025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46</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46FC620">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"_Toc182308026"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第六部分 附件－投标文件格式</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_Toc182308026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46</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03DBF8A7">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"_Toc182308027"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投标文件目录</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_Toc182308027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65</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7CE5CADD">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"_Toc182308028"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价格文件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_Toc182308028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66</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236AA4BC">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"_Toc182308029"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附件1.开标一览表格式</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_Toc182308029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67</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76E04123">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"_Toc182308032"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商务文件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_Toc182308032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68</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72A45079">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"_Toc182308033"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附件1：商务评审评分标准索引表</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_Toc182308033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69</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EA251F8">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"_Toc182308034"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附件2.投标书格式</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_Toc182308034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70</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72D07646">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"_Toc182308035"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附件3. 法定代表人证明书格式</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_Toc182308035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71</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41569C7">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"_Toc182308036"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附件4.法定代表人授权书格式</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_Toc182308036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72</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F4FE793">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"_Toc182308037"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附件5.资格申明</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_Toc182308037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73</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0D380517">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"_Toc182308038"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附件6.营业执照</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_Toc182308038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74</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061A31FB">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"_Toc182308039"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附件7.相关资质证明文件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_Toc182308039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75</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09DB3870">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"_Toc182308040"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附件8.在经营活动中没有重大违法记录的书面声明格式</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_Toc182308040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76</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D745A33">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"_Toc182308041"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附件9. 未被列入“信用中国”记录失信被执行人或重大税收违法失信主体或政府采购严</w:t>
      </w:r>
    </w:p>
    <w:p w14:paraId="545DCB57">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t>重违法失信行为记录名单的证明资料</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_Toc182308041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77</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A7D785E">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"_Toc182308042"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附件10.承诺书格式</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_Toc182308042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78</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A9EC65B">
      <w:pPr>
        <w:pStyle w:val="25"/>
        <w:ind w:left="0" w:leftChars="0"/>
        <w:jc w:val="center"/>
        <w:rPr>
          <w:rStyle w:val="35"/>
          <w:rFonts w:hint="eastAsia" w:ascii="宋体" w:hAnsi="宋体" w:eastAsia="宋体" w:cs="宋体"/>
          <w:b w:val="0"/>
          <w:bCs w:val="0"/>
          <w:color w:val="auto"/>
          <w:sz w:val="21"/>
          <w:szCs w:val="21"/>
          <w:highlight w:val="none"/>
          <w:lang w:val="en-US" w:eastAsia="zh-CN"/>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"_Toc182308043"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附件11.商务需求条款偏离表格式</w:t>
      </w:r>
      <w:r>
        <w:rPr>
          <w:rStyle w:val="35"/>
          <w:rFonts w:hint="eastAsia" w:ascii="宋体" w:hAnsi="宋体" w:eastAsia="宋体" w:cs="宋体"/>
          <w:b w:val="0"/>
          <w:bCs w:val="0"/>
          <w:color w:val="auto"/>
          <w:sz w:val="21"/>
          <w:szCs w:val="21"/>
          <w:highlight w:val="none"/>
        </w:rPr>
        <w:tab/>
      </w:r>
      <w:r>
        <w:rPr>
          <w:rStyle w:val="35"/>
          <w:rFonts w:hint="eastAsia" w:cs="宋体"/>
          <w:b w:val="0"/>
          <w:bCs w:val="0"/>
          <w:color w:val="auto"/>
          <w:sz w:val="21"/>
          <w:szCs w:val="21"/>
          <w:highlight w:val="none"/>
          <w:lang w:val="en-US" w:eastAsia="zh-CN"/>
        </w:rPr>
        <w:t>8</w:t>
      </w:r>
      <w:r>
        <w:rPr>
          <w:rStyle w:val="35"/>
          <w:rFonts w:hint="eastAsia" w:ascii="宋体" w:hAnsi="宋体" w:eastAsia="宋体" w:cs="宋体"/>
          <w:b w:val="0"/>
          <w:bCs w:val="0"/>
          <w:color w:val="auto"/>
          <w:sz w:val="21"/>
          <w:szCs w:val="21"/>
          <w:highlight w:val="none"/>
        </w:rPr>
        <w:fldChar w:fldCharType="end"/>
      </w:r>
      <w:r>
        <w:rPr>
          <w:rStyle w:val="35"/>
          <w:rFonts w:hint="eastAsia" w:cs="宋体"/>
          <w:b w:val="0"/>
          <w:bCs w:val="0"/>
          <w:color w:val="auto"/>
          <w:sz w:val="21"/>
          <w:szCs w:val="21"/>
          <w:highlight w:val="none"/>
          <w:lang w:val="en-US" w:eastAsia="zh-CN"/>
        </w:rPr>
        <w:t>0</w:t>
      </w:r>
    </w:p>
    <w:p w14:paraId="3FEA11DF">
      <w:pPr>
        <w:pStyle w:val="25"/>
        <w:ind w:left="0" w:leftChars="0"/>
        <w:jc w:val="center"/>
        <w:rPr>
          <w:rStyle w:val="35"/>
          <w:rFonts w:hint="eastAsia" w:ascii="宋体" w:hAnsi="宋体" w:eastAsia="宋体" w:cs="宋体"/>
          <w:b w:val="0"/>
          <w:bCs w:val="0"/>
          <w:color w:val="auto"/>
          <w:sz w:val="21"/>
          <w:szCs w:val="21"/>
          <w:highlight w:val="none"/>
          <w:lang w:val="en-US" w:eastAsia="zh-CN"/>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"_Toc182308044"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附件12.业绩表</w:t>
      </w:r>
      <w:r>
        <w:rPr>
          <w:rStyle w:val="35"/>
          <w:rFonts w:hint="eastAsia" w:ascii="宋体" w:hAnsi="宋体" w:eastAsia="宋体" w:cs="宋体"/>
          <w:b w:val="0"/>
          <w:bCs w:val="0"/>
          <w:color w:val="auto"/>
          <w:sz w:val="21"/>
          <w:szCs w:val="21"/>
          <w:highlight w:val="none"/>
        </w:rPr>
        <w:tab/>
      </w:r>
      <w:r>
        <w:rPr>
          <w:rStyle w:val="35"/>
          <w:rFonts w:hint="eastAsia" w:cs="宋体"/>
          <w:b w:val="0"/>
          <w:bCs w:val="0"/>
          <w:color w:val="auto"/>
          <w:sz w:val="21"/>
          <w:szCs w:val="21"/>
          <w:highlight w:val="none"/>
          <w:lang w:val="en-US" w:eastAsia="zh-CN"/>
        </w:rPr>
        <w:t>8</w:t>
      </w:r>
      <w:r>
        <w:rPr>
          <w:rStyle w:val="35"/>
          <w:rFonts w:hint="eastAsia" w:ascii="宋体" w:hAnsi="宋体" w:eastAsia="宋体" w:cs="宋体"/>
          <w:b w:val="0"/>
          <w:bCs w:val="0"/>
          <w:color w:val="auto"/>
          <w:sz w:val="21"/>
          <w:szCs w:val="21"/>
          <w:highlight w:val="none"/>
        </w:rPr>
        <w:fldChar w:fldCharType="end"/>
      </w:r>
      <w:r>
        <w:rPr>
          <w:rStyle w:val="35"/>
          <w:rFonts w:hint="eastAsia" w:cs="宋体"/>
          <w:b w:val="0"/>
          <w:bCs w:val="0"/>
          <w:color w:val="auto"/>
          <w:sz w:val="21"/>
          <w:szCs w:val="21"/>
          <w:highlight w:val="none"/>
          <w:lang w:val="en-US" w:eastAsia="zh-CN"/>
        </w:rPr>
        <w:t>1</w:t>
      </w:r>
    </w:p>
    <w:p w14:paraId="5DE10542">
      <w:pPr>
        <w:pStyle w:val="25"/>
        <w:ind w:left="0" w:leftChars="0"/>
        <w:jc w:val="center"/>
        <w:rPr>
          <w:rStyle w:val="35"/>
          <w:rFonts w:hint="eastAsia" w:ascii="宋体" w:hAnsi="宋体" w:eastAsia="宋体" w:cs="宋体"/>
          <w:b w:val="0"/>
          <w:bCs w:val="0"/>
          <w:color w:val="auto"/>
          <w:sz w:val="21"/>
          <w:szCs w:val="21"/>
          <w:highlight w:val="none"/>
          <w:lang w:val="en-US" w:eastAsia="zh-CN"/>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"_Toc182308045"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附件13.</w:t>
      </w:r>
      <w:r>
        <w:rPr>
          <w:rStyle w:val="35"/>
          <w:rFonts w:hint="eastAsia" w:cs="宋体"/>
          <w:b w:val="0"/>
          <w:bCs w:val="0"/>
          <w:color w:val="auto"/>
          <w:sz w:val="21"/>
          <w:szCs w:val="21"/>
          <w:highlight w:val="none"/>
          <w:lang w:val="en-US" w:eastAsia="zh-CN"/>
        </w:rPr>
        <w:t>承诺函</w:t>
      </w:r>
      <w:r>
        <w:rPr>
          <w:rStyle w:val="35"/>
          <w:rFonts w:hint="eastAsia" w:ascii="宋体" w:hAnsi="宋体" w:eastAsia="宋体" w:cs="宋体"/>
          <w:b w:val="0"/>
          <w:bCs w:val="0"/>
          <w:color w:val="auto"/>
          <w:sz w:val="21"/>
          <w:szCs w:val="21"/>
          <w:highlight w:val="none"/>
        </w:rPr>
        <w:tab/>
      </w:r>
      <w:r>
        <w:rPr>
          <w:rStyle w:val="35"/>
          <w:rFonts w:hint="eastAsia" w:cs="宋体"/>
          <w:b w:val="0"/>
          <w:bCs w:val="0"/>
          <w:color w:val="auto"/>
          <w:sz w:val="21"/>
          <w:szCs w:val="21"/>
          <w:highlight w:val="none"/>
          <w:lang w:val="en-US" w:eastAsia="zh-CN"/>
        </w:rPr>
        <w:t>7</w:t>
      </w:r>
      <w:r>
        <w:rPr>
          <w:rStyle w:val="35"/>
          <w:rFonts w:hint="eastAsia" w:ascii="宋体" w:hAnsi="宋体" w:eastAsia="宋体" w:cs="宋体"/>
          <w:b w:val="0"/>
          <w:bCs w:val="0"/>
          <w:color w:val="auto"/>
          <w:sz w:val="21"/>
          <w:szCs w:val="21"/>
          <w:highlight w:val="none"/>
        </w:rPr>
        <w:fldChar w:fldCharType="end"/>
      </w:r>
      <w:r>
        <w:rPr>
          <w:rStyle w:val="35"/>
          <w:rFonts w:hint="eastAsia" w:cs="宋体"/>
          <w:b w:val="0"/>
          <w:bCs w:val="0"/>
          <w:color w:val="auto"/>
          <w:sz w:val="21"/>
          <w:szCs w:val="21"/>
          <w:highlight w:val="none"/>
          <w:lang w:val="en-US" w:eastAsia="zh-CN"/>
        </w:rPr>
        <w:t>9</w:t>
      </w:r>
    </w:p>
    <w:p w14:paraId="11BBAD6A">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"_Toc182308046"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附件14. 体系认证资料</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_Toc182308046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82</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4C32CBE">
      <w:pPr>
        <w:pStyle w:val="25"/>
        <w:ind w:left="0" w:leftChars="0"/>
        <w:jc w:val="center"/>
        <w:rPr>
          <w:rStyle w:val="35"/>
          <w:rFonts w:hint="eastAsia" w:ascii="宋体" w:hAnsi="宋体" w:eastAsia="宋体" w:cs="宋体"/>
          <w:b w:val="0"/>
          <w:bCs w:val="0"/>
          <w:color w:val="auto"/>
          <w:sz w:val="21"/>
          <w:szCs w:val="21"/>
          <w:highlight w:val="none"/>
          <w:lang w:val="en-US" w:eastAsia="zh-CN"/>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"_Toc182308047"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附件15. 财务资料</w:t>
      </w:r>
      <w:r>
        <w:rPr>
          <w:rStyle w:val="35"/>
          <w:rFonts w:hint="eastAsia" w:ascii="宋体" w:hAnsi="宋体" w:eastAsia="宋体" w:cs="宋体"/>
          <w:b w:val="0"/>
          <w:bCs w:val="0"/>
          <w:color w:val="auto"/>
          <w:sz w:val="21"/>
          <w:szCs w:val="21"/>
          <w:highlight w:val="none"/>
        </w:rPr>
        <w:tab/>
      </w:r>
      <w:r>
        <w:rPr>
          <w:rStyle w:val="35"/>
          <w:rFonts w:hint="eastAsia" w:cs="宋体"/>
          <w:b w:val="0"/>
          <w:bCs w:val="0"/>
          <w:color w:val="auto"/>
          <w:sz w:val="21"/>
          <w:szCs w:val="21"/>
          <w:highlight w:val="none"/>
          <w:lang w:val="en-US" w:eastAsia="zh-CN"/>
        </w:rPr>
        <w:t>8</w:t>
      </w:r>
      <w:r>
        <w:rPr>
          <w:rStyle w:val="35"/>
          <w:rFonts w:hint="eastAsia" w:ascii="宋体" w:hAnsi="宋体" w:eastAsia="宋体" w:cs="宋体"/>
          <w:b w:val="0"/>
          <w:bCs w:val="0"/>
          <w:color w:val="auto"/>
          <w:sz w:val="21"/>
          <w:szCs w:val="21"/>
          <w:highlight w:val="none"/>
        </w:rPr>
        <w:fldChar w:fldCharType="end"/>
      </w:r>
      <w:r>
        <w:rPr>
          <w:rStyle w:val="35"/>
          <w:rFonts w:hint="eastAsia" w:cs="宋体"/>
          <w:b w:val="0"/>
          <w:bCs w:val="0"/>
          <w:color w:val="auto"/>
          <w:sz w:val="21"/>
          <w:szCs w:val="21"/>
          <w:highlight w:val="none"/>
          <w:lang w:val="en-US" w:eastAsia="zh-CN"/>
        </w:rPr>
        <w:t>4</w:t>
      </w:r>
    </w:p>
    <w:p w14:paraId="4B2C8B01">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"_Toc182308048"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附件16. 实施本项目的有关人员资料表格式（包括相关人员相关证书资料）</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_Toc182308048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84</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6B009EA1">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"_Toc182308049"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附件17. 有关人员近期的社保缴纳情况</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_Toc182308049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85</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B016797">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"_Toc182308050"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技术文件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_Toc182308050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86</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9E3ABBC">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"_Toc182308051"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 技术评分标准索引表</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_Toc182308051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87</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D124B46">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"_Toc182308052"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附件2. 技术规格偏离表格式</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_Toc182308052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88</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2F00838F">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"_Toc182308053"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附件3. 项目实施方案格式</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_Toc182308053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89</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24BF4017">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"_Toc182308054"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唱标信封</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_Toc182308054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90</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110E316F">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"_Toc182308055"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附件1.开标一览表（按价格文件要求编制）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_Toc182308055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91</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A6B3CF4">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"_Toc182308056"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附件2.法定代表人证明书（按商务文件要求编制）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_Toc182308056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91</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5DD74583">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"_Toc182308057"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附件3.法定代表人授权委托书加盖公章（按商务文件要求编制）</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_Toc182308057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91</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2F87B188">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"_Toc182308058"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附件4.投标保证金汇入情况说明（含银行汇款凭证）</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_Toc182308058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92</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0FCE91B4">
      <w:pPr>
        <w:pStyle w:val="25"/>
        <w:ind w:left="0" w:leftChars="0"/>
        <w:jc w:val="center"/>
        <w:rPr>
          <w:rStyle w:val="35"/>
          <w:rFonts w:hint="eastAsia" w:ascii="宋体" w:hAnsi="宋体" w:eastAsia="宋体" w:cs="宋体"/>
          <w:b w:val="0"/>
          <w:bCs w:val="0"/>
          <w:color w:val="auto"/>
          <w:sz w:val="21"/>
          <w:szCs w:val="21"/>
          <w:highlight w:val="none"/>
        </w:rPr>
      </w:pP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HYPERLINK \l "_Toc182308059"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附件5.投标文件电子文件（U盘，须含盖章版PDF投标文件和WORD版投标文件各一版，</w:t>
      </w:r>
    </w:p>
    <w:p w14:paraId="3102375C">
      <w:pPr>
        <w:pStyle w:val="25"/>
        <w:ind w:left="0" w:leftChars="0"/>
        <w:jc w:val="center"/>
        <w:rPr>
          <w:rStyle w:val="35"/>
          <w:rFonts w:hint="eastAsia" w:ascii="宋体" w:hAnsi="宋体" w:eastAsia="宋体" w:cs="宋体"/>
          <w:color w:val="auto"/>
          <w:sz w:val="21"/>
          <w:szCs w:val="21"/>
          <w:highlight w:val="none"/>
        </w:rPr>
      </w:pPr>
      <w:r>
        <w:rPr>
          <w:rStyle w:val="35"/>
          <w:rFonts w:hint="eastAsia" w:ascii="宋体" w:hAnsi="宋体" w:eastAsia="宋体" w:cs="宋体"/>
          <w:b w:val="0"/>
          <w:bCs w:val="0"/>
          <w:color w:val="auto"/>
          <w:sz w:val="21"/>
          <w:szCs w:val="21"/>
          <w:highlight w:val="none"/>
        </w:rPr>
        <w:t>文字采用WORD文档，计算表格采用 EXCEL文档。）</w:t>
      </w:r>
      <w:r>
        <w:rPr>
          <w:rStyle w:val="35"/>
          <w:rFonts w:hint="eastAsia" w:ascii="宋体" w:hAnsi="宋体" w:eastAsia="宋体" w:cs="宋体"/>
          <w:b w:val="0"/>
          <w:bCs w:val="0"/>
          <w:color w:val="auto"/>
          <w:sz w:val="21"/>
          <w:szCs w:val="21"/>
          <w:highlight w:val="none"/>
        </w:rPr>
        <w:tab/>
      </w:r>
      <w:r>
        <w:rPr>
          <w:rStyle w:val="35"/>
          <w:rFonts w:hint="eastAsia" w:ascii="宋体" w:hAnsi="宋体" w:eastAsia="宋体" w:cs="宋体"/>
          <w:b w:val="0"/>
          <w:bCs w:val="0"/>
          <w:color w:val="auto"/>
          <w:sz w:val="21"/>
          <w:szCs w:val="21"/>
          <w:highlight w:val="none"/>
        </w:rPr>
        <w:fldChar w:fldCharType="begin"/>
      </w:r>
      <w:r>
        <w:rPr>
          <w:rStyle w:val="35"/>
          <w:rFonts w:hint="eastAsia" w:ascii="宋体" w:hAnsi="宋体" w:eastAsia="宋体" w:cs="宋体"/>
          <w:b w:val="0"/>
          <w:bCs w:val="0"/>
          <w:color w:val="auto"/>
          <w:sz w:val="21"/>
          <w:szCs w:val="21"/>
          <w:highlight w:val="none"/>
        </w:rPr>
        <w:instrText xml:space="preserve"> PAGEREF _Toc182308059 \h </w:instrText>
      </w:r>
      <w:r>
        <w:rPr>
          <w:rStyle w:val="35"/>
          <w:rFonts w:hint="eastAsia" w:ascii="宋体" w:hAnsi="宋体" w:eastAsia="宋体" w:cs="宋体"/>
          <w:b w:val="0"/>
          <w:bCs w:val="0"/>
          <w:color w:val="auto"/>
          <w:sz w:val="21"/>
          <w:szCs w:val="21"/>
          <w:highlight w:val="none"/>
        </w:rPr>
        <w:fldChar w:fldCharType="separate"/>
      </w:r>
      <w:r>
        <w:rPr>
          <w:rStyle w:val="35"/>
          <w:rFonts w:hint="eastAsia" w:ascii="宋体" w:hAnsi="宋体" w:eastAsia="宋体" w:cs="宋体"/>
          <w:b w:val="0"/>
          <w:bCs w:val="0"/>
          <w:color w:val="auto"/>
          <w:sz w:val="21"/>
          <w:szCs w:val="21"/>
          <w:highlight w:val="none"/>
        </w:rPr>
        <w:t>94</w:t>
      </w:r>
      <w:r>
        <w:rPr>
          <w:rStyle w:val="35"/>
          <w:rFonts w:hint="eastAsia" w:ascii="宋体" w:hAnsi="宋体" w:eastAsia="宋体" w:cs="宋体"/>
          <w:b w:val="0"/>
          <w:bCs w:val="0"/>
          <w:color w:val="auto"/>
          <w:sz w:val="21"/>
          <w:szCs w:val="21"/>
          <w:highlight w:val="none"/>
        </w:rPr>
        <w:fldChar w:fldCharType="end"/>
      </w:r>
      <w:r>
        <w:rPr>
          <w:rStyle w:val="35"/>
          <w:rFonts w:hint="eastAsia" w:ascii="宋体" w:hAnsi="宋体" w:eastAsia="宋体" w:cs="宋体"/>
          <w:b w:val="0"/>
          <w:bCs w:val="0"/>
          <w:color w:val="auto"/>
          <w:sz w:val="21"/>
          <w:szCs w:val="21"/>
          <w:highlight w:val="none"/>
        </w:rPr>
        <w:fldChar w:fldCharType="end"/>
      </w:r>
    </w:p>
    <w:p w14:paraId="31736C17">
      <w:pPr>
        <w:pStyle w:val="22"/>
        <w:spacing w:after="0"/>
        <w:ind w:left="0" w:leftChars="0" w:firstLine="632" w:firstLineChars="300"/>
        <w:jc w:val="center"/>
        <w:rPr>
          <w:rFonts w:cs="宋体"/>
          <w:color w:val="auto"/>
          <w:szCs w:val="21"/>
          <w:highlight w:val="none"/>
        </w:rPr>
      </w:pPr>
      <w:r>
        <w:rPr>
          <w:rStyle w:val="35"/>
          <w:rFonts w:hint="eastAsia" w:ascii="宋体" w:hAnsi="宋体" w:eastAsia="宋体" w:cs="宋体"/>
          <w:bCs/>
          <w:color w:val="auto"/>
          <w:sz w:val="21"/>
          <w:szCs w:val="21"/>
          <w:highlight w:val="none"/>
        </w:rPr>
        <w:fldChar w:fldCharType="end"/>
      </w:r>
    </w:p>
    <w:p w14:paraId="3E23823D">
      <w:pPr>
        <w:rPr>
          <w:rFonts w:hint="eastAsia" w:ascii="宋体" w:hAnsi="宋体" w:cs="宋体"/>
          <w:color w:val="auto"/>
          <w:szCs w:val="21"/>
          <w:highlight w:val="none"/>
        </w:rPr>
      </w:pPr>
      <w:r>
        <w:rPr>
          <w:rFonts w:hint="eastAsia" w:ascii="宋体" w:hAnsi="宋体" w:cs="宋体"/>
          <w:color w:val="auto"/>
          <w:szCs w:val="21"/>
          <w:highlight w:val="none"/>
        </w:rPr>
        <w:br w:type="page"/>
      </w:r>
    </w:p>
    <w:p w14:paraId="6D2475A5">
      <w:pPr>
        <w:pStyle w:val="6"/>
        <w:spacing w:before="0" w:after="0" w:line="240" w:lineRule="auto"/>
        <w:rPr>
          <w:color w:val="auto"/>
          <w:sz w:val="28"/>
          <w:szCs w:val="28"/>
          <w:highlight w:val="none"/>
        </w:rPr>
      </w:pPr>
      <w:bookmarkStart w:id="0" w:name="_Toc182307965"/>
      <w:r>
        <w:rPr>
          <w:rFonts w:hint="eastAsia"/>
          <w:color w:val="auto"/>
          <w:sz w:val="28"/>
          <w:szCs w:val="28"/>
          <w:highlight w:val="none"/>
        </w:rPr>
        <w:t>第一部分投标邀请</w:t>
      </w:r>
      <w:bookmarkEnd w:id="0"/>
    </w:p>
    <w:p w14:paraId="0929ACFE">
      <w:pPr>
        <w:pStyle w:val="7"/>
        <w:spacing w:before="0" w:after="0" w:line="360" w:lineRule="auto"/>
        <w:jc w:val="center"/>
        <w:rPr>
          <w:rFonts w:hint="eastAsia" w:ascii="宋体" w:hAnsi="宋体" w:cs="宋体"/>
          <w:color w:val="auto"/>
          <w:highlight w:val="none"/>
        </w:rPr>
      </w:pPr>
      <w:bookmarkStart w:id="1" w:name="_Toc182307966"/>
      <w:r>
        <w:rPr>
          <w:rFonts w:hint="eastAsia" w:ascii="宋体" w:hAnsi="宋体" w:cs="宋体"/>
          <w:color w:val="auto"/>
          <w:highlight w:val="none"/>
        </w:rPr>
        <w:t>投标邀请书</w:t>
      </w:r>
      <w:bookmarkEnd w:id="1"/>
    </w:p>
    <w:p w14:paraId="2CA1A6C9">
      <w:pPr>
        <w:ind w:firstLine="422" w:firstLineChars="200"/>
        <w:rPr>
          <w:rFonts w:hint="eastAsia" w:ascii="宋体" w:hAnsi="宋体"/>
          <w:color w:val="auto"/>
          <w:szCs w:val="21"/>
          <w:highlight w:val="none"/>
        </w:rPr>
      </w:pPr>
      <w:r>
        <w:rPr>
          <w:rFonts w:hint="eastAsia" w:ascii="宋体" w:hAnsi="宋体"/>
          <w:b/>
          <w:bCs/>
          <w:color w:val="auto"/>
          <w:szCs w:val="21"/>
          <w:highlight w:val="none"/>
          <w:u w:val="single"/>
          <w:lang w:eastAsia="zh-CN"/>
        </w:rPr>
        <w:t>广西同泽工程项目管理股份有限公司</w:t>
      </w:r>
      <w:r>
        <w:rPr>
          <w:rFonts w:ascii="宋体" w:hAnsi="宋体"/>
          <w:color w:val="auto"/>
          <w:szCs w:val="21"/>
          <w:highlight w:val="none"/>
        </w:rPr>
        <w:t>（以下简称</w:t>
      </w:r>
      <w:r>
        <w:rPr>
          <w:rFonts w:hint="eastAsia" w:ascii="宋体" w:hAnsi="宋体"/>
          <w:color w:val="auto"/>
          <w:szCs w:val="21"/>
          <w:highlight w:val="none"/>
        </w:rPr>
        <w:t>“采购代理机构”</w:t>
      </w:r>
      <w:r>
        <w:rPr>
          <w:rFonts w:ascii="宋体" w:hAnsi="宋体"/>
          <w:color w:val="auto"/>
          <w:szCs w:val="21"/>
          <w:highlight w:val="none"/>
        </w:rPr>
        <w:t>）受</w:t>
      </w:r>
      <w:r>
        <w:rPr>
          <w:rFonts w:hint="eastAsia" w:ascii="宋体" w:hAnsi="宋体"/>
          <w:b/>
          <w:color w:val="auto"/>
          <w:szCs w:val="21"/>
          <w:highlight w:val="none"/>
          <w:u w:val="single"/>
          <w:lang w:eastAsia="zh-CN"/>
        </w:rPr>
        <w:t>东莞市新有能源投资有限公司</w:t>
      </w:r>
      <w:r>
        <w:rPr>
          <w:rFonts w:ascii="宋体" w:hAnsi="宋体"/>
          <w:color w:val="auto"/>
          <w:szCs w:val="21"/>
          <w:highlight w:val="none"/>
        </w:rPr>
        <w:t>（以下简称</w:t>
      </w:r>
      <w:r>
        <w:rPr>
          <w:rFonts w:hint="eastAsia" w:ascii="宋体" w:hAnsi="宋体"/>
          <w:color w:val="auto"/>
          <w:szCs w:val="21"/>
          <w:highlight w:val="none"/>
        </w:rPr>
        <w:t>“采购人”</w:t>
      </w:r>
      <w:r>
        <w:rPr>
          <w:rFonts w:ascii="宋体" w:hAnsi="宋体"/>
          <w:color w:val="auto"/>
          <w:szCs w:val="21"/>
          <w:highlight w:val="none"/>
        </w:rPr>
        <w:t>）委托，</w:t>
      </w:r>
      <w:r>
        <w:rPr>
          <w:rFonts w:hint="eastAsia" w:ascii="宋体" w:hAnsi="宋体"/>
          <w:color w:val="auto"/>
          <w:szCs w:val="21"/>
          <w:highlight w:val="none"/>
        </w:rPr>
        <w:t>现</w:t>
      </w:r>
      <w:r>
        <w:rPr>
          <w:rFonts w:ascii="宋体" w:hAnsi="宋体"/>
          <w:color w:val="auto"/>
          <w:szCs w:val="21"/>
          <w:highlight w:val="none"/>
        </w:rPr>
        <w:t>就</w:t>
      </w:r>
      <w:r>
        <w:rPr>
          <w:rFonts w:hint="eastAsia" w:ascii="宋体" w:hAnsi="宋体"/>
          <w:b/>
          <w:color w:val="auto"/>
          <w:szCs w:val="21"/>
          <w:highlight w:val="none"/>
          <w:u w:val="single"/>
          <w:lang w:eastAsia="zh-CN"/>
        </w:rPr>
        <w:t>东莞市建冠物业投资有限公司625kW/2500kWh用户侧储能项目</w:t>
      </w:r>
      <w:r>
        <w:rPr>
          <w:rFonts w:hint="eastAsia" w:ascii="宋体" w:hAnsi="宋体"/>
          <w:color w:val="auto"/>
          <w:szCs w:val="21"/>
          <w:highlight w:val="none"/>
        </w:rPr>
        <w:t>（项目编号：</w:t>
      </w:r>
      <w:r>
        <w:rPr>
          <w:rFonts w:hint="eastAsia" w:ascii="宋体" w:hAnsi="宋体"/>
          <w:b/>
          <w:bCs/>
          <w:color w:val="auto"/>
          <w:szCs w:val="21"/>
          <w:highlight w:val="none"/>
          <w:lang w:eastAsia="zh-CN"/>
        </w:rPr>
        <w:t>GXTZ-ZB-2026第（3）号</w:t>
      </w:r>
      <w:r>
        <w:rPr>
          <w:rFonts w:hint="eastAsia" w:ascii="宋体" w:hAnsi="宋体"/>
          <w:color w:val="auto"/>
          <w:szCs w:val="21"/>
          <w:highlight w:val="none"/>
        </w:rPr>
        <w:t>）</w:t>
      </w:r>
      <w:r>
        <w:rPr>
          <w:rFonts w:hint="eastAsia" w:ascii="宋体" w:hAnsi="宋体" w:cs="Times New Roman"/>
          <w:color w:val="auto"/>
          <w:szCs w:val="21"/>
          <w:highlight w:val="none"/>
        </w:rPr>
        <w:t>进行国内公开采购</w:t>
      </w:r>
      <w:r>
        <w:rPr>
          <w:rFonts w:hint="eastAsia" w:ascii="宋体" w:hAnsi="宋体"/>
          <w:color w:val="auto"/>
          <w:szCs w:val="21"/>
          <w:highlight w:val="none"/>
        </w:rPr>
        <w:t>，欢迎符合采购文件要求的国内投标人参加投标</w:t>
      </w:r>
      <w:r>
        <w:rPr>
          <w:rFonts w:ascii="宋体" w:hAnsi="宋体"/>
          <w:color w:val="auto"/>
          <w:szCs w:val="21"/>
          <w:highlight w:val="none"/>
        </w:rPr>
        <w:t>。有关事项如下：</w:t>
      </w:r>
    </w:p>
    <w:p w14:paraId="2609BEC8">
      <w:pPr>
        <w:ind w:firstLine="413" w:firstLineChars="196"/>
        <w:rPr>
          <w:rFonts w:hint="eastAsia" w:ascii="宋体" w:hAnsi="宋体"/>
          <w:b/>
          <w:color w:val="auto"/>
          <w:szCs w:val="21"/>
          <w:highlight w:val="none"/>
        </w:rPr>
      </w:pPr>
    </w:p>
    <w:p w14:paraId="1A2EA708">
      <w:pPr>
        <w:rPr>
          <w:rFonts w:hint="eastAsia" w:ascii="宋体" w:hAnsi="宋体"/>
          <w:b/>
          <w:color w:val="auto"/>
          <w:szCs w:val="21"/>
          <w:highlight w:val="none"/>
        </w:rPr>
      </w:pPr>
      <w:r>
        <w:rPr>
          <w:rFonts w:hint="eastAsia" w:ascii="宋体" w:hAnsi="宋体"/>
          <w:b/>
          <w:color w:val="auto"/>
          <w:szCs w:val="21"/>
          <w:highlight w:val="none"/>
        </w:rPr>
        <w:t>一、采购项目概况</w:t>
      </w:r>
    </w:p>
    <w:p w14:paraId="6EFFA36E">
      <w:pPr>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1、采购项目名称：</w:t>
      </w:r>
      <w:r>
        <w:rPr>
          <w:rFonts w:hint="eastAsia" w:ascii="宋体" w:hAnsi="宋体" w:cs="宋体"/>
          <w:b/>
          <w:color w:val="auto"/>
          <w:sz w:val="21"/>
          <w:szCs w:val="21"/>
          <w:highlight w:val="none"/>
          <w:u w:val="single"/>
          <w:lang w:eastAsia="zh-CN"/>
        </w:rPr>
        <w:t>东莞市建冠物业投资有限公司625kW/2500kWh用户侧储能项目</w:t>
      </w:r>
    </w:p>
    <w:p w14:paraId="6C845DEC">
      <w:pPr>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2、预算金额（元）：</w:t>
      </w:r>
      <w:r>
        <w:rPr>
          <w:rFonts w:hint="eastAsia" w:ascii="宋体" w:hAnsi="宋体" w:eastAsia="宋体" w:cs="宋体"/>
          <w:color w:val="auto"/>
          <w:sz w:val="21"/>
          <w:szCs w:val="21"/>
          <w:highlight w:val="none"/>
          <w:u w:val="single"/>
        </w:rPr>
        <w:t>¥2,650,000.00元</w:t>
      </w:r>
    </w:p>
    <w:p w14:paraId="1B06AED6">
      <w:pPr>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最高限价</w:t>
      </w:r>
      <w:r>
        <w:rPr>
          <w:rFonts w:hint="eastAsia" w:ascii="宋体" w:hAnsi="宋体" w:eastAsia="宋体" w:cs="宋体"/>
          <w:color w:val="auto"/>
          <w:sz w:val="21"/>
          <w:szCs w:val="21"/>
          <w:highlight w:val="none"/>
        </w:rPr>
        <w:t>（元）：</w:t>
      </w:r>
      <w:r>
        <w:rPr>
          <w:rFonts w:hint="eastAsia" w:ascii="宋体" w:hAnsi="宋体" w:eastAsia="宋体" w:cs="宋体"/>
          <w:color w:val="auto"/>
          <w:sz w:val="21"/>
          <w:szCs w:val="21"/>
          <w:highlight w:val="none"/>
          <w:u w:val="single"/>
        </w:rPr>
        <w:t>¥2,650,000.00元</w:t>
      </w:r>
    </w:p>
    <w:p w14:paraId="35EBE364">
      <w:pPr>
        <w:ind w:firstLine="420" w:firstLineChars="200"/>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、本项目</w:t>
      </w:r>
      <w:r>
        <w:rPr>
          <w:rFonts w:hint="eastAsia" w:ascii="宋体" w:hAnsi="宋体" w:eastAsia="宋体" w:cs="宋体"/>
          <w:b/>
          <w:bCs/>
          <w:color w:val="auto"/>
          <w:sz w:val="21"/>
          <w:szCs w:val="21"/>
          <w:highlight w:val="none"/>
          <w:lang w:val="en-US" w:eastAsia="zh-CN"/>
        </w:rPr>
        <w:t>不接受</w:t>
      </w:r>
      <w:r>
        <w:rPr>
          <w:rFonts w:hint="eastAsia" w:ascii="宋体" w:hAnsi="宋体" w:eastAsia="宋体" w:cs="宋体"/>
          <w:color w:val="auto"/>
          <w:sz w:val="21"/>
          <w:szCs w:val="21"/>
          <w:highlight w:val="none"/>
          <w:lang w:val="en-US" w:eastAsia="zh-CN"/>
        </w:rPr>
        <w:t>联合体投标。</w:t>
      </w:r>
    </w:p>
    <w:p w14:paraId="5C1F0D02">
      <w:pPr>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、项目内容</w:t>
      </w:r>
    </w:p>
    <w:tbl>
      <w:tblPr>
        <w:tblStyle w:val="29"/>
        <w:tblW w:w="91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8"/>
        <w:gridCol w:w="1843"/>
        <w:gridCol w:w="1530"/>
        <w:gridCol w:w="2074"/>
        <w:gridCol w:w="1712"/>
      </w:tblGrid>
      <w:tr w14:paraId="5FA89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1968" w:type="dxa"/>
            <w:vAlign w:val="center"/>
          </w:tcPr>
          <w:p w14:paraId="667A7C85">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项目规模</w:t>
            </w:r>
          </w:p>
        </w:tc>
        <w:tc>
          <w:tcPr>
            <w:tcW w:w="1843" w:type="dxa"/>
            <w:vAlign w:val="center"/>
          </w:tcPr>
          <w:p w14:paraId="7D81223C">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技术规格、参数及要求</w:t>
            </w:r>
          </w:p>
        </w:tc>
        <w:tc>
          <w:tcPr>
            <w:tcW w:w="1530" w:type="dxa"/>
            <w:vAlign w:val="center"/>
          </w:tcPr>
          <w:p w14:paraId="7309F916">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采购供货</w:t>
            </w:r>
          </w:p>
          <w:p w14:paraId="419BBAA8">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单位数量</w:t>
            </w:r>
          </w:p>
        </w:tc>
        <w:tc>
          <w:tcPr>
            <w:tcW w:w="2074" w:type="dxa"/>
            <w:vAlign w:val="center"/>
          </w:tcPr>
          <w:p w14:paraId="52440142">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完工期</w:t>
            </w:r>
          </w:p>
        </w:tc>
        <w:tc>
          <w:tcPr>
            <w:tcW w:w="1712" w:type="dxa"/>
            <w:vAlign w:val="center"/>
          </w:tcPr>
          <w:p w14:paraId="622A616E">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单价最高限价</w:t>
            </w:r>
          </w:p>
        </w:tc>
      </w:tr>
      <w:tr w14:paraId="28115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968" w:type="dxa"/>
            <w:vAlign w:val="center"/>
          </w:tcPr>
          <w:p w14:paraId="3A1DD7C5">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625kW/2500kWh</w:t>
            </w:r>
          </w:p>
        </w:tc>
        <w:tc>
          <w:tcPr>
            <w:tcW w:w="1843" w:type="dxa"/>
            <w:vAlign w:val="center"/>
          </w:tcPr>
          <w:p w14:paraId="7421707F">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详见采购文件</w:t>
            </w:r>
          </w:p>
        </w:tc>
        <w:tc>
          <w:tcPr>
            <w:tcW w:w="1530" w:type="dxa"/>
            <w:vAlign w:val="center"/>
          </w:tcPr>
          <w:p w14:paraId="039DA247">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1家</w:t>
            </w:r>
          </w:p>
        </w:tc>
        <w:tc>
          <w:tcPr>
            <w:tcW w:w="2074" w:type="dxa"/>
            <w:vAlign w:val="center"/>
          </w:tcPr>
          <w:p w14:paraId="3E0DF5A0">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40 天(以开工令开始计算)</w:t>
            </w:r>
          </w:p>
        </w:tc>
        <w:tc>
          <w:tcPr>
            <w:tcW w:w="1712" w:type="dxa"/>
            <w:vAlign w:val="center"/>
          </w:tcPr>
          <w:p w14:paraId="3FA4B463">
            <w:pPr>
              <w:spacing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1060元/kWh</w:t>
            </w:r>
          </w:p>
        </w:tc>
      </w:tr>
      <w:tr w14:paraId="272EF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9127" w:type="dxa"/>
            <w:gridSpan w:val="5"/>
            <w:vAlign w:val="center"/>
          </w:tcPr>
          <w:p w14:paraId="1F2DE4C7">
            <w:pPr>
              <w:spacing w:line="240" w:lineRule="auto"/>
              <w:jc w:val="left"/>
              <w:rPr>
                <w:rFonts w:hint="eastAsia" w:ascii="宋体" w:hAnsi="宋体" w:cs="宋体"/>
                <w:color w:val="auto"/>
                <w:kern w:val="2"/>
                <w:sz w:val="21"/>
                <w:szCs w:val="21"/>
                <w:highlight w:val="none"/>
                <w:lang w:val="en-US" w:eastAsia="zh-CN" w:bidi="ar-SA"/>
              </w:rPr>
            </w:pPr>
            <w:r>
              <w:rPr>
                <w:rFonts w:hint="eastAsia" w:ascii="宋体" w:hAnsi="宋体" w:eastAsia="宋体" w:cs="宋体"/>
                <w:b/>
                <w:bCs/>
                <w:i w:val="0"/>
                <w:iCs w:val="0"/>
                <w:color w:val="auto"/>
                <w:sz w:val="22"/>
                <w:szCs w:val="22"/>
                <w:highlight w:val="none"/>
                <w:u w:val="none"/>
                <w:lang w:val="en-US" w:eastAsia="zh-CN"/>
              </w:rPr>
              <w:t>注：最终结算价根据中标单价乘以实际容量进行结算。</w:t>
            </w:r>
          </w:p>
        </w:tc>
      </w:tr>
    </w:tbl>
    <w:p w14:paraId="1AC05995">
      <w:pPr>
        <w:ind w:firstLine="420" w:firstLineChars="200"/>
        <w:rPr>
          <w:rFonts w:hint="eastAsia" w:ascii="宋体" w:hAnsi="宋体"/>
          <w:color w:val="auto"/>
          <w:szCs w:val="21"/>
          <w:highlight w:val="none"/>
        </w:rPr>
      </w:pPr>
      <w:r>
        <w:rPr>
          <w:rFonts w:hint="eastAsia" w:ascii="宋体" w:hAnsi="宋体"/>
          <w:color w:val="auto"/>
          <w:szCs w:val="21"/>
          <w:highlight w:val="none"/>
          <w:lang w:val="en-US" w:eastAsia="zh-CN"/>
        </w:rPr>
        <w:t>6</w:t>
      </w:r>
      <w:r>
        <w:rPr>
          <w:rFonts w:hint="eastAsia" w:ascii="宋体" w:hAnsi="宋体"/>
          <w:color w:val="auto"/>
          <w:szCs w:val="21"/>
          <w:highlight w:val="none"/>
        </w:rPr>
        <w:t>、项目需求：详细内容请参阅采购文件第三部分《用户需求书》。</w:t>
      </w:r>
    </w:p>
    <w:p w14:paraId="413BA43B">
      <w:pPr>
        <w:ind w:firstLine="411" w:firstLineChars="196"/>
        <w:rPr>
          <w:rFonts w:hint="eastAsia" w:ascii="宋体" w:hAnsi="宋体"/>
          <w:color w:val="auto"/>
          <w:szCs w:val="21"/>
          <w:highlight w:val="none"/>
        </w:rPr>
      </w:pPr>
    </w:p>
    <w:p w14:paraId="1E490DAB">
      <w:pPr>
        <w:rPr>
          <w:rFonts w:hint="eastAsia" w:ascii="宋体" w:hAnsi="宋体"/>
          <w:b/>
          <w:color w:val="auto"/>
          <w:szCs w:val="21"/>
          <w:highlight w:val="none"/>
        </w:rPr>
      </w:pPr>
      <w:r>
        <w:rPr>
          <w:rFonts w:hint="eastAsia" w:ascii="宋体" w:hAnsi="宋体"/>
          <w:b/>
          <w:color w:val="auto"/>
          <w:szCs w:val="21"/>
          <w:highlight w:val="none"/>
        </w:rPr>
        <w:t>二、投标人资格要求</w:t>
      </w:r>
    </w:p>
    <w:p w14:paraId="7DF8A938">
      <w:pPr>
        <w:ind w:firstLine="411" w:firstLineChars="196"/>
        <w:rPr>
          <w:rFonts w:hint="eastAsia" w:ascii="宋体" w:hAnsi="宋体"/>
          <w:color w:val="auto"/>
          <w:szCs w:val="21"/>
          <w:highlight w:val="none"/>
        </w:rPr>
      </w:pPr>
      <w:r>
        <w:rPr>
          <w:rFonts w:hint="eastAsia" w:ascii="宋体" w:hAnsi="宋体"/>
          <w:color w:val="auto"/>
          <w:szCs w:val="21"/>
          <w:highlight w:val="none"/>
        </w:rPr>
        <w:t>1、一般要求：</w:t>
      </w:r>
    </w:p>
    <w:p w14:paraId="09CF6B20">
      <w:pPr>
        <w:ind w:firstLine="420" w:firstLineChars="200"/>
        <w:rPr>
          <w:rFonts w:hint="eastAsia" w:ascii="宋体" w:hAnsi="宋体"/>
          <w:color w:val="auto"/>
          <w:szCs w:val="21"/>
          <w:highlight w:val="none"/>
        </w:rPr>
      </w:pPr>
      <w:r>
        <w:rPr>
          <w:rFonts w:hint="eastAsia" w:ascii="宋体" w:hAnsi="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p w14:paraId="64985716">
      <w:pPr>
        <w:ind w:firstLine="420" w:firstLineChars="200"/>
        <w:rPr>
          <w:rFonts w:hint="eastAsia" w:ascii="宋体" w:hAnsi="宋体"/>
          <w:color w:val="auto"/>
          <w:szCs w:val="21"/>
          <w:highlight w:val="none"/>
        </w:rPr>
      </w:pPr>
      <w:r>
        <w:rPr>
          <w:rFonts w:hint="eastAsia" w:ascii="宋体" w:hAnsi="宋体"/>
          <w:color w:val="auto"/>
          <w:szCs w:val="21"/>
          <w:highlight w:val="none"/>
        </w:rPr>
        <w:t>（2）参加采购活动前三年内，在经营活动中没有重大违法记录（须提供书面声明）。重大违法记录，是指投标人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65325B90">
      <w:pPr>
        <w:ind w:firstLine="420" w:firstLineChars="200"/>
        <w:rPr>
          <w:rFonts w:hint="eastAsia" w:ascii="宋体" w:hAnsi="宋体"/>
          <w:color w:val="auto"/>
          <w:szCs w:val="21"/>
          <w:highlight w:val="none"/>
        </w:rPr>
      </w:pPr>
      <w:r>
        <w:rPr>
          <w:rFonts w:hint="eastAsia" w:ascii="宋体" w:hAnsi="宋体"/>
          <w:color w:val="auto"/>
          <w:szCs w:val="21"/>
          <w:highlight w:val="none"/>
        </w:rPr>
        <w:t>（3）投标人的单位负责人为同一人或者存在直接控股、管理关系的不同投标人，不得参加同一合同项下的采购活动。</w:t>
      </w:r>
    </w:p>
    <w:p w14:paraId="3FA25F04">
      <w:pPr>
        <w:shd w:val="clear"/>
        <w:ind w:firstLine="420" w:firstLineChars="200"/>
        <w:rPr>
          <w:rFonts w:hint="eastAsia" w:ascii="宋体" w:hAnsi="宋体"/>
          <w:color w:val="auto"/>
          <w:szCs w:val="21"/>
          <w:highlight w:val="none"/>
        </w:rPr>
      </w:pPr>
      <w:r>
        <w:rPr>
          <w:rFonts w:hint="eastAsia" w:ascii="宋体" w:hAnsi="宋体"/>
          <w:color w:val="auto"/>
          <w:szCs w:val="21"/>
          <w:highlight w:val="none"/>
        </w:rPr>
        <w:t>（4）未被列入“信用中国”网站（www.creditchina.gov.cn)“记录失信被执行人或</w:t>
      </w:r>
      <w:r>
        <w:rPr>
          <w:rFonts w:hint="eastAsia"/>
          <w:color w:val="auto"/>
          <w:highlight w:val="none"/>
        </w:rPr>
        <w:t>重大税收违法失信主体</w:t>
      </w:r>
      <w:r>
        <w:rPr>
          <w:rFonts w:hint="eastAsia" w:ascii="宋体" w:hAnsi="宋体"/>
          <w:color w:val="auto"/>
          <w:szCs w:val="21"/>
          <w:highlight w:val="none"/>
        </w:rPr>
        <w:t>或政府采购严重违法失信行为”记录名单。以代理机构于投标截止日当天在“信用中国”网站查询结果为准，如相关失信记录已失效，投标人需提供相关证明资料。</w:t>
      </w:r>
    </w:p>
    <w:p w14:paraId="3A1C348E">
      <w:pPr>
        <w:shd w:val="clear"/>
        <w:ind w:firstLine="420" w:firstLineChars="200"/>
        <w:rPr>
          <w:rFonts w:hint="eastAsia" w:ascii="宋体" w:hAnsi="宋体"/>
          <w:color w:val="auto"/>
          <w:szCs w:val="21"/>
          <w:highlight w:val="none"/>
        </w:rPr>
      </w:pPr>
      <w:r>
        <w:rPr>
          <w:rFonts w:hint="eastAsia" w:ascii="宋体" w:hAnsi="宋体"/>
          <w:color w:val="auto"/>
          <w:szCs w:val="21"/>
          <w:highlight w:val="none"/>
        </w:rPr>
        <w:t>（5）投标人自</w:t>
      </w:r>
      <w:r>
        <w:rPr>
          <w:rFonts w:hint="eastAsia" w:ascii="宋体" w:hAnsi="宋体"/>
          <w:color w:val="auto"/>
          <w:szCs w:val="21"/>
          <w:highlight w:val="none"/>
          <w:lang w:val="en-US" w:eastAsia="zh-CN"/>
        </w:rPr>
        <w:t>采购</w:t>
      </w:r>
      <w:r>
        <w:rPr>
          <w:rFonts w:hint="eastAsia" w:ascii="宋体" w:hAnsi="宋体"/>
          <w:color w:val="auto"/>
          <w:szCs w:val="21"/>
          <w:highlight w:val="none"/>
        </w:rPr>
        <w:t>公告发布之日起前两年内，在经营活动中没有因串通投标、弄虚作假、行贿、转包、违法分包、挂靠、死亡事故违法违规行为受到行政、刑事处罚的。以代理机构于投标截止日当天在“信用中国”网站查询结果为准。</w:t>
      </w:r>
    </w:p>
    <w:p w14:paraId="3EF04FC4">
      <w:pPr>
        <w:ind w:firstLine="420" w:firstLineChars="200"/>
        <w:rPr>
          <w:rFonts w:hint="eastAsia" w:ascii="宋体" w:hAnsi="宋体"/>
          <w:color w:val="auto"/>
          <w:szCs w:val="21"/>
          <w:highlight w:val="none"/>
        </w:rPr>
      </w:pPr>
      <w:r>
        <w:rPr>
          <w:rFonts w:hint="eastAsia" w:ascii="宋体" w:hAnsi="宋体"/>
          <w:color w:val="auto"/>
          <w:szCs w:val="21"/>
          <w:highlight w:val="none"/>
        </w:rPr>
        <w:t>2、其他要求</w:t>
      </w:r>
    </w:p>
    <w:p w14:paraId="64E450F2">
      <w:pPr>
        <w:spacing w:after="0"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①投标人须具机电工程施工总承包乙级（含）以上资质或电力工程施工总承包乙级（含）以上资质</w:t>
      </w:r>
    </w:p>
    <w:p w14:paraId="3E133F6F">
      <w:pPr>
        <w:spacing w:after="0"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【或更换资质证书前有效期内的机电工程总承包二级（含）以上资质或电力工程施工总承包二级（含）以上资质】</w:t>
      </w:r>
    </w:p>
    <w:p w14:paraId="1E5CF72B">
      <w:pPr>
        <w:spacing w:after="0"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②投标人须具有《承装（修、试）电力设施许可证》承装类、承修类及承试类三级（10千伏以下）或以上资质。</w:t>
      </w:r>
    </w:p>
    <w:p w14:paraId="39ACCD41">
      <w:pPr>
        <w:spacing w:after="0"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【或更换资质证书前有效期内：《承装（修、试）电力设施许可证》承装类、承修类及承试类五级或以上资质】</w:t>
      </w:r>
    </w:p>
    <w:p w14:paraId="08EBAFA8">
      <w:pPr>
        <w:spacing w:after="0"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③投标人须具有由建设行政主管部门颁发且在有效期内的《安全生产许可证》证书。</w:t>
      </w:r>
    </w:p>
    <w:p w14:paraId="0A6FF4E4">
      <w:pPr>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注：①、②其中有一项即可。提供相关证书复印件。资质证书过期的，如有相关顺延资质有效期文件且符合文件规定的，则视为仍然有效。</w:t>
      </w:r>
    </w:p>
    <w:p w14:paraId="2537680B">
      <w:pPr>
        <w:bidi w:val="0"/>
        <w:rPr>
          <w:rFonts w:hint="eastAsia"/>
          <w:color w:val="auto"/>
          <w:highlight w:val="none"/>
        </w:rPr>
      </w:pPr>
    </w:p>
    <w:p w14:paraId="08F878AC">
      <w:pPr>
        <w:rPr>
          <w:rFonts w:hint="eastAsia" w:ascii="宋体" w:hAnsi="宋体"/>
          <w:b/>
          <w:color w:val="auto"/>
          <w:szCs w:val="21"/>
          <w:highlight w:val="none"/>
        </w:rPr>
      </w:pPr>
      <w:r>
        <w:rPr>
          <w:rFonts w:hint="eastAsia" w:ascii="宋体" w:hAnsi="宋体"/>
          <w:b/>
          <w:color w:val="auto"/>
          <w:szCs w:val="21"/>
          <w:highlight w:val="none"/>
        </w:rPr>
        <w:t>三、获取采购文件方式及要求</w:t>
      </w:r>
    </w:p>
    <w:p w14:paraId="1A370CAD">
      <w:pPr>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lang w:val="en-US" w:eastAsia="zh-CN"/>
        </w:rPr>
        <w:t>文件</w:t>
      </w:r>
      <w:r>
        <w:rPr>
          <w:rFonts w:hint="eastAsia" w:ascii="宋体" w:hAnsi="宋体" w:eastAsia="宋体" w:cs="宋体"/>
          <w:color w:val="auto"/>
          <w:szCs w:val="21"/>
          <w:highlight w:val="none"/>
        </w:rPr>
        <w:t>领购时间：202</w:t>
      </w:r>
      <w:r>
        <w:rPr>
          <w:rFonts w:hint="eastAsia" w:ascii="宋体" w:hAnsi="宋体" w:cs="宋体"/>
          <w:color w:val="auto"/>
          <w:szCs w:val="21"/>
          <w:highlight w:val="none"/>
          <w:lang w:val="en-US" w:eastAsia="zh-CN"/>
        </w:rPr>
        <w:t>6</w:t>
      </w:r>
      <w:r>
        <w:rPr>
          <w:rFonts w:hint="eastAsia" w:ascii="宋体" w:hAnsi="宋体" w:eastAsia="宋体" w:cs="宋体"/>
          <w:color w:val="auto"/>
          <w:szCs w:val="21"/>
          <w:highlight w:val="none"/>
        </w:rPr>
        <w:t>年</w:t>
      </w:r>
      <w:r>
        <w:rPr>
          <w:rFonts w:hint="eastAsia" w:ascii="宋体" w:hAnsi="宋体" w:cs="宋体"/>
          <w:color w:val="auto"/>
          <w:szCs w:val="21"/>
          <w:highlight w:val="none"/>
          <w:lang w:val="en-US" w:eastAsia="zh-CN"/>
        </w:rPr>
        <w:t xml:space="preserve"> 01 </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 xml:space="preserve"> 05 </w:t>
      </w:r>
      <w:r>
        <w:rPr>
          <w:rFonts w:hint="eastAsia" w:ascii="宋体" w:hAnsi="宋体" w:eastAsia="宋体" w:cs="宋体"/>
          <w:color w:val="auto"/>
          <w:szCs w:val="21"/>
          <w:highlight w:val="none"/>
        </w:rPr>
        <w:t>日起至202</w:t>
      </w:r>
      <w:r>
        <w:rPr>
          <w:rFonts w:hint="eastAsia" w:ascii="宋体" w:hAnsi="宋体" w:cs="宋体"/>
          <w:color w:val="auto"/>
          <w:szCs w:val="21"/>
          <w:highlight w:val="none"/>
          <w:lang w:val="en-US" w:eastAsia="zh-CN"/>
        </w:rPr>
        <w:t>6</w:t>
      </w:r>
      <w:r>
        <w:rPr>
          <w:rFonts w:hint="eastAsia" w:ascii="宋体" w:hAnsi="宋体" w:eastAsia="宋体" w:cs="宋体"/>
          <w:color w:val="auto"/>
          <w:szCs w:val="21"/>
          <w:highlight w:val="none"/>
        </w:rPr>
        <w:t>年</w:t>
      </w:r>
      <w:r>
        <w:rPr>
          <w:rFonts w:hint="eastAsia" w:ascii="宋体" w:hAnsi="宋体" w:cs="宋体"/>
          <w:color w:val="auto"/>
          <w:szCs w:val="21"/>
          <w:highlight w:val="none"/>
          <w:lang w:val="en-US" w:eastAsia="zh-CN"/>
        </w:rPr>
        <w:t xml:space="preserve"> 01 </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 xml:space="preserve"> 19</w:t>
      </w:r>
      <w:r>
        <w:rPr>
          <w:rFonts w:hint="eastAsia" w:ascii="宋体" w:hAnsi="宋体" w:eastAsia="宋体" w:cs="宋体"/>
          <w:color w:val="auto"/>
          <w:szCs w:val="21"/>
          <w:highlight w:val="none"/>
          <w:lang w:val="en-US" w:eastAsia="zh-CN"/>
        </w:rPr>
        <w:t xml:space="preserve"> </w:t>
      </w:r>
      <w:r>
        <w:rPr>
          <w:rFonts w:hint="eastAsia" w:ascii="宋体" w:hAnsi="宋体" w:eastAsia="宋体" w:cs="宋体"/>
          <w:color w:val="auto"/>
          <w:szCs w:val="21"/>
          <w:highlight w:val="none"/>
        </w:rPr>
        <w:t>日（节假日除外），上午9：00～12：00，下午14：30～17：30（北京时间）。</w:t>
      </w:r>
    </w:p>
    <w:p w14:paraId="741BAB8A">
      <w:pPr>
        <w:pageBreakBefore w:val="0"/>
        <w:widowControl/>
        <w:kinsoku/>
        <w:wordWrap w:val="0"/>
        <w:overflowPunct/>
        <w:topLinePunct w:val="0"/>
        <w:autoSpaceDE/>
        <w:autoSpaceDN/>
        <w:bidi w:val="0"/>
        <w:spacing w:line="36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2、获取方式：现场购买。</w:t>
      </w:r>
    </w:p>
    <w:p w14:paraId="5C8208EE">
      <w:pPr>
        <w:pageBreakBefore w:val="0"/>
        <w:widowControl/>
        <w:kinsoku/>
        <w:wordWrap w:val="0"/>
        <w:overflowPunct/>
        <w:topLinePunct w:val="0"/>
        <w:autoSpaceDE/>
        <w:autoSpaceDN/>
        <w:bidi w:val="0"/>
        <w:spacing w:line="36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3、获取文件地址：</w:t>
      </w:r>
      <w:r>
        <w:rPr>
          <w:rFonts w:hint="eastAsia" w:ascii="宋体" w:hAnsi="宋体" w:cs="宋体"/>
          <w:color w:val="auto"/>
          <w:szCs w:val="21"/>
          <w:highlight w:val="none"/>
          <w:lang w:val="en-US" w:eastAsia="zh-CN"/>
        </w:rPr>
        <w:t>东莞市南城区塘贝北路福特大厦A区811</w:t>
      </w:r>
      <w:r>
        <w:rPr>
          <w:rFonts w:hint="eastAsia" w:ascii="宋体" w:hAnsi="宋体" w:eastAsia="宋体" w:cs="宋体"/>
          <w:color w:val="auto"/>
          <w:szCs w:val="21"/>
          <w:highlight w:val="none"/>
          <w:lang w:val="en-US" w:eastAsia="zh-CN"/>
        </w:rPr>
        <w:t>。</w:t>
      </w:r>
    </w:p>
    <w:p w14:paraId="4E08F83F">
      <w:pPr>
        <w:pageBreakBefore w:val="0"/>
        <w:widowControl/>
        <w:kinsoku/>
        <w:wordWrap w:val="0"/>
        <w:overflowPunct/>
        <w:topLinePunct w:val="0"/>
        <w:autoSpaceDE/>
        <w:autoSpaceDN/>
        <w:bidi w:val="0"/>
        <w:spacing w:line="36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4</w:t>
      </w:r>
      <w:r>
        <w:rPr>
          <w:rFonts w:hint="eastAsia" w:ascii="宋体" w:hAnsi="宋体" w:eastAsia="宋体" w:cs="宋体"/>
          <w:color w:val="auto"/>
          <w:szCs w:val="21"/>
          <w:highlight w:val="none"/>
          <w:lang w:val="en-US" w:eastAsia="zh-CN"/>
        </w:rPr>
        <w:t>、须提前准备如下材料：《营业执照》复印件（加盖公章）或《事业单位法人证书》复印件（加盖公章）或其他主体证明复印件（加盖公章），自然人参加投标须提供自然人的身份证明材料；分支机构投标的，须提供总公司和分公司营业执照副本复印件，以及总公司出具给分支机构的授权书；</w:t>
      </w:r>
    </w:p>
    <w:p w14:paraId="75BA548A">
      <w:pPr>
        <w:pageBreakBefore w:val="0"/>
        <w:widowControl/>
        <w:kinsoku/>
        <w:wordWrap w:val="0"/>
        <w:overflowPunct/>
        <w:topLinePunct w:val="0"/>
        <w:autoSpaceDE/>
        <w:autoSpaceDN/>
        <w:bidi w:val="0"/>
        <w:spacing w:line="360" w:lineRule="auto"/>
        <w:ind w:firstLine="420" w:firstLineChars="200"/>
        <w:textAlignment w:val="auto"/>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、须在领购时间内进行报名，逾期报名无效，任何投标人因逾期报名或误缴费用而导致报名无效的，自行承担相应责任；</w:t>
      </w:r>
    </w:p>
    <w:p w14:paraId="40662E01">
      <w:pPr>
        <w:wordWrap w:val="0"/>
        <w:ind w:firstLine="420" w:firstLineChars="200"/>
        <w:rPr>
          <w:rFonts w:hint="eastAsia" w:ascii="宋体" w:hAnsi="宋体" w:cs="宋体"/>
          <w:color w:val="auto"/>
          <w:szCs w:val="21"/>
          <w:highlight w:val="none"/>
          <w:lang w:eastAsia="zh-CN"/>
        </w:rPr>
      </w:pPr>
      <w:r>
        <w:rPr>
          <w:rFonts w:hint="eastAsia" w:ascii="宋体" w:hAnsi="宋体" w:cs="宋体"/>
          <w:color w:val="auto"/>
          <w:szCs w:val="21"/>
          <w:highlight w:val="none"/>
          <w:lang w:val="en-US" w:eastAsia="zh-CN"/>
        </w:rPr>
        <w:t>6</w:t>
      </w:r>
      <w:r>
        <w:rPr>
          <w:rFonts w:hint="eastAsia" w:ascii="宋体" w:hAnsi="宋体" w:eastAsia="宋体" w:cs="宋体"/>
          <w:color w:val="auto"/>
          <w:szCs w:val="21"/>
          <w:highlight w:val="none"/>
          <w:lang w:val="en-US" w:eastAsia="zh-CN"/>
        </w:rPr>
        <w:t>、领购价格：每套售价300元（人民币），售后不退；</w:t>
      </w:r>
      <w:r>
        <w:rPr>
          <w:rFonts w:hint="eastAsia" w:ascii="宋体" w:hAnsi="宋体" w:cs="宋体"/>
          <w:color w:val="auto"/>
          <w:szCs w:val="21"/>
          <w:highlight w:val="none"/>
          <w:lang w:val="en-US" w:eastAsia="zh-CN"/>
        </w:rPr>
        <w:t>领购咨询人：张先生；领购咨询电话：0769-21688191</w:t>
      </w:r>
      <w:r>
        <w:rPr>
          <w:rFonts w:hint="eastAsia" w:ascii="宋体" w:hAnsi="宋体" w:cs="宋体"/>
          <w:color w:val="auto"/>
          <w:szCs w:val="21"/>
          <w:highlight w:val="none"/>
          <w:lang w:eastAsia="zh-CN"/>
        </w:rPr>
        <w:t>。</w:t>
      </w:r>
    </w:p>
    <w:p w14:paraId="6BDFE70E">
      <w:pPr>
        <w:rPr>
          <w:color w:val="auto"/>
          <w:highlight w:val="none"/>
        </w:rPr>
      </w:pPr>
    </w:p>
    <w:p w14:paraId="418E9F64">
      <w:pPr>
        <w:rPr>
          <w:rFonts w:hint="eastAsia" w:ascii="宋体" w:hAnsi="宋体"/>
          <w:b/>
          <w:color w:val="auto"/>
          <w:szCs w:val="21"/>
          <w:highlight w:val="none"/>
        </w:rPr>
      </w:pPr>
      <w:r>
        <w:rPr>
          <w:rFonts w:hint="eastAsia" w:ascii="宋体" w:hAnsi="宋体"/>
          <w:b/>
          <w:color w:val="auto"/>
          <w:szCs w:val="21"/>
          <w:highlight w:val="none"/>
        </w:rPr>
        <w:t>四、投标文件的递交</w:t>
      </w:r>
    </w:p>
    <w:p w14:paraId="36B4DC1E">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1、递交投标文件时间：</w:t>
      </w:r>
      <w:r>
        <w:rPr>
          <w:rFonts w:hint="eastAsia" w:ascii="宋体" w:hAnsi="宋体" w:eastAsia="宋体" w:cs="宋体"/>
          <w:color w:val="auto"/>
          <w:sz w:val="21"/>
          <w:szCs w:val="21"/>
          <w:highlight w:val="none"/>
          <w:lang w:eastAsia="zh-CN"/>
        </w:rPr>
        <w:t>202</w:t>
      </w: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lang w:eastAsia="zh-CN"/>
        </w:rPr>
        <w:t>年</w:t>
      </w:r>
      <w:r>
        <w:rPr>
          <w:rFonts w:hint="eastAsia" w:ascii="宋体" w:hAnsi="宋体" w:cs="宋体"/>
          <w:color w:val="auto"/>
          <w:sz w:val="21"/>
          <w:szCs w:val="21"/>
          <w:highlight w:val="none"/>
          <w:u w:val="single"/>
          <w:lang w:val="en-US" w:eastAsia="zh-CN"/>
        </w:rPr>
        <w:t xml:space="preserve"> 01 </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u w:val="single"/>
          <w:lang w:val="en-US" w:eastAsia="zh-CN"/>
        </w:rPr>
        <w:t xml:space="preserve"> 26 </w:t>
      </w:r>
      <w:r>
        <w:rPr>
          <w:rFonts w:hint="eastAsia" w:ascii="宋体" w:hAnsi="宋体" w:eastAsia="宋体" w:cs="宋体"/>
          <w:color w:val="auto"/>
          <w:sz w:val="21"/>
          <w:szCs w:val="21"/>
          <w:highlight w:val="none"/>
        </w:rPr>
        <w:t>日（北京时间）</w:t>
      </w:r>
      <w:r>
        <w:rPr>
          <w:rFonts w:hint="eastAsia" w:ascii="宋体" w:hAnsi="宋体" w:cs="宋体"/>
          <w:color w:val="auto"/>
          <w:sz w:val="21"/>
          <w:szCs w:val="21"/>
          <w:highlight w:val="none"/>
          <w:u w:val="single"/>
          <w:lang w:val="en-US" w:eastAsia="zh-CN"/>
        </w:rPr>
        <w:t>14</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lang w:val="en-US" w:eastAsia="zh-CN"/>
        </w:rPr>
        <w:t>00</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u w:val="single"/>
          <w:lang w:val="en-US" w:eastAsia="zh-CN"/>
        </w:rPr>
        <w:t>14</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lang w:val="en-US" w:eastAsia="zh-CN"/>
        </w:rPr>
        <w:t>30</w:t>
      </w:r>
      <w:r>
        <w:rPr>
          <w:rFonts w:hint="eastAsia" w:ascii="宋体" w:hAnsi="宋体" w:eastAsia="宋体" w:cs="宋体"/>
          <w:color w:val="auto"/>
          <w:sz w:val="21"/>
          <w:szCs w:val="21"/>
          <w:highlight w:val="none"/>
        </w:rPr>
        <w:t>。</w:t>
      </w:r>
    </w:p>
    <w:p w14:paraId="7F6464C8">
      <w:pPr>
        <w:ind w:firstLine="420" w:firstLineChars="200"/>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2、递交投标文件截止及开标时间：</w:t>
      </w:r>
      <w:r>
        <w:rPr>
          <w:rFonts w:hint="eastAsia" w:ascii="宋体" w:hAnsi="宋体" w:eastAsia="宋体" w:cs="宋体"/>
          <w:color w:val="auto"/>
          <w:sz w:val="21"/>
          <w:szCs w:val="21"/>
          <w:highlight w:val="none"/>
          <w:lang w:eastAsia="zh-CN"/>
        </w:rPr>
        <w:t>202</w:t>
      </w: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lang w:eastAsia="zh-CN"/>
        </w:rPr>
        <w:t>年</w:t>
      </w:r>
      <w:r>
        <w:rPr>
          <w:rFonts w:hint="eastAsia" w:ascii="宋体" w:hAnsi="宋体" w:cs="宋体"/>
          <w:color w:val="auto"/>
          <w:sz w:val="21"/>
          <w:szCs w:val="21"/>
          <w:highlight w:val="none"/>
          <w:u w:val="single"/>
          <w:lang w:val="en-US" w:eastAsia="zh-CN"/>
        </w:rPr>
        <w:t xml:space="preserve"> 01 </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u w:val="single"/>
          <w:lang w:val="en-US" w:eastAsia="zh-CN"/>
        </w:rPr>
        <w:t xml:space="preserve"> 26 </w:t>
      </w:r>
      <w:r>
        <w:rPr>
          <w:rFonts w:hint="eastAsia" w:ascii="宋体" w:hAnsi="宋体" w:eastAsia="宋体" w:cs="宋体"/>
          <w:color w:val="auto"/>
          <w:sz w:val="21"/>
          <w:szCs w:val="21"/>
          <w:highlight w:val="none"/>
        </w:rPr>
        <w:t>日</w:t>
      </w:r>
      <w:r>
        <w:rPr>
          <w:rFonts w:hint="eastAsia" w:ascii="宋体" w:hAnsi="宋体" w:cs="宋体"/>
          <w:color w:val="auto"/>
          <w:sz w:val="21"/>
          <w:szCs w:val="21"/>
          <w:highlight w:val="none"/>
          <w:u w:val="single"/>
          <w:lang w:val="en-US" w:eastAsia="zh-CN"/>
        </w:rPr>
        <w:t>14</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lang w:val="en-US" w:eastAsia="zh-CN"/>
        </w:rPr>
        <w:t>30</w:t>
      </w:r>
      <w:r>
        <w:rPr>
          <w:rFonts w:hint="eastAsia" w:ascii="宋体" w:hAnsi="宋体" w:eastAsia="宋体" w:cs="宋体"/>
          <w:color w:val="auto"/>
          <w:sz w:val="21"/>
          <w:szCs w:val="21"/>
          <w:highlight w:val="none"/>
        </w:rPr>
        <w:t>（北京时间），所有投标文件应于截止时间之前递交，迟交或以电报、传真形式的投标文件将拒绝接收。</w:t>
      </w:r>
    </w:p>
    <w:p w14:paraId="1A32EB95">
      <w:pPr>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3、开标地点：</w:t>
      </w:r>
      <w:r>
        <w:rPr>
          <w:rFonts w:hint="eastAsia" w:ascii="宋体" w:hAnsi="宋体" w:cs="宋体"/>
          <w:color w:val="auto"/>
          <w:sz w:val="21"/>
          <w:szCs w:val="21"/>
          <w:highlight w:val="none"/>
          <w:lang w:eastAsia="zh-CN"/>
        </w:rPr>
        <w:t>东莞市南城区塘贝北路福特大厦A区811</w:t>
      </w:r>
      <w:r>
        <w:rPr>
          <w:rFonts w:hint="eastAsia" w:ascii="宋体" w:hAnsi="宋体" w:eastAsia="宋体" w:cs="宋体"/>
          <w:color w:val="auto"/>
          <w:sz w:val="21"/>
          <w:szCs w:val="21"/>
          <w:highlight w:val="none"/>
          <w:lang w:eastAsia="zh-CN"/>
        </w:rPr>
        <w:t>。</w:t>
      </w:r>
    </w:p>
    <w:p w14:paraId="51500F8B">
      <w:pPr>
        <w:ind w:firstLine="411" w:firstLineChars="196"/>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4、开标事宜：</w:t>
      </w:r>
      <w:r>
        <w:rPr>
          <w:rFonts w:hint="eastAsia" w:ascii="宋体" w:hAnsi="宋体" w:eastAsia="宋体" w:cs="宋体"/>
          <w:b/>
          <w:bCs w:val="0"/>
          <w:color w:val="auto"/>
          <w:sz w:val="21"/>
          <w:szCs w:val="21"/>
          <w:highlight w:val="none"/>
          <w:lang w:val="en-US" w:eastAsia="zh-CN"/>
        </w:rPr>
        <w:t>在递交投标文件时，投标人委托授权代表须为本单位正式员工并携带本人身份证原件、社保部门出具的近六个月内任意一个月社会保险证明（或劳动合同证明）备查。无法开具社会保险证明的省市，若相关记录能够在官网上查询，允许以查询记录加盖投标人公章的形式证明。未能提供相关证明可能被认定投标无效。</w:t>
      </w:r>
    </w:p>
    <w:p w14:paraId="547FA273">
      <w:pPr>
        <w:pStyle w:val="4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5、出现以下情形时，采购代理机构不予接收投标（响应）文件：</w:t>
      </w:r>
    </w:p>
    <w:p w14:paraId="0A23E38D">
      <w:pPr>
        <w:pStyle w:val="4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（1）逾期送达或者未送达指定地点的；</w:t>
      </w:r>
    </w:p>
    <w:p w14:paraId="662B8455">
      <w:pPr>
        <w:pStyle w:val="4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（2）未按采购文件要求密封的。</w:t>
      </w:r>
    </w:p>
    <w:p w14:paraId="5B74E681">
      <w:pPr>
        <w:pStyle w:val="42"/>
        <w:spacing w:line="360" w:lineRule="auto"/>
        <w:rPr>
          <w:rFonts w:hint="eastAsia" w:ascii="宋体" w:hAnsi="宋体" w:eastAsia="宋体" w:cs="宋体"/>
          <w:color w:val="auto"/>
          <w:sz w:val="21"/>
          <w:szCs w:val="21"/>
          <w:highlight w:val="none"/>
        </w:rPr>
      </w:pPr>
    </w:p>
    <w:p w14:paraId="015266BE">
      <w:pPr>
        <w:rPr>
          <w:rFonts w:hint="eastAsia" w:ascii="宋体" w:hAnsi="宋体"/>
          <w:b/>
          <w:color w:val="auto"/>
          <w:szCs w:val="21"/>
          <w:highlight w:val="none"/>
        </w:rPr>
      </w:pPr>
      <w:r>
        <w:rPr>
          <w:rFonts w:hint="eastAsia" w:ascii="宋体" w:hAnsi="宋体"/>
          <w:b/>
          <w:color w:val="auto"/>
          <w:szCs w:val="21"/>
          <w:highlight w:val="none"/>
        </w:rPr>
        <w:t>五、发布公告的媒介</w:t>
      </w:r>
    </w:p>
    <w:p w14:paraId="2AC681B8">
      <w:pPr>
        <w:pStyle w:val="4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1、采购公告发布媒介：</w:t>
      </w:r>
    </w:p>
    <w:p w14:paraId="6345FA41">
      <w:pPr>
        <w:pStyle w:val="42"/>
        <w:spacing w:line="360" w:lineRule="auto"/>
        <w:ind w:left="420" w:leftChars="200" w:firstLine="0" w:firstLineChars="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东莞实业投资控股集团有限公司-招标采购栏目（http://www.dgsy.com.cn/）</w:t>
      </w:r>
    </w:p>
    <w:p w14:paraId="02AC5BB6">
      <w:pPr>
        <w:pStyle w:val="42"/>
        <w:spacing w:line="360" w:lineRule="auto"/>
        <w:ind w:left="420" w:leftChars="20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）广西同泽工程项目管理股份有限公司（http://www.gxtzfz.cn/)</w:t>
      </w:r>
    </w:p>
    <w:p w14:paraId="6B1EB7AB">
      <w:pPr>
        <w:pStyle w:val="42"/>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w:t>
      </w:r>
      <w:r>
        <w:rPr>
          <w:rFonts w:hint="eastAsia" w:ascii="宋体" w:hAnsi="宋体" w:eastAsia="宋体" w:cs="宋体"/>
          <w:bCs/>
          <w:color w:val="auto"/>
          <w:sz w:val="21"/>
          <w:szCs w:val="21"/>
          <w:highlight w:val="none"/>
        </w:rPr>
        <w:t>结果公告</w:t>
      </w:r>
      <w:r>
        <w:rPr>
          <w:rFonts w:hint="eastAsia" w:ascii="宋体" w:hAnsi="宋体" w:eastAsia="宋体" w:cs="宋体"/>
          <w:color w:val="auto"/>
          <w:sz w:val="21"/>
          <w:szCs w:val="21"/>
          <w:highlight w:val="none"/>
        </w:rPr>
        <w:t>发布媒介：</w:t>
      </w:r>
    </w:p>
    <w:p w14:paraId="17C24CFB">
      <w:pPr>
        <w:pStyle w:val="42"/>
        <w:spacing w:line="360" w:lineRule="auto"/>
        <w:ind w:left="420" w:leftChars="200" w:firstLine="0" w:firstLineChars="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东莞实业投资控股集团有限公司-招标采购栏目（http://www.dgsy.com.cn/）</w:t>
      </w:r>
    </w:p>
    <w:p w14:paraId="691E0D26">
      <w:pPr>
        <w:pStyle w:val="42"/>
        <w:spacing w:line="360" w:lineRule="auto"/>
        <w:ind w:left="420" w:leftChars="20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广西同泽工程项目管理股份有限公司（http://www.gxtzfz.cn/</w:t>
      </w:r>
      <w:r>
        <w:rPr>
          <w:rFonts w:hint="eastAsia" w:ascii="宋体" w:hAnsi="宋体" w:eastAsia="宋体" w:cs="宋体"/>
          <w:color w:val="auto"/>
          <w:sz w:val="21"/>
          <w:szCs w:val="21"/>
          <w:highlight w:val="none"/>
        </w:rPr>
        <w:t>)</w:t>
      </w:r>
    </w:p>
    <w:p w14:paraId="02EBF832">
      <w:pPr>
        <w:rPr>
          <w:rFonts w:hint="eastAsia" w:ascii="宋体" w:hAnsi="宋体"/>
          <w:b/>
          <w:color w:val="auto"/>
          <w:szCs w:val="21"/>
          <w:highlight w:val="none"/>
        </w:rPr>
      </w:pPr>
    </w:p>
    <w:p w14:paraId="13A80518">
      <w:pPr>
        <w:rPr>
          <w:rFonts w:hint="eastAsia" w:ascii="宋体" w:hAnsi="宋体"/>
          <w:b/>
          <w:color w:val="auto"/>
          <w:szCs w:val="21"/>
          <w:highlight w:val="none"/>
        </w:rPr>
      </w:pPr>
      <w:r>
        <w:rPr>
          <w:rFonts w:hint="eastAsia" w:ascii="宋体" w:hAnsi="宋体"/>
          <w:b/>
          <w:color w:val="auto"/>
          <w:szCs w:val="21"/>
          <w:highlight w:val="none"/>
        </w:rPr>
        <w:t>六、采购人及采购代理机构的名称、地址和联系方法</w:t>
      </w:r>
    </w:p>
    <w:p w14:paraId="6854943E">
      <w:pPr>
        <w:ind w:firstLine="420" w:firstLineChars="20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采购人名称：</w:t>
      </w:r>
      <w:r>
        <w:rPr>
          <w:rFonts w:hint="eastAsia" w:ascii="宋体" w:hAnsi="宋体" w:cs="宋体"/>
          <w:bCs/>
          <w:color w:val="auto"/>
          <w:sz w:val="21"/>
          <w:szCs w:val="21"/>
          <w:highlight w:val="none"/>
          <w:lang w:val="en-US" w:eastAsia="zh-CN"/>
        </w:rPr>
        <w:t>东莞市新有能源投资有限公司</w:t>
      </w:r>
    </w:p>
    <w:p w14:paraId="23E3B8E7">
      <w:pPr>
        <w:ind w:firstLine="420" w:firstLineChars="200"/>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rPr>
        <w:t>采购人联系人：</w:t>
      </w:r>
      <w:r>
        <w:rPr>
          <w:rFonts w:hint="eastAsia" w:ascii="宋体" w:hAnsi="宋体" w:cs="宋体"/>
          <w:bCs/>
          <w:color w:val="auto"/>
          <w:sz w:val="21"/>
          <w:szCs w:val="21"/>
          <w:highlight w:val="none"/>
          <w:lang w:eastAsia="zh-CN"/>
        </w:rPr>
        <w:t>孟先生</w:t>
      </w:r>
    </w:p>
    <w:p w14:paraId="7543A2B0">
      <w:pPr>
        <w:ind w:firstLine="420" w:firstLineChars="200"/>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rPr>
        <w:t>采购人地址：</w:t>
      </w:r>
      <w:r>
        <w:rPr>
          <w:rFonts w:hint="eastAsia" w:ascii="宋体" w:hAnsi="宋体" w:cs="宋体"/>
          <w:bCs/>
          <w:color w:val="auto"/>
          <w:sz w:val="21"/>
          <w:szCs w:val="21"/>
          <w:highlight w:val="none"/>
          <w:lang w:eastAsia="zh-CN"/>
        </w:rPr>
        <w:t>东莞市松山湖园区新城路5号1栋505室</w:t>
      </w:r>
    </w:p>
    <w:p w14:paraId="1623B252">
      <w:pPr>
        <w:ind w:firstLine="420" w:firstLineChars="200"/>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rPr>
        <w:t>采购人联系电话：</w:t>
      </w:r>
      <w:r>
        <w:rPr>
          <w:rFonts w:hint="eastAsia" w:ascii="宋体" w:hAnsi="宋体" w:cs="宋体"/>
          <w:bCs/>
          <w:color w:val="auto"/>
          <w:sz w:val="21"/>
          <w:szCs w:val="21"/>
          <w:highlight w:val="none"/>
          <w:lang w:eastAsia="zh-CN"/>
        </w:rPr>
        <w:t>0769-26626338-866</w:t>
      </w:r>
    </w:p>
    <w:p w14:paraId="0B4AFFAB">
      <w:pPr>
        <w:ind w:firstLine="420" w:firstLineChars="200"/>
        <w:rPr>
          <w:rFonts w:hint="eastAsia" w:ascii="宋体" w:hAnsi="宋体" w:eastAsia="宋体" w:cs="宋体"/>
          <w:color w:val="auto"/>
          <w:sz w:val="21"/>
          <w:szCs w:val="21"/>
          <w:highlight w:val="none"/>
        </w:rPr>
      </w:pPr>
    </w:p>
    <w:p w14:paraId="087D003A">
      <w:pPr>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采购代理机构名称：</w:t>
      </w:r>
      <w:r>
        <w:rPr>
          <w:rFonts w:hint="eastAsia" w:ascii="宋体" w:hAnsi="宋体" w:cs="宋体"/>
          <w:color w:val="auto"/>
          <w:sz w:val="21"/>
          <w:szCs w:val="21"/>
          <w:highlight w:val="none"/>
          <w:lang w:eastAsia="zh-CN"/>
        </w:rPr>
        <w:t>广西同泽工程项目管理股份有限公司</w:t>
      </w:r>
    </w:p>
    <w:p w14:paraId="71A6538B">
      <w:pPr>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采购代理机构地址：</w:t>
      </w:r>
      <w:r>
        <w:rPr>
          <w:rFonts w:hint="eastAsia" w:ascii="宋体" w:hAnsi="宋体" w:cs="宋体"/>
          <w:color w:val="auto"/>
          <w:sz w:val="21"/>
          <w:szCs w:val="21"/>
          <w:highlight w:val="none"/>
          <w:lang w:eastAsia="zh-CN"/>
        </w:rPr>
        <w:t>东莞市南城区塘贝北路福特大厦A区811</w:t>
      </w:r>
    </w:p>
    <w:p w14:paraId="31973A68">
      <w:pPr>
        <w:keepNext w:val="0"/>
        <w:keepLines w:val="0"/>
        <w:pageBreakBefore w:val="0"/>
        <w:widowControl/>
        <w:kinsoku/>
        <w:overflowPunct/>
        <w:topLinePunct w:val="0"/>
        <w:autoSpaceDE/>
        <w:autoSpaceDN/>
        <w:bidi w:val="0"/>
        <w:spacing w:line="360" w:lineRule="auto"/>
        <w:ind w:firstLine="420" w:firstLineChars="200"/>
        <w:textAlignment w:val="auto"/>
        <w:rPr>
          <w:rFonts w:hint="eastAsia" w:ascii="宋体" w:hAnsi="宋体"/>
          <w:color w:val="auto"/>
          <w:szCs w:val="21"/>
          <w:highlight w:val="none"/>
        </w:rPr>
      </w:pPr>
      <w:r>
        <w:rPr>
          <w:rFonts w:hint="eastAsia" w:ascii="宋体" w:hAnsi="宋体" w:eastAsia="宋体" w:cs="宋体"/>
          <w:color w:val="auto"/>
          <w:sz w:val="21"/>
          <w:szCs w:val="21"/>
          <w:highlight w:val="none"/>
        </w:rPr>
        <w:t>采购代理机构联系人：</w:t>
      </w:r>
      <w:r>
        <w:rPr>
          <w:rFonts w:hint="eastAsia" w:ascii="宋体" w:hAnsi="宋体"/>
          <w:color w:val="auto"/>
          <w:szCs w:val="21"/>
          <w:highlight w:val="none"/>
        </w:rPr>
        <w:t>张先生</w:t>
      </w:r>
    </w:p>
    <w:p w14:paraId="6C9F188A">
      <w:pPr>
        <w:keepNext w:val="0"/>
        <w:keepLines w:val="0"/>
        <w:pageBreakBefore w:val="0"/>
        <w:widowControl/>
        <w:kinsoku/>
        <w:overflowPunct/>
        <w:topLinePunct w:val="0"/>
        <w:autoSpaceDE/>
        <w:autoSpaceDN/>
        <w:bidi w:val="0"/>
        <w:spacing w:line="360" w:lineRule="auto"/>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采购代理机构联系电话：0769-21688191</w:t>
      </w:r>
    </w:p>
    <w:p w14:paraId="435EEB9C">
      <w:pPr>
        <w:ind w:firstLine="420" w:firstLineChars="200"/>
        <w:rPr>
          <w:rFonts w:hint="eastAsia" w:ascii="宋体" w:hAnsi="宋体" w:eastAsia="宋体" w:cs="宋体"/>
          <w:color w:val="auto"/>
          <w:sz w:val="21"/>
          <w:szCs w:val="21"/>
          <w:highlight w:val="none"/>
        </w:rPr>
      </w:pPr>
      <w:r>
        <w:rPr>
          <w:rFonts w:hint="eastAsia" w:ascii="宋体" w:hAnsi="宋体"/>
          <w:color w:val="auto"/>
          <w:szCs w:val="21"/>
          <w:highlight w:val="none"/>
        </w:rPr>
        <w:t>采购代理机构邮箱：2195953904@qq.co</w:t>
      </w:r>
      <w:r>
        <w:rPr>
          <w:rFonts w:hint="eastAsia" w:ascii="宋体" w:hAnsi="宋体" w:eastAsia="宋体" w:cs="宋体"/>
          <w:color w:val="auto"/>
          <w:sz w:val="21"/>
          <w:szCs w:val="21"/>
          <w:highlight w:val="none"/>
          <w:lang w:val="en-US" w:eastAsia="zh-CN"/>
        </w:rPr>
        <w:t>m</w:t>
      </w:r>
    </w:p>
    <w:p w14:paraId="3D23ABF7">
      <w:pPr>
        <w:pStyle w:val="2"/>
        <w:spacing w:line="360" w:lineRule="auto"/>
        <w:rPr>
          <w:rFonts w:hint="eastAsia"/>
          <w:color w:val="auto"/>
          <w:highlight w:val="none"/>
          <w:lang w:val="en-US" w:eastAsia="zh-CN"/>
        </w:rPr>
      </w:pPr>
    </w:p>
    <w:p w14:paraId="79B23C35">
      <w:pPr>
        <w:keepNext w:val="0"/>
        <w:keepLines w:val="0"/>
        <w:pageBreakBefore w:val="0"/>
        <w:widowControl/>
        <w:kinsoku/>
        <w:overflowPunct/>
        <w:topLinePunct w:val="0"/>
        <w:autoSpaceDE/>
        <w:autoSpaceDN/>
        <w:bidi w:val="0"/>
        <w:adjustRightInd/>
        <w:snapToGrid/>
        <w:spacing w:line="360" w:lineRule="auto"/>
        <w:ind w:right="544" w:rightChars="259"/>
        <w:jc w:val="right"/>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rPr>
        <w:t>采购代理机构名称：</w:t>
      </w:r>
      <w:r>
        <w:rPr>
          <w:rFonts w:hint="eastAsia" w:ascii="宋体" w:hAnsi="宋体" w:cs="宋体"/>
          <w:bCs/>
          <w:color w:val="auto"/>
          <w:sz w:val="21"/>
          <w:szCs w:val="21"/>
          <w:highlight w:val="none"/>
          <w:lang w:eastAsia="zh-CN"/>
        </w:rPr>
        <w:t>广西同泽工程项目管理股份有限公司</w:t>
      </w:r>
    </w:p>
    <w:p w14:paraId="4C12D080">
      <w:pPr>
        <w:keepNext w:val="0"/>
        <w:keepLines w:val="0"/>
        <w:pageBreakBefore w:val="0"/>
        <w:widowControl/>
        <w:kinsoku/>
        <w:overflowPunct/>
        <w:topLinePunct w:val="0"/>
        <w:autoSpaceDE/>
        <w:autoSpaceDN/>
        <w:bidi w:val="0"/>
        <w:adjustRightInd/>
        <w:snapToGrid/>
        <w:spacing w:line="360" w:lineRule="auto"/>
        <w:ind w:right="544" w:rightChars="259"/>
        <w:jc w:val="right"/>
        <w:textAlignment w:val="auto"/>
        <w:rPr>
          <w:rFonts w:hint="eastAsia" w:ascii="黑体" w:hAnsi="宋体" w:eastAsia="黑体"/>
          <w:color w:val="auto"/>
          <w:highlight w:val="none"/>
        </w:rPr>
      </w:pPr>
      <w:r>
        <w:rPr>
          <w:rFonts w:hint="eastAsia" w:ascii="宋体" w:hAnsi="宋体" w:eastAsia="宋体" w:cs="宋体"/>
          <w:bCs/>
          <w:color w:val="auto"/>
          <w:sz w:val="21"/>
          <w:szCs w:val="21"/>
          <w:highlight w:val="none"/>
          <w:lang w:val="en-US" w:eastAsia="zh-CN"/>
        </w:rPr>
        <w:t xml:space="preserve">2026 年 </w:t>
      </w:r>
      <w:r>
        <w:rPr>
          <w:rFonts w:hint="eastAsia" w:ascii="宋体" w:hAnsi="宋体" w:cs="宋体"/>
          <w:bCs/>
          <w:color w:val="auto"/>
          <w:sz w:val="21"/>
          <w:szCs w:val="21"/>
          <w:highlight w:val="none"/>
          <w:lang w:val="en-US" w:eastAsia="zh-CN"/>
        </w:rPr>
        <w:t>01</w:t>
      </w:r>
      <w:r>
        <w:rPr>
          <w:rFonts w:hint="eastAsia" w:ascii="宋体" w:hAnsi="宋体" w:eastAsia="宋体" w:cs="宋体"/>
          <w:bCs/>
          <w:color w:val="auto"/>
          <w:sz w:val="21"/>
          <w:szCs w:val="21"/>
          <w:highlight w:val="none"/>
          <w:lang w:val="en-US" w:eastAsia="zh-CN"/>
        </w:rPr>
        <w:t xml:space="preserve"> </w:t>
      </w:r>
      <w:r>
        <w:rPr>
          <w:rFonts w:hint="eastAsia" w:ascii="宋体" w:hAnsi="宋体" w:eastAsia="宋体" w:cs="宋体"/>
          <w:bCs/>
          <w:color w:val="auto"/>
          <w:sz w:val="21"/>
          <w:szCs w:val="21"/>
          <w:highlight w:val="none"/>
        </w:rPr>
        <w:t>月</w:t>
      </w:r>
      <w:r>
        <w:rPr>
          <w:rFonts w:hint="eastAsia" w:ascii="宋体" w:hAnsi="宋体" w:eastAsia="宋体" w:cs="宋体"/>
          <w:bCs/>
          <w:color w:val="auto"/>
          <w:sz w:val="21"/>
          <w:szCs w:val="21"/>
          <w:highlight w:val="none"/>
          <w:lang w:val="en-US" w:eastAsia="zh-CN"/>
        </w:rPr>
        <w:t xml:space="preserve"> </w:t>
      </w:r>
      <w:r>
        <w:rPr>
          <w:rFonts w:hint="eastAsia" w:ascii="宋体" w:hAnsi="宋体" w:cs="宋体"/>
          <w:bCs/>
          <w:color w:val="auto"/>
          <w:sz w:val="21"/>
          <w:szCs w:val="21"/>
          <w:highlight w:val="none"/>
          <w:lang w:val="en-US" w:eastAsia="zh-CN"/>
        </w:rPr>
        <w:t xml:space="preserve">05 </w:t>
      </w:r>
      <w:r>
        <w:rPr>
          <w:rFonts w:hint="eastAsia" w:ascii="宋体" w:hAnsi="宋体" w:eastAsia="宋体" w:cs="宋体"/>
          <w:bCs/>
          <w:color w:val="auto"/>
          <w:sz w:val="21"/>
          <w:szCs w:val="21"/>
          <w:highlight w:val="none"/>
          <w:lang w:val="en-US" w:eastAsia="zh-CN"/>
        </w:rPr>
        <w:t>日</w:t>
      </w:r>
      <w:r>
        <w:rPr>
          <w:rFonts w:hint="eastAsia" w:ascii="宋体" w:hAnsi="宋体" w:cs="宋体"/>
          <w:color w:val="auto"/>
          <w:szCs w:val="21"/>
          <w:highlight w:val="none"/>
        </w:rPr>
        <w:br w:type="page"/>
      </w:r>
    </w:p>
    <w:p w14:paraId="2B8D4D40">
      <w:pPr>
        <w:pStyle w:val="6"/>
        <w:spacing w:before="0" w:after="0" w:line="240" w:lineRule="auto"/>
        <w:rPr>
          <w:color w:val="auto"/>
          <w:sz w:val="28"/>
          <w:szCs w:val="28"/>
          <w:highlight w:val="none"/>
        </w:rPr>
      </w:pPr>
      <w:bookmarkStart w:id="2" w:name="_Toc182307967"/>
      <w:r>
        <w:rPr>
          <w:rFonts w:hint="eastAsia"/>
          <w:color w:val="auto"/>
          <w:sz w:val="28"/>
          <w:szCs w:val="28"/>
          <w:highlight w:val="none"/>
        </w:rPr>
        <w:t>第二部分相关资料表格</w:t>
      </w:r>
      <w:bookmarkEnd w:id="2"/>
    </w:p>
    <w:p w14:paraId="342F6EE7">
      <w:pPr>
        <w:pStyle w:val="7"/>
        <w:spacing w:before="0" w:after="0" w:line="240" w:lineRule="auto"/>
        <w:jc w:val="center"/>
        <w:rPr>
          <w:rFonts w:hint="eastAsia" w:ascii="宋体" w:hAnsi="宋体" w:cs="宋体"/>
          <w:color w:val="auto"/>
          <w:sz w:val="24"/>
          <w:szCs w:val="24"/>
          <w:highlight w:val="none"/>
        </w:rPr>
      </w:pPr>
      <w:bookmarkStart w:id="3" w:name="_Toc182307968"/>
      <w:r>
        <w:rPr>
          <w:rFonts w:hint="eastAsia" w:ascii="宋体" w:hAnsi="宋体" w:cs="宋体"/>
          <w:color w:val="auto"/>
          <w:sz w:val="24"/>
          <w:szCs w:val="24"/>
          <w:highlight w:val="none"/>
        </w:rPr>
        <w:t>附表一：投标资料表</w:t>
      </w:r>
      <w:bookmarkEnd w:id="3"/>
    </w:p>
    <w:tbl>
      <w:tblPr>
        <w:tblStyle w:val="29"/>
        <w:tblW w:w="951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94"/>
        <w:gridCol w:w="2952"/>
        <w:gridCol w:w="5573"/>
      </w:tblGrid>
      <w:tr w14:paraId="3C6BC3B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trPr>
        <w:tc>
          <w:tcPr>
            <w:tcW w:w="994" w:type="dxa"/>
            <w:tcBorders>
              <w:tl2br w:val="nil"/>
              <w:tr2bl w:val="nil"/>
            </w:tcBorders>
            <w:vAlign w:val="center"/>
          </w:tcPr>
          <w:p w14:paraId="2ECA55A2">
            <w:pPr>
              <w:jc w:val="center"/>
              <w:rPr>
                <w:rFonts w:ascii="宋体" w:hAnsi="宋体"/>
                <w:color w:val="auto"/>
                <w:szCs w:val="21"/>
                <w:highlight w:val="none"/>
              </w:rPr>
            </w:pPr>
            <w:r>
              <w:rPr>
                <w:rFonts w:hint="eastAsia" w:ascii="宋体" w:hAnsi="宋体"/>
                <w:color w:val="auto"/>
                <w:szCs w:val="21"/>
                <w:highlight w:val="none"/>
              </w:rPr>
              <w:t>序号</w:t>
            </w:r>
          </w:p>
        </w:tc>
        <w:tc>
          <w:tcPr>
            <w:tcW w:w="8525" w:type="dxa"/>
            <w:gridSpan w:val="2"/>
            <w:tcBorders>
              <w:tl2br w:val="nil"/>
              <w:tr2bl w:val="nil"/>
            </w:tcBorders>
            <w:vAlign w:val="center"/>
          </w:tcPr>
          <w:p w14:paraId="15CF2F3D">
            <w:pPr>
              <w:jc w:val="center"/>
              <w:rPr>
                <w:rFonts w:ascii="宋体" w:hAnsi="宋体"/>
                <w:b/>
                <w:color w:val="auto"/>
                <w:szCs w:val="21"/>
                <w:highlight w:val="none"/>
              </w:rPr>
            </w:pPr>
            <w:r>
              <w:rPr>
                <w:rFonts w:hint="eastAsia" w:ascii="宋体" w:hAnsi="宋体"/>
                <w:b/>
                <w:color w:val="auto"/>
                <w:szCs w:val="21"/>
                <w:highlight w:val="none"/>
              </w:rPr>
              <w:t>内容</w:t>
            </w:r>
          </w:p>
        </w:tc>
      </w:tr>
      <w:tr w14:paraId="4EB503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trPr>
        <w:tc>
          <w:tcPr>
            <w:tcW w:w="9519" w:type="dxa"/>
            <w:gridSpan w:val="3"/>
            <w:tcBorders>
              <w:tl2br w:val="nil"/>
              <w:tr2bl w:val="nil"/>
            </w:tcBorders>
            <w:vAlign w:val="center"/>
          </w:tcPr>
          <w:p w14:paraId="5B60C81D">
            <w:pPr>
              <w:jc w:val="center"/>
              <w:rPr>
                <w:rFonts w:ascii="宋体" w:hAnsi="宋体"/>
                <w:b/>
                <w:color w:val="auto"/>
                <w:szCs w:val="21"/>
                <w:highlight w:val="none"/>
              </w:rPr>
            </w:pPr>
            <w:r>
              <w:rPr>
                <w:rFonts w:hint="eastAsia" w:ascii="宋体" w:hAnsi="宋体"/>
                <w:b/>
                <w:color w:val="auto"/>
                <w:szCs w:val="21"/>
                <w:highlight w:val="none"/>
              </w:rPr>
              <w:t>一、说明</w:t>
            </w:r>
          </w:p>
        </w:tc>
      </w:tr>
      <w:tr w14:paraId="6B1D48D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994" w:type="dxa"/>
            <w:vMerge w:val="restart"/>
            <w:tcBorders>
              <w:tl2br w:val="nil"/>
              <w:tr2bl w:val="nil"/>
            </w:tcBorders>
            <w:vAlign w:val="center"/>
          </w:tcPr>
          <w:p w14:paraId="25A64741">
            <w:pPr>
              <w:jc w:val="center"/>
              <w:rPr>
                <w:rFonts w:ascii="宋体" w:hAnsi="宋体"/>
                <w:color w:val="auto"/>
                <w:szCs w:val="21"/>
                <w:highlight w:val="none"/>
              </w:rPr>
            </w:pPr>
            <w:r>
              <w:rPr>
                <w:rFonts w:hint="eastAsia" w:ascii="宋体" w:hAnsi="宋体"/>
                <w:color w:val="auto"/>
                <w:szCs w:val="21"/>
                <w:highlight w:val="none"/>
              </w:rPr>
              <w:t>1</w:t>
            </w:r>
          </w:p>
        </w:tc>
        <w:tc>
          <w:tcPr>
            <w:tcW w:w="8525" w:type="dxa"/>
            <w:gridSpan w:val="2"/>
            <w:tcBorders>
              <w:tl2br w:val="nil"/>
              <w:tr2bl w:val="nil"/>
            </w:tcBorders>
            <w:vAlign w:val="center"/>
          </w:tcPr>
          <w:p w14:paraId="2740806D">
            <w:pPr>
              <w:rPr>
                <w:rFonts w:ascii="宋体" w:hAnsi="宋体"/>
                <w:b/>
                <w:bCs/>
                <w:color w:val="auto"/>
                <w:szCs w:val="21"/>
                <w:highlight w:val="none"/>
              </w:rPr>
            </w:pPr>
            <w:r>
              <w:rPr>
                <w:rFonts w:hint="eastAsia" w:ascii="宋体" w:hAnsi="宋体"/>
                <w:b/>
                <w:bCs/>
                <w:color w:val="auto"/>
                <w:szCs w:val="21"/>
                <w:highlight w:val="none"/>
              </w:rPr>
              <w:t>项目最高限价（</w:t>
            </w:r>
            <w:r>
              <w:rPr>
                <w:rFonts w:hint="eastAsia" w:ascii="宋体" w:hAnsi="宋体"/>
                <w:b/>
                <w:bCs/>
                <w:color w:val="auto"/>
                <w:szCs w:val="21"/>
                <w:highlight w:val="none"/>
                <w:u w:val="single"/>
              </w:rPr>
              <w:t>单位：元</w:t>
            </w:r>
            <w:r>
              <w:rPr>
                <w:rFonts w:hint="eastAsia" w:ascii="宋体" w:hAnsi="宋体"/>
                <w:b/>
                <w:bCs/>
                <w:color w:val="auto"/>
                <w:szCs w:val="21"/>
                <w:highlight w:val="none"/>
              </w:rPr>
              <w:t>）</w:t>
            </w:r>
          </w:p>
        </w:tc>
      </w:tr>
      <w:tr w14:paraId="41E4008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994" w:type="dxa"/>
            <w:vMerge w:val="continue"/>
            <w:tcBorders>
              <w:tl2br w:val="nil"/>
              <w:tr2bl w:val="nil"/>
            </w:tcBorders>
            <w:vAlign w:val="center"/>
          </w:tcPr>
          <w:p w14:paraId="11C1830A">
            <w:pPr>
              <w:jc w:val="center"/>
              <w:rPr>
                <w:rFonts w:ascii="宋体" w:hAnsi="宋体"/>
                <w:color w:val="auto"/>
                <w:szCs w:val="21"/>
                <w:highlight w:val="none"/>
              </w:rPr>
            </w:pPr>
          </w:p>
        </w:tc>
        <w:tc>
          <w:tcPr>
            <w:tcW w:w="8525" w:type="dxa"/>
            <w:gridSpan w:val="2"/>
            <w:tcBorders>
              <w:tl2br w:val="nil"/>
              <w:tr2bl w:val="nil"/>
            </w:tcBorders>
            <w:vAlign w:val="center"/>
          </w:tcPr>
          <w:p w14:paraId="11B88E51">
            <w:pPr>
              <w:rPr>
                <w:rFonts w:hint="eastAsia" w:ascii="宋体" w:hAnsi="宋体" w:eastAsia="宋体"/>
                <w:b/>
                <w:bCs/>
                <w:color w:val="auto"/>
                <w:szCs w:val="21"/>
                <w:highlight w:val="none"/>
                <w:lang w:eastAsia="zh-CN"/>
              </w:rPr>
            </w:pPr>
            <w:r>
              <w:rPr>
                <w:rFonts w:hint="eastAsia" w:ascii="宋体" w:hAnsi="宋体"/>
                <w:b w:val="0"/>
                <w:bCs w:val="0"/>
                <w:color w:val="auto"/>
                <w:szCs w:val="21"/>
                <w:highlight w:val="none"/>
              </w:rPr>
              <w:t>与项目预算一致</w:t>
            </w:r>
            <w:r>
              <w:rPr>
                <w:rFonts w:hint="eastAsia" w:ascii="宋体" w:hAnsi="宋体"/>
                <w:b w:val="0"/>
                <w:bCs w:val="0"/>
                <w:color w:val="auto"/>
                <w:szCs w:val="21"/>
                <w:highlight w:val="none"/>
                <w:lang w:eastAsia="zh-CN"/>
              </w:rPr>
              <w:t>。</w:t>
            </w:r>
          </w:p>
        </w:tc>
      </w:tr>
      <w:tr w14:paraId="04D9C91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994" w:type="dxa"/>
            <w:vMerge w:val="restart"/>
            <w:tcBorders>
              <w:tl2br w:val="nil"/>
              <w:tr2bl w:val="nil"/>
            </w:tcBorders>
            <w:vAlign w:val="center"/>
          </w:tcPr>
          <w:p w14:paraId="133FA455">
            <w:pPr>
              <w:jc w:val="center"/>
              <w:rPr>
                <w:rFonts w:ascii="宋体" w:hAnsi="宋体"/>
                <w:color w:val="auto"/>
                <w:szCs w:val="21"/>
                <w:highlight w:val="none"/>
              </w:rPr>
            </w:pPr>
            <w:r>
              <w:rPr>
                <w:rFonts w:hint="eastAsia" w:ascii="宋体" w:hAnsi="宋体"/>
                <w:color w:val="auto"/>
                <w:szCs w:val="21"/>
                <w:highlight w:val="none"/>
              </w:rPr>
              <w:t>2</w:t>
            </w:r>
          </w:p>
        </w:tc>
        <w:tc>
          <w:tcPr>
            <w:tcW w:w="8525" w:type="dxa"/>
            <w:gridSpan w:val="2"/>
            <w:tcBorders>
              <w:tl2br w:val="nil"/>
              <w:tr2bl w:val="nil"/>
            </w:tcBorders>
            <w:vAlign w:val="center"/>
          </w:tcPr>
          <w:p w14:paraId="7DEDCDE4">
            <w:pPr>
              <w:rPr>
                <w:rFonts w:ascii="宋体" w:hAnsi="宋体"/>
                <w:b/>
                <w:bCs/>
                <w:color w:val="auto"/>
                <w:szCs w:val="21"/>
                <w:highlight w:val="none"/>
              </w:rPr>
            </w:pPr>
            <w:r>
              <w:rPr>
                <w:rFonts w:hint="eastAsia" w:ascii="宋体" w:hAnsi="宋体"/>
                <w:b/>
                <w:bCs/>
                <w:color w:val="auto"/>
                <w:szCs w:val="21"/>
                <w:highlight w:val="none"/>
              </w:rPr>
              <w:t>发包方式</w:t>
            </w:r>
          </w:p>
        </w:tc>
      </w:tr>
      <w:tr w14:paraId="39DD60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994" w:type="dxa"/>
            <w:vMerge w:val="continue"/>
            <w:tcBorders>
              <w:tl2br w:val="nil"/>
              <w:tr2bl w:val="nil"/>
            </w:tcBorders>
            <w:vAlign w:val="center"/>
          </w:tcPr>
          <w:p w14:paraId="43339C02">
            <w:pPr>
              <w:jc w:val="center"/>
              <w:rPr>
                <w:rFonts w:ascii="宋体" w:hAnsi="宋体"/>
                <w:color w:val="auto"/>
                <w:szCs w:val="21"/>
                <w:highlight w:val="none"/>
              </w:rPr>
            </w:pPr>
          </w:p>
        </w:tc>
        <w:tc>
          <w:tcPr>
            <w:tcW w:w="8525" w:type="dxa"/>
            <w:gridSpan w:val="2"/>
            <w:tcBorders>
              <w:tl2br w:val="nil"/>
              <w:tr2bl w:val="nil"/>
            </w:tcBorders>
            <w:vAlign w:val="center"/>
          </w:tcPr>
          <w:p w14:paraId="2027E4DE">
            <w:pPr>
              <w:rPr>
                <w:rFonts w:ascii="宋体" w:hAnsi="宋体"/>
                <w:b/>
                <w:bCs/>
                <w:color w:val="auto"/>
                <w:szCs w:val="21"/>
                <w:highlight w:val="none"/>
              </w:rPr>
            </w:pPr>
            <w:r>
              <w:rPr>
                <w:rFonts w:hint="eastAsia" w:ascii="宋体" w:hAnsi="宋体"/>
                <w:b/>
                <w:bCs/>
                <w:color w:val="auto"/>
                <w:szCs w:val="21"/>
                <w:highlight w:val="none"/>
                <w:lang w:eastAsia="zh-CN"/>
              </w:rPr>
              <w:sym w:font="Wingdings" w:char="00A8"/>
            </w:r>
            <w:r>
              <w:rPr>
                <w:rFonts w:hint="eastAsia" w:ascii="宋体" w:hAnsi="宋体"/>
                <w:b/>
                <w:bCs/>
                <w:color w:val="auto"/>
                <w:szCs w:val="21"/>
                <w:highlight w:val="none"/>
              </w:rPr>
              <w:t>固定总价包干；</w:t>
            </w:r>
          </w:p>
          <w:p w14:paraId="7F471DB9">
            <w:pPr>
              <w:rPr>
                <w:rFonts w:ascii="宋体" w:hAnsi="宋体"/>
                <w:b/>
                <w:bCs/>
                <w:color w:val="auto"/>
                <w:szCs w:val="21"/>
                <w:highlight w:val="none"/>
              </w:rPr>
            </w:pPr>
            <w:r>
              <w:rPr>
                <w:rFonts w:hint="eastAsia" w:ascii="宋体" w:hAnsi="宋体"/>
                <w:b/>
                <w:bCs/>
                <w:color w:val="auto"/>
                <w:szCs w:val="21"/>
                <w:highlight w:val="none"/>
                <w:lang w:eastAsia="zh-CN"/>
              </w:rPr>
              <w:sym w:font="Wingdings" w:char="00FE"/>
            </w:r>
            <w:r>
              <w:rPr>
                <w:rFonts w:hint="eastAsia" w:ascii="宋体" w:hAnsi="宋体"/>
                <w:b/>
                <w:bCs/>
                <w:color w:val="auto"/>
                <w:szCs w:val="21"/>
                <w:highlight w:val="none"/>
              </w:rPr>
              <w:t>固定单价暂定总价包干；</w:t>
            </w:r>
          </w:p>
          <w:p w14:paraId="6D7B3A05">
            <w:pPr>
              <w:rPr>
                <w:rFonts w:ascii="宋体" w:hAnsi="宋体"/>
                <w:b/>
                <w:bCs/>
                <w:color w:val="auto"/>
                <w:szCs w:val="21"/>
                <w:highlight w:val="none"/>
                <w:u w:val="single"/>
              </w:rPr>
            </w:pPr>
            <w:r>
              <w:rPr>
                <w:rFonts w:hint="eastAsia" w:ascii="宋体" w:hAnsi="宋体"/>
                <w:b/>
                <w:bCs/>
                <w:color w:val="auto"/>
                <w:szCs w:val="21"/>
                <w:highlight w:val="none"/>
                <w:lang w:eastAsia="zh-CN"/>
              </w:rPr>
              <w:sym w:font="Wingdings" w:char="00A8"/>
            </w:r>
            <w:r>
              <w:rPr>
                <w:rFonts w:hint="eastAsia" w:ascii="宋体" w:hAnsi="宋体"/>
                <w:b/>
                <w:bCs/>
                <w:color w:val="auto"/>
                <w:szCs w:val="21"/>
                <w:highlight w:val="none"/>
              </w:rPr>
              <w:t>费率</w:t>
            </w:r>
            <w:r>
              <w:rPr>
                <w:rFonts w:hint="eastAsia" w:ascii="宋体" w:hAnsi="宋体"/>
                <w:b/>
                <w:bCs/>
                <w:color w:val="auto"/>
                <w:szCs w:val="21"/>
                <w:highlight w:val="none"/>
                <w:u w:val="single"/>
              </w:rPr>
              <w:t xml:space="preserve">         ；</w:t>
            </w:r>
          </w:p>
          <w:p w14:paraId="21A4CD48">
            <w:pPr>
              <w:rPr>
                <w:rFonts w:ascii="宋体" w:hAnsi="宋体"/>
                <w:b/>
                <w:bCs/>
                <w:color w:val="auto"/>
                <w:szCs w:val="21"/>
                <w:highlight w:val="none"/>
              </w:rPr>
            </w:pPr>
            <w:r>
              <w:rPr>
                <w:rFonts w:hint="eastAsia" w:ascii="宋体" w:hAnsi="宋体"/>
                <w:b/>
                <w:bCs/>
                <w:color w:val="auto"/>
                <w:szCs w:val="21"/>
                <w:highlight w:val="none"/>
                <w:lang w:eastAsia="zh-CN"/>
              </w:rPr>
              <w:sym w:font="Wingdings" w:char="00A8"/>
            </w:r>
            <w:r>
              <w:rPr>
                <w:rFonts w:hint="eastAsia" w:ascii="宋体" w:hAnsi="宋体"/>
                <w:b/>
                <w:bCs/>
                <w:color w:val="auto"/>
                <w:szCs w:val="21"/>
                <w:highlight w:val="none"/>
              </w:rPr>
              <w:t>其他</w:t>
            </w:r>
            <w:r>
              <w:rPr>
                <w:rFonts w:hint="eastAsia" w:ascii="宋体" w:hAnsi="宋体"/>
                <w:b/>
                <w:bCs/>
                <w:color w:val="auto"/>
                <w:szCs w:val="21"/>
                <w:highlight w:val="none"/>
                <w:u w:val="single"/>
              </w:rPr>
              <w:t xml:space="preserve">           </w:t>
            </w:r>
            <w:r>
              <w:rPr>
                <w:rFonts w:hint="eastAsia" w:ascii="宋体" w:hAnsi="宋体"/>
                <w:b/>
                <w:bCs/>
                <w:color w:val="auto"/>
                <w:szCs w:val="21"/>
                <w:highlight w:val="none"/>
              </w:rPr>
              <w:t>；</w:t>
            </w:r>
          </w:p>
        </w:tc>
      </w:tr>
      <w:tr w14:paraId="247D971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994" w:type="dxa"/>
            <w:vMerge w:val="restart"/>
            <w:tcBorders>
              <w:tl2br w:val="nil"/>
              <w:tr2bl w:val="nil"/>
            </w:tcBorders>
            <w:vAlign w:val="center"/>
          </w:tcPr>
          <w:p w14:paraId="4E4050A8">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3</w:t>
            </w:r>
          </w:p>
        </w:tc>
        <w:tc>
          <w:tcPr>
            <w:tcW w:w="8525" w:type="dxa"/>
            <w:gridSpan w:val="2"/>
            <w:tcBorders>
              <w:tl2br w:val="nil"/>
              <w:tr2bl w:val="nil"/>
            </w:tcBorders>
            <w:vAlign w:val="center"/>
          </w:tcPr>
          <w:p w14:paraId="28DC1D7F">
            <w:pPr>
              <w:rPr>
                <w:rFonts w:ascii="宋体" w:hAnsi="宋体"/>
                <w:b/>
                <w:bCs/>
                <w:color w:val="auto"/>
                <w:szCs w:val="21"/>
                <w:highlight w:val="none"/>
              </w:rPr>
            </w:pPr>
            <w:r>
              <w:rPr>
                <w:rFonts w:hint="eastAsia" w:ascii="宋体" w:hAnsi="宋体"/>
                <w:b/>
                <w:bCs/>
                <w:color w:val="auto"/>
                <w:szCs w:val="21"/>
                <w:highlight w:val="none"/>
              </w:rPr>
              <w:t>资金来源</w:t>
            </w:r>
          </w:p>
        </w:tc>
      </w:tr>
      <w:tr w14:paraId="1BB902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994" w:type="dxa"/>
            <w:vMerge w:val="continue"/>
            <w:tcBorders>
              <w:tl2br w:val="nil"/>
              <w:tr2bl w:val="nil"/>
            </w:tcBorders>
            <w:vAlign w:val="center"/>
          </w:tcPr>
          <w:p w14:paraId="0243E066">
            <w:pPr>
              <w:jc w:val="center"/>
              <w:rPr>
                <w:rFonts w:ascii="宋体" w:hAnsi="宋体"/>
                <w:color w:val="auto"/>
                <w:szCs w:val="21"/>
                <w:highlight w:val="none"/>
              </w:rPr>
            </w:pPr>
          </w:p>
        </w:tc>
        <w:tc>
          <w:tcPr>
            <w:tcW w:w="8525" w:type="dxa"/>
            <w:gridSpan w:val="2"/>
            <w:tcBorders>
              <w:tl2br w:val="nil"/>
              <w:tr2bl w:val="nil"/>
            </w:tcBorders>
            <w:vAlign w:val="center"/>
          </w:tcPr>
          <w:p w14:paraId="5DC98C94">
            <w:pPr>
              <w:rPr>
                <w:rFonts w:ascii="宋体" w:hAnsi="宋体"/>
                <w:b/>
                <w:bCs/>
                <w:color w:val="auto"/>
                <w:szCs w:val="21"/>
                <w:highlight w:val="none"/>
              </w:rPr>
            </w:pPr>
            <w:r>
              <w:rPr>
                <w:rFonts w:hint="eastAsia" w:ascii="宋体" w:hAnsi="宋体"/>
                <w:color w:val="auto"/>
                <w:szCs w:val="21"/>
                <w:highlight w:val="none"/>
                <w:u w:val="single"/>
              </w:rPr>
              <w:t>自筹资金。</w:t>
            </w:r>
          </w:p>
        </w:tc>
      </w:tr>
      <w:tr w14:paraId="08BB831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994" w:type="dxa"/>
            <w:vMerge w:val="restart"/>
            <w:tcBorders>
              <w:tl2br w:val="nil"/>
              <w:tr2bl w:val="nil"/>
            </w:tcBorders>
            <w:vAlign w:val="center"/>
          </w:tcPr>
          <w:p w14:paraId="65E65A62">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4</w:t>
            </w:r>
          </w:p>
        </w:tc>
        <w:tc>
          <w:tcPr>
            <w:tcW w:w="8525" w:type="dxa"/>
            <w:gridSpan w:val="2"/>
            <w:tcBorders>
              <w:tl2br w:val="nil"/>
              <w:tr2bl w:val="nil"/>
            </w:tcBorders>
            <w:vAlign w:val="center"/>
          </w:tcPr>
          <w:p w14:paraId="37D3E7FD">
            <w:pPr>
              <w:rPr>
                <w:rFonts w:ascii="宋体" w:hAnsi="宋体"/>
                <w:b/>
                <w:color w:val="auto"/>
                <w:szCs w:val="21"/>
                <w:highlight w:val="none"/>
              </w:rPr>
            </w:pPr>
            <w:r>
              <w:rPr>
                <w:rFonts w:hint="eastAsia" w:ascii="宋体" w:hAnsi="宋体"/>
                <w:b/>
                <w:color w:val="auto"/>
                <w:szCs w:val="21"/>
                <w:highlight w:val="none"/>
              </w:rPr>
              <w:t>踏勘现场</w:t>
            </w:r>
          </w:p>
        </w:tc>
      </w:tr>
      <w:tr w14:paraId="182C56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994" w:type="dxa"/>
            <w:vMerge w:val="continue"/>
            <w:tcBorders>
              <w:tl2br w:val="nil"/>
              <w:tr2bl w:val="nil"/>
            </w:tcBorders>
            <w:vAlign w:val="center"/>
          </w:tcPr>
          <w:p w14:paraId="64F32168">
            <w:pPr>
              <w:jc w:val="center"/>
              <w:rPr>
                <w:rFonts w:ascii="宋体" w:hAnsi="宋体"/>
                <w:color w:val="auto"/>
                <w:szCs w:val="21"/>
                <w:highlight w:val="none"/>
              </w:rPr>
            </w:pPr>
          </w:p>
        </w:tc>
        <w:tc>
          <w:tcPr>
            <w:tcW w:w="8525" w:type="dxa"/>
            <w:gridSpan w:val="2"/>
            <w:tcBorders>
              <w:tl2br w:val="nil"/>
              <w:tr2bl w:val="nil"/>
            </w:tcBorders>
            <w:vAlign w:val="center"/>
          </w:tcPr>
          <w:p w14:paraId="195FA0CF">
            <w:pPr>
              <w:rPr>
                <w:rFonts w:ascii="宋体" w:hAnsi="宋体"/>
                <w:bCs/>
                <w:color w:val="auto"/>
                <w:szCs w:val="21"/>
                <w:highlight w:val="none"/>
              </w:rPr>
            </w:pPr>
            <w:r>
              <w:rPr>
                <w:rFonts w:hint="eastAsia" w:ascii="宋体" w:hAnsi="宋体"/>
                <w:b/>
                <w:bCs/>
                <w:color w:val="auto"/>
                <w:szCs w:val="21"/>
                <w:highlight w:val="none"/>
                <w:lang w:eastAsia="zh-CN"/>
              </w:rPr>
              <w:sym w:font="Wingdings" w:char="00FE"/>
            </w:r>
            <w:r>
              <w:rPr>
                <w:rFonts w:hint="eastAsia" w:ascii="宋体" w:hAnsi="宋体"/>
                <w:bCs/>
                <w:color w:val="auto"/>
                <w:szCs w:val="21"/>
                <w:highlight w:val="none"/>
              </w:rPr>
              <w:t>不组织 。</w:t>
            </w:r>
          </w:p>
          <w:p w14:paraId="15A91147">
            <w:pPr>
              <w:rPr>
                <w:rFonts w:ascii="宋体" w:hAnsi="宋体"/>
                <w:bCs/>
                <w:color w:val="auto"/>
                <w:szCs w:val="21"/>
                <w:highlight w:val="none"/>
              </w:rPr>
            </w:pPr>
            <w:r>
              <w:rPr>
                <w:rFonts w:hint="eastAsia" w:ascii="宋体" w:hAnsi="宋体"/>
                <w:b/>
                <w:bCs/>
                <w:color w:val="auto"/>
                <w:szCs w:val="21"/>
                <w:highlight w:val="none"/>
                <w:lang w:eastAsia="zh-CN"/>
              </w:rPr>
              <w:sym w:font="Wingdings" w:char="00A8"/>
            </w:r>
            <w:r>
              <w:rPr>
                <w:rFonts w:hint="eastAsia" w:ascii="宋体" w:hAnsi="宋体"/>
                <w:bCs/>
                <w:color w:val="auto"/>
                <w:szCs w:val="21"/>
                <w:highlight w:val="none"/>
              </w:rPr>
              <w:t>组织，踏勘现场时间、地点：</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w:t>
            </w:r>
          </w:p>
        </w:tc>
      </w:tr>
      <w:tr w14:paraId="334B8C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trPr>
        <w:tc>
          <w:tcPr>
            <w:tcW w:w="9519" w:type="dxa"/>
            <w:gridSpan w:val="3"/>
            <w:tcBorders>
              <w:tl2br w:val="nil"/>
              <w:tr2bl w:val="nil"/>
            </w:tcBorders>
            <w:vAlign w:val="center"/>
          </w:tcPr>
          <w:p w14:paraId="1F0E42E1">
            <w:pPr>
              <w:jc w:val="center"/>
              <w:rPr>
                <w:rFonts w:ascii="宋体" w:hAnsi="宋体"/>
                <w:b/>
                <w:color w:val="auto"/>
                <w:szCs w:val="21"/>
                <w:highlight w:val="none"/>
              </w:rPr>
            </w:pPr>
            <w:r>
              <w:rPr>
                <w:rFonts w:hint="eastAsia" w:ascii="宋体" w:hAnsi="宋体"/>
                <w:b/>
                <w:color w:val="auto"/>
                <w:szCs w:val="21"/>
                <w:highlight w:val="none"/>
              </w:rPr>
              <w:t>二、投标文件的编制</w:t>
            </w:r>
          </w:p>
        </w:tc>
      </w:tr>
      <w:tr w14:paraId="3BC2BB9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994" w:type="dxa"/>
            <w:vMerge w:val="restart"/>
            <w:tcBorders>
              <w:tl2br w:val="nil"/>
              <w:tr2bl w:val="nil"/>
            </w:tcBorders>
            <w:vAlign w:val="center"/>
          </w:tcPr>
          <w:p w14:paraId="5FD55A02">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5</w:t>
            </w:r>
          </w:p>
        </w:tc>
        <w:tc>
          <w:tcPr>
            <w:tcW w:w="8525" w:type="dxa"/>
            <w:gridSpan w:val="2"/>
            <w:tcBorders>
              <w:tl2br w:val="nil"/>
              <w:tr2bl w:val="nil"/>
            </w:tcBorders>
            <w:vAlign w:val="center"/>
          </w:tcPr>
          <w:p w14:paraId="5C03A9E1">
            <w:pPr>
              <w:rPr>
                <w:rFonts w:ascii="宋体" w:hAnsi="宋体"/>
                <w:b/>
                <w:color w:val="auto"/>
                <w:szCs w:val="21"/>
                <w:highlight w:val="none"/>
              </w:rPr>
            </w:pPr>
            <w:r>
              <w:rPr>
                <w:rFonts w:hint="eastAsia" w:ascii="宋体" w:hAnsi="宋体"/>
                <w:b/>
                <w:color w:val="auto"/>
                <w:szCs w:val="21"/>
                <w:highlight w:val="none"/>
              </w:rPr>
              <w:t>投标语言</w:t>
            </w:r>
          </w:p>
        </w:tc>
      </w:tr>
      <w:tr w14:paraId="337877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994" w:type="dxa"/>
            <w:vMerge w:val="continue"/>
            <w:tcBorders>
              <w:tl2br w:val="nil"/>
              <w:tr2bl w:val="nil"/>
            </w:tcBorders>
            <w:vAlign w:val="center"/>
          </w:tcPr>
          <w:p w14:paraId="7A17E145">
            <w:pPr>
              <w:jc w:val="center"/>
              <w:rPr>
                <w:rFonts w:ascii="宋体" w:hAnsi="宋体"/>
                <w:color w:val="auto"/>
                <w:szCs w:val="21"/>
                <w:highlight w:val="none"/>
              </w:rPr>
            </w:pPr>
          </w:p>
        </w:tc>
        <w:tc>
          <w:tcPr>
            <w:tcW w:w="8525" w:type="dxa"/>
            <w:gridSpan w:val="2"/>
            <w:tcBorders>
              <w:tl2br w:val="nil"/>
              <w:tr2bl w:val="nil"/>
            </w:tcBorders>
            <w:vAlign w:val="center"/>
          </w:tcPr>
          <w:p w14:paraId="78922307">
            <w:pPr>
              <w:rPr>
                <w:rFonts w:ascii="宋体" w:hAnsi="宋体"/>
                <w:b/>
                <w:color w:val="auto"/>
                <w:szCs w:val="21"/>
                <w:highlight w:val="none"/>
              </w:rPr>
            </w:pPr>
            <w:r>
              <w:rPr>
                <w:rFonts w:hint="eastAsia" w:ascii="宋体" w:hAnsi="宋体"/>
                <w:color w:val="auto"/>
                <w:szCs w:val="21"/>
                <w:highlight w:val="none"/>
              </w:rPr>
              <w:t>中文。</w:t>
            </w:r>
          </w:p>
        </w:tc>
      </w:tr>
      <w:tr w14:paraId="2B90861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994" w:type="dxa"/>
            <w:vMerge w:val="restart"/>
            <w:tcBorders>
              <w:tl2br w:val="nil"/>
              <w:tr2bl w:val="nil"/>
            </w:tcBorders>
            <w:vAlign w:val="center"/>
          </w:tcPr>
          <w:p w14:paraId="34E2F165">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6</w:t>
            </w:r>
          </w:p>
        </w:tc>
        <w:tc>
          <w:tcPr>
            <w:tcW w:w="8525" w:type="dxa"/>
            <w:gridSpan w:val="2"/>
            <w:tcBorders>
              <w:tl2br w:val="nil"/>
              <w:tr2bl w:val="nil"/>
            </w:tcBorders>
            <w:vAlign w:val="center"/>
          </w:tcPr>
          <w:p w14:paraId="0E06E0A8">
            <w:pPr>
              <w:jc w:val="both"/>
              <w:rPr>
                <w:rFonts w:ascii="宋体" w:hAnsi="宋体"/>
                <w:b/>
                <w:color w:val="auto"/>
                <w:szCs w:val="21"/>
                <w:highlight w:val="none"/>
              </w:rPr>
            </w:pPr>
            <w:r>
              <w:rPr>
                <w:rFonts w:hint="eastAsia" w:ascii="宋体" w:hAnsi="宋体"/>
                <w:b/>
                <w:color w:val="auto"/>
                <w:szCs w:val="21"/>
                <w:highlight w:val="none"/>
              </w:rPr>
              <w:t>投标报价</w:t>
            </w:r>
          </w:p>
        </w:tc>
      </w:tr>
      <w:tr w14:paraId="094AF71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994" w:type="dxa"/>
            <w:vMerge w:val="continue"/>
            <w:tcBorders>
              <w:tl2br w:val="nil"/>
              <w:tr2bl w:val="nil"/>
            </w:tcBorders>
            <w:vAlign w:val="center"/>
          </w:tcPr>
          <w:p w14:paraId="66EDC149">
            <w:pPr>
              <w:jc w:val="center"/>
              <w:rPr>
                <w:rFonts w:ascii="宋体" w:hAnsi="宋体"/>
                <w:color w:val="auto"/>
                <w:szCs w:val="21"/>
                <w:highlight w:val="none"/>
              </w:rPr>
            </w:pPr>
          </w:p>
        </w:tc>
        <w:tc>
          <w:tcPr>
            <w:tcW w:w="8525" w:type="dxa"/>
            <w:gridSpan w:val="2"/>
            <w:tcBorders>
              <w:tl2br w:val="nil"/>
              <w:tr2bl w:val="nil"/>
            </w:tcBorders>
            <w:vAlign w:val="center"/>
          </w:tcPr>
          <w:p w14:paraId="180D1688">
            <w:pPr>
              <w:jc w:val="both"/>
              <w:rPr>
                <w:rFonts w:ascii="宋体" w:hAnsi="宋体"/>
                <w:color w:val="auto"/>
                <w:szCs w:val="21"/>
                <w:highlight w:val="none"/>
              </w:rPr>
            </w:pPr>
            <w:r>
              <w:rPr>
                <w:rFonts w:hint="eastAsia" w:ascii="宋体" w:hAnsi="宋体"/>
                <w:color w:val="auto"/>
                <w:szCs w:val="21"/>
                <w:highlight w:val="none"/>
              </w:rPr>
              <w:t>详见投标人须知。</w:t>
            </w:r>
          </w:p>
        </w:tc>
      </w:tr>
      <w:tr w14:paraId="072B521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994" w:type="dxa"/>
            <w:vMerge w:val="restart"/>
            <w:tcBorders>
              <w:tl2br w:val="nil"/>
              <w:tr2bl w:val="nil"/>
            </w:tcBorders>
            <w:vAlign w:val="center"/>
          </w:tcPr>
          <w:p w14:paraId="210F501D">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7</w:t>
            </w:r>
          </w:p>
        </w:tc>
        <w:tc>
          <w:tcPr>
            <w:tcW w:w="8525" w:type="dxa"/>
            <w:gridSpan w:val="2"/>
            <w:tcBorders>
              <w:tl2br w:val="nil"/>
              <w:tr2bl w:val="nil"/>
            </w:tcBorders>
            <w:vAlign w:val="center"/>
          </w:tcPr>
          <w:p w14:paraId="55CCF5E5">
            <w:pPr>
              <w:jc w:val="both"/>
              <w:rPr>
                <w:rFonts w:ascii="宋体" w:hAnsi="宋体"/>
                <w:b/>
                <w:color w:val="auto"/>
                <w:szCs w:val="21"/>
                <w:highlight w:val="none"/>
              </w:rPr>
            </w:pPr>
            <w:r>
              <w:rPr>
                <w:rFonts w:hint="eastAsia" w:ascii="宋体" w:hAnsi="宋体"/>
                <w:b/>
                <w:color w:val="auto"/>
                <w:szCs w:val="21"/>
                <w:highlight w:val="none"/>
              </w:rPr>
              <w:t>投标保证金</w:t>
            </w:r>
          </w:p>
        </w:tc>
      </w:tr>
      <w:tr w14:paraId="290ED91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994" w:type="dxa"/>
            <w:vMerge w:val="continue"/>
            <w:tcBorders>
              <w:tl2br w:val="nil"/>
              <w:tr2bl w:val="nil"/>
            </w:tcBorders>
            <w:vAlign w:val="center"/>
          </w:tcPr>
          <w:p w14:paraId="25E6493C">
            <w:pPr>
              <w:jc w:val="center"/>
              <w:rPr>
                <w:rFonts w:ascii="宋体" w:hAnsi="宋体"/>
                <w:color w:val="auto"/>
                <w:szCs w:val="21"/>
                <w:highlight w:val="none"/>
              </w:rPr>
            </w:pPr>
          </w:p>
        </w:tc>
        <w:tc>
          <w:tcPr>
            <w:tcW w:w="8525" w:type="dxa"/>
            <w:gridSpan w:val="2"/>
            <w:tcBorders>
              <w:tl2br w:val="nil"/>
              <w:tr2bl w:val="nil"/>
            </w:tcBorders>
            <w:vAlign w:val="center"/>
          </w:tcPr>
          <w:p w14:paraId="57575CDF">
            <w:pPr>
              <w:jc w:val="both"/>
              <w:rPr>
                <w:rFonts w:ascii="宋体" w:hAnsi="宋体"/>
                <w:color w:val="auto"/>
                <w:szCs w:val="21"/>
                <w:highlight w:val="none"/>
              </w:rPr>
            </w:pPr>
            <w:r>
              <w:rPr>
                <w:rFonts w:hint="eastAsia" w:ascii="宋体" w:hAnsi="宋体"/>
                <w:color w:val="auto"/>
                <w:szCs w:val="21"/>
                <w:highlight w:val="none"/>
              </w:rPr>
              <w:t>（1）投标保证金金额：</w:t>
            </w:r>
            <w:r>
              <w:rPr>
                <w:rFonts w:hint="eastAsia" w:ascii="宋体" w:hAnsi="宋体"/>
                <w:b/>
                <w:bCs/>
                <w:color w:val="auto"/>
                <w:szCs w:val="21"/>
                <w:highlight w:val="none"/>
              </w:rPr>
              <w:t>人民币</w:t>
            </w:r>
            <w:r>
              <w:rPr>
                <w:rFonts w:hint="eastAsia" w:ascii="宋体" w:hAnsi="宋体"/>
                <w:b/>
                <w:bCs/>
                <w:color w:val="auto"/>
                <w:szCs w:val="21"/>
                <w:highlight w:val="none"/>
                <w:lang w:val="en-US" w:eastAsia="zh-CN"/>
              </w:rPr>
              <w:t>伍万贰仟元整</w:t>
            </w:r>
            <w:r>
              <w:rPr>
                <w:rFonts w:hint="eastAsia" w:ascii="宋体" w:hAnsi="宋体"/>
                <w:b/>
                <w:bCs/>
                <w:color w:val="auto"/>
                <w:szCs w:val="21"/>
                <w:highlight w:val="none"/>
              </w:rPr>
              <w:t>（¥</w:t>
            </w:r>
            <w:r>
              <w:rPr>
                <w:rFonts w:hint="eastAsia" w:ascii="宋体" w:hAnsi="宋体"/>
                <w:b/>
                <w:bCs/>
                <w:color w:val="auto"/>
                <w:szCs w:val="21"/>
                <w:highlight w:val="none"/>
                <w:lang w:val="en-US" w:eastAsia="zh-CN"/>
              </w:rPr>
              <w:t>52</w:t>
            </w:r>
            <w:r>
              <w:rPr>
                <w:rFonts w:hint="eastAsia" w:ascii="宋体" w:hAnsi="宋体"/>
                <w:b/>
                <w:bCs/>
                <w:color w:val="auto"/>
                <w:szCs w:val="21"/>
                <w:highlight w:val="none"/>
              </w:rPr>
              <w:t>,</w:t>
            </w:r>
            <w:r>
              <w:rPr>
                <w:rFonts w:hint="eastAsia" w:ascii="宋体" w:hAnsi="宋体"/>
                <w:b/>
                <w:bCs/>
                <w:color w:val="auto"/>
                <w:szCs w:val="21"/>
                <w:highlight w:val="none"/>
                <w:lang w:val="en-US" w:eastAsia="zh-CN"/>
              </w:rPr>
              <w:t>0</w:t>
            </w:r>
            <w:r>
              <w:rPr>
                <w:rFonts w:hint="eastAsia" w:ascii="宋体" w:hAnsi="宋体"/>
                <w:b/>
                <w:bCs/>
                <w:color w:val="auto"/>
                <w:szCs w:val="21"/>
                <w:highlight w:val="none"/>
              </w:rPr>
              <w:t>00.00）。</w:t>
            </w:r>
          </w:p>
        </w:tc>
      </w:tr>
      <w:tr w14:paraId="10B3766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trPr>
        <w:tc>
          <w:tcPr>
            <w:tcW w:w="994" w:type="dxa"/>
            <w:vMerge w:val="continue"/>
            <w:tcBorders>
              <w:tl2br w:val="nil"/>
              <w:tr2bl w:val="nil"/>
            </w:tcBorders>
            <w:vAlign w:val="center"/>
          </w:tcPr>
          <w:p w14:paraId="7C40B508">
            <w:pPr>
              <w:jc w:val="center"/>
              <w:rPr>
                <w:rFonts w:ascii="宋体" w:hAnsi="宋体"/>
                <w:color w:val="auto"/>
                <w:szCs w:val="21"/>
                <w:highlight w:val="none"/>
              </w:rPr>
            </w:pPr>
          </w:p>
        </w:tc>
        <w:tc>
          <w:tcPr>
            <w:tcW w:w="8525" w:type="dxa"/>
            <w:gridSpan w:val="2"/>
            <w:tcBorders>
              <w:tl2br w:val="nil"/>
              <w:tr2bl w:val="nil"/>
            </w:tcBorders>
            <w:vAlign w:val="center"/>
          </w:tcPr>
          <w:p w14:paraId="047B24A4">
            <w:pPr>
              <w:tabs>
                <w:tab w:val="left" w:pos="567"/>
              </w:tabs>
              <w:jc w:val="both"/>
              <w:rPr>
                <w:rFonts w:hAnsi="宋体"/>
                <w:color w:val="auto"/>
                <w:kern w:val="2"/>
                <w:szCs w:val="21"/>
                <w:highlight w:val="none"/>
                <w:lang w:val="zh-CN"/>
              </w:rPr>
            </w:pPr>
            <w:r>
              <w:rPr>
                <w:rFonts w:hint="eastAsia" w:ascii="宋体" w:hAnsi="宋体"/>
                <w:color w:val="auto"/>
                <w:szCs w:val="21"/>
                <w:highlight w:val="none"/>
              </w:rPr>
              <w:t>（2）</w:t>
            </w:r>
            <w:r>
              <w:rPr>
                <w:rFonts w:hint="eastAsia" w:hAnsi="宋体"/>
                <w:color w:val="auto"/>
                <w:kern w:val="2"/>
                <w:szCs w:val="21"/>
                <w:highlight w:val="none"/>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49560F9A">
            <w:pPr>
              <w:tabs>
                <w:tab w:val="left" w:pos="567"/>
              </w:tabs>
              <w:ind w:left="567" w:hanging="567"/>
              <w:jc w:val="both"/>
              <w:rPr>
                <w:rFonts w:hAnsi="宋体"/>
                <w:color w:val="auto"/>
                <w:kern w:val="2"/>
                <w:szCs w:val="21"/>
                <w:highlight w:val="none"/>
                <w:lang w:val="zh-CN"/>
              </w:rPr>
            </w:pPr>
            <w:r>
              <w:rPr>
                <w:rFonts w:hint="eastAsia" w:hAnsi="宋体"/>
                <w:color w:val="auto"/>
                <w:kern w:val="2"/>
                <w:szCs w:val="21"/>
                <w:highlight w:val="none"/>
                <w:lang w:val="zh-CN"/>
              </w:rPr>
              <w:t>投标保证金专用账户如下：</w:t>
            </w:r>
          </w:p>
          <w:p w14:paraId="5B38EC40">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帐户名称：</w:t>
            </w:r>
            <w:r>
              <w:rPr>
                <w:rFonts w:hint="eastAsia" w:hAnsi="宋体" w:cs="宋体"/>
                <w:color w:val="auto"/>
                <w:kern w:val="2"/>
                <w:szCs w:val="21"/>
                <w:highlight w:val="none"/>
                <w:u w:val="single"/>
              </w:rPr>
              <w:t xml:space="preserve"> </w:t>
            </w:r>
            <w:r>
              <w:rPr>
                <w:rFonts w:hint="eastAsia" w:hAnsi="宋体" w:cs="宋体"/>
                <w:color w:val="auto"/>
                <w:kern w:val="2"/>
                <w:szCs w:val="21"/>
                <w:highlight w:val="none"/>
                <w:u w:val="single"/>
                <w:lang w:val="zh-CN"/>
              </w:rPr>
              <w:t>广西同泽工程项目管理股份有限公司东莞分公司</w:t>
            </w:r>
            <w:r>
              <w:rPr>
                <w:rFonts w:hint="eastAsia" w:hAnsi="宋体" w:cs="宋体"/>
                <w:color w:val="auto"/>
                <w:kern w:val="2"/>
                <w:szCs w:val="21"/>
                <w:highlight w:val="none"/>
                <w:u w:val="single"/>
              </w:rPr>
              <w:t xml:space="preserve"> </w:t>
            </w:r>
            <w:r>
              <w:rPr>
                <w:rFonts w:hint="eastAsia" w:hAnsi="宋体" w:cs="宋体"/>
                <w:color w:val="auto"/>
                <w:kern w:val="2"/>
                <w:szCs w:val="21"/>
                <w:highlight w:val="none"/>
                <w:lang w:val="zh-CN"/>
              </w:rPr>
              <w:t>；</w:t>
            </w:r>
          </w:p>
          <w:p w14:paraId="792E13E8">
            <w:pPr>
              <w:shd w:val="clear"/>
              <w:tabs>
                <w:tab w:val="left" w:pos="567"/>
              </w:tabs>
              <w:ind w:firstLine="420" w:firstLineChars="200"/>
              <w:jc w:val="both"/>
              <w:rPr>
                <w:rFonts w:hAnsi="宋体" w:cs="宋体"/>
                <w:color w:val="auto"/>
                <w:kern w:val="2"/>
                <w:sz w:val="21"/>
                <w:szCs w:val="21"/>
                <w:highlight w:val="none"/>
                <w:lang w:val="zh-CN"/>
              </w:rPr>
            </w:pPr>
            <w:r>
              <w:rPr>
                <w:rFonts w:hint="eastAsia" w:hAnsi="宋体" w:cs="宋体"/>
                <w:color w:val="auto"/>
                <w:kern w:val="2"/>
                <w:szCs w:val="21"/>
                <w:highlight w:val="none"/>
                <w:lang w:val="zh-CN"/>
              </w:rPr>
              <w:t xml:space="preserve">开户银行： </w:t>
            </w:r>
            <w:r>
              <w:rPr>
                <w:rFonts w:hint="eastAsia" w:hAnsi="宋体" w:cs="宋体"/>
                <w:color w:val="auto"/>
                <w:kern w:val="2"/>
                <w:sz w:val="21"/>
                <w:szCs w:val="21"/>
                <w:highlight w:val="none"/>
                <w:u w:val="single"/>
              </w:rPr>
              <w:t xml:space="preserve"> 中国民生银行东莞松山湖支行  </w:t>
            </w:r>
            <w:r>
              <w:rPr>
                <w:rFonts w:hint="eastAsia" w:hAnsi="宋体" w:cs="宋体"/>
                <w:color w:val="auto"/>
                <w:kern w:val="2"/>
                <w:sz w:val="21"/>
                <w:szCs w:val="21"/>
                <w:highlight w:val="none"/>
                <w:lang w:val="zh-CN"/>
              </w:rPr>
              <w:t>；</w:t>
            </w:r>
          </w:p>
          <w:p w14:paraId="4C9587EC">
            <w:pPr>
              <w:tabs>
                <w:tab w:val="left" w:pos="567"/>
              </w:tabs>
              <w:ind w:firstLine="420" w:firstLineChars="200"/>
              <w:jc w:val="both"/>
              <w:rPr>
                <w:rFonts w:hint="eastAsia" w:hAnsi="宋体" w:cs="宋体"/>
                <w:color w:val="auto"/>
                <w:kern w:val="2"/>
                <w:sz w:val="21"/>
                <w:szCs w:val="21"/>
                <w:highlight w:val="none"/>
                <w:u w:val="single"/>
                <w:lang w:val="en-US" w:eastAsia="zh-CN"/>
              </w:rPr>
            </w:pPr>
            <w:r>
              <w:rPr>
                <w:rFonts w:hint="eastAsia" w:hAnsi="宋体" w:cs="宋体"/>
                <w:color w:val="auto"/>
                <w:kern w:val="2"/>
                <w:sz w:val="21"/>
                <w:szCs w:val="21"/>
                <w:highlight w:val="none"/>
                <w:lang w:val="zh-CN"/>
              </w:rPr>
              <w:t xml:space="preserve">银行帐号： </w:t>
            </w:r>
            <w:r>
              <w:rPr>
                <w:rFonts w:hint="eastAsia" w:hAnsi="宋体" w:cs="宋体"/>
                <w:color w:val="auto"/>
                <w:kern w:val="2"/>
                <w:sz w:val="21"/>
                <w:szCs w:val="21"/>
                <w:highlight w:val="none"/>
                <w:u w:val="single"/>
              </w:rPr>
              <w:t xml:space="preserve"> </w:t>
            </w:r>
            <w:r>
              <w:rPr>
                <w:rFonts w:hint="eastAsia" w:ascii="宋体" w:hAnsi="宋体" w:eastAsia="宋体" w:cs="宋体"/>
                <w:color w:val="auto"/>
                <w:kern w:val="2"/>
                <w:sz w:val="21"/>
                <w:szCs w:val="21"/>
                <w:highlight w:val="none"/>
                <w:u w:val="single"/>
                <w:lang w:val="en-US" w:eastAsia="zh-CN"/>
              </w:rPr>
              <w:t xml:space="preserve"> 641169654 </w:t>
            </w:r>
            <w:r>
              <w:rPr>
                <w:rFonts w:hint="eastAsia" w:hAnsi="宋体" w:cs="宋体"/>
                <w:color w:val="auto"/>
                <w:kern w:val="2"/>
                <w:sz w:val="21"/>
                <w:szCs w:val="21"/>
                <w:highlight w:val="none"/>
                <w:u w:val="single"/>
                <w:lang w:val="en-US" w:eastAsia="zh-CN"/>
              </w:rPr>
              <w:t xml:space="preserve"> </w:t>
            </w:r>
          </w:p>
          <w:p w14:paraId="2197B350">
            <w:pPr>
              <w:tabs>
                <w:tab w:val="left" w:pos="567"/>
              </w:tabs>
              <w:ind w:firstLine="422" w:firstLineChars="200"/>
              <w:jc w:val="both"/>
              <w:rPr>
                <w:rFonts w:ascii="宋体" w:hAnsi="宋体"/>
                <w:b/>
                <w:color w:val="auto"/>
                <w:szCs w:val="21"/>
                <w:highlight w:val="none"/>
              </w:rPr>
            </w:pPr>
            <w:r>
              <w:rPr>
                <w:rFonts w:hint="eastAsia" w:hAnsi="宋体" w:cs="宋体"/>
                <w:b/>
                <w:color w:val="auto"/>
                <w:szCs w:val="21"/>
                <w:highlight w:val="none"/>
              </w:rPr>
              <w:t>（注：各投标人在转帐或电汇时须在用途栏上备注项目编号，及项目名称，如有字数限制项目名称可简写。）</w:t>
            </w:r>
          </w:p>
        </w:tc>
      </w:tr>
      <w:tr w14:paraId="2265777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trPr>
        <w:tc>
          <w:tcPr>
            <w:tcW w:w="994" w:type="dxa"/>
            <w:vMerge w:val="restart"/>
            <w:tcBorders>
              <w:tl2br w:val="nil"/>
              <w:tr2bl w:val="nil"/>
            </w:tcBorders>
            <w:vAlign w:val="center"/>
          </w:tcPr>
          <w:p w14:paraId="42BFA62F">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8</w:t>
            </w:r>
          </w:p>
        </w:tc>
        <w:tc>
          <w:tcPr>
            <w:tcW w:w="8525" w:type="dxa"/>
            <w:gridSpan w:val="2"/>
            <w:tcBorders>
              <w:tl2br w:val="nil"/>
              <w:tr2bl w:val="nil"/>
            </w:tcBorders>
            <w:vAlign w:val="center"/>
          </w:tcPr>
          <w:p w14:paraId="58C92C30">
            <w:pPr>
              <w:jc w:val="both"/>
              <w:rPr>
                <w:rFonts w:ascii="宋体" w:hAnsi="宋体"/>
                <w:b/>
                <w:bCs/>
                <w:color w:val="auto"/>
                <w:szCs w:val="21"/>
                <w:highlight w:val="none"/>
                <w:lang w:val="zh-CN"/>
              </w:rPr>
            </w:pPr>
            <w:r>
              <w:rPr>
                <w:rFonts w:hint="eastAsia" w:ascii="宋体" w:hAnsi="宋体"/>
                <w:b/>
                <w:bCs/>
                <w:color w:val="auto"/>
                <w:szCs w:val="21"/>
                <w:highlight w:val="none"/>
                <w:lang w:val="zh-CN"/>
              </w:rPr>
              <w:t>投标保证金退还</w:t>
            </w:r>
          </w:p>
        </w:tc>
      </w:tr>
      <w:tr w14:paraId="7BBFEC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704" w:hRule="atLeast"/>
        </w:trPr>
        <w:tc>
          <w:tcPr>
            <w:tcW w:w="994" w:type="dxa"/>
            <w:vMerge w:val="continue"/>
            <w:tcBorders>
              <w:tl2br w:val="nil"/>
              <w:tr2bl w:val="nil"/>
            </w:tcBorders>
            <w:vAlign w:val="center"/>
          </w:tcPr>
          <w:p w14:paraId="5A395185">
            <w:pPr>
              <w:jc w:val="center"/>
              <w:rPr>
                <w:rFonts w:ascii="宋体" w:hAnsi="宋体"/>
                <w:color w:val="auto"/>
                <w:szCs w:val="21"/>
                <w:highlight w:val="none"/>
              </w:rPr>
            </w:pPr>
          </w:p>
        </w:tc>
        <w:tc>
          <w:tcPr>
            <w:tcW w:w="8525" w:type="dxa"/>
            <w:gridSpan w:val="2"/>
            <w:tcBorders>
              <w:tl2br w:val="nil"/>
              <w:tr2bl w:val="nil"/>
            </w:tcBorders>
            <w:vAlign w:val="center"/>
          </w:tcPr>
          <w:p w14:paraId="6763CF26">
            <w:pPr>
              <w:jc w:val="both"/>
              <w:rPr>
                <w:rFonts w:ascii="宋体" w:hAnsi="宋体"/>
                <w:color w:val="auto"/>
                <w:szCs w:val="21"/>
                <w:highlight w:val="none"/>
                <w:lang w:val="zh-CN"/>
              </w:rPr>
            </w:pPr>
            <w:r>
              <w:rPr>
                <w:rFonts w:hint="eastAsia" w:ascii="宋体" w:hAnsi="宋体"/>
                <w:color w:val="auto"/>
                <w:szCs w:val="21"/>
                <w:highlight w:val="none"/>
                <w:lang w:val="zh-CN"/>
              </w:rPr>
              <w:t>（</w:t>
            </w:r>
            <w:r>
              <w:rPr>
                <w:rFonts w:hint="eastAsia" w:ascii="宋体" w:hAnsi="宋体"/>
                <w:color w:val="auto"/>
                <w:szCs w:val="21"/>
                <w:highlight w:val="none"/>
              </w:rPr>
              <w:t>1</w:t>
            </w:r>
            <w:r>
              <w:rPr>
                <w:rFonts w:hint="eastAsia" w:ascii="宋体" w:hAnsi="宋体"/>
                <w:color w:val="auto"/>
                <w:szCs w:val="21"/>
                <w:highlight w:val="none"/>
                <w:lang w:val="zh-CN"/>
              </w:rPr>
              <w:t>）未中标的投标人的保证金应当在中标通知书发出后退还，中标</w:t>
            </w:r>
            <w:r>
              <w:rPr>
                <w:rFonts w:hint="eastAsia" w:ascii="宋体" w:hAnsi="宋体"/>
                <w:color w:val="auto"/>
                <w:szCs w:val="21"/>
                <w:highlight w:val="none"/>
              </w:rPr>
              <w:t>的</w:t>
            </w:r>
            <w:r>
              <w:rPr>
                <w:rFonts w:hint="eastAsia" w:ascii="宋体" w:hAnsi="宋体"/>
                <w:color w:val="auto"/>
                <w:szCs w:val="21"/>
                <w:highlight w:val="none"/>
                <w:lang w:val="zh-CN"/>
              </w:rPr>
              <w:t>投标人的保证金应当在采购合同签订</w:t>
            </w:r>
            <w:r>
              <w:rPr>
                <w:rFonts w:hint="eastAsia" w:ascii="宋体" w:hAnsi="宋体"/>
                <w:color w:val="auto"/>
                <w:szCs w:val="21"/>
                <w:highlight w:val="none"/>
              </w:rPr>
              <w:t>并缴纳履约保证金</w:t>
            </w:r>
            <w:r>
              <w:rPr>
                <w:rFonts w:hint="eastAsia" w:ascii="宋体" w:hAnsi="宋体"/>
                <w:color w:val="auto"/>
                <w:szCs w:val="21"/>
                <w:highlight w:val="none"/>
                <w:lang w:val="zh-CN"/>
              </w:rPr>
              <w:t>后退还。</w:t>
            </w:r>
          </w:p>
          <w:p w14:paraId="561969A8">
            <w:pPr>
              <w:jc w:val="both"/>
              <w:rPr>
                <w:color w:val="auto"/>
                <w:highlight w:val="none"/>
              </w:rPr>
            </w:pPr>
            <w:r>
              <w:rPr>
                <w:rFonts w:hint="eastAsia" w:ascii="宋体" w:hAnsi="宋体"/>
                <w:color w:val="auto"/>
                <w:szCs w:val="21"/>
                <w:highlight w:val="none"/>
                <w:lang w:val="zh-CN"/>
              </w:rPr>
              <w:t>（</w:t>
            </w:r>
            <w:r>
              <w:rPr>
                <w:rFonts w:hint="eastAsia" w:ascii="宋体" w:hAnsi="宋体"/>
                <w:color w:val="auto"/>
                <w:szCs w:val="21"/>
                <w:highlight w:val="none"/>
              </w:rPr>
              <w:t>2</w:t>
            </w:r>
            <w:r>
              <w:rPr>
                <w:rFonts w:hint="eastAsia" w:ascii="宋体" w:hAnsi="宋体"/>
                <w:color w:val="auto"/>
                <w:szCs w:val="21"/>
                <w:highlight w:val="none"/>
                <w:lang w:val="zh-CN"/>
              </w:rPr>
              <w:t>）为方便退还未中标的投标人的保证金，投标人应制作《投标保证金汇入情况说明》随唱标信封一并递交。</w:t>
            </w:r>
          </w:p>
        </w:tc>
      </w:tr>
      <w:tr w14:paraId="76821C6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994" w:type="dxa"/>
            <w:vMerge w:val="restart"/>
            <w:tcBorders>
              <w:tl2br w:val="nil"/>
              <w:tr2bl w:val="nil"/>
            </w:tcBorders>
            <w:vAlign w:val="center"/>
          </w:tcPr>
          <w:p w14:paraId="3AD9E344">
            <w:pPr>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9</w:t>
            </w:r>
          </w:p>
        </w:tc>
        <w:tc>
          <w:tcPr>
            <w:tcW w:w="8525" w:type="dxa"/>
            <w:gridSpan w:val="2"/>
            <w:tcBorders>
              <w:tl2br w:val="nil"/>
              <w:tr2bl w:val="nil"/>
            </w:tcBorders>
            <w:vAlign w:val="center"/>
          </w:tcPr>
          <w:p w14:paraId="2ADE6D6F">
            <w:pPr>
              <w:jc w:val="both"/>
              <w:rPr>
                <w:rFonts w:ascii="宋体" w:hAnsi="宋体"/>
                <w:b/>
                <w:color w:val="auto"/>
                <w:szCs w:val="21"/>
                <w:highlight w:val="none"/>
              </w:rPr>
            </w:pPr>
            <w:r>
              <w:rPr>
                <w:rFonts w:hint="eastAsia" w:ascii="宋体" w:hAnsi="宋体"/>
                <w:b/>
                <w:color w:val="auto"/>
                <w:szCs w:val="21"/>
                <w:highlight w:val="none"/>
              </w:rPr>
              <w:t>投标有效期</w:t>
            </w:r>
          </w:p>
        </w:tc>
      </w:tr>
      <w:tr w14:paraId="5A56C9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994" w:type="dxa"/>
            <w:vMerge w:val="continue"/>
            <w:tcBorders>
              <w:tl2br w:val="nil"/>
              <w:tr2bl w:val="nil"/>
            </w:tcBorders>
            <w:vAlign w:val="center"/>
          </w:tcPr>
          <w:p w14:paraId="2B9359E1">
            <w:pPr>
              <w:jc w:val="center"/>
              <w:rPr>
                <w:rFonts w:ascii="宋体" w:hAnsi="宋体"/>
                <w:color w:val="auto"/>
                <w:szCs w:val="21"/>
                <w:highlight w:val="none"/>
              </w:rPr>
            </w:pPr>
          </w:p>
        </w:tc>
        <w:tc>
          <w:tcPr>
            <w:tcW w:w="8525" w:type="dxa"/>
            <w:gridSpan w:val="2"/>
            <w:tcBorders>
              <w:tl2br w:val="nil"/>
              <w:tr2bl w:val="nil"/>
            </w:tcBorders>
            <w:vAlign w:val="center"/>
          </w:tcPr>
          <w:p w14:paraId="5992F919">
            <w:pPr>
              <w:jc w:val="both"/>
              <w:rPr>
                <w:rFonts w:ascii="宋体" w:hAnsi="宋体"/>
                <w:b/>
                <w:color w:val="auto"/>
                <w:szCs w:val="21"/>
                <w:highlight w:val="none"/>
              </w:rPr>
            </w:pPr>
            <w:r>
              <w:rPr>
                <w:rFonts w:hint="eastAsia" w:ascii="宋体" w:hAnsi="宋体"/>
                <w:color w:val="auto"/>
                <w:szCs w:val="21"/>
                <w:highlight w:val="none"/>
              </w:rPr>
              <w:t>九十天。</w:t>
            </w:r>
          </w:p>
        </w:tc>
      </w:tr>
      <w:tr w14:paraId="696846A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994" w:type="dxa"/>
            <w:vMerge w:val="restart"/>
            <w:tcBorders>
              <w:tl2br w:val="nil"/>
              <w:tr2bl w:val="nil"/>
            </w:tcBorders>
            <w:vAlign w:val="center"/>
          </w:tcPr>
          <w:p w14:paraId="385F1B8D">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8525" w:type="dxa"/>
            <w:gridSpan w:val="2"/>
            <w:tcBorders>
              <w:tl2br w:val="nil"/>
              <w:tr2bl w:val="nil"/>
            </w:tcBorders>
            <w:vAlign w:val="center"/>
          </w:tcPr>
          <w:p w14:paraId="5902E298">
            <w:pPr>
              <w:jc w:val="center"/>
              <w:rPr>
                <w:rFonts w:ascii="宋体" w:hAnsi="宋体"/>
                <w:b/>
                <w:color w:val="auto"/>
                <w:szCs w:val="21"/>
                <w:highlight w:val="none"/>
              </w:rPr>
            </w:pPr>
            <w:r>
              <w:rPr>
                <w:rFonts w:hint="eastAsia" w:ascii="宋体" w:hAnsi="宋体"/>
                <w:b/>
                <w:color w:val="auto"/>
                <w:szCs w:val="21"/>
                <w:highlight w:val="none"/>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077D913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994" w:type="dxa"/>
            <w:vMerge w:val="continue"/>
            <w:tcBorders>
              <w:tl2br w:val="nil"/>
              <w:tr2bl w:val="nil"/>
            </w:tcBorders>
            <w:vAlign w:val="center"/>
          </w:tcPr>
          <w:p w14:paraId="688C64AB">
            <w:pPr>
              <w:jc w:val="center"/>
              <w:rPr>
                <w:rFonts w:ascii="宋体" w:hAnsi="宋体"/>
                <w:color w:val="auto"/>
                <w:szCs w:val="21"/>
                <w:highlight w:val="none"/>
              </w:rPr>
            </w:pPr>
          </w:p>
        </w:tc>
        <w:tc>
          <w:tcPr>
            <w:tcW w:w="2952" w:type="dxa"/>
            <w:tcBorders>
              <w:tl2br w:val="nil"/>
              <w:tr2bl w:val="nil"/>
            </w:tcBorders>
            <w:vAlign w:val="center"/>
          </w:tcPr>
          <w:p w14:paraId="0F0136CF">
            <w:pPr>
              <w:jc w:val="center"/>
              <w:rPr>
                <w:rFonts w:ascii="宋体" w:hAnsi="宋体"/>
                <w:b/>
                <w:color w:val="auto"/>
                <w:szCs w:val="21"/>
                <w:highlight w:val="none"/>
              </w:rPr>
            </w:pPr>
            <w:r>
              <w:rPr>
                <w:rFonts w:hint="eastAsia" w:ascii="宋体" w:hAnsi="宋体"/>
                <w:b/>
                <w:color w:val="auto"/>
                <w:szCs w:val="21"/>
                <w:highlight w:val="none"/>
              </w:rPr>
              <w:t>投标文件类型</w:t>
            </w:r>
          </w:p>
        </w:tc>
        <w:tc>
          <w:tcPr>
            <w:tcW w:w="5573" w:type="dxa"/>
            <w:tcBorders>
              <w:tl2br w:val="nil"/>
              <w:tr2bl w:val="nil"/>
            </w:tcBorders>
            <w:vAlign w:val="center"/>
          </w:tcPr>
          <w:p w14:paraId="74B4037C">
            <w:pPr>
              <w:jc w:val="center"/>
              <w:rPr>
                <w:rFonts w:ascii="宋体" w:hAnsi="宋体"/>
                <w:b/>
                <w:color w:val="auto"/>
                <w:szCs w:val="21"/>
                <w:highlight w:val="none"/>
              </w:rPr>
            </w:pPr>
            <w:r>
              <w:rPr>
                <w:rFonts w:hint="eastAsia" w:ascii="宋体" w:hAnsi="宋体"/>
                <w:b/>
                <w:color w:val="auto"/>
                <w:szCs w:val="21"/>
                <w:highlight w:val="none"/>
              </w:rPr>
              <w:t>份数</w:t>
            </w:r>
          </w:p>
        </w:tc>
      </w:tr>
      <w:tr w14:paraId="1B3786D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994" w:type="dxa"/>
            <w:vMerge w:val="continue"/>
            <w:tcBorders>
              <w:tl2br w:val="nil"/>
              <w:tr2bl w:val="nil"/>
            </w:tcBorders>
            <w:vAlign w:val="center"/>
          </w:tcPr>
          <w:p w14:paraId="148A29A5">
            <w:pPr>
              <w:jc w:val="center"/>
              <w:rPr>
                <w:rFonts w:ascii="宋体" w:hAnsi="宋体"/>
                <w:color w:val="auto"/>
                <w:szCs w:val="21"/>
                <w:highlight w:val="none"/>
              </w:rPr>
            </w:pPr>
          </w:p>
        </w:tc>
        <w:tc>
          <w:tcPr>
            <w:tcW w:w="2952" w:type="dxa"/>
            <w:tcBorders>
              <w:tl2br w:val="nil"/>
              <w:tr2bl w:val="nil"/>
            </w:tcBorders>
            <w:vAlign w:val="center"/>
          </w:tcPr>
          <w:p w14:paraId="2EC57D45">
            <w:pPr>
              <w:jc w:val="center"/>
              <w:rPr>
                <w:rFonts w:ascii="宋体" w:hAnsi="宋体"/>
                <w:b/>
                <w:color w:val="auto"/>
                <w:szCs w:val="21"/>
                <w:highlight w:val="none"/>
              </w:rPr>
            </w:pPr>
            <w:r>
              <w:rPr>
                <w:rFonts w:hint="eastAsia" w:ascii="宋体" w:hAnsi="宋体"/>
                <w:b/>
                <w:color w:val="auto"/>
                <w:szCs w:val="21"/>
                <w:highlight w:val="none"/>
              </w:rPr>
              <w:t>唱标信封</w:t>
            </w:r>
          </w:p>
        </w:tc>
        <w:tc>
          <w:tcPr>
            <w:tcW w:w="5573" w:type="dxa"/>
            <w:tcBorders>
              <w:tl2br w:val="nil"/>
              <w:tr2bl w:val="nil"/>
            </w:tcBorders>
            <w:vAlign w:val="center"/>
          </w:tcPr>
          <w:p w14:paraId="6FB9D93B">
            <w:pPr>
              <w:jc w:val="center"/>
              <w:rPr>
                <w:rFonts w:ascii="宋体" w:hAnsi="宋体"/>
                <w:b/>
                <w:color w:val="auto"/>
                <w:szCs w:val="21"/>
                <w:highlight w:val="none"/>
              </w:rPr>
            </w:pPr>
            <w:r>
              <w:rPr>
                <w:rFonts w:hint="eastAsia" w:ascii="宋体" w:hAnsi="宋体"/>
                <w:b/>
                <w:color w:val="auto"/>
                <w:szCs w:val="21"/>
                <w:highlight w:val="none"/>
              </w:rPr>
              <w:t>1</w:t>
            </w:r>
          </w:p>
        </w:tc>
      </w:tr>
      <w:tr w14:paraId="4C918B2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994" w:type="dxa"/>
            <w:vMerge w:val="continue"/>
            <w:tcBorders>
              <w:tl2br w:val="nil"/>
              <w:tr2bl w:val="nil"/>
            </w:tcBorders>
            <w:vAlign w:val="center"/>
          </w:tcPr>
          <w:p w14:paraId="7474B8FD">
            <w:pPr>
              <w:jc w:val="center"/>
              <w:rPr>
                <w:rFonts w:ascii="宋体" w:hAnsi="宋体"/>
                <w:color w:val="auto"/>
                <w:szCs w:val="21"/>
                <w:highlight w:val="none"/>
              </w:rPr>
            </w:pPr>
          </w:p>
        </w:tc>
        <w:tc>
          <w:tcPr>
            <w:tcW w:w="2952" w:type="dxa"/>
            <w:tcBorders>
              <w:tl2br w:val="nil"/>
              <w:tr2bl w:val="nil"/>
            </w:tcBorders>
            <w:vAlign w:val="center"/>
          </w:tcPr>
          <w:p w14:paraId="7548ADD7">
            <w:pPr>
              <w:jc w:val="center"/>
              <w:rPr>
                <w:rFonts w:ascii="宋体" w:hAnsi="宋体"/>
                <w:b/>
                <w:color w:val="auto"/>
                <w:szCs w:val="21"/>
                <w:highlight w:val="none"/>
              </w:rPr>
            </w:pPr>
            <w:r>
              <w:rPr>
                <w:rFonts w:hint="eastAsia" w:ascii="宋体" w:hAnsi="宋体"/>
                <w:b/>
                <w:color w:val="auto"/>
                <w:szCs w:val="21"/>
                <w:highlight w:val="none"/>
              </w:rPr>
              <w:t>投标文件正本</w:t>
            </w:r>
          </w:p>
        </w:tc>
        <w:tc>
          <w:tcPr>
            <w:tcW w:w="5573" w:type="dxa"/>
            <w:tcBorders>
              <w:tl2br w:val="nil"/>
              <w:tr2bl w:val="nil"/>
            </w:tcBorders>
            <w:vAlign w:val="center"/>
          </w:tcPr>
          <w:p w14:paraId="79BFC668">
            <w:pPr>
              <w:jc w:val="center"/>
              <w:rPr>
                <w:rFonts w:ascii="宋体" w:hAnsi="宋体"/>
                <w:b/>
                <w:color w:val="auto"/>
                <w:szCs w:val="21"/>
                <w:highlight w:val="none"/>
              </w:rPr>
            </w:pPr>
            <w:r>
              <w:rPr>
                <w:rFonts w:hint="eastAsia" w:ascii="宋体" w:hAnsi="宋体"/>
                <w:b/>
                <w:color w:val="auto"/>
                <w:szCs w:val="21"/>
                <w:highlight w:val="none"/>
              </w:rPr>
              <w:t>1</w:t>
            </w:r>
          </w:p>
        </w:tc>
      </w:tr>
      <w:tr w14:paraId="17A618A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trPr>
        <w:tc>
          <w:tcPr>
            <w:tcW w:w="994" w:type="dxa"/>
            <w:vMerge w:val="continue"/>
            <w:tcBorders>
              <w:tl2br w:val="nil"/>
              <w:tr2bl w:val="nil"/>
            </w:tcBorders>
            <w:vAlign w:val="center"/>
          </w:tcPr>
          <w:p w14:paraId="425D14FD">
            <w:pPr>
              <w:jc w:val="center"/>
              <w:rPr>
                <w:rFonts w:ascii="宋体" w:hAnsi="宋体"/>
                <w:color w:val="auto"/>
                <w:szCs w:val="21"/>
                <w:highlight w:val="none"/>
              </w:rPr>
            </w:pPr>
          </w:p>
        </w:tc>
        <w:tc>
          <w:tcPr>
            <w:tcW w:w="2952" w:type="dxa"/>
            <w:tcBorders>
              <w:tl2br w:val="nil"/>
              <w:tr2bl w:val="nil"/>
            </w:tcBorders>
            <w:vAlign w:val="center"/>
          </w:tcPr>
          <w:p w14:paraId="4A2A62BA">
            <w:pPr>
              <w:jc w:val="center"/>
              <w:rPr>
                <w:rFonts w:ascii="宋体" w:hAnsi="宋体"/>
                <w:b/>
                <w:color w:val="auto"/>
                <w:szCs w:val="21"/>
                <w:highlight w:val="none"/>
              </w:rPr>
            </w:pPr>
            <w:r>
              <w:rPr>
                <w:rFonts w:hint="eastAsia" w:ascii="宋体" w:hAnsi="宋体"/>
                <w:b/>
                <w:color w:val="auto"/>
                <w:szCs w:val="21"/>
                <w:highlight w:val="none"/>
              </w:rPr>
              <w:t>投标文件副本</w:t>
            </w:r>
          </w:p>
        </w:tc>
        <w:tc>
          <w:tcPr>
            <w:tcW w:w="5573" w:type="dxa"/>
            <w:tcBorders>
              <w:tl2br w:val="nil"/>
              <w:tr2bl w:val="nil"/>
            </w:tcBorders>
            <w:vAlign w:val="center"/>
          </w:tcPr>
          <w:p w14:paraId="076309D4">
            <w:pPr>
              <w:jc w:val="center"/>
              <w:rPr>
                <w:rFonts w:ascii="宋体" w:hAnsi="宋体"/>
                <w:b/>
                <w:color w:val="auto"/>
                <w:szCs w:val="21"/>
                <w:highlight w:val="none"/>
              </w:rPr>
            </w:pPr>
            <w:r>
              <w:rPr>
                <w:rFonts w:hint="eastAsia" w:ascii="宋体" w:hAnsi="宋体"/>
                <w:b/>
                <w:bCs/>
                <w:color w:val="auto"/>
                <w:szCs w:val="21"/>
                <w:highlight w:val="none"/>
                <w:lang w:eastAsia="zh-CN"/>
              </w:rPr>
              <w:sym w:font="Wingdings" w:char="00FE"/>
            </w:r>
            <w:r>
              <w:rPr>
                <w:rFonts w:hint="eastAsia" w:ascii="宋体" w:hAnsi="宋体"/>
                <w:b/>
                <w:color w:val="auto"/>
                <w:szCs w:val="21"/>
                <w:highlight w:val="none"/>
              </w:rPr>
              <w:t xml:space="preserve">5  </w:t>
            </w:r>
            <w:r>
              <w:rPr>
                <w:rFonts w:hint="eastAsia" w:ascii="宋体" w:hAnsi="宋体"/>
                <w:b/>
                <w:bCs/>
                <w:color w:val="auto"/>
                <w:szCs w:val="21"/>
                <w:highlight w:val="none"/>
                <w:lang w:eastAsia="zh-CN"/>
              </w:rPr>
              <w:sym w:font="Wingdings" w:char="00A8"/>
            </w:r>
            <w:r>
              <w:rPr>
                <w:rFonts w:hint="eastAsia" w:ascii="宋体" w:hAnsi="宋体"/>
                <w:b/>
                <w:color w:val="auto"/>
                <w:szCs w:val="21"/>
                <w:highlight w:val="none"/>
              </w:rPr>
              <w:t>7</w:t>
            </w:r>
          </w:p>
        </w:tc>
      </w:tr>
      <w:tr w14:paraId="0DB918B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994" w:type="dxa"/>
            <w:vMerge w:val="continue"/>
            <w:tcBorders>
              <w:tl2br w:val="nil"/>
              <w:tr2bl w:val="nil"/>
            </w:tcBorders>
            <w:vAlign w:val="center"/>
          </w:tcPr>
          <w:p w14:paraId="5AD014BB">
            <w:pPr>
              <w:jc w:val="center"/>
              <w:rPr>
                <w:rFonts w:ascii="宋体" w:hAnsi="宋体"/>
                <w:color w:val="auto"/>
                <w:szCs w:val="21"/>
                <w:highlight w:val="none"/>
              </w:rPr>
            </w:pPr>
          </w:p>
        </w:tc>
        <w:tc>
          <w:tcPr>
            <w:tcW w:w="2952" w:type="dxa"/>
            <w:vMerge w:val="restart"/>
            <w:tcBorders>
              <w:tl2br w:val="nil"/>
              <w:tr2bl w:val="nil"/>
            </w:tcBorders>
            <w:vAlign w:val="center"/>
          </w:tcPr>
          <w:p w14:paraId="3E08A44C">
            <w:pPr>
              <w:jc w:val="center"/>
              <w:rPr>
                <w:rFonts w:ascii="宋体" w:hAnsi="宋体"/>
                <w:b/>
                <w:color w:val="auto"/>
                <w:szCs w:val="21"/>
                <w:highlight w:val="none"/>
              </w:rPr>
            </w:pPr>
            <w:r>
              <w:rPr>
                <w:rFonts w:hint="eastAsia" w:ascii="宋体" w:hAnsi="宋体"/>
                <w:b/>
                <w:color w:val="auto"/>
                <w:szCs w:val="21"/>
                <w:highlight w:val="none"/>
              </w:rPr>
              <w:t>电子文档</w:t>
            </w:r>
          </w:p>
        </w:tc>
        <w:tc>
          <w:tcPr>
            <w:tcW w:w="5573" w:type="dxa"/>
            <w:tcBorders>
              <w:tl2br w:val="nil"/>
              <w:tr2bl w:val="nil"/>
            </w:tcBorders>
            <w:vAlign w:val="center"/>
          </w:tcPr>
          <w:p w14:paraId="016E1497">
            <w:pPr>
              <w:jc w:val="center"/>
              <w:rPr>
                <w:rFonts w:ascii="宋体" w:hAnsi="宋体"/>
                <w:b/>
                <w:color w:val="auto"/>
                <w:szCs w:val="21"/>
                <w:highlight w:val="none"/>
              </w:rPr>
            </w:pPr>
            <w:r>
              <w:rPr>
                <w:rFonts w:hint="eastAsia" w:ascii="宋体" w:hAnsi="宋体"/>
                <w:b/>
                <w:color w:val="auto"/>
                <w:szCs w:val="21"/>
                <w:highlight w:val="none"/>
              </w:rPr>
              <w:t>1</w:t>
            </w:r>
          </w:p>
        </w:tc>
      </w:tr>
      <w:tr w14:paraId="4656EA5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994" w:type="dxa"/>
            <w:vMerge w:val="continue"/>
            <w:tcBorders>
              <w:tl2br w:val="nil"/>
              <w:tr2bl w:val="nil"/>
            </w:tcBorders>
            <w:vAlign w:val="center"/>
          </w:tcPr>
          <w:p w14:paraId="61DB404F">
            <w:pPr>
              <w:jc w:val="center"/>
              <w:rPr>
                <w:rFonts w:ascii="宋体" w:hAnsi="宋体"/>
                <w:color w:val="auto"/>
                <w:szCs w:val="21"/>
                <w:highlight w:val="none"/>
              </w:rPr>
            </w:pPr>
          </w:p>
        </w:tc>
        <w:tc>
          <w:tcPr>
            <w:tcW w:w="2952" w:type="dxa"/>
            <w:vMerge w:val="continue"/>
            <w:tcBorders>
              <w:tl2br w:val="nil"/>
              <w:tr2bl w:val="nil"/>
            </w:tcBorders>
            <w:vAlign w:val="center"/>
          </w:tcPr>
          <w:p w14:paraId="69D37170">
            <w:pPr>
              <w:jc w:val="center"/>
              <w:rPr>
                <w:rFonts w:ascii="宋体" w:hAnsi="宋体"/>
                <w:b/>
                <w:color w:val="auto"/>
                <w:szCs w:val="21"/>
                <w:highlight w:val="none"/>
              </w:rPr>
            </w:pPr>
          </w:p>
        </w:tc>
        <w:tc>
          <w:tcPr>
            <w:tcW w:w="5573" w:type="dxa"/>
            <w:tcBorders>
              <w:tl2br w:val="nil"/>
              <w:tr2bl w:val="nil"/>
            </w:tcBorders>
            <w:vAlign w:val="center"/>
          </w:tcPr>
          <w:p w14:paraId="062548D7">
            <w:pPr>
              <w:jc w:val="center"/>
              <w:rPr>
                <w:rFonts w:ascii="宋体" w:hAnsi="宋体"/>
                <w:b/>
                <w:color w:val="auto"/>
                <w:szCs w:val="21"/>
                <w:highlight w:val="none"/>
              </w:rPr>
            </w:pPr>
            <w:r>
              <w:rPr>
                <w:rFonts w:hint="eastAsia" w:ascii="宋体" w:hAnsi="宋体" w:cs="Times New Roman"/>
                <w:b/>
                <w:color w:val="auto"/>
                <w:szCs w:val="21"/>
                <w:highlight w:val="none"/>
              </w:rPr>
              <w:t>U盘，须含盖章版PDF投标文件和WORD版投标文件各一版，文字采用WORD文档，计算表格采用 EXCEL文档。</w:t>
            </w:r>
          </w:p>
        </w:tc>
      </w:tr>
      <w:tr w14:paraId="0006AEE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57" w:hRule="atLeast"/>
        </w:trPr>
        <w:tc>
          <w:tcPr>
            <w:tcW w:w="9519" w:type="dxa"/>
            <w:gridSpan w:val="3"/>
            <w:tcBorders>
              <w:tl2br w:val="nil"/>
              <w:tr2bl w:val="nil"/>
            </w:tcBorders>
            <w:vAlign w:val="center"/>
          </w:tcPr>
          <w:p w14:paraId="4549404D">
            <w:pPr>
              <w:jc w:val="center"/>
              <w:rPr>
                <w:rFonts w:ascii="宋体" w:hAnsi="宋体"/>
                <w:b/>
                <w:color w:val="auto"/>
                <w:szCs w:val="21"/>
                <w:highlight w:val="none"/>
              </w:rPr>
            </w:pPr>
            <w:r>
              <w:rPr>
                <w:rFonts w:hint="eastAsia" w:ascii="宋体" w:hAnsi="宋体"/>
                <w:b/>
                <w:color w:val="auto"/>
                <w:szCs w:val="21"/>
                <w:highlight w:val="none"/>
              </w:rPr>
              <w:t>三、开标与评标</w:t>
            </w:r>
          </w:p>
        </w:tc>
      </w:tr>
      <w:tr w14:paraId="4C0142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994" w:type="dxa"/>
            <w:vMerge w:val="restart"/>
            <w:tcBorders>
              <w:tl2br w:val="nil"/>
              <w:tr2bl w:val="nil"/>
            </w:tcBorders>
            <w:vAlign w:val="center"/>
          </w:tcPr>
          <w:p w14:paraId="4116823E">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11</w:t>
            </w:r>
          </w:p>
        </w:tc>
        <w:tc>
          <w:tcPr>
            <w:tcW w:w="8525" w:type="dxa"/>
            <w:gridSpan w:val="2"/>
            <w:tcBorders>
              <w:tl2br w:val="nil"/>
              <w:tr2bl w:val="nil"/>
            </w:tcBorders>
            <w:vAlign w:val="center"/>
          </w:tcPr>
          <w:p w14:paraId="7C10F42B">
            <w:pPr>
              <w:jc w:val="both"/>
              <w:rPr>
                <w:rFonts w:ascii="宋体" w:hAnsi="宋体"/>
                <w:color w:val="auto"/>
                <w:szCs w:val="21"/>
                <w:highlight w:val="none"/>
              </w:rPr>
            </w:pPr>
            <w:r>
              <w:rPr>
                <w:rFonts w:hint="eastAsia" w:ascii="宋体" w:hAnsi="宋体"/>
                <w:b/>
                <w:color w:val="auto"/>
                <w:szCs w:val="21"/>
                <w:highlight w:val="none"/>
              </w:rPr>
              <w:t>本项目评标方法</w:t>
            </w:r>
          </w:p>
        </w:tc>
      </w:tr>
      <w:tr w14:paraId="4E4E321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994" w:type="dxa"/>
            <w:vMerge w:val="continue"/>
            <w:tcBorders>
              <w:tl2br w:val="nil"/>
              <w:tr2bl w:val="nil"/>
            </w:tcBorders>
            <w:vAlign w:val="center"/>
          </w:tcPr>
          <w:p w14:paraId="4221BEB2">
            <w:pPr>
              <w:jc w:val="center"/>
              <w:rPr>
                <w:rFonts w:ascii="宋体" w:hAnsi="宋体"/>
                <w:color w:val="auto"/>
                <w:szCs w:val="21"/>
                <w:highlight w:val="none"/>
              </w:rPr>
            </w:pPr>
          </w:p>
        </w:tc>
        <w:tc>
          <w:tcPr>
            <w:tcW w:w="8525" w:type="dxa"/>
            <w:gridSpan w:val="2"/>
            <w:tcBorders>
              <w:tl2br w:val="nil"/>
              <w:tr2bl w:val="nil"/>
            </w:tcBorders>
            <w:vAlign w:val="center"/>
          </w:tcPr>
          <w:p w14:paraId="2CDA23A1">
            <w:pPr>
              <w:jc w:val="both"/>
              <w:rPr>
                <w:rFonts w:ascii="宋体" w:hAnsi="宋体"/>
                <w:b/>
                <w:color w:val="auto"/>
                <w:szCs w:val="21"/>
                <w:highlight w:val="none"/>
              </w:rPr>
            </w:pPr>
            <w:r>
              <w:rPr>
                <w:rFonts w:hint="eastAsia" w:ascii="宋体" w:hAnsi="宋体"/>
                <w:color w:val="auto"/>
                <w:szCs w:val="21"/>
                <w:highlight w:val="none"/>
              </w:rPr>
              <w:t>综合评分法。</w:t>
            </w:r>
          </w:p>
        </w:tc>
      </w:tr>
      <w:tr w14:paraId="46D9F7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994" w:type="dxa"/>
            <w:vMerge w:val="restart"/>
            <w:tcBorders>
              <w:tl2br w:val="nil"/>
              <w:tr2bl w:val="nil"/>
            </w:tcBorders>
            <w:vAlign w:val="center"/>
          </w:tcPr>
          <w:p w14:paraId="311B6843">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12</w:t>
            </w:r>
          </w:p>
        </w:tc>
        <w:tc>
          <w:tcPr>
            <w:tcW w:w="8525" w:type="dxa"/>
            <w:gridSpan w:val="2"/>
            <w:tcBorders>
              <w:tl2br w:val="nil"/>
              <w:tr2bl w:val="nil"/>
            </w:tcBorders>
            <w:vAlign w:val="center"/>
          </w:tcPr>
          <w:p w14:paraId="1B09E96A">
            <w:pPr>
              <w:jc w:val="both"/>
              <w:rPr>
                <w:rFonts w:ascii="宋体" w:hAnsi="宋体"/>
                <w:b/>
                <w:color w:val="auto"/>
                <w:szCs w:val="21"/>
                <w:highlight w:val="none"/>
              </w:rPr>
            </w:pPr>
            <w:r>
              <w:rPr>
                <w:rFonts w:hint="eastAsia" w:ascii="宋体" w:hAnsi="宋体"/>
                <w:b/>
                <w:color w:val="auto"/>
                <w:szCs w:val="21"/>
                <w:highlight w:val="none"/>
              </w:rPr>
              <w:t>综合评分法评分因素和权重分值</w:t>
            </w:r>
          </w:p>
        </w:tc>
      </w:tr>
      <w:tr w14:paraId="71CA43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994" w:type="dxa"/>
            <w:vMerge w:val="continue"/>
            <w:tcBorders>
              <w:tl2br w:val="nil"/>
              <w:tr2bl w:val="nil"/>
            </w:tcBorders>
            <w:vAlign w:val="center"/>
          </w:tcPr>
          <w:p w14:paraId="38B9B893">
            <w:pPr>
              <w:jc w:val="center"/>
              <w:rPr>
                <w:rFonts w:ascii="宋体" w:hAnsi="宋体"/>
                <w:color w:val="auto"/>
                <w:szCs w:val="21"/>
                <w:highlight w:val="none"/>
              </w:rPr>
            </w:pPr>
          </w:p>
        </w:tc>
        <w:tc>
          <w:tcPr>
            <w:tcW w:w="8525" w:type="dxa"/>
            <w:gridSpan w:val="2"/>
            <w:tcBorders>
              <w:tl2br w:val="nil"/>
              <w:tr2bl w:val="nil"/>
            </w:tcBorders>
            <w:vAlign w:val="center"/>
          </w:tcPr>
          <w:p w14:paraId="30CAED2E">
            <w:pPr>
              <w:jc w:val="both"/>
              <w:rPr>
                <w:rFonts w:ascii="宋体" w:hAnsi="宋体"/>
                <w:b/>
                <w:color w:val="auto"/>
                <w:szCs w:val="21"/>
                <w:highlight w:val="none"/>
              </w:rPr>
            </w:pPr>
            <w:r>
              <w:rPr>
                <w:rFonts w:hint="eastAsia" w:ascii="宋体" w:hAnsi="宋体"/>
                <w:color w:val="auto"/>
                <w:szCs w:val="21"/>
                <w:highlight w:val="none"/>
              </w:rPr>
              <w:t>见附表二。</w:t>
            </w:r>
          </w:p>
        </w:tc>
      </w:tr>
      <w:tr w14:paraId="6C4BDEC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994" w:type="dxa"/>
            <w:vMerge w:val="restart"/>
            <w:tcBorders>
              <w:tl2br w:val="nil"/>
              <w:tr2bl w:val="nil"/>
            </w:tcBorders>
            <w:vAlign w:val="center"/>
          </w:tcPr>
          <w:p w14:paraId="4271D5E7">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13</w:t>
            </w:r>
          </w:p>
        </w:tc>
        <w:tc>
          <w:tcPr>
            <w:tcW w:w="8525" w:type="dxa"/>
            <w:gridSpan w:val="2"/>
            <w:tcBorders>
              <w:tl2br w:val="nil"/>
              <w:tr2bl w:val="nil"/>
            </w:tcBorders>
            <w:vAlign w:val="center"/>
          </w:tcPr>
          <w:p w14:paraId="0D22773E">
            <w:pPr>
              <w:jc w:val="both"/>
              <w:rPr>
                <w:rFonts w:ascii="宋体" w:hAnsi="宋体"/>
                <w:color w:val="auto"/>
                <w:szCs w:val="21"/>
                <w:highlight w:val="none"/>
              </w:rPr>
            </w:pPr>
            <w:r>
              <w:rPr>
                <w:rFonts w:hint="eastAsia" w:ascii="宋体" w:hAnsi="宋体"/>
                <w:b/>
                <w:color w:val="auto"/>
                <w:szCs w:val="21"/>
                <w:highlight w:val="none"/>
              </w:rPr>
              <w:t>评标委员会</w:t>
            </w:r>
          </w:p>
        </w:tc>
      </w:tr>
      <w:tr w14:paraId="6B0D6EA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994" w:type="dxa"/>
            <w:vMerge w:val="continue"/>
            <w:tcBorders>
              <w:tl2br w:val="nil"/>
              <w:tr2bl w:val="nil"/>
            </w:tcBorders>
            <w:vAlign w:val="center"/>
          </w:tcPr>
          <w:p w14:paraId="0A262BB7">
            <w:pPr>
              <w:jc w:val="center"/>
              <w:rPr>
                <w:rFonts w:ascii="宋体" w:hAnsi="宋体"/>
                <w:color w:val="auto"/>
                <w:szCs w:val="21"/>
                <w:highlight w:val="none"/>
              </w:rPr>
            </w:pPr>
          </w:p>
        </w:tc>
        <w:tc>
          <w:tcPr>
            <w:tcW w:w="8525" w:type="dxa"/>
            <w:gridSpan w:val="2"/>
            <w:tcBorders>
              <w:tl2br w:val="nil"/>
              <w:tr2bl w:val="nil"/>
            </w:tcBorders>
            <w:vAlign w:val="center"/>
          </w:tcPr>
          <w:p w14:paraId="19CE5951">
            <w:pPr>
              <w:jc w:val="both"/>
              <w:rPr>
                <w:rFonts w:ascii="宋体" w:hAnsi="宋体"/>
                <w:color w:val="auto"/>
                <w:szCs w:val="21"/>
                <w:highlight w:val="none"/>
              </w:rPr>
            </w:pPr>
            <w:r>
              <w:rPr>
                <w:rFonts w:hint="eastAsia" w:ascii="宋体" w:hAnsi="宋体"/>
                <w:color w:val="auto"/>
                <w:szCs w:val="21"/>
                <w:highlight w:val="none"/>
              </w:rPr>
              <w:t>评标委员会成员共</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eastAsia="zh-CN"/>
              </w:rPr>
              <w:t>五</w:t>
            </w:r>
            <w:r>
              <w:rPr>
                <w:rFonts w:hint="eastAsia" w:ascii="宋体" w:hAnsi="宋体"/>
                <w:color w:val="auto"/>
                <w:szCs w:val="21"/>
                <w:highlight w:val="none"/>
                <w:u w:val="single"/>
              </w:rPr>
              <w:t xml:space="preserve"> </w:t>
            </w:r>
            <w:r>
              <w:rPr>
                <w:rFonts w:hint="eastAsia" w:ascii="宋体" w:hAnsi="宋体"/>
                <w:color w:val="auto"/>
                <w:szCs w:val="21"/>
                <w:highlight w:val="none"/>
              </w:rPr>
              <w:t>人：</w:t>
            </w:r>
            <w:r>
              <w:rPr>
                <w:rFonts w:hint="eastAsia" w:ascii="宋体" w:hAnsi="宋体"/>
                <w:color w:val="auto"/>
                <w:szCs w:val="21"/>
                <w:highlight w:val="none"/>
                <w:lang w:val="zh-CN"/>
              </w:rPr>
              <w:t>评标委员会由采购人</w:t>
            </w:r>
            <w:r>
              <w:rPr>
                <w:rFonts w:hint="eastAsia" w:ascii="宋体" w:hAnsi="宋体"/>
                <w:color w:val="auto"/>
                <w:szCs w:val="21"/>
                <w:highlight w:val="none"/>
              </w:rPr>
              <w:t>的</w:t>
            </w:r>
            <w:r>
              <w:rPr>
                <w:rFonts w:hint="eastAsia" w:ascii="宋体" w:hAnsi="宋体"/>
                <w:color w:val="auto"/>
                <w:szCs w:val="21"/>
                <w:highlight w:val="none"/>
                <w:lang w:val="zh-CN"/>
              </w:rPr>
              <w:t>代表和</w:t>
            </w:r>
            <w:r>
              <w:rPr>
                <w:rFonts w:hint="eastAsia" w:ascii="宋体" w:hAnsi="宋体"/>
                <w:color w:val="auto"/>
                <w:szCs w:val="21"/>
                <w:highlight w:val="none"/>
              </w:rPr>
              <w:t>有关方面的</w:t>
            </w:r>
            <w:r>
              <w:rPr>
                <w:rFonts w:hint="eastAsia" w:ascii="宋体" w:hAnsi="宋体"/>
                <w:color w:val="auto"/>
                <w:szCs w:val="21"/>
                <w:highlight w:val="none"/>
                <w:lang w:val="zh-CN"/>
              </w:rPr>
              <w:t>专家组成，</w:t>
            </w:r>
            <w:r>
              <w:rPr>
                <w:rFonts w:hint="eastAsia" w:ascii="宋体" w:hAnsi="宋体"/>
                <w:color w:val="auto"/>
                <w:szCs w:val="21"/>
                <w:highlight w:val="none"/>
              </w:rPr>
              <w:t>成员人数为五人或五人以上单数</w:t>
            </w:r>
            <w:r>
              <w:rPr>
                <w:rFonts w:hint="eastAsia" w:ascii="宋体" w:hAnsi="宋体"/>
                <w:color w:val="auto"/>
                <w:szCs w:val="21"/>
                <w:highlight w:val="none"/>
                <w:lang w:val="zh-CN"/>
              </w:rPr>
              <w:t>，其中专家不得少于成员总数的三分之二。</w:t>
            </w:r>
          </w:p>
        </w:tc>
      </w:tr>
      <w:tr w14:paraId="3B33CD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trPr>
        <w:tc>
          <w:tcPr>
            <w:tcW w:w="9519" w:type="dxa"/>
            <w:gridSpan w:val="3"/>
            <w:tcBorders>
              <w:tl2br w:val="nil"/>
              <w:tr2bl w:val="nil"/>
            </w:tcBorders>
            <w:vAlign w:val="center"/>
          </w:tcPr>
          <w:p w14:paraId="4A2C8283">
            <w:pPr>
              <w:jc w:val="center"/>
              <w:rPr>
                <w:rFonts w:ascii="宋体" w:hAnsi="宋体"/>
                <w:b/>
                <w:color w:val="auto"/>
                <w:szCs w:val="21"/>
                <w:highlight w:val="none"/>
              </w:rPr>
            </w:pPr>
            <w:r>
              <w:rPr>
                <w:rFonts w:hint="eastAsia" w:ascii="宋体" w:hAnsi="宋体"/>
                <w:b/>
                <w:color w:val="auto"/>
                <w:szCs w:val="21"/>
                <w:highlight w:val="none"/>
              </w:rPr>
              <w:t>四、授予合同</w:t>
            </w:r>
          </w:p>
        </w:tc>
      </w:tr>
      <w:tr w14:paraId="2F4CC5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trPr>
        <w:tc>
          <w:tcPr>
            <w:tcW w:w="994" w:type="dxa"/>
            <w:vMerge w:val="restart"/>
            <w:tcBorders>
              <w:tl2br w:val="nil"/>
              <w:tr2bl w:val="nil"/>
            </w:tcBorders>
            <w:vAlign w:val="center"/>
          </w:tcPr>
          <w:p w14:paraId="6AD43250">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14</w:t>
            </w:r>
          </w:p>
        </w:tc>
        <w:tc>
          <w:tcPr>
            <w:tcW w:w="8525" w:type="dxa"/>
            <w:gridSpan w:val="2"/>
            <w:tcBorders>
              <w:tl2br w:val="nil"/>
              <w:tr2bl w:val="nil"/>
            </w:tcBorders>
            <w:shd w:val="clear" w:color="auto" w:fill="auto"/>
            <w:vAlign w:val="center"/>
          </w:tcPr>
          <w:p w14:paraId="6C4A80C6">
            <w:pPr>
              <w:jc w:val="both"/>
              <w:rPr>
                <w:rFonts w:ascii="宋体" w:hAnsi="宋体"/>
                <w:b/>
                <w:color w:val="auto"/>
                <w:szCs w:val="21"/>
                <w:highlight w:val="none"/>
              </w:rPr>
            </w:pPr>
            <w:r>
              <w:rPr>
                <w:rFonts w:hint="eastAsia" w:ascii="宋体" w:hAnsi="宋体"/>
                <w:b/>
                <w:color w:val="auto"/>
                <w:szCs w:val="21"/>
                <w:highlight w:val="none"/>
              </w:rPr>
              <w:t>履约担保</w:t>
            </w:r>
          </w:p>
        </w:tc>
      </w:tr>
      <w:tr w14:paraId="3EFC557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trPr>
        <w:tc>
          <w:tcPr>
            <w:tcW w:w="994" w:type="dxa"/>
            <w:vMerge w:val="continue"/>
            <w:tcBorders>
              <w:tl2br w:val="nil"/>
              <w:tr2bl w:val="nil"/>
            </w:tcBorders>
            <w:vAlign w:val="center"/>
          </w:tcPr>
          <w:p w14:paraId="19AD1161">
            <w:pPr>
              <w:jc w:val="center"/>
              <w:rPr>
                <w:rFonts w:ascii="宋体" w:hAnsi="宋体"/>
                <w:color w:val="auto"/>
                <w:szCs w:val="21"/>
                <w:highlight w:val="none"/>
              </w:rPr>
            </w:pPr>
          </w:p>
        </w:tc>
        <w:tc>
          <w:tcPr>
            <w:tcW w:w="8525" w:type="dxa"/>
            <w:gridSpan w:val="2"/>
            <w:tcBorders>
              <w:tl2br w:val="nil"/>
              <w:tr2bl w:val="nil"/>
            </w:tcBorders>
            <w:shd w:val="clear" w:color="auto" w:fill="auto"/>
            <w:vAlign w:val="center"/>
          </w:tcPr>
          <w:p w14:paraId="519355BE">
            <w:pPr>
              <w:jc w:val="both"/>
              <w:rPr>
                <w:rFonts w:ascii="宋体" w:hAnsi="宋体"/>
                <w:color w:val="auto"/>
                <w:szCs w:val="21"/>
                <w:highlight w:val="none"/>
              </w:rPr>
            </w:pPr>
            <w:r>
              <w:rPr>
                <w:rFonts w:hint="eastAsia" w:ascii="宋体" w:hAnsi="宋体"/>
                <w:color w:val="auto"/>
                <w:szCs w:val="21"/>
                <w:highlight w:val="none"/>
              </w:rPr>
              <w:t>1.履约担保金额为：</w:t>
            </w:r>
            <w:r>
              <w:rPr>
                <w:rFonts w:hint="eastAsia" w:ascii="宋体" w:hAnsi="宋体"/>
                <w:color w:val="auto"/>
                <w:szCs w:val="21"/>
                <w:highlight w:val="none"/>
                <w:u w:val="single"/>
              </w:rPr>
              <w:t xml:space="preserve"> 合同金额的10% 。</w:t>
            </w:r>
          </w:p>
          <w:p w14:paraId="15D0714C">
            <w:pPr>
              <w:jc w:val="both"/>
              <w:rPr>
                <w:rFonts w:hint="eastAsia" w:ascii="宋体" w:hAnsi="宋体" w:eastAsia="宋体"/>
                <w:color w:val="auto"/>
                <w:szCs w:val="21"/>
                <w:highlight w:val="none"/>
                <w:lang w:eastAsia="zh-CN"/>
              </w:rPr>
            </w:pPr>
            <w:r>
              <w:rPr>
                <w:rFonts w:hint="eastAsia" w:ascii="宋体" w:hAnsi="宋体"/>
                <w:color w:val="auto"/>
                <w:szCs w:val="21"/>
                <w:highlight w:val="none"/>
              </w:rPr>
              <w:t>2</w:t>
            </w:r>
            <w:r>
              <w:rPr>
                <w:rFonts w:ascii="宋体" w:hAnsi="宋体"/>
                <w:color w:val="auto"/>
                <w:szCs w:val="21"/>
                <w:highlight w:val="none"/>
              </w:rPr>
              <w:t>.</w:t>
            </w:r>
            <w:r>
              <w:rPr>
                <w:rFonts w:hint="eastAsia" w:ascii="宋体" w:hAnsi="宋体"/>
                <w:color w:val="auto"/>
                <w:szCs w:val="21"/>
                <w:highlight w:val="none"/>
              </w:rPr>
              <w:t>履约保证金账户信息</w:t>
            </w:r>
            <w:r>
              <w:rPr>
                <w:rFonts w:hint="eastAsia" w:ascii="宋体" w:hAnsi="宋体"/>
                <w:color w:val="auto"/>
                <w:szCs w:val="21"/>
                <w:highlight w:val="none"/>
                <w:lang w:eastAsia="zh-CN"/>
              </w:rPr>
              <w:t>（中标结果公示后待中标单位与采购人协商确认）</w:t>
            </w:r>
          </w:p>
          <w:p w14:paraId="3121192C">
            <w:pPr>
              <w:jc w:val="both"/>
              <w:rPr>
                <w:rFonts w:hint="eastAsia" w:ascii="宋体" w:hAnsi="宋体"/>
                <w:color w:val="auto"/>
                <w:szCs w:val="21"/>
                <w:highlight w:val="none"/>
              </w:rPr>
            </w:pPr>
            <w:r>
              <w:rPr>
                <w:rFonts w:hint="eastAsia" w:ascii="宋体" w:hAnsi="宋体"/>
                <w:color w:val="auto"/>
                <w:szCs w:val="21"/>
                <w:highlight w:val="none"/>
              </w:rPr>
              <w:t>3.中标人在采购（合同签署）时提交履约担保，履约担保金额不超过成交合同金额的10%。</w:t>
            </w:r>
          </w:p>
          <w:p w14:paraId="77BE9B16">
            <w:pPr>
              <w:jc w:val="both"/>
              <w:rPr>
                <w:rFonts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b/>
                <w:bCs/>
                <w:color w:val="auto"/>
                <w:szCs w:val="21"/>
                <w:highlight w:val="none"/>
              </w:rPr>
              <w:t>中标人应于本合同签订之日起7个日历日内，按合同总价的10%向采购人缴纳履约保证金。其中人民币50万元整（含本数），须以电汇或银行转账方式支付至采购人指定账户；剩余部分可选择电汇、银行转账方式支付至采购人指定账户，或提交银行机构出具的履约保函（担保公司出具的保函不予接受）。待本工程全部竣工验收合格且中标人无任何违约行为的，采购人应在工程竣工结算完成后，无息全额退还乙方已缴纳的履约保证金。</w:t>
            </w:r>
          </w:p>
          <w:p w14:paraId="27A7E64E">
            <w:pPr>
              <w:jc w:val="both"/>
              <w:rPr>
                <w:rFonts w:ascii="宋体" w:hAnsi="宋体"/>
                <w:color w:val="auto"/>
                <w:szCs w:val="21"/>
                <w:highlight w:val="none"/>
              </w:rPr>
            </w:pPr>
            <w:r>
              <w:rPr>
                <w:rFonts w:hint="eastAsia" w:ascii="宋体" w:hAnsi="宋体"/>
                <w:color w:val="auto"/>
                <w:szCs w:val="21"/>
                <w:highlight w:val="none"/>
                <w:lang w:val="en-US" w:eastAsia="zh-CN"/>
              </w:rPr>
              <w:t>5</w:t>
            </w:r>
            <w:r>
              <w:rPr>
                <w:rFonts w:hint="eastAsia" w:ascii="宋体" w:hAnsi="宋体"/>
                <w:color w:val="auto"/>
                <w:szCs w:val="21"/>
                <w:highlight w:val="none"/>
              </w:rPr>
              <w:t>.履约担保期限从合同签订之日起至项目完工验收合格并结算完毕后，经双方签字</w:t>
            </w:r>
            <w:r>
              <w:rPr>
                <w:rFonts w:hint="eastAsia" w:ascii="宋体" w:hAnsi="宋体"/>
                <w:color w:val="auto"/>
                <w:szCs w:val="21"/>
                <w:highlight w:val="none"/>
                <w:u w:val="single"/>
              </w:rPr>
              <w:t xml:space="preserve"> 7 </w:t>
            </w:r>
            <w:r>
              <w:rPr>
                <w:rFonts w:hint="eastAsia" w:ascii="宋体" w:hAnsi="宋体"/>
                <w:color w:val="auto"/>
                <w:szCs w:val="21"/>
                <w:highlight w:val="none"/>
              </w:rPr>
              <w:t>天内保持有效。</w:t>
            </w:r>
          </w:p>
          <w:p w14:paraId="1F753FAD">
            <w:pPr>
              <w:jc w:val="both"/>
              <w:rPr>
                <w:rFonts w:ascii="宋体" w:hAnsi="宋体"/>
                <w:color w:val="auto"/>
                <w:szCs w:val="21"/>
                <w:highlight w:val="none"/>
              </w:rPr>
            </w:pPr>
            <w:r>
              <w:rPr>
                <w:rFonts w:hint="eastAsia" w:ascii="宋体" w:hAnsi="宋体"/>
                <w:color w:val="auto"/>
                <w:szCs w:val="21"/>
                <w:highlight w:val="none"/>
                <w:lang w:val="en-US" w:eastAsia="zh-CN"/>
              </w:rPr>
              <w:t>6</w:t>
            </w:r>
            <w:r>
              <w:rPr>
                <w:rFonts w:hint="eastAsia" w:ascii="宋体" w:hAnsi="宋体"/>
                <w:color w:val="auto"/>
                <w:szCs w:val="21"/>
                <w:highlight w:val="none"/>
              </w:rPr>
              <w:t>、履约担保要求：</w:t>
            </w:r>
          </w:p>
          <w:p w14:paraId="51123286">
            <w:pPr>
              <w:jc w:val="both"/>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1</w:t>
            </w:r>
            <w:r>
              <w:rPr>
                <w:rFonts w:hint="eastAsia" w:ascii="宋体" w:hAnsi="宋体"/>
                <w:color w:val="auto"/>
                <w:szCs w:val="21"/>
                <w:highlight w:val="none"/>
              </w:rPr>
              <w:t>）履约保证金。可采用电汇、银行汇票等银行转帐方式提交，但不可以采用现金方式提交。中标人必须保证履约保证金以中标人名称在签订合同</w:t>
            </w:r>
            <w:r>
              <w:rPr>
                <w:rFonts w:hint="eastAsia" w:ascii="宋体" w:hAnsi="宋体"/>
                <w:color w:val="auto"/>
                <w:szCs w:val="21"/>
                <w:highlight w:val="none"/>
                <w:lang w:val="en-US" w:eastAsia="zh-CN"/>
              </w:rPr>
              <w:t>后</w:t>
            </w:r>
            <w:r>
              <w:rPr>
                <w:rFonts w:hint="eastAsia" w:ascii="宋体" w:hAnsi="宋体"/>
                <w:color w:val="auto"/>
                <w:szCs w:val="21"/>
                <w:highlight w:val="none"/>
              </w:rPr>
              <w:t>提交至采购人指定账户。</w:t>
            </w:r>
          </w:p>
          <w:p w14:paraId="0C06DFBD">
            <w:pPr>
              <w:jc w:val="both"/>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若中标人不能按本采购文件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10BD6F22">
            <w:pPr>
              <w:jc w:val="both"/>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）为取得履约担保所需的费用，由中标人承担；若工期延误，履约担保时间延长，延长费用由中标人承担。</w:t>
            </w:r>
          </w:p>
          <w:p w14:paraId="559CAB45">
            <w:pPr>
              <w:jc w:val="both"/>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4</w:t>
            </w:r>
            <w:r>
              <w:rPr>
                <w:rFonts w:hint="eastAsia" w:ascii="宋体" w:hAnsi="宋体"/>
                <w:color w:val="auto"/>
                <w:szCs w:val="21"/>
                <w:highlight w:val="none"/>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13267BEA">
            <w:pPr>
              <w:jc w:val="both"/>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5</w:t>
            </w:r>
            <w:r>
              <w:rPr>
                <w:rFonts w:hint="eastAsia" w:ascii="宋体" w:hAnsi="宋体"/>
                <w:color w:val="auto"/>
                <w:szCs w:val="21"/>
                <w:highlight w:val="none"/>
              </w:rPr>
              <w:t>）下列任何情况发生时，采购人有权行使享有的担保权利：</w:t>
            </w:r>
          </w:p>
          <w:p w14:paraId="1F75AF2C">
            <w:pPr>
              <w:jc w:val="both"/>
              <w:rPr>
                <w:rFonts w:ascii="宋体" w:hAnsi="宋体"/>
                <w:color w:val="auto"/>
                <w:szCs w:val="21"/>
                <w:highlight w:val="none"/>
              </w:rPr>
            </w:pPr>
            <w:r>
              <w:rPr>
                <w:rFonts w:hint="eastAsia" w:ascii="宋体" w:hAnsi="宋体"/>
                <w:color w:val="auto"/>
                <w:szCs w:val="21"/>
                <w:highlight w:val="none"/>
              </w:rPr>
              <w:t>①中标人将本项目转让给他人，或者在投标文件中未说明，且未经采购人同意，将中标项目分包给他人的；</w:t>
            </w:r>
          </w:p>
          <w:p w14:paraId="2DB2228D">
            <w:pPr>
              <w:jc w:val="both"/>
              <w:rPr>
                <w:rFonts w:ascii="宋体" w:hAnsi="宋体"/>
                <w:color w:val="auto"/>
                <w:szCs w:val="21"/>
                <w:highlight w:val="none"/>
              </w:rPr>
            </w:pPr>
            <w:r>
              <w:rPr>
                <w:rFonts w:hint="eastAsia" w:ascii="宋体" w:hAnsi="宋体"/>
                <w:color w:val="auto"/>
                <w:szCs w:val="21"/>
                <w:highlight w:val="none"/>
              </w:rPr>
              <w:t>②中标人在履行采购合同期间，违反有关法律法规的规定及合同约定的条款，损害了采购人的利益。</w:t>
            </w:r>
          </w:p>
          <w:p w14:paraId="7F2613E8">
            <w:pPr>
              <w:jc w:val="both"/>
              <w:rPr>
                <w:rFonts w:ascii="宋体" w:hAnsi="宋体"/>
                <w:b/>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6</w:t>
            </w:r>
            <w:r>
              <w:rPr>
                <w:rFonts w:hint="eastAsia" w:ascii="宋体" w:hAnsi="宋体"/>
                <w:color w:val="auto"/>
                <w:szCs w:val="21"/>
                <w:highlight w:val="none"/>
              </w:rPr>
              <w:t>）在整个项目验收合格后，中标人向采购人提交退回履约担保的申请，采购人办理履约担保退还手续。</w:t>
            </w:r>
          </w:p>
        </w:tc>
      </w:tr>
      <w:tr w14:paraId="338A10D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42" w:hRule="atLeast"/>
        </w:trPr>
        <w:tc>
          <w:tcPr>
            <w:tcW w:w="994" w:type="dxa"/>
            <w:vMerge w:val="restart"/>
            <w:tcBorders>
              <w:tl2br w:val="nil"/>
              <w:tr2bl w:val="nil"/>
            </w:tcBorders>
            <w:vAlign w:val="center"/>
          </w:tcPr>
          <w:p w14:paraId="043EA760">
            <w:pPr>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15</w:t>
            </w:r>
          </w:p>
        </w:tc>
        <w:tc>
          <w:tcPr>
            <w:tcW w:w="8525" w:type="dxa"/>
            <w:gridSpan w:val="2"/>
            <w:tcBorders>
              <w:tl2br w:val="nil"/>
              <w:tr2bl w:val="nil"/>
            </w:tcBorders>
            <w:vAlign w:val="center"/>
          </w:tcPr>
          <w:p w14:paraId="0E1C6690">
            <w:pPr>
              <w:jc w:val="both"/>
              <w:rPr>
                <w:rFonts w:ascii="宋体" w:hAnsi="宋体"/>
                <w:b/>
                <w:color w:val="auto"/>
                <w:szCs w:val="21"/>
                <w:highlight w:val="none"/>
              </w:rPr>
            </w:pPr>
            <w:r>
              <w:rPr>
                <w:rFonts w:hint="eastAsia" w:ascii="宋体" w:hAnsi="宋体"/>
                <w:b/>
                <w:color w:val="auto"/>
                <w:szCs w:val="21"/>
                <w:highlight w:val="none"/>
              </w:rPr>
              <w:t>中标服务费</w:t>
            </w:r>
          </w:p>
        </w:tc>
      </w:tr>
      <w:tr w14:paraId="74FE7BE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780" w:hRule="atLeast"/>
        </w:trPr>
        <w:tc>
          <w:tcPr>
            <w:tcW w:w="994" w:type="dxa"/>
            <w:vMerge w:val="continue"/>
            <w:tcBorders>
              <w:tl2br w:val="nil"/>
              <w:tr2bl w:val="nil"/>
            </w:tcBorders>
            <w:vAlign w:val="center"/>
          </w:tcPr>
          <w:p w14:paraId="1EDB275B">
            <w:pPr>
              <w:jc w:val="center"/>
              <w:rPr>
                <w:rFonts w:ascii="宋体" w:hAnsi="宋体"/>
                <w:color w:val="auto"/>
                <w:szCs w:val="21"/>
                <w:highlight w:val="none"/>
              </w:rPr>
            </w:pPr>
          </w:p>
        </w:tc>
        <w:tc>
          <w:tcPr>
            <w:tcW w:w="8525" w:type="dxa"/>
            <w:gridSpan w:val="2"/>
            <w:tcBorders>
              <w:tl2br w:val="nil"/>
              <w:tr2bl w:val="nil"/>
            </w:tcBorders>
            <w:vAlign w:val="center"/>
          </w:tcPr>
          <w:p w14:paraId="2612E826">
            <w:pPr>
              <w:keepNext w:val="0"/>
              <w:keepLines w:val="0"/>
              <w:pageBreakBefore w:val="0"/>
              <w:widowControl w:val="0"/>
              <w:tabs>
                <w:tab w:val="left" w:pos="907"/>
              </w:tabs>
              <w:kinsoku/>
              <w:wordWrap/>
              <w:overflowPunct/>
              <w:topLinePunct w:val="0"/>
              <w:autoSpaceDE/>
              <w:autoSpaceDN/>
              <w:bidi w:val="0"/>
              <w:adjustRightInd/>
              <w:snapToGrid/>
              <w:spacing w:after="0" w:line="360" w:lineRule="auto"/>
              <w:jc w:val="both"/>
              <w:textAlignment w:val="auto"/>
              <w:rPr>
                <w:rFonts w:ascii="宋体" w:hAnsi="宋体" w:eastAsia="宋体" w:cstheme="minorBidi"/>
                <w:color w:val="auto"/>
                <w:sz w:val="21"/>
                <w:szCs w:val="21"/>
                <w:highlight w:val="none"/>
                <w:lang w:val="en-US" w:eastAsia="zh-CN" w:bidi="ar-SA"/>
              </w:rPr>
            </w:pPr>
            <w:r>
              <w:rPr>
                <w:rFonts w:hint="eastAsia" w:ascii="宋体" w:hAnsi="宋体" w:eastAsia="宋体"/>
                <w:color w:val="auto"/>
                <w:szCs w:val="21"/>
                <w:highlight w:val="none"/>
              </w:rPr>
              <w:t>（1）中标服务费</w:t>
            </w:r>
            <w:r>
              <w:rPr>
                <w:rFonts w:hint="eastAsia" w:ascii="宋体" w:hAnsi="宋体" w:eastAsia="宋体"/>
                <w:color w:val="auto"/>
                <w:szCs w:val="21"/>
                <w:highlight w:val="none"/>
                <w:lang w:eastAsia="zh-CN"/>
              </w:rPr>
              <w:t>参照</w:t>
            </w:r>
            <w:r>
              <w:rPr>
                <w:rFonts w:hint="eastAsia" w:ascii="宋体" w:hAnsi="宋体" w:eastAsia="宋体"/>
                <w:color w:val="auto"/>
                <w:szCs w:val="21"/>
                <w:highlight w:val="none"/>
              </w:rPr>
              <w:t>国家计委[计价格[2002]1980号]文和国家发改委[发改价格[2011]534号]文及相关规定</w:t>
            </w:r>
            <w:r>
              <w:rPr>
                <w:rFonts w:hint="eastAsia" w:ascii="宋体" w:hAnsi="宋体" w:eastAsia="宋体"/>
                <w:color w:val="auto"/>
                <w:szCs w:val="21"/>
                <w:highlight w:val="none"/>
                <w:lang w:eastAsia="zh-CN"/>
              </w:rPr>
              <w:t>并下浮</w:t>
            </w:r>
            <w:r>
              <w:rPr>
                <w:rFonts w:hint="eastAsia" w:ascii="宋体" w:hAnsi="宋体"/>
                <w:color w:val="auto"/>
                <w:szCs w:val="21"/>
                <w:highlight w:val="none"/>
                <w:lang w:val="en-US" w:eastAsia="zh-CN"/>
              </w:rPr>
              <w:t>30</w:t>
            </w:r>
            <w:r>
              <w:rPr>
                <w:rFonts w:hint="eastAsia" w:ascii="宋体" w:hAnsi="宋体" w:eastAsia="宋体"/>
                <w:color w:val="auto"/>
                <w:szCs w:val="21"/>
                <w:highlight w:val="none"/>
                <w:lang w:val="en-US" w:eastAsia="zh-CN"/>
              </w:rPr>
              <w:t>%</w:t>
            </w:r>
            <w:r>
              <w:rPr>
                <w:rFonts w:hint="eastAsia" w:ascii="宋体" w:hAnsi="宋体" w:eastAsia="宋体"/>
                <w:color w:val="auto"/>
                <w:szCs w:val="21"/>
                <w:highlight w:val="none"/>
              </w:rPr>
              <w:t>向中标单位收取，按差额定率累进法计算，以中标通知书中确定的中标总金额作为收费的计算</w:t>
            </w:r>
            <w:r>
              <w:rPr>
                <w:rFonts w:hint="eastAsia" w:ascii="宋体" w:hAnsi="宋体" w:eastAsia="宋体"/>
                <w:color w:val="auto"/>
                <w:szCs w:val="21"/>
                <w:highlight w:val="none"/>
                <w:lang w:eastAsia="zh-CN"/>
              </w:rPr>
              <w:t>参照</w:t>
            </w:r>
            <w:r>
              <w:rPr>
                <w:rFonts w:hint="eastAsia" w:ascii="宋体" w:hAnsi="宋体" w:eastAsia="宋体"/>
                <w:color w:val="auto"/>
                <w:szCs w:val="21"/>
                <w:highlight w:val="none"/>
              </w:rPr>
              <w:t>；中标服务费最低收费标准为</w:t>
            </w:r>
            <w:r>
              <w:rPr>
                <w:rFonts w:hint="eastAsia" w:ascii="宋体" w:hAnsi="宋体" w:eastAsia="宋体"/>
                <w:color w:val="auto"/>
                <w:szCs w:val="21"/>
                <w:highlight w:val="none"/>
                <w:lang w:eastAsia="zh-CN"/>
              </w:rPr>
              <w:t>陆</w:t>
            </w:r>
            <w:r>
              <w:rPr>
                <w:rFonts w:hint="eastAsia" w:ascii="宋体" w:hAnsi="宋体" w:eastAsia="宋体"/>
                <w:color w:val="auto"/>
                <w:szCs w:val="21"/>
                <w:highlight w:val="none"/>
              </w:rPr>
              <w:t>仟元整。</w:t>
            </w:r>
          </w:p>
        </w:tc>
      </w:tr>
      <w:tr w14:paraId="04966C0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732" w:hRule="atLeast"/>
        </w:trPr>
        <w:tc>
          <w:tcPr>
            <w:tcW w:w="994" w:type="dxa"/>
            <w:vMerge w:val="continue"/>
            <w:tcBorders>
              <w:tl2br w:val="nil"/>
              <w:tr2bl w:val="nil"/>
            </w:tcBorders>
            <w:vAlign w:val="center"/>
          </w:tcPr>
          <w:p w14:paraId="1B6A2224">
            <w:pPr>
              <w:jc w:val="center"/>
              <w:rPr>
                <w:rFonts w:hint="default" w:ascii="宋体" w:hAnsi="宋体" w:eastAsia="宋体"/>
                <w:color w:val="auto"/>
                <w:szCs w:val="21"/>
                <w:highlight w:val="none"/>
                <w:lang w:val="en-US" w:eastAsia="zh-CN"/>
              </w:rPr>
            </w:pPr>
          </w:p>
        </w:tc>
        <w:tc>
          <w:tcPr>
            <w:tcW w:w="8525" w:type="dxa"/>
            <w:gridSpan w:val="2"/>
            <w:tcBorders>
              <w:tl2br w:val="nil"/>
              <w:tr2bl w:val="nil"/>
            </w:tcBorders>
            <w:vAlign w:val="center"/>
          </w:tcPr>
          <w:p w14:paraId="7EB4E529">
            <w:pPr>
              <w:jc w:val="both"/>
              <w:rPr>
                <w:rFonts w:ascii="宋体" w:hAnsi="宋体" w:eastAsia="宋体" w:cstheme="minorBidi"/>
                <w:color w:val="auto"/>
                <w:sz w:val="21"/>
                <w:szCs w:val="21"/>
                <w:highlight w:val="none"/>
                <w:lang w:val="en-US" w:eastAsia="zh-CN" w:bidi="ar-SA"/>
              </w:rPr>
            </w:pPr>
            <w:r>
              <w:rPr>
                <w:rFonts w:hint="eastAsia" w:ascii="宋体" w:hAnsi="宋体" w:eastAsia="宋体" w:cstheme="minorBidi"/>
                <w:color w:val="auto"/>
                <w:sz w:val="21"/>
                <w:szCs w:val="21"/>
                <w:highlight w:val="none"/>
                <w:lang w:val="en-US" w:eastAsia="zh-CN" w:bidi="ar-SA"/>
              </w:rPr>
              <w:t>（2）本项目中标服务费由中标单位支付。</w:t>
            </w:r>
          </w:p>
        </w:tc>
      </w:tr>
      <w:tr w14:paraId="6DE141D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087" w:hRule="atLeast"/>
        </w:trPr>
        <w:tc>
          <w:tcPr>
            <w:tcW w:w="9519" w:type="dxa"/>
            <w:gridSpan w:val="3"/>
            <w:tcBorders>
              <w:tl2br w:val="nil"/>
              <w:tr2bl w:val="nil"/>
            </w:tcBorders>
            <w:vAlign w:val="center"/>
          </w:tcPr>
          <w:p w14:paraId="2AAC75D1">
            <w:pPr>
              <w:widowControl w:val="0"/>
              <w:tabs>
                <w:tab w:val="left" w:pos="907"/>
              </w:tabs>
              <w:adjustRightInd/>
              <w:snapToGrid/>
              <w:ind w:firstLine="420" w:firstLineChars="200"/>
              <w:jc w:val="both"/>
              <w:rPr>
                <w:rFonts w:ascii="宋体" w:hAnsi="宋体"/>
                <w:color w:val="auto"/>
                <w:szCs w:val="21"/>
                <w:highlight w:val="none"/>
              </w:rPr>
            </w:pPr>
            <w:r>
              <w:rPr>
                <w:rFonts w:hint="eastAsia" w:ascii="宋体" w:hAnsi="宋体"/>
                <w:color w:val="auto"/>
                <w:szCs w:val="21"/>
                <w:highlight w:val="none"/>
              </w:rPr>
              <w:t>注：本表关于要采购项目的具体资料，是对投标人须知的具体补充和修改，如有矛盾，应以本资料表为准。不满足采购文件中 “★”条款的投标文件将作无效投标处理。</w:t>
            </w:r>
          </w:p>
        </w:tc>
      </w:tr>
    </w:tbl>
    <w:p w14:paraId="476D1C69">
      <w:pPr>
        <w:jc w:val="center"/>
        <w:rPr>
          <w:color w:val="auto"/>
          <w:highlight w:val="none"/>
        </w:rPr>
      </w:pPr>
      <w:r>
        <w:rPr>
          <w:rFonts w:hint="eastAsia"/>
          <w:color w:val="auto"/>
          <w:highlight w:val="none"/>
        </w:rPr>
        <w:br w:type="page"/>
      </w:r>
    </w:p>
    <w:p w14:paraId="7FE1A783">
      <w:pPr>
        <w:pStyle w:val="7"/>
        <w:spacing w:before="0" w:after="0" w:line="240" w:lineRule="auto"/>
        <w:jc w:val="center"/>
        <w:rPr>
          <w:rFonts w:hint="eastAsia" w:hAnsi="宋体" w:cs="宋体"/>
          <w:color w:val="auto"/>
          <w:sz w:val="21"/>
          <w:szCs w:val="21"/>
          <w:highlight w:val="none"/>
        </w:rPr>
      </w:pPr>
      <w:bookmarkStart w:id="4" w:name="_Toc31223"/>
      <w:bookmarkStart w:id="5" w:name="_Toc182307969"/>
      <w:r>
        <w:rPr>
          <w:rFonts w:hint="eastAsia" w:ascii="宋体" w:hAnsi="宋体" w:cs="宋体"/>
          <w:color w:val="auto"/>
          <w:sz w:val="24"/>
          <w:szCs w:val="24"/>
          <w:highlight w:val="none"/>
        </w:rPr>
        <w:t>附表二：商务技术评分及价格权重表（满分100分）</w:t>
      </w:r>
      <w:bookmarkEnd w:id="4"/>
      <w:bookmarkEnd w:id="5"/>
    </w:p>
    <w:tbl>
      <w:tblPr>
        <w:tblStyle w:val="29"/>
        <w:tblW w:w="9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1326"/>
        <w:gridCol w:w="907"/>
        <w:gridCol w:w="6289"/>
      </w:tblGrid>
      <w:tr w14:paraId="00272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19C7E205">
            <w:pPr>
              <w:pStyle w:val="48"/>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序号</w:t>
            </w:r>
          </w:p>
        </w:tc>
        <w:tc>
          <w:tcPr>
            <w:tcW w:w="1326" w:type="dxa"/>
            <w:tcBorders>
              <w:top w:val="single" w:color="auto" w:sz="4" w:space="0"/>
              <w:left w:val="single" w:color="auto" w:sz="4" w:space="0"/>
              <w:bottom w:val="single" w:color="auto" w:sz="4" w:space="0"/>
              <w:right w:val="single" w:color="auto" w:sz="4" w:space="0"/>
            </w:tcBorders>
            <w:vAlign w:val="center"/>
          </w:tcPr>
          <w:p w14:paraId="655A12C8">
            <w:pPr>
              <w:pStyle w:val="48"/>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评审项目</w:t>
            </w:r>
          </w:p>
        </w:tc>
        <w:tc>
          <w:tcPr>
            <w:tcW w:w="907" w:type="dxa"/>
            <w:tcBorders>
              <w:top w:val="single" w:color="auto" w:sz="4" w:space="0"/>
              <w:left w:val="single" w:color="auto" w:sz="4" w:space="0"/>
              <w:bottom w:val="single" w:color="auto" w:sz="4" w:space="0"/>
              <w:right w:val="single" w:color="auto" w:sz="4" w:space="0"/>
            </w:tcBorders>
            <w:vAlign w:val="center"/>
          </w:tcPr>
          <w:p w14:paraId="081FE03F">
            <w:pPr>
              <w:pStyle w:val="48"/>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分值</w:t>
            </w:r>
          </w:p>
        </w:tc>
        <w:tc>
          <w:tcPr>
            <w:tcW w:w="6289" w:type="dxa"/>
            <w:tcBorders>
              <w:top w:val="single" w:color="auto" w:sz="4" w:space="0"/>
              <w:left w:val="single" w:color="auto" w:sz="4" w:space="0"/>
              <w:bottom w:val="single" w:color="auto" w:sz="4" w:space="0"/>
              <w:right w:val="single" w:color="auto" w:sz="4" w:space="0"/>
            </w:tcBorders>
            <w:vAlign w:val="center"/>
          </w:tcPr>
          <w:p w14:paraId="61DAD4C6">
            <w:pPr>
              <w:pStyle w:val="48"/>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评审细则</w:t>
            </w:r>
          </w:p>
        </w:tc>
      </w:tr>
      <w:tr w14:paraId="03AFD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9358" w:type="dxa"/>
            <w:gridSpan w:val="4"/>
            <w:tcBorders>
              <w:top w:val="single" w:color="auto" w:sz="4" w:space="0"/>
              <w:left w:val="single" w:color="auto" w:sz="4" w:space="0"/>
              <w:bottom w:val="single" w:color="auto" w:sz="4" w:space="0"/>
              <w:right w:val="single" w:color="auto" w:sz="4" w:space="0"/>
            </w:tcBorders>
            <w:vAlign w:val="center"/>
          </w:tcPr>
          <w:p w14:paraId="4B92EF4B">
            <w:pPr>
              <w:pStyle w:val="48"/>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商务评审（</w:t>
            </w:r>
            <w:r>
              <w:rPr>
                <w:rFonts w:hint="eastAsia" w:ascii="宋体" w:eastAsia="宋体" w:cs="宋体"/>
                <w:b w:val="0"/>
                <w:bCs w:val="0"/>
                <w:color w:val="auto"/>
                <w:sz w:val="21"/>
                <w:szCs w:val="21"/>
                <w:highlight w:val="none"/>
                <w:lang w:val="en-US" w:eastAsia="zh-CN"/>
              </w:rPr>
              <w:t>30</w:t>
            </w:r>
            <w:r>
              <w:rPr>
                <w:rFonts w:hint="eastAsia" w:ascii="宋体" w:eastAsia="宋体" w:cs="宋体"/>
                <w:b w:val="0"/>
                <w:bCs w:val="0"/>
                <w:color w:val="auto"/>
                <w:sz w:val="21"/>
                <w:szCs w:val="21"/>
                <w:highlight w:val="none"/>
              </w:rPr>
              <w:t>分）</w:t>
            </w:r>
          </w:p>
        </w:tc>
      </w:tr>
      <w:tr w14:paraId="0CA8A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836" w:type="dxa"/>
            <w:tcBorders>
              <w:top w:val="single" w:color="auto" w:sz="4" w:space="0"/>
              <w:left w:val="single" w:color="auto" w:sz="4" w:space="0"/>
              <w:right w:val="single" w:color="auto" w:sz="4" w:space="0"/>
            </w:tcBorders>
            <w:vAlign w:val="center"/>
          </w:tcPr>
          <w:p w14:paraId="7F09F19E">
            <w:pPr>
              <w:pStyle w:val="48"/>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1</w:t>
            </w:r>
          </w:p>
        </w:tc>
        <w:tc>
          <w:tcPr>
            <w:tcW w:w="1326" w:type="dxa"/>
            <w:tcBorders>
              <w:top w:val="single" w:color="auto" w:sz="4" w:space="0"/>
              <w:left w:val="single" w:color="auto" w:sz="4" w:space="0"/>
              <w:right w:val="single" w:color="auto" w:sz="4" w:space="0"/>
            </w:tcBorders>
            <w:vAlign w:val="center"/>
          </w:tcPr>
          <w:p w14:paraId="00EA166A">
            <w:pPr>
              <w:pStyle w:val="48"/>
              <w:spacing w:line="360" w:lineRule="auto"/>
              <w:ind w:firstLine="0" w:firstLineChars="0"/>
              <w:jc w:val="center"/>
              <w:rPr>
                <w:rFonts w:hint="eastAsia" w:ascii="宋体" w:eastAsia="宋体" w:cs="宋体"/>
                <w:b w:val="0"/>
                <w:bCs w:val="0"/>
                <w:color w:val="auto"/>
                <w:sz w:val="21"/>
                <w:szCs w:val="21"/>
                <w:highlight w:val="none"/>
                <w:u w:val="none"/>
                <w:lang w:eastAsia="zh-CN"/>
              </w:rPr>
            </w:pPr>
            <w:r>
              <w:rPr>
                <w:rFonts w:hint="eastAsia" w:ascii="宋体" w:eastAsia="宋体" w:cs="宋体"/>
                <w:b w:val="0"/>
                <w:bCs w:val="0"/>
                <w:color w:val="auto"/>
                <w:sz w:val="21"/>
                <w:szCs w:val="21"/>
                <w:highlight w:val="none"/>
                <w:u w:val="none"/>
              </w:rPr>
              <w:t>体系</w:t>
            </w:r>
            <w:r>
              <w:rPr>
                <w:rFonts w:hint="eastAsia" w:ascii="宋体" w:eastAsia="宋体" w:cs="宋体"/>
                <w:b w:val="0"/>
                <w:bCs w:val="0"/>
                <w:color w:val="auto"/>
                <w:sz w:val="21"/>
                <w:szCs w:val="21"/>
                <w:highlight w:val="none"/>
                <w:u w:val="none"/>
                <w:lang w:eastAsia="zh-CN"/>
              </w:rPr>
              <w:t>认证</w:t>
            </w:r>
          </w:p>
        </w:tc>
        <w:tc>
          <w:tcPr>
            <w:tcW w:w="907" w:type="dxa"/>
            <w:tcBorders>
              <w:top w:val="single" w:color="auto" w:sz="4" w:space="0"/>
              <w:left w:val="single" w:color="auto" w:sz="4" w:space="0"/>
              <w:bottom w:val="single" w:color="auto" w:sz="4" w:space="0"/>
              <w:right w:val="single" w:color="auto" w:sz="4" w:space="0"/>
            </w:tcBorders>
            <w:vAlign w:val="center"/>
          </w:tcPr>
          <w:p w14:paraId="21E466F5">
            <w:pPr>
              <w:pStyle w:val="48"/>
              <w:spacing w:line="360" w:lineRule="auto"/>
              <w:ind w:firstLine="0" w:firstLineChars="0"/>
              <w:jc w:val="center"/>
              <w:rPr>
                <w:rFonts w:hint="default"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3</w:t>
            </w:r>
          </w:p>
        </w:tc>
        <w:tc>
          <w:tcPr>
            <w:tcW w:w="6289" w:type="dxa"/>
            <w:tcBorders>
              <w:top w:val="single" w:color="auto" w:sz="4" w:space="0"/>
              <w:left w:val="single" w:color="auto" w:sz="4" w:space="0"/>
              <w:bottom w:val="single" w:color="auto" w:sz="4" w:space="0"/>
              <w:right w:val="single" w:color="auto" w:sz="4" w:space="0"/>
            </w:tcBorders>
            <w:vAlign w:val="center"/>
          </w:tcPr>
          <w:p w14:paraId="0E78B8B0">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投标人具有由国家认证认可监督管理部门批准设立的认证机构颁发的有效期内认证证书：</w:t>
            </w:r>
          </w:p>
          <w:p w14:paraId="6104EE5A">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①质量管理体系认证；</w:t>
            </w:r>
          </w:p>
          <w:p w14:paraId="7DCE993B">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②环境管理体系认证；</w:t>
            </w:r>
          </w:p>
          <w:p w14:paraId="0B9F1C6A">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③职业健康安全管理体系认证；</w:t>
            </w:r>
          </w:p>
          <w:p w14:paraId="1136ACD1">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 w:val="0"/>
                <w:bCs w:val="0"/>
                <w:color w:val="auto"/>
                <w:sz w:val="21"/>
                <w:szCs w:val="21"/>
                <w:highlight w:val="none"/>
                <w:u w:val="none"/>
                <w:lang w:val="zh-CN"/>
              </w:rPr>
            </w:pPr>
            <w:r>
              <w:rPr>
                <w:rFonts w:hint="eastAsia" w:ascii="宋体" w:eastAsia="宋体" w:cs="宋体"/>
                <w:b w:val="0"/>
                <w:bCs w:val="0"/>
                <w:color w:val="auto"/>
                <w:sz w:val="21"/>
                <w:szCs w:val="21"/>
                <w:highlight w:val="none"/>
                <w:u w:val="none"/>
                <w:lang w:val="zh-CN"/>
              </w:rPr>
              <w:t>注：投标人</w:t>
            </w:r>
            <w:r>
              <w:rPr>
                <w:rFonts w:hint="eastAsia" w:ascii="宋体" w:eastAsia="宋体" w:cs="宋体"/>
                <w:b w:val="0"/>
                <w:bCs w:val="0"/>
                <w:color w:val="auto"/>
                <w:sz w:val="21"/>
                <w:szCs w:val="21"/>
                <w:highlight w:val="none"/>
                <w:u w:val="none"/>
              </w:rPr>
              <w:t>每提供一项得</w:t>
            </w:r>
            <w:r>
              <w:rPr>
                <w:rFonts w:hint="eastAsia" w:ascii="宋体" w:eastAsia="宋体" w:cs="宋体"/>
                <w:b w:val="0"/>
                <w:bCs w:val="0"/>
                <w:color w:val="auto"/>
                <w:sz w:val="21"/>
                <w:szCs w:val="21"/>
                <w:highlight w:val="none"/>
                <w:u w:val="none"/>
                <w:lang w:val="en-US" w:eastAsia="zh-CN"/>
              </w:rPr>
              <w:t>1</w:t>
            </w:r>
            <w:r>
              <w:rPr>
                <w:rFonts w:hint="eastAsia" w:ascii="宋体" w:eastAsia="宋体" w:cs="宋体"/>
                <w:b w:val="0"/>
                <w:bCs w:val="0"/>
                <w:color w:val="auto"/>
                <w:sz w:val="21"/>
                <w:szCs w:val="21"/>
                <w:highlight w:val="none"/>
                <w:u w:val="none"/>
              </w:rPr>
              <w:t>分，本项最高得</w:t>
            </w:r>
            <w:r>
              <w:rPr>
                <w:rFonts w:hint="eastAsia" w:ascii="宋体" w:eastAsia="宋体" w:cs="宋体"/>
                <w:b w:val="0"/>
                <w:bCs w:val="0"/>
                <w:color w:val="auto"/>
                <w:sz w:val="21"/>
                <w:szCs w:val="21"/>
                <w:highlight w:val="none"/>
                <w:u w:val="none"/>
                <w:lang w:val="en-US" w:eastAsia="zh-CN"/>
              </w:rPr>
              <w:t>3</w:t>
            </w:r>
            <w:r>
              <w:rPr>
                <w:rFonts w:hint="eastAsia" w:ascii="宋体" w:eastAsia="宋体" w:cs="宋体"/>
                <w:b w:val="0"/>
                <w:bCs w:val="0"/>
                <w:color w:val="auto"/>
                <w:sz w:val="21"/>
                <w:szCs w:val="21"/>
                <w:highlight w:val="none"/>
                <w:u w:val="none"/>
              </w:rPr>
              <w:t>分</w:t>
            </w:r>
            <w:r>
              <w:rPr>
                <w:rFonts w:hint="eastAsia" w:ascii="宋体" w:eastAsia="宋体" w:cs="宋体"/>
                <w:b w:val="0"/>
                <w:bCs w:val="0"/>
                <w:color w:val="auto"/>
                <w:sz w:val="21"/>
                <w:szCs w:val="21"/>
                <w:highlight w:val="none"/>
                <w:u w:val="none"/>
                <w:lang w:val="en-US" w:eastAsia="zh-CN"/>
              </w:rPr>
              <w:t>,</w:t>
            </w:r>
            <w:r>
              <w:rPr>
                <w:rFonts w:hint="eastAsia" w:ascii="宋体" w:eastAsia="宋体" w:cs="宋体"/>
                <w:b w:val="0"/>
                <w:bCs w:val="0"/>
                <w:color w:val="auto"/>
                <w:sz w:val="21"/>
                <w:szCs w:val="21"/>
                <w:highlight w:val="none"/>
                <w:u w:val="none"/>
                <w:lang w:val="zh-CN"/>
              </w:rPr>
              <w:t>应提供上述有效证书复印件及能显示证书有效状态的全国认证认可信息公共服务平台（http://cx.cnca.cn/）查询结果凭证[凭证界面需显示有“全国认证认可信息公共服务平台”或“认证证书（需显示网址cx.cnca.cn）”]，否则不得分。</w:t>
            </w:r>
          </w:p>
        </w:tc>
      </w:tr>
      <w:tr w14:paraId="17291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6D5F860B">
            <w:pPr>
              <w:pStyle w:val="48"/>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2</w:t>
            </w:r>
          </w:p>
        </w:tc>
        <w:tc>
          <w:tcPr>
            <w:tcW w:w="1326" w:type="dxa"/>
            <w:tcBorders>
              <w:top w:val="single" w:color="auto" w:sz="4" w:space="0"/>
              <w:left w:val="single" w:color="auto" w:sz="4" w:space="0"/>
              <w:bottom w:val="single" w:color="auto" w:sz="4" w:space="0"/>
              <w:right w:val="single" w:color="auto" w:sz="4" w:space="0"/>
            </w:tcBorders>
            <w:vAlign w:val="center"/>
          </w:tcPr>
          <w:p w14:paraId="6B091E39">
            <w:pPr>
              <w:pStyle w:val="48"/>
              <w:spacing w:line="360" w:lineRule="auto"/>
              <w:ind w:firstLine="0" w:firstLineChars="0"/>
              <w:jc w:val="center"/>
              <w:rPr>
                <w:rFonts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财务状况</w:t>
            </w:r>
          </w:p>
        </w:tc>
        <w:tc>
          <w:tcPr>
            <w:tcW w:w="907" w:type="dxa"/>
            <w:tcBorders>
              <w:top w:val="single" w:color="auto" w:sz="4" w:space="0"/>
              <w:left w:val="single" w:color="auto" w:sz="4" w:space="0"/>
              <w:bottom w:val="single" w:color="auto" w:sz="4" w:space="0"/>
              <w:right w:val="single" w:color="auto" w:sz="4" w:space="0"/>
            </w:tcBorders>
            <w:vAlign w:val="center"/>
          </w:tcPr>
          <w:p w14:paraId="0400F074">
            <w:pPr>
              <w:pStyle w:val="48"/>
              <w:spacing w:line="360" w:lineRule="auto"/>
              <w:ind w:firstLine="0" w:firstLineChars="0"/>
              <w:jc w:val="center"/>
              <w:rPr>
                <w:rFonts w:hint="eastAsia"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2</w:t>
            </w:r>
          </w:p>
        </w:tc>
        <w:tc>
          <w:tcPr>
            <w:tcW w:w="6289" w:type="dxa"/>
            <w:tcBorders>
              <w:top w:val="single" w:color="auto" w:sz="4" w:space="0"/>
              <w:left w:val="single" w:color="auto" w:sz="4" w:space="0"/>
              <w:bottom w:val="single" w:color="auto" w:sz="4" w:space="0"/>
              <w:right w:val="single" w:color="auto" w:sz="4" w:space="0"/>
            </w:tcBorders>
            <w:vAlign w:val="center"/>
          </w:tcPr>
          <w:p w14:paraId="33182E5B">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 w:val="0"/>
                <w:bCs w:val="0"/>
                <w:color w:val="auto"/>
                <w:sz w:val="21"/>
                <w:szCs w:val="21"/>
                <w:highlight w:val="none"/>
                <w:u w:val="none"/>
                <w:lang w:val="zh-CN"/>
              </w:rPr>
            </w:pPr>
            <w:r>
              <w:rPr>
                <w:rFonts w:hint="eastAsia" w:ascii="宋体" w:eastAsia="宋体" w:cs="宋体"/>
                <w:b w:val="0"/>
                <w:bCs w:val="0"/>
                <w:color w:val="auto"/>
                <w:sz w:val="21"/>
                <w:szCs w:val="21"/>
                <w:highlight w:val="none"/>
                <w:u w:val="none"/>
                <w:lang w:val="zh-CN"/>
              </w:rPr>
              <w:t>根据各投标人</w:t>
            </w:r>
            <w:r>
              <w:rPr>
                <w:rFonts w:hint="eastAsia" w:ascii="宋体" w:eastAsia="宋体" w:cs="宋体"/>
                <w:b w:val="0"/>
                <w:bCs w:val="0"/>
                <w:color w:val="auto"/>
                <w:sz w:val="21"/>
                <w:szCs w:val="21"/>
                <w:highlight w:val="none"/>
                <w:u w:val="none"/>
                <w:lang w:val="en-US" w:eastAsia="zh-CN"/>
              </w:rPr>
              <w:t>2022</w:t>
            </w:r>
            <w:r>
              <w:rPr>
                <w:rFonts w:hint="eastAsia" w:ascii="宋体" w:eastAsia="宋体" w:cs="宋体"/>
                <w:b w:val="0"/>
                <w:bCs w:val="0"/>
                <w:color w:val="auto"/>
                <w:sz w:val="21"/>
                <w:szCs w:val="21"/>
                <w:highlight w:val="none"/>
                <w:u w:val="none"/>
                <w:lang w:val="zh-CN"/>
              </w:rPr>
              <w:t>年</w:t>
            </w:r>
            <w:r>
              <w:rPr>
                <w:rFonts w:hint="eastAsia" w:ascii="宋体" w:eastAsia="宋体" w:cs="宋体"/>
                <w:b w:val="0"/>
                <w:bCs w:val="0"/>
                <w:color w:val="auto"/>
                <w:sz w:val="21"/>
                <w:szCs w:val="21"/>
                <w:highlight w:val="none"/>
                <w:u w:val="none"/>
                <w:lang w:val="en-US" w:eastAsia="zh-CN"/>
              </w:rPr>
              <w:t>1月1日</w:t>
            </w:r>
            <w:r>
              <w:rPr>
                <w:rFonts w:hint="eastAsia" w:ascii="宋体" w:eastAsia="宋体" w:cs="宋体"/>
                <w:b w:val="0"/>
                <w:bCs w:val="0"/>
                <w:color w:val="auto"/>
                <w:sz w:val="21"/>
                <w:szCs w:val="21"/>
                <w:highlight w:val="none"/>
                <w:u w:val="none"/>
                <w:lang w:val="zh-CN"/>
              </w:rPr>
              <w:t>至今的财务状况进行评价，三年盈利得</w:t>
            </w:r>
            <w:r>
              <w:rPr>
                <w:rFonts w:hint="eastAsia" w:ascii="宋体" w:eastAsia="宋体" w:cs="宋体"/>
                <w:b w:val="0"/>
                <w:bCs w:val="0"/>
                <w:color w:val="auto"/>
                <w:sz w:val="21"/>
                <w:szCs w:val="21"/>
                <w:highlight w:val="none"/>
                <w:u w:val="none"/>
                <w:lang w:val="en-US" w:eastAsia="zh-CN"/>
              </w:rPr>
              <w:t>2</w:t>
            </w:r>
            <w:r>
              <w:rPr>
                <w:rFonts w:hint="eastAsia" w:ascii="宋体" w:eastAsia="宋体" w:cs="宋体"/>
                <w:b w:val="0"/>
                <w:bCs w:val="0"/>
                <w:color w:val="auto"/>
                <w:sz w:val="21"/>
                <w:szCs w:val="21"/>
                <w:highlight w:val="none"/>
                <w:u w:val="none"/>
                <w:lang w:val="zh-CN"/>
              </w:rPr>
              <w:t>分，两年盈利得</w:t>
            </w:r>
            <w:r>
              <w:rPr>
                <w:rFonts w:hint="eastAsia" w:ascii="宋体" w:eastAsia="宋体" w:cs="宋体"/>
                <w:b w:val="0"/>
                <w:bCs w:val="0"/>
                <w:color w:val="auto"/>
                <w:sz w:val="21"/>
                <w:szCs w:val="21"/>
                <w:highlight w:val="none"/>
                <w:u w:val="none"/>
                <w:lang w:val="en-US" w:eastAsia="zh-CN"/>
              </w:rPr>
              <w:t>1</w:t>
            </w:r>
            <w:r>
              <w:rPr>
                <w:rFonts w:hint="eastAsia" w:ascii="宋体" w:eastAsia="宋体" w:cs="宋体"/>
                <w:b w:val="0"/>
                <w:bCs w:val="0"/>
                <w:color w:val="auto"/>
                <w:sz w:val="21"/>
                <w:szCs w:val="21"/>
                <w:highlight w:val="none"/>
                <w:u w:val="none"/>
                <w:lang w:val="zh-CN"/>
              </w:rPr>
              <w:t>分，一年盈利得</w:t>
            </w:r>
            <w:r>
              <w:rPr>
                <w:rFonts w:hint="eastAsia" w:ascii="宋体" w:eastAsia="宋体" w:cs="宋体"/>
                <w:b w:val="0"/>
                <w:bCs w:val="0"/>
                <w:color w:val="auto"/>
                <w:sz w:val="21"/>
                <w:szCs w:val="21"/>
                <w:highlight w:val="none"/>
                <w:u w:val="none"/>
                <w:lang w:val="en-US" w:eastAsia="zh-CN"/>
              </w:rPr>
              <w:t>0.5</w:t>
            </w:r>
            <w:r>
              <w:rPr>
                <w:rFonts w:hint="eastAsia" w:ascii="宋体" w:eastAsia="宋体" w:cs="宋体"/>
                <w:b w:val="0"/>
                <w:bCs w:val="0"/>
                <w:color w:val="auto"/>
                <w:sz w:val="21"/>
                <w:szCs w:val="21"/>
                <w:highlight w:val="none"/>
                <w:u w:val="none"/>
                <w:lang w:val="zh-CN"/>
              </w:rPr>
              <w:t>分，无盈利不得分。</w:t>
            </w:r>
          </w:p>
          <w:p w14:paraId="79EC82DE">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eastAsia="宋体"/>
                <w:b w:val="0"/>
                <w:bCs w:val="0"/>
                <w:color w:val="auto"/>
                <w:highlight w:val="none"/>
                <w:u w:val="none"/>
                <w:lang w:eastAsia="zh-CN"/>
              </w:rPr>
            </w:pPr>
            <w:r>
              <w:rPr>
                <w:rFonts w:hint="eastAsia" w:ascii="宋体" w:eastAsia="宋体" w:cs="宋体"/>
                <w:b w:val="0"/>
                <w:bCs w:val="0"/>
                <w:color w:val="auto"/>
                <w:sz w:val="21"/>
                <w:szCs w:val="21"/>
                <w:highlight w:val="none"/>
                <w:u w:val="none"/>
                <w:lang w:val="zh-CN"/>
              </w:rPr>
              <w:t>注：须提供</w:t>
            </w:r>
            <w:r>
              <w:rPr>
                <w:rFonts w:hint="eastAsia" w:ascii="宋体" w:eastAsia="宋体" w:cs="宋体"/>
                <w:b w:val="0"/>
                <w:bCs w:val="0"/>
                <w:color w:val="auto"/>
                <w:sz w:val="21"/>
                <w:szCs w:val="21"/>
                <w:highlight w:val="none"/>
                <w:u w:val="none"/>
              </w:rPr>
              <w:t>会计师事务所审计的</w:t>
            </w:r>
            <w:r>
              <w:rPr>
                <w:rFonts w:hint="eastAsia" w:ascii="宋体" w:eastAsia="宋体" w:cs="宋体"/>
                <w:b w:val="0"/>
                <w:bCs w:val="0"/>
                <w:color w:val="auto"/>
                <w:sz w:val="21"/>
                <w:szCs w:val="21"/>
                <w:highlight w:val="none"/>
                <w:u w:val="none"/>
                <w:lang w:eastAsia="zh-CN"/>
              </w:rPr>
              <w:t>完整的</w:t>
            </w:r>
            <w:r>
              <w:rPr>
                <w:rFonts w:hint="eastAsia" w:ascii="宋体" w:eastAsia="宋体" w:cs="宋体"/>
                <w:b w:val="0"/>
                <w:bCs w:val="0"/>
                <w:color w:val="auto"/>
                <w:sz w:val="21"/>
                <w:szCs w:val="21"/>
                <w:highlight w:val="none"/>
                <w:u w:val="none"/>
              </w:rPr>
              <w:t>财务报表复印件加盖投标人公章</w:t>
            </w:r>
            <w:r>
              <w:rPr>
                <w:rFonts w:hint="eastAsia" w:ascii="宋体" w:eastAsia="宋体" w:cs="宋体"/>
                <w:b w:val="0"/>
                <w:bCs w:val="0"/>
                <w:color w:val="auto"/>
                <w:sz w:val="21"/>
                <w:szCs w:val="21"/>
                <w:highlight w:val="none"/>
                <w:u w:val="none"/>
                <w:lang w:eastAsia="zh-CN"/>
              </w:rPr>
              <w:t>。</w:t>
            </w:r>
          </w:p>
        </w:tc>
      </w:tr>
      <w:tr w14:paraId="19986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836" w:type="dxa"/>
            <w:tcBorders>
              <w:top w:val="single" w:color="auto" w:sz="4" w:space="0"/>
              <w:left w:val="single" w:color="auto" w:sz="4" w:space="0"/>
              <w:right w:val="single" w:color="auto" w:sz="4" w:space="0"/>
            </w:tcBorders>
            <w:vAlign w:val="center"/>
          </w:tcPr>
          <w:p w14:paraId="7FF4445A">
            <w:pPr>
              <w:pStyle w:val="48"/>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3</w:t>
            </w:r>
          </w:p>
        </w:tc>
        <w:tc>
          <w:tcPr>
            <w:tcW w:w="1326" w:type="dxa"/>
            <w:tcBorders>
              <w:top w:val="single" w:color="auto" w:sz="4" w:space="0"/>
              <w:left w:val="single" w:color="auto" w:sz="4" w:space="0"/>
              <w:right w:val="single" w:color="auto" w:sz="4" w:space="0"/>
            </w:tcBorders>
            <w:vAlign w:val="center"/>
          </w:tcPr>
          <w:p w14:paraId="5C2A83E7">
            <w:pPr>
              <w:pStyle w:val="48"/>
              <w:spacing w:line="360" w:lineRule="auto"/>
              <w:ind w:firstLine="0" w:firstLineChars="0"/>
              <w:jc w:val="center"/>
              <w:rPr>
                <w:rFonts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lang w:eastAsia="zh-CN"/>
              </w:rPr>
              <w:t>同类</w:t>
            </w:r>
            <w:r>
              <w:rPr>
                <w:rFonts w:hint="eastAsia" w:ascii="宋体" w:eastAsia="宋体" w:cs="宋体"/>
                <w:b w:val="0"/>
                <w:bCs w:val="0"/>
                <w:color w:val="auto"/>
                <w:sz w:val="21"/>
                <w:szCs w:val="21"/>
                <w:highlight w:val="none"/>
                <w:u w:val="none"/>
              </w:rPr>
              <w:t>业绩</w:t>
            </w:r>
          </w:p>
        </w:tc>
        <w:tc>
          <w:tcPr>
            <w:tcW w:w="907" w:type="dxa"/>
            <w:tcBorders>
              <w:top w:val="single" w:color="auto" w:sz="4" w:space="0"/>
              <w:left w:val="single" w:color="auto" w:sz="4" w:space="0"/>
              <w:bottom w:val="single" w:color="auto" w:sz="4" w:space="0"/>
              <w:right w:val="single" w:color="auto" w:sz="4" w:space="0"/>
            </w:tcBorders>
            <w:vAlign w:val="center"/>
          </w:tcPr>
          <w:p w14:paraId="09733137">
            <w:pPr>
              <w:pStyle w:val="48"/>
              <w:spacing w:line="360" w:lineRule="auto"/>
              <w:ind w:firstLine="0" w:firstLineChars="0"/>
              <w:jc w:val="center"/>
              <w:rPr>
                <w:rFonts w:hint="default"/>
                <w:b w:val="0"/>
                <w:bCs w:val="0"/>
                <w:color w:val="auto"/>
                <w:highlight w:val="none"/>
                <w:u w:val="none"/>
                <w:lang w:val="en-US"/>
              </w:rPr>
            </w:pPr>
            <w:r>
              <w:rPr>
                <w:rFonts w:hint="eastAsia" w:ascii="宋体" w:eastAsia="宋体" w:cs="宋体"/>
                <w:b w:val="0"/>
                <w:bCs w:val="0"/>
                <w:color w:val="auto"/>
                <w:sz w:val="21"/>
                <w:szCs w:val="21"/>
                <w:highlight w:val="none"/>
                <w:u w:val="none"/>
                <w:lang w:val="en-US" w:eastAsia="zh-CN"/>
              </w:rPr>
              <w:t>10</w:t>
            </w:r>
          </w:p>
        </w:tc>
        <w:tc>
          <w:tcPr>
            <w:tcW w:w="6289" w:type="dxa"/>
            <w:tcBorders>
              <w:top w:val="single" w:color="auto" w:sz="4" w:space="0"/>
              <w:left w:val="single" w:color="auto" w:sz="4" w:space="0"/>
              <w:bottom w:val="single" w:color="auto" w:sz="4" w:space="0"/>
              <w:right w:val="single" w:color="auto" w:sz="4" w:space="0"/>
            </w:tcBorders>
            <w:vAlign w:val="center"/>
          </w:tcPr>
          <w:p w14:paraId="0C3089FB">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投标人自2022年至今承接过储能项目，每具有一个项目业绩，得2分，最高得10分。</w:t>
            </w:r>
          </w:p>
          <w:p w14:paraId="21441FE0">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ascii="宋体" w:eastAsia="宋体" w:cs="宋体"/>
                <w:b w:val="0"/>
                <w:bCs w:val="0"/>
                <w:color w:val="auto"/>
                <w:sz w:val="21"/>
                <w:szCs w:val="21"/>
                <w:highlight w:val="none"/>
                <w:u w:val="none"/>
                <w:lang w:val="zh-CN"/>
              </w:rPr>
            </w:pPr>
            <w:r>
              <w:rPr>
                <w:rFonts w:hint="eastAsia" w:ascii="宋体" w:eastAsia="宋体" w:cs="宋体"/>
                <w:b w:val="0"/>
                <w:bCs w:val="0"/>
                <w:color w:val="auto"/>
                <w:sz w:val="21"/>
                <w:szCs w:val="21"/>
                <w:highlight w:val="none"/>
                <w:u w:val="none"/>
                <w:lang w:val="en-US" w:eastAsia="zh-CN"/>
              </w:rPr>
              <w:t>注：须提供合同复印件并同时加盖投标人公章，不符合以上要求得不得分。</w:t>
            </w:r>
          </w:p>
        </w:tc>
      </w:tr>
      <w:tr w14:paraId="51455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48EA2586">
            <w:pPr>
              <w:pStyle w:val="48"/>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4</w:t>
            </w:r>
          </w:p>
        </w:tc>
        <w:tc>
          <w:tcPr>
            <w:tcW w:w="1326" w:type="dxa"/>
            <w:tcBorders>
              <w:top w:val="single" w:color="auto" w:sz="4" w:space="0"/>
              <w:left w:val="single" w:color="auto" w:sz="4" w:space="0"/>
              <w:bottom w:val="single" w:color="auto" w:sz="4" w:space="0"/>
              <w:right w:val="single" w:color="auto" w:sz="4" w:space="0"/>
            </w:tcBorders>
            <w:vAlign w:val="center"/>
          </w:tcPr>
          <w:p w14:paraId="0EA97CE7">
            <w:pPr>
              <w:pStyle w:val="48"/>
              <w:spacing w:line="360" w:lineRule="auto"/>
              <w:ind w:firstLine="0" w:firstLineChars="0"/>
              <w:jc w:val="center"/>
              <w:rPr>
                <w:rFonts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人员要求</w:t>
            </w:r>
          </w:p>
        </w:tc>
        <w:tc>
          <w:tcPr>
            <w:tcW w:w="907" w:type="dxa"/>
            <w:tcBorders>
              <w:top w:val="single" w:color="auto" w:sz="4" w:space="0"/>
              <w:left w:val="single" w:color="auto" w:sz="4" w:space="0"/>
              <w:bottom w:val="single" w:color="auto" w:sz="4" w:space="0"/>
              <w:right w:val="single" w:color="auto" w:sz="4" w:space="0"/>
            </w:tcBorders>
            <w:vAlign w:val="center"/>
          </w:tcPr>
          <w:p w14:paraId="22134FB5">
            <w:pPr>
              <w:pStyle w:val="48"/>
              <w:spacing w:line="360" w:lineRule="auto"/>
              <w:ind w:firstLine="0" w:firstLineChars="0"/>
              <w:jc w:val="center"/>
              <w:rPr>
                <w:rFonts w:hint="default"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5</w:t>
            </w:r>
          </w:p>
        </w:tc>
        <w:tc>
          <w:tcPr>
            <w:tcW w:w="6289" w:type="dxa"/>
            <w:tcBorders>
              <w:top w:val="single" w:color="auto" w:sz="4" w:space="0"/>
              <w:left w:val="single" w:color="auto" w:sz="4" w:space="0"/>
              <w:bottom w:val="single" w:color="auto" w:sz="4" w:space="0"/>
              <w:right w:val="single" w:color="auto" w:sz="4" w:space="0"/>
            </w:tcBorders>
            <w:vAlign w:val="center"/>
          </w:tcPr>
          <w:p w14:paraId="32642FDE">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根据投标人拟投入的团队人员进行综合评审：</w:t>
            </w:r>
          </w:p>
          <w:p w14:paraId="736EFFBC">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1、团队人员中具有注册于投标人本单位的机电工程专业二级注册建造师执业资格证书和有效的安全生产考核合格证（B证）的，得2分；机电工程专业一级注册建造师执业资格证书和有效的安全生产考核合格证（B证），得</w:t>
            </w:r>
            <w:r>
              <w:rPr>
                <w:rFonts w:hint="eastAsia" w:ascii="宋体" w:eastAsia="宋体" w:cs="宋体"/>
                <w:b w:val="0"/>
                <w:bCs w:val="0"/>
                <w:color w:val="auto"/>
                <w:sz w:val="21"/>
                <w:szCs w:val="21"/>
                <w:highlight w:val="none"/>
                <w:u w:val="none"/>
                <w:lang w:val="en-US" w:eastAsia="zh-CN"/>
              </w:rPr>
              <w:t>3</w:t>
            </w:r>
            <w:r>
              <w:rPr>
                <w:rFonts w:hint="eastAsia" w:ascii="宋体" w:eastAsia="宋体" w:cs="宋体"/>
                <w:b w:val="0"/>
                <w:bCs w:val="0"/>
                <w:color w:val="auto"/>
                <w:sz w:val="21"/>
                <w:szCs w:val="21"/>
                <w:highlight w:val="none"/>
                <w:u w:val="none"/>
              </w:rPr>
              <w:t>分，最高得</w:t>
            </w:r>
            <w:r>
              <w:rPr>
                <w:rFonts w:hint="eastAsia" w:ascii="宋体" w:eastAsia="宋体" w:cs="宋体"/>
                <w:b w:val="0"/>
                <w:bCs w:val="0"/>
                <w:color w:val="auto"/>
                <w:sz w:val="21"/>
                <w:szCs w:val="21"/>
                <w:highlight w:val="none"/>
                <w:u w:val="none"/>
                <w:lang w:val="en-US" w:eastAsia="zh-CN"/>
              </w:rPr>
              <w:t>3</w:t>
            </w:r>
            <w:r>
              <w:rPr>
                <w:rFonts w:hint="eastAsia" w:ascii="宋体" w:eastAsia="宋体" w:cs="宋体"/>
                <w:b w:val="0"/>
                <w:bCs w:val="0"/>
                <w:color w:val="auto"/>
                <w:sz w:val="21"/>
                <w:szCs w:val="21"/>
                <w:highlight w:val="none"/>
                <w:u w:val="none"/>
              </w:rPr>
              <w:t>分；</w:t>
            </w:r>
          </w:p>
          <w:p w14:paraId="7C31F258">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2、团队人员中具有电工作业证（特种作业操作证），每提供一人得1分，最高得2分；</w:t>
            </w:r>
          </w:p>
          <w:p w14:paraId="14A92663">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lang w:eastAsia="zh-CN"/>
              </w:rPr>
            </w:pPr>
            <w:r>
              <w:rPr>
                <w:rFonts w:hint="eastAsia" w:ascii="宋体" w:eastAsia="宋体" w:cs="宋体"/>
                <w:b w:val="0"/>
                <w:bCs w:val="0"/>
                <w:color w:val="auto"/>
                <w:sz w:val="21"/>
                <w:szCs w:val="21"/>
                <w:highlight w:val="none"/>
                <w:u w:val="none"/>
              </w:rPr>
              <w:t>注：以上人员在履行期间，拟投入本项目的所有人员须专职服务本项目，如相关人员有变更应及时向采购人办理变更备案手续；提供的人员不得重复得分；须提供有效的相关证书复印件加盖投标人公章, 并提供社保部门出具的投标人为其购买的近六个月年内任意一个月的社会保险证明材料加盖投标人公章，否则不得分。</w:t>
            </w:r>
          </w:p>
        </w:tc>
      </w:tr>
      <w:tr w14:paraId="1139C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373498D8">
            <w:pPr>
              <w:pStyle w:val="48"/>
              <w:spacing w:line="360" w:lineRule="auto"/>
              <w:ind w:firstLine="0" w:firstLineChars="0"/>
              <w:jc w:val="center"/>
              <w:rPr>
                <w:rFonts w:hint="eastAsia" w:asci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5</w:t>
            </w:r>
          </w:p>
        </w:tc>
        <w:tc>
          <w:tcPr>
            <w:tcW w:w="1326" w:type="dxa"/>
            <w:tcBorders>
              <w:top w:val="single" w:color="auto" w:sz="4" w:space="0"/>
              <w:left w:val="single" w:color="auto" w:sz="4" w:space="0"/>
              <w:bottom w:val="single" w:color="auto" w:sz="4" w:space="0"/>
              <w:right w:val="single" w:color="auto" w:sz="4" w:space="0"/>
            </w:tcBorders>
            <w:vAlign w:val="center"/>
          </w:tcPr>
          <w:p w14:paraId="3A27B889">
            <w:pPr>
              <w:pStyle w:val="48"/>
              <w:spacing w:line="360" w:lineRule="auto"/>
              <w:ind w:firstLine="0" w:firstLineChars="0"/>
              <w:jc w:val="center"/>
              <w:rPr>
                <w:rFonts w:hint="default"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企业信誉</w:t>
            </w:r>
          </w:p>
        </w:tc>
        <w:tc>
          <w:tcPr>
            <w:tcW w:w="907" w:type="dxa"/>
            <w:tcBorders>
              <w:top w:val="single" w:color="auto" w:sz="4" w:space="0"/>
              <w:left w:val="single" w:color="auto" w:sz="4" w:space="0"/>
              <w:bottom w:val="single" w:color="auto" w:sz="4" w:space="0"/>
              <w:right w:val="single" w:color="auto" w:sz="4" w:space="0"/>
            </w:tcBorders>
            <w:vAlign w:val="center"/>
          </w:tcPr>
          <w:p w14:paraId="7DC28333">
            <w:pPr>
              <w:pStyle w:val="48"/>
              <w:spacing w:line="360" w:lineRule="auto"/>
              <w:ind w:firstLine="0" w:firstLineChars="0"/>
              <w:jc w:val="center"/>
              <w:rPr>
                <w:rFonts w:hint="default"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2</w:t>
            </w:r>
          </w:p>
        </w:tc>
        <w:tc>
          <w:tcPr>
            <w:tcW w:w="6289" w:type="dxa"/>
            <w:tcBorders>
              <w:top w:val="single" w:color="auto" w:sz="4" w:space="0"/>
              <w:left w:val="single" w:color="auto" w:sz="4" w:space="0"/>
              <w:bottom w:val="single" w:color="auto" w:sz="4" w:space="0"/>
              <w:right w:val="single" w:color="auto" w:sz="4" w:space="0"/>
            </w:tcBorders>
            <w:vAlign w:val="center"/>
          </w:tcPr>
          <w:p w14:paraId="231812C8">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投标人提供2022年1月1日至今未受到</w:t>
            </w:r>
            <w:r>
              <w:rPr>
                <w:rFonts w:hint="eastAsia" w:ascii="宋体" w:eastAsia="宋体" w:cs="宋体"/>
                <w:b w:val="0"/>
                <w:bCs w:val="0"/>
                <w:color w:val="auto"/>
                <w:sz w:val="21"/>
                <w:szCs w:val="21"/>
                <w:highlight w:val="none"/>
                <w:u w:val="none"/>
                <w:lang w:val="en-US" w:eastAsia="zh-CN"/>
              </w:rPr>
              <w:t>相关</w:t>
            </w:r>
            <w:r>
              <w:rPr>
                <w:rFonts w:hint="eastAsia" w:ascii="宋体" w:eastAsia="宋体" w:cs="宋体"/>
                <w:b w:val="0"/>
                <w:bCs w:val="0"/>
                <w:color w:val="auto"/>
                <w:sz w:val="21"/>
                <w:szCs w:val="21"/>
                <w:highlight w:val="none"/>
                <w:u w:val="none"/>
              </w:rPr>
              <w:t>主管部门的行政处罚或开标前未处在行政处罚内的得</w:t>
            </w:r>
            <w:r>
              <w:rPr>
                <w:rFonts w:hint="eastAsia" w:ascii="宋体" w:eastAsia="宋体" w:cs="宋体"/>
                <w:b w:val="0"/>
                <w:bCs w:val="0"/>
                <w:color w:val="auto"/>
                <w:sz w:val="21"/>
                <w:szCs w:val="21"/>
                <w:highlight w:val="none"/>
                <w:u w:val="none"/>
                <w:lang w:val="en-US" w:eastAsia="zh-CN"/>
              </w:rPr>
              <w:t>2</w:t>
            </w:r>
            <w:r>
              <w:rPr>
                <w:rFonts w:hint="eastAsia" w:ascii="宋体" w:eastAsia="宋体" w:cs="宋体"/>
                <w:b w:val="0"/>
                <w:bCs w:val="0"/>
                <w:color w:val="auto"/>
                <w:sz w:val="21"/>
                <w:szCs w:val="21"/>
                <w:highlight w:val="none"/>
                <w:u w:val="none"/>
              </w:rPr>
              <w:t>分</w:t>
            </w:r>
            <w:r>
              <w:rPr>
                <w:rFonts w:hint="eastAsia" w:ascii="宋体" w:eastAsia="宋体" w:cs="宋体"/>
                <w:b w:val="0"/>
                <w:bCs w:val="0"/>
                <w:color w:val="auto"/>
                <w:sz w:val="21"/>
                <w:szCs w:val="21"/>
                <w:highlight w:val="none"/>
                <w:u w:val="none"/>
                <w:lang w:eastAsia="zh-CN"/>
              </w:rPr>
              <w:t>；</w:t>
            </w:r>
            <w:r>
              <w:rPr>
                <w:rFonts w:hint="eastAsia" w:ascii="宋体" w:eastAsia="宋体" w:cs="宋体"/>
                <w:b w:val="0"/>
                <w:bCs w:val="0"/>
                <w:color w:val="auto"/>
                <w:sz w:val="21"/>
                <w:szCs w:val="21"/>
                <w:highlight w:val="none"/>
                <w:u w:val="none"/>
              </w:rPr>
              <w:t>未提供证明材料或受到1次以上行政处罚并在开标前处于行政处罚内的不得分。(以信用中国查询截图为准)注:此处行政处罚指供应商因违法经营受到的警告、通报批评、200万元以下罚款、限制开展生产经营活动、限制从业的行政处罚。</w:t>
            </w:r>
          </w:p>
        </w:tc>
      </w:tr>
      <w:tr w14:paraId="7AB3A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48A4AD88">
            <w:pPr>
              <w:pStyle w:val="48"/>
              <w:spacing w:line="360" w:lineRule="auto"/>
              <w:ind w:firstLine="0" w:firstLineChars="0"/>
              <w:jc w:val="center"/>
              <w:rPr>
                <w:rFonts w:hint="default" w:asci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6</w:t>
            </w:r>
          </w:p>
        </w:tc>
        <w:tc>
          <w:tcPr>
            <w:tcW w:w="1326" w:type="dxa"/>
            <w:tcBorders>
              <w:top w:val="single" w:color="auto" w:sz="4" w:space="0"/>
              <w:left w:val="single" w:color="auto" w:sz="4" w:space="0"/>
              <w:bottom w:val="single" w:color="auto" w:sz="4" w:space="0"/>
              <w:right w:val="single" w:color="auto" w:sz="4" w:space="0"/>
            </w:tcBorders>
            <w:vAlign w:val="center"/>
          </w:tcPr>
          <w:p w14:paraId="4CF331CA">
            <w:pPr>
              <w:pStyle w:val="48"/>
              <w:spacing w:line="360" w:lineRule="auto"/>
              <w:ind w:firstLine="0" w:firstLineChars="0"/>
              <w:jc w:val="center"/>
              <w:rPr>
                <w:rFonts w:hint="eastAsia"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服务便利性</w:t>
            </w:r>
          </w:p>
        </w:tc>
        <w:tc>
          <w:tcPr>
            <w:tcW w:w="907" w:type="dxa"/>
            <w:tcBorders>
              <w:top w:val="single" w:color="auto" w:sz="4" w:space="0"/>
              <w:left w:val="single" w:color="auto" w:sz="4" w:space="0"/>
              <w:bottom w:val="single" w:color="auto" w:sz="4" w:space="0"/>
              <w:right w:val="single" w:color="auto" w:sz="4" w:space="0"/>
            </w:tcBorders>
            <w:vAlign w:val="center"/>
          </w:tcPr>
          <w:p w14:paraId="5CA6D024">
            <w:pPr>
              <w:pStyle w:val="48"/>
              <w:spacing w:line="360" w:lineRule="auto"/>
              <w:ind w:firstLine="0" w:firstLineChars="0"/>
              <w:jc w:val="center"/>
              <w:rPr>
                <w:rFonts w:hint="default" w:ascii="宋体" w:eastAsia="宋体" w:cs="宋体"/>
                <w:b w:val="0"/>
                <w:bCs w:val="0"/>
                <w:color w:val="auto"/>
                <w:sz w:val="21"/>
                <w:szCs w:val="21"/>
                <w:highlight w:val="none"/>
                <w:u w:val="none"/>
                <w:lang w:val="en-US" w:eastAsia="zh-CN"/>
              </w:rPr>
            </w:pPr>
            <w:r>
              <w:rPr>
                <w:rFonts w:hint="eastAsia" w:ascii="宋体" w:eastAsia="宋体" w:cs="宋体"/>
                <w:b w:val="0"/>
                <w:bCs w:val="0"/>
                <w:color w:val="auto"/>
                <w:sz w:val="21"/>
                <w:szCs w:val="21"/>
                <w:highlight w:val="none"/>
                <w:u w:val="none"/>
                <w:lang w:val="en-US" w:eastAsia="zh-CN"/>
              </w:rPr>
              <w:t>8</w:t>
            </w:r>
          </w:p>
        </w:tc>
        <w:tc>
          <w:tcPr>
            <w:tcW w:w="6289" w:type="dxa"/>
            <w:tcBorders>
              <w:top w:val="single" w:color="auto" w:sz="4" w:space="0"/>
              <w:left w:val="single" w:color="auto" w:sz="4" w:space="0"/>
              <w:bottom w:val="single" w:color="auto" w:sz="4" w:space="0"/>
              <w:right w:val="single" w:color="auto" w:sz="4" w:space="0"/>
            </w:tcBorders>
            <w:vAlign w:val="center"/>
          </w:tcPr>
          <w:p w14:paraId="74DD2E92">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lang w:eastAsia="zh-CN"/>
              </w:rPr>
            </w:pPr>
            <w:r>
              <w:rPr>
                <w:rFonts w:hint="eastAsia" w:ascii="宋体" w:eastAsia="宋体" w:cs="宋体"/>
                <w:b w:val="0"/>
                <w:bCs w:val="0"/>
                <w:color w:val="auto"/>
                <w:sz w:val="21"/>
                <w:szCs w:val="21"/>
                <w:highlight w:val="none"/>
                <w:u w:val="none"/>
              </w:rPr>
              <w:t>根据</w:t>
            </w:r>
            <w:r>
              <w:rPr>
                <w:rFonts w:hint="eastAsia" w:ascii="宋体" w:eastAsia="宋体" w:cs="宋体"/>
                <w:b w:val="0"/>
                <w:bCs w:val="0"/>
                <w:color w:val="auto"/>
                <w:sz w:val="21"/>
                <w:szCs w:val="21"/>
                <w:highlight w:val="none"/>
                <w:u w:val="none"/>
                <w:lang w:val="en-US" w:eastAsia="zh-CN"/>
              </w:rPr>
              <w:t>投标人</w:t>
            </w:r>
            <w:r>
              <w:rPr>
                <w:rFonts w:hint="eastAsia" w:ascii="宋体" w:eastAsia="宋体" w:cs="宋体"/>
                <w:b w:val="0"/>
                <w:bCs w:val="0"/>
                <w:color w:val="auto"/>
                <w:sz w:val="21"/>
                <w:szCs w:val="21"/>
                <w:highlight w:val="none"/>
                <w:u w:val="none"/>
              </w:rPr>
              <w:t>提供的服务响应时间承诺进行评分</w:t>
            </w:r>
            <w:r>
              <w:rPr>
                <w:rFonts w:hint="eastAsia" w:ascii="宋体" w:eastAsia="宋体" w:cs="宋体"/>
                <w:b w:val="0"/>
                <w:bCs w:val="0"/>
                <w:color w:val="auto"/>
                <w:sz w:val="21"/>
                <w:szCs w:val="21"/>
                <w:highlight w:val="none"/>
                <w:u w:val="none"/>
                <w:lang w:eastAsia="zh-CN"/>
              </w:rPr>
              <w:t>：</w:t>
            </w:r>
          </w:p>
          <w:p w14:paraId="5EDE8B26">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lang w:val="en-US" w:eastAsia="zh-CN"/>
              </w:rPr>
              <w:t>投标人</w:t>
            </w:r>
            <w:r>
              <w:rPr>
                <w:rFonts w:hint="eastAsia" w:ascii="宋体" w:eastAsia="宋体" w:cs="宋体"/>
                <w:b w:val="0"/>
                <w:bCs w:val="0"/>
                <w:color w:val="auto"/>
                <w:sz w:val="21"/>
                <w:szCs w:val="21"/>
                <w:highlight w:val="none"/>
                <w:u w:val="none"/>
              </w:rPr>
              <w:t>承诺在接到招标人通知后1小时内到现场，得</w:t>
            </w:r>
            <w:r>
              <w:rPr>
                <w:rFonts w:hint="eastAsia" w:ascii="宋体" w:eastAsia="宋体" w:cs="宋体"/>
                <w:b w:val="0"/>
                <w:bCs w:val="0"/>
                <w:color w:val="auto"/>
                <w:sz w:val="21"/>
                <w:szCs w:val="21"/>
                <w:highlight w:val="none"/>
                <w:u w:val="none"/>
                <w:lang w:val="en-US" w:eastAsia="zh-CN"/>
              </w:rPr>
              <w:t>8</w:t>
            </w:r>
            <w:r>
              <w:rPr>
                <w:rFonts w:hint="eastAsia" w:ascii="宋体" w:eastAsia="宋体" w:cs="宋体"/>
                <w:b w:val="0"/>
                <w:bCs w:val="0"/>
                <w:color w:val="auto"/>
                <w:sz w:val="21"/>
                <w:szCs w:val="21"/>
                <w:highlight w:val="none"/>
                <w:u w:val="none"/>
              </w:rPr>
              <w:t>分；</w:t>
            </w:r>
          </w:p>
          <w:p w14:paraId="1471F32B">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lang w:val="en-US" w:eastAsia="zh-CN"/>
              </w:rPr>
              <w:t>投标人</w:t>
            </w:r>
            <w:r>
              <w:rPr>
                <w:rFonts w:hint="eastAsia" w:ascii="宋体" w:eastAsia="宋体" w:cs="宋体"/>
                <w:b w:val="0"/>
                <w:bCs w:val="0"/>
                <w:color w:val="auto"/>
                <w:sz w:val="21"/>
                <w:szCs w:val="21"/>
                <w:highlight w:val="none"/>
                <w:u w:val="none"/>
              </w:rPr>
              <w:t>承诺在接到招标人通知后2小时内到现场，得</w:t>
            </w:r>
            <w:r>
              <w:rPr>
                <w:rFonts w:hint="eastAsia" w:ascii="宋体" w:eastAsia="宋体" w:cs="宋体"/>
                <w:b w:val="0"/>
                <w:bCs w:val="0"/>
                <w:color w:val="auto"/>
                <w:sz w:val="21"/>
                <w:szCs w:val="21"/>
                <w:highlight w:val="none"/>
                <w:u w:val="none"/>
                <w:lang w:val="en-US" w:eastAsia="zh-CN"/>
              </w:rPr>
              <w:t>5</w:t>
            </w:r>
            <w:r>
              <w:rPr>
                <w:rFonts w:hint="eastAsia" w:ascii="宋体" w:eastAsia="宋体" w:cs="宋体"/>
                <w:b w:val="0"/>
                <w:bCs w:val="0"/>
                <w:color w:val="auto"/>
                <w:sz w:val="21"/>
                <w:szCs w:val="21"/>
                <w:highlight w:val="none"/>
                <w:u w:val="none"/>
              </w:rPr>
              <w:t>分；</w:t>
            </w:r>
          </w:p>
          <w:p w14:paraId="272EFD12">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lang w:val="en-US" w:eastAsia="zh-CN"/>
              </w:rPr>
              <w:t>投标人</w:t>
            </w:r>
            <w:r>
              <w:rPr>
                <w:rFonts w:hint="eastAsia" w:ascii="宋体" w:eastAsia="宋体" w:cs="宋体"/>
                <w:b w:val="0"/>
                <w:bCs w:val="0"/>
                <w:color w:val="auto"/>
                <w:sz w:val="21"/>
                <w:szCs w:val="21"/>
                <w:highlight w:val="none"/>
                <w:u w:val="none"/>
              </w:rPr>
              <w:t>承诺在接到招标人通知后4小时内到现场，得</w:t>
            </w:r>
            <w:r>
              <w:rPr>
                <w:rFonts w:hint="eastAsia" w:ascii="宋体" w:eastAsia="宋体" w:cs="宋体"/>
                <w:b w:val="0"/>
                <w:bCs w:val="0"/>
                <w:color w:val="auto"/>
                <w:sz w:val="21"/>
                <w:szCs w:val="21"/>
                <w:highlight w:val="none"/>
                <w:u w:val="none"/>
                <w:lang w:val="en-US" w:eastAsia="zh-CN"/>
              </w:rPr>
              <w:t>2</w:t>
            </w:r>
            <w:r>
              <w:rPr>
                <w:rFonts w:hint="eastAsia" w:ascii="宋体" w:eastAsia="宋体" w:cs="宋体"/>
                <w:b w:val="0"/>
                <w:bCs w:val="0"/>
                <w:color w:val="auto"/>
                <w:sz w:val="21"/>
                <w:szCs w:val="21"/>
                <w:highlight w:val="none"/>
                <w:u w:val="none"/>
              </w:rPr>
              <w:t>分；</w:t>
            </w:r>
          </w:p>
          <w:p w14:paraId="025EDE25">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lang w:val="en-US" w:eastAsia="zh-CN"/>
              </w:rPr>
              <w:t>投标人</w:t>
            </w:r>
            <w:r>
              <w:rPr>
                <w:rFonts w:hint="eastAsia" w:ascii="宋体" w:eastAsia="宋体" w:cs="宋体"/>
                <w:b w:val="0"/>
                <w:bCs w:val="0"/>
                <w:color w:val="auto"/>
                <w:sz w:val="21"/>
                <w:szCs w:val="21"/>
                <w:highlight w:val="none"/>
                <w:u w:val="none"/>
              </w:rPr>
              <w:t>承诺在接到招标人通知后超过4小时到现场，不得分。</w:t>
            </w:r>
          </w:p>
          <w:p w14:paraId="1F0474B5">
            <w:pPr>
              <w:pStyle w:val="48"/>
              <w:keepNext w:val="0"/>
              <w:keepLines w:val="0"/>
              <w:pageBreakBefore w:val="0"/>
              <w:widowControl w:val="0"/>
              <w:kinsoku/>
              <w:wordWrap/>
              <w:overflowPunct/>
              <w:topLinePunct w:val="0"/>
              <w:autoSpaceDE/>
              <w:autoSpaceDN/>
              <w:bidi w:val="0"/>
              <w:adjustRightInd/>
              <w:snapToGrid/>
              <w:spacing w:line="312" w:lineRule="auto"/>
              <w:ind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提供服务承诺书并加盖</w:t>
            </w:r>
            <w:r>
              <w:rPr>
                <w:rFonts w:hint="eastAsia" w:ascii="宋体" w:eastAsia="宋体" w:cs="宋体"/>
                <w:b w:val="0"/>
                <w:bCs w:val="0"/>
                <w:color w:val="auto"/>
                <w:sz w:val="21"/>
                <w:szCs w:val="21"/>
                <w:highlight w:val="none"/>
                <w:u w:val="none"/>
                <w:lang w:val="en-US" w:eastAsia="zh-CN"/>
              </w:rPr>
              <w:t>投标人</w:t>
            </w:r>
            <w:r>
              <w:rPr>
                <w:rFonts w:hint="eastAsia" w:ascii="宋体" w:eastAsia="宋体" w:cs="宋体"/>
                <w:b w:val="0"/>
                <w:bCs w:val="0"/>
                <w:color w:val="auto"/>
                <w:sz w:val="21"/>
                <w:szCs w:val="21"/>
                <w:highlight w:val="none"/>
                <w:u w:val="none"/>
              </w:rPr>
              <w:t>公章，不符合以上要求得不得分。</w:t>
            </w:r>
          </w:p>
        </w:tc>
      </w:tr>
      <w:tr w14:paraId="73663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9358" w:type="dxa"/>
            <w:gridSpan w:val="4"/>
            <w:tcBorders>
              <w:top w:val="single" w:color="auto" w:sz="4" w:space="0"/>
              <w:left w:val="single" w:color="auto" w:sz="4" w:space="0"/>
              <w:bottom w:val="single" w:color="auto" w:sz="4" w:space="0"/>
              <w:right w:val="single" w:color="auto" w:sz="4" w:space="0"/>
            </w:tcBorders>
            <w:vAlign w:val="center"/>
          </w:tcPr>
          <w:p w14:paraId="2771837D">
            <w:pPr>
              <w:pStyle w:val="48"/>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技术评审（</w:t>
            </w:r>
            <w:r>
              <w:rPr>
                <w:rFonts w:hint="eastAsia" w:ascii="宋体" w:eastAsia="宋体" w:cs="宋体"/>
                <w:b w:val="0"/>
                <w:bCs w:val="0"/>
                <w:color w:val="auto"/>
                <w:sz w:val="21"/>
                <w:szCs w:val="21"/>
                <w:highlight w:val="none"/>
                <w:lang w:val="en-US" w:eastAsia="zh-CN"/>
              </w:rPr>
              <w:t>20</w:t>
            </w:r>
            <w:r>
              <w:rPr>
                <w:rFonts w:hint="eastAsia" w:ascii="宋体" w:eastAsia="宋体" w:cs="宋体"/>
                <w:b w:val="0"/>
                <w:bCs w:val="0"/>
                <w:color w:val="auto"/>
                <w:sz w:val="21"/>
                <w:szCs w:val="21"/>
                <w:highlight w:val="none"/>
              </w:rPr>
              <w:t>分）</w:t>
            </w:r>
          </w:p>
        </w:tc>
      </w:tr>
      <w:tr w14:paraId="41C5D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7"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1D4EB97D">
            <w:pPr>
              <w:pStyle w:val="48"/>
              <w:spacing w:line="360" w:lineRule="auto"/>
              <w:ind w:firstLine="0" w:firstLineChars="0"/>
              <w:jc w:val="center"/>
              <w:rPr>
                <w:rFonts w:hint="eastAsia" w:ascii="宋体" w:eastAsia="宋体" w:cs="宋体"/>
                <w:b w:val="0"/>
                <w:bCs w:val="0"/>
                <w:color w:val="auto"/>
                <w:sz w:val="21"/>
                <w:szCs w:val="21"/>
                <w:highlight w:val="none"/>
                <w:lang w:eastAsia="zh-CN"/>
              </w:rPr>
            </w:pPr>
            <w:r>
              <w:rPr>
                <w:rFonts w:hint="eastAsia" w:ascii="宋体" w:eastAsia="宋体" w:cs="宋体"/>
                <w:b w:val="0"/>
                <w:bCs w:val="0"/>
                <w:color w:val="auto"/>
                <w:sz w:val="21"/>
                <w:szCs w:val="21"/>
                <w:highlight w:val="none"/>
                <w:lang w:val="en-US" w:eastAsia="zh-CN"/>
              </w:rPr>
              <w:t>1</w:t>
            </w:r>
          </w:p>
        </w:tc>
        <w:tc>
          <w:tcPr>
            <w:tcW w:w="1326" w:type="dxa"/>
            <w:tcBorders>
              <w:top w:val="single" w:color="auto" w:sz="4" w:space="0"/>
              <w:left w:val="single" w:color="auto" w:sz="4" w:space="0"/>
              <w:bottom w:val="single" w:color="auto" w:sz="4" w:space="0"/>
              <w:right w:val="single" w:color="auto" w:sz="4" w:space="0"/>
            </w:tcBorders>
            <w:vAlign w:val="center"/>
          </w:tcPr>
          <w:p w14:paraId="0F1C8101">
            <w:pPr>
              <w:keepNext w:val="0"/>
              <w:keepLines w:val="0"/>
              <w:widowControl w:val="0"/>
              <w:suppressLineNumbers w:val="0"/>
              <w:adjustRightInd/>
              <w:snapToGrid/>
              <w:spacing w:before="0" w:beforeAutospacing="0" w:after="0" w:afterAutospacing="0"/>
              <w:ind w:left="0" w:right="0"/>
              <w:jc w:val="center"/>
              <w:rPr>
                <w:rFonts w:hint="default" w:ascii="宋体" w:hAnsi="宋体" w:cs="宋体"/>
                <w:b w:val="0"/>
                <w:bCs w:val="0"/>
                <w:color w:val="auto"/>
                <w:szCs w:val="21"/>
                <w:highlight w:val="none"/>
                <w:u w:val="none"/>
              </w:rPr>
            </w:pPr>
            <w:r>
              <w:rPr>
                <w:rFonts w:hint="eastAsia" w:hAnsi="宋体" w:cs="宋体"/>
                <w:b w:val="0"/>
                <w:bCs w:val="0"/>
                <w:color w:val="auto"/>
                <w:spacing w:val="2"/>
                <w:szCs w:val="21"/>
                <w:highlight w:val="none"/>
                <w:u w:val="none"/>
              </w:rPr>
              <w:t>项目实施（</w:t>
            </w:r>
            <w:r>
              <w:rPr>
                <w:rFonts w:hint="eastAsia" w:hAnsi="宋体" w:cs="宋体"/>
                <w:b w:val="0"/>
                <w:bCs w:val="0"/>
                <w:color w:val="auto"/>
                <w:spacing w:val="2"/>
                <w:szCs w:val="21"/>
                <w:highlight w:val="none"/>
                <w:u w:val="none"/>
                <w:lang w:eastAsia="zh-CN"/>
              </w:rPr>
              <w:t>设计、</w:t>
            </w:r>
            <w:r>
              <w:rPr>
                <w:rFonts w:hint="eastAsia" w:hAnsi="宋体" w:cs="宋体"/>
                <w:b w:val="0"/>
                <w:bCs w:val="0"/>
                <w:color w:val="auto"/>
                <w:spacing w:val="2"/>
                <w:szCs w:val="21"/>
                <w:highlight w:val="none"/>
                <w:u w:val="none"/>
              </w:rPr>
              <w:t>供货、安装）方案及进度计划</w:t>
            </w:r>
          </w:p>
        </w:tc>
        <w:tc>
          <w:tcPr>
            <w:tcW w:w="907" w:type="dxa"/>
            <w:tcBorders>
              <w:top w:val="single" w:color="auto" w:sz="4" w:space="0"/>
              <w:left w:val="single" w:color="auto" w:sz="4" w:space="0"/>
              <w:bottom w:val="single" w:color="auto" w:sz="4" w:space="0"/>
              <w:right w:val="single" w:color="auto" w:sz="4" w:space="0"/>
            </w:tcBorders>
            <w:vAlign w:val="center"/>
          </w:tcPr>
          <w:p w14:paraId="633E3978">
            <w:pPr>
              <w:keepNext w:val="0"/>
              <w:keepLines w:val="0"/>
              <w:widowControl w:val="0"/>
              <w:suppressLineNumbers w:val="0"/>
              <w:adjustRightInd/>
              <w:snapToGrid/>
              <w:spacing w:before="0" w:beforeAutospacing="0" w:after="0" w:afterAutospacing="0"/>
              <w:ind w:left="0" w:right="0"/>
              <w:jc w:val="center"/>
              <w:rPr>
                <w:rFonts w:hint="default" w:ascii="宋体" w:hAnsi="宋体" w:eastAsia="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5</w:t>
            </w:r>
          </w:p>
        </w:tc>
        <w:tc>
          <w:tcPr>
            <w:tcW w:w="6289" w:type="dxa"/>
            <w:tcBorders>
              <w:top w:val="single" w:color="auto" w:sz="4" w:space="0"/>
              <w:left w:val="single" w:color="auto" w:sz="4" w:space="0"/>
              <w:bottom w:val="single" w:color="auto" w:sz="4" w:space="0"/>
              <w:right w:val="single" w:color="auto" w:sz="4" w:space="0"/>
            </w:tcBorders>
            <w:vAlign w:val="center"/>
          </w:tcPr>
          <w:p w14:paraId="2C5CDE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b w:val="0"/>
                <w:bCs w:val="0"/>
                <w:color w:val="auto"/>
                <w:szCs w:val="21"/>
                <w:highlight w:val="none"/>
                <w:u w:val="none"/>
              </w:rPr>
            </w:pPr>
            <w:r>
              <w:rPr>
                <w:rFonts w:hint="eastAsia" w:ascii="宋体" w:hAnsi="宋体" w:cs="宋体"/>
                <w:b w:val="0"/>
                <w:bCs w:val="0"/>
                <w:color w:val="auto"/>
                <w:szCs w:val="21"/>
                <w:highlight w:val="none"/>
                <w:u w:val="none"/>
              </w:rPr>
              <w:t>根据</w:t>
            </w:r>
            <w:r>
              <w:rPr>
                <w:rFonts w:hint="eastAsia" w:ascii="宋体" w:hAnsi="宋体" w:cs="宋体"/>
                <w:b w:val="0"/>
                <w:bCs w:val="0"/>
                <w:color w:val="auto"/>
                <w:szCs w:val="21"/>
                <w:highlight w:val="none"/>
                <w:u w:val="none"/>
                <w:lang w:val="en-US" w:eastAsia="zh-CN"/>
              </w:rPr>
              <w:t>投标人</w:t>
            </w:r>
            <w:r>
              <w:rPr>
                <w:rFonts w:hint="eastAsia" w:ascii="宋体" w:hAnsi="宋体" w:cs="宋体"/>
                <w:b w:val="0"/>
                <w:bCs w:val="0"/>
                <w:color w:val="auto"/>
                <w:szCs w:val="21"/>
                <w:highlight w:val="none"/>
                <w:u w:val="none"/>
              </w:rPr>
              <w:t>提供的项目实施方案（包括不限于</w:t>
            </w:r>
            <w:r>
              <w:rPr>
                <w:rFonts w:hint="eastAsia" w:ascii="宋体" w:hAnsi="宋体" w:cs="宋体"/>
                <w:b w:val="0"/>
                <w:bCs w:val="0"/>
                <w:color w:val="auto"/>
                <w:szCs w:val="21"/>
                <w:highlight w:val="none"/>
                <w:u w:val="none"/>
                <w:lang w:eastAsia="zh-CN"/>
              </w:rPr>
              <w:t>初步设计方案、</w:t>
            </w:r>
            <w:r>
              <w:rPr>
                <w:rFonts w:hint="eastAsia" w:ascii="宋体" w:hAnsi="宋体" w:cs="宋体"/>
                <w:b w:val="0"/>
                <w:bCs w:val="0"/>
                <w:color w:val="auto"/>
                <w:szCs w:val="21"/>
                <w:highlight w:val="none"/>
                <w:u w:val="none"/>
              </w:rPr>
              <w:t>项目进度安排、项目验收方案、货物运输及保护措施、安装调试方案）进行评审：</w:t>
            </w:r>
          </w:p>
          <w:p w14:paraId="38996E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b w:val="0"/>
                <w:bCs w:val="0"/>
                <w:color w:val="auto"/>
                <w:szCs w:val="21"/>
                <w:highlight w:val="none"/>
                <w:u w:val="none"/>
              </w:rPr>
            </w:pPr>
            <w:r>
              <w:rPr>
                <w:rFonts w:hint="eastAsia" w:ascii="宋体" w:hAnsi="宋体" w:cs="宋体"/>
                <w:b w:val="0"/>
                <w:bCs w:val="0"/>
                <w:color w:val="auto"/>
                <w:szCs w:val="21"/>
                <w:highlight w:val="none"/>
                <w:u w:val="none"/>
              </w:rPr>
              <w:t>①针对本项目特征制定的实施方案的可靠性、可行性、安全性非常高的，进度计划安排非常科学合理，可行性强的，得</w:t>
            </w:r>
            <w:r>
              <w:rPr>
                <w:rFonts w:hint="eastAsia" w:ascii="宋体" w:hAnsi="宋体" w:cs="宋体"/>
                <w:b w:val="0"/>
                <w:bCs w:val="0"/>
                <w:color w:val="auto"/>
                <w:szCs w:val="21"/>
                <w:highlight w:val="none"/>
                <w:u w:val="none"/>
                <w:lang w:val="en-US" w:eastAsia="zh-CN"/>
              </w:rPr>
              <w:t>5</w:t>
            </w:r>
            <w:r>
              <w:rPr>
                <w:rFonts w:hint="eastAsia" w:ascii="宋体" w:hAnsi="宋体" w:cs="宋体"/>
                <w:b w:val="0"/>
                <w:bCs w:val="0"/>
                <w:color w:val="auto"/>
                <w:szCs w:val="21"/>
                <w:highlight w:val="none"/>
                <w:u w:val="none"/>
              </w:rPr>
              <w:t>分；</w:t>
            </w:r>
          </w:p>
          <w:p w14:paraId="38C461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b w:val="0"/>
                <w:bCs w:val="0"/>
                <w:color w:val="auto"/>
                <w:szCs w:val="21"/>
                <w:highlight w:val="none"/>
                <w:u w:val="none"/>
              </w:rPr>
            </w:pPr>
            <w:r>
              <w:rPr>
                <w:rFonts w:hint="eastAsia" w:ascii="宋体" w:hAnsi="宋体" w:cs="宋体"/>
                <w:b w:val="0"/>
                <w:bCs w:val="0"/>
                <w:color w:val="auto"/>
                <w:szCs w:val="21"/>
                <w:highlight w:val="none"/>
                <w:u w:val="none"/>
              </w:rPr>
              <w:t>②针对本项目特征制定的实施方案的可靠性、可行性、安全性比较高的，进度计划安排比较科学合理，可行性较强的，得</w:t>
            </w:r>
            <w:r>
              <w:rPr>
                <w:rFonts w:hint="eastAsia" w:ascii="宋体" w:hAnsi="宋体" w:cs="宋体"/>
                <w:b w:val="0"/>
                <w:bCs w:val="0"/>
                <w:color w:val="auto"/>
                <w:szCs w:val="21"/>
                <w:highlight w:val="none"/>
                <w:u w:val="none"/>
                <w:lang w:val="en-US" w:eastAsia="zh-CN"/>
              </w:rPr>
              <w:t>4</w:t>
            </w:r>
            <w:r>
              <w:rPr>
                <w:rFonts w:hint="eastAsia" w:ascii="宋体" w:hAnsi="宋体" w:cs="宋体"/>
                <w:b w:val="0"/>
                <w:bCs w:val="0"/>
                <w:color w:val="auto"/>
                <w:szCs w:val="21"/>
                <w:highlight w:val="none"/>
                <w:u w:val="none"/>
              </w:rPr>
              <w:t>分；</w:t>
            </w:r>
          </w:p>
          <w:p w14:paraId="37E730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b w:val="0"/>
                <w:bCs w:val="0"/>
                <w:color w:val="auto"/>
                <w:szCs w:val="21"/>
                <w:highlight w:val="none"/>
                <w:u w:val="none"/>
              </w:rPr>
            </w:pPr>
            <w:r>
              <w:rPr>
                <w:rFonts w:hint="eastAsia" w:ascii="宋体" w:hAnsi="宋体" w:cs="宋体"/>
                <w:b w:val="0"/>
                <w:bCs w:val="0"/>
                <w:color w:val="auto"/>
                <w:szCs w:val="21"/>
                <w:highlight w:val="none"/>
                <w:u w:val="none"/>
              </w:rPr>
              <w:t>③针对本项目特征制定的实施方案的可靠性、可行性、安全性一般的，进度计划安排基本科学合理，可行性一般的，得</w:t>
            </w:r>
            <w:r>
              <w:rPr>
                <w:rFonts w:hint="eastAsia" w:ascii="宋体" w:hAnsi="宋体" w:cs="宋体"/>
                <w:b w:val="0"/>
                <w:bCs w:val="0"/>
                <w:color w:val="auto"/>
                <w:szCs w:val="21"/>
                <w:highlight w:val="none"/>
                <w:u w:val="none"/>
                <w:lang w:val="en-US" w:eastAsia="zh-CN"/>
              </w:rPr>
              <w:t>3</w:t>
            </w:r>
            <w:r>
              <w:rPr>
                <w:rFonts w:hint="eastAsia" w:ascii="宋体" w:hAnsi="宋体" w:cs="宋体"/>
                <w:b w:val="0"/>
                <w:bCs w:val="0"/>
                <w:color w:val="auto"/>
                <w:szCs w:val="21"/>
                <w:highlight w:val="none"/>
                <w:u w:val="none"/>
              </w:rPr>
              <w:t>分；</w:t>
            </w:r>
          </w:p>
          <w:p w14:paraId="7F2A53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eastAsia="宋体" w:cs="宋体"/>
                <w:b w:val="0"/>
                <w:bCs w:val="0"/>
                <w:color w:val="auto"/>
                <w:szCs w:val="21"/>
                <w:highlight w:val="none"/>
                <w:u w:val="none"/>
                <w:lang w:val="en-US" w:eastAsia="zh-CN"/>
              </w:rPr>
            </w:pPr>
            <w:r>
              <w:rPr>
                <w:rFonts w:hint="eastAsia" w:ascii="宋体" w:hAnsi="宋体" w:cs="宋体"/>
                <w:b w:val="0"/>
                <w:bCs w:val="0"/>
                <w:color w:val="auto"/>
                <w:szCs w:val="21"/>
                <w:highlight w:val="none"/>
                <w:u w:val="none"/>
              </w:rPr>
              <w:t>④针对本项目特征制定的实施方案的可靠性、可行性、安全性差的，进度计划安排比较简单，可行性差</w:t>
            </w:r>
            <w:r>
              <w:rPr>
                <w:rFonts w:hint="eastAsia" w:ascii="宋体" w:hAnsi="宋体" w:cs="宋体"/>
                <w:b w:val="0"/>
                <w:bCs w:val="0"/>
                <w:color w:val="auto"/>
                <w:szCs w:val="21"/>
                <w:highlight w:val="none"/>
                <w:u w:val="none"/>
                <w:lang w:eastAsia="zh-CN"/>
              </w:rPr>
              <w:t>的，得</w:t>
            </w:r>
            <w:r>
              <w:rPr>
                <w:rFonts w:hint="eastAsia" w:ascii="宋体" w:hAnsi="宋体" w:cs="宋体"/>
                <w:b w:val="0"/>
                <w:bCs w:val="0"/>
                <w:color w:val="auto"/>
                <w:szCs w:val="21"/>
                <w:highlight w:val="none"/>
                <w:u w:val="none"/>
                <w:lang w:val="en-US" w:eastAsia="zh-CN"/>
              </w:rPr>
              <w:t>1分；</w:t>
            </w:r>
          </w:p>
          <w:p w14:paraId="6C1D29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eastAsia" w:ascii="宋体" w:hAnsi="宋体" w:eastAsia="宋体" w:cs="宋体"/>
                <w:b w:val="0"/>
                <w:bCs w:val="0"/>
                <w:color w:val="auto"/>
                <w:szCs w:val="21"/>
                <w:highlight w:val="none"/>
                <w:u w:val="none"/>
                <w:lang w:eastAsia="zh-CN"/>
              </w:rPr>
            </w:pPr>
            <w:r>
              <w:rPr>
                <w:rFonts w:hint="eastAsia" w:ascii="宋体" w:hAnsi="宋体" w:cs="宋体"/>
                <w:b w:val="0"/>
                <w:bCs w:val="0"/>
                <w:color w:val="auto"/>
                <w:szCs w:val="21"/>
                <w:highlight w:val="none"/>
                <w:u w:val="none"/>
                <w:lang w:eastAsia="zh-CN"/>
              </w:rPr>
              <w:t>⑤</w:t>
            </w:r>
            <w:r>
              <w:rPr>
                <w:rFonts w:hint="eastAsia" w:ascii="宋体" w:hAnsi="宋体" w:cs="宋体"/>
                <w:b w:val="0"/>
                <w:bCs w:val="0"/>
                <w:color w:val="auto"/>
                <w:szCs w:val="21"/>
                <w:highlight w:val="none"/>
                <w:u w:val="none"/>
              </w:rPr>
              <w:t>未提供</w:t>
            </w:r>
            <w:r>
              <w:rPr>
                <w:rFonts w:hint="eastAsia" w:ascii="宋体" w:hAnsi="宋体" w:cs="宋体"/>
                <w:b w:val="0"/>
                <w:bCs w:val="0"/>
                <w:color w:val="auto"/>
                <w:szCs w:val="21"/>
                <w:highlight w:val="none"/>
                <w:u w:val="none"/>
                <w:lang w:eastAsia="zh-CN"/>
              </w:rPr>
              <w:t>相关方案的</w:t>
            </w:r>
            <w:r>
              <w:rPr>
                <w:rFonts w:hint="eastAsia" w:ascii="宋体" w:hAnsi="宋体" w:cs="宋体"/>
                <w:b w:val="0"/>
                <w:bCs w:val="0"/>
                <w:color w:val="auto"/>
                <w:szCs w:val="21"/>
                <w:highlight w:val="none"/>
                <w:u w:val="none"/>
              </w:rPr>
              <w:t>，不得分</w:t>
            </w:r>
            <w:r>
              <w:rPr>
                <w:rFonts w:hint="eastAsia" w:ascii="宋体" w:hAnsi="宋体" w:cs="宋体"/>
                <w:b w:val="0"/>
                <w:bCs w:val="0"/>
                <w:color w:val="auto"/>
                <w:szCs w:val="21"/>
                <w:highlight w:val="none"/>
                <w:u w:val="none"/>
                <w:lang w:eastAsia="zh-CN"/>
              </w:rPr>
              <w:t>。</w:t>
            </w:r>
          </w:p>
        </w:tc>
      </w:tr>
      <w:tr w14:paraId="10173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3E34D498">
            <w:pPr>
              <w:pStyle w:val="48"/>
              <w:spacing w:line="360" w:lineRule="auto"/>
              <w:ind w:firstLine="0" w:firstLineChars="0"/>
              <w:jc w:val="center"/>
              <w:rPr>
                <w:rFonts w:hint="eastAsia" w:ascii="宋体" w:eastAsia="宋体" w:cs="宋体"/>
                <w:b w:val="0"/>
                <w:bCs w:val="0"/>
                <w:color w:val="auto"/>
                <w:sz w:val="21"/>
                <w:szCs w:val="21"/>
                <w:highlight w:val="none"/>
                <w:lang w:val="en-US" w:eastAsia="zh-CN"/>
              </w:rPr>
            </w:pPr>
            <w:r>
              <w:rPr>
                <w:rFonts w:hint="eastAsia" w:ascii="宋体" w:eastAsia="宋体" w:cs="宋体"/>
                <w:b w:val="0"/>
                <w:bCs w:val="0"/>
                <w:color w:val="auto"/>
                <w:sz w:val="21"/>
                <w:szCs w:val="21"/>
                <w:highlight w:val="none"/>
                <w:lang w:val="en-US" w:eastAsia="zh-CN"/>
              </w:rPr>
              <w:t>2</w:t>
            </w:r>
          </w:p>
        </w:tc>
        <w:tc>
          <w:tcPr>
            <w:tcW w:w="1326" w:type="dxa"/>
            <w:tcBorders>
              <w:top w:val="single" w:color="auto" w:sz="4" w:space="0"/>
              <w:left w:val="single" w:color="auto" w:sz="4" w:space="0"/>
              <w:bottom w:val="single" w:color="auto" w:sz="4" w:space="0"/>
              <w:right w:val="single" w:color="auto" w:sz="4" w:space="0"/>
            </w:tcBorders>
            <w:vAlign w:val="center"/>
          </w:tcPr>
          <w:p w14:paraId="31F7F1F0">
            <w:pPr>
              <w:keepNext w:val="0"/>
              <w:keepLines w:val="0"/>
              <w:widowControl w:val="0"/>
              <w:suppressLineNumbers w:val="0"/>
              <w:adjustRightInd/>
              <w:snapToGrid/>
              <w:spacing w:before="0" w:beforeAutospacing="0" w:after="0" w:afterAutospacing="0"/>
              <w:ind w:left="0" w:right="0"/>
              <w:jc w:val="center"/>
              <w:rPr>
                <w:rFonts w:hint="eastAsia" w:ascii="Tahoma" w:hAnsi="宋体" w:eastAsia="宋体" w:cs="宋体"/>
                <w:b w:val="0"/>
                <w:bCs w:val="0"/>
                <w:color w:val="auto"/>
                <w:spacing w:val="2"/>
                <w:sz w:val="21"/>
                <w:szCs w:val="21"/>
                <w:highlight w:val="none"/>
                <w:u w:val="none"/>
                <w:lang w:val="en-US" w:eastAsia="zh-CN" w:bidi="ar-SA"/>
              </w:rPr>
            </w:pPr>
            <w:r>
              <w:rPr>
                <w:rFonts w:hint="eastAsia" w:hAnsi="宋体" w:cs="宋体"/>
                <w:b w:val="0"/>
                <w:bCs w:val="0"/>
                <w:color w:val="auto"/>
                <w:spacing w:val="2"/>
                <w:szCs w:val="21"/>
                <w:highlight w:val="none"/>
                <w:u w:val="none"/>
                <w:lang w:eastAsia="zh-CN"/>
              </w:rPr>
              <w:t>产品性能</w:t>
            </w:r>
          </w:p>
        </w:tc>
        <w:tc>
          <w:tcPr>
            <w:tcW w:w="907" w:type="dxa"/>
            <w:tcBorders>
              <w:top w:val="single" w:color="auto" w:sz="4" w:space="0"/>
              <w:left w:val="single" w:color="auto" w:sz="4" w:space="0"/>
              <w:bottom w:val="single" w:color="auto" w:sz="4" w:space="0"/>
              <w:right w:val="single" w:color="auto" w:sz="4" w:space="0"/>
            </w:tcBorders>
            <w:vAlign w:val="center"/>
          </w:tcPr>
          <w:p w14:paraId="48D7699B">
            <w:pPr>
              <w:keepNext w:val="0"/>
              <w:keepLines w:val="0"/>
              <w:widowControl w:val="0"/>
              <w:suppressLineNumbers w:val="0"/>
              <w:adjustRightInd/>
              <w:snapToGrid/>
              <w:spacing w:before="0" w:beforeAutospacing="0" w:after="0" w:afterAutospacing="0"/>
              <w:ind w:left="0" w:right="0"/>
              <w:jc w:val="center"/>
              <w:rPr>
                <w:rFonts w:hint="eastAsia" w:ascii="宋体" w:hAnsi="宋体" w:eastAsia="宋体" w:cs="宋体"/>
                <w:b w:val="0"/>
                <w:bCs w:val="0"/>
                <w:color w:val="auto"/>
                <w:sz w:val="21"/>
                <w:szCs w:val="21"/>
                <w:highlight w:val="none"/>
                <w:lang w:val="en-US" w:eastAsia="zh-CN" w:bidi="ar-SA"/>
              </w:rPr>
            </w:pPr>
            <w:r>
              <w:rPr>
                <w:rFonts w:hint="eastAsia" w:ascii="宋体" w:hAnsi="宋体" w:cs="宋体"/>
                <w:b w:val="0"/>
                <w:bCs w:val="0"/>
                <w:color w:val="auto"/>
                <w:szCs w:val="21"/>
                <w:highlight w:val="none"/>
                <w:lang w:val="en-US" w:eastAsia="zh-CN"/>
              </w:rPr>
              <w:t>5</w:t>
            </w:r>
          </w:p>
        </w:tc>
        <w:tc>
          <w:tcPr>
            <w:tcW w:w="6289" w:type="dxa"/>
            <w:tcBorders>
              <w:top w:val="single" w:color="auto" w:sz="4" w:space="0"/>
              <w:left w:val="single" w:color="auto" w:sz="4" w:space="0"/>
              <w:bottom w:val="single" w:color="auto" w:sz="4" w:space="0"/>
              <w:right w:val="single" w:color="auto" w:sz="4" w:space="0"/>
            </w:tcBorders>
            <w:vAlign w:val="center"/>
          </w:tcPr>
          <w:p w14:paraId="3A54E25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rPr>
            </w:pPr>
            <w:r>
              <w:rPr>
                <w:rFonts w:hint="eastAsia" w:ascii="宋体" w:hAnsi="宋体" w:eastAsia="宋体" w:cs="宋体"/>
                <w:b w:val="0"/>
                <w:bCs w:val="0"/>
                <w:color w:val="auto"/>
                <w:szCs w:val="21"/>
                <w:highlight w:val="none"/>
                <w:u w:val="none"/>
              </w:rPr>
              <w:t>根据投标人所投设备的综合性能</w:t>
            </w:r>
            <w:r>
              <w:rPr>
                <w:rFonts w:hint="eastAsia" w:ascii="宋体" w:hAnsi="宋体" w:eastAsia="宋体" w:cs="宋体"/>
                <w:b w:val="0"/>
                <w:bCs w:val="0"/>
                <w:color w:val="auto"/>
                <w:szCs w:val="21"/>
                <w:highlight w:val="none"/>
                <w:u w:val="none"/>
                <w:lang w:eastAsia="zh-CN"/>
              </w:rPr>
              <w:t>（包括设计与配置、材质、实用性、耐用性等）</w:t>
            </w:r>
            <w:r>
              <w:rPr>
                <w:rFonts w:hint="eastAsia" w:ascii="宋体" w:hAnsi="宋体" w:eastAsia="宋体" w:cs="宋体"/>
                <w:b w:val="0"/>
                <w:bCs w:val="0"/>
                <w:color w:val="auto"/>
                <w:szCs w:val="21"/>
                <w:highlight w:val="none"/>
                <w:u w:val="none"/>
              </w:rPr>
              <w:t>进行综合评分。</w:t>
            </w:r>
          </w:p>
          <w:p w14:paraId="32F703B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lang w:eastAsia="zh-CN"/>
              </w:rPr>
            </w:pPr>
            <w:r>
              <w:rPr>
                <w:rFonts w:hint="eastAsia" w:ascii="宋体" w:hAnsi="宋体" w:eastAsia="宋体" w:cs="宋体"/>
                <w:b w:val="0"/>
                <w:bCs w:val="0"/>
                <w:color w:val="auto"/>
                <w:szCs w:val="21"/>
                <w:highlight w:val="none"/>
                <w:u w:val="none"/>
                <w:lang w:eastAsia="zh-CN"/>
              </w:rPr>
              <w:t>①</w:t>
            </w:r>
            <w:r>
              <w:rPr>
                <w:rFonts w:hint="eastAsia" w:ascii="宋体" w:hAnsi="宋体" w:eastAsia="宋体" w:cs="宋体"/>
                <w:b w:val="0"/>
                <w:bCs w:val="0"/>
                <w:color w:val="auto"/>
                <w:szCs w:val="21"/>
                <w:highlight w:val="none"/>
                <w:u w:val="none"/>
              </w:rPr>
              <w:t>设备设计及配置先进，材质可靠，实用性、耐用性好，得</w:t>
            </w:r>
            <w:r>
              <w:rPr>
                <w:rFonts w:hint="eastAsia" w:ascii="宋体" w:hAnsi="宋体" w:eastAsia="宋体" w:cs="宋体"/>
                <w:b w:val="0"/>
                <w:bCs w:val="0"/>
                <w:color w:val="auto"/>
                <w:szCs w:val="21"/>
                <w:highlight w:val="none"/>
                <w:u w:val="none"/>
                <w:lang w:val="en-US" w:eastAsia="zh-CN"/>
              </w:rPr>
              <w:t>5</w:t>
            </w:r>
            <w:r>
              <w:rPr>
                <w:rFonts w:hint="eastAsia" w:ascii="宋体" w:hAnsi="宋体" w:eastAsia="宋体" w:cs="宋体"/>
                <w:b w:val="0"/>
                <w:bCs w:val="0"/>
                <w:color w:val="auto"/>
                <w:szCs w:val="21"/>
                <w:highlight w:val="none"/>
                <w:u w:val="none"/>
              </w:rPr>
              <w:t>分</w:t>
            </w:r>
            <w:r>
              <w:rPr>
                <w:rFonts w:hint="eastAsia" w:ascii="宋体" w:hAnsi="宋体" w:eastAsia="宋体" w:cs="宋体"/>
                <w:b w:val="0"/>
                <w:bCs w:val="0"/>
                <w:color w:val="auto"/>
                <w:szCs w:val="21"/>
                <w:highlight w:val="none"/>
                <w:u w:val="none"/>
                <w:lang w:eastAsia="zh-CN"/>
              </w:rPr>
              <w:t>；</w:t>
            </w:r>
          </w:p>
          <w:p w14:paraId="07B51F4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lang w:eastAsia="zh-CN"/>
              </w:rPr>
            </w:pPr>
            <w:r>
              <w:rPr>
                <w:rFonts w:hint="eastAsia" w:ascii="宋体" w:hAnsi="宋体" w:eastAsia="宋体" w:cs="宋体"/>
                <w:b w:val="0"/>
                <w:bCs w:val="0"/>
                <w:color w:val="auto"/>
                <w:szCs w:val="21"/>
                <w:highlight w:val="none"/>
                <w:u w:val="none"/>
                <w:lang w:eastAsia="zh-CN"/>
              </w:rPr>
              <w:t>②</w:t>
            </w:r>
            <w:r>
              <w:rPr>
                <w:rFonts w:hint="eastAsia" w:ascii="宋体" w:hAnsi="宋体" w:eastAsia="宋体" w:cs="宋体"/>
                <w:b w:val="0"/>
                <w:bCs w:val="0"/>
                <w:color w:val="auto"/>
                <w:szCs w:val="21"/>
                <w:highlight w:val="none"/>
                <w:u w:val="none"/>
              </w:rPr>
              <w:t>设备设计及配置较为先进，材质可靠，实用性、耐用性一般，得</w:t>
            </w:r>
            <w:r>
              <w:rPr>
                <w:rFonts w:hint="eastAsia" w:ascii="宋体" w:hAnsi="宋体" w:eastAsia="宋体" w:cs="宋体"/>
                <w:b w:val="0"/>
                <w:bCs w:val="0"/>
                <w:color w:val="auto"/>
                <w:szCs w:val="21"/>
                <w:highlight w:val="none"/>
                <w:u w:val="none"/>
                <w:lang w:val="en-US" w:eastAsia="zh-CN"/>
              </w:rPr>
              <w:t>4</w:t>
            </w:r>
            <w:r>
              <w:rPr>
                <w:rFonts w:hint="eastAsia" w:ascii="宋体" w:hAnsi="宋体" w:eastAsia="宋体" w:cs="宋体"/>
                <w:b w:val="0"/>
                <w:bCs w:val="0"/>
                <w:color w:val="auto"/>
                <w:szCs w:val="21"/>
                <w:highlight w:val="none"/>
                <w:u w:val="none"/>
              </w:rPr>
              <w:t>分</w:t>
            </w:r>
            <w:r>
              <w:rPr>
                <w:rFonts w:hint="eastAsia" w:ascii="宋体" w:hAnsi="宋体" w:eastAsia="宋体" w:cs="宋体"/>
                <w:b w:val="0"/>
                <w:bCs w:val="0"/>
                <w:color w:val="auto"/>
                <w:szCs w:val="21"/>
                <w:highlight w:val="none"/>
                <w:u w:val="none"/>
                <w:lang w:eastAsia="zh-CN"/>
              </w:rPr>
              <w:t>；</w:t>
            </w:r>
          </w:p>
          <w:p w14:paraId="124A8A3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lang w:eastAsia="zh-CN"/>
              </w:rPr>
            </w:pPr>
            <w:r>
              <w:rPr>
                <w:rFonts w:hint="eastAsia" w:ascii="宋体" w:hAnsi="宋体" w:eastAsia="宋体" w:cs="宋体"/>
                <w:b w:val="0"/>
                <w:bCs w:val="0"/>
                <w:color w:val="auto"/>
                <w:szCs w:val="21"/>
                <w:highlight w:val="none"/>
                <w:u w:val="none"/>
                <w:lang w:eastAsia="zh-CN"/>
              </w:rPr>
              <w:t>③</w:t>
            </w:r>
            <w:r>
              <w:rPr>
                <w:rFonts w:hint="eastAsia" w:ascii="宋体" w:hAnsi="宋体" w:eastAsia="宋体" w:cs="宋体"/>
                <w:b w:val="0"/>
                <w:bCs w:val="0"/>
                <w:color w:val="auto"/>
                <w:szCs w:val="21"/>
                <w:highlight w:val="none"/>
                <w:u w:val="none"/>
              </w:rPr>
              <w:t>设备设计及配置一般，材质一般，实用性、耐用性一般，得</w:t>
            </w:r>
            <w:r>
              <w:rPr>
                <w:rFonts w:hint="eastAsia" w:ascii="宋体" w:hAnsi="宋体" w:eastAsia="宋体" w:cs="宋体"/>
                <w:b w:val="0"/>
                <w:bCs w:val="0"/>
                <w:color w:val="auto"/>
                <w:szCs w:val="21"/>
                <w:highlight w:val="none"/>
                <w:u w:val="none"/>
                <w:lang w:val="en-US" w:eastAsia="zh-CN"/>
              </w:rPr>
              <w:t>3</w:t>
            </w:r>
            <w:r>
              <w:rPr>
                <w:rFonts w:hint="eastAsia" w:ascii="宋体" w:hAnsi="宋体" w:eastAsia="宋体" w:cs="宋体"/>
                <w:b w:val="0"/>
                <w:bCs w:val="0"/>
                <w:color w:val="auto"/>
                <w:szCs w:val="21"/>
                <w:highlight w:val="none"/>
                <w:u w:val="none"/>
              </w:rPr>
              <w:t>分</w:t>
            </w:r>
            <w:r>
              <w:rPr>
                <w:rFonts w:hint="eastAsia" w:ascii="宋体" w:hAnsi="宋体" w:eastAsia="宋体" w:cs="宋体"/>
                <w:b w:val="0"/>
                <w:bCs w:val="0"/>
                <w:color w:val="auto"/>
                <w:szCs w:val="21"/>
                <w:highlight w:val="none"/>
                <w:u w:val="none"/>
                <w:lang w:eastAsia="zh-CN"/>
              </w:rPr>
              <w:t>；</w:t>
            </w:r>
          </w:p>
          <w:p w14:paraId="21D29C0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lang w:val="zh-CN"/>
              </w:rPr>
            </w:pPr>
            <w:r>
              <w:rPr>
                <w:rFonts w:hint="eastAsia" w:ascii="宋体" w:hAnsi="宋体" w:eastAsia="宋体" w:cs="宋体"/>
                <w:b w:val="0"/>
                <w:bCs w:val="0"/>
                <w:color w:val="auto"/>
                <w:szCs w:val="21"/>
                <w:highlight w:val="none"/>
                <w:u w:val="none"/>
                <w:lang w:val="zh-CN"/>
              </w:rPr>
              <w:t>④设备设计及配置差，材质差，实用性、耐用性差，得</w:t>
            </w:r>
            <w:r>
              <w:rPr>
                <w:rFonts w:hint="eastAsia" w:ascii="宋体" w:hAnsi="宋体" w:eastAsia="宋体" w:cs="宋体"/>
                <w:b w:val="0"/>
                <w:bCs w:val="0"/>
                <w:color w:val="auto"/>
                <w:szCs w:val="21"/>
                <w:highlight w:val="none"/>
                <w:u w:val="none"/>
              </w:rPr>
              <w:t>1</w:t>
            </w:r>
            <w:r>
              <w:rPr>
                <w:rFonts w:hint="eastAsia" w:ascii="宋体" w:hAnsi="宋体" w:eastAsia="宋体" w:cs="宋体"/>
                <w:b w:val="0"/>
                <w:bCs w:val="0"/>
                <w:color w:val="auto"/>
                <w:szCs w:val="21"/>
                <w:highlight w:val="none"/>
                <w:u w:val="none"/>
                <w:lang w:val="zh-CN"/>
              </w:rPr>
              <w:t>分；</w:t>
            </w:r>
          </w:p>
          <w:p w14:paraId="68D1F58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 w:val="21"/>
                <w:szCs w:val="21"/>
                <w:highlight w:val="none"/>
                <w:u w:val="none"/>
                <w:lang w:val="zh-CN" w:eastAsia="zh-CN" w:bidi="ar-SA"/>
              </w:rPr>
            </w:pPr>
            <w:r>
              <w:rPr>
                <w:rFonts w:hint="eastAsia" w:ascii="宋体" w:hAnsi="宋体" w:eastAsia="宋体" w:cs="宋体"/>
                <w:b w:val="0"/>
                <w:bCs w:val="0"/>
                <w:color w:val="auto"/>
                <w:szCs w:val="21"/>
                <w:highlight w:val="none"/>
                <w:u w:val="none"/>
                <w:lang w:eastAsia="zh-CN"/>
              </w:rPr>
              <w:t>⑤</w:t>
            </w:r>
            <w:r>
              <w:rPr>
                <w:rFonts w:hint="eastAsia" w:ascii="宋体" w:hAnsi="宋体" w:eastAsia="宋体" w:cs="宋体"/>
                <w:b w:val="0"/>
                <w:bCs w:val="0"/>
                <w:color w:val="auto"/>
                <w:szCs w:val="21"/>
                <w:highlight w:val="none"/>
                <w:u w:val="none"/>
              </w:rPr>
              <w:t>未提供对应方案不得分。</w:t>
            </w:r>
          </w:p>
        </w:tc>
      </w:tr>
      <w:tr w14:paraId="215DD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11053CA0">
            <w:pPr>
              <w:pStyle w:val="48"/>
              <w:spacing w:line="360" w:lineRule="auto"/>
              <w:ind w:firstLine="0" w:firstLineChars="0"/>
              <w:jc w:val="center"/>
              <w:rPr>
                <w:rFonts w:ascii="宋体" w:eastAsia="宋体" w:cs="宋体"/>
                <w:b w:val="0"/>
                <w:bCs w:val="0"/>
                <w:color w:val="auto"/>
                <w:sz w:val="21"/>
                <w:szCs w:val="21"/>
                <w:highlight w:val="none"/>
              </w:rPr>
            </w:pPr>
            <w:r>
              <w:rPr>
                <w:rFonts w:ascii="宋体" w:eastAsia="宋体" w:cs="宋体"/>
                <w:b w:val="0"/>
                <w:bCs w:val="0"/>
                <w:color w:val="auto"/>
                <w:sz w:val="21"/>
                <w:szCs w:val="21"/>
                <w:highlight w:val="none"/>
              </w:rPr>
              <w:t>3</w:t>
            </w:r>
          </w:p>
        </w:tc>
        <w:tc>
          <w:tcPr>
            <w:tcW w:w="1326" w:type="dxa"/>
            <w:tcBorders>
              <w:top w:val="single" w:color="auto" w:sz="4" w:space="0"/>
              <w:left w:val="single" w:color="auto" w:sz="4" w:space="0"/>
              <w:bottom w:val="single" w:color="auto" w:sz="4" w:space="0"/>
              <w:right w:val="single" w:color="auto" w:sz="4" w:space="0"/>
            </w:tcBorders>
            <w:vAlign w:val="center"/>
          </w:tcPr>
          <w:p w14:paraId="6A27B940">
            <w:pPr>
              <w:keepNext w:val="0"/>
              <w:keepLines w:val="0"/>
              <w:widowControl w:val="0"/>
              <w:suppressLineNumbers w:val="0"/>
              <w:adjustRightInd/>
              <w:snapToGrid/>
              <w:spacing w:before="0" w:beforeAutospacing="0" w:after="0" w:afterAutospacing="0"/>
              <w:ind w:left="0" w:right="0"/>
              <w:jc w:val="center"/>
              <w:rPr>
                <w:rFonts w:hint="default" w:ascii="宋体" w:hAnsi="宋体" w:cs="宋体"/>
                <w:b w:val="0"/>
                <w:bCs w:val="0"/>
                <w:color w:val="auto"/>
                <w:szCs w:val="21"/>
                <w:highlight w:val="none"/>
                <w:u w:val="none"/>
              </w:rPr>
            </w:pPr>
            <w:r>
              <w:rPr>
                <w:rFonts w:hint="eastAsia" w:hAnsi="宋体" w:cs="宋体"/>
                <w:b w:val="0"/>
                <w:bCs w:val="0"/>
                <w:color w:val="auto"/>
                <w:szCs w:val="21"/>
                <w:highlight w:val="none"/>
                <w:u w:val="none"/>
                <w:lang w:bidi="ar"/>
              </w:rPr>
              <w:t>质量保证措施</w:t>
            </w:r>
          </w:p>
        </w:tc>
        <w:tc>
          <w:tcPr>
            <w:tcW w:w="907" w:type="dxa"/>
            <w:tcBorders>
              <w:top w:val="single" w:color="auto" w:sz="4" w:space="0"/>
              <w:left w:val="single" w:color="auto" w:sz="4" w:space="0"/>
              <w:bottom w:val="single" w:color="auto" w:sz="4" w:space="0"/>
              <w:right w:val="single" w:color="auto" w:sz="4" w:space="0"/>
            </w:tcBorders>
            <w:vAlign w:val="center"/>
          </w:tcPr>
          <w:p w14:paraId="468EE6FE">
            <w:pPr>
              <w:keepNext w:val="0"/>
              <w:keepLines w:val="0"/>
              <w:widowControl w:val="0"/>
              <w:suppressLineNumbers w:val="0"/>
              <w:adjustRightInd/>
              <w:snapToGrid/>
              <w:spacing w:before="0" w:beforeAutospacing="0" w:after="0" w:afterAutospacing="0"/>
              <w:ind w:left="0" w:right="0"/>
              <w:jc w:val="center"/>
              <w:rPr>
                <w:rFonts w:hint="default" w:ascii="宋体" w:hAnsi="宋体" w:eastAsia="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5</w:t>
            </w:r>
          </w:p>
        </w:tc>
        <w:tc>
          <w:tcPr>
            <w:tcW w:w="6289" w:type="dxa"/>
            <w:tcBorders>
              <w:top w:val="single" w:color="auto" w:sz="4" w:space="0"/>
              <w:left w:val="single" w:color="auto" w:sz="4" w:space="0"/>
              <w:bottom w:val="single" w:color="auto" w:sz="4" w:space="0"/>
              <w:right w:val="single" w:color="auto" w:sz="4" w:space="0"/>
            </w:tcBorders>
            <w:vAlign w:val="center"/>
          </w:tcPr>
          <w:p w14:paraId="20E8A26A">
            <w:pPr>
              <w:keepNext w:val="0"/>
              <w:keepLines w:val="0"/>
              <w:pageBreakBefore w:val="0"/>
              <w:suppressLineNumbers w:val="0"/>
              <w:kinsoku/>
              <w:wordWrap/>
              <w:overflowPunct/>
              <w:topLinePunct w:val="0"/>
              <w:autoSpaceDE/>
              <w:autoSpaceDN/>
              <w:bidi w:val="0"/>
              <w:spacing w:before="0" w:beforeAutospacing="0" w:after="0" w:afterAutospacing="0" w:line="312" w:lineRule="auto"/>
              <w:ind w:left="0" w:right="0"/>
              <w:textAlignment w:val="auto"/>
              <w:rPr>
                <w:rFonts w:hint="default" w:ascii="宋体" w:hAnsi="宋体" w:cs="宋体"/>
                <w:b w:val="0"/>
                <w:bCs w:val="0"/>
                <w:color w:val="auto"/>
                <w:szCs w:val="21"/>
                <w:highlight w:val="none"/>
                <w:u w:val="none"/>
              </w:rPr>
            </w:pPr>
            <w:r>
              <w:rPr>
                <w:rFonts w:hint="eastAsia" w:ascii="宋体" w:hAnsi="宋体" w:cs="宋体"/>
                <w:b w:val="0"/>
                <w:bCs w:val="0"/>
                <w:color w:val="auto"/>
                <w:szCs w:val="21"/>
                <w:highlight w:val="none"/>
                <w:u w:val="none"/>
              </w:rPr>
              <w:t>根据供应商提供质量保证措施方案（包括但不限于质量目标、项目质量的控制、质量保证措施等）进行评审；</w:t>
            </w:r>
          </w:p>
          <w:p w14:paraId="1D8828E2">
            <w:pPr>
              <w:keepNext w:val="0"/>
              <w:keepLines w:val="0"/>
              <w:pageBreakBefore w:val="0"/>
              <w:suppressLineNumbers w:val="0"/>
              <w:kinsoku/>
              <w:wordWrap/>
              <w:overflowPunct/>
              <w:topLinePunct w:val="0"/>
              <w:autoSpaceDE/>
              <w:autoSpaceDN/>
              <w:bidi w:val="0"/>
              <w:spacing w:before="0" w:beforeAutospacing="0" w:after="0" w:afterAutospacing="0" w:line="312" w:lineRule="auto"/>
              <w:ind w:left="0" w:right="0" w:firstLine="420" w:firstLineChars="200"/>
              <w:textAlignment w:val="auto"/>
              <w:rPr>
                <w:rFonts w:hint="default" w:ascii="宋体" w:hAnsi="宋体" w:cs="宋体"/>
                <w:b w:val="0"/>
                <w:bCs w:val="0"/>
                <w:color w:val="auto"/>
                <w:szCs w:val="21"/>
                <w:highlight w:val="none"/>
                <w:u w:val="none"/>
              </w:rPr>
            </w:pPr>
            <w:r>
              <w:rPr>
                <w:rFonts w:hint="eastAsia" w:ascii="宋体" w:hAnsi="宋体" w:cs="宋体"/>
                <w:b w:val="0"/>
                <w:bCs w:val="0"/>
                <w:color w:val="auto"/>
                <w:szCs w:val="21"/>
                <w:highlight w:val="none"/>
                <w:u w:val="none"/>
              </w:rPr>
              <w:t>①质量目标非常明确、对项目质量的控制非常详细、检验手段非常科学，质量保证措施非常具体，可行</w:t>
            </w:r>
            <w:r>
              <w:rPr>
                <w:rFonts w:hint="eastAsia" w:ascii="宋体" w:hAnsi="宋体" w:cs="宋体"/>
                <w:b w:val="0"/>
                <w:bCs w:val="0"/>
                <w:color w:val="auto"/>
                <w:szCs w:val="21"/>
                <w:highlight w:val="none"/>
                <w:u w:val="none"/>
                <w:lang w:val="en-US" w:eastAsia="zh-CN"/>
              </w:rPr>
              <w:t>性强</w:t>
            </w:r>
            <w:r>
              <w:rPr>
                <w:rFonts w:hint="eastAsia" w:ascii="宋体" w:hAnsi="宋体" w:cs="宋体"/>
                <w:b w:val="0"/>
                <w:bCs w:val="0"/>
                <w:color w:val="auto"/>
                <w:szCs w:val="21"/>
                <w:highlight w:val="none"/>
                <w:u w:val="none"/>
              </w:rPr>
              <w:t>的，得</w:t>
            </w:r>
            <w:r>
              <w:rPr>
                <w:rFonts w:hint="eastAsia" w:ascii="宋体" w:hAnsi="宋体" w:cs="宋体"/>
                <w:b w:val="0"/>
                <w:bCs w:val="0"/>
                <w:color w:val="auto"/>
                <w:szCs w:val="21"/>
                <w:highlight w:val="none"/>
                <w:u w:val="none"/>
                <w:lang w:val="en-US" w:eastAsia="zh-CN"/>
              </w:rPr>
              <w:t>5</w:t>
            </w:r>
            <w:r>
              <w:rPr>
                <w:rFonts w:hint="eastAsia" w:ascii="宋体" w:hAnsi="宋体" w:cs="宋体"/>
                <w:b w:val="0"/>
                <w:bCs w:val="0"/>
                <w:color w:val="auto"/>
                <w:szCs w:val="21"/>
                <w:highlight w:val="none"/>
                <w:u w:val="none"/>
              </w:rPr>
              <w:t>分；</w:t>
            </w:r>
          </w:p>
          <w:p w14:paraId="101390FA">
            <w:pPr>
              <w:keepNext w:val="0"/>
              <w:keepLines w:val="0"/>
              <w:pageBreakBefore w:val="0"/>
              <w:suppressLineNumbers w:val="0"/>
              <w:kinsoku/>
              <w:wordWrap/>
              <w:overflowPunct/>
              <w:topLinePunct w:val="0"/>
              <w:autoSpaceDE/>
              <w:autoSpaceDN/>
              <w:bidi w:val="0"/>
              <w:spacing w:before="0" w:beforeAutospacing="0" w:after="0" w:afterAutospacing="0" w:line="312" w:lineRule="auto"/>
              <w:ind w:left="0" w:right="0" w:firstLine="420" w:firstLineChars="200"/>
              <w:textAlignment w:val="auto"/>
              <w:rPr>
                <w:rFonts w:hint="default" w:ascii="宋体" w:hAnsi="宋体" w:cs="宋体"/>
                <w:b w:val="0"/>
                <w:bCs w:val="0"/>
                <w:color w:val="auto"/>
                <w:szCs w:val="21"/>
                <w:highlight w:val="none"/>
                <w:u w:val="none"/>
              </w:rPr>
            </w:pPr>
            <w:r>
              <w:rPr>
                <w:rFonts w:hint="eastAsia" w:ascii="宋体" w:hAnsi="宋体" w:cs="宋体"/>
                <w:b w:val="0"/>
                <w:bCs w:val="0"/>
                <w:color w:val="auto"/>
                <w:szCs w:val="21"/>
                <w:highlight w:val="none"/>
                <w:u w:val="none"/>
              </w:rPr>
              <w:t>②质量目标比较明确、对项目质量的控制较为详细、检验手段比较科学，质量保证措施比较具体，可行</w:t>
            </w:r>
            <w:r>
              <w:rPr>
                <w:rFonts w:hint="eastAsia" w:ascii="宋体" w:hAnsi="宋体" w:cs="宋体"/>
                <w:b w:val="0"/>
                <w:bCs w:val="0"/>
                <w:color w:val="auto"/>
                <w:szCs w:val="21"/>
                <w:highlight w:val="none"/>
                <w:u w:val="none"/>
                <w:lang w:val="en-US" w:eastAsia="zh-CN"/>
              </w:rPr>
              <w:t>性较强</w:t>
            </w:r>
            <w:r>
              <w:rPr>
                <w:rFonts w:hint="eastAsia" w:ascii="宋体" w:hAnsi="宋体" w:cs="宋体"/>
                <w:b w:val="0"/>
                <w:bCs w:val="0"/>
                <w:color w:val="auto"/>
                <w:szCs w:val="21"/>
                <w:highlight w:val="none"/>
                <w:u w:val="none"/>
              </w:rPr>
              <w:t>的，得</w:t>
            </w:r>
            <w:r>
              <w:rPr>
                <w:rFonts w:hint="eastAsia" w:ascii="宋体" w:hAnsi="宋体" w:cs="宋体"/>
                <w:b w:val="0"/>
                <w:bCs w:val="0"/>
                <w:color w:val="auto"/>
                <w:szCs w:val="21"/>
                <w:highlight w:val="none"/>
                <w:u w:val="none"/>
                <w:lang w:val="en-US" w:eastAsia="zh-CN"/>
              </w:rPr>
              <w:t>4</w:t>
            </w:r>
            <w:r>
              <w:rPr>
                <w:rFonts w:hint="eastAsia" w:ascii="宋体" w:hAnsi="宋体" w:cs="宋体"/>
                <w:b w:val="0"/>
                <w:bCs w:val="0"/>
                <w:color w:val="auto"/>
                <w:szCs w:val="21"/>
                <w:highlight w:val="none"/>
                <w:u w:val="none"/>
              </w:rPr>
              <w:t>分；</w:t>
            </w:r>
          </w:p>
          <w:p w14:paraId="03143957">
            <w:pPr>
              <w:keepNext w:val="0"/>
              <w:keepLines w:val="0"/>
              <w:pageBreakBefore w:val="0"/>
              <w:suppressLineNumbers w:val="0"/>
              <w:kinsoku/>
              <w:wordWrap/>
              <w:overflowPunct/>
              <w:topLinePunct w:val="0"/>
              <w:autoSpaceDE/>
              <w:autoSpaceDN/>
              <w:bidi w:val="0"/>
              <w:spacing w:before="0" w:beforeAutospacing="0" w:after="0" w:afterAutospacing="0" w:line="312" w:lineRule="auto"/>
              <w:ind w:left="0" w:right="0" w:firstLine="420" w:firstLineChars="200"/>
              <w:textAlignment w:val="auto"/>
              <w:rPr>
                <w:rFonts w:hint="default" w:ascii="宋体" w:hAnsi="宋体" w:eastAsia="宋体" w:cs="宋体"/>
                <w:b w:val="0"/>
                <w:bCs w:val="0"/>
                <w:color w:val="auto"/>
                <w:szCs w:val="21"/>
                <w:highlight w:val="none"/>
                <w:u w:val="none"/>
                <w:lang w:val="en-US" w:eastAsia="zh-CN"/>
              </w:rPr>
            </w:pPr>
            <w:r>
              <w:rPr>
                <w:rFonts w:hint="eastAsia" w:ascii="宋体" w:hAnsi="宋体" w:cs="宋体"/>
                <w:b w:val="0"/>
                <w:bCs w:val="0"/>
                <w:color w:val="auto"/>
                <w:szCs w:val="21"/>
                <w:highlight w:val="none"/>
                <w:u w:val="none"/>
              </w:rPr>
              <w:t>③质量目标基本明确、对项目质量的控制详细程度</w:t>
            </w:r>
            <w:r>
              <w:rPr>
                <w:rFonts w:hint="eastAsia" w:ascii="宋体" w:hAnsi="宋体" w:cs="宋体"/>
                <w:b w:val="0"/>
                <w:bCs w:val="0"/>
                <w:color w:val="auto"/>
                <w:szCs w:val="21"/>
                <w:highlight w:val="none"/>
                <w:u w:val="none"/>
                <w:lang w:val="en-US" w:eastAsia="zh-CN"/>
              </w:rPr>
              <w:t>一般</w:t>
            </w:r>
            <w:r>
              <w:rPr>
                <w:rFonts w:hint="eastAsia" w:ascii="宋体" w:hAnsi="宋体" w:cs="宋体"/>
                <w:b w:val="0"/>
                <w:bCs w:val="0"/>
                <w:color w:val="auto"/>
                <w:szCs w:val="21"/>
                <w:highlight w:val="none"/>
                <w:u w:val="none"/>
              </w:rPr>
              <w:t>、检验手段科学性</w:t>
            </w:r>
            <w:r>
              <w:rPr>
                <w:rFonts w:hint="eastAsia" w:ascii="宋体" w:hAnsi="宋体" w:cs="宋体"/>
                <w:b w:val="0"/>
                <w:bCs w:val="0"/>
                <w:color w:val="auto"/>
                <w:szCs w:val="21"/>
                <w:highlight w:val="none"/>
                <w:u w:val="none"/>
                <w:lang w:eastAsia="zh-CN"/>
              </w:rPr>
              <w:t>一般</w:t>
            </w:r>
            <w:r>
              <w:rPr>
                <w:rFonts w:hint="eastAsia" w:ascii="宋体" w:hAnsi="宋体" w:cs="宋体"/>
                <w:b w:val="0"/>
                <w:bCs w:val="0"/>
                <w:color w:val="auto"/>
                <w:szCs w:val="21"/>
                <w:highlight w:val="none"/>
                <w:u w:val="none"/>
              </w:rPr>
              <w:t>，质量保证措施不够具体，可行性</w:t>
            </w:r>
            <w:r>
              <w:rPr>
                <w:rFonts w:hint="eastAsia" w:ascii="宋体" w:hAnsi="宋体" w:cs="宋体"/>
                <w:b w:val="0"/>
                <w:bCs w:val="0"/>
                <w:color w:val="auto"/>
                <w:szCs w:val="21"/>
                <w:highlight w:val="none"/>
                <w:u w:val="none"/>
                <w:lang w:eastAsia="zh-CN"/>
              </w:rPr>
              <w:t>一般的，得</w:t>
            </w:r>
            <w:r>
              <w:rPr>
                <w:rFonts w:hint="eastAsia" w:ascii="宋体" w:hAnsi="宋体" w:cs="宋体"/>
                <w:b w:val="0"/>
                <w:bCs w:val="0"/>
                <w:color w:val="auto"/>
                <w:szCs w:val="21"/>
                <w:highlight w:val="none"/>
                <w:u w:val="none"/>
                <w:lang w:val="en-US" w:eastAsia="zh-CN"/>
              </w:rPr>
              <w:t>3分；</w:t>
            </w:r>
          </w:p>
          <w:p w14:paraId="1C7E413B">
            <w:pPr>
              <w:keepNext w:val="0"/>
              <w:keepLines w:val="0"/>
              <w:pageBreakBefore w:val="0"/>
              <w:suppressLineNumbers w:val="0"/>
              <w:kinsoku/>
              <w:wordWrap/>
              <w:overflowPunct/>
              <w:topLinePunct w:val="0"/>
              <w:autoSpaceDE/>
              <w:autoSpaceDN/>
              <w:bidi w:val="0"/>
              <w:spacing w:before="0" w:beforeAutospacing="0" w:after="0" w:afterAutospacing="0" w:line="312" w:lineRule="auto"/>
              <w:ind w:left="0" w:right="0" w:firstLine="420" w:firstLineChars="200"/>
              <w:textAlignment w:val="auto"/>
              <w:rPr>
                <w:rFonts w:hint="default" w:ascii="宋体" w:hAnsi="宋体" w:eastAsia="宋体" w:cs="宋体"/>
                <w:b w:val="0"/>
                <w:bCs w:val="0"/>
                <w:color w:val="auto"/>
                <w:szCs w:val="21"/>
                <w:highlight w:val="none"/>
                <w:u w:val="none"/>
                <w:lang w:val="en-US" w:eastAsia="zh-CN"/>
              </w:rPr>
            </w:pPr>
            <w:r>
              <w:rPr>
                <w:rFonts w:hint="eastAsia" w:ascii="宋体" w:hAnsi="宋体" w:cs="宋体"/>
                <w:b w:val="0"/>
                <w:bCs w:val="0"/>
                <w:color w:val="auto"/>
                <w:szCs w:val="21"/>
                <w:highlight w:val="none"/>
                <w:u w:val="none"/>
                <w:lang w:eastAsia="zh-CN"/>
              </w:rPr>
              <w:t>④</w:t>
            </w:r>
            <w:r>
              <w:rPr>
                <w:rFonts w:hint="eastAsia" w:ascii="宋体" w:hAnsi="宋体" w:cs="宋体"/>
                <w:b w:val="0"/>
                <w:bCs w:val="0"/>
                <w:color w:val="auto"/>
                <w:szCs w:val="21"/>
                <w:highlight w:val="none"/>
                <w:u w:val="none"/>
              </w:rPr>
              <w:t>质量目标</w:t>
            </w:r>
            <w:r>
              <w:rPr>
                <w:rFonts w:hint="eastAsia" w:ascii="宋体" w:hAnsi="宋体" w:cs="宋体"/>
                <w:b w:val="0"/>
                <w:bCs w:val="0"/>
                <w:color w:val="auto"/>
                <w:szCs w:val="21"/>
                <w:highlight w:val="none"/>
                <w:u w:val="none"/>
                <w:lang w:eastAsia="zh-CN"/>
              </w:rPr>
              <w:t>不</w:t>
            </w:r>
            <w:r>
              <w:rPr>
                <w:rFonts w:hint="eastAsia" w:ascii="宋体" w:hAnsi="宋体" w:cs="宋体"/>
                <w:b w:val="0"/>
                <w:bCs w:val="0"/>
                <w:color w:val="auto"/>
                <w:szCs w:val="21"/>
                <w:highlight w:val="none"/>
                <w:u w:val="none"/>
              </w:rPr>
              <w:t>明确、对项目质量的控制</w:t>
            </w:r>
            <w:r>
              <w:rPr>
                <w:rFonts w:hint="eastAsia" w:ascii="宋体" w:hAnsi="宋体" w:cs="宋体"/>
                <w:b w:val="0"/>
                <w:bCs w:val="0"/>
                <w:color w:val="auto"/>
                <w:szCs w:val="21"/>
                <w:highlight w:val="none"/>
                <w:u w:val="none"/>
                <w:lang w:eastAsia="zh-CN"/>
              </w:rPr>
              <w:t>方案</w:t>
            </w:r>
            <w:r>
              <w:rPr>
                <w:rFonts w:hint="eastAsia" w:ascii="宋体" w:hAnsi="宋体" w:cs="宋体"/>
                <w:b w:val="0"/>
                <w:bCs w:val="0"/>
                <w:color w:val="auto"/>
                <w:szCs w:val="21"/>
                <w:highlight w:val="none"/>
                <w:u w:val="none"/>
              </w:rPr>
              <w:t>、检验手段科学性</w:t>
            </w:r>
            <w:r>
              <w:rPr>
                <w:rFonts w:hint="eastAsia" w:ascii="宋体" w:hAnsi="宋体" w:cs="宋体"/>
                <w:b w:val="0"/>
                <w:bCs w:val="0"/>
                <w:color w:val="auto"/>
                <w:szCs w:val="21"/>
                <w:highlight w:val="none"/>
                <w:u w:val="none"/>
                <w:lang w:eastAsia="zh-CN"/>
              </w:rPr>
              <w:t>差</w:t>
            </w:r>
            <w:r>
              <w:rPr>
                <w:rFonts w:hint="eastAsia" w:ascii="宋体" w:hAnsi="宋体" w:cs="宋体"/>
                <w:b w:val="0"/>
                <w:bCs w:val="0"/>
                <w:color w:val="auto"/>
                <w:szCs w:val="21"/>
                <w:highlight w:val="none"/>
                <w:u w:val="none"/>
              </w:rPr>
              <w:t>，质量保证措施不具体，</w:t>
            </w:r>
            <w:r>
              <w:rPr>
                <w:rFonts w:hint="eastAsia" w:ascii="宋体" w:hAnsi="宋体" w:cs="宋体"/>
                <w:b w:val="0"/>
                <w:bCs w:val="0"/>
                <w:color w:val="auto"/>
                <w:szCs w:val="21"/>
                <w:highlight w:val="none"/>
                <w:u w:val="none"/>
                <w:lang w:eastAsia="zh-CN"/>
              </w:rPr>
              <w:t>不</w:t>
            </w:r>
            <w:r>
              <w:rPr>
                <w:rFonts w:hint="eastAsia" w:ascii="宋体" w:hAnsi="宋体" w:cs="宋体"/>
                <w:b w:val="0"/>
                <w:bCs w:val="0"/>
                <w:color w:val="auto"/>
                <w:szCs w:val="21"/>
                <w:highlight w:val="none"/>
                <w:u w:val="none"/>
              </w:rPr>
              <w:t>可行</w:t>
            </w:r>
            <w:r>
              <w:rPr>
                <w:rFonts w:hint="eastAsia" w:ascii="宋体" w:hAnsi="宋体" w:cs="宋体"/>
                <w:b w:val="0"/>
                <w:bCs w:val="0"/>
                <w:color w:val="auto"/>
                <w:szCs w:val="21"/>
                <w:highlight w:val="none"/>
                <w:u w:val="none"/>
                <w:lang w:eastAsia="zh-CN"/>
              </w:rPr>
              <w:t>的，得</w:t>
            </w:r>
            <w:r>
              <w:rPr>
                <w:rFonts w:hint="eastAsia" w:ascii="宋体" w:hAnsi="宋体" w:cs="宋体"/>
                <w:b w:val="0"/>
                <w:bCs w:val="0"/>
                <w:color w:val="auto"/>
                <w:szCs w:val="21"/>
                <w:highlight w:val="none"/>
                <w:u w:val="none"/>
                <w:lang w:val="en-US" w:eastAsia="zh-CN"/>
              </w:rPr>
              <w:t>1分；</w:t>
            </w:r>
          </w:p>
          <w:p w14:paraId="4BFC39DC">
            <w:pPr>
              <w:keepNext w:val="0"/>
              <w:keepLines w:val="0"/>
              <w:pageBreakBefore w:val="0"/>
              <w:suppressLineNumbers w:val="0"/>
              <w:kinsoku/>
              <w:wordWrap/>
              <w:overflowPunct/>
              <w:topLinePunct w:val="0"/>
              <w:autoSpaceDE/>
              <w:autoSpaceDN/>
              <w:bidi w:val="0"/>
              <w:spacing w:before="0" w:beforeAutospacing="0" w:after="0" w:afterAutospacing="0" w:line="312" w:lineRule="auto"/>
              <w:ind w:left="0" w:right="0" w:firstLine="420" w:firstLineChars="200"/>
              <w:textAlignment w:val="auto"/>
              <w:rPr>
                <w:rFonts w:hint="default" w:hAnsi="宋体" w:cs="宋体"/>
                <w:b w:val="0"/>
                <w:bCs w:val="0"/>
                <w:color w:val="auto"/>
                <w:szCs w:val="21"/>
                <w:highlight w:val="none"/>
                <w:u w:val="none"/>
              </w:rPr>
            </w:pPr>
            <w:r>
              <w:rPr>
                <w:rFonts w:hint="eastAsia" w:ascii="宋体" w:hAnsi="宋体" w:cs="宋体"/>
                <w:b w:val="0"/>
                <w:bCs w:val="0"/>
                <w:color w:val="auto"/>
                <w:szCs w:val="21"/>
                <w:highlight w:val="none"/>
                <w:u w:val="none"/>
                <w:lang w:eastAsia="zh-CN"/>
              </w:rPr>
              <w:t>⑤</w:t>
            </w:r>
            <w:r>
              <w:rPr>
                <w:rFonts w:hint="eastAsia" w:ascii="宋体" w:hAnsi="宋体" w:cs="宋体"/>
                <w:b w:val="0"/>
                <w:bCs w:val="0"/>
                <w:color w:val="auto"/>
                <w:szCs w:val="21"/>
                <w:highlight w:val="none"/>
                <w:u w:val="none"/>
              </w:rPr>
              <w:t>未提供</w:t>
            </w:r>
            <w:r>
              <w:rPr>
                <w:rFonts w:hint="eastAsia" w:ascii="宋体" w:hAnsi="宋体" w:cs="宋体"/>
                <w:b w:val="0"/>
                <w:bCs w:val="0"/>
                <w:color w:val="auto"/>
                <w:szCs w:val="21"/>
                <w:highlight w:val="none"/>
                <w:u w:val="none"/>
                <w:lang w:eastAsia="zh-CN"/>
              </w:rPr>
              <w:t>相关方案的</w:t>
            </w:r>
            <w:r>
              <w:rPr>
                <w:rFonts w:hint="eastAsia" w:ascii="宋体" w:hAnsi="宋体" w:cs="宋体"/>
                <w:b w:val="0"/>
                <w:bCs w:val="0"/>
                <w:color w:val="auto"/>
                <w:szCs w:val="21"/>
                <w:highlight w:val="none"/>
                <w:u w:val="none"/>
              </w:rPr>
              <w:t>，不得分</w:t>
            </w:r>
            <w:r>
              <w:rPr>
                <w:rFonts w:hint="eastAsia" w:ascii="宋体" w:hAnsi="宋体" w:cs="宋体"/>
                <w:b w:val="0"/>
                <w:bCs w:val="0"/>
                <w:color w:val="auto"/>
                <w:szCs w:val="21"/>
                <w:highlight w:val="none"/>
                <w:u w:val="none"/>
                <w:lang w:eastAsia="zh-CN"/>
              </w:rPr>
              <w:t>。</w:t>
            </w:r>
          </w:p>
        </w:tc>
      </w:tr>
      <w:tr w14:paraId="39BC1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38560A52">
            <w:pPr>
              <w:pStyle w:val="48"/>
              <w:spacing w:line="360" w:lineRule="auto"/>
              <w:ind w:firstLine="0" w:firstLineChars="0"/>
              <w:jc w:val="center"/>
              <w:rPr>
                <w:rFonts w:ascii="宋体" w:eastAsia="宋体" w:cs="宋体"/>
                <w:b w:val="0"/>
                <w:bCs w:val="0"/>
                <w:color w:val="auto"/>
                <w:sz w:val="21"/>
                <w:szCs w:val="21"/>
                <w:highlight w:val="none"/>
              </w:rPr>
            </w:pPr>
            <w:r>
              <w:rPr>
                <w:rFonts w:ascii="宋体" w:eastAsia="宋体" w:cs="宋体"/>
                <w:b w:val="0"/>
                <w:bCs w:val="0"/>
                <w:color w:val="auto"/>
                <w:sz w:val="21"/>
                <w:szCs w:val="21"/>
                <w:highlight w:val="none"/>
              </w:rPr>
              <w:t>4</w:t>
            </w:r>
          </w:p>
        </w:tc>
        <w:tc>
          <w:tcPr>
            <w:tcW w:w="1326" w:type="dxa"/>
            <w:tcBorders>
              <w:top w:val="single" w:color="auto" w:sz="4" w:space="0"/>
              <w:left w:val="single" w:color="auto" w:sz="4" w:space="0"/>
              <w:bottom w:val="single" w:color="auto" w:sz="4" w:space="0"/>
              <w:right w:val="single" w:color="auto" w:sz="4" w:space="0"/>
            </w:tcBorders>
            <w:vAlign w:val="center"/>
          </w:tcPr>
          <w:p w14:paraId="50B130BD">
            <w:pPr>
              <w:keepNext w:val="0"/>
              <w:keepLines w:val="0"/>
              <w:widowControl w:val="0"/>
              <w:suppressLineNumbers w:val="0"/>
              <w:adjustRightInd/>
              <w:snapToGrid/>
              <w:spacing w:before="0" w:beforeAutospacing="0" w:after="0" w:afterAutospacing="0"/>
              <w:ind w:left="0" w:right="0"/>
              <w:jc w:val="center"/>
              <w:rPr>
                <w:rFonts w:hint="default" w:ascii="宋体" w:hAnsi="宋体" w:cs="宋体"/>
                <w:b w:val="0"/>
                <w:bCs w:val="0"/>
                <w:color w:val="auto"/>
                <w:szCs w:val="21"/>
                <w:highlight w:val="none"/>
                <w:u w:val="none"/>
              </w:rPr>
            </w:pPr>
            <w:r>
              <w:rPr>
                <w:rFonts w:hint="eastAsia" w:hAnsi="宋体" w:cs="宋体"/>
                <w:b w:val="0"/>
                <w:bCs w:val="0"/>
                <w:color w:val="auto"/>
                <w:spacing w:val="2"/>
                <w:szCs w:val="21"/>
                <w:highlight w:val="none"/>
                <w:u w:val="none"/>
              </w:rPr>
              <w:t>售后服务</w:t>
            </w:r>
          </w:p>
        </w:tc>
        <w:tc>
          <w:tcPr>
            <w:tcW w:w="907" w:type="dxa"/>
            <w:tcBorders>
              <w:top w:val="single" w:color="auto" w:sz="4" w:space="0"/>
              <w:left w:val="single" w:color="auto" w:sz="4" w:space="0"/>
              <w:bottom w:val="single" w:color="auto" w:sz="4" w:space="0"/>
              <w:right w:val="single" w:color="auto" w:sz="4" w:space="0"/>
            </w:tcBorders>
            <w:vAlign w:val="center"/>
          </w:tcPr>
          <w:p w14:paraId="17D454C7">
            <w:pPr>
              <w:keepNext w:val="0"/>
              <w:keepLines w:val="0"/>
              <w:widowControl w:val="0"/>
              <w:suppressLineNumbers w:val="0"/>
              <w:adjustRightInd/>
              <w:snapToGrid/>
              <w:spacing w:before="0" w:beforeAutospacing="0" w:after="0" w:afterAutospacing="0"/>
              <w:ind w:left="0" w:right="0"/>
              <w:jc w:val="center"/>
              <w:rPr>
                <w:rFonts w:hint="default" w:ascii="宋体" w:hAnsi="宋体" w:eastAsia="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5</w:t>
            </w:r>
          </w:p>
        </w:tc>
        <w:tc>
          <w:tcPr>
            <w:tcW w:w="6289" w:type="dxa"/>
            <w:tcBorders>
              <w:top w:val="single" w:color="auto" w:sz="4" w:space="0"/>
              <w:left w:val="single" w:color="auto" w:sz="4" w:space="0"/>
              <w:bottom w:val="single" w:color="auto" w:sz="4" w:space="0"/>
              <w:right w:val="single" w:color="auto" w:sz="4" w:space="0"/>
            </w:tcBorders>
            <w:vAlign w:val="center"/>
          </w:tcPr>
          <w:p w14:paraId="2F32781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rPr>
            </w:pPr>
            <w:r>
              <w:rPr>
                <w:rFonts w:hint="eastAsia" w:ascii="宋体" w:hAnsi="宋体" w:eastAsia="宋体" w:cs="宋体"/>
                <w:b w:val="0"/>
                <w:bCs w:val="0"/>
                <w:color w:val="auto"/>
                <w:szCs w:val="21"/>
                <w:highlight w:val="none"/>
                <w:u w:val="none"/>
              </w:rPr>
              <w:t>根据各投标人提供的售后服务方案（包括售后响应时间、技术支持和售后服务计划、质保期外的维修服务收费标准、服务质量保证、应急方案）进行</w:t>
            </w:r>
            <w:r>
              <w:rPr>
                <w:rFonts w:hint="eastAsia" w:ascii="宋体" w:hAnsi="宋体" w:eastAsia="宋体" w:cs="宋体"/>
                <w:b w:val="0"/>
                <w:bCs w:val="0"/>
                <w:color w:val="auto"/>
                <w:szCs w:val="21"/>
                <w:highlight w:val="none"/>
                <w:u w:val="none"/>
                <w:lang w:eastAsia="zh-CN"/>
              </w:rPr>
              <w:t>评审</w:t>
            </w:r>
            <w:r>
              <w:rPr>
                <w:rFonts w:hint="eastAsia" w:ascii="宋体" w:hAnsi="宋体" w:eastAsia="宋体" w:cs="宋体"/>
                <w:b w:val="0"/>
                <w:bCs w:val="0"/>
                <w:color w:val="auto"/>
                <w:szCs w:val="21"/>
                <w:highlight w:val="none"/>
                <w:u w:val="none"/>
              </w:rPr>
              <w:t>：</w:t>
            </w:r>
          </w:p>
          <w:p w14:paraId="36ED6A7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rPr>
            </w:pPr>
            <w:r>
              <w:rPr>
                <w:rFonts w:hint="eastAsia" w:ascii="宋体" w:hAnsi="宋体" w:eastAsia="宋体" w:cs="宋体"/>
                <w:b w:val="0"/>
                <w:bCs w:val="0"/>
                <w:color w:val="auto"/>
                <w:szCs w:val="21"/>
                <w:highlight w:val="none"/>
                <w:u w:val="none"/>
              </w:rPr>
              <w:t>①售后服务方案保障措施详细完整，</w:t>
            </w:r>
            <w:r>
              <w:rPr>
                <w:rFonts w:hint="eastAsia" w:ascii="宋体" w:hAnsi="宋体" w:eastAsia="宋体" w:cs="宋体"/>
                <w:b w:val="0"/>
                <w:bCs w:val="0"/>
                <w:color w:val="auto"/>
                <w:szCs w:val="21"/>
                <w:highlight w:val="none"/>
                <w:u w:val="none"/>
                <w:lang w:eastAsia="zh-CN"/>
              </w:rPr>
              <w:t>科学合理，</w:t>
            </w:r>
            <w:r>
              <w:rPr>
                <w:rFonts w:hint="eastAsia" w:ascii="宋体" w:hAnsi="宋体" w:eastAsia="宋体" w:cs="宋体"/>
                <w:b w:val="0"/>
                <w:bCs w:val="0"/>
                <w:color w:val="auto"/>
                <w:szCs w:val="21"/>
                <w:highlight w:val="none"/>
                <w:u w:val="none"/>
              </w:rPr>
              <w:t>切实可行的</w:t>
            </w:r>
            <w:r>
              <w:rPr>
                <w:rFonts w:hint="eastAsia" w:ascii="宋体" w:hAnsi="宋体" w:eastAsia="宋体" w:cs="宋体"/>
                <w:b w:val="0"/>
                <w:bCs w:val="0"/>
                <w:color w:val="auto"/>
                <w:szCs w:val="21"/>
                <w:highlight w:val="none"/>
                <w:u w:val="none"/>
                <w:lang w:eastAsia="zh-CN"/>
              </w:rPr>
              <w:t>，</w:t>
            </w:r>
            <w:r>
              <w:rPr>
                <w:rFonts w:hint="eastAsia" w:ascii="宋体" w:hAnsi="宋体" w:eastAsia="宋体" w:cs="宋体"/>
                <w:b w:val="0"/>
                <w:bCs w:val="0"/>
                <w:color w:val="auto"/>
                <w:szCs w:val="21"/>
                <w:highlight w:val="none"/>
                <w:u w:val="none"/>
              </w:rPr>
              <w:t>得</w:t>
            </w:r>
            <w:r>
              <w:rPr>
                <w:rFonts w:hint="eastAsia" w:ascii="宋体" w:hAnsi="宋体" w:cs="宋体"/>
                <w:b w:val="0"/>
                <w:bCs w:val="0"/>
                <w:color w:val="auto"/>
                <w:szCs w:val="21"/>
                <w:highlight w:val="none"/>
                <w:u w:val="none"/>
                <w:lang w:val="en-US" w:eastAsia="zh-CN"/>
              </w:rPr>
              <w:t>5</w:t>
            </w:r>
            <w:r>
              <w:rPr>
                <w:rFonts w:hint="eastAsia" w:ascii="宋体" w:hAnsi="宋体" w:eastAsia="宋体" w:cs="宋体"/>
                <w:b w:val="0"/>
                <w:bCs w:val="0"/>
                <w:color w:val="auto"/>
                <w:szCs w:val="21"/>
                <w:highlight w:val="none"/>
                <w:u w:val="none"/>
              </w:rPr>
              <w:t>分；</w:t>
            </w:r>
          </w:p>
          <w:p w14:paraId="4A35514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rPr>
            </w:pPr>
            <w:r>
              <w:rPr>
                <w:rFonts w:hint="eastAsia" w:ascii="宋体" w:hAnsi="宋体" w:eastAsia="宋体" w:cs="宋体"/>
                <w:b w:val="0"/>
                <w:bCs w:val="0"/>
                <w:color w:val="auto"/>
                <w:szCs w:val="21"/>
                <w:highlight w:val="none"/>
                <w:u w:val="none"/>
              </w:rPr>
              <w:t>②售后服务方案保障措施基本完整，</w:t>
            </w:r>
            <w:r>
              <w:rPr>
                <w:rFonts w:hint="eastAsia" w:ascii="宋体" w:hAnsi="宋体" w:eastAsia="宋体" w:cs="宋体"/>
                <w:b w:val="0"/>
                <w:bCs w:val="0"/>
                <w:color w:val="auto"/>
                <w:szCs w:val="21"/>
                <w:highlight w:val="none"/>
                <w:u w:val="none"/>
                <w:lang w:eastAsia="zh-CN"/>
              </w:rPr>
              <w:t>较科学合理，</w:t>
            </w:r>
            <w:r>
              <w:rPr>
                <w:rFonts w:hint="eastAsia" w:ascii="宋体" w:hAnsi="宋体" w:eastAsia="宋体" w:cs="宋体"/>
                <w:b w:val="0"/>
                <w:bCs w:val="0"/>
                <w:color w:val="auto"/>
                <w:szCs w:val="21"/>
                <w:highlight w:val="none"/>
                <w:u w:val="none"/>
              </w:rPr>
              <w:t>可行性</w:t>
            </w:r>
            <w:r>
              <w:rPr>
                <w:rFonts w:hint="eastAsia" w:ascii="宋体" w:hAnsi="宋体" w:eastAsia="宋体" w:cs="宋体"/>
                <w:b w:val="0"/>
                <w:bCs w:val="0"/>
                <w:color w:val="auto"/>
                <w:szCs w:val="21"/>
                <w:highlight w:val="none"/>
                <w:u w:val="none"/>
                <w:lang w:val="en-US" w:eastAsia="zh-CN"/>
              </w:rPr>
              <w:t>较强</w:t>
            </w:r>
            <w:r>
              <w:rPr>
                <w:rFonts w:hint="eastAsia" w:ascii="宋体" w:hAnsi="宋体" w:eastAsia="宋体" w:cs="宋体"/>
                <w:b w:val="0"/>
                <w:bCs w:val="0"/>
                <w:color w:val="auto"/>
                <w:szCs w:val="21"/>
                <w:highlight w:val="none"/>
                <w:u w:val="none"/>
              </w:rPr>
              <w:t>的</w:t>
            </w:r>
            <w:r>
              <w:rPr>
                <w:rFonts w:hint="eastAsia" w:ascii="宋体" w:hAnsi="宋体" w:eastAsia="宋体" w:cs="宋体"/>
                <w:b w:val="0"/>
                <w:bCs w:val="0"/>
                <w:color w:val="auto"/>
                <w:szCs w:val="21"/>
                <w:highlight w:val="none"/>
                <w:u w:val="none"/>
                <w:lang w:eastAsia="zh-CN"/>
              </w:rPr>
              <w:t>，</w:t>
            </w:r>
            <w:r>
              <w:rPr>
                <w:rFonts w:hint="eastAsia" w:ascii="宋体" w:hAnsi="宋体" w:eastAsia="宋体" w:cs="宋体"/>
                <w:b w:val="0"/>
                <w:bCs w:val="0"/>
                <w:color w:val="auto"/>
                <w:szCs w:val="21"/>
                <w:highlight w:val="none"/>
                <w:u w:val="none"/>
              </w:rPr>
              <w:t>得</w:t>
            </w:r>
            <w:r>
              <w:rPr>
                <w:rFonts w:hint="eastAsia" w:ascii="宋体" w:hAnsi="宋体" w:cs="宋体"/>
                <w:b w:val="0"/>
                <w:bCs w:val="0"/>
                <w:color w:val="auto"/>
                <w:szCs w:val="21"/>
                <w:highlight w:val="none"/>
                <w:u w:val="none"/>
                <w:lang w:val="en-US" w:eastAsia="zh-CN"/>
              </w:rPr>
              <w:t>4</w:t>
            </w:r>
            <w:r>
              <w:rPr>
                <w:rFonts w:hint="eastAsia" w:ascii="宋体" w:hAnsi="宋体" w:eastAsia="宋体" w:cs="宋体"/>
                <w:b w:val="0"/>
                <w:bCs w:val="0"/>
                <w:color w:val="auto"/>
                <w:szCs w:val="21"/>
                <w:highlight w:val="none"/>
                <w:u w:val="none"/>
              </w:rPr>
              <w:t>分；</w:t>
            </w:r>
          </w:p>
          <w:p w14:paraId="035A188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lang w:eastAsia="zh-CN"/>
              </w:rPr>
            </w:pPr>
            <w:r>
              <w:rPr>
                <w:rFonts w:hint="eastAsia" w:ascii="宋体" w:hAnsi="宋体" w:eastAsia="宋体" w:cs="宋体"/>
                <w:b w:val="0"/>
                <w:bCs w:val="0"/>
                <w:color w:val="auto"/>
                <w:szCs w:val="21"/>
                <w:highlight w:val="none"/>
                <w:u w:val="none"/>
              </w:rPr>
              <w:t>③售后服务方案保障措施可行性</w:t>
            </w:r>
            <w:r>
              <w:rPr>
                <w:rFonts w:hint="eastAsia" w:ascii="宋体" w:hAnsi="宋体" w:eastAsia="宋体" w:cs="宋体"/>
                <w:b w:val="0"/>
                <w:bCs w:val="0"/>
                <w:color w:val="auto"/>
                <w:szCs w:val="21"/>
                <w:highlight w:val="none"/>
                <w:u w:val="none"/>
                <w:lang w:eastAsia="zh-CN"/>
              </w:rPr>
              <w:t>一般，合理性一般，不太可行的，得</w:t>
            </w:r>
            <w:r>
              <w:rPr>
                <w:rFonts w:hint="eastAsia" w:ascii="宋体" w:hAnsi="宋体" w:eastAsia="宋体" w:cs="宋体"/>
                <w:b w:val="0"/>
                <w:bCs w:val="0"/>
                <w:color w:val="auto"/>
                <w:szCs w:val="21"/>
                <w:highlight w:val="none"/>
                <w:u w:val="none"/>
                <w:lang w:val="en-US" w:eastAsia="zh-CN"/>
              </w:rPr>
              <w:t>3分</w:t>
            </w:r>
            <w:r>
              <w:rPr>
                <w:rFonts w:hint="eastAsia" w:ascii="宋体" w:hAnsi="宋体" w:eastAsia="宋体" w:cs="宋体"/>
                <w:b w:val="0"/>
                <w:bCs w:val="0"/>
                <w:color w:val="auto"/>
                <w:szCs w:val="21"/>
                <w:highlight w:val="none"/>
                <w:u w:val="none"/>
                <w:lang w:eastAsia="zh-CN"/>
              </w:rPr>
              <w:t>；</w:t>
            </w:r>
          </w:p>
          <w:p w14:paraId="71C8D57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rPr>
            </w:pPr>
            <w:r>
              <w:rPr>
                <w:rFonts w:hint="eastAsia" w:ascii="宋体" w:hAnsi="宋体" w:eastAsia="宋体" w:cs="宋体"/>
                <w:b w:val="0"/>
                <w:bCs w:val="0"/>
                <w:color w:val="auto"/>
                <w:szCs w:val="21"/>
                <w:highlight w:val="none"/>
                <w:u w:val="none"/>
                <w:lang w:eastAsia="zh-CN"/>
              </w:rPr>
              <w:t>④</w:t>
            </w:r>
            <w:r>
              <w:rPr>
                <w:rFonts w:hint="eastAsia" w:ascii="宋体" w:hAnsi="宋体" w:eastAsia="宋体" w:cs="宋体"/>
                <w:b w:val="0"/>
                <w:bCs w:val="0"/>
                <w:color w:val="auto"/>
                <w:szCs w:val="21"/>
                <w:highlight w:val="none"/>
                <w:u w:val="none"/>
              </w:rPr>
              <w:t>售后服务方案保障措施可行性</w:t>
            </w:r>
            <w:r>
              <w:rPr>
                <w:rFonts w:hint="eastAsia" w:ascii="宋体" w:hAnsi="宋体" w:eastAsia="宋体" w:cs="宋体"/>
                <w:b w:val="0"/>
                <w:bCs w:val="0"/>
                <w:color w:val="auto"/>
                <w:szCs w:val="21"/>
                <w:highlight w:val="none"/>
                <w:u w:val="none"/>
                <w:lang w:eastAsia="zh-CN"/>
              </w:rPr>
              <w:t>差，不合理的，不可行的，得</w:t>
            </w:r>
            <w:r>
              <w:rPr>
                <w:rFonts w:hint="eastAsia" w:ascii="宋体" w:hAnsi="宋体" w:eastAsia="宋体" w:cs="宋体"/>
                <w:b w:val="0"/>
                <w:bCs w:val="0"/>
                <w:color w:val="auto"/>
                <w:szCs w:val="21"/>
                <w:highlight w:val="none"/>
                <w:u w:val="none"/>
                <w:lang w:val="en-US" w:eastAsia="zh-CN"/>
              </w:rPr>
              <w:t>1分</w:t>
            </w:r>
            <w:r>
              <w:rPr>
                <w:rFonts w:hint="eastAsia" w:ascii="宋体" w:hAnsi="宋体" w:eastAsia="宋体" w:cs="宋体"/>
                <w:b w:val="0"/>
                <w:bCs w:val="0"/>
                <w:color w:val="auto"/>
                <w:szCs w:val="21"/>
                <w:highlight w:val="none"/>
                <w:u w:val="none"/>
                <w:lang w:eastAsia="zh-CN"/>
              </w:rPr>
              <w:t>；</w:t>
            </w:r>
          </w:p>
          <w:p w14:paraId="299114C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b w:val="0"/>
                <w:bCs w:val="0"/>
                <w:color w:val="auto"/>
                <w:szCs w:val="21"/>
                <w:highlight w:val="none"/>
                <w:u w:val="none"/>
                <w:lang w:val="zh-CN"/>
              </w:rPr>
            </w:pPr>
            <w:r>
              <w:rPr>
                <w:rFonts w:hint="eastAsia" w:ascii="宋体" w:hAnsi="宋体" w:eastAsia="宋体" w:cs="宋体"/>
                <w:b w:val="0"/>
                <w:bCs w:val="0"/>
                <w:color w:val="auto"/>
                <w:szCs w:val="21"/>
                <w:highlight w:val="none"/>
                <w:u w:val="none"/>
                <w:lang w:eastAsia="zh-CN"/>
              </w:rPr>
              <w:t>⑤</w:t>
            </w:r>
            <w:r>
              <w:rPr>
                <w:rFonts w:hint="eastAsia" w:ascii="宋体" w:hAnsi="宋体" w:eastAsia="宋体" w:cs="宋体"/>
                <w:b w:val="0"/>
                <w:bCs w:val="0"/>
                <w:color w:val="auto"/>
                <w:szCs w:val="21"/>
                <w:highlight w:val="none"/>
                <w:u w:val="none"/>
              </w:rPr>
              <w:t>未提供</w:t>
            </w:r>
            <w:r>
              <w:rPr>
                <w:rFonts w:hint="eastAsia" w:ascii="宋体" w:hAnsi="宋体" w:eastAsia="宋体" w:cs="宋体"/>
                <w:b w:val="0"/>
                <w:bCs w:val="0"/>
                <w:color w:val="auto"/>
                <w:szCs w:val="21"/>
                <w:highlight w:val="none"/>
                <w:u w:val="none"/>
                <w:lang w:eastAsia="zh-CN"/>
              </w:rPr>
              <w:t>相关方案的</w:t>
            </w:r>
            <w:r>
              <w:rPr>
                <w:rFonts w:hint="eastAsia" w:ascii="宋体" w:hAnsi="宋体" w:eastAsia="宋体" w:cs="宋体"/>
                <w:b w:val="0"/>
                <w:bCs w:val="0"/>
                <w:color w:val="auto"/>
                <w:szCs w:val="21"/>
                <w:highlight w:val="none"/>
                <w:u w:val="none"/>
              </w:rPr>
              <w:t>，不得分</w:t>
            </w:r>
            <w:r>
              <w:rPr>
                <w:rFonts w:hint="eastAsia" w:ascii="宋体" w:hAnsi="宋体" w:eastAsia="宋体" w:cs="宋体"/>
                <w:b w:val="0"/>
                <w:bCs w:val="0"/>
                <w:color w:val="auto"/>
                <w:szCs w:val="21"/>
                <w:highlight w:val="none"/>
                <w:u w:val="none"/>
                <w:lang w:eastAsia="zh-CN"/>
              </w:rPr>
              <w:t>。</w:t>
            </w:r>
          </w:p>
        </w:tc>
      </w:tr>
      <w:tr w14:paraId="76687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9358" w:type="dxa"/>
            <w:gridSpan w:val="4"/>
            <w:tcBorders>
              <w:top w:val="single" w:color="auto" w:sz="4" w:space="0"/>
              <w:left w:val="single" w:color="auto" w:sz="4" w:space="0"/>
              <w:bottom w:val="single" w:color="auto" w:sz="4" w:space="0"/>
              <w:right w:val="single" w:color="auto" w:sz="4" w:space="0"/>
            </w:tcBorders>
            <w:vAlign w:val="center"/>
          </w:tcPr>
          <w:p w14:paraId="3FC09B0B">
            <w:pPr>
              <w:keepNext w:val="0"/>
              <w:keepLines w:val="0"/>
              <w:widowControl w:val="0"/>
              <w:suppressLineNumbers w:val="0"/>
              <w:tabs>
                <w:tab w:val="left" w:pos="907"/>
              </w:tabs>
              <w:adjustRightInd/>
              <w:snapToGrid/>
              <w:spacing w:before="0" w:beforeAutospacing="0" w:after="0" w:afterAutospacing="0"/>
              <w:ind w:left="0" w:right="0" w:firstLine="420" w:firstLineChars="200"/>
              <w:jc w:val="both"/>
              <w:rPr>
                <w:rFonts w:hint="default" w:ascii="宋体" w:hAnsi="宋体" w:cs="宋体"/>
                <w:b w:val="0"/>
                <w:bCs w:val="0"/>
                <w:color w:val="auto"/>
                <w:szCs w:val="21"/>
                <w:highlight w:val="none"/>
              </w:rPr>
            </w:pPr>
            <w:r>
              <w:rPr>
                <w:rFonts w:hint="eastAsia" w:ascii="宋体" w:hAnsi="宋体" w:cs="宋体"/>
                <w:b w:val="0"/>
                <w:bCs w:val="0"/>
                <w:color w:val="auto"/>
                <w:szCs w:val="21"/>
                <w:highlight w:val="none"/>
              </w:rPr>
              <w:t>注：</w:t>
            </w:r>
          </w:p>
          <w:p w14:paraId="203180B5">
            <w:pPr>
              <w:keepNext w:val="0"/>
              <w:keepLines w:val="0"/>
              <w:widowControl w:val="0"/>
              <w:suppressLineNumbers w:val="0"/>
              <w:tabs>
                <w:tab w:val="left" w:pos="907"/>
              </w:tabs>
              <w:adjustRightInd/>
              <w:snapToGrid/>
              <w:spacing w:before="0" w:beforeAutospacing="0" w:after="0" w:afterAutospacing="0"/>
              <w:ind w:left="0" w:right="0" w:firstLine="420" w:firstLineChars="200"/>
              <w:jc w:val="both"/>
              <w:rPr>
                <w:rFonts w:hint="default" w:ascii="宋体" w:hAnsi="宋体" w:cs="宋体"/>
                <w:b w:val="0"/>
                <w:bCs w:val="0"/>
                <w:color w:val="auto"/>
                <w:szCs w:val="21"/>
                <w:highlight w:val="none"/>
              </w:rPr>
            </w:pPr>
            <w:r>
              <w:rPr>
                <w:rFonts w:hint="eastAsia" w:ascii="宋体" w:hAnsi="宋体" w:cs="宋体"/>
                <w:b w:val="0"/>
                <w:bCs w:val="0"/>
                <w:color w:val="auto"/>
                <w:szCs w:val="21"/>
                <w:highlight w:val="none"/>
              </w:rPr>
              <w:t>（1）无特殊说明外，以上评审项，同一证明文件不重复计分。</w:t>
            </w:r>
          </w:p>
          <w:p w14:paraId="7A616AD4">
            <w:pPr>
              <w:keepNext w:val="0"/>
              <w:keepLines w:val="0"/>
              <w:widowControl w:val="0"/>
              <w:suppressLineNumbers w:val="0"/>
              <w:tabs>
                <w:tab w:val="left" w:pos="907"/>
              </w:tabs>
              <w:adjustRightInd/>
              <w:snapToGrid/>
              <w:spacing w:before="0" w:beforeAutospacing="0" w:after="0" w:afterAutospacing="0"/>
              <w:ind w:left="0" w:right="0" w:firstLine="420" w:firstLineChars="200"/>
              <w:jc w:val="both"/>
              <w:rPr>
                <w:rFonts w:hint="default" w:ascii="宋体" w:hAnsi="宋体" w:cs="宋体"/>
                <w:b w:val="0"/>
                <w:bCs w:val="0"/>
                <w:color w:val="auto"/>
                <w:szCs w:val="21"/>
                <w:highlight w:val="none"/>
              </w:rPr>
            </w:pPr>
            <w:r>
              <w:rPr>
                <w:rFonts w:hint="eastAsia" w:ascii="宋体" w:hAnsi="宋体" w:cs="宋体"/>
                <w:b w:val="0"/>
                <w:bCs w:val="0"/>
                <w:color w:val="auto"/>
                <w:szCs w:val="21"/>
                <w:highlight w:val="none"/>
              </w:rPr>
              <w:t>（2）投标人根据以上评分要求提供的投标材料因模糊不清导致评标委员会无法清晰辨认进行评审的，视为无效材料。</w:t>
            </w:r>
          </w:p>
        </w:tc>
      </w:tr>
      <w:tr w14:paraId="07C28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9358" w:type="dxa"/>
            <w:gridSpan w:val="4"/>
            <w:tcBorders>
              <w:top w:val="single" w:color="auto" w:sz="4" w:space="0"/>
              <w:left w:val="single" w:color="auto" w:sz="4" w:space="0"/>
              <w:bottom w:val="single" w:color="auto" w:sz="4" w:space="0"/>
              <w:right w:val="single" w:color="auto" w:sz="4" w:space="0"/>
            </w:tcBorders>
            <w:vAlign w:val="center"/>
          </w:tcPr>
          <w:p w14:paraId="44945872">
            <w:pPr>
              <w:pStyle w:val="48"/>
              <w:spacing w:line="360" w:lineRule="auto"/>
              <w:ind w:firstLine="0" w:firstLineChars="0"/>
              <w:jc w:val="center"/>
              <w:rPr>
                <w:rFonts w:ascii="宋体" w:eastAsia="宋体" w:cs="宋体"/>
                <w:b w:val="0"/>
                <w:bCs w:val="0"/>
                <w:color w:val="auto"/>
                <w:sz w:val="21"/>
                <w:szCs w:val="21"/>
                <w:highlight w:val="none"/>
                <w:lang w:val="zh-CN"/>
              </w:rPr>
            </w:pPr>
            <w:r>
              <w:rPr>
                <w:rFonts w:hint="eastAsia" w:ascii="宋体" w:eastAsia="宋体" w:cs="宋体"/>
                <w:b w:val="0"/>
                <w:bCs w:val="0"/>
                <w:color w:val="auto"/>
                <w:sz w:val="21"/>
                <w:szCs w:val="21"/>
                <w:highlight w:val="none"/>
              </w:rPr>
              <w:t>价格评审（</w:t>
            </w:r>
            <w:r>
              <w:rPr>
                <w:rFonts w:hint="eastAsia" w:ascii="宋体" w:eastAsia="宋体" w:cs="宋体"/>
                <w:b w:val="0"/>
                <w:bCs w:val="0"/>
                <w:color w:val="auto"/>
                <w:sz w:val="21"/>
                <w:szCs w:val="21"/>
                <w:highlight w:val="none"/>
                <w:lang w:val="en-US" w:eastAsia="zh-CN"/>
              </w:rPr>
              <w:t>50</w:t>
            </w:r>
            <w:r>
              <w:rPr>
                <w:rFonts w:hint="eastAsia" w:ascii="宋体" w:eastAsia="宋体" w:cs="宋体"/>
                <w:b w:val="0"/>
                <w:bCs w:val="0"/>
                <w:color w:val="auto"/>
                <w:sz w:val="21"/>
                <w:szCs w:val="21"/>
                <w:highlight w:val="none"/>
              </w:rPr>
              <w:t>分）</w:t>
            </w:r>
          </w:p>
        </w:tc>
      </w:tr>
      <w:tr w14:paraId="00DD9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836" w:type="dxa"/>
            <w:tcBorders>
              <w:top w:val="single" w:color="auto" w:sz="4" w:space="0"/>
              <w:left w:val="single" w:color="auto" w:sz="4" w:space="0"/>
              <w:bottom w:val="single" w:color="auto" w:sz="4" w:space="0"/>
              <w:right w:val="single" w:color="auto" w:sz="4" w:space="0"/>
            </w:tcBorders>
            <w:vAlign w:val="center"/>
          </w:tcPr>
          <w:p w14:paraId="576A38AC">
            <w:pPr>
              <w:pStyle w:val="48"/>
              <w:spacing w:line="360" w:lineRule="auto"/>
              <w:ind w:firstLine="0" w:firstLineChars="0"/>
              <w:jc w:val="center"/>
              <w:rPr>
                <w:rFonts w:ascii="宋体" w:eastAsia="宋体" w:cs="宋体"/>
                <w:b w:val="0"/>
                <w:bCs w:val="0"/>
                <w:color w:val="auto"/>
                <w:sz w:val="21"/>
                <w:szCs w:val="21"/>
                <w:highlight w:val="none"/>
              </w:rPr>
            </w:pPr>
            <w:r>
              <w:rPr>
                <w:rFonts w:hint="eastAsia" w:ascii="宋体" w:eastAsia="宋体" w:cs="宋体"/>
                <w:b w:val="0"/>
                <w:bCs w:val="0"/>
                <w:color w:val="auto"/>
                <w:sz w:val="21"/>
                <w:szCs w:val="21"/>
                <w:highlight w:val="none"/>
              </w:rPr>
              <w:t>1</w:t>
            </w:r>
          </w:p>
        </w:tc>
        <w:tc>
          <w:tcPr>
            <w:tcW w:w="1326" w:type="dxa"/>
            <w:tcBorders>
              <w:top w:val="single" w:color="auto" w:sz="4" w:space="0"/>
              <w:left w:val="single" w:color="auto" w:sz="4" w:space="0"/>
              <w:bottom w:val="single" w:color="auto" w:sz="4" w:space="0"/>
              <w:right w:val="single" w:color="auto" w:sz="4" w:space="0"/>
            </w:tcBorders>
            <w:vAlign w:val="center"/>
          </w:tcPr>
          <w:p w14:paraId="015AC38C">
            <w:pPr>
              <w:keepNext w:val="0"/>
              <w:keepLines w:val="0"/>
              <w:widowControl w:val="0"/>
              <w:suppressLineNumbers w:val="0"/>
              <w:adjustRightInd/>
              <w:snapToGrid/>
              <w:spacing w:before="0" w:beforeAutospacing="0" w:after="0" w:afterAutospacing="0"/>
              <w:ind w:left="0" w:right="0"/>
              <w:jc w:val="center"/>
              <w:rPr>
                <w:rFonts w:hint="default" w:ascii="宋体" w:hAnsi="宋体" w:cs="宋体"/>
                <w:b w:val="0"/>
                <w:bCs w:val="0"/>
                <w:color w:val="auto"/>
                <w:kern w:val="2"/>
                <w:szCs w:val="21"/>
                <w:highlight w:val="none"/>
              </w:rPr>
            </w:pPr>
            <w:r>
              <w:rPr>
                <w:rFonts w:hint="eastAsia" w:ascii="宋体" w:hAnsi="宋体" w:cs="宋体"/>
                <w:b w:val="0"/>
                <w:bCs w:val="0"/>
                <w:color w:val="auto"/>
                <w:kern w:val="2"/>
                <w:szCs w:val="21"/>
                <w:highlight w:val="none"/>
              </w:rPr>
              <w:t>投标总价</w:t>
            </w:r>
          </w:p>
        </w:tc>
        <w:tc>
          <w:tcPr>
            <w:tcW w:w="907" w:type="dxa"/>
            <w:tcBorders>
              <w:top w:val="single" w:color="auto" w:sz="4" w:space="0"/>
              <w:left w:val="single" w:color="auto" w:sz="4" w:space="0"/>
              <w:bottom w:val="single" w:color="auto" w:sz="4" w:space="0"/>
              <w:right w:val="single" w:color="auto" w:sz="4" w:space="0"/>
            </w:tcBorders>
            <w:vAlign w:val="center"/>
          </w:tcPr>
          <w:p w14:paraId="6A762A7F">
            <w:pPr>
              <w:keepNext w:val="0"/>
              <w:keepLines w:val="0"/>
              <w:widowControl w:val="0"/>
              <w:suppressLineNumbers w:val="0"/>
              <w:adjustRightInd/>
              <w:snapToGrid/>
              <w:spacing w:before="0" w:beforeAutospacing="0" w:after="0" w:afterAutospacing="0"/>
              <w:ind w:left="0" w:right="0"/>
              <w:jc w:val="center"/>
              <w:rPr>
                <w:rFonts w:hint="default" w:ascii="宋体" w:hAnsi="宋体" w:cs="宋体"/>
                <w:b w:val="0"/>
                <w:bCs w:val="0"/>
                <w:color w:val="auto"/>
                <w:kern w:val="2"/>
                <w:szCs w:val="21"/>
                <w:highlight w:val="none"/>
              </w:rPr>
            </w:pPr>
            <w:r>
              <w:rPr>
                <w:rFonts w:hint="eastAsia" w:ascii="宋体" w:hAnsi="宋体" w:cs="宋体"/>
                <w:b w:val="0"/>
                <w:bCs w:val="0"/>
                <w:color w:val="auto"/>
                <w:kern w:val="2"/>
                <w:szCs w:val="21"/>
                <w:highlight w:val="none"/>
                <w:lang w:val="en-US" w:eastAsia="zh-CN"/>
              </w:rPr>
              <w:t>50</w:t>
            </w:r>
          </w:p>
        </w:tc>
        <w:tc>
          <w:tcPr>
            <w:tcW w:w="6289" w:type="dxa"/>
            <w:tcBorders>
              <w:top w:val="single" w:color="auto" w:sz="4" w:space="0"/>
              <w:left w:val="single" w:color="auto" w:sz="4" w:space="0"/>
              <w:bottom w:val="single" w:color="auto" w:sz="4" w:space="0"/>
              <w:right w:val="single" w:color="auto" w:sz="4" w:space="0"/>
            </w:tcBorders>
            <w:vAlign w:val="center"/>
          </w:tcPr>
          <w:p w14:paraId="241DE063">
            <w:pPr>
              <w:keepNext w:val="0"/>
              <w:keepLines w:val="0"/>
              <w:widowControl w:val="0"/>
              <w:suppressLineNumbers w:val="0"/>
              <w:adjustRightInd/>
              <w:snapToGrid/>
              <w:spacing w:before="0" w:beforeAutospacing="0" w:after="0" w:afterAutospacing="0"/>
              <w:ind w:left="0" w:right="0" w:firstLine="420" w:firstLineChars="200"/>
              <w:rPr>
                <w:rFonts w:hint="eastAsia" w:ascii="宋体" w:hAnsi="宋体" w:cs="宋体"/>
                <w:b w:val="0"/>
                <w:bCs w:val="0"/>
                <w:color w:val="auto"/>
                <w:kern w:val="2"/>
                <w:szCs w:val="21"/>
                <w:highlight w:val="none"/>
                <w:lang w:val="zh-CN"/>
              </w:rPr>
            </w:pPr>
            <w:r>
              <w:rPr>
                <w:rFonts w:hint="eastAsia" w:ascii="宋体" w:hAnsi="宋体" w:cs="宋体"/>
                <w:b w:val="0"/>
                <w:bCs w:val="0"/>
                <w:color w:val="auto"/>
                <w:kern w:val="2"/>
                <w:szCs w:val="21"/>
                <w:highlight w:val="none"/>
                <w:lang w:val="zh-CN"/>
              </w:rPr>
              <w:t>满足采购文件要求，排除最高和最低的投标报价，剩余的投标人投标报价最低的为评标基准价，评标基准价与投标报价最低的投标人价格分均为满分。其余投标人的价格分（结果四舍五入后保留两位小数）（“价格得分最低为0分”）统一按照下列公式计算：</w:t>
            </w:r>
          </w:p>
          <w:p w14:paraId="01596C49">
            <w:pPr>
              <w:keepNext w:val="0"/>
              <w:keepLines w:val="0"/>
              <w:widowControl w:val="0"/>
              <w:suppressLineNumbers w:val="0"/>
              <w:adjustRightInd/>
              <w:snapToGrid/>
              <w:spacing w:before="0" w:beforeAutospacing="0" w:after="0" w:afterAutospacing="0"/>
              <w:ind w:left="0" w:right="0" w:firstLine="420" w:firstLineChars="200"/>
              <w:rPr>
                <w:rFonts w:hint="default" w:ascii="宋体" w:hAnsi="宋体" w:cs="宋体"/>
                <w:b w:val="0"/>
                <w:bCs w:val="0"/>
                <w:color w:val="auto"/>
                <w:kern w:val="2"/>
                <w:szCs w:val="21"/>
                <w:highlight w:val="none"/>
              </w:rPr>
            </w:pPr>
            <w:r>
              <w:rPr>
                <w:rFonts w:hint="eastAsia" w:ascii="宋体" w:hAnsi="宋体" w:cs="宋体"/>
                <w:b w:val="0"/>
                <w:bCs w:val="0"/>
                <w:color w:val="auto"/>
                <w:kern w:val="2"/>
                <w:szCs w:val="21"/>
                <w:highlight w:val="none"/>
                <w:lang w:val="zh-CN"/>
              </w:rPr>
              <w:t>计算公式为：价格得分 = 50 -（投标人投标报价 -评标基准价 ）÷10 ×2</w:t>
            </w:r>
          </w:p>
        </w:tc>
      </w:tr>
    </w:tbl>
    <w:p w14:paraId="21805F8C">
      <w:pPr>
        <w:ind w:firstLine="420" w:firstLineChars="200"/>
        <w:rPr>
          <w:color w:val="auto"/>
          <w:highlight w:val="none"/>
        </w:rPr>
      </w:pPr>
      <w:r>
        <w:rPr>
          <w:rFonts w:hint="eastAsia"/>
          <w:color w:val="auto"/>
          <w:highlight w:val="none"/>
        </w:rPr>
        <w:br w:type="page"/>
      </w:r>
    </w:p>
    <w:p w14:paraId="1F4F3DD2">
      <w:pPr>
        <w:pStyle w:val="6"/>
        <w:spacing w:before="0" w:after="0" w:line="240" w:lineRule="auto"/>
        <w:rPr>
          <w:color w:val="auto"/>
          <w:sz w:val="36"/>
          <w:szCs w:val="36"/>
          <w:highlight w:val="none"/>
        </w:rPr>
      </w:pPr>
      <w:bookmarkStart w:id="6" w:name="_Toc182307970"/>
      <w:r>
        <w:rPr>
          <w:rFonts w:hint="eastAsia"/>
          <w:color w:val="auto"/>
          <w:sz w:val="28"/>
          <w:szCs w:val="28"/>
          <w:highlight w:val="none"/>
        </w:rPr>
        <w:t>第三部分用户需求书</w:t>
      </w:r>
      <w:bookmarkEnd w:id="6"/>
    </w:p>
    <w:p w14:paraId="0EA508C4">
      <w:pPr>
        <w:pStyle w:val="7"/>
        <w:spacing w:before="0" w:after="0" w:line="360" w:lineRule="auto"/>
        <w:jc w:val="center"/>
        <w:rPr>
          <w:color w:val="auto"/>
          <w:highlight w:val="none"/>
        </w:rPr>
      </w:pPr>
      <w:bookmarkStart w:id="7" w:name="_Toc1593"/>
      <w:bookmarkStart w:id="8" w:name="_Toc182307971"/>
      <w:bookmarkStart w:id="9" w:name="_Toc14462"/>
      <w:bookmarkStart w:id="10" w:name="_Toc13112"/>
      <w:bookmarkStart w:id="11" w:name="_Toc308786492"/>
      <w:bookmarkStart w:id="12" w:name="_Toc24679"/>
      <w:bookmarkStart w:id="13" w:name="_Toc31278"/>
      <w:r>
        <w:rPr>
          <w:rFonts w:hint="eastAsia" w:ascii="宋体" w:hAnsi="宋体"/>
          <w:color w:val="auto"/>
          <w:highlight w:val="none"/>
        </w:rPr>
        <w:t>第一章 商务需求书</w:t>
      </w:r>
      <w:bookmarkEnd w:id="7"/>
      <w:bookmarkEnd w:id="8"/>
    </w:p>
    <w:p w14:paraId="2AFE0172">
      <w:pPr>
        <w:rPr>
          <w:rFonts w:hint="eastAsia"/>
          <w:color w:val="auto"/>
          <w:highlight w:val="none"/>
          <w:u w:val="none"/>
        </w:rPr>
      </w:pPr>
      <w:r>
        <w:rPr>
          <w:rFonts w:hint="eastAsia" w:ascii="宋体" w:hAnsi="宋体" w:eastAsia="宋体" w:cs="宋体"/>
          <w:color w:val="auto"/>
          <w:sz w:val="21"/>
          <w:szCs w:val="21"/>
          <w:highlight w:val="none"/>
        </w:rPr>
        <w:t>项目名称：</w:t>
      </w:r>
      <w:r>
        <w:rPr>
          <w:rFonts w:hint="eastAsia" w:ascii="宋体" w:hAnsi="宋体" w:cs="宋体"/>
          <w:b/>
          <w:color w:val="auto"/>
          <w:sz w:val="21"/>
          <w:szCs w:val="21"/>
          <w:highlight w:val="none"/>
          <w:u w:val="none"/>
          <w:lang w:eastAsia="zh-CN"/>
        </w:rPr>
        <w:t>东莞市建冠物业投资有限公司625kW/2500kWh用户侧储能项目</w:t>
      </w:r>
    </w:p>
    <w:tbl>
      <w:tblPr>
        <w:tblStyle w:val="29"/>
        <w:tblW w:w="9519" w:type="dxa"/>
        <w:jc w:val="center"/>
        <w:tblCellSpacing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hemeFill="background1"/>
        <w:tblLayout w:type="fixed"/>
        <w:tblCellMar>
          <w:top w:w="15" w:type="dxa"/>
          <w:left w:w="15" w:type="dxa"/>
          <w:bottom w:w="15" w:type="dxa"/>
          <w:right w:w="15" w:type="dxa"/>
        </w:tblCellMar>
      </w:tblPr>
      <w:tblGrid>
        <w:gridCol w:w="1346"/>
        <w:gridCol w:w="8173"/>
      </w:tblGrid>
      <w:tr w14:paraId="63D060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hemeFill="background1"/>
          <w:tblCellMar>
            <w:top w:w="15" w:type="dxa"/>
            <w:left w:w="15" w:type="dxa"/>
            <w:bottom w:w="15" w:type="dxa"/>
            <w:right w:w="15" w:type="dxa"/>
          </w:tblCellMar>
        </w:tblPrEx>
        <w:trPr>
          <w:trHeight w:val="518" w:hRule="atLeast"/>
          <w:tblCellSpacing w:w="0" w:type="dxa"/>
          <w:jc w:val="center"/>
        </w:trPr>
        <w:tc>
          <w:tcPr>
            <w:tcW w:w="1346" w:type="dxa"/>
            <w:tcBorders>
              <w:tl2br w:val="nil"/>
              <w:tr2bl w:val="nil"/>
            </w:tcBorders>
            <w:shd w:val="clear" w:color="auto" w:fill="FFFFFF" w:themeFill="background1"/>
            <w:vAlign w:val="center"/>
          </w:tcPr>
          <w:p w14:paraId="3FD8626B">
            <w:pPr>
              <w:spacing w:after="0" w:line="240" w:lineRule="auto"/>
              <w:jc w:val="center"/>
              <w:rPr>
                <w:rFonts w:hint="eastAsia" w:ascii="宋体" w:hAnsi="宋体" w:eastAsia="宋体" w:cs="宋体"/>
                <w:b/>
                <w:bCs/>
                <w:color w:val="auto"/>
                <w:sz w:val="21"/>
                <w:szCs w:val="21"/>
                <w:highlight w:val="none"/>
              </w:rPr>
            </w:pPr>
            <w:bookmarkStart w:id="14" w:name="_Toc19316"/>
            <w:r>
              <w:rPr>
                <w:rFonts w:hint="eastAsia" w:ascii="宋体" w:hAnsi="宋体" w:eastAsia="宋体" w:cs="宋体"/>
                <w:b/>
                <w:bCs/>
                <w:color w:val="auto"/>
                <w:sz w:val="21"/>
                <w:szCs w:val="21"/>
                <w:highlight w:val="none"/>
              </w:rPr>
              <w:t>需求名称</w:t>
            </w:r>
          </w:p>
        </w:tc>
        <w:tc>
          <w:tcPr>
            <w:tcW w:w="8173" w:type="dxa"/>
            <w:tcBorders>
              <w:tl2br w:val="nil"/>
              <w:tr2bl w:val="nil"/>
            </w:tcBorders>
            <w:shd w:val="clear" w:color="auto" w:fill="FFFFFF" w:themeFill="background1"/>
            <w:vAlign w:val="center"/>
          </w:tcPr>
          <w:p w14:paraId="74A2BAF1">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需求说明</w:t>
            </w:r>
          </w:p>
        </w:tc>
      </w:tr>
      <w:tr w14:paraId="38CE243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hemeFill="background1"/>
          <w:tblCellMar>
            <w:top w:w="15" w:type="dxa"/>
            <w:left w:w="15" w:type="dxa"/>
            <w:bottom w:w="15" w:type="dxa"/>
            <w:right w:w="15" w:type="dxa"/>
          </w:tblCellMar>
        </w:tblPrEx>
        <w:trPr>
          <w:trHeight w:val="90" w:hRule="atLeast"/>
          <w:tblCellSpacing w:w="0" w:type="dxa"/>
          <w:jc w:val="center"/>
        </w:trPr>
        <w:tc>
          <w:tcPr>
            <w:tcW w:w="1346" w:type="dxa"/>
            <w:tcBorders>
              <w:tl2br w:val="nil"/>
              <w:tr2bl w:val="nil"/>
            </w:tcBorders>
            <w:shd w:val="clear" w:color="auto" w:fill="FFFFFF" w:themeFill="background1"/>
            <w:vAlign w:val="center"/>
          </w:tcPr>
          <w:p w14:paraId="52DEA118">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工期</w:t>
            </w:r>
          </w:p>
        </w:tc>
        <w:tc>
          <w:tcPr>
            <w:tcW w:w="8173" w:type="dxa"/>
            <w:tcBorders>
              <w:tl2br w:val="nil"/>
              <w:tr2bl w:val="nil"/>
            </w:tcBorders>
            <w:shd w:val="clear" w:color="auto" w:fill="FFFFFF" w:themeFill="background1"/>
            <w:vAlign w:val="center"/>
          </w:tcPr>
          <w:p w14:paraId="5B2410DD">
            <w:pPr>
              <w:keepNext w:val="0"/>
              <w:keepLines w:val="0"/>
              <w:pageBreakBefore w:val="0"/>
              <w:tabs>
                <w:tab w:val="left" w:pos="709"/>
              </w:tabs>
              <w:kinsoku/>
              <w:wordWrap/>
              <w:overflowPunct/>
              <w:topLinePunct w:val="0"/>
              <w:bidi w:val="0"/>
              <w:spacing w:after="0" w:line="360" w:lineRule="auto"/>
              <w:ind w:left="0"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合同总工期数为</w:t>
            </w:r>
            <w:r>
              <w:rPr>
                <w:rFonts w:hint="eastAsia" w:ascii="宋体" w:hAnsi="宋体" w:eastAsia="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40</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个日历天（</w:t>
            </w:r>
            <w:bookmarkStart w:id="15" w:name="OLE_LINK2"/>
            <w:r>
              <w:rPr>
                <w:rFonts w:hint="eastAsia" w:ascii="宋体" w:hAnsi="宋体" w:eastAsia="宋体" w:cs="宋体"/>
                <w:color w:val="auto"/>
                <w:sz w:val="21"/>
                <w:szCs w:val="21"/>
                <w:highlight w:val="none"/>
              </w:rPr>
              <w:t>自</w:t>
            </w:r>
            <w:r>
              <w:rPr>
                <w:rFonts w:hint="eastAsia" w:ascii="宋体" w:hAnsi="宋体" w:eastAsia="宋体" w:cs="宋体"/>
                <w:color w:val="auto"/>
                <w:sz w:val="21"/>
                <w:szCs w:val="21"/>
                <w:highlight w:val="none"/>
                <w:lang w:val="en-US" w:eastAsia="zh-CN"/>
              </w:rPr>
              <w:t>采购人工程技术部</w:t>
            </w:r>
            <w:r>
              <w:rPr>
                <w:rFonts w:hint="eastAsia" w:ascii="宋体" w:hAnsi="宋体" w:eastAsia="宋体" w:cs="宋体"/>
                <w:color w:val="auto"/>
                <w:sz w:val="21"/>
                <w:szCs w:val="21"/>
                <w:highlight w:val="none"/>
              </w:rPr>
              <w:t>开</w:t>
            </w:r>
            <w:r>
              <w:rPr>
                <w:rFonts w:hint="eastAsia" w:ascii="宋体" w:hAnsi="宋体" w:eastAsia="宋体" w:cs="宋体"/>
                <w:color w:val="auto"/>
                <w:sz w:val="21"/>
                <w:szCs w:val="21"/>
                <w:highlight w:val="none"/>
                <w:lang w:val="en-US" w:eastAsia="zh-CN"/>
              </w:rPr>
              <w:t>工令</w:t>
            </w:r>
            <w:r>
              <w:rPr>
                <w:rFonts w:hint="eastAsia" w:ascii="宋体" w:hAnsi="宋体" w:eastAsia="宋体" w:cs="宋体"/>
                <w:color w:val="auto"/>
                <w:sz w:val="21"/>
                <w:szCs w:val="21"/>
                <w:highlight w:val="none"/>
              </w:rPr>
              <w:t>确定的日期起）</w:t>
            </w:r>
            <w:bookmarkEnd w:id="15"/>
            <w:r>
              <w:rPr>
                <w:rFonts w:hint="eastAsia" w:ascii="宋体" w:hAnsi="宋体" w:eastAsia="宋体" w:cs="宋体"/>
                <w:color w:val="auto"/>
                <w:sz w:val="21"/>
                <w:szCs w:val="21"/>
                <w:highlight w:val="none"/>
              </w:rPr>
              <w:t>。</w:t>
            </w:r>
          </w:p>
        </w:tc>
      </w:tr>
      <w:tr w14:paraId="4EF3C3C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hemeFill="background1"/>
          <w:tblCellMar>
            <w:top w:w="15" w:type="dxa"/>
            <w:left w:w="15" w:type="dxa"/>
            <w:bottom w:w="15" w:type="dxa"/>
            <w:right w:w="15" w:type="dxa"/>
          </w:tblCellMar>
        </w:tblPrEx>
        <w:trPr>
          <w:trHeight w:val="454" w:hRule="atLeast"/>
          <w:tblCellSpacing w:w="0" w:type="dxa"/>
          <w:jc w:val="center"/>
        </w:trPr>
        <w:tc>
          <w:tcPr>
            <w:tcW w:w="1346" w:type="dxa"/>
            <w:tcBorders>
              <w:tl2br w:val="nil"/>
              <w:tr2bl w:val="nil"/>
            </w:tcBorders>
            <w:shd w:val="clear" w:color="auto" w:fill="FFFFFF" w:themeFill="background1"/>
            <w:vAlign w:val="center"/>
          </w:tcPr>
          <w:p w14:paraId="247AA1BD">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项目地点</w:t>
            </w:r>
          </w:p>
        </w:tc>
        <w:tc>
          <w:tcPr>
            <w:tcW w:w="8173" w:type="dxa"/>
            <w:tcBorders>
              <w:tl2br w:val="nil"/>
              <w:tr2bl w:val="nil"/>
            </w:tcBorders>
            <w:shd w:val="clear" w:color="auto" w:fill="FFFFFF" w:themeFill="background1"/>
            <w:vAlign w:val="center"/>
          </w:tcPr>
          <w:p w14:paraId="0ADBAA39">
            <w:pPr>
              <w:keepNext w:val="0"/>
              <w:keepLines w:val="0"/>
              <w:pageBreakBefore w:val="0"/>
              <w:kinsoku/>
              <w:wordWrap/>
              <w:overflowPunct/>
              <w:topLinePunct w:val="0"/>
              <w:bidi w:val="0"/>
              <w:spacing w:after="0" w:line="360" w:lineRule="auto"/>
              <w:ind w:left="0"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采购人指定地点（如有变化另行确定）。</w:t>
            </w:r>
          </w:p>
        </w:tc>
      </w:tr>
      <w:tr w14:paraId="6641F1C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hemeFill="background1"/>
          <w:tblCellMar>
            <w:top w:w="15" w:type="dxa"/>
            <w:left w:w="15" w:type="dxa"/>
            <w:bottom w:w="15" w:type="dxa"/>
            <w:right w:w="15" w:type="dxa"/>
          </w:tblCellMar>
        </w:tblPrEx>
        <w:trPr>
          <w:trHeight w:val="454" w:hRule="atLeast"/>
          <w:tblCellSpacing w:w="0" w:type="dxa"/>
          <w:jc w:val="center"/>
        </w:trPr>
        <w:tc>
          <w:tcPr>
            <w:tcW w:w="1346" w:type="dxa"/>
            <w:tcBorders>
              <w:tl2br w:val="nil"/>
              <w:tr2bl w:val="nil"/>
            </w:tcBorders>
            <w:shd w:val="clear" w:color="auto" w:fill="FFFFFF" w:themeFill="background1"/>
            <w:vAlign w:val="center"/>
          </w:tcPr>
          <w:p w14:paraId="6A854F5A">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付款方式</w:t>
            </w:r>
          </w:p>
        </w:tc>
        <w:tc>
          <w:tcPr>
            <w:tcW w:w="8173" w:type="dxa"/>
            <w:tcBorders>
              <w:tl2br w:val="nil"/>
              <w:tr2bl w:val="nil"/>
            </w:tcBorders>
            <w:shd w:val="clear" w:color="auto" w:fill="FFFFFF" w:themeFill="background1"/>
            <w:vAlign w:val="center"/>
          </w:tcPr>
          <w:p w14:paraId="32CBC727">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1.</w:t>
            </w:r>
            <w:r>
              <w:rPr>
                <w:rFonts w:hint="eastAsia" w:ascii="宋体" w:hAnsi="宋体" w:eastAsia="宋体" w:cs="宋体"/>
                <w:color w:val="auto"/>
                <w:sz w:val="21"/>
                <w:szCs w:val="21"/>
                <w:highlight w:val="none"/>
                <w:lang w:val="en-US" w:eastAsia="zh-CN"/>
              </w:rPr>
              <w:t>预付款：</w:t>
            </w:r>
            <w:r>
              <w:rPr>
                <w:rFonts w:hint="eastAsia" w:ascii="宋体" w:hAnsi="宋体" w:eastAsia="宋体" w:cs="宋体"/>
                <w:color w:val="auto"/>
                <w:sz w:val="21"/>
                <w:szCs w:val="21"/>
                <w:highlight w:val="none"/>
                <w:lang w:eastAsia="zh-CN"/>
              </w:rPr>
              <w:t>自施工图纸经采购人审查确认且中标人获采购人</w:t>
            </w:r>
            <w:r>
              <w:rPr>
                <w:rFonts w:hint="eastAsia" w:ascii="宋体" w:hAnsi="宋体" w:eastAsia="宋体" w:cs="宋体"/>
                <w:color w:val="auto"/>
                <w:sz w:val="21"/>
                <w:szCs w:val="21"/>
                <w:highlight w:val="none"/>
                <w:lang w:val="en-US" w:eastAsia="zh-CN"/>
              </w:rPr>
              <w:t>工程技术部</w:t>
            </w:r>
            <w:r>
              <w:rPr>
                <w:rFonts w:hint="eastAsia" w:ascii="宋体" w:hAnsi="宋体" w:eastAsia="宋体" w:cs="宋体"/>
                <w:color w:val="auto"/>
                <w:sz w:val="21"/>
                <w:szCs w:val="21"/>
                <w:highlight w:val="none"/>
                <w:lang w:eastAsia="zh-CN"/>
              </w:rPr>
              <w:t>开工令之后,中标人可向采购人申请支付合同总金额的30%</w:t>
            </w:r>
            <w:r>
              <w:rPr>
                <w:rFonts w:hint="eastAsia" w:ascii="宋体" w:hAnsi="宋体" w:eastAsia="宋体" w:cs="宋体"/>
                <w:color w:val="auto"/>
                <w:sz w:val="21"/>
                <w:szCs w:val="21"/>
                <w:highlight w:val="none"/>
                <w:lang w:val="en-US" w:eastAsia="zh-CN"/>
              </w:rPr>
              <w:t>预付款</w:t>
            </w:r>
            <w:r>
              <w:rPr>
                <w:rFonts w:hint="eastAsia" w:ascii="宋体" w:hAnsi="宋体" w:eastAsia="宋体" w:cs="宋体"/>
                <w:color w:val="auto"/>
                <w:sz w:val="21"/>
                <w:szCs w:val="21"/>
                <w:highlight w:val="none"/>
              </w:rPr>
              <w:t>。</w:t>
            </w:r>
          </w:p>
          <w:p w14:paraId="2ED31DC8">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2.</w:t>
            </w:r>
            <w:r>
              <w:rPr>
                <w:rFonts w:hint="eastAsia" w:ascii="宋体" w:hAnsi="宋体" w:eastAsia="宋体" w:cs="宋体"/>
                <w:color w:val="auto"/>
                <w:sz w:val="21"/>
                <w:szCs w:val="21"/>
                <w:highlight w:val="none"/>
              </w:rPr>
              <w:t>进度款</w:t>
            </w:r>
            <w:r>
              <w:rPr>
                <w:rFonts w:hint="eastAsia" w:ascii="宋体" w:hAnsi="宋体" w:eastAsia="宋体" w:cs="宋体"/>
                <w:color w:val="auto"/>
                <w:sz w:val="21"/>
                <w:szCs w:val="21"/>
                <w:highlight w:val="none"/>
                <w:lang w:eastAsia="zh-CN"/>
              </w:rPr>
              <w:t>：中标人完成设备承台、电缆铺设施工、设备安装完毕后经双方书面确认完成该施工进度后，中标人可向采购人申请支付合同总金额的40%</w:t>
            </w:r>
            <w:r>
              <w:rPr>
                <w:rFonts w:hint="eastAsia" w:ascii="宋体" w:hAnsi="宋体" w:eastAsia="宋体" w:cs="宋体"/>
                <w:color w:val="auto"/>
                <w:sz w:val="21"/>
                <w:szCs w:val="21"/>
                <w:highlight w:val="none"/>
              </w:rPr>
              <w:t>进度款。</w:t>
            </w:r>
          </w:p>
          <w:p w14:paraId="2A215A47">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bidi="ar-SA"/>
              </w:rPr>
              <w:t>3.</w:t>
            </w:r>
            <w:r>
              <w:rPr>
                <w:rFonts w:hint="eastAsia" w:ascii="宋体" w:hAnsi="宋体" w:eastAsia="宋体" w:cs="宋体"/>
                <w:color w:val="auto"/>
                <w:sz w:val="21"/>
                <w:szCs w:val="21"/>
                <w:highlight w:val="none"/>
              </w:rPr>
              <w:t>竣工验收款</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lang w:val="en-US" w:eastAsia="zh-CN"/>
              </w:rPr>
              <w:t>完成并满足</w:t>
            </w:r>
            <w:r>
              <w:rPr>
                <w:rFonts w:hint="eastAsia" w:ascii="宋体" w:hAnsi="宋体" w:eastAsia="宋体" w:cs="宋体"/>
                <w:color w:val="auto"/>
                <w:sz w:val="21"/>
                <w:szCs w:val="21"/>
                <w:highlight w:val="none"/>
                <w:lang w:eastAsia="zh-CN"/>
              </w:rPr>
              <w:t>以下</w:t>
            </w:r>
            <w:r>
              <w:rPr>
                <w:rFonts w:hint="eastAsia" w:ascii="宋体" w:hAnsi="宋体" w:eastAsia="宋体" w:cs="宋体"/>
                <w:color w:val="auto"/>
                <w:sz w:val="21"/>
                <w:szCs w:val="21"/>
                <w:highlight w:val="none"/>
                <w:lang w:val="en-US" w:eastAsia="zh-CN"/>
              </w:rPr>
              <w:t>要求后</w:t>
            </w:r>
            <w:r>
              <w:rPr>
                <w:rFonts w:hint="eastAsia" w:ascii="宋体" w:hAnsi="宋体" w:eastAsia="宋体" w:cs="宋体"/>
                <w:color w:val="auto"/>
                <w:sz w:val="21"/>
                <w:szCs w:val="21"/>
                <w:highlight w:val="none"/>
                <w:lang w:eastAsia="zh-CN"/>
              </w:rPr>
              <w:t>可向采购人申请竣工验收款：</w:t>
            </w:r>
          </w:p>
          <w:p w14:paraId="2C49E33B">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bidi="ar-SA"/>
              </w:rPr>
              <w:t>（1）</w:t>
            </w:r>
            <w:r>
              <w:rPr>
                <w:rFonts w:hint="eastAsia" w:ascii="宋体" w:hAnsi="宋体" w:eastAsia="宋体" w:cs="宋体"/>
                <w:color w:val="auto"/>
                <w:sz w:val="21"/>
                <w:szCs w:val="21"/>
                <w:highlight w:val="none"/>
                <w:lang w:eastAsia="zh-CN"/>
              </w:rPr>
              <w:t>本项目需完成通电调试且系统试运行正常；</w:t>
            </w:r>
          </w:p>
          <w:p w14:paraId="0D55A53A">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420" w:firstLineChars="200"/>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bidi="ar-SA"/>
              </w:rPr>
              <w:t>（2）</w:t>
            </w:r>
            <w:r>
              <w:rPr>
                <w:rFonts w:hint="eastAsia" w:ascii="宋体" w:hAnsi="宋体" w:eastAsia="宋体" w:cs="宋体"/>
                <w:b w:val="0"/>
                <w:bCs w:val="0"/>
                <w:color w:val="auto"/>
                <w:sz w:val="21"/>
                <w:szCs w:val="21"/>
                <w:highlight w:val="none"/>
                <w:lang w:val="en-US" w:eastAsia="zh-CN"/>
              </w:rPr>
              <w:t>Modbus TCP协议及云平台对接要求：</w:t>
            </w:r>
            <w:r>
              <w:rPr>
                <w:rFonts w:hint="eastAsia" w:ascii="宋体" w:hAnsi="宋体" w:eastAsia="宋体" w:cs="宋体"/>
                <w:b w:val="0"/>
                <w:bCs w:val="0"/>
                <w:color w:val="auto"/>
                <w:sz w:val="21"/>
                <w:szCs w:val="21"/>
                <w:highlight w:val="none"/>
                <w:lang w:eastAsia="zh-CN"/>
              </w:rPr>
              <w:t>中标人</w:t>
            </w:r>
            <w:r>
              <w:rPr>
                <w:rFonts w:hint="eastAsia" w:ascii="宋体" w:hAnsi="宋体" w:eastAsia="宋体" w:cs="宋体"/>
                <w:b w:val="0"/>
                <w:bCs w:val="0"/>
                <w:color w:val="auto"/>
                <w:sz w:val="21"/>
                <w:szCs w:val="21"/>
                <w:highlight w:val="none"/>
                <w:lang w:val="en-US" w:eastAsia="zh-CN"/>
              </w:rPr>
              <w:t>的设备厂家需严格按照采购人提供的附件5</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M</w:t>
            </w:r>
            <w:bookmarkStart w:id="16" w:name="OLE_LINK5"/>
            <w:r>
              <w:rPr>
                <w:rFonts w:hint="eastAsia" w:ascii="宋体" w:hAnsi="宋体" w:eastAsia="宋体" w:cs="宋体"/>
                <w:b w:val="0"/>
                <w:bCs w:val="0"/>
                <w:color w:val="auto"/>
                <w:sz w:val="21"/>
                <w:szCs w:val="21"/>
                <w:highlight w:val="none"/>
                <w:lang w:val="en-US" w:eastAsia="zh-CN"/>
              </w:rPr>
              <w:t>odbus TCP规约点表</w:t>
            </w:r>
            <w:bookmarkEnd w:id="16"/>
            <w:r>
              <w:rPr>
                <w:rFonts w:hint="eastAsia" w:ascii="宋体" w:hAnsi="宋体" w:eastAsia="宋体" w:cs="宋体"/>
                <w:b w:val="0"/>
                <w:bCs w:val="0"/>
                <w:color w:val="auto"/>
                <w:sz w:val="21"/>
                <w:szCs w:val="21"/>
                <w:highlight w:val="none"/>
                <w:lang w:val="en-US" w:eastAsia="zh-CN"/>
              </w:rPr>
              <w:t>》完成本地数据释放，并配合采购人完成本地硬件安装，本项目在采购人自有云平台上线运行，需实现全部数据正确展示、各类控制功能正常执行；</w:t>
            </w:r>
          </w:p>
          <w:p w14:paraId="5FA389A6">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420" w:firstLineChars="200"/>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bidi="ar-SA"/>
              </w:rPr>
              <w:t>（3）</w:t>
            </w:r>
            <w:r>
              <w:rPr>
                <w:rFonts w:hint="eastAsia" w:ascii="宋体" w:hAnsi="宋体" w:eastAsia="宋体" w:cs="宋体"/>
                <w:b w:val="0"/>
                <w:bCs w:val="0"/>
                <w:color w:val="auto"/>
                <w:sz w:val="21"/>
                <w:szCs w:val="21"/>
                <w:highlight w:val="none"/>
                <w:lang w:eastAsia="zh-CN"/>
              </w:rPr>
              <w:t>采购人收到业主方第一个月的储能节能款；</w:t>
            </w:r>
          </w:p>
          <w:p w14:paraId="798820C7">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bidi="ar-SA"/>
              </w:rPr>
              <w:t>（4）</w:t>
            </w:r>
            <w:r>
              <w:rPr>
                <w:rFonts w:hint="eastAsia" w:ascii="宋体" w:hAnsi="宋体" w:eastAsia="宋体" w:cs="宋体"/>
                <w:color w:val="auto"/>
                <w:sz w:val="21"/>
                <w:szCs w:val="21"/>
                <w:highlight w:val="none"/>
                <w:lang w:eastAsia="zh-CN"/>
              </w:rPr>
              <w:t>中标人按采购人要求完成项目竣工资料并出具双方加盖公章的竣工验收合格报告。竣工款支付至总合同结算金额的97%。</w:t>
            </w:r>
          </w:p>
          <w:p w14:paraId="61E26A88">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4.</w:t>
            </w:r>
            <w:r>
              <w:rPr>
                <w:rFonts w:hint="eastAsia" w:ascii="宋体" w:hAnsi="宋体" w:eastAsia="宋体" w:cs="宋体"/>
                <w:color w:val="auto"/>
                <w:sz w:val="21"/>
                <w:szCs w:val="21"/>
                <w:highlight w:val="none"/>
              </w:rPr>
              <w:t>质保款</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剩余3%作为质保款，自</w:t>
            </w:r>
            <w:r>
              <w:rPr>
                <w:rFonts w:hint="eastAsia" w:ascii="宋体" w:hAnsi="宋体" w:eastAsia="宋体" w:cs="宋体"/>
                <w:color w:val="auto"/>
                <w:sz w:val="21"/>
                <w:szCs w:val="21"/>
                <w:highlight w:val="none"/>
                <w:lang w:val="en-US" w:eastAsia="zh-CN"/>
              </w:rPr>
              <w:t>验收通过</w:t>
            </w:r>
            <w:r>
              <w:rPr>
                <w:rFonts w:hint="eastAsia" w:ascii="宋体" w:hAnsi="宋体" w:eastAsia="宋体" w:cs="宋体"/>
                <w:color w:val="auto"/>
                <w:sz w:val="21"/>
                <w:szCs w:val="21"/>
                <w:highlight w:val="none"/>
              </w:rPr>
              <w:t>起</w:t>
            </w:r>
            <w:r>
              <w:rPr>
                <w:rFonts w:hint="eastAsia" w:ascii="宋体" w:hAnsi="宋体" w:eastAsia="宋体" w:cs="宋体"/>
                <w:color w:val="auto"/>
                <w:sz w:val="21"/>
                <w:szCs w:val="21"/>
                <w:highlight w:val="none"/>
                <w:u w:val="single"/>
              </w:rPr>
              <w:t xml:space="preserve"> 壹 </w:t>
            </w:r>
            <w:r>
              <w:rPr>
                <w:rFonts w:hint="eastAsia" w:ascii="宋体" w:hAnsi="宋体" w:eastAsia="宋体" w:cs="宋体"/>
                <w:color w:val="auto"/>
                <w:sz w:val="21"/>
                <w:szCs w:val="21"/>
                <w:highlight w:val="none"/>
              </w:rPr>
              <w:t>年质保期满后且</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不存在违约行为的前提下，由</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无息支付给</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w:t>
            </w:r>
          </w:p>
          <w:p w14:paraId="45E8846F">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5.</w:t>
            </w:r>
            <w:r>
              <w:rPr>
                <w:rFonts w:hint="eastAsia" w:ascii="宋体" w:hAnsi="宋体" w:eastAsia="宋体" w:cs="宋体"/>
                <w:color w:val="auto"/>
                <w:sz w:val="21"/>
                <w:szCs w:val="21"/>
                <w:highlight w:val="none"/>
              </w:rPr>
              <w:t xml:space="preserve"> 结算总价不得超过中标价。</w:t>
            </w:r>
          </w:p>
        </w:tc>
      </w:tr>
      <w:tr w14:paraId="14EEA63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hemeFill="background1"/>
          <w:tblCellMar>
            <w:top w:w="15" w:type="dxa"/>
            <w:left w:w="15" w:type="dxa"/>
            <w:bottom w:w="15" w:type="dxa"/>
            <w:right w:w="15" w:type="dxa"/>
          </w:tblCellMar>
        </w:tblPrEx>
        <w:trPr>
          <w:trHeight w:val="90" w:hRule="atLeast"/>
          <w:tblCellSpacing w:w="0" w:type="dxa"/>
          <w:jc w:val="center"/>
        </w:trPr>
        <w:tc>
          <w:tcPr>
            <w:tcW w:w="1346" w:type="dxa"/>
            <w:tcBorders>
              <w:tl2br w:val="nil"/>
              <w:tr2bl w:val="nil"/>
            </w:tcBorders>
            <w:shd w:val="clear" w:color="auto" w:fill="FFFFFF" w:themeFill="background1"/>
            <w:vAlign w:val="center"/>
          </w:tcPr>
          <w:p w14:paraId="6A6EFEE2">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质保期及售后服务</w:t>
            </w:r>
          </w:p>
        </w:tc>
        <w:tc>
          <w:tcPr>
            <w:tcW w:w="8173" w:type="dxa"/>
            <w:tcBorders>
              <w:tl2br w:val="nil"/>
              <w:tr2bl w:val="nil"/>
            </w:tcBorders>
            <w:shd w:val="clear" w:color="auto" w:fill="FFFFFF" w:themeFill="background1"/>
            <w:vAlign w:val="center"/>
          </w:tcPr>
          <w:p w14:paraId="7B960036">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1.</w:t>
            </w:r>
            <w:r>
              <w:rPr>
                <w:rFonts w:hint="eastAsia" w:ascii="宋体" w:hAnsi="宋体" w:eastAsia="宋体" w:cs="宋体"/>
                <w:color w:val="auto"/>
                <w:sz w:val="21"/>
                <w:szCs w:val="21"/>
                <w:highlight w:val="none"/>
              </w:rPr>
              <w:t>质量缺陷责任期：本工程施工保修期限为</w:t>
            </w:r>
            <w:r>
              <w:rPr>
                <w:rFonts w:hint="eastAsia" w:ascii="宋体" w:hAnsi="宋体" w:eastAsia="宋体" w:cs="宋体"/>
                <w:color w:val="auto"/>
                <w:sz w:val="21"/>
                <w:szCs w:val="21"/>
                <w:highlight w:val="none"/>
                <w:u w:val="single"/>
              </w:rPr>
              <w:t>壹</w:t>
            </w:r>
            <w:r>
              <w:rPr>
                <w:rFonts w:hint="eastAsia" w:ascii="宋体" w:hAnsi="宋体" w:eastAsia="宋体" w:cs="宋体"/>
                <w:color w:val="auto"/>
                <w:sz w:val="21"/>
                <w:szCs w:val="21"/>
                <w:highlight w:val="none"/>
              </w:rPr>
              <w:t>年，电化学储能设备整体保修期限为 5 年，电池系统寿命不少于 10 年或电池循环次数6500次，6500次循环剩余容量≧原始容量的70%且放电倍率0.5C，EOL≧70%（以先到为准），储能设备电芯参考品牌为</w:t>
            </w:r>
            <w:r>
              <w:rPr>
                <w:rFonts w:hint="eastAsia" w:ascii="宋体" w:hAnsi="宋体" w:cs="宋体"/>
                <w:color w:val="auto"/>
                <w:sz w:val="21"/>
                <w:szCs w:val="21"/>
                <w:highlight w:val="none"/>
                <w:lang w:eastAsia="zh-CN"/>
              </w:rPr>
              <w:t>宁德时代、比亚迪、亿纬锂能</w:t>
            </w:r>
            <w:r>
              <w:rPr>
                <w:rFonts w:hint="eastAsia" w:ascii="宋体" w:hAnsi="宋体" w:eastAsia="宋体" w:cs="宋体"/>
                <w:color w:val="auto"/>
                <w:sz w:val="21"/>
                <w:szCs w:val="21"/>
                <w:highlight w:val="none"/>
              </w:rPr>
              <w:t>等</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自工程竣工并经</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书面验收合格起算。保修期内，如出现相关质量异常或使用问题，</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应无偿进行维修处理。</w:t>
            </w:r>
          </w:p>
          <w:p w14:paraId="6855EE74">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2.</w:t>
            </w:r>
            <w:r>
              <w:rPr>
                <w:rFonts w:hint="eastAsia" w:ascii="宋体" w:hAnsi="宋体" w:eastAsia="宋体" w:cs="宋体"/>
                <w:color w:val="auto"/>
                <w:sz w:val="21"/>
                <w:szCs w:val="21"/>
                <w:highlight w:val="none"/>
              </w:rPr>
              <w:t>在免费保修期内，</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应保证通讯畅通，令</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能够随时同</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取得联系。</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在接到</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维修通知后24小时内到达现场并及时处理。如</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更换保修人员或联系电话，应及时通知</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。若因</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通讯不畅或故意不接，拖延推诿，</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将视为</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放弃保修责任，有权自行解决（包括聘请第三方维修等），由</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承担所有费用。</w:t>
            </w:r>
          </w:p>
          <w:p w14:paraId="43222C96">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3.</w:t>
            </w:r>
            <w:r>
              <w:rPr>
                <w:rFonts w:hint="eastAsia" w:ascii="宋体" w:hAnsi="宋体" w:eastAsia="宋体" w:cs="宋体"/>
                <w:color w:val="auto"/>
                <w:sz w:val="21"/>
                <w:szCs w:val="21"/>
                <w:highlight w:val="none"/>
              </w:rPr>
              <w:t>质保期内，如设备或零部件因非人为因素出现故障而造成短期停用时，则质保期和免费维修期相应顺延。如停用时间累计超过60天则质保期重新计算。</w:t>
            </w:r>
          </w:p>
          <w:p w14:paraId="4733976B">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4.</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应建立并实施符合工程各项要求的质量管理体系，如因</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原因，使得项目工作受到影响，相应责任由</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承担；</w:t>
            </w:r>
          </w:p>
          <w:p w14:paraId="608AC7A8">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5.</w:t>
            </w:r>
            <w:r>
              <w:rPr>
                <w:rFonts w:hint="eastAsia" w:ascii="宋体" w:hAnsi="宋体" w:eastAsia="宋体" w:cs="宋体"/>
                <w:color w:val="auto"/>
                <w:sz w:val="21"/>
                <w:szCs w:val="21"/>
                <w:highlight w:val="none"/>
              </w:rPr>
              <w:t>采购人有权在工作时间内进入</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的工作地点对其文件和设施实行与合同有关的质保监查，以便监查其质保手册，质量计划及其它与质量相关的文件的实施情况。</w:t>
            </w:r>
          </w:p>
          <w:p w14:paraId="04D88898">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20" w:firstLineChars="20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bidi="ar-SA"/>
              </w:rPr>
              <w:t>6.</w:t>
            </w:r>
            <w:r>
              <w:rPr>
                <w:rFonts w:hint="eastAsia" w:ascii="宋体" w:hAnsi="宋体" w:eastAsia="宋体" w:cs="宋体"/>
                <w:color w:val="auto"/>
                <w:sz w:val="21"/>
                <w:szCs w:val="21"/>
                <w:highlight w:val="none"/>
              </w:rPr>
              <w:t>对采购人的服务通知，</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在接报后1小时内响应，4小时内到达现场，48小时内处理完毕。若在48小时内仍未能有效解决，</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须免费提供同档次的设备予采购人临时使用。</w:t>
            </w:r>
          </w:p>
        </w:tc>
      </w:tr>
      <w:tr w14:paraId="251D353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hemeFill="background1"/>
          <w:tblCellMar>
            <w:top w:w="15" w:type="dxa"/>
            <w:left w:w="15" w:type="dxa"/>
            <w:bottom w:w="15" w:type="dxa"/>
            <w:right w:w="15" w:type="dxa"/>
          </w:tblCellMar>
        </w:tblPrEx>
        <w:trPr>
          <w:trHeight w:val="400" w:hRule="atLeast"/>
          <w:tblCellSpacing w:w="0" w:type="dxa"/>
          <w:jc w:val="center"/>
        </w:trPr>
        <w:tc>
          <w:tcPr>
            <w:tcW w:w="1346" w:type="dxa"/>
            <w:tcBorders>
              <w:tl2br w:val="nil"/>
              <w:tr2bl w:val="nil"/>
            </w:tcBorders>
            <w:shd w:val="clear" w:color="auto" w:fill="FFFFFF" w:themeFill="background1"/>
            <w:vAlign w:val="center"/>
          </w:tcPr>
          <w:p w14:paraId="28CB0363">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验收要求</w:t>
            </w:r>
          </w:p>
        </w:tc>
        <w:tc>
          <w:tcPr>
            <w:tcW w:w="8173" w:type="dxa"/>
            <w:tcBorders>
              <w:tl2br w:val="nil"/>
              <w:tr2bl w:val="nil"/>
            </w:tcBorders>
            <w:shd w:val="clear" w:color="auto" w:fill="FFFFFF" w:themeFill="background1"/>
            <w:vAlign w:val="center"/>
          </w:tcPr>
          <w:p w14:paraId="2F6311BF">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00" w:firstLineChars="200"/>
              <w:jc w:val="both"/>
              <w:textAlignment w:val="auto"/>
              <w:rPr>
                <w:rFonts w:hint="eastAsia" w:ascii="宋体" w:hAnsi="宋体" w:eastAsia="宋体" w:cs="宋体"/>
                <w:color w:val="auto"/>
                <w:sz w:val="21"/>
                <w:szCs w:val="21"/>
                <w:highlight w:val="none"/>
              </w:rPr>
            </w:pPr>
            <w:r>
              <w:rPr>
                <w:rFonts w:hint="default" w:ascii="宋体" w:hAnsi="宋体" w:eastAsia="宋体" w:cs="宋体"/>
                <w:color w:val="auto"/>
                <w:sz w:val="20"/>
                <w:szCs w:val="20"/>
                <w:highlight w:val="none"/>
                <w:lang w:val="en-US" w:eastAsia="zh-CN" w:bidi="ar-SA"/>
              </w:rPr>
              <w:t>1.</w:t>
            </w:r>
            <w:r>
              <w:rPr>
                <w:rFonts w:hint="eastAsia" w:ascii="宋体" w:hAnsi="宋体" w:eastAsia="宋体" w:cs="宋体"/>
                <w:color w:val="auto"/>
                <w:sz w:val="21"/>
                <w:szCs w:val="21"/>
                <w:highlight w:val="none"/>
              </w:rPr>
              <w:t>工程具备隐蔽条件，</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先进行自检，并在隐蔽工程验收前 24 小时通知</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验收。验收合格，</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现场代表在验收记录上签字后，承包人可进行隐蔽工程继续施工。验收不合格，</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予以整改后再交由</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重新验收。</w:t>
            </w:r>
          </w:p>
          <w:p w14:paraId="47E28FE6">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00" w:firstLineChars="200"/>
              <w:jc w:val="both"/>
              <w:textAlignment w:val="auto"/>
              <w:rPr>
                <w:rFonts w:hint="eastAsia" w:ascii="宋体" w:hAnsi="宋体" w:eastAsia="宋体" w:cs="宋体"/>
                <w:color w:val="auto"/>
                <w:sz w:val="21"/>
                <w:szCs w:val="21"/>
                <w:highlight w:val="none"/>
              </w:rPr>
            </w:pPr>
            <w:r>
              <w:rPr>
                <w:rFonts w:hint="default" w:ascii="宋体" w:hAnsi="宋体" w:eastAsia="宋体" w:cs="宋体"/>
                <w:color w:val="auto"/>
                <w:sz w:val="20"/>
                <w:szCs w:val="20"/>
                <w:highlight w:val="none"/>
                <w:lang w:val="en-US" w:eastAsia="zh-CN" w:bidi="ar-SA"/>
              </w:rPr>
              <w:t>2.</w:t>
            </w:r>
            <w:r>
              <w:rPr>
                <w:rFonts w:hint="eastAsia" w:ascii="宋体" w:hAnsi="宋体" w:eastAsia="宋体" w:cs="宋体"/>
                <w:color w:val="auto"/>
                <w:sz w:val="21"/>
                <w:szCs w:val="21"/>
                <w:highlight w:val="none"/>
              </w:rPr>
              <w:t>工程具备竣工验收条件，</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向</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提供完整竣工资料及竣工验收报告，包含：竣工图、有资质公司设计盖章图和现场签证单（如有）等。 验收合格的，双方进行交接，验收不合格的，</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应及时返工，费用由</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自行承担，返工导致工期延误的，</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应承担相应的违约责任。由于</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原因造成质量事故，其返工费用由</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承担，工期不变。</w:t>
            </w:r>
          </w:p>
          <w:p w14:paraId="698BD4B1">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00" w:firstLineChars="200"/>
              <w:jc w:val="both"/>
              <w:textAlignment w:val="auto"/>
              <w:rPr>
                <w:rFonts w:hint="eastAsia" w:ascii="宋体" w:hAnsi="宋体" w:eastAsia="宋体" w:cs="宋体"/>
                <w:color w:val="auto"/>
                <w:sz w:val="21"/>
                <w:szCs w:val="21"/>
                <w:highlight w:val="none"/>
              </w:rPr>
            </w:pPr>
            <w:r>
              <w:rPr>
                <w:rFonts w:hint="default" w:ascii="宋体" w:hAnsi="宋体" w:eastAsia="宋体" w:cs="宋体"/>
                <w:color w:val="auto"/>
                <w:sz w:val="20"/>
                <w:szCs w:val="20"/>
                <w:highlight w:val="none"/>
                <w:lang w:val="en-US" w:eastAsia="zh-CN" w:bidi="ar-SA"/>
              </w:rPr>
              <w:t>3.</w:t>
            </w:r>
            <w:r>
              <w:rPr>
                <w:rFonts w:hint="eastAsia" w:ascii="宋体" w:hAnsi="宋体" w:eastAsia="宋体" w:cs="宋体"/>
                <w:color w:val="auto"/>
                <w:sz w:val="21"/>
                <w:szCs w:val="21"/>
                <w:highlight w:val="none"/>
              </w:rPr>
              <w:t>经双方特别提出并约定，</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应当在合同工程通过竣工验收后90日内为</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完成合同工程中低压工程部分的并网申请工作直至最终完成低压并网，否则</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有权不支付验收款及其他任何款项。同时，需要特别明确的是，因工程发包的不可分割性（低压并网和低压接入并存的接入方式）及基于支付风险的商业考量和违约责任分配，</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清晰知晓并承诺：在合同所涉低压工程成功并网前，即使</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已对合同工程完成竣工验收或已实际使用工程中的非低压工程部分，</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仍无权要求</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就合同工程的整体或单独部分（无论该单独部分是否可独立核算）支付验收款及其他任何款项。除此之外，</w:t>
            </w:r>
            <w:r>
              <w:rPr>
                <w:rFonts w:hint="eastAsia" w:ascii="宋体" w:hAnsi="宋体" w:eastAsia="宋体" w:cs="宋体"/>
                <w:color w:val="auto"/>
                <w:sz w:val="21"/>
                <w:szCs w:val="21"/>
                <w:highlight w:val="none"/>
                <w:lang w:eastAsia="zh-CN"/>
              </w:rPr>
              <w:t>中标人</w:t>
            </w:r>
            <w:r>
              <w:rPr>
                <w:rFonts w:hint="eastAsia" w:ascii="宋体" w:hAnsi="宋体" w:eastAsia="宋体" w:cs="宋体"/>
                <w:color w:val="auto"/>
                <w:sz w:val="21"/>
                <w:szCs w:val="21"/>
                <w:highlight w:val="none"/>
              </w:rPr>
              <w:t>清晰知晓因低压工程并网所产生的一切费用（包括但不限于设备整改费用、检验报告出具费用、因并网所产生的各单位协调费用等各费用）均由其自行承担。</w:t>
            </w:r>
          </w:p>
          <w:p w14:paraId="6DF6181E">
            <w:pPr>
              <w:keepNext w:val="0"/>
              <w:keepLines w:val="0"/>
              <w:pageBreakBefore w:val="0"/>
              <w:widowControl w:val="0"/>
              <w:numPr>
                <w:ilvl w:val="0"/>
                <w:numId w:val="0"/>
              </w:numPr>
              <w:kinsoku/>
              <w:wordWrap/>
              <w:overflowPunct/>
              <w:topLinePunct w:val="0"/>
              <w:bidi w:val="0"/>
              <w:adjustRightInd/>
              <w:snapToGrid/>
              <w:spacing w:after="0" w:line="360" w:lineRule="auto"/>
              <w:ind w:left="0" w:leftChars="0" w:firstLine="400" w:firstLineChars="200"/>
              <w:jc w:val="both"/>
              <w:textAlignment w:val="auto"/>
              <w:rPr>
                <w:rFonts w:hint="eastAsia" w:ascii="宋体" w:hAnsi="宋体" w:eastAsia="宋体" w:cs="宋体"/>
                <w:color w:val="auto"/>
                <w:sz w:val="21"/>
                <w:szCs w:val="21"/>
                <w:highlight w:val="none"/>
              </w:rPr>
            </w:pPr>
            <w:r>
              <w:rPr>
                <w:rFonts w:hint="default" w:ascii="宋体" w:hAnsi="宋体" w:eastAsia="宋体" w:cs="宋体"/>
                <w:color w:val="auto"/>
                <w:sz w:val="20"/>
                <w:szCs w:val="20"/>
                <w:highlight w:val="none"/>
                <w:lang w:val="en-US" w:eastAsia="zh-CN" w:bidi="ar-SA"/>
              </w:rPr>
              <w:t>4.</w:t>
            </w:r>
            <w:r>
              <w:rPr>
                <w:rFonts w:hint="eastAsia" w:ascii="宋体" w:hAnsi="宋体" w:eastAsia="宋体" w:cs="宋体"/>
                <w:color w:val="auto"/>
                <w:sz w:val="21"/>
                <w:szCs w:val="21"/>
                <w:highlight w:val="none"/>
              </w:rPr>
              <w:t>工程质量满足：电力行业相关制度标准、国标以及该项目签署的《技术协议》要求见附件：技术协议。</w:t>
            </w:r>
          </w:p>
        </w:tc>
      </w:tr>
      <w:tr w14:paraId="54B2B01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hemeFill="background1"/>
          <w:tblCellMar>
            <w:top w:w="15" w:type="dxa"/>
            <w:left w:w="15" w:type="dxa"/>
            <w:bottom w:w="15" w:type="dxa"/>
            <w:right w:w="15" w:type="dxa"/>
          </w:tblCellMar>
        </w:tblPrEx>
        <w:trPr>
          <w:trHeight w:val="145" w:hRule="atLeast"/>
          <w:tblCellSpacing w:w="0" w:type="dxa"/>
          <w:jc w:val="center"/>
        </w:trPr>
        <w:tc>
          <w:tcPr>
            <w:tcW w:w="1346" w:type="dxa"/>
            <w:tcBorders>
              <w:tl2br w:val="nil"/>
              <w:tr2bl w:val="nil"/>
            </w:tcBorders>
            <w:shd w:val="clear" w:color="auto" w:fill="FFFFFF" w:themeFill="background1"/>
            <w:vAlign w:val="center"/>
          </w:tcPr>
          <w:p w14:paraId="2FDDEDD9">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报价方式及要求</w:t>
            </w:r>
          </w:p>
        </w:tc>
        <w:tc>
          <w:tcPr>
            <w:tcW w:w="8173" w:type="dxa"/>
            <w:tcBorders>
              <w:tl2br w:val="nil"/>
              <w:tr2bl w:val="nil"/>
            </w:tcBorders>
            <w:shd w:val="clear" w:color="auto" w:fill="FFFFFF" w:themeFill="background1"/>
            <w:vAlign w:val="center"/>
          </w:tcPr>
          <w:p w14:paraId="2D4C384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2" w:firstLineChars="200"/>
              <w:jc w:val="both"/>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1.本次采购总容量为</w:t>
            </w:r>
            <w:r>
              <w:rPr>
                <w:rFonts w:hint="eastAsia" w:ascii="宋体" w:hAnsi="宋体" w:cs="宋体"/>
                <w:b/>
                <w:bCs/>
                <w:color w:val="auto"/>
                <w:kern w:val="2"/>
                <w:sz w:val="21"/>
                <w:szCs w:val="21"/>
                <w:highlight w:val="none"/>
                <w:lang w:val="en-US" w:eastAsia="zh-CN" w:bidi="ar-SA"/>
              </w:rPr>
              <w:t>625kW/2500kWh，</w:t>
            </w:r>
            <w:r>
              <w:rPr>
                <w:rFonts w:hint="eastAsia" w:ascii="宋体" w:hAnsi="宋体" w:eastAsia="宋体" w:cs="宋体"/>
                <w:b/>
                <w:bCs/>
                <w:color w:val="auto"/>
                <w:kern w:val="2"/>
                <w:sz w:val="21"/>
                <w:szCs w:val="21"/>
                <w:highlight w:val="none"/>
                <w:lang w:val="en-US" w:eastAsia="zh-CN" w:bidi="ar-SA"/>
              </w:rPr>
              <w:t>本项目报价采用单价报价，最高限价为</w:t>
            </w:r>
            <w:r>
              <w:rPr>
                <w:rFonts w:hint="eastAsia" w:ascii="宋体" w:hAnsi="宋体" w:cs="宋体"/>
                <w:b/>
                <w:bCs/>
                <w:color w:val="auto"/>
                <w:kern w:val="2"/>
                <w:sz w:val="21"/>
                <w:szCs w:val="21"/>
                <w:highlight w:val="none"/>
                <w:lang w:val="en-US" w:eastAsia="zh-CN" w:bidi="ar-SA"/>
              </w:rPr>
              <w:t>1060元/kWh，</w:t>
            </w:r>
            <w:r>
              <w:rPr>
                <w:rFonts w:hint="eastAsia" w:ascii="宋体" w:hAnsi="宋体" w:eastAsia="宋体" w:cs="宋体"/>
                <w:b/>
                <w:bCs/>
                <w:color w:val="auto"/>
                <w:kern w:val="2"/>
                <w:sz w:val="21"/>
                <w:szCs w:val="21"/>
                <w:highlight w:val="none"/>
                <w:lang w:val="en-US" w:eastAsia="zh-CN" w:bidi="ar-SA"/>
              </w:rPr>
              <w:t>最终结算以第三方设计单位所设计的容量为准；最终设计的容量偏差≤预算容量的10%（如遇现场位置不能满足设计要求，容量缩减不受降低容量偏差限制），超出部分不做结算。</w:t>
            </w:r>
          </w:p>
          <w:p w14:paraId="39BACC6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报价要求：包括但不限于项目的供货、建安费、垃圾清运费、安装、测试、验收直至取得验收合格证明文件及材料价之任何市场差价、管理费、综合费率、保险费、利润和国家规定的应由中标人承担的任何收费、税金、必须的加班费、费率或汇率的变动、专利费、运输、货品迟到工地的窝工费等直至交付采购人正常使用的所有费用；中标人根据项目中标金额及项目需求进行施工，建安费等费用不可超过本项目中标价。中标人施工图预算超出本项目中标价的，中标人须无偿为采购人修改施工图纸，直至采购人审定的施工图预算不超过本项目预算金额。双方约定条件范围内包工包料、包各项税费、材料购置费、安装费、运输费、装卸费、人工费、项目开工前需安装摄像头监控系统，包安全文明施工措施费、相关部门监督验收及合同实施过程中不可预见费用等中标人为履行本合同所发生的一切费用。</w:t>
            </w:r>
          </w:p>
        </w:tc>
      </w:tr>
      <w:tr w14:paraId="7CB888F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hemeFill="background1"/>
          <w:tblCellMar>
            <w:top w:w="15" w:type="dxa"/>
            <w:left w:w="15" w:type="dxa"/>
            <w:bottom w:w="15" w:type="dxa"/>
            <w:right w:w="15" w:type="dxa"/>
          </w:tblCellMar>
        </w:tblPrEx>
        <w:trPr>
          <w:trHeight w:val="1827" w:hRule="atLeast"/>
          <w:tblCellSpacing w:w="0" w:type="dxa"/>
          <w:jc w:val="center"/>
        </w:trPr>
        <w:tc>
          <w:tcPr>
            <w:tcW w:w="1346" w:type="dxa"/>
            <w:tcBorders>
              <w:tl2br w:val="nil"/>
              <w:tr2bl w:val="nil"/>
            </w:tcBorders>
            <w:shd w:val="clear" w:color="auto" w:fill="FFFFFF" w:themeFill="background1"/>
            <w:vAlign w:val="center"/>
          </w:tcPr>
          <w:p w14:paraId="0EA41ADB">
            <w:pPr>
              <w:spacing w:after="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合同签订说明</w:t>
            </w:r>
          </w:p>
        </w:tc>
        <w:tc>
          <w:tcPr>
            <w:tcW w:w="8173" w:type="dxa"/>
            <w:tcBorders>
              <w:tl2br w:val="nil"/>
              <w:tr2bl w:val="nil"/>
            </w:tcBorders>
            <w:shd w:val="clear" w:color="auto" w:fill="FFFFFF" w:themeFill="background1"/>
            <w:vAlign w:val="center"/>
          </w:tcPr>
          <w:p w14:paraId="13AE771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中标通知书发出之日起30个日历天内，按照招标文件和投标文件的约定，与采购人签订书面合同，所签订的合同不得对招标文件确定的事项和投标文件已承诺的内容作实质性修改，中标人不得向采购人提出任何不合理的要求作为签订合同的条件，中标人无正当理由拒签合同的，</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有权取消其中标资格。</w:t>
            </w:r>
          </w:p>
        </w:tc>
      </w:tr>
      <w:tr w14:paraId="0F54384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hemeFill="background1"/>
          <w:tblCellMar>
            <w:top w:w="15" w:type="dxa"/>
            <w:left w:w="15" w:type="dxa"/>
            <w:bottom w:w="15" w:type="dxa"/>
            <w:right w:w="15" w:type="dxa"/>
          </w:tblCellMar>
        </w:tblPrEx>
        <w:trPr>
          <w:trHeight w:val="454" w:hRule="atLeast"/>
          <w:tblCellSpacing w:w="0" w:type="dxa"/>
          <w:jc w:val="center"/>
        </w:trPr>
        <w:tc>
          <w:tcPr>
            <w:tcW w:w="1346" w:type="dxa"/>
            <w:tcBorders>
              <w:tl2br w:val="nil"/>
              <w:tr2bl w:val="nil"/>
            </w:tcBorders>
            <w:shd w:val="clear" w:color="auto" w:fill="FFFFFF" w:themeFill="background1"/>
            <w:vAlign w:val="center"/>
          </w:tcPr>
          <w:p w14:paraId="3A6C903F">
            <w:pPr>
              <w:spacing w:after="0" w:line="240" w:lineRule="auto"/>
              <w:jc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color w:val="auto"/>
                <w:kern w:val="2"/>
                <w:sz w:val="21"/>
                <w:szCs w:val="21"/>
                <w:highlight w:val="none"/>
                <w:lang w:val="en-US" w:eastAsia="zh-CN" w:bidi="ar-SA"/>
              </w:rPr>
              <w:t>★</w:t>
            </w:r>
            <w:r>
              <w:rPr>
                <w:rFonts w:hint="eastAsia" w:ascii="宋体" w:hAnsi="宋体" w:cs="宋体"/>
                <w:b/>
                <w:bCs/>
                <w:color w:val="auto"/>
                <w:sz w:val="21"/>
                <w:szCs w:val="21"/>
                <w:highlight w:val="none"/>
                <w:lang w:val="en-US" w:eastAsia="zh-CN"/>
              </w:rPr>
              <w:t>其他要求</w:t>
            </w:r>
          </w:p>
        </w:tc>
        <w:tc>
          <w:tcPr>
            <w:tcW w:w="8173" w:type="dxa"/>
            <w:tcBorders>
              <w:tl2br w:val="nil"/>
              <w:tr2bl w:val="nil"/>
            </w:tcBorders>
            <w:shd w:val="clear" w:color="auto" w:fill="FFFFFF" w:themeFill="background1"/>
            <w:vAlign w:val="center"/>
          </w:tcPr>
          <w:p w14:paraId="11E8F46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一、响应要求</w:t>
            </w:r>
          </w:p>
          <w:p w14:paraId="1131F42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投标人在投标文件必须承诺:为保证产品来源的合法性和可靠性及兼容性,如中标，在采购结果公示后主动向采购人提供所投设备的设备厂家的原厂制造商授权书和售后服务函、原厂技术参数响应表(加盖制造商公章)、提供所投设备(如采购人要求)的相关证书、或检测报告等证明材料原件给予采购人审查，以确保采购人的正常利益。如有虚假应标将上报相关部门处理。</w:t>
            </w:r>
          </w:p>
          <w:p w14:paraId="5E61982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2、投标人需对提交资料真实性负责，如提交虚假材料谋取中标，一经发现，采购人有权暂停签订合同，并将报市政府采购监管部门进行处理，由此引发的所有损失由中标人负责，并追究其违规责任。</w:t>
            </w:r>
          </w:p>
          <w:p w14:paraId="316B184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3、项目采用磷酸铁锂电池(行业主流安全技术)，通过国家权威机构认证(如 UL、CE、GB/T等)，具备防过充、过放、短路等多重保护机制，优先选用国优一线品牌。</w:t>
            </w:r>
          </w:p>
          <w:p w14:paraId="42F4FA5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4、储能设备配备稳定可靠的气体自动灭火系统，同时柜体覆盖了一层阻燃保温层，最大程度上减小火灾的扩散。</w:t>
            </w:r>
          </w:p>
          <w:p w14:paraId="5C160E9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5、设备布局严格遵循消防规范，配备防火墙、自动灭火装置及独立通风系统;施工过程由专业团队执行，严格按照行业规范及企业安全管理要求;</w:t>
            </w:r>
          </w:p>
          <w:p w14:paraId="130472E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6、采取线上+线下的安全运营策略，线上管理平台系统 24小时实时监控储能系统内部的温度、压力、电流、烟雾浓度等信息，异常情况自动预警并启动消防联动，同时中标供应商需安排安全运维人员到运营项目做定期的维保，确保风险“早发现、早处宜”。</w:t>
            </w:r>
          </w:p>
          <w:p w14:paraId="472B25CE">
            <w:pPr>
              <w:pStyle w:val="2"/>
              <w:rPr>
                <w:rFonts w:hint="eastAsia" w:ascii="宋体" w:hAnsi="宋体" w:cs="宋体"/>
                <w:b w:val="0"/>
                <w:bCs w:val="0"/>
                <w:color w:val="auto"/>
                <w:kern w:val="2"/>
                <w:sz w:val="21"/>
                <w:szCs w:val="21"/>
                <w:highlight w:val="none"/>
                <w:lang w:val="en-US" w:eastAsia="zh-CN" w:bidi="ar-SA"/>
              </w:rPr>
            </w:pPr>
            <w:r>
              <w:rPr>
                <w:rFonts w:hint="eastAsia" w:ascii="宋体" w:hAnsi="宋体" w:cs="宋体"/>
                <w:b w:val="0"/>
                <w:bCs w:val="0"/>
                <w:color w:val="auto"/>
                <w:kern w:val="2"/>
                <w:sz w:val="21"/>
                <w:szCs w:val="21"/>
                <w:highlight w:val="none"/>
                <w:lang w:val="en-US" w:eastAsia="zh-CN" w:bidi="ar-SA"/>
              </w:rPr>
              <w:t>二、承诺要求</w:t>
            </w:r>
          </w:p>
          <w:p w14:paraId="3C30F65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1.★Modbus TCP协议及云平台对接要求：投标人须承诺无偏离响应并执行达到附件5《Modbus TCP规约点表》的要求，包含：地址规划、系统数据、PCS、电堆、电池簇、单体电压、单体温度、电表数据、空调数据、液冷数据、遥控遥调、PCS故障字解析表、BMS报警码解析表、空调故障字解析表、液冷故障字解析表。（须提供承诺函，格式详见“第六部分附件－投标文件格式”）</w:t>
            </w:r>
          </w:p>
        </w:tc>
      </w:tr>
    </w:tbl>
    <w:p w14:paraId="6FD48CBE">
      <w:pPr>
        <w:rPr>
          <w:rFonts w:hint="eastAsia" w:ascii="宋体" w:hAnsi="宋体"/>
          <w:color w:val="auto"/>
          <w:highlight w:val="none"/>
        </w:rPr>
      </w:pPr>
    </w:p>
    <w:p w14:paraId="7A93A6E1">
      <w:pPr>
        <w:rPr>
          <w:rFonts w:hint="eastAsia" w:ascii="宋体" w:hAnsi="宋体"/>
          <w:color w:val="auto"/>
          <w:highlight w:val="none"/>
        </w:rPr>
      </w:pPr>
      <w:bookmarkStart w:id="17" w:name="_Toc182307972"/>
      <w:r>
        <w:rPr>
          <w:rFonts w:hint="eastAsia" w:ascii="宋体" w:hAnsi="宋体"/>
          <w:color w:val="auto"/>
          <w:highlight w:val="none"/>
        </w:rPr>
        <w:br w:type="page"/>
      </w:r>
    </w:p>
    <w:p w14:paraId="39F7690E">
      <w:pPr>
        <w:pStyle w:val="7"/>
        <w:spacing w:before="0" w:after="0" w:line="360" w:lineRule="auto"/>
        <w:jc w:val="center"/>
        <w:rPr>
          <w:color w:val="auto"/>
          <w:highlight w:val="none"/>
        </w:rPr>
      </w:pPr>
      <w:r>
        <w:rPr>
          <w:rFonts w:hint="eastAsia" w:ascii="宋体" w:hAnsi="宋体"/>
          <w:color w:val="auto"/>
          <w:highlight w:val="none"/>
        </w:rPr>
        <w:t>第二章 技术需求书</w:t>
      </w:r>
      <w:bookmarkEnd w:id="14"/>
      <w:bookmarkEnd w:id="17"/>
    </w:p>
    <w:bookmarkEnd w:id="9"/>
    <w:bookmarkEnd w:id="10"/>
    <w:bookmarkEnd w:id="11"/>
    <w:bookmarkEnd w:id="12"/>
    <w:bookmarkEnd w:id="13"/>
    <w:p w14:paraId="6F6B618E">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bCs/>
          <w:color w:val="auto"/>
          <w:sz w:val="24"/>
          <w:szCs w:val="24"/>
          <w:highlight w:val="none"/>
          <w:lang w:eastAsia="zh-CN"/>
        </w:rPr>
      </w:pPr>
      <w:r>
        <w:rPr>
          <w:rFonts w:hint="eastAsia" w:ascii="宋体" w:hAnsi="宋体" w:eastAsia="宋体" w:cs="宋体"/>
          <w:b/>
          <w:color w:val="auto"/>
          <w:sz w:val="24"/>
          <w:szCs w:val="24"/>
          <w:highlight w:val="none"/>
          <w:lang w:val="en-US" w:eastAsia="zh-CN" w:bidi="ar-SA"/>
        </w:rPr>
        <w:t>一、</w:t>
      </w:r>
      <w:r>
        <w:rPr>
          <w:rFonts w:hint="eastAsia" w:ascii="宋体" w:hAnsi="宋体" w:eastAsia="宋体" w:cs="宋体"/>
          <w:b/>
          <w:bCs/>
          <w:color w:val="auto"/>
          <w:sz w:val="24"/>
          <w:szCs w:val="24"/>
          <w:highlight w:val="none"/>
        </w:rPr>
        <w:t>项目名称</w:t>
      </w:r>
    </w:p>
    <w:p w14:paraId="0BBF83CE">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420" w:firstLineChars="200"/>
        <w:jc w:val="both"/>
        <w:textAlignment w:val="auto"/>
        <w:rPr>
          <w:rFonts w:hint="eastAsia" w:ascii="宋体" w:hAnsi="宋体" w:cs="宋体"/>
          <w:b w:val="0"/>
          <w:bCs w:val="0"/>
          <w:color w:val="auto"/>
          <w:sz w:val="21"/>
          <w:szCs w:val="21"/>
          <w:highlight w:val="none"/>
          <w:lang w:eastAsia="zh-CN"/>
        </w:rPr>
      </w:pPr>
      <w:r>
        <w:rPr>
          <w:rFonts w:hint="eastAsia" w:ascii="宋体" w:hAnsi="宋体" w:cs="宋体"/>
          <w:b w:val="0"/>
          <w:bCs w:val="0"/>
          <w:color w:val="auto"/>
          <w:sz w:val="21"/>
          <w:szCs w:val="21"/>
          <w:highlight w:val="none"/>
          <w:lang w:eastAsia="zh-CN"/>
        </w:rPr>
        <w:t>东莞市建冠物业投资有限公司625kW/2500kWh用户侧储能项目</w:t>
      </w:r>
    </w:p>
    <w:p w14:paraId="2BB52C53">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二、项目概况</w:t>
      </w:r>
    </w:p>
    <w:p w14:paraId="63E77B9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bookmarkStart w:id="18" w:name="_Toc7598"/>
      <w:r>
        <w:rPr>
          <w:rFonts w:hint="default" w:ascii="宋体" w:hAnsi="宋体" w:eastAsia="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项目公司：</w:t>
      </w:r>
      <w:r>
        <w:rPr>
          <w:rFonts w:hint="eastAsia" w:ascii="宋体" w:hAnsi="宋体" w:cs="宋体"/>
          <w:b w:val="0"/>
          <w:bCs w:val="0"/>
          <w:color w:val="auto"/>
          <w:sz w:val="21"/>
          <w:szCs w:val="21"/>
          <w:highlight w:val="none"/>
          <w:lang w:eastAsia="zh-CN"/>
        </w:rPr>
        <w:t>东莞市建冠物业投资有限公司</w:t>
      </w:r>
    </w:p>
    <w:p w14:paraId="08FC4CE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项目地址：广东省东莞市长安镇乌沙社区居民委员会振安中路195号厂区</w:t>
      </w:r>
    </w:p>
    <w:p w14:paraId="5E7AC47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建设规模：</w:t>
      </w:r>
      <w:bookmarkEnd w:id="18"/>
      <w:r>
        <w:rPr>
          <w:rFonts w:hint="eastAsia" w:ascii="宋体" w:hAnsi="宋体" w:eastAsia="宋体" w:cs="宋体"/>
          <w:color w:val="auto"/>
          <w:kern w:val="2"/>
          <w:sz w:val="21"/>
          <w:szCs w:val="21"/>
          <w:highlight w:val="none"/>
          <w:lang w:val="en-US" w:eastAsia="zh-CN" w:bidi="ar-SA"/>
        </w:rPr>
        <w:t>储能容量为</w:t>
      </w:r>
      <w:r>
        <w:rPr>
          <w:rFonts w:hint="eastAsia" w:ascii="宋体" w:hAnsi="宋体" w:cs="宋体"/>
          <w:b w:val="0"/>
          <w:bCs w:val="0"/>
          <w:color w:val="auto"/>
          <w:sz w:val="21"/>
          <w:szCs w:val="21"/>
          <w:highlight w:val="none"/>
          <w:lang w:eastAsia="zh-CN"/>
        </w:rPr>
        <w:t>625kW/2500kWh</w:t>
      </w:r>
      <w:r>
        <w:rPr>
          <w:rFonts w:hint="eastAsia" w:ascii="宋体" w:hAnsi="宋体" w:eastAsia="宋体" w:cs="宋体"/>
          <w:color w:val="auto"/>
          <w:kern w:val="2"/>
          <w:sz w:val="21"/>
          <w:szCs w:val="21"/>
          <w:highlight w:val="none"/>
          <w:lang w:val="en-US" w:eastAsia="zh-CN" w:bidi="ar-SA"/>
        </w:rPr>
        <w:t>（一充一放容量）</w:t>
      </w:r>
    </w:p>
    <w:p w14:paraId="710E05D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4.</w:t>
      </w:r>
      <w:r>
        <w:rPr>
          <w:rFonts w:hint="eastAsia" w:ascii="宋体" w:hAnsi="宋体" w:eastAsia="宋体" w:cs="宋体"/>
          <w:color w:val="auto"/>
          <w:kern w:val="2"/>
          <w:sz w:val="21"/>
          <w:szCs w:val="21"/>
          <w:highlight w:val="none"/>
          <w:lang w:val="en-US" w:eastAsia="zh-CN" w:bidi="ar-SA"/>
        </w:rPr>
        <w:t>储能技术规格：分布式储能柜，国内知名品牌磷酸铁锂电池</w:t>
      </w:r>
    </w:p>
    <w:p w14:paraId="6F88C56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default" w:ascii="宋体" w:hAnsi="宋体" w:eastAsia="宋体" w:cs="宋体"/>
          <w:color w:val="auto"/>
          <w:kern w:val="2"/>
          <w:sz w:val="21"/>
          <w:szCs w:val="21"/>
          <w:highlight w:val="none"/>
          <w:lang w:val="en-US" w:eastAsia="zh-CN" w:bidi="ar-SA"/>
        </w:rPr>
      </w:pPr>
      <w:bookmarkStart w:id="19" w:name="_Toc24599"/>
      <w:r>
        <w:rPr>
          <w:rFonts w:hint="default" w:ascii="宋体" w:hAnsi="宋体" w:eastAsia="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用户侧储能设备运行控制原则：</w:t>
      </w:r>
      <w:bookmarkEnd w:id="19"/>
    </w:p>
    <w:p w14:paraId="1C4C3F9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（1）储能充电不超变压器容量。</w:t>
      </w:r>
    </w:p>
    <w:p w14:paraId="605B64F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（2）储能放电将剩余电量逆变予变压器所接负载供电。</w:t>
      </w:r>
    </w:p>
    <w:p w14:paraId="39CD4AF1">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（3）放电不逆流上至电网系统</w:t>
      </w:r>
      <w:r>
        <w:rPr>
          <w:rFonts w:hint="eastAsia" w:ascii="宋体" w:hAnsi="宋体" w:cs="宋体"/>
          <w:color w:val="auto"/>
          <w:kern w:val="2"/>
          <w:sz w:val="21"/>
          <w:szCs w:val="21"/>
          <w:highlight w:val="none"/>
          <w:lang w:val="en-US" w:eastAsia="zh-CN" w:bidi="ar-SA"/>
        </w:rPr>
        <w:t>。</w:t>
      </w:r>
    </w:p>
    <w:p w14:paraId="185ED518">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三、设计依据</w:t>
      </w:r>
    </w:p>
    <w:p w14:paraId="6BAB62C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1)《电化学储能电站设计规范》 GB 51048-2014</w:t>
      </w:r>
    </w:p>
    <w:p w14:paraId="7BD4EFF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2)《电化学储能系统接入电网技术规定》 GB/T 36547-2018</w:t>
      </w:r>
    </w:p>
    <w:p w14:paraId="1AC6D211">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3)《电力系统电化学储能系统通用技术条件》 GB/T 36558-2018</w:t>
      </w:r>
    </w:p>
    <w:p w14:paraId="3A53E5D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4)《电化学储能系统储能变流器技术规范》 GB/T 34120-2017</w:t>
      </w:r>
    </w:p>
    <w:p w14:paraId="7CC4694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5)《电化学储能站用鲤离子电池管理系统技术规范》 GB/T 34131-2017</w:t>
      </w:r>
    </w:p>
    <w:p w14:paraId="698FD4A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6)《电力储能用理高子电池》 GB/T 36276-2018</w:t>
      </w:r>
    </w:p>
    <w:p w14:paraId="3A7B3CA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7)《电化学储能电站运行指标及评价》 GB/T 36549-2018</w:t>
      </w:r>
    </w:p>
    <w:p w14:paraId="2AEC055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8)《导体和电器选择设计技术规定》 DL/T 5222-2005</w:t>
      </w:r>
    </w:p>
    <w:p w14:paraId="12D1D9C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9)《高压配电装置设计技术规程》 DL/T5352-2018</w:t>
      </w:r>
    </w:p>
    <w:p w14:paraId="18B7EF7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10)《交流电气装置的过电压保护和绝缘配合》 GB/T 50064-2014</w:t>
      </w:r>
    </w:p>
    <w:p w14:paraId="44794B4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11)《交流电气装置的接地设计规范》 GB/50065-2011</w:t>
      </w:r>
    </w:p>
    <w:p w14:paraId="77284BF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12)《电力工程电缆设计标准》 GB 50217-2018</w:t>
      </w:r>
    </w:p>
    <w:p w14:paraId="499F799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13)《变电所总布置设计技术规程》 DL/ 5056-2007</w:t>
      </w:r>
    </w:p>
    <w:p w14:paraId="065C41A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14《电力设备典型消防规程》 DL5027-2015</w:t>
      </w:r>
    </w:p>
    <w:p w14:paraId="76FDFA2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15)《供配电系统设计规范》 (GB 50052-2009</w:t>
      </w:r>
    </w:p>
    <w:p w14:paraId="69D7CE3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16)《低压配电设计规范》(GB 50054-2011)</w:t>
      </w:r>
    </w:p>
    <w:p w14:paraId="3203DBD1">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17其它有关国家及地方的现行规程、规范及现场勘查情况</w:t>
      </w:r>
    </w:p>
    <w:p w14:paraId="6422765B">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四、服务内容</w:t>
      </w:r>
    </w:p>
    <w:p w14:paraId="34DE739D">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1、中标人需提供针对此储能项目方案的电气、土建及相关配套图纸设计；所有需经</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确认的图纸和说明文件，均应由投标人在技术协议签订后规定的时间内提交给</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及其所指定的单位进行审定认可。</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及其所指定的单位在收到需认可图纸后，将一套经确认的或签有</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校定标记的图纸（</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负责人签字）返还给投标人。</w:t>
      </w:r>
    </w:p>
    <w:p w14:paraId="5A5326A7">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2、设计需提供的图纸资料</w:t>
      </w:r>
    </w:p>
    <w:p w14:paraId="2ED188EC">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设备布置图：应包括所有设备排布位置，各设备型尺寸、总重量等。（需在签订合同之日起1周内提供）</w:t>
      </w:r>
    </w:p>
    <w:p w14:paraId="07E0F75F">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基础图：应注明设备和其控制柜的尺寸，基础螺栓的位置和尺寸等。</w:t>
      </w:r>
    </w:p>
    <w:p w14:paraId="73180A0C">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电气原理图：储能系统一次图。</w:t>
      </w:r>
    </w:p>
    <w:p w14:paraId="754512E7">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设备部分：储能系统的设备选型、制造、软件设计开发、验收、提供相关图纸资料、试验（包括工厂试验、出厂试验）、包装、设备运输、现场开箱检查，现场技术服务、安装、调试和试验，参加联调试运行、验收，参加招标人组织的其它设备的设计联络会及协调会， 投标人应保证设备、文件和技术服务按合同要求的时间及内容进行等。其中储能系统所有的机械、电气、通信、外壳、接地等连接和配合（包括电池舱与 PCS 的连接电缆、PCS 与汇流柜（或隔离变压器或升压变压器）的连接电缆、储能系统自用动力照明等辅助用电的配电系统及电源、防逆流装置系统）、消防设施以及其他辅助设施；储能设备满足接入我司智慧储能系统云平台的技术要求。</w:t>
      </w:r>
    </w:p>
    <w:p w14:paraId="3395CBAE">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4、</w:t>
      </w:r>
      <w:r>
        <w:rPr>
          <w:rFonts w:hint="eastAsia" w:ascii="宋体" w:hAnsi="宋体" w:eastAsia="宋体" w:cs="宋体"/>
          <w:color w:val="auto"/>
          <w:kern w:val="2"/>
          <w:sz w:val="21"/>
          <w:szCs w:val="21"/>
          <w:highlight w:val="none"/>
          <w:lang w:val="en-US" w:eastAsia="zh-CN" w:bidi="ar-SA"/>
        </w:rPr>
        <w:t>施工部分：提供储能项目工程建设服务（含施工临时电源、储能系统的土建、电气整体安装、调试达标交付及全体竣工资料）包括储能系统电气、土建基础及配套相关安装工程施工、工程质量及工期控制、调试、报装、并网试运行直至验收交付等全过程的施工承包工作。</w:t>
      </w:r>
    </w:p>
    <w:p w14:paraId="2BE9EEDA">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五、建设范围与交接点</w:t>
      </w:r>
    </w:p>
    <w:p w14:paraId="0C3AC3B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本项目对中标方的要求包含但不限于以下范围，交接点遵循以下基本原则：</w:t>
      </w:r>
    </w:p>
    <w:p w14:paraId="5B325BE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1）对建设地点的可行性现场勘查，包括在采购人不能提供建设地点地质条件情况下的地勘勘察确认，以及周边居民距离情况，以确保土建、噪声、消防和环保符合管理和规范要求。</w:t>
      </w:r>
    </w:p>
    <w:p w14:paraId="13B05C62">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2）现场勘查确定能源供应点的距离和通道情况，项目服务地点具体位置如下图所示。</w:t>
      </w:r>
    </w:p>
    <w:p w14:paraId="2C2628C1">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bookmarkStart w:id="20" w:name="_Toc13483"/>
      <w:bookmarkStart w:id="21" w:name="_Toc1549"/>
      <w:r>
        <w:rPr>
          <w:rFonts w:hint="eastAsia" w:ascii="宋体" w:hAnsi="宋体" w:cs="宋体"/>
          <w:color w:val="auto"/>
          <w:kern w:val="2"/>
          <w:sz w:val="21"/>
          <w:szCs w:val="21"/>
          <w:highlight w:val="none"/>
          <w:lang w:val="en-US" w:eastAsia="zh-CN" w:bidi="ar-SA"/>
        </w:rPr>
        <w:t>1.</w:t>
      </w:r>
      <w:bookmarkEnd w:id="20"/>
      <w:r>
        <w:rPr>
          <w:rFonts w:hint="eastAsia" w:ascii="宋体" w:hAnsi="宋体" w:eastAsia="宋体" w:cs="宋体"/>
          <w:color w:val="auto"/>
          <w:kern w:val="2"/>
          <w:sz w:val="21"/>
          <w:szCs w:val="21"/>
          <w:highlight w:val="none"/>
          <w:lang w:val="en-US" w:eastAsia="zh-CN" w:bidi="ar-SA"/>
        </w:rPr>
        <w:t>本项目</w:t>
      </w:r>
      <w:r>
        <w:rPr>
          <w:rFonts w:hint="eastAsia" w:ascii="宋体" w:hAnsi="宋体" w:cs="宋体"/>
          <w:b w:val="0"/>
          <w:bCs w:val="0"/>
          <w:color w:val="auto"/>
          <w:sz w:val="21"/>
          <w:szCs w:val="21"/>
          <w:highlight w:val="none"/>
          <w:lang w:eastAsia="zh-CN"/>
        </w:rPr>
        <w:t>625kW/2500kWh</w:t>
      </w:r>
      <w:r>
        <w:rPr>
          <w:rFonts w:hint="eastAsia" w:ascii="宋体" w:hAnsi="宋体" w:eastAsia="宋体" w:cs="宋体"/>
          <w:color w:val="auto"/>
          <w:kern w:val="2"/>
          <w:sz w:val="21"/>
          <w:szCs w:val="21"/>
          <w:highlight w:val="none"/>
          <w:lang w:val="en-US" w:eastAsia="zh-CN" w:bidi="ar-SA"/>
        </w:rPr>
        <w:t>接入系统方案：</w:t>
      </w:r>
    </w:p>
    <w:p w14:paraId="09D575C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本项目拟在厂区闲置空地布置1套0.625MW/2.5MWh的分布式储能柜，就近原则通过电缆分别接入低压配电房0.4kV母排，实现与原有低压配电系统并网，自动控制充放电。</w:t>
      </w:r>
    </w:p>
    <w:p w14:paraId="31C55B4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color w:val="auto"/>
          <w:kern w:val="2"/>
          <w:sz w:val="21"/>
          <w:szCs w:val="21"/>
          <w:highlight w:val="none"/>
          <w:lang w:val="en-US" w:eastAsia="zh-CN" w:bidi="ar-SA"/>
        </w:rPr>
      </w:pPr>
    </w:p>
    <w:p w14:paraId="1369EAB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color w:val="auto"/>
          <w:kern w:val="2"/>
          <w:sz w:val="21"/>
          <w:szCs w:val="21"/>
          <w:highlight w:val="none"/>
          <w:lang w:val="en-US" w:eastAsia="zh-CN" w:bidi="ar-SA"/>
        </w:rPr>
      </w:pPr>
    </w:p>
    <w:p w14:paraId="617C285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color w:val="auto"/>
          <w:kern w:val="2"/>
          <w:sz w:val="21"/>
          <w:szCs w:val="21"/>
          <w:highlight w:val="none"/>
          <w:lang w:val="en-US" w:eastAsia="zh-CN" w:bidi="ar-SA"/>
        </w:rPr>
      </w:pPr>
    </w:p>
    <w:p w14:paraId="5000275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color w:val="auto"/>
          <w:kern w:val="2"/>
          <w:sz w:val="21"/>
          <w:szCs w:val="21"/>
          <w:highlight w:val="none"/>
          <w:lang w:val="en-US" w:eastAsia="zh-CN" w:bidi="ar-SA"/>
        </w:rPr>
      </w:pPr>
    </w:p>
    <w:p w14:paraId="5163B6B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color w:val="auto"/>
          <w:kern w:val="2"/>
          <w:sz w:val="21"/>
          <w:szCs w:val="21"/>
          <w:highlight w:val="none"/>
          <w:lang w:val="en-US" w:eastAsia="zh-CN" w:bidi="ar-SA"/>
        </w:rPr>
      </w:pPr>
    </w:p>
    <w:p w14:paraId="3A11FEE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color w:val="auto"/>
          <w:kern w:val="2"/>
          <w:sz w:val="21"/>
          <w:szCs w:val="21"/>
          <w:highlight w:val="none"/>
          <w:lang w:val="en-US" w:eastAsia="zh-CN" w:bidi="ar-SA"/>
        </w:rPr>
      </w:pPr>
    </w:p>
    <w:p w14:paraId="72E9271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color w:val="auto"/>
          <w:kern w:val="2"/>
          <w:sz w:val="21"/>
          <w:szCs w:val="21"/>
          <w:highlight w:val="none"/>
          <w:lang w:val="en-US" w:eastAsia="zh-CN" w:bidi="ar-SA"/>
        </w:rPr>
      </w:pPr>
    </w:p>
    <w:p w14:paraId="3614BFB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color w:val="auto"/>
          <w:kern w:val="2"/>
          <w:sz w:val="21"/>
          <w:szCs w:val="21"/>
          <w:highlight w:val="none"/>
          <w:lang w:val="en-US" w:eastAsia="zh-CN" w:bidi="ar-SA"/>
        </w:rPr>
      </w:pPr>
    </w:p>
    <w:p w14:paraId="7F5733A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color w:val="auto"/>
          <w:kern w:val="2"/>
          <w:sz w:val="21"/>
          <w:szCs w:val="21"/>
          <w:highlight w:val="none"/>
          <w:lang w:val="en-US" w:eastAsia="zh-CN" w:bidi="ar-SA"/>
        </w:rPr>
      </w:pPr>
    </w:p>
    <w:p w14:paraId="7A85DB0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储能设备布置图：</w:t>
      </w:r>
    </w:p>
    <w:p w14:paraId="0107E994">
      <w:pPr>
        <w:numPr>
          <w:ilvl w:val="0"/>
          <w:numId w:val="0"/>
        </w:numPr>
        <w:tabs>
          <w:tab w:val="left" w:pos="-116"/>
        </w:tabs>
        <w:ind w:left="420" w:leftChars="0"/>
        <w:jc w:val="center"/>
        <w:outlineLvl w:val="1"/>
        <w:rPr>
          <w:rFonts w:hint="eastAsia" w:ascii="宋体" w:hAnsi="宋体" w:eastAsia="宋体" w:cs="宋体"/>
          <w:b w:val="0"/>
          <w:bCs w:val="0"/>
          <w:color w:val="auto"/>
          <w:sz w:val="32"/>
          <w:szCs w:val="32"/>
          <w:highlight w:val="none"/>
          <w:shd w:val="clear" w:color="auto" w:fill="FFFFFF"/>
        </w:rPr>
      </w:pPr>
      <w:bookmarkStart w:id="22" w:name="_Toc9839"/>
      <w:r>
        <w:rPr>
          <w:rFonts w:hint="eastAsia" w:ascii="宋体" w:hAnsi="宋体" w:eastAsia="宋体" w:cs="宋体"/>
          <w:b w:val="0"/>
          <w:bCs w:val="0"/>
          <w:color w:val="auto"/>
          <w:sz w:val="28"/>
          <w:szCs w:val="28"/>
          <w:highlight w:val="none"/>
          <w:vertAlign w:val="baseline"/>
          <w:lang w:val="en-US" w:eastAsia="zh-CN"/>
        </w:rPr>
        <w:drawing>
          <wp:inline distT="0" distB="0" distL="114300" distR="114300">
            <wp:extent cx="2710180" cy="2033905"/>
            <wp:effectExtent l="0" t="0" r="2540" b="8255"/>
            <wp:docPr id="11" name="图片 11" descr="1独立空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独立空间"/>
                    <pic:cNvPicPr>
                      <a:picLocks noChangeAspect="1"/>
                    </pic:cNvPicPr>
                  </pic:nvPicPr>
                  <pic:blipFill>
                    <a:blip r:embed="rId15"/>
                    <a:stretch>
                      <a:fillRect/>
                    </a:stretch>
                  </pic:blipFill>
                  <pic:spPr>
                    <a:xfrm>
                      <a:off x="0" y="0"/>
                      <a:ext cx="2710180" cy="2033905"/>
                    </a:xfrm>
                    <a:prstGeom prst="rect">
                      <a:avLst/>
                    </a:prstGeom>
                  </pic:spPr>
                </pic:pic>
              </a:graphicData>
            </a:graphic>
          </wp:inline>
        </w:drawing>
      </w:r>
      <w:r>
        <w:rPr>
          <w:rFonts w:hint="eastAsia" w:ascii="宋体" w:hAnsi="宋体" w:eastAsia="宋体" w:cs="宋体"/>
          <w:b w:val="0"/>
          <w:bCs w:val="0"/>
          <w:color w:val="auto"/>
          <w:sz w:val="28"/>
          <w:szCs w:val="28"/>
          <w:highlight w:val="none"/>
          <w:vertAlign w:val="baseline"/>
          <w:lang w:val="en-US" w:eastAsia="zh-CN"/>
        </w:rPr>
        <w:t xml:space="preserve">   </w:t>
      </w:r>
      <w:r>
        <w:rPr>
          <w:rFonts w:hint="eastAsia" w:ascii="宋体" w:hAnsi="宋体" w:eastAsia="宋体" w:cs="宋体"/>
          <w:b w:val="0"/>
          <w:bCs w:val="0"/>
          <w:color w:val="auto"/>
          <w:sz w:val="28"/>
          <w:szCs w:val="28"/>
          <w:highlight w:val="none"/>
          <w:vertAlign w:val="baseline"/>
          <w:lang w:val="en-US" w:eastAsia="zh-CN"/>
        </w:rPr>
        <w:drawing>
          <wp:inline distT="0" distB="0" distL="114300" distR="114300">
            <wp:extent cx="2726055" cy="2044700"/>
            <wp:effectExtent l="0" t="0" r="1905" b="12700"/>
            <wp:docPr id="12" name="图片 12" descr="c2dd519c1affa35291f3778c21ba0a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2dd519c1affa35291f3778c21ba0af1"/>
                    <pic:cNvPicPr>
                      <a:picLocks noChangeAspect="1"/>
                    </pic:cNvPicPr>
                  </pic:nvPicPr>
                  <pic:blipFill>
                    <a:blip r:embed="rId16"/>
                    <a:stretch>
                      <a:fillRect/>
                    </a:stretch>
                  </pic:blipFill>
                  <pic:spPr>
                    <a:xfrm>
                      <a:off x="0" y="0"/>
                      <a:ext cx="2726055" cy="2044700"/>
                    </a:xfrm>
                    <a:prstGeom prst="rect">
                      <a:avLst/>
                    </a:prstGeom>
                  </pic:spPr>
                </pic:pic>
              </a:graphicData>
            </a:graphic>
          </wp:inline>
        </w:drawing>
      </w:r>
    </w:p>
    <w:p w14:paraId="29065868">
      <w:pPr>
        <w:pStyle w:val="2"/>
        <w:spacing w:after="0"/>
        <w:ind w:left="0" w:leftChars="0" w:firstLine="2240" w:firstLineChars="800"/>
        <w:jc w:val="both"/>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 xml:space="preserve">选址A             </w:t>
      </w:r>
      <w:r>
        <w:rPr>
          <w:rFonts w:hint="eastAsia" w:ascii="宋体" w:hAnsi="宋体" w:eastAsia="宋体" w:cs="宋体"/>
          <w:b w:val="0"/>
          <w:bCs w:val="0"/>
          <w:color w:val="auto"/>
          <w:sz w:val="28"/>
          <w:szCs w:val="28"/>
          <w:highlight w:val="none"/>
          <w:vertAlign w:val="baseline"/>
          <w:lang w:val="en-US" w:eastAsia="zh-CN"/>
        </w:rPr>
        <w:t>或</w:t>
      </w:r>
      <w:r>
        <w:rPr>
          <w:rFonts w:hint="eastAsia" w:ascii="宋体" w:hAnsi="宋体" w:eastAsia="宋体" w:cs="宋体"/>
          <w:b w:val="0"/>
          <w:bCs w:val="0"/>
          <w:color w:val="auto"/>
          <w:highlight w:val="none"/>
          <w:lang w:val="en-US" w:eastAsia="zh-CN"/>
        </w:rPr>
        <w:t xml:space="preserve">           选址B</w:t>
      </w:r>
    </w:p>
    <w:p w14:paraId="0AB98B7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color w:val="auto"/>
          <w:kern w:val="2"/>
          <w:sz w:val="21"/>
          <w:szCs w:val="21"/>
          <w:highlight w:val="none"/>
          <w:lang w:val="en-US" w:eastAsia="zh-CN" w:bidi="ar-SA"/>
        </w:rPr>
      </w:pPr>
    </w:p>
    <w:p w14:paraId="6539FFF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cs="宋体"/>
          <w:color w:val="auto"/>
          <w:kern w:val="2"/>
          <w:sz w:val="21"/>
          <w:szCs w:val="21"/>
          <w:highlight w:val="none"/>
          <w:lang w:val="en-US" w:eastAsia="zh-CN" w:bidi="ar-SA"/>
        </w:rPr>
      </w:pPr>
    </w:p>
    <w:p w14:paraId="7817165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接入一次设计</w:t>
      </w:r>
      <w:bookmarkEnd w:id="22"/>
      <w:r>
        <w:rPr>
          <w:rFonts w:hint="eastAsia" w:ascii="宋体" w:hAnsi="宋体" w:eastAsia="宋体" w:cs="宋体"/>
          <w:color w:val="auto"/>
          <w:kern w:val="2"/>
          <w:sz w:val="21"/>
          <w:szCs w:val="21"/>
          <w:highlight w:val="none"/>
          <w:lang w:val="en-US" w:eastAsia="zh-CN" w:bidi="ar-SA"/>
        </w:rPr>
        <w:t>（示范图例）</w:t>
      </w:r>
    </w:p>
    <w:p w14:paraId="1A16298C">
      <w:pPr>
        <w:pStyle w:val="2"/>
        <w:jc w:val="center"/>
        <w:rPr>
          <w:rFonts w:hint="eastAsia"/>
          <w:color w:val="auto"/>
          <w:highlight w:val="none"/>
          <w:lang w:val="en-US" w:eastAsia="zh-CN"/>
        </w:rPr>
      </w:pPr>
      <w:r>
        <w:rPr>
          <w:rFonts w:hint="eastAsia" w:ascii="仿宋_GB2312" w:hAnsi="仿宋_GB2312" w:eastAsia="仿宋_GB2312" w:cs="仿宋_GB2312"/>
          <w:color w:val="auto"/>
          <w:highlight w:val="none"/>
        </w:rPr>
        <w:object>
          <v:shape id="_x0000_i1025" o:spt="75" type="#_x0000_t75" style="height:308.45pt;width:440.4pt;" o:ole="t" filled="f" o:preferrelative="t" stroked="f" coordsize="21600,21600">
            <v:path/>
            <v:fill on="f" focussize="0,0"/>
            <v:stroke on="f"/>
            <v:imagedata r:id="rId18" o:title=""/>
            <o:lock v:ext="edit" aspectratio="t"/>
            <w10:wrap type="none"/>
            <w10:anchorlock/>
          </v:shape>
          <o:OLEObject Type="Embed" ProgID="Visio.Drawing.11" ShapeID="_x0000_i1025" DrawAspect="Content" ObjectID="_1468075725" r:id="rId17">
            <o:LockedField>false</o:LockedField>
          </o:OLEObject>
        </w:object>
      </w:r>
    </w:p>
    <w:p w14:paraId="2CAF3A9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center"/>
        <w:textAlignment w:val="auto"/>
        <w:rPr>
          <w:rFonts w:hint="default" w:ascii="宋体" w:hAnsi="宋体" w:eastAsia="宋体" w:cs="宋体"/>
          <w:color w:val="auto"/>
          <w:kern w:val="2"/>
          <w:sz w:val="21"/>
          <w:szCs w:val="21"/>
          <w:highlight w:val="none"/>
          <w:lang w:val="en-US" w:eastAsia="zh-CN" w:bidi="ar-SA"/>
        </w:rPr>
      </w:pPr>
    </w:p>
    <w:p w14:paraId="232B44C5">
      <w:pPr>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br w:type="page"/>
      </w:r>
    </w:p>
    <w:p w14:paraId="07E8119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4.</w:t>
      </w:r>
      <w:r>
        <w:rPr>
          <w:rFonts w:hint="eastAsia" w:ascii="宋体" w:hAnsi="宋体" w:eastAsia="宋体" w:cs="宋体"/>
          <w:color w:val="auto"/>
          <w:kern w:val="2"/>
          <w:sz w:val="21"/>
          <w:szCs w:val="21"/>
          <w:highlight w:val="none"/>
          <w:lang w:val="en-US" w:eastAsia="zh-CN" w:bidi="ar-SA"/>
        </w:rPr>
        <w:t>储能接入拓扑图（示范图例）</w:t>
      </w:r>
    </w:p>
    <w:p w14:paraId="27BF2FE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default" w:ascii="宋体" w:hAnsi="宋体" w:eastAsia="宋体" w:cs="宋体"/>
          <w:color w:val="auto"/>
          <w:kern w:val="2"/>
          <w:sz w:val="21"/>
          <w:szCs w:val="21"/>
          <w:highlight w:val="none"/>
          <w:lang w:val="en-US" w:eastAsia="zh-CN" w:bidi="ar-SA"/>
        </w:rPr>
      </w:pPr>
      <w:r>
        <w:rPr>
          <w:color w:val="auto"/>
          <w:highlight w:val="none"/>
        </w:rPr>
        <w:drawing>
          <wp:inline distT="0" distB="0" distL="114300" distR="114300">
            <wp:extent cx="5610860" cy="5205095"/>
            <wp:effectExtent l="0" t="0" r="12700" b="6985"/>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19"/>
                    <a:stretch>
                      <a:fillRect/>
                    </a:stretch>
                  </pic:blipFill>
                  <pic:spPr>
                    <a:xfrm>
                      <a:off x="0" y="0"/>
                      <a:ext cx="5610860" cy="5205095"/>
                    </a:xfrm>
                    <a:prstGeom prst="rect">
                      <a:avLst/>
                    </a:prstGeom>
                    <a:noFill/>
                    <a:ln>
                      <a:noFill/>
                    </a:ln>
                  </pic:spPr>
                </pic:pic>
              </a:graphicData>
            </a:graphic>
          </wp:inline>
        </w:drawing>
      </w:r>
    </w:p>
    <w:p w14:paraId="7B29C8D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3）供应电缆接入采购人电缆桥架的，必须由设计方书面计算确认电缆符合规范，并由采购人管理部门许可方可确定，否则自行设计施工架设。</w:t>
      </w:r>
    </w:p>
    <w:p w14:paraId="3523491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4）所有设计必须符合现行法规和技术规范要求，提供相应规范标准号。所有设备必须保证是符合现行能耗标准的设备，不得使用国家明令淘汰的高耗能设备。</w:t>
      </w:r>
    </w:p>
    <w:p w14:paraId="7D1AFB77">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5）建设设计内容必须符合国家现行能源、安全、环保、消防和职业健康法律法规要求，并办理所有开工运营合规性手续。运营过程中要严格遵守政府和公司的安全环保管理要求。</w:t>
      </w:r>
    </w:p>
    <w:p w14:paraId="07B4C0D7">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6）电交接点为：中标方按采购人指定的变电站主变低压侧的开关柜母线分支接点之后的所有设计、施工、运维，由中标方负责。接入采购人的开关柜，后期运行、管理责任划归中标方。</w:t>
      </w:r>
    </w:p>
    <w:p w14:paraId="6E18C6DF">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其他能源介质供应，由采购人指定接入位置，中标方负责接出，交接点为中标方接出的第一个阀门（含）。</w:t>
      </w:r>
    </w:p>
    <w:p w14:paraId="6F2B2A54">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所有结算计量设备的选用应符合规范，由中标方采购、安装和运营期间，必须满足采购人要求的精度等级和检验要求，计量的安装和参数设置过程要提前告知采购人计量部门现场确认，防止出现信号干扰等异常情况。计量符合国家相关检定周期标准，接入采购人能源计量网络。服从采购人的计量管理制度。</w:t>
      </w:r>
    </w:p>
    <w:bookmarkEnd w:id="21"/>
    <w:p w14:paraId="240EA68A">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六、项目建设责任内容要求</w:t>
      </w:r>
    </w:p>
    <w:p w14:paraId="0864037E">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1）投标单位需明确系统设计符合哪些最新国家技术规范、安全规范、消防、环保规范等各项规范的要求，注明规范的名称、标准号和发布时间。</w:t>
      </w:r>
    </w:p>
    <w:p w14:paraId="76176CA5">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2）项目建设和运营必须遵守采购人的各项管理制度，遵守各项法定安全规范与安全管理制度，确保承担相应安全、环保管理各项责任。</w:t>
      </w:r>
    </w:p>
    <w:p w14:paraId="7483DC6F">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3）该项目噪声、电离辐射以及其他污染物排放必须符合国家及项目所在区域地方环保规范要求，设计建设必须充分考虑。</w:t>
      </w:r>
    </w:p>
    <w:p w14:paraId="6BF5FBE4">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4）采购人不提供建设场地的地勘资料，由中标方负责进行地勘数据的取得。</w:t>
      </w:r>
    </w:p>
    <w:p w14:paraId="3C326453">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中标人和所成立的项目公司在未经过采购人书面许可情况下，不得将项目用于抵押、质押、融资、转让等行为。合同期结束项目移交时，中标方应确保项目没有抵押、质押、负债等行为，项目所有负债归中标方，采购人正常获得项目所有产权。</w:t>
      </w:r>
    </w:p>
    <w:p w14:paraId="0EB406F4">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6）合同期满移交时，储能系统应正常运行，各类监控、保护、测量、降温、消防等系统应运行状态良好。</w:t>
      </w:r>
    </w:p>
    <w:p w14:paraId="1CA9481C">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7）投标方的工作范围应包括下列内容：</w:t>
      </w:r>
    </w:p>
    <w:p w14:paraId="6FB5C67F">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a）提供标书内所有设备及设计说明书及制造方面的说明；</w:t>
      </w:r>
    </w:p>
    <w:p w14:paraId="3079266C">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b）提供设备安装、使用的说明书；</w:t>
      </w:r>
    </w:p>
    <w:p w14:paraId="5EE7C09C">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c）提供试验和检验的标准，包括试验报告和试验数据；</w:t>
      </w:r>
    </w:p>
    <w:p w14:paraId="4305B8A1">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d）提供图纸、制造和质量保证过程的一览表以及标书规定的其他资料；</w:t>
      </w:r>
    </w:p>
    <w:p w14:paraId="1C55A6D6">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e）提供设备管理和运行所需有关资料；</w:t>
      </w:r>
    </w:p>
    <w:p w14:paraId="4CECA40A">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f）所提供设备应发运到规定的目的地；</w:t>
      </w:r>
    </w:p>
    <w:p w14:paraId="3039485E">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g）在更换所用的准则、标准、规程或修改设备技术数据时，投标方应接受招标方的选择；</w:t>
      </w:r>
    </w:p>
    <w:p w14:paraId="3E9D456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h）现场服务。</w:t>
      </w:r>
    </w:p>
    <w:p w14:paraId="3C3EA8F0">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七、售后服务</w:t>
      </w:r>
    </w:p>
    <w:p w14:paraId="50F81FF9">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1、免费送货上门、安装、调试。</w:t>
      </w:r>
    </w:p>
    <w:p w14:paraId="43066023">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2、质保期：工程施工部分质保期1年，质保期自项目通过验收交付使用日开始计算。（技术需求中有特殊要求的，按技术需求为准）</w:t>
      </w:r>
    </w:p>
    <w:p w14:paraId="2AA16BEA">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3、提供针对本项目的售后服务承诺及保证措施，所有货物须按国家“三包”及相关标准。</w:t>
      </w:r>
    </w:p>
    <w:p w14:paraId="65BE1BA2">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4、质量、工期、保修、保养的要求：</w:t>
      </w:r>
    </w:p>
    <w:p w14:paraId="7E2B2DF1">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（1）设计和安装和验收要求达到合格以上标准（含合格）；货物的验收及质保期内的运行均要求达到招标要求。</w:t>
      </w:r>
    </w:p>
    <w:p w14:paraId="2DA1F992">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在质保期内免费维护，并免费提供备品、备件；无论在保修期内或保修期外，投标人需提供上门服务。投标人需提供终身售后服务，保修期内，定期做免费巡检。设备出现异常或故障时，中标人及时到场处理。</w:t>
      </w:r>
    </w:p>
    <w:p w14:paraId="1D91C4D5">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（3）在质保期内，同一配件、同一质量问题连续两次维修仍无法正常使用，中标人必须无条件在采购人规定的期限内免费予以更换同品牌、同型号产品。</w:t>
      </w:r>
    </w:p>
    <w:p w14:paraId="1310D7F7">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（4）在质保期内，接到采购人电话通知后，中标人应当在一天内上门服务，如不能及时修复，采购人可委托其它单位维修，其费用由中标人承担。</w:t>
      </w:r>
    </w:p>
    <w:p w14:paraId="2BEA950D">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（5）培训：对采购人操作人员提供设备安全操作规程培训，讲解设备的基本结构及工作原理，直至操作人员掌握设备的日常使用、维护保养方法，保证操作人员可正确操作使用，并能排除一般故障。</w:t>
      </w:r>
    </w:p>
    <w:p w14:paraId="08C1E8EB">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5、投标人需在投标文件中提供完整的服务体系和相应的具体措施。</w:t>
      </w:r>
    </w:p>
    <w:p w14:paraId="047D963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6、投标人需在投标文件中提供定期检查制度和保养方案。</w:t>
      </w:r>
    </w:p>
    <w:p w14:paraId="606ADBB2">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八、其他</w:t>
      </w:r>
    </w:p>
    <w:p w14:paraId="169644C5">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技术要求中产品技术参数为参考值，所投产品对应参数可上下浮动不超过10%。采购文件的技术规格中指出的工艺、材料和设备的标准以及参照的品牌或型号仅起说明作用，并没有任何限制性，仅供参考，投标人在投标中可以选用替代标准、品牌或型号，但这些替代要实质上满足或超过采购文件的要求。项目评审时，由评标委员会负责对投标人提供的替代标准、品牌或型号的响应性进行审查。</w:t>
      </w:r>
    </w:p>
    <w:p w14:paraId="01A814B5">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投标单位应保证提供的货物在不需要增配未列出配件（特别指出的除外）的前提下货物功能、技术标准能够达到采购文件的要求，而无须再增配未列出的配件；如供应商所提供的产品需要增配配件才能达到要求的，所增配的配件须由供应商免费提供。</w:t>
      </w:r>
    </w:p>
    <w:p w14:paraId="48867379">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3、所有产品材料及货物标准必须符合国家标准及相关规定。</w:t>
      </w:r>
    </w:p>
    <w:p w14:paraId="711C7C0B">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4、中标人在供货安装过程中必须采取足够的安全措施，确保供货的安全，并自行负责相关安全责任。</w:t>
      </w:r>
    </w:p>
    <w:p w14:paraId="6027D69C">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5、中标人在安装过程中，如需对场地作局部破损，必须在供货安装实施前取得采购人的书面同意，并承诺负责恢复原状，采购人不另行支付任何费用。</w:t>
      </w:r>
    </w:p>
    <w:p w14:paraId="5B911E50">
      <w:pPr>
        <w:keepNext w:val="0"/>
        <w:keepLines w:val="0"/>
        <w:pageBreakBefore w:val="0"/>
        <w:widowControl w:val="0"/>
        <w:numPr>
          <w:ilvl w:val="0"/>
          <w:numId w:val="0"/>
        </w:numPr>
        <w:suppressLineNumbers w:val="0"/>
        <w:tabs>
          <w:tab w:val="left" w:pos="440"/>
        </w:tabs>
        <w:kinsoku/>
        <w:wordWrap/>
        <w:overflowPunct/>
        <w:topLinePunct w:val="0"/>
        <w:autoSpaceDE w:val="0"/>
        <w:autoSpaceDN w:val="0"/>
        <w:bidi w:val="0"/>
        <w:adjustRightInd/>
        <w:snapToGrid/>
        <w:spacing w:before="0" w:beforeAutospacing="0" w:after="0" w:afterAutospacing="0" w:line="360" w:lineRule="auto"/>
        <w:ind w:left="0" w:leftChars="0" w:right="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6、项目未尽事宜将在采购合同中另行约定，中标人需无条件同意采购人基于为顺利完成本项目所提出的各项合理要求。</w:t>
      </w:r>
    </w:p>
    <w:p w14:paraId="41D45D9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7、项目清单为本次采购最低要求，各供应商可以自行优化供货计划，为本项目设计最优投标方案。</w:t>
      </w:r>
    </w:p>
    <w:p w14:paraId="48ABC1F1">
      <w:pPr>
        <w:keepNext w:val="0"/>
        <w:keepLines w:val="0"/>
        <w:pageBreakBefore w:val="0"/>
        <w:widowControl w:val="0"/>
        <w:numPr>
          <w:ilvl w:val="0"/>
          <w:numId w:val="0"/>
        </w:numPr>
        <w:tabs>
          <w:tab w:val="left" w:pos="420"/>
          <w:tab w:val="left" w:pos="540"/>
        </w:tabs>
        <w:kinsoku/>
        <w:wordWrap/>
        <w:overflowPunct/>
        <w:topLinePunct w:val="0"/>
        <w:autoSpaceDE w:val="0"/>
        <w:autoSpaceDN w:val="0"/>
        <w:bidi w:val="0"/>
        <w:snapToGrid/>
        <w:spacing w:after="0" w:line="360" w:lineRule="auto"/>
        <w:ind w:left="0" w:leftChars="0" w:firstLine="0" w:firstLineChars="0"/>
        <w:jc w:val="both"/>
        <w:textAlignment w:val="auto"/>
        <w:rPr>
          <w:rFonts w:hint="eastAsia" w:ascii="宋体" w:hAnsi="宋体" w:eastAsia="宋体" w:cs="宋体"/>
          <w:b/>
          <w:color w:val="auto"/>
          <w:sz w:val="24"/>
          <w:szCs w:val="24"/>
          <w:highlight w:val="none"/>
          <w:lang w:val="en-US" w:eastAsia="zh-CN" w:bidi="ar-SA"/>
        </w:rPr>
      </w:pPr>
      <w:r>
        <w:rPr>
          <w:rFonts w:hint="eastAsia" w:ascii="宋体" w:hAnsi="宋体" w:eastAsia="宋体" w:cs="宋体"/>
          <w:b/>
          <w:color w:val="auto"/>
          <w:sz w:val="24"/>
          <w:szCs w:val="24"/>
          <w:highlight w:val="none"/>
          <w:lang w:val="en-US" w:eastAsia="zh-CN" w:bidi="ar-SA"/>
        </w:rPr>
        <w:t>九、主要技术要求</w:t>
      </w:r>
    </w:p>
    <w:p w14:paraId="154500E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1、需遵循的标准</w:t>
      </w:r>
    </w:p>
    <w:p w14:paraId="1C324FD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本项目装置至少应满足所列标准的最新版本要求，但不限于所列标准。下列文件对于本文件的应用是必不可少的。凡是注日期的引用文件，仅注日期的版本适用于本文件。 凡是不注日期的引用文件，其最新版本（包括所有的修改单）适用于本文件。</w:t>
      </w:r>
    </w:p>
    <w:p w14:paraId="6E99D992">
      <w:pPr>
        <w:pStyle w:val="99"/>
        <w:pageBreakBefore w:val="0"/>
        <w:kinsoku/>
        <w:wordWrap/>
        <w:bidi w:val="0"/>
        <w:spacing w:before="0" w:after="0" w:line="360" w:lineRule="auto"/>
        <w:ind w:left="0" w:leftChars="0" w:firstLine="438" w:firstLineChars="20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表1  遵循的主要标准</w:t>
      </w:r>
    </w:p>
    <w:tbl>
      <w:tblPr>
        <w:tblStyle w:val="29"/>
        <w:tblW w:w="9677"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2368"/>
        <w:gridCol w:w="7309"/>
      </w:tblGrid>
      <w:tr w14:paraId="0AB7B9F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6581C193">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right="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标准号</w:t>
            </w:r>
          </w:p>
        </w:tc>
        <w:tc>
          <w:tcPr>
            <w:tcW w:w="7309" w:type="dxa"/>
            <w:noWrap w:val="0"/>
            <w:vAlign w:val="center"/>
          </w:tcPr>
          <w:p w14:paraId="3976FF4C">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标准名称</w:t>
            </w:r>
          </w:p>
        </w:tc>
      </w:tr>
      <w:tr w14:paraId="07EEDFC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1D5FB5B3">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13384</w:t>
            </w:r>
          </w:p>
        </w:tc>
        <w:tc>
          <w:tcPr>
            <w:tcW w:w="7309" w:type="dxa"/>
            <w:noWrap w:val="0"/>
            <w:vAlign w:val="top"/>
          </w:tcPr>
          <w:p w14:paraId="05AD347A">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机电产品包装通用技术条件</w:t>
            </w:r>
          </w:p>
        </w:tc>
      </w:tr>
      <w:tr w14:paraId="43E704A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2BFCB27A">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191</w:t>
            </w:r>
          </w:p>
        </w:tc>
        <w:tc>
          <w:tcPr>
            <w:tcW w:w="7309" w:type="dxa"/>
            <w:noWrap w:val="0"/>
            <w:vAlign w:val="top"/>
          </w:tcPr>
          <w:p w14:paraId="3953E9B5">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包装储运图示标志</w:t>
            </w:r>
          </w:p>
        </w:tc>
      </w:tr>
      <w:tr w14:paraId="6F4082D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3D7FDBD1">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GB/T14537</w:t>
            </w:r>
          </w:p>
        </w:tc>
        <w:tc>
          <w:tcPr>
            <w:tcW w:w="7309" w:type="dxa"/>
            <w:noWrap w:val="0"/>
            <w:vAlign w:val="center"/>
          </w:tcPr>
          <w:p w14:paraId="19C28BBE">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量度继电器和保护装置的冲击及碰撞试验</w:t>
            </w:r>
          </w:p>
        </w:tc>
      </w:tr>
      <w:tr w14:paraId="5D7DEDC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6692DE4C">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GB/T14598.27</w:t>
            </w:r>
          </w:p>
        </w:tc>
        <w:tc>
          <w:tcPr>
            <w:tcW w:w="7309" w:type="dxa"/>
            <w:noWrap w:val="0"/>
            <w:vAlign w:val="center"/>
          </w:tcPr>
          <w:p w14:paraId="5AEF54F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量度继电器和保护装置 第27部分：产品安全要求</w:t>
            </w:r>
          </w:p>
        </w:tc>
      </w:tr>
      <w:tr w14:paraId="2B26536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416AA8EE">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478-2010</w:t>
            </w:r>
          </w:p>
        </w:tc>
        <w:tc>
          <w:tcPr>
            <w:tcW w:w="7309" w:type="dxa"/>
            <w:noWrap w:val="0"/>
            <w:vAlign w:val="top"/>
          </w:tcPr>
          <w:p w14:paraId="41123236">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继电保护及安全自动装置通用技术条件</w:t>
            </w:r>
          </w:p>
        </w:tc>
      </w:tr>
      <w:tr w14:paraId="130D125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75262F39">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2423.1</w:t>
            </w:r>
          </w:p>
        </w:tc>
        <w:tc>
          <w:tcPr>
            <w:tcW w:w="7309" w:type="dxa"/>
            <w:noWrap w:val="0"/>
            <w:vAlign w:val="top"/>
          </w:tcPr>
          <w:p w14:paraId="48B66206">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电工电子产品环境试验 第2部分：试验方法 试验A：低温</w:t>
            </w:r>
          </w:p>
        </w:tc>
      </w:tr>
      <w:tr w14:paraId="1728051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28EE29A7">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2423.2</w:t>
            </w:r>
          </w:p>
        </w:tc>
        <w:tc>
          <w:tcPr>
            <w:tcW w:w="7309" w:type="dxa"/>
            <w:noWrap w:val="0"/>
            <w:vAlign w:val="top"/>
          </w:tcPr>
          <w:p w14:paraId="5735D83E">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电工电子产品环境试验 第2部分：试验方法 试验B：高温</w:t>
            </w:r>
          </w:p>
        </w:tc>
      </w:tr>
      <w:tr w14:paraId="3A37156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770F4AAF">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2423.3</w:t>
            </w:r>
          </w:p>
        </w:tc>
        <w:tc>
          <w:tcPr>
            <w:tcW w:w="7309" w:type="dxa"/>
            <w:noWrap w:val="0"/>
            <w:vAlign w:val="top"/>
          </w:tcPr>
          <w:p w14:paraId="3E9574F5">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电工电子产品环境试验 第2部分：试验方法 试验Cab：恒定湿热试验</w:t>
            </w:r>
          </w:p>
        </w:tc>
      </w:tr>
      <w:tr w14:paraId="5B9ED89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08BBB037">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2423.8</w:t>
            </w:r>
          </w:p>
        </w:tc>
        <w:tc>
          <w:tcPr>
            <w:tcW w:w="7309" w:type="dxa"/>
            <w:noWrap w:val="0"/>
            <w:vAlign w:val="top"/>
          </w:tcPr>
          <w:p w14:paraId="220D37E2">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电工电子产品环境试验 第2部分：试验方法 试验Ed：自由跌落</w:t>
            </w:r>
          </w:p>
        </w:tc>
      </w:tr>
      <w:tr w14:paraId="6DECDE4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708F47DC">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2423.10</w:t>
            </w:r>
          </w:p>
        </w:tc>
        <w:tc>
          <w:tcPr>
            <w:tcW w:w="7309" w:type="dxa"/>
            <w:noWrap w:val="0"/>
            <w:vAlign w:val="top"/>
          </w:tcPr>
          <w:p w14:paraId="7366BAFF">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电工电子产品环境试验 第2部分：试验方法 试验Fc：振动（正弦）</w:t>
            </w:r>
          </w:p>
        </w:tc>
      </w:tr>
      <w:tr w14:paraId="0A18778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273E3C42">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3859.1</w:t>
            </w:r>
          </w:p>
        </w:tc>
        <w:tc>
          <w:tcPr>
            <w:tcW w:w="7309" w:type="dxa"/>
            <w:noWrap w:val="0"/>
            <w:vAlign w:val="top"/>
          </w:tcPr>
          <w:p w14:paraId="36AFAA0F">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半导体变流器 基本要求的规定</w:t>
            </w:r>
          </w:p>
        </w:tc>
      </w:tr>
      <w:tr w14:paraId="7EFE09D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27B9D14C">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3859.2</w:t>
            </w:r>
          </w:p>
        </w:tc>
        <w:tc>
          <w:tcPr>
            <w:tcW w:w="7309" w:type="dxa"/>
            <w:noWrap w:val="0"/>
            <w:vAlign w:val="top"/>
          </w:tcPr>
          <w:p w14:paraId="35F10212">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半导体变流器 应用导则</w:t>
            </w:r>
          </w:p>
        </w:tc>
      </w:tr>
      <w:tr w14:paraId="598F43E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1CB34354">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3859.3</w:t>
            </w:r>
          </w:p>
        </w:tc>
        <w:tc>
          <w:tcPr>
            <w:tcW w:w="7309" w:type="dxa"/>
            <w:noWrap w:val="0"/>
            <w:vAlign w:val="top"/>
          </w:tcPr>
          <w:p w14:paraId="0BBA7AB7">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半导体变流器 变压器和电抗器</w:t>
            </w:r>
          </w:p>
        </w:tc>
      </w:tr>
      <w:tr w14:paraId="17C1CEA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0D00E412">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GB/T 17626</w:t>
            </w:r>
          </w:p>
        </w:tc>
        <w:tc>
          <w:tcPr>
            <w:tcW w:w="7309" w:type="dxa"/>
            <w:noWrap w:val="0"/>
            <w:vAlign w:val="center"/>
          </w:tcPr>
          <w:p w14:paraId="7E9F85E1">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电磁兼容 试验和测量技术</w:t>
            </w:r>
          </w:p>
        </w:tc>
      </w:tr>
      <w:tr w14:paraId="376A14A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463865B7">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GB/T 14048.1</w:t>
            </w:r>
          </w:p>
        </w:tc>
        <w:tc>
          <w:tcPr>
            <w:tcW w:w="7309" w:type="dxa"/>
            <w:noWrap w:val="0"/>
            <w:vAlign w:val="center"/>
          </w:tcPr>
          <w:p w14:paraId="250C2DA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低压开关设备和控制设备  第1部分：总则</w:t>
            </w:r>
          </w:p>
        </w:tc>
      </w:tr>
      <w:tr w14:paraId="7260827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21F02B6A">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GB 7947</w:t>
            </w:r>
          </w:p>
        </w:tc>
        <w:tc>
          <w:tcPr>
            <w:tcW w:w="7309" w:type="dxa"/>
            <w:noWrap w:val="0"/>
            <w:vAlign w:val="center"/>
          </w:tcPr>
          <w:p w14:paraId="3566E80F">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人机界面标志标识的基本和安全规则 导体的颜色或数字标识</w:t>
            </w:r>
          </w:p>
        </w:tc>
      </w:tr>
      <w:tr w14:paraId="284766A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233724E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12325</w:t>
            </w:r>
          </w:p>
        </w:tc>
        <w:tc>
          <w:tcPr>
            <w:tcW w:w="7309" w:type="dxa"/>
            <w:noWrap w:val="0"/>
            <w:vAlign w:val="top"/>
          </w:tcPr>
          <w:p w14:paraId="761C9451">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电能质量 供电电压允许偏差</w:t>
            </w:r>
          </w:p>
        </w:tc>
      </w:tr>
      <w:tr w14:paraId="543498E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77B889B4">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12326</w:t>
            </w:r>
          </w:p>
        </w:tc>
        <w:tc>
          <w:tcPr>
            <w:tcW w:w="7309" w:type="dxa"/>
            <w:noWrap w:val="0"/>
            <w:vAlign w:val="top"/>
          </w:tcPr>
          <w:p w14:paraId="62BF8407">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电能质量 电压波动和闪变</w:t>
            </w:r>
          </w:p>
        </w:tc>
      </w:tr>
      <w:tr w14:paraId="188F044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685386E1">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14549</w:t>
            </w:r>
          </w:p>
        </w:tc>
        <w:tc>
          <w:tcPr>
            <w:tcW w:w="7309" w:type="dxa"/>
            <w:noWrap w:val="0"/>
            <w:vAlign w:val="top"/>
          </w:tcPr>
          <w:p w14:paraId="63F5C194">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电能质量 公用电网谐波</w:t>
            </w:r>
          </w:p>
        </w:tc>
      </w:tr>
      <w:tr w14:paraId="6103783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165A2B33">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15543</w:t>
            </w:r>
          </w:p>
        </w:tc>
        <w:tc>
          <w:tcPr>
            <w:tcW w:w="7309" w:type="dxa"/>
            <w:noWrap w:val="0"/>
            <w:vAlign w:val="top"/>
          </w:tcPr>
          <w:p w14:paraId="780009AD">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电能质量 三相电压不平衡</w:t>
            </w:r>
          </w:p>
        </w:tc>
      </w:tr>
      <w:tr w14:paraId="5F385EC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708CCE5A">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/T 15945</w:t>
            </w:r>
          </w:p>
        </w:tc>
        <w:tc>
          <w:tcPr>
            <w:tcW w:w="7309" w:type="dxa"/>
            <w:noWrap w:val="0"/>
            <w:vAlign w:val="top"/>
          </w:tcPr>
          <w:p w14:paraId="5982F1D3">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电能质量 电力系统频率偏差</w:t>
            </w:r>
          </w:p>
        </w:tc>
      </w:tr>
      <w:tr w14:paraId="03AEF15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0B6FC991">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24337</w:t>
            </w:r>
          </w:p>
        </w:tc>
        <w:tc>
          <w:tcPr>
            <w:tcW w:w="7309" w:type="dxa"/>
            <w:noWrap w:val="0"/>
            <w:vAlign w:val="top"/>
          </w:tcPr>
          <w:p w14:paraId="4201F1E2">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电能质量公用电网间谐波</w:t>
            </w:r>
          </w:p>
        </w:tc>
      </w:tr>
      <w:tr w14:paraId="192DEA2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243CC54C">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17799.3</w:t>
            </w:r>
          </w:p>
        </w:tc>
        <w:tc>
          <w:tcPr>
            <w:tcW w:w="7309" w:type="dxa"/>
            <w:noWrap w:val="0"/>
            <w:vAlign w:val="center"/>
          </w:tcPr>
          <w:p w14:paraId="351012F4">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电磁兼容 通用标准 居住、商业和轻工业环境中的发射</w:t>
            </w:r>
          </w:p>
        </w:tc>
      </w:tr>
      <w:tr w14:paraId="4A2D918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44D2D398">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17799.4</w:t>
            </w:r>
          </w:p>
        </w:tc>
        <w:tc>
          <w:tcPr>
            <w:tcW w:w="7309" w:type="dxa"/>
            <w:noWrap w:val="0"/>
            <w:vAlign w:val="top"/>
          </w:tcPr>
          <w:p w14:paraId="5B17B3FC">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电磁兼容 通用标准 工业环境中的发射</w:t>
            </w:r>
          </w:p>
        </w:tc>
      </w:tr>
      <w:tr w14:paraId="6BF0800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top"/>
          </w:tcPr>
          <w:p w14:paraId="61F57B19">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311.1</w:t>
            </w:r>
          </w:p>
        </w:tc>
        <w:tc>
          <w:tcPr>
            <w:tcW w:w="7309" w:type="dxa"/>
            <w:noWrap w:val="0"/>
            <w:vAlign w:val="top"/>
          </w:tcPr>
          <w:p w14:paraId="4895020D">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绝缘配合 第1部分：定义、原则和规则</w:t>
            </w:r>
          </w:p>
        </w:tc>
      </w:tr>
      <w:tr w14:paraId="7FE1671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top"/>
          </w:tcPr>
          <w:p w14:paraId="165C087E">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311.2</w:t>
            </w:r>
          </w:p>
        </w:tc>
        <w:tc>
          <w:tcPr>
            <w:tcW w:w="7309" w:type="dxa"/>
            <w:noWrap w:val="0"/>
            <w:vAlign w:val="top"/>
          </w:tcPr>
          <w:p w14:paraId="53BAA16C">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绝缘配合 第2部分：使用导则</w:t>
            </w:r>
          </w:p>
        </w:tc>
      </w:tr>
      <w:tr w14:paraId="488E3C7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6503C409">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14598.3</w:t>
            </w:r>
          </w:p>
        </w:tc>
        <w:tc>
          <w:tcPr>
            <w:tcW w:w="7309" w:type="dxa"/>
            <w:noWrap w:val="0"/>
            <w:vAlign w:val="center"/>
          </w:tcPr>
          <w:p w14:paraId="105A15F4">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绝缘试验</w:t>
            </w:r>
          </w:p>
        </w:tc>
      </w:tr>
      <w:tr w14:paraId="2B50B43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1976F870">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4208</w:t>
            </w:r>
          </w:p>
        </w:tc>
        <w:tc>
          <w:tcPr>
            <w:tcW w:w="7309" w:type="dxa"/>
            <w:noWrap w:val="0"/>
            <w:vAlign w:val="top"/>
          </w:tcPr>
          <w:p w14:paraId="5874FC5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外壳防护等级（IP代码）（IEC 60529:1998）</w:t>
            </w:r>
          </w:p>
        </w:tc>
      </w:tr>
      <w:tr w14:paraId="0175201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4D8B8C3C">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4942.2</w:t>
            </w:r>
          </w:p>
        </w:tc>
        <w:tc>
          <w:tcPr>
            <w:tcW w:w="7309" w:type="dxa"/>
            <w:noWrap w:val="0"/>
            <w:vAlign w:val="top"/>
          </w:tcPr>
          <w:p w14:paraId="56032A58">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低压电器外壳防护等级</w:t>
            </w:r>
          </w:p>
        </w:tc>
      </w:tr>
      <w:tr w14:paraId="0F02051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25A3BE09">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50054</w:t>
            </w:r>
          </w:p>
        </w:tc>
        <w:tc>
          <w:tcPr>
            <w:tcW w:w="7309" w:type="dxa"/>
            <w:noWrap w:val="0"/>
            <w:vAlign w:val="top"/>
          </w:tcPr>
          <w:p w14:paraId="6F931D2A">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低压配电设计规范</w:t>
            </w:r>
          </w:p>
        </w:tc>
      </w:tr>
      <w:tr w14:paraId="59283B1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599F63DC">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1984</w:t>
            </w:r>
          </w:p>
        </w:tc>
        <w:tc>
          <w:tcPr>
            <w:tcW w:w="7309" w:type="dxa"/>
            <w:noWrap w:val="0"/>
            <w:vAlign w:val="top"/>
          </w:tcPr>
          <w:p w14:paraId="2C7D5C1E">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高压交流断路器</w:t>
            </w:r>
          </w:p>
        </w:tc>
      </w:tr>
      <w:tr w14:paraId="524E162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51064469">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3906</w:t>
            </w:r>
          </w:p>
        </w:tc>
        <w:tc>
          <w:tcPr>
            <w:tcW w:w="7309" w:type="dxa"/>
            <w:noWrap w:val="0"/>
            <w:vAlign w:val="top"/>
          </w:tcPr>
          <w:p w14:paraId="47FDE8A6">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3.6kV～40.5kV 交流金属封闭开关设备和控制设备</w:t>
            </w:r>
          </w:p>
        </w:tc>
      </w:tr>
      <w:tr w14:paraId="5FFBF9C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72D618C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11022</w:t>
            </w:r>
          </w:p>
        </w:tc>
        <w:tc>
          <w:tcPr>
            <w:tcW w:w="7309" w:type="dxa"/>
            <w:noWrap w:val="0"/>
            <w:vAlign w:val="top"/>
          </w:tcPr>
          <w:p w14:paraId="5E339FA7">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高压开关设备和控制设备标准的共用技术要求</w:t>
            </w:r>
          </w:p>
        </w:tc>
      </w:tr>
      <w:tr w14:paraId="4866D49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1AC8389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1208</w:t>
            </w:r>
          </w:p>
        </w:tc>
        <w:tc>
          <w:tcPr>
            <w:tcW w:w="7309" w:type="dxa"/>
            <w:noWrap w:val="0"/>
            <w:vAlign w:val="center"/>
          </w:tcPr>
          <w:p w14:paraId="752D8B34">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电流互感器</w:t>
            </w:r>
          </w:p>
        </w:tc>
      </w:tr>
      <w:tr w14:paraId="28F97D4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44ADB0AE">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1207</w:t>
            </w:r>
          </w:p>
        </w:tc>
        <w:tc>
          <w:tcPr>
            <w:tcW w:w="7309" w:type="dxa"/>
            <w:noWrap w:val="0"/>
            <w:vAlign w:val="center"/>
          </w:tcPr>
          <w:p w14:paraId="14BE4CF9">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电压互感器</w:t>
            </w:r>
          </w:p>
        </w:tc>
      </w:tr>
      <w:tr w14:paraId="29044C2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077D3A3A">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11032</w:t>
            </w:r>
          </w:p>
        </w:tc>
        <w:tc>
          <w:tcPr>
            <w:tcW w:w="7309" w:type="dxa"/>
            <w:noWrap w:val="0"/>
            <w:vAlign w:val="center"/>
          </w:tcPr>
          <w:p w14:paraId="68B4B0C1">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交流无间隙金属氧化物避雷器</w:t>
            </w:r>
          </w:p>
        </w:tc>
      </w:tr>
      <w:tr w14:paraId="1B2318D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35E6281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7251</w:t>
            </w:r>
          </w:p>
        </w:tc>
        <w:tc>
          <w:tcPr>
            <w:tcW w:w="7309" w:type="dxa"/>
            <w:noWrap w:val="0"/>
            <w:vAlign w:val="center"/>
          </w:tcPr>
          <w:p w14:paraId="58FAEDE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低压成套开关设备</w:t>
            </w:r>
          </w:p>
        </w:tc>
      </w:tr>
      <w:tr w14:paraId="77599D9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05248AE1">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50150</w:t>
            </w:r>
          </w:p>
        </w:tc>
        <w:tc>
          <w:tcPr>
            <w:tcW w:w="7309" w:type="dxa"/>
            <w:noWrap w:val="0"/>
            <w:vAlign w:val="center"/>
          </w:tcPr>
          <w:p w14:paraId="593010A6">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电气装置安装工程电气设备交接试验标准</w:t>
            </w:r>
          </w:p>
        </w:tc>
      </w:tr>
      <w:tr w14:paraId="59C2B5D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709A6CAD">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50064</w:t>
            </w:r>
          </w:p>
        </w:tc>
        <w:tc>
          <w:tcPr>
            <w:tcW w:w="7309" w:type="dxa"/>
            <w:noWrap w:val="0"/>
            <w:vAlign w:val="center"/>
          </w:tcPr>
          <w:p w14:paraId="65CDA4CD">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交流电气装置的过电压保护和绝缘配合设计规范</w:t>
            </w:r>
          </w:p>
        </w:tc>
      </w:tr>
      <w:tr w14:paraId="1EDF81E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3BCDDEAC">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50063</w:t>
            </w:r>
          </w:p>
        </w:tc>
        <w:tc>
          <w:tcPr>
            <w:tcW w:w="7309" w:type="dxa"/>
            <w:noWrap w:val="0"/>
            <w:vAlign w:val="center"/>
          </w:tcPr>
          <w:p w14:paraId="5B0D1EB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电力装置电测量仪表装置设计规范</w:t>
            </w:r>
          </w:p>
        </w:tc>
      </w:tr>
      <w:tr w14:paraId="33749C0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60FB823B">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19666</w:t>
            </w:r>
          </w:p>
        </w:tc>
        <w:tc>
          <w:tcPr>
            <w:tcW w:w="7309" w:type="dxa"/>
            <w:noWrap w:val="0"/>
            <w:vAlign w:val="top"/>
          </w:tcPr>
          <w:p w14:paraId="638784AC">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fldChar w:fldCharType="begin"/>
            </w:r>
            <w:r>
              <w:rPr>
                <w:rFonts w:hint="eastAsia" w:ascii="宋体" w:hAnsi="宋体" w:eastAsia="宋体" w:cs="宋体"/>
                <w:color w:val="auto"/>
                <w:kern w:val="2"/>
                <w:sz w:val="21"/>
                <w:szCs w:val="21"/>
                <w:highlight w:val="none"/>
                <w:lang w:val="en-US" w:eastAsia="zh-CN" w:bidi="ar-SA"/>
              </w:rPr>
              <w:instrText xml:space="preserve"> HYPERLINK "http://www.baidu.com/link?url=p-_zT9GdgDnCVLIoZC2Z_3Umi22gCl0clfYN4p2ELON9F7D3Ssxqevm0sptraljCArGVyzzmAE2bV2-btzcX7QW4UrWfgx1PmhXSSTmXbTy" \t "_blank" </w:instrText>
            </w:r>
            <w:r>
              <w:rPr>
                <w:rFonts w:hint="eastAsia" w:ascii="宋体" w:hAnsi="宋体" w:eastAsia="宋体" w:cs="宋体"/>
                <w:color w:val="auto"/>
                <w:kern w:val="2"/>
                <w:sz w:val="21"/>
                <w:szCs w:val="21"/>
                <w:highlight w:val="none"/>
                <w:lang w:val="en-US" w:eastAsia="zh-CN" w:bidi="ar-SA"/>
              </w:rPr>
              <w:fldChar w:fldCharType="separate"/>
            </w:r>
            <w:r>
              <w:rPr>
                <w:rFonts w:hint="eastAsia" w:ascii="宋体" w:hAnsi="宋体" w:eastAsia="宋体" w:cs="宋体"/>
                <w:color w:val="auto"/>
                <w:kern w:val="2"/>
                <w:sz w:val="21"/>
                <w:szCs w:val="21"/>
                <w:highlight w:val="none"/>
                <w:lang w:val="en-US" w:eastAsia="zh-CN" w:bidi="ar-SA"/>
              </w:rPr>
              <w:t>阻燃和耐火电线电缆通则</w:t>
            </w:r>
            <w:r>
              <w:rPr>
                <w:rFonts w:hint="eastAsia" w:ascii="宋体" w:hAnsi="宋体" w:eastAsia="宋体" w:cs="宋体"/>
                <w:color w:val="auto"/>
                <w:kern w:val="2"/>
                <w:sz w:val="21"/>
                <w:szCs w:val="21"/>
                <w:highlight w:val="none"/>
                <w:lang w:val="en-US" w:eastAsia="zh-CN" w:bidi="ar-SA"/>
              </w:rPr>
              <w:fldChar w:fldCharType="end"/>
            </w:r>
          </w:p>
        </w:tc>
      </w:tr>
      <w:tr w14:paraId="43229E7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3B67D892">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14598.9</w:t>
            </w:r>
          </w:p>
        </w:tc>
        <w:tc>
          <w:tcPr>
            <w:tcW w:w="7309" w:type="dxa"/>
            <w:noWrap w:val="0"/>
            <w:vAlign w:val="center"/>
          </w:tcPr>
          <w:p w14:paraId="64C4DDEF">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辐射电磁场干扰试验</w:t>
            </w:r>
          </w:p>
        </w:tc>
      </w:tr>
      <w:tr w14:paraId="765F33B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25E104AD">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14598.14</w:t>
            </w:r>
          </w:p>
        </w:tc>
        <w:tc>
          <w:tcPr>
            <w:tcW w:w="7309" w:type="dxa"/>
            <w:noWrap w:val="0"/>
            <w:vAlign w:val="center"/>
          </w:tcPr>
          <w:p w14:paraId="441FD6EC">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静电放电试验</w:t>
            </w:r>
          </w:p>
        </w:tc>
      </w:tr>
      <w:tr w14:paraId="434F001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556E397E">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17626.8</w:t>
            </w:r>
          </w:p>
        </w:tc>
        <w:tc>
          <w:tcPr>
            <w:tcW w:w="7309" w:type="dxa"/>
            <w:noWrap w:val="0"/>
            <w:vAlign w:val="center"/>
          </w:tcPr>
          <w:p w14:paraId="71F04872">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工频磁场抗扰度试验</w:t>
            </w:r>
          </w:p>
        </w:tc>
      </w:tr>
      <w:tr w14:paraId="4F9602E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344E361D">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51048-2014</w:t>
            </w:r>
          </w:p>
        </w:tc>
        <w:tc>
          <w:tcPr>
            <w:tcW w:w="7309" w:type="dxa"/>
            <w:noWrap w:val="0"/>
            <w:vAlign w:val="top"/>
          </w:tcPr>
          <w:p w14:paraId="65927636">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电化学储能电站设计规范</w:t>
            </w:r>
          </w:p>
        </w:tc>
      </w:tr>
      <w:tr w14:paraId="15B45D8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249FDD11">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34120</w:t>
            </w:r>
          </w:p>
        </w:tc>
        <w:tc>
          <w:tcPr>
            <w:tcW w:w="7309" w:type="dxa"/>
            <w:noWrap w:val="0"/>
            <w:vAlign w:val="top"/>
          </w:tcPr>
          <w:p w14:paraId="30009FA2">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电化学储能系统储能变流器技术规范</w:t>
            </w:r>
          </w:p>
        </w:tc>
      </w:tr>
      <w:tr w14:paraId="7BA8159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39A56913">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34133</w:t>
            </w:r>
          </w:p>
        </w:tc>
        <w:tc>
          <w:tcPr>
            <w:tcW w:w="7309" w:type="dxa"/>
            <w:noWrap w:val="0"/>
            <w:vAlign w:val="top"/>
          </w:tcPr>
          <w:p w14:paraId="7CB7B7B6">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储能变流器检测技术规程</w:t>
            </w:r>
          </w:p>
        </w:tc>
      </w:tr>
      <w:tr w14:paraId="1CBB09C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top"/>
          </w:tcPr>
          <w:p w14:paraId="248D7789">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36547</w:t>
            </w:r>
          </w:p>
        </w:tc>
        <w:tc>
          <w:tcPr>
            <w:tcW w:w="7309" w:type="dxa"/>
            <w:noWrap w:val="0"/>
            <w:vAlign w:val="top"/>
          </w:tcPr>
          <w:p w14:paraId="36BE808E">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电化学储能系统接入电网技术规定</w:t>
            </w:r>
          </w:p>
        </w:tc>
      </w:tr>
      <w:tr w14:paraId="79268D5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top"/>
          </w:tcPr>
          <w:p w14:paraId="0CCD2528">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36548</w:t>
            </w:r>
          </w:p>
        </w:tc>
        <w:tc>
          <w:tcPr>
            <w:tcW w:w="7309" w:type="dxa"/>
            <w:noWrap w:val="0"/>
            <w:vAlign w:val="top"/>
          </w:tcPr>
          <w:p w14:paraId="29F8CF0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电化学储能系统接入电网测试规范</w:t>
            </w:r>
          </w:p>
        </w:tc>
      </w:tr>
      <w:tr w14:paraId="2BE9B4E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top"/>
          </w:tcPr>
          <w:p w14:paraId="00BFE68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36549</w:t>
            </w:r>
          </w:p>
        </w:tc>
        <w:tc>
          <w:tcPr>
            <w:tcW w:w="7309" w:type="dxa"/>
            <w:noWrap w:val="0"/>
            <w:vAlign w:val="top"/>
          </w:tcPr>
          <w:p w14:paraId="55C66ED8">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电化学储能电站运行指标及评价</w:t>
            </w:r>
          </w:p>
        </w:tc>
      </w:tr>
      <w:tr w14:paraId="4D69E33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top"/>
          </w:tcPr>
          <w:p w14:paraId="0565192A">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36558</w:t>
            </w:r>
          </w:p>
        </w:tc>
        <w:tc>
          <w:tcPr>
            <w:tcW w:w="7309" w:type="dxa"/>
            <w:noWrap w:val="0"/>
            <w:vAlign w:val="top"/>
          </w:tcPr>
          <w:p w14:paraId="0D3BBF5B">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电力系统电化学储能系统通用技术条件</w:t>
            </w:r>
          </w:p>
        </w:tc>
      </w:tr>
      <w:tr w14:paraId="6C270B5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2024F7A9">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IEC 63056</w:t>
            </w:r>
          </w:p>
        </w:tc>
        <w:tc>
          <w:tcPr>
            <w:tcW w:w="7309" w:type="dxa"/>
            <w:noWrap w:val="0"/>
            <w:vAlign w:val="center"/>
          </w:tcPr>
          <w:p w14:paraId="7974776A">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最高直流电压为1500V的电力储能系统用二次锂电池和电池组的安全要求和测试方法</w:t>
            </w:r>
          </w:p>
        </w:tc>
      </w:tr>
      <w:tr w14:paraId="26B12B8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287D1B6F">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DL/T 527</w:t>
            </w:r>
          </w:p>
        </w:tc>
        <w:tc>
          <w:tcPr>
            <w:tcW w:w="7309" w:type="dxa"/>
            <w:noWrap w:val="0"/>
            <w:vAlign w:val="top"/>
          </w:tcPr>
          <w:p w14:paraId="0B1CBAE5">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静态继电保护装置逆变电源技术条件</w:t>
            </w:r>
          </w:p>
        </w:tc>
      </w:tr>
      <w:tr w14:paraId="03C1EC8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658FAB44">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DL/T 402</w:t>
            </w:r>
          </w:p>
        </w:tc>
        <w:tc>
          <w:tcPr>
            <w:tcW w:w="7309" w:type="dxa"/>
            <w:noWrap w:val="0"/>
            <w:vAlign w:val="center"/>
          </w:tcPr>
          <w:p w14:paraId="1E87783A">
            <w:pPr>
              <w:keepNext w:val="0"/>
              <w:keepLines w:val="0"/>
              <w:pageBreakBefore w:val="0"/>
              <w:suppressLineNumbers w:val="0"/>
              <w:kinsoku/>
              <w:wordWrap/>
              <w:autoSpaceDE w:val="0"/>
              <w:autoSpaceDN w:val="0"/>
              <w:bidi w:val="0"/>
              <w:adjustRightIn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高压交流断路器订货技术条件</w:t>
            </w:r>
          </w:p>
        </w:tc>
      </w:tr>
      <w:tr w14:paraId="058D973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79A5C42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DL/T 404</w:t>
            </w:r>
          </w:p>
        </w:tc>
        <w:tc>
          <w:tcPr>
            <w:tcW w:w="7309" w:type="dxa"/>
            <w:noWrap w:val="0"/>
            <w:vAlign w:val="center"/>
          </w:tcPr>
          <w:p w14:paraId="33DBCD8C">
            <w:pPr>
              <w:keepNext w:val="0"/>
              <w:keepLines w:val="0"/>
              <w:pageBreakBefore w:val="0"/>
              <w:suppressLineNumbers w:val="0"/>
              <w:kinsoku/>
              <w:wordWrap/>
              <w:autoSpaceDE w:val="0"/>
              <w:autoSpaceDN w:val="0"/>
              <w:bidi w:val="0"/>
              <w:adjustRightIn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3.6kV～40.5kV 交流金属封闭开关设备和控制设备</w:t>
            </w:r>
          </w:p>
        </w:tc>
      </w:tr>
      <w:tr w14:paraId="795ECD4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5B08D936">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DL/T 645</w:t>
            </w:r>
          </w:p>
        </w:tc>
        <w:tc>
          <w:tcPr>
            <w:tcW w:w="7309" w:type="dxa"/>
            <w:noWrap w:val="0"/>
            <w:vAlign w:val="top"/>
          </w:tcPr>
          <w:p w14:paraId="18CA77AD">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多功能电能表通信规约</w:t>
            </w:r>
          </w:p>
        </w:tc>
      </w:tr>
      <w:tr w14:paraId="6E16562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358B09F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DL/T 5429</w:t>
            </w:r>
          </w:p>
        </w:tc>
        <w:tc>
          <w:tcPr>
            <w:tcW w:w="7309" w:type="dxa"/>
            <w:noWrap w:val="0"/>
            <w:vAlign w:val="top"/>
          </w:tcPr>
          <w:p w14:paraId="5ED4396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电力系统设计技术规程</w:t>
            </w:r>
          </w:p>
        </w:tc>
      </w:tr>
      <w:tr w14:paraId="2A43E60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0EA56976">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DL/T 527</w:t>
            </w:r>
          </w:p>
        </w:tc>
        <w:tc>
          <w:tcPr>
            <w:tcW w:w="7309" w:type="dxa"/>
            <w:noWrap w:val="0"/>
            <w:vAlign w:val="top"/>
          </w:tcPr>
          <w:p w14:paraId="4AFCF602">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静态继电保护装置逆变电源技术条件</w:t>
            </w:r>
          </w:p>
        </w:tc>
      </w:tr>
      <w:tr w14:paraId="1B22F92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noWrap w:val="0"/>
            <w:vAlign w:val="center"/>
          </w:tcPr>
          <w:p w14:paraId="6FC90AB1">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Q/GDW 10769-2017</w:t>
            </w:r>
          </w:p>
        </w:tc>
        <w:tc>
          <w:tcPr>
            <w:tcW w:w="7309" w:type="dxa"/>
            <w:noWrap w:val="0"/>
            <w:vAlign w:val="center"/>
          </w:tcPr>
          <w:p w14:paraId="4D912440">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电化学储能电站技术导则</w:t>
            </w:r>
          </w:p>
        </w:tc>
      </w:tr>
      <w:tr w14:paraId="29B248C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tcBorders>
              <w:top w:val="single" w:color="auto" w:sz="6" w:space="0"/>
              <w:left w:val="single" w:color="auto" w:sz="8" w:space="0"/>
              <w:bottom w:val="single" w:color="auto" w:sz="6" w:space="0"/>
              <w:right w:val="single" w:color="auto" w:sz="6" w:space="0"/>
            </w:tcBorders>
            <w:noWrap w:val="0"/>
            <w:vAlign w:val="center"/>
          </w:tcPr>
          <w:p w14:paraId="2A0BC807">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16935.1</w:t>
            </w:r>
          </w:p>
        </w:tc>
        <w:tc>
          <w:tcPr>
            <w:tcW w:w="7309" w:type="dxa"/>
            <w:tcBorders>
              <w:top w:val="single" w:color="auto" w:sz="6" w:space="0"/>
              <w:left w:val="single" w:color="auto" w:sz="6" w:space="0"/>
              <w:bottom w:val="single" w:color="auto" w:sz="6" w:space="0"/>
              <w:right w:val="single" w:color="auto" w:sz="8" w:space="0"/>
            </w:tcBorders>
            <w:noWrap w:val="0"/>
            <w:vAlign w:val="center"/>
          </w:tcPr>
          <w:p w14:paraId="34003D5A">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低压系统内设备的绝缘配合 第1部分：原理、要求和试验</w:t>
            </w:r>
          </w:p>
        </w:tc>
      </w:tr>
      <w:tr w14:paraId="080CFA0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tcBorders>
              <w:top w:val="single" w:color="auto" w:sz="6" w:space="0"/>
              <w:left w:val="single" w:color="auto" w:sz="8" w:space="0"/>
              <w:bottom w:val="single" w:color="auto" w:sz="6" w:space="0"/>
              <w:right w:val="single" w:color="auto" w:sz="6" w:space="0"/>
            </w:tcBorders>
            <w:noWrap w:val="0"/>
            <w:vAlign w:val="center"/>
          </w:tcPr>
          <w:p w14:paraId="76544D54">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36276</w:t>
            </w:r>
          </w:p>
        </w:tc>
        <w:tc>
          <w:tcPr>
            <w:tcW w:w="7309" w:type="dxa"/>
            <w:tcBorders>
              <w:top w:val="single" w:color="auto" w:sz="6" w:space="0"/>
              <w:left w:val="single" w:color="auto" w:sz="6" w:space="0"/>
              <w:bottom w:val="single" w:color="auto" w:sz="6" w:space="0"/>
              <w:right w:val="single" w:color="auto" w:sz="8" w:space="0"/>
            </w:tcBorders>
            <w:noWrap w:val="0"/>
            <w:vAlign w:val="center"/>
          </w:tcPr>
          <w:p w14:paraId="111AD1EE">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电力储能用锂离子电池</w:t>
            </w:r>
          </w:p>
        </w:tc>
      </w:tr>
      <w:tr w14:paraId="0DBD9EA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tcBorders>
              <w:top w:val="single" w:color="auto" w:sz="6" w:space="0"/>
              <w:left w:val="single" w:color="auto" w:sz="8" w:space="0"/>
              <w:bottom w:val="single" w:color="auto" w:sz="6" w:space="0"/>
              <w:right w:val="single" w:color="auto" w:sz="6" w:space="0"/>
            </w:tcBorders>
            <w:noWrap w:val="0"/>
            <w:vAlign w:val="center"/>
          </w:tcPr>
          <w:p w14:paraId="5731EBA3">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Style w:val="102"/>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GB/T 34131</w:t>
            </w:r>
          </w:p>
        </w:tc>
        <w:tc>
          <w:tcPr>
            <w:tcW w:w="7309" w:type="dxa"/>
            <w:tcBorders>
              <w:top w:val="single" w:color="auto" w:sz="6" w:space="0"/>
              <w:left w:val="single" w:color="auto" w:sz="6" w:space="0"/>
              <w:bottom w:val="single" w:color="auto" w:sz="6" w:space="0"/>
              <w:right w:val="single" w:color="auto" w:sz="8" w:space="0"/>
            </w:tcBorders>
            <w:noWrap w:val="0"/>
            <w:vAlign w:val="center"/>
          </w:tcPr>
          <w:p w14:paraId="10F21343">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电化学储能站用锂离子电池管理系统技术规范</w:t>
            </w:r>
          </w:p>
        </w:tc>
      </w:tr>
      <w:tr w14:paraId="444948B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tcBorders>
              <w:top w:val="single" w:color="auto" w:sz="6" w:space="0"/>
              <w:left w:val="single" w:color="auto" w:sz="8" w:space="0"/>
              <w:bottom w:val="single" w:color="auto" w:sz="6" w:space="0"/>
              <w:right w:val="single" w:color="auto" w:sz="6" w:space="0"/>
            </w:tcBorders>
            <w:noWrap w:val="0"/>
            <w:vAlign w:val="center"/>
          </w:tcPr>
          <w:p w14:paraId="1C7E63F7">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50065</w:t>
            </w:r>
          </w:p>
        </w:tc>
        <w:tc>
          <w:tcPr>
            <w:tcW w:w="7309" w:type="dxa"/>
            <w:tcBorders>
              <w:top w:val="single" w:color="auto" w:sz="6" w:space="0"/>
              <w:left w:val="single" w:color="auto" w:sz="6" w:space="0"/>
              <w:bottom w:val="single" w:color="auto" w:sz="6" w:space="0"/>
              <w:right w:val="single" w:color="auto" w:sz="8" w:space="0"/>
            </w:tcBorders>
            <w:noWrap w:val="0"/>
            <w:vAlign w:val="center"/>
          </w:tcPr>
          <w:p w14:paraId="158D8D9D">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交流电气装置的接地设计规范</w:t>
            </w:r>
          </w:p>
        </w:tc>
      </w:tr>
      <w:tr w14:paraId="1D85505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tcBorders>
              <w:top w:val="single" w:color="auto" w:sz="6" w:space="0"/>
              <w:left w:val="single" w:color="auto" w:sz="8" w:space="0"/>
              <w:bottom w:val="single" w:color="auto" w:sz="6" w:space="0"/>
              <w:right w:val="single" w:color="auto" w:sz="6" w:space="0"/>
            </w:tcBorders>
            <w:noWrap w:val="0"/>
            <w:vAlign w:val="center"/>
          </w:tcPr>
          <w:p w14:paraId="560068F4">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50217</w:t>
            </w:r>
          </w:p>
        </w:tc>
        <w:tc>
          <w:tcPr>
            <w:tcW w:w="7309" w:type="dxa"/>
            <w:tcBorders>
              <w:top w:val="single" w:color="auto" w:sz="6" w:space="0"/>
              <w:left w:val="single" w:color="auto" w:sz="6" w:space="0"/>
              <w:bottom w:val="single" w:color="auto" w:sz="6" w:space="0"/>
              <w:right w:val="single" w:color="auto" w:sz="8" w:space="0"/>
            </w:tcBorders>
            <w:noWrap w:val="0"/>
            <w:vAlign w:val="center"/>
          </w:tcPr>
          <w:p w14:paraId="07C6F4B3">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电力工程电缆设计标准</w:t>
            </w:r>
          </w:p>
        </w:tc>
      </w:tr>
      <w:tr w14:paraId="1F148D8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tcBorders>
              <w:top w:val="single" w:color="auto" w:sz="6" w:space="0"/>
              <w:left w:val="single" w:color="auto" w:sz="8" w:space="0"/>
              <w:bottom w:val="single" w:color="auto" w:sz="6" w:space="0"/>
              <w:right w:val="single" w:color="auto" w:sz="6" w:space="0"/>
            </w:tcBorders>
            <w:noWrap w:val="0"/>
            <w:vAlign w:val="center"/>
          </w:tcPr>
          <w:p w14:paraId="7C9B8225">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 51309</w:t>
            </w:r>
          </w:p>
        </w:tc>
        <w:tc>
          <w:tcPr>
            <w:tcW w:w="7309" w:type="dxa"/>
            <w:tcBorders>
              <w:top w:val="single" w:color="auto" w:sz="6" w:space="0"/>
              <w:left w:val="single" w:color="auto" w:sz="6" w:space="0"/>
              <w:bottom w:val="single" w:color="auto" w:sz="6" w:space="0"/>
              <w:right w:val="single" w:color="auto" w:sz="8" w:space="0"/>
            </w:tcBorders>
            <w:noWrap w:val="0"/>
            <w:vAlign w:val="center"/>
          </w:tcPr>
          <w:p w14:paraId="09DB1108">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消防应急照明和疏散指示系统技术标准</w:t>
            </w:r>
          </w:p>
        </w:tc>
      </w:tr>
      <w:tr w14:paraId="3DA012F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368" w:type="dxa"/>
            <w:tcBorders>
              <w:top w:val="single" w:color="auto" w:sz="6" w:space="0"/>
              <w:left w:val="single" w:color="auto" w:sz="8" w:space="0"/>
              <w:bottom w:val="single" w:color="auto" w:sz="6" w:space="0"/>
              <w:right w:val="single" w:color="auto" w:sz="6" w:space="0"/>
            </w:tcBorders>
            <w:noWrap w:val="0"/>
            <w:vAlign w:val="center"/>
          </w:tcPr>
          <w:p w14:paraId="07BBD349">
            <w:pPr>
              <w:pStyle w:val="101"/>
              <w:keepNext w:val="0"/>
              <w:keepLines w:val="0"/>
              <w:pageBreakBefore w:val="0"/>
              <w:widowControl/>
              <w:suppressLineNumbers w:val="0"/>
              <w:kinsoku/>
              <w:wordWrap/>
              <w:bidi w:val="0"/>
              <w:spacing w:before="0" w:beforeAutospacing="0" w:after="0" w:afterAutospacing="0" w:line="288" w:lineRule="auto"/>
              <w:ind w:left="0" w:leftChars="0" w:right="0"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DL/T 866</w:t>
            </w:r>
          </w:p>
        </w:tc>
        <w:tc>
          <w:tcPr>
            <w:tcW w:w="7309" w:type="dxa"/>
            <w:tcBorders>
              <w:top w:val="single" w:color="auto" w:sz="6" w:space="0"/>
              <w:left w:val="single" w:color="auto" w:sz="6" w:space="0"/>
              <w:bottom w:val="single" w:color="auto" w:sz="6" w:space="0"/>
              <w:right w:val="single" w:color="auto" w:sz="8" w:space="0"/>
            </w:tcBorders>
            <w:noWrap w:val="0"/>
            <w:vAlign w:val="center"/>
          </w:tcPr>
          <w:p w14:paraId="46D4AD9C">
            <w:pPr>
              <w:keepNext w:val="0"/>
              <w:keepLines w:val="0"/>
              <w:pageBreakBefore w:val="0"/>
              <w:widowControl w:val="0"/>
              <w:suppressLineNumbers w:val="0"/>
              <w:kinsoku/>
              <w:wordWrap/>
              <w:overflowPunct w:val="0"/>
              <w:topLinePunct/>
              <w:bidi w:val="0"/>
              <w:adjustRightInd w:val="0"/>
              <w:snapToGrid w:val="0"/>
              <w:spacing w:before="0" w:beforeAutospacing="0" w:after="0" w:afterAutospacing="0" w:line="288" w:lineRule="auto"/>
              <w:ind w:left="0" w:leftChars="0" w:right="0" w:firstLine="0" w:firstLineChars="0"/>
              <w:jc w:val="left"/>
              <w:textAlignment w:val="auto"/>
              <w:rPr>
                <w:rStyle w:val="102"/>
                <w:rFonts w:hint="eastAsia" w:ascii="宋体" w:hAnsi="宋体" w:eastAsia="宋体" w:cs="宋体"/>
                <w:color w:val="auto"/>
                <w:kern w:val="2"/>
                <w:sz w:val="21"/>
                <w:szCs w:val="21"/>
                <w:highlight w:val="none"/>
                <w:lang w:val="en-US" w:eastAsia="zh-CN" w:bidi="ar-SA"/>
              </w:rPr>
            </w:pPr>
            <w:r>
              <w:rPr>
                <w:rStyle w:val="102"/>
                <w:rFonts w:hint="eastAsia" w:ascii="宋体" w:hAnsi="宋体" w:eastAsia="宋体" w:cs="宋体"/>
                <w:color w:val="auto"/>
                <w:kern w:val="2"/>
                <w:sz w:val="21"/>
                <w:szCs w:val="21"/>
                <w:highlight w:val="none"/>
                <w:lang w:val="en-US" w:eastAsia="zh-CN" w:bidi="ar-SA"/>
              </w:rPr>
              <w:t>电流互感器和电压互咸器选择及计算规程</w:t>
            </w:r>
          </w:p>
        </w:tc>
      </w:tr>
    </w:tbl>
    <w:p w14:paraId="4A2CD04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2、设备技术要求</w:t>
      </w:r>
    </w:p>
    <w:p w14:paraId="0D395EE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详见附件2《东莞市新有能源投资有限公司电化学储能电站-储能柜技术规范总要求》、附件5：《Modbus TCP规约点表》</w:t>
      </w:r>
    </w:p>
    <w:p w14:paraId="35F2F42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3、施工技术要求</w:t>
      </w:r>
    </w:p>
    <w:p w14:paraId="5B0F364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设备维护及雨棚、监控系统、建设需要符合采购人的要求（如：项目设备设计在房屋内无需加装雨棚）。详见附件3：《东莞市新有能源投资有限公司电化学储能电站-施工技术要求》、附件4：《东莞市新有能源投资有限公司电化学储能电站配套设施建设标准》。</w:t>
      </w:r>
    </w:p>
    <w:p w14:paraId="1FE9DFA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详见附件1《东莞市新有能源投资有限公司储能项目-技术要求》等全过程的施工承包工作</w:t>
      </w:r>
    </w:p>
    <w:p w14:paraId="39FEF0B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4、服务要求</w:t>
      </w:r>
    </w:p>
    <w:p w14:paraId="2BD84AE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4.1一般要求</w:t>
      </w:r>
    </w:p>
    <w:p w14:paraId="17DCCA1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投标人在提供储能设备的同时，应提供相应的技术服务，以确保储能设备能顺利投入使用，并且能正常、高效和长期运行。投标人应提供的主要技术服务包括如下几大类：</w:t>
      </w:r>
    </w:p>
    <w:p w14:paraId="25820881">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负责所供设备的运输；</w:t>
      </w:r>
    </w:p>
    <w:p w14:paraId="2414D2F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负责所供设备的调试和试运行；</w:t>
      </w:r>
    </w:p>
    <w:p w14:paraId="4A66ECE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负责所供设备质量保证期的保证责任，如设备的维修、免费更换；</w:t>
      </w:r>
    </w:p>
    <w:p w14:paraId="3C44CE3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4）</w:t>
      </w:r>
      <w:r>
        <w:rPr>
          <w:rFonts w:hint="eastAsia" w:ascii="宋体" w:hAnsi="宋体" w:eastAsia="宋体" w:cs="宋体"/>
          <w:color w:val="auto"/>
          <w:kern w:val="2"/>
          <w:sz w:val="21"/>
          <w:szCs w:val="21"/>
          <w:highlight w:val="none"/>
          <w:lang w:val="en-US" w:eastAsia="zh-CN" w:bidi="ar-SA"/>
        </w:rPr>
        <w:t>对</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指派的运行、维护、检修等人员的培训；</w:t>
      </w:r>
    </w:p>
    <w:p w14:paraId="40B2AE2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4.2 安装、调试、试运行</w:t>
      </w:r>
    </w:p>
    <w:p w14:paraId="1A688B2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4.2.1 安装</w:t>
      </w:r>
    </w:p>
    <w:p w14:paraId="5325D9D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安装、对现场安装人员的培训及安装交底、调试和试运行包括：</w:t>
      </w:r>
    </w:p>
    <w:p w14:paraId="3F4CA62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负责设备安装前准备工作：</w:t>
      </w:r>
    </w:p>
    <w:p w14:paraId="66E2D241">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ab/>
      </w:r>
      <w:r>
        <w:rPr>
          <w:rFonts w:hint="eastAsia" w:ascii="宋体" w:hAnsi="宋体" w:eastAsia="宋体" w:cs="宋体"/>
          <w:color w:val="auto"/>
          <w:kern w:val="2"/>
          <w:sz w:val="21"/>
          <w:szCs w:val="21"/>
          <w:highlight w:val="none"/>
          <w:lang w:val="en-US" w:eastAsia="zh-CN" w:bidi="ar-SA"/>
        </w:rPr>
        <w:t>提供所供设备的安装手册，详细说明设备卸货、组装、安装和试运行；</w:t>
      </w:r>
    </w:p>
    <w:p w14:paraId="28A552A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ab/>
      </w:r>
      <w:r>
        <w:rPr>
          <w:rFonts w:hint="eastAsia" w:ascii="宋体" w:hAnsi="宋体" w:eastAsia="宋体" w:cs="宋体"/>
          <w:color w:val="auto"/>
          <w:kern w:val="2"/>
          <w:sz w:val="21"/>
          <w:szCs w:val="21"/>
          <w:highlight w:val="none"/>
          <w:lang w:val="en-US" w:eastAsia="zh-CN" w:bidi="ar-SA"/>
        </w:rPr>
        <w:t>对安装人员提供确保安全装配/安装所需的必要培训；</w:t>
      </w:r>
    </w:p>
    <w:p w14:paraId="46C66ED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ab/>
      </w:r>
      <w:r>
        <w:rPr>
          <w:rFonts w:hint="eastAsia" w:ascii="宋体" w:hAnsi="宋体" w:eastAsia="宋体" w:cs="宋体"/>
          <w:color w:val="auto"/>
          <w:kern w:val="2"/>
          <w:sz w:val="21"/>
          <w:szCs w:val="21"/>
          <w:highlight w:val="none"/>
          <w:lang w:val="en-US" w:eastAsia="zh-CN" w:bidi="ar-SA"/>
        </w:rPr>
        <w:t>提供安装必需的专用工具；</w:t>
      </w:r>
    </w:p>
    <w:p w14:paraId="51F6740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ab/>
      </w:r>
      <w:r>
        <w:rPr>
          <w:rFonts w:hint="eastAsia" w:ascii="宋体" w:hAnsi="宋体" w:eastAsia="宋体" w:cs="宋体"/>
          <w:color w:val="auto"/>
          <w:kern w:val="2"/>
          <w:sz w:val="21"/>
          <w:szCs w:val="21"/>
          <w:highlight w:val="none"/>
          <w:lang w:val="en-US" w:eastAsia="zh-CN" w:bidi="ar-SA"/>
        </w:rPr>
        <w:t>检查安装现场的准备情况；</w:t>
      </w:r>
    </w:p>
    <w:p w14:paraId="76F9E0E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ab/>
      </w:r>
      <w:r>
        <w:rPr>
          <w:rFonts w:hint="eastAsia" w:ascii="宋体" w:hAnsi="宋体" w:eastAsia="宋体" w:cs="宋体"/>
          <w:color w:val="auto"/>
          <w:kern w:val="2"/>
          <w:sz w:val="21"/>
          <w:szCs w:val="21"/>
          <w:highlight w:val="none"/>
          <w:lang w:val="en-US" w:eastAsia="zh-CN" w:bidi="ar-SA"/>
        </w:rPr>
        <w:t>对将要安装的设备进行检查和清点。</w:t>
      </w:r>
    </w:p>
    <w:p w14:paraId="4630A71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设备安装期间投标人的工作：</w:t>
      </w:r>
    </w:p>
    <w:p w14:paraId="0002363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现场进行所供设备的安装工作；</w:t>
      </w:r>
    </w:p>
    <w:p w14:paraId="04F6273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与现场其它投标人（如果有的话）协调。</w:t>
      </w:r>
    </w:p>
    <w:p w14:paraId="5F84986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4.2.2 设备调试</w:t>
      </w:r>
    </w:p>
    <w:p w14:paraId="3F2B3F1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设备安装结束后，投标人全面参与设备的调试，设备调试结束后投标人应提交一份调试完成报告书，报告应包括（但不限于）以下内容：</w:t>
      </w:r>
    </w:p>
    <w:p w14:paraId="26F4D5B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调试的执行情况；</w:t>
      </w:r>
    </w:p>
    <w:p w14:paraId="7907C8B1">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调试的起止时间；</w:t>
      </w:r>
    </w:p>
    <w:p w14:paraId="47625F6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调试中发生的典型问题及解决办法；</w:t>
      </w:r>
    </w:p>
    <w:p w14:paraId="62E426B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调试中更换的部件。</w:t>
      </w:r>
    </w:p>
    <w:p w14:paraId="52DCAE9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4.2.3 设备试运行</w:t>
      </w:r>
    </w:p>
    <w:p w14:paraId="73AA2DC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设备安装结束后，投标人全面参与设备的试运行，试运行结束后投标人应提交一份试运行验收申请书，经</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确认后进入设备的正常运行。</w:t>
      </w:r>
    </w:p>
    <w:p w14:paraId="6617BAC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4.3 现场技术服务</w:t>
      </w:r>
    </w:p>
    <w:p w14:paraId="67657FE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投标人现场服务人员的目的是使所供设备安全、正常投运。投标人应派合格的、能独立解决问题的现场服务人员。</w:t>
      </w:r>
    </w:p>
    <w:p w14:paraId="203B46E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4.3.1 投标人提供的包括服务人天数的现场服务计划表应能满足工程需要。如果由于投标人的原因，实际的人天数不满足投标人在下表中的承诺，并有权要求投标人追加人天数；如果由于</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的原因，实际的人天数不能满足工程需要，</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要求追加人天数的，发生的费用由</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承担。</w:t>
      </w:r>
    </w:p>
    <w:p w14:paraId="4430EAF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4.3.2 投标人服务人员的一切费用已包含在投标总价中，它包括诸如服务人员的工资及各种补助、交通费、通讯费、食宿费、医疗费、各种保险费、各种税费等等。</w:t>
      </w:r>
    </w:p>
    <w:p w14:paraId="2AA5769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4.3.3 现场服务人员的工作时间应与现场要求相一致，以满足现场安装、调试和试运行的要求。</w:t>
      </w:r>
    </w:p>
    <w:p w14:paraId="21C0608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4.3.4 下述现场服务表中的天数均为现场服务人员天数。</w:t>
      </w:r>
    </w:p>
    <w:p w14:paraId="1ADC601A">
      <w:pPr>
        <w:keepNext w:val="0"/>
        <w:keepLines w:val="0"/>
        <w:pageBreakBefore w:val="0"/>
        <w:widowControl/>
        <w:kinsoku/>
        <w:wordWrap/>
        <w:overflowPunct/>
        <w:topLinePunct w:val="0"/>
        <w:autoSpaceDE/>
        <w:autoSpaceDN/>
        <w:bidi w:val="0"/>
        <w:adjustRightInd w:val="0"/>
        <w:snapToGrid w:val="0"/>
        <w:spacing w:after="0" w:line="360" w:lineRule="auto"/>
        <w:ind w:left="0" w:leftChars="0" w:firstLine="0" w:firstLineChars="0"/>
        <w:jc w:val="center"/>
        <w:textAlignment w:val="auto"/>
        <w:rPr>
          <w:rFonts w:hint="eastAsia" w:ascii="宋体" w:hAnsi="宋体" w:eastAsia="宋体" w:cs="宋体"/>
          <w:color w:val="auto"/>
          <w:spacing w:val="-1"/>
          <w:kern w:val="0"/>
          <w:sz w:val="21"/>
          <w:szCs w:val="21"/>
          <w:highlight w:val="none"/>
        </w:rPr>
      </w:pPr>
      <w:r>
        <w:rPr>
          <w:rFonts w:hint="eastAsia" w:ascii="宋体" w:hAnsi="宋体" w:eastAsia="宋体" w:cs="宋体"/>
          <w:color w:val="auto"/>
          <w:spacing w:val="-1"/>
          <w:kern w:val="0"/>
          <w:sz w:val="21"/>
          <w:szCs w:val="21"/>
          <w:highlight w:val="none"/>
        </w:rPr>
        <w:t>表10 现场服务计划表</w:t>
      </w:r>
    </w:p>
    <w:tbl>
      <w:tblPr>
        <w:tblStyle w:val="29"/>
        <w:tblW w:w="95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08"/>
        <w:gridCol w:w="1971"/>
        <w:gridCol w:w="1779"/>
        <w:gridCol w:w="1405"/>
        <w:gridCol w:w="1504"/>
        <w:gridCol w:w="2148"/>
      </w:tblGrid>
      <w:tr w14:paraId="1FD3F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08" w:type="dxa"/>
            <w:vMerge w:val="restart"/>
            <w:noWrap w:val="0"/>
            <w:vAlign w:val="center"/>
          </w:tcPr>
          <w:p w14:paraId="0280D2A2">
            <w:pPr>
              <w:pageBreakBefore w:val="0"/>
              <w:kinsoku/>
              <w:wordWrap/>
              <w:bidi w:val="0"/>
              <w:adjustRightInd w:val="0"/>
              <w:snapToGrid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971" w:type="dxa"/>
            <w:vMerge w:val="restart"/>
            <w:noWrap w:val="0"/>
            <w:vAlign w:val="center"/>
          </w:tcPr>
          <w:p w14:paraId="53C227D9">
            <w:pPr>
              <w:pageBreakBefore w:val="0"/>
              <w:kinsoku/>
              <w:wordWrap/>
              <w:bidi w:val="0"/>
              <w:adjustRightInd w:val="0"/>
              <w:snapToGrid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技术服务内容</w:t>
            </w:r>
          </w:p>
        </w:tc>
        <w:tc>
          <w:tcPr>
            <w:tcW w:w="1779" w:type="dxa"/>
            <w:vMerge w:val="restart"/>
            <w:noWrap w:val="0"/>
            <w:vAlign w:val="center"/>
          </w:tcPr>
          <w:p w14:paraId="6B9ECD5D">
            <w:pPr>
              <w:pageBreakBefore w:val="0"/>
              <w:kinsoku/>
              <w:wordWrap/>
              <w:bidi w:val="0"/>
              <w:adjustRightInd w:val="0"/>
              <w:snapToGrid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总的计划</w:t>
            </w:r>
            <w:r>
              <w:rPr>
                <w:rFonts w:hint="eastAsia" w:ascii="宋体" w:hAnsi="宋体" w:eastAsia="宋体" w:cs="宋体"/>
                <w:color w:val="auto"/>
                <w:sz w:val="21"/>
                <w:szCs w:val="21"/>
                <w:highlight w:val="none"/>
                <w:lang w:val="en-US" w:eastAsia="zh-CN"/>
              </w:rPr>
              <w:t>天</w:t>
            </w:r>
            <w:r>
              <w:rPr>
                <w:rFonts w:hint="eastAsia" w:ascii="宋体" w:hAnsi="宋体" w:eastAsia="宋体" w:cs="宋体"/>
                <w:color w:val="auto"/>
                <w:sz w:val="21"/>
                <w:szCs w:val="21"/>
                <w:highlight w:val="none"/>
              </w:rPr>
              <w:t>数</w:t>
            </w:r>
          </w:p>
        </w:tc>
        <w:tc>
          <w:tcPr>
            <w:tcW w:w="2909" w:type="dxa"/>
            <w:gridSpan w:val="2"/>
            <w:noWrap w:val="0"/>
            <w:vAlign w:val="center"/>
          </w:tcPr>
          <w:p w14:paraId="394ED146">
            <w:pPr>
              <w:pageBreakBefore w:val="0"/>
              <w:kinsoku/>
              <w:wordWrap/>
              <w:bidi w:val="0"/>
              <w:adjustRightInd w:val="0"/>
              <w:snapToGrid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派出人员构成</w:t>
            </w:r>
          </w:p>
        </w:tc>
        <w:tc>
          <w:tcPr>
            <w:tcW w:w="2148" w:type="dxa"/>
            <w:vMerge w:val="restart"/>
            <w:noWrap w:val="0"/>
            <w:vAlign w:val="center"/>
          </w:tcPr>
          <w:p w14:paraId="65DCC935">
            <w:pPr>
              <w:pageBreakBefore w:val="0"/>
              <w:kinsoku/>
              <w:wordWrap/>
              <w:bidi w:val="0"/>
              <w:adjustRightInd w:val="0"/>
              <w:snapToGrid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14:paraId="087AA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08" w:type="dxa"/>
            <w:vMerge w:val="continue"/>
            <w:noWrap w:val="0"/>
            <w:vAlign w:val="center"/>
          </w:tcPr>
          <w:p w14:paraId="2E5AF4AB">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971" w:type="dxa"/>
            <w:vMerge w:val="continue"/>
            <w:noWrap w:val="0"/>
            <w:vAlign w:val="center"/>
          </w:tcPr>
          <w:p w14:paraId="306D8552">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779" w:type="dxa"/>
            <w:vMerge w:val="continue"/>
            <w:noWrap w:val="0"/>
            <w:vAlign w:val="center"/>
          </w:tcPr>
          <w:p w14:paraId="02BEC2AF">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405" w:type="dxa"/>
            <w:noWrap w:val="0"/>
            <w:vAlign w:val="center"/>
          </w:tcPr>
          <w:p w14:paraId="5A43ECA6">
            <w:pPr>
              <w:pageBreakBefore w:val="0"/>
              <w:kinsoku/>
              <w:wordWrap/>
              <w:bidi w:val="0"/>
              <w:adjustRightInd w:val="0"/>
              <w:snapToGrid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职称</w:t>
            </w:r>
          </w:p>
        </w:tc>
        <w:tc>
          <w:tcPr>
            <w:tcW w:w="1504" w:type="dxa"/>
            <w:noWrap w:val="0"/>
            <w:vAlign w:val="center"/>
          </w:tcPr>
          <w:p w14:paraId="17371556">
            <w:pPr>
              <w:pageBreakBefore w:val="0"/>
              <w:kinsoku/>
              <w:wordWrap/>
              <w:bidi w:val="0"/>
              <w:adjustRightInd w:val="0"/>
              <w:snapToGrid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人数</w:t>
            </w:r>
          </w:p>
        </w:tc>
        <w:tc>
          <w:tcPr>
            <w:tcW w:w="2148" w:type="dxa"/>
            <w:vMerge w:val="continue"/>
            <w:noWrap w:val="0"/>
            <w:vAlign w:val="center"/>
          </w:tcPr>
          <w:p w14:paraId="0C29A9A9">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r w14:paraId="4051C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08" w:type="dxa"/>
            <w:noWrap w:val="0"/>
            <w:vAlign w:val="center"/>
          </w:tcPr>
          <w:p w14:paraId="2433B1D1">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971" w:type="dxa"/>
            <w:noWrap w:val="0"/>
            <w:vAlign w:val="center"/>
          </w:tcPr>
          <w:p w14:paraId="5FE47014">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779" w:type="dxa"/>
            <w:noWrap w:val="0"/>
            <w:vAlign w:val="center"/>
          </w:tcPr>
          <w:p w14:paraId="276A7B47">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405" w:type="dxa"/>
            <w:noWrap w:val="0"/>
            <w:vAlign w:val="center"/>
          </w:tcPr>
          <w:p w14:paraId="1A04722D">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504" w:type="dxa"/>
            <w:noWrap w:val="0"/>
            <w:vAlign w:val="center"/>
          </w:tcPr>
          <w:p w14:paraId="673B18A2">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2148" w:type="dxa"/>
            <w:noWrap w:val="0"/>
            <w:vAlign w:val="center"/>
          </w:tcPr>
          <w:p w14:paraId="53E072E9">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r w14:paraId="02172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08" w:type="dxa"/>
            <w:noWrap w:val="0"/>
            <w:vAlign w:val="center"/>
          </w:tcPr>
          <w:p w14:paraId="27D66229">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971" w:type="dxa"/>
            <w:noWrap w:val="0"/>
            <w:vAlign w:val="center"/>
          </w:tcPr>
          <w:p w14:paraId="5D10AAB2">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779" w:type="dxa"/>
            <w:noWrap w:val="0"/>
            <w:vAlign w:val="center"/>
          </w:tcPr>
          <w:p w14:paraId="3BF5AA85">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405" w:type="dxa"/>
            <w:noWrap w:val="0"/>
            <w:vAlign w:val="center"/>
          </w:tcPr>
          <w:p w14:paraId="4E6553A1">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504" w:type="dxa"/>
            <w:noWrap w:val="0"/>
            <w:vAlign w:val="center"/>
          </w:tcPr>
          <w:p w14:paraId="20271171">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2148" w:type="dxa"/>
            <w:noWrap w:val="0"/>
            <w:vAlign w:val="center"/>
          </w:tcPr>
          <w:p w14:paraId="35A62BC5">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r w14:paraId="1068B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708" w:type="dxa"/>
            <w:noWrap w:val="0"/>
            <w:vAlign w:val="center"/>
          </w:tcPr>
          <w:p w14:paraId="686FC2A5">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971" w:type="dxa"/>
            <w:noWrap w:val="0"/>
            <w:vAlign w:val="center"/>
          </w:tcPr>
          <w:p w14:paraId="2C2CDFEC">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779" w:type="dxa"/>
            <w:noWrap w:val="0"/>
            <w:vAlign w:val="center"/>
          </w:tcPr>
          <w:p w14:paraId="61C8B6CC">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405" w:type="dxa"/>
            <w:noWrap w:val="0"/>
            <w:vAlign w:val="center"/>
          </w:tcPr>
          <w:p w14:paraId="27AB8F7B">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504" w:type="dxa"/>
            <w:noWrap w:val="0"/>
            <w:vAlign w:val="center"/>
          </w:tcPr>
          <w:p w14:paraId="2963A228">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2148" w:type="dxa"/>
            <w:noWrap w:val="0"/>
            <w:vAlign w:val="center"/>
          </w:tcPr>
          <w:p w14:paraId="2AAA6CC1">
            <w:pPr>
              <w:pageBreakBefore w:val="0"/>
              <w:kinsoku/>
              <w:wordWrap/>
              <w:bidi w:val="0"/>
              <w:adjustRightInd w:val="0"/>
              <w:snapToGrid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bl>
    <w:p w14:paraId="4CA1E41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4.3.5 投标人现场服务人员具有下列资质：</w:t>
      </w:r>
    </w:p>
    <w:p w14:paraId="35A7C99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遵守中华人民共和国法律，遵守现场的各项规章和制度；</w:t>
      </w:r>
    </w:p>
    <w:p w14:paraId="208972C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有较强的责任感和事业心，按时到位；</w:t>
      </w:r>
    </w:p>
    <w:p w14:paraId="4C1E251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了解招标设备的设计，熟悉其结构，有相同或相近设备的现场工作经验，能够正确地进行现场指导及作业；</w:t>
      </w:r>
    </w:p>
    <w:p w14:paraId="4946491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4）</w:t>
      </w:r>
      <w:r>
        <w:rPr>
          <w:rFonts w:hint="eastAsia" w:ascii="宋体" w:hAnsi="宋体" w:eastAsia="宋体" w:cs="宋体"/>
          <w:color w:val="auto"/>
          <w:kern w:val="2"/>
          <w:sz w:val="21"/>
          <w:szCs w:val="21"/>
          <w:highlight w:val="none"/>
          <w:lang w:val="en-US" w:eastAsia="zh-CN" w:bidi="ar-SA"/>
        </w:rPr>
        <w:t>现场安装和调试人员应具备相应专业作业的国家承认的资格证书，具备从事相应工作的技术能力、管理能力。</w:t>
      </w:r>
    </w:p>
    <w:p w14:paraId="4D8F2DB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身体健康，适应现场工作的条件。</w:t>
      </w:r>
    </w:p>
    <w:p w14:paraId="33F02851">
      <w:pPr>
        <w:keepNext w:val="0"/>
        <w:keepLines w:val="0"/>
        <w:pageBreakBefore w:val="0"/>
        <w:widowControl/>
        <w:kinsoku/>
        <w:wordWrap/>
        <w:overflowPunct/>
        <w:topLinePunct w:val="0"/>
        <w:autoSpaceDE/>
        <w:autoSpaceDN/>
        <w:bidi w:val="0"/>
        <w:adjustRightInd w:val="0"/>
        <w:snapToGrid w:val="0"/>
        <w:spacing w:after="0" w:line="360" w:lineRule="auto"/>
        <w:ind w:left="0" w:leftChars="0" w:firstLine="0" w:firstLineChars="0"/>
        <w:jc w:val="center"/>
        <w:textAlignment w:val="auto"/>
        <w:rPr>
          <w:rFonts w:hint="eastAsia" w:ascii="宋体" w:hAnsi="宋体" w:eastAsia="宋体" w:cs="宋体"/>
          <w:color w:val="auto"/>
          <w:spacing w:val="-1"/>
          <w:kern w:val="0"/>
          <w:sz w:val="21"/>
          <w:szCs w:val="21"/>
          <w:highlight w:val="none"/>
        </w:rPr>
      </w:pPr>
      <w:r>
        <w:rPr>
          <w:rFonts w:hint="eastAsia" w:ascii="宋体" w:hAnsi="宋体" w:eastAsia="宋体" w:cs="宋体"/>
          <w:color w:val="auto"/>
          <w:spacing w:val="-1"/>
          <w:kern w:val="0"/>
          <w:sz w:val="21"/>
          <w:szCs w:val="21"/>
          <w:highlight w:val="none"/>
        </w:rPr>
        <w:t>表11 服务人员情况表</w:t>
      </w:r>
    </w:p>
    <w:tbl>
      <w:tblPr>
        <w:tblStyle w:val="29"/>
        <w:tblW w:w="9673"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4"/>
        <w:gridCol w:w="962"/>
        <w:gridCol w:w="1637"/>
        <w:gridCol w:w="1223"/>
        <w:gridCol w:w="1130"/>
        <w:gridCol w:w="1132"/>
        <w:gridCol w:w="1229"/>
        <w:gridCol w:w="896"/>
      </w:tblGrid>
      <w:tr w14:paraId="4DB9820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64" w:type="dxa"/>
            <w:tcBorders>
              <w:top w:val="single" w:color="auto" w:sz="4" w:space="0"/>
              <w:left w:val="single" w:color="auto" w:sz="4" w:space="0"/>
              <w:bottom w:val="single" w:color="auto" w:sz="4" w:space="0"/>
            </w:tcBorders>
            <w:noWrap w:val="0"/>
            <w:vAlign w:val="center"/>
          </w:tcPr>
          <w:p w14:paraId="7026146D">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姓名</w:t>
            </w:r>
          </w:p>
        </w:tc>
        <w:tc>
          <w:tcPr>
            <w:tcW w:w="962" w:type="dxa"/>
            <w:tcBorders>
              <w:top w:val="single" w:color="auto" w:sz="4" w:space="0"/>
              <w:bottom w:val="single" w:color="auto" w:sz="4" w:space="0"/>
            </w:tcBorders>
            <w:noWrap w:val="0"/>
            <w:vAlign w:val="center"/>
          </w:tcPr>
          <w:p w14:paraId="5666903E">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c>
          <w:tcPr>
            <w:tcW w:w="1637" w:type="dxa"/>
            <w:tcBorders>
              <w:top w:val="single" w:color="auto" w:sz="4" w:space="0"/>
              <w:bottom w:val="single" w:color="auto" w:sz="4" w:space="0"/>
            </w:tcBorders>
            <w:noWrap w:val="0"/>
            <w:vAlign w:val="center"/>
          </w:tcPr>
          <w:p w14:paraId="4EEFB62A">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性别</w:t>
            </w:r>
          </w:p>
        </w:tc>
        <w:tc>
          <w:tcPr>
            <w:tcW w:w="1223" w:type="dxa"/>
            <w:tcBorders>
              <w:top w:val="single" w:color="auto" w:sz="4" w:space="0"/>
              <w:bottom w:val="single" w:color="auto" w:sz="4" w:space="0"/>
            </w:tcBorders>
            <w:noWrap w:val="0"/>
            <w:vAlign w:val="center"/>
          </w:tcPr>
          <w:p w14:paraId="0930303C">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c>
          <w:tcPr>
            <w:tcW w:w="1130" w:type="dxa"/>
            <w:tcBorders>
              <w:top w:val="single" w:color="auto" w:sz="4" w:space="0"/>
              <w:bottom w:val="single" w:color="auto" w:sz="4" w:space="0"/>
            </w:tcBorders>
            <w:noWrap w:val="0"/>
            <w:vAlign w:val="center"/>
          </w:tcPr>
          <w:p w14:paraId="40F372A2">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年龄</w:t>
            </w:r>
          </w:p>
        </w:tc>
        <w:tc>
          <w:tcPr>
            <w:tcW w:w="1132" w:type="dxa"/>
            <w:tcBorders>
              <w:top w:val="single" w:color="auto" w:sz="4" w:space="0"/>
              <w:bottom w:val="single" w:color="auto" w:sz="4" w:space="0"/>
            </w:tcBorders>
            <w:noWrap w:val="0"/>
            <w:vAlign w:val="center"/>
          </w:tcPr>
          <w:p w14:paraId="622B871D">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c>
          <w:tcPr>
            <w:tcW w:w="1229" w:type="dxa"/>
            <w:tcBorders>
              <w:top w:val="single" w:color="auto" w:sz="4" w:space="0"/>
              <w:bottom w:val="single" w:color="auto" w:sz="4" w:space="0"/>
            </w:tcBorders>
            <w:noWrap w:val="0"/>
            <w:vAlign w:val="center"/>
          </w:tcPr>
          <w:p w14:paraId="7ABD11C0">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民族</w:t>
            </w:r>
          </w:p>
        </w:tc>
        <w:tc>
          <w:tcPr>
            <w:tcW w:w="896" w:type="dxa"/>
            <w:tcBorders>
              <w:top w:val="single" w:color="auto" w:sz="4" w:space="0"/>
              <w:bottom w:val="single" w:color="auto" w:sz="4" w:space="0"/>
              <w:right w:val="single" w:color="auto" w:sz="4" w:space="0"/>
            </w:tcBorders>
            <w:noWrap w:val="0"/>
            <w:vAlign w:val="center"/>
          </w:tcPr>
          <w:p w14:paraId="3F023111">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r>
      <w:tr w14:paraId="0F94EC1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64" w:type="dxa"/>
            <w:tcBorders>
              <w:top w:val="single" w:color="auto" w:sz="4" w:space="0"/>
              <w:left w:val="single" w:color="auto" w:sz="4" w:space="0"/>
              <w:bottom w:val="single" w:color="auto" w:sz="4" w:space="0"/>
            </w:tcBorders>
            <w:noWrap w:val="0"/>
            <w:vAlign w:val="center"/>
          </w:tcPr>
          <w:p w14:paraId="09FC4ADF">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政治</w:t>
            </w:r>
          </w:p>
          <w:p w14:paraId="72F95BBB">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面貌</w:t>
            </w:r>
          </w:p>
        </w:tc>
        <w:tc>
          <w:tcPr>
            <w:tcW w:w="962" w:type="dxa"/>
            <w:tcBorders>
              <w:top w:val="single" w:color="auto" w:sz="4" w:space="0"/>
              <w:bottom w:val="single" w:color="auto" w:sz="4" w:space="0"/>
            </w:tcBorders>
            <w:noWrap w:val="0"/>
            <w:vAlign w:val="center"/>
          </w:tcPr>
          <w:p w14:paraId="2A54BD81">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c>
          <w:tcPr>
            <w:tcW w:w="1637" w:type="dxa"/>
            <w:tcBorders>
              <w:top w:val="single" w:color="auto" w:sz="4" w:space="0"/>
              <w:bottom w:val="single" w:color="auto" w:sz="4" w:space="0"/>
            </w:tcBorders>
            <w:noWrap w:val="0"/>
            <w:vAlign w:val="center"/>
          </w:tcPr>
          <w:p w14:paraId="235FD06A">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学校和专业</w:t>
            </w:r>
          </w:p>
        </w:tc>
        <w:tc>
          <w:tcPr>
            <w:tcW w:w="1223" w:type="dxa"/>
            <w:tcBorders>
              <w:top w:val="single" w:color="auto" w:sz="4" w:space="0"/>
              <w:bottom w:val="single" w:color="auto" w:sz="4" w:space="0"/>
            </w:tcBorders>
            <w:noWrap w:val="0"/>
            <w:vAlign w:val="center"/>
          </w:tcPr>
          <w:p w14:paraId="15911F17">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c>
          <w:tcPr>
            <w:tcW w:w="1130" w:type="dxa"/>
            <w:tcBorders>
              <w:top w:val="single" w:color="auto" w:sz="4" w:space="0"/>
              <w:bottom w:val="single" w:color="auto" w:sz="4" w:space="0"/>
            </w:tcBorders>
            <w:noWrap w:val="0"/>
            <w:vAlign w:val="center"/>
          </w:tcPr>
          <w:p w14:paraId="4E7822E1">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职务</w:t>
            </w:r>
          </w:p>
        </w:tc>
        <w:tc>
          <w:tcPr>
            <w:tcW w:w="1132" w:type="dxa"/>
            <w:tcBorders>
              <w:top w:val="single" w:color="auto" w:sz="4" w:space="0"/>
              <w:bottom w:val="single" w:color="auto" w:sz="4" w:space="0"/>
            </w:tcBorders>
            <w:noWrap w:val="0"/>
            <w:vAlign w:val="center"/>
          </w:tcPr>
          <w:p w14:paraId="658D5345">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c>
          <w:tcPr>
            <w:tcW w:w="1229" w:type="dxa"/>
            <w:tcBorders>
              <w:top w:val="single" w:color="auto" w:sz="4" w:space="0"/>
              <w:bottom w:val="single" w:color="auto" w:sz="4" w:space="0"/>
            </w:tcBorders>
            <w:noWrap w:val="0"/>
            <w:vAlign w:val="center"/>
          </w:tcPr>
          <w:p w14:paraId="1AF35169">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职称</w:t>
            </w:r>
          </w:p>
        </w:tc>
        <w:tc>
          <w:tcPr>
            <w:tcW w:w="896" w:type="dxa"/>
            <w:tcBorders>
              <w:top w:val="single" w:color="auto" w:sz="4" w:space="0"/>
              <w:bottom w:val="single" w:color="auto" w:sz="4" w:space="0"/>
              <w:right w:val="single" w:color="auto" w:sz="4" w:space="0"/>
            </w:tcBorders>
            <w:noWrap w:val="0"/>
            <w:vAlign w:val="center"/>
          </w:tcPr>
          <w:p w14:paraId="6B7CBA09">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p>
        </w:tc>
      </w:tr>
      <w:tr w14:paraId="2103DA3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843" w:hRule="atLeast"/>
        </w:trPr>
        <w:tc>
          <w:tcPr>
            <w:tcW w:w="1464" w:type="dxa"/>
            <w:tcBorders>
              <w:top w:val="single" w:color="auto" w:sz="4" w:space="0"/>
              <w:left w:val="single" w:color="auto" w:sz="4" w:space="0"/>
              <w:bottom w:val="single" w:color="auto" w:sz="4" w:space="0"/>
              <w:right w:val="single" w:color="auto" w:sz="4" w:space="0"/>
            </w:tcBorders>
            <w:noWrap w:val="0"/>
            <w:textDirection w:val="tbRlV"/>
            <w:vAlign w:val="center"/>
          </w:tcPr>
          <w:p w14:paraId="5A31AB95">
            <w:pPr>
              <w:pageBreakBefore w:val="0"/>
              <w:kinsoku/>
              <w:wordWrap/>
              <w:bidi w:val="0"/>
              <w:spacing w:after="0" w:line="240" w:lineRule="auto"/>
              <w:ind w:left="0" w:leftChars="0" w:right="113"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工作简历</w:t>
            </w:r>
          </w:p>
        </w:tc>
        <w:tc>
          <w:tcPr>
            <w:tcW w:w="8209" w:type="dxa"/>
            <w:gridSpan w:val="7"/>
            <w:tcBorders>
              <w:top w:val="single" w:color="auto" w:sz="4" w:space="0"/>
              <w:left w:val="single" w:color="auto" w:sz="4" w:space="0"/>
              <w:bottom w:val="single" w:color="auto" w:sz="4" w:space="0"/>
              <w:right w:val="single" w:color="auto" w:sz="4" w:space="0"/>
            </w:tcBorders>
            <w:noWrap w:val="0"/>
            <w:vAlign w:val="center"/>
          </w:tcPr>
          <w:p w14:paraId="056CC0B1">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（包括参加了哪些工程的现场服务）</w:t>
            </w:r>
          </w:p>
        </w:tc>
      </w:tr>
      <w:tr w14:paraId="16D9EA8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524" w:hRule="atLeast"/>
        </w:trPr>
        <w:tc>
          <w:tcPr>
            <w:tcW w:w="1464" w:type="dxa"/>
            <w:tcBorders>
              <w:top w:val="single" w:color="auto" w:sz="4" w:space="0"/>
              <w:left w:val="single" w:color="auto" w:sz="4" w:space="0"/>
              <w:bottom w:val="single" w:color="auto" w:sz="4" w:space="0"/>
              <w:right w:val="single" w:color="auto" w:sz="4" w:space="0"/>
            </w:tcBorders>
            <w:noWrap w:val="0"/>
            <w:textDirection w:val="tbRlV"/>
            <w:vAlign w:val="center"/>
          </w:tcPr>
          <w:p w14:paraId="75B9364E">
            <w:pPr>
              <w:pageBreakBefore w:val="0"/>
              <w:kinsoku/>
              <w:wordWrap/>
              <w:bidi w:val="0"/>
              <w:spacing w:after="0" w:line="240" w:lineRule="auto"/>
              <w:ind w:left="0" w:leftChars="0" w:right="113"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单位评价</w:t>
            </w:r>
          </w:p>
        </w:tc>
        <w:tc>
          <w:tcPr>
            <w:tcW w:w="8209" w:type="dxa"/>
            <w:gridSpan w:val="7"/>
            <w:tcBorders>
              <w:top w:val="single" w:color="auto" w:sz="4" w:space="0"/>
              <w:left w:val="single" w:color="auto" w:sz="4" w:space="0"/>
              <w:bottom w:val="single" w:color="auto" w:sz="4" w:space="0"/>
              <w:right w:val="single" w:color="auto" w:sz="4" w:space="0"/>
            </w:tcBorders>
            <w:noWrap w:val="0"/>
            <w:vAlign w:val="center"/>
          </w:tcPr>
          <w:p w14:paraId="1E056D0C">
            <w:pPr>
              <w:pageBreakBefore w:val="0"/>
              <w:kinsoku/>
              <w:wordWrap/>
              <w:bidi w:val="0"/>
              <w:spacing w:after="0"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（按资质5条逐条评价）</w:t>
            </w:r>
          </w:p>
          <w:p w14:paraId="396007CA">
            <w:pPr>
              <w:pageBreakBefore w:val="0"/>
              <w:kinsoku/>
              <w:wordWrap/>
              <w:bidi w:val="0"/>
              <w:spacing w:after="0" w:line="240" w:lineRule="auto"/>
              <w:ind w:left="0" w:leftChars="0" w:firstLine="0" w:firstLineChars="0"/>
              <w:jc w:val="right"/>
              <w:rPr>
                <w:rFonts w:hint="eastAsia" w:ascii="宋体" w:hAnsi="宋体" w:eastAsia="宋体" w:cs="宋体"/>
                <w:color w:val="auto"/>
                <w:sz w:val="21"/>
                <w:szCs w:val="21"/>
                <w:highlight w:val="none"/>
              </w:rPr>
            </w:pPr>
          </w:p>
          <w:p w14:paraId="29743CFE">
            <w:pPr>
              <w:pageBreakBefore w:val="0"/>
              <w:kinsoku/>
              <w:wordWrap/>
              <w:bidi w:val="0"/>
              <w:spacing w:after="0" w:line="240" w:lineRule="auto"/>
              <w:ind w:left="0" w:leftChars="0" w:right="420" w:firstLine="0" w:firstLineChars="0"/>
              <w:jc w:val="righ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单位（盖章）</w:t>
            </w:r>
          </w:p>
          <w:p w14:paraId="2090BCF8">
            <w:pPr>
              <w:pageBreakBefore w:val="0"/>
              <w:kinsoku/>
              <w:wordWrap/>
              <w:bidi w:val="0"/>
              <w:spacing w:after="0" w:line="240" w:lineRule="auto"/>
              <w:ind w:left="0" w:leftChars="0" w:right="480" w:firstLine="0" w:firstLineChars="0"/>
              <w:jc w:val="righ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   月   日</w:t>
            </w:r>
          </w:p>
        </w:tc>
      </w:tr>
    </w:tbl>
    <w:p w14:paraId="5EA5EE1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（注：每人一表）</w:t>
      </w:r>
    </w:p>
    <w:p w14:paraId="1C6ADCD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4.3.6 投标人现场技术服务人员的职责</w:t>
      </w:r>
    </w:p>
    <w:p w14:paraId="2FECD4C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投标人现场服务人员的任务主要包括设备的开箱检验、设备质量问题的处理和设备调试的协调、参加试运和性能验收试验以及现场技术培训。</w:t>
      </w:r>
    </w:p>
    <w:p w14:paraId="50C5955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在安装和调试前，投标人技术服务人员应向</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进行交底，提供设备安装和调试的重要工序和进度表，</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技术人员要对此进行确认。经</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确认的工序不因此而减轻投标人技术服务人员的任何责任，对安装和调试中出现的任何问题投标人仍要负全部责任。</w:t>
      </w:r>
    </w:p>
    <w:p w14:paraId="7EA1B3A9">
      <w:pPr>
        <w:keepNext w:val="0"/>
        <w:keepLines w:val="0"/>
        <w:pageBreakBefore w:val="0"/>
        <w:widowControl/>
        <w:kinsoku/>
        <w:wordWrap/>
        <w:overflowPunct/>
        <w:topLinePunct w:val="0"/>
        <w:autoSpaceDE/>
        <w:autoSpaceDN/>
        <w:bidi w:val="0"/>
        <w:adjustRightInd w:val="0"/>
        <w:snapToGrid w:val="0"/>
        <w:spacing w:after="0" w:line="360" w:lineRule="auto"/>
        <w:ind w:left="0" w:leftChars="0"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pacing w:val="-1"/>
          <w:kern w:val="0"/>
          <w:sz w:val="21"/>
          <w:szCs w:val="21"/>
          <w:highlight w:val="none"/>
        </w:rPr>
        <w:t>表12</w:t>
      </w:r>
      <w:r>
        <w:rPr>
          <w:rFonts w:hint="eastAsia" w:ascii="宋体" w:hAnsi="宋体" w:eastAsia="宋体" w:cs="宋体"/>
          <w:color w:val="auto"/>
          <w:spacing w:val="-1"/>
          <w:kern w:val="0"/>
          <w:sz w:val="21"/>
          <w:szCs w:val="21"/>
          <w:highlight w:val="none"/>
        </w:rPr>
        <w:tab/>
      </w:r>
      <w:r>
        <w:rPr>
          <w:rFonts w:hint="eastAsia" w:ascii="宋体" w:hAnsi="宋体" w:eastAsia="宋体" w:cs="宋体"/>
          <w:color w:val="auto"/>
          <w:spacing w:val="-1"/>
          <w:kern w:val="0"/>
          <w:sz w:val="21"/>
          <w:szCs w:val="21"/>
          <w:highlight w:val="none"/>
        </w:rPr>
        <w:t>安装和调试监督的重要工序表</w:t>
      </w:r>
    </w:p>
    <w:tbl>
      <w:tblPr>
        <w:tblStyle w:val="29"/>
        <w:tblW w:w="9515"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23"/>
        <w:gridCol w:w="3021"/>
        <w:gridCol w:w="3021"/>
        <w:gridCol w:w="2550"/>
      </w:tblGrid>
      <w:tr w14:paraId="2DA84D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923" w:type="dxa"/>
            <w:noWrap w:val="0"/>
            <w:vAlign w:val="center"/>
          </w:tcPr>
          <w:p w14:paraId="0F6D9A7C">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3021" w:type="dxa"/>
            <w:noWrap w:val="0"/>
            <w:vAlign w:val="center"/>
          </w:tcPr>
          <w:p w14:paraId="07B19947">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 序 名 称</w:t>
            </w:r>
          </w:p>
        </w:tc>
        <w:tc>
          <w:tcPr>
            <w:tcW w:w="3021" w:type="dxa"/>
            <w:noWrap w:val="0"/>
            <w:vAlign w:val="center"/>
          </w:tcPr>
          <w:p w14:paraId="5DFD1892">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工序主要内容</w:t>
            </w:r>
          </w:p>
        </w:tc>
        <w:tc>
          <w:tcPr>
            <w:tcW w:w="2550" w:type="dxa"/>
            <w:noWrap w:val="0"/>
            <w:vAlign w:val="center"/>
          </w:tcPr>
          <w:p w14:paraId="727606D9">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    注</w:t>
            </w:r>
          </w:p>
        </w:tc>
      </w:tr>
      <w:tr w14:paraId="31FD61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923" w:type="dxa"/>
            <w:noWrap w:val="0"/>
            <w:vAlign w:val="center"/>
          </w:tcPr>
          <w:p w14:paraId="253A5532">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3021" w:type="dxa"/>
            <w:noWrap w:val="0"/>
            <w:vAlign w:val="center"/>
          </w:tcPr>
          <w:p w14:paraId="0C507298">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设备安装</w:t>
            </w:r>
          </w:p>
        </w:tc>
        <w:tc>
          <w:tcPr>
            <w:tcW w:w="3021" w:type="dxa"/>
            <w:noWrap w:val="0"/>
            <w:vAlign w:val="center"/>
          </w:tcPr>
          <w:p w14:paraId="75FE2147">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2550" w:type="dxa"/>
            <w:noWrap w:val="0"/>
            <w:vAlign w:val="center"/>
          </w:tcPr>
          <w:p w14:paraId="5A40517B">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r w14:paraId="6AE1F6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923" w:type="dxa"/>
            <w:noWrap w:val="0"/>
            <w:vAlign w:val="center"/>
          </w:tcPr>
          <w:p w14:paraId="65B39CF6">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3021" w:type="dxa"/>
            <w:noWrap w:val="0"/>
            <w:vAlign w:val="center"/>
          </w:tcPr>
          <w:p w14:paraId="7044BB95">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设备调试</w:t>
            </w:r>
          </w:p>
        </w:tc>
        <w:tc>
          <w:tcPr>
            <w:tcW w:w="3021" w:type="dxa"/>
            <w:noWrap w:val="0"/>
            <w:vAlign w:val="center"/>
          </w:tcPr>
          <w:p w14:paraId="6AD987D8">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2550" w:type="dxa"/>
            <w:noWrap w:val="0"/>
            <w:vAlign w:val="center"/>
          </w:tcPr>
          <w:p w14:paraId="48142765">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bl>
    <w:p w14:paraId="3FA7840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投标人现场服务人员负责全权处理现场出现的一切技术问题。如现场发生质量问题，投标人现场人员要在</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规定的时间内处理解决。</w:t>
      </w:r>
    </w:p>
    <w:p w14:paraId="46309A5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default" w:ascii="宋体" w:hAnsi="宋体" w:eastAsia="宋体" w:cs="宋体"/>
          <w:color w:val="auto"/>
          <w:kern w:val="2"/>
          <w:sz w:val="21"/>
          <w:szCs w:val="21"/>
          <w:highlight w:val="none"/>
          <w:lang w:val="en-US" w:eastAsia="zh-CN" w:bidi="ar-SA"/>
        </w:rPr>
        <w:t>4）</w:t>
      </w:r>
      <w:r>
        <w:rPr>
          <w:rFonts w:hint="eastAsia" w:ascii="宋体" w:hAnsi="宋体" w:eastAsia="宋体" w:cs="宋体"/>
          <w:color w:val="auto"/>
          <w:kern w:val="2"/>
          <w:sz w:val="21"/>
          <w:szCs w:val="21"/>
          <w:highlight w:val="none"/>
          <w:lang w:val="en-US" w:eastAsia="zh-CN" w:bidi="ar-SA"/>
        </w:rPr>
        <w:t>投标人对其现场服务人员的一切行为负全部责任。</w:t>
      </w:r>
    </w:p>
    <w:p w14:paraId="03F4E7A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xml:space="preserve">4.3.7 </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的义务</w:t>
      </w:r>
    </w:p>
    <w:p w14:paraId="23AFFD0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应配合投标人现场服务人员的工作，并在生活、交通和通讯上提供方便。</w:t>
      </w:r>
    </w:p>
    <w:p w14:paraId="451FFA1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4.4 人员培训</w:t>
      </w:r>
    </w:p>
    <w:p w14:paraId="196EDE7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为使招标设备能正常安装、调试、运行、维护及检修，投标人有责任提供相应的技术培训。</w:t>
      </w:r>
    </w:p>
    <w:p w14:paraId="47FBEDF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4.4.1 培训内容应包括：投标人所提供设备的性能、技术原理和操作使用方法，维护管理的技术，实际操作练习，培训内容和时间应与工程进度相一致。</w:t>
      </w:r>
    </w:p>
    <w:p w14:paraId="1DE96C6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4.4.2 投标人应列出具体的培训计划。</w:t>
      </w:r>
    </w:p>
    <w:p w14:paraId="33AC819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4.4.3 厂验及培训人数、时间等事宜在谈判时再由双方商定，投标人先报出人·天单价。</w:t>
      </w:r>
    </w:p>
    <w:p w14:paraId="3A5DA44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4.4.4 培训计划和内容列出如下：</w:t>
      </w:r>
    </w:p>
    <w:p w14:paraId="47176899">
      <w:pPr>
        <w:keepNext w:val="0"/>
        <w:keepLines w:val="0"/>
        <w:pageBreakBefore w:val="0"/>
        <w:widowControl/>
        <w:kinsoku/>
        <w:wordWrap/>
        <w:overflowPunct/>
        <w:topLinePunct w:val="0"/>
        <w:autoSpaceDE/>
        <w:autoSpaceDN/>
        <w:bidi w:val="0"/>
        <w:adjustRightInd w:val="0"/>
        <w:snapToGrid w:val="0"/>
        <w:spacing w:after="0" w:line="360" w:lineRule="auto"/>
        <w:ind w:left="0" w:leftChars="0" w:firstLine="0" w:firstLineChars="0"/>
        <w:jc w:val="center"/>
        <w:textAlignment w:val="auto"/>
        <w:rPr>
          <w:rFonts w:hint="eastAsia" w:ascii="宋体" w:hAnsi="宋体" w:eastAsia="宋体" w:cs="宋体"/>
          <w:color w:val="auto"/>
          <w:spacing w:val="-1"/>
          <w:kern w:val="0"/>
          <w:sz w:val="21"/>
          <w:szCs w:val="21"/>
          <w:highlight w:val="none"/>
        </w:rPr>
      </w:pPr>
      <w:r>
        <w:rPr>
          <w:rFonts w:hint="eastAsia" w:ascii="宋体" w:hAnsi="宋体" w:eastAsia="宋体" w:cs="宋体"/>
          <w:color w:val="auto"/>
          <w:spacing w:val="-1"/>
          <w:kern w:val="0"/>
          <w:sz w:val="21"/>
          <w:szCs w:val="21"/>
          <w:highlight w:val="none"/>
        </w:rPr>
        <w:t>表13 培训计划表</w:t>
      </w:r>
    </w:p>
    <w:tbl>
      <w:tblPr>
        <w:tblStyle w:val="29"/>
        <w:tblW w:w="9513"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158"/>
        <w:gridCol w:w="1677"/>
        <w:gridCol w:w="1611"/>
        <w:gridCol w:w="1224"/>
        <w:gridCol w:w="1224"/>
        <w:gridCol w:w="1224"/>
        <w:gridCol w:w="1395"/>
      </w:tblGrid>
      <w:tr w14:paraId="420D5C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1158" w:type="dxa"/>
            <w:vMerge w:val="restart"/>
            <w:noWrap w:val="0"/>
            <w:vAlign w:val="center"/>
          </w:tcPr>
          <w:p w14:paraId="38E826A5">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677" w:type="dxa"/>
            <w:vMerge w:val="restart"/>
            <w:noWrap w:val="0"/>
            <w:vAlign w:val="center"/>
          </w:tcPr>
          <w:p w14:paraId="443363CC">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培训内容</w:t>
            </w:r>
          </w:p>
        </w:tc>
        <w:tc>
          <w:tcPr>
            <w:tcW w:w="1611" w:type="dxa"/>
            <w:vMerge w:val="restart"/>
            <w:noWrap w:val="0"/>
            <w:vAlign w:val="center"/>
          </w:tcPr>
          <w:p w14:paraId="32C9C985">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计划</w:t>
            </w:r>
            <w:r>
              <w:rPr>
                <w:rFonts w:hint="eastAsia" w:ascii="宋体" w:hAnsi="宋体" w:eastAsia="宋体" w:cs="宋体"/>
                <w:color w:val="auto"/>
                <w:sz w:val="21"/>
                <w:szCs w:val="21"/>
                <w:highlight w:val="none"/>
                <w:lang w:val="en-US" w:eastAsia="zh-CN"/>
              </w:rPr>
              <w:t>天</w:t>
            </w:r>
            <w:r>
              <w:rPr>
                <w:rFonts w:hint="eastAsia" w:ascii="宋体" w:hAnsi="宋体" w:eastAsia="宋体" w:cs="宋体"/>
                <w:color w:val="auto"/>
                <w:sz w:val="21"/>
                <w:szCs w:val="21"/>
                <w:highlight w:val="none"/>
              </w:rPr>
              <w:t>数</w:t>
            </w:r>
          </w:p>
        </w:tc>
        <w:tc>
          <w:tcPr>
            <w:tcW w:w="2448" w:type="dxa"/>
            <w:gridSpan w:val="2"/>
            <w:noWrap w:val="0"/>
            <w:vAlign w:val="center"/>
          </w:tcPr>
          <w:p w14:paraId="2751B5A5">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培训教师构成</w:t>
            </w:r>
          </w:p>
        </w:tc>
        <w:tc>
          <w:tcPr>
            <w:tcW w:w="1224" w:type="dxa"/>
            <w:vMerge w:val="restart"/>
            <w:noWrap w:val="0"/>
            <w:vAlign w:val="center"/>
          </w:tcPr>
          <w:p w14:paraId="3CEB860D">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 点</w:t>
            </w:r>
          </w:p>
        </w:tc>
        <w:tc>
          <w:tcPr>
            <w:tcW w:w="1395" w:type="dxa"/>
            <w:vMerge w:val="restart"/>
            <w:noWrap w:val="0"/>
            <w:vAlign w:val="center"/>
          </w:tcPr>
          <w:p w14:paraId="02550CB1">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 注</w:t>
            </w:r>
          </w:p>
        </w:tc>
      </w:tr>
      <w:tr w14:paraId="22B1E6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1158" w:type="dxa"/>
            <w:vMerge w:val="continue"/>
            <w:noWrap w:val="0"/>
            <w:vAlign w:val="center"/>
          </w:tcPr>
          <w:p w14:paraId="415A37C4">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677" w:type="dxa"/>
            <w:vMerge w:val="continue"/>
            <w:noWrap w:val="0"/>
            <w:vAlign w:val="center"/>
          </w:tcPr>
          <w:p w14:paraId="3FB18632">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611" w:type="dxa"/>
            <w:vMerge w:val="continue"/>
            <w:noWrap w:val="0"/>
            <w:vAlign w:val="center"/>
          </w:tcPr>
          <w:p w14:paraId="4338388A">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224" w:type="dxa"/>
            <w:noWrap w:val="0"/>
            <w:vAlign w:val="center"/>
          </w:tcPr>
          <w:p w14:paraId="78B4977D">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 称</w:t>
            </w:r>
          </w:p>
        </w:tc>
        <w:tc>
          <w:tcPr>
            <w:tcW w:w="1224" w:type="dxa"/>
            <w:noWrap w:val="0"/>
            <w:vAlign w:val="center"/>
          </w:tcPr>
          <w:p w14:paraId="2D52993B">
            <w:pPr>
              <w:pageBreakBefore w:val="0"/>
              <w:kinsoku/>
              <w:wordWrap/>
              <w:bidi w:val="0"/>
              <w:spacing w:after="0"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 数</w:t>
            </w:r>
          </w:p>
        </w:tc>
        <w:tc>
          <w:tcPr>
            <w:tcW w:w="1224" w:type="dxa"/>
            <w:vMerge w:val="continue"/>
            <w:noWrap w:val="0"/>
            <w:vAlign w:val="center"/>
          </w:tcPr>
          <w:p w14:paraId="6D2C618F">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395" w:type="dxa"/>
            <w:vMerge w:val="continue"/>
            <w:noWrap w:val="0"/>
            <w:vAlign w:val="center"/>
          </w:tcPr>
          <w:p w14:paraId="4991097C">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r w14:paraId="2044B1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1158" w:type="dxa"/>
            <w:noWrap w:val="0"/>
            <w:vAlign w:val="center"/>
          </w:tcPr>
          <w:p w14:paraId="7E3221F1">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677" w:type="dxa"/>
            <w:noWrap w:val="0"/>
            <w:vAlign w:val="center"/>
          </w:tcPr>
          <w:p w14:paraId="7DE1E138">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611" w:type="dxa"/>
            <w:noWrap w:val="0"/>
            <w:vAlign w:val="center"/>
          </w:tcPr>
          <w:p w14:paraId="29BE3B30">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224" w:type="dxa"/>
            <w:noWrap w:val="0"/>
            <w:vAlign w:val="center"/>
          </w:tcPr>
          <w:p w14:paraId="11DC592A">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224" w:type="dxa"/>
            <w:noWrap w:val="0"/>
            <w:vAlign w:val="center"/>
          </w:tcPr>
          <w:p w14:paraId="369138E5">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224" w:type="dxa"/>
            <w:noWrap w:val="0"/>
            <w:vAlign w:val="center"/>
          </w:tcPr>
          <w:p w14:paraId="3B9C3DDD">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395" w:type="dxa"/>
            <w:noWrap w:val="0"/>
            <w:vAlign w:val="center"/>
          </w:tcPr>
          <w:p w14:paraId="2916CCBD">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r w14:paraId="3CCA68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1158" w:type="dxa"/>
            <w:noWrap w:val="0"/>
            <w:vAlign w:val="center"/>
          </w:tcPr>
          <w:p w14:paraId="6A79F537">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677" w:type="dxa"/>
            <w:noWrap w:val="0"/>
            <w:vAlign w:val="center"/>
          </w:tcPr>
          <w:p w14:paraId="3DE65FB6">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611" w:type="dxa"/>
            <w:noWrap w:val="0"/>
            <w:vAlign w:val="center"/>
          </w:tcPr>
          <w:p w14:paraId="4AD8F34C">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224" w:type="dxa"/>
            <w:noWrap w:val="0"/>
            <w:vAlign w:val="center"/>
          </w:tcPr>
          <w:p w14:paraId="0EF09094">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224" w:type="dxa"/>
            <w:noWrap w:val="0"/>
            <w:vAlign w:val="center"/>
          </w:tcPr>
          <w:p w14:paraId="51D61EA1">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224" w:type="dxa"/>
            <w:noWrap w:val="0"/>
            <w:vAlign w:val="center"/>
          </w:tcPr>
          <w:p w14:paraId="0EA1A1D1">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395" w:type="dxa"/>
            <w:noWrap w:val="0"/>
            <w:vAlign w:val="center"/>
          </w:tcPr>
          <w:p w14:paraId="5248F616">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r w14:paraId="276538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atLeast"/>
        </w:trPr>
        <w:tc>
          <w:tcPr>
            <w:tcW w:w="1158" w:type="dxa"/>
            <w:noWrap w:val="0"/>
            <w:vAlign w:val="center"/>
          </w:tcPr>
          <w:p w14:paraId="1D6A450E">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677" w:type="dxa"/>
            <w:noWrap w:val="0"/>
            <w:vAlign w:val="center"/>
          </w:tcPr>
          <w:p w14:paraId="24923E29">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611" w:type="dxa"/>
            <w:noWrap w:val="0"/>
            <w:vAlign w:val="center"/>
          </w:tcPr>
          <w:p w14:paraId="13DE8877">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224" w:type="dxa"/>
            <w:noWrap w:val="0"/>
            <w:vAlign w:val="center"/>
          </w:tcPr>
          <w:p w14:paraId="74A65A60">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224" w:type="dxa"/>
            <w:noWrap w:val="0"/>
            <w:vAlign w:val="center"/>
          </w:tcPr>
          <w:p w14:paraId="1F35AEA7">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224" w:type="dxa"/>
            <w:noWrap w:val="0"/>
            <w:vAlign w:val="center"/>
          </w:tcPr>
          <w:p w14:paraId="5A0301D9">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c>
          <w:tcPr>
            <w:tcW w:w="1395" w:type="dxa"/>
            <w:noWrap w:val="0"/>
            <w:vAlign w:val="center"/>
          </w:tcPr>
          <w:p w14:paraId="5AA43DCC">
            <w:pPr>
              <w:pageBreakBefore w:val="0"/>
              <w:kinsoku/>
              <w:wordWrap/>
              <w:bidi w:val="0"/>
              <w:spacing w:after="0" w:line="360" w:lineRule="auto"/>
              <w:ind w:left="0" w:leftChars="0" w:firstLine="438" w:firstLineChars="209"/>
              <w:jc w:val="center"/>
              <w:rPr>
                <w:rFonts w:hint="eastAsia" w:ascii="宋体" w:hAnsi="宋体" w:eastAsia="宋体" w:cs="宋体"/>
                <w:color w:val="auto"/>
                <w:sz w:val="21"/>
                <w:szCs w:val="21"/>
                <w:highlight w:val="none"/>
              </w:rPr>
            </w:pPr>
          </w:p>
        </w:tc>
      </w:tr>
    </w:tbl>
    <w:p w14:paraId="015C71B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4.4.5 培训的时间、人数、地点由投标人填写。</w:t>
      </w:r>
    </w:p>
    <w:p w14:paraId="7842BE0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4.5 设计联络</w:t>
      </w:r>
    </w:p>
    <w:p w14:paraId="198FD1C6">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有关设计联络的计划、时间、地点和内容要求由招投标双方商定。</w:t>
      </w:r>
    </w:p>
    <w:p w14:paraId="547A20C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 包装、装卸、运输与储存</w:t>
      </w:r>
    </w:p>
    <w:p w14:paraId="191C39F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5.1  投标人负责合同设备的包装、装卸、运输及倒运；</w:t>
      </w:r>
    </w:p>
    <w:p w14:paraId="46FA9AB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5.2  所有部件经妥善包装或装箱后，在运输过程中尚应采取其它防护措施，以免散失损坏或被盗。</w:t>
      </w:r>
    </w:p>
    <w:p w14:paraId="72810C5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5.3  在包装箱外应标明采购方的订货号、发货号。</w:t>
      </w:r>
    </w:p>
    <w:p w14:paraId="5F0D4B5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5.4  各种包装应等确保各零部件在运输过程中不致遭到损坏、丢失、变形、受潮和腐蚀。</w:t>
      </w:r>
    </w:p>
    <w:p w14:paraId="47D801EB">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5.5  包装箱上应有明显的包装储运图示标志（按GB191）。</w:t>
      </w:r>
    </w:p>
    <w:p w14:paraId="0721C22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5.6  整体产品或分别运输的部件都要适合运输和装载的要求。</w:t>
      </w:r>
    </w:p>
    <w:p w14:paraId="5EFDF0B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5.7  随产品提供的技术资料应完整无缺，提供份额符合GB19.32的要求。</w:t>
      </w:r>
    </w:p>
    <w:p w14:paraId="781B9DE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xml:space="preserve">5.8  </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为投标人设备存放提供现场场地。</w:t>
      </w:r>
    </w:p>
    <w:p w14:paraId="26522D0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6、文件资料和图纸</w:t>
      </w:r>
    </w:p>
    <w:p w14:paraId="68D2A51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6.1 一般要求</w:t>
      </w:r>
    </w:p>
    <w:p w14:paraId="096BD63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6.1.1 技术文件中所含的内容将构成投标人进行产品设计、生产、售后服务的技术依据，也是电池系统集成的基本技术条件和要求。</w:t>
      </w:r>
    </w:p>
    <w:p w14:paraId="4422B21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6.1.2 投标人应按照</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要求准备和提供有关电池系统的运行、维护、修理、事故预案等相关资料。</w:t>
      </w:r>
    </w:p>
    <w:p w14:paraId="5730709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6.1.3 投标人应汇总并提交有关电池储能系统的相关标准及技术支持性文件测试报告、认证证书等文件。</w:t>
      </w:r>
    </w:p>
    <w:p w14:paraId="2876D771">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6.1.4 投标人、招标机构和</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（包括与本项目涉及的其他中方机构）之间的所有文件及信件以中文简体为准。无论何时需要对合同条款进行编写、标注也应使用中文；如必须使用中英文对照文本，则以中文简体为准。</w:t>
      </w:r>
    </w:p>
    <w:p w14:paraId="73070190">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6.2 资料的提交和认可</w:t>
      </w:r>
    </w:p>
    <w:p w14:paraId="2278F0B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6.2.1 所有需经</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确认的图纸和说明文件，均应由投标人在技术协议签订后规定的时间内提交给</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及其所指定的单位进行审定认可。</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及其所指定的单位在收到需认可图纸后，将一套经确认的或签有</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校定标记的图纸（</w:t>
      </w:r>
      <w:r>
        <w:rPr>
          <w:rFonts w:hint="eastAsia" w:ascii="宋体" w:hAnsi="宋体" w:cs="宋体"/>
          <w:color w:val="auto"/>
          <w:kern w:val="2"/>
          <w:sz w:val="21"/>
          <w:szCs w:val="21"/>
          <w:highlight w:val="none"/>
          <w:lang w:val="en-US" w:eastAsia="zh-CN" w:bidi="ar-SA"/>
        </w:rPr>
        <w:t>采购人</w:t>
      </w:r>
      <w:r>
        <w:rPr>
          <w:rFonts w:hint="eastAsia" w:ascii="宋体" w:hAnsi="宋体" w:eastAsia="宋体" w:cs="宋体"/>
          <w:color w:val="auto"/>
          <w:kern w:val="2"/>
          <w:sz w:val="21"/>
          <w:szCs w:val="21"/>
          <w:highlight w:val="none"/>
          <w:lang w:val="en-US" w:eastAsia="zh-CN" w:bidi="ar-SA"/>
        </w:rPr>
        <w:t>负责人签字）返还给投标人。</w:t>
      </w:r>
    </w:p>
    <w:p w14:paraId="45DD628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6.2.2 图纸资料</w:t>
      </w:r>
    </w:p>
    <w:p w14:paraId="4E0D700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1）设备布置图：应包括所有设备排布位置，各设备型尺寸、总重量等。（需在签订合同之日起1周内提供）</w:t>
      </w:r>
    </w:p>
    <w:p w14:paraId="783876C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2）基础图：应注明设备和其控制柜的尺寸，基础螺栓的位置和尺寸等。</w:t>
      </w:r>
    </w:p>
    <w:p w14:paraId="4DAED99D">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3）电气原理图：储能系统一次图。</w:t>
      </w:r>
    </w:p>
    <w:p w14:paraId="2BFCCEBF">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4）设备出厂前需进行出厂测试。</w:t>
      </w:r>
    </w:p>
    <w:p w14:paraId="04F3A59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5）使用说明书；</w:t>
      </w:r>
    </w:p>
    <w:p w14:paraId="12BA187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6）产品合格证明书；</w:t>
      </w:r>
    </w:p>
    <w:p w14:paraId="3CECAF84">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7）工厂试验报告；</w:t>
      </w:r>
    </w:p>
    <w:p w14:paraId="294EDFC7">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8）设备清单；</w:t>
      </w:r>
    </w:p>
    <w:p w14:paraId="0A0E1AE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9）安装手册；</w:t>
      </w:r>
    </w:p>
    <w:p w14:paraId="3A76DDC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10）储能电站运维规程；</w:t>
      </w:r>
    </w:p>
    <w:p w14:paraId="16F6651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11）型式试验报告；</w:t>
      </w:r>
    </w:p>
    <w:p w14:paraId="08C61A7C">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12）原厂保修卡；</w:t>
      </w:r>
    </w:p>
    <w:p w14:paraId="3CFB7C9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7、质量保证</w:t>
      </w:r>
    </w:p>
    <w:p w14:paraId="52F007F9">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投标方产品的试运行期为：累积72小时试运行，质保期不小于1年（技术需求中有特殊要求的，按技术需求为准）。</w:t>
      </w:r>
    </w:p>
    <w:p w14:paraId="36DC6E63">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7.1 如在安装和试运行期间发现部件缺陷、损坏情况，在证实设备储存安装、维护和运行都符合要求时，投标方应尽快免费更换。</w:t>
      </w:r>
    </w:p>
    <w:p w14:paraId="1BD965B1">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7.2 在保证期内，投标方产品各部件因制造不良或设计不当而发生损坏或未能达到合同规定的各项指标时，投标方应无偿地为采购人修理或更换零部件。</w:t>
      </w:r>
    </w:p>
    <w:p w14:paraId="5127FD95">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7.3 设备在验收试验时达不到合同规定的一个或多个技术指标保证值而属于投标方责任时，则投标方应自费采用有效措施在商定的时间内，使之达到保证指标。</w:t>
      </w:r>
    </w:p>
    <w:p w14:paraId="2AF4C75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7.4 在保证期内，由于下列情况所造成的缺陷、损坏或达不到指标时，不属投标方责任：</w:t>
      </w:r>
    </w:p>
    <w:p w14:paraId="06983F18">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—由于采购人错误操作和维修；</w:t>
      </w:r>
    </w:p>
    <w:p w14:paraId="396E143E">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—设备在现场保存时间超过合同规定期限的问题；</w:t>
      </w:r>
    </w:p>
    <w:p w14:paraId="4D355217">
      <w:pPr>
        <w:widowControl w:val="0"/>
        <w:wordWrap w:val="0"/>
        <w:adjustRightInd/>
        <w:snapToGrid/>
        <w:spacing w:after="0" w:line="288" w:lineRule="auto"/>
        <w:ind w:firstLine="420" w:firstLineChars="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—由于非投标方造成的其它错误和缺陷。</w:t>
      </w:r>
    </w:p>
    <w:p w14:paraId="506C415A">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8</w:t>
      </w:r>
      <w:r>
        <w:rPr>
          <w:rFonts w:hint="eastAsia" w:ascii="宋体" w:hAnsi="宋体" w:eastAsia="宋体" w:cs="宋体"/>
          <w:color w:val="auto"/>
          <w:kern w:val="2"/>
          <w:sz w:val="21"/>
          <w:szCs w:val="21"/>
          <w:highlight w:val="none"/>
          <w:lang w:val="en-US" w:eastAsia="zh-CN" w:bidi="ar-SA"/>
        </w:rPr>
        <w:t>、项目实施方案</w:t>
      </w:r>
    </w:p>
    <w:p w14:paraId="1CBA4532">
      <w:pPr>
        <w:keepNext w:val="0"/>
        <w:keepLines w:val="0"/>
        <w:pageBreakBefore w:val="0"/>
        <w:widowControl w:val="0"/>
        <w:numPr>
          <w:ilvl w:val="0"/>
          <w:numId w:val="0"/>
        </w:numPr>
        <w:tabs>
          <w:tab w:val="left" w:pos="440"/>
        </w:tabs>
        <w:kinsoku/>
        <w:wordWrap/>
        <w:overflowPunct/>
        <w:topLinePunct w:val="0"/>
        <w:autoSpaceDE w:val="0"/>
        <w:autoSpaceDN w:val="0"/>
        <w:bidi w:val="0"/>
        <w:adjustRightInd/>
        <w:snapToGrid/>
        <w:spacing w:after="0" w:line="360" w:lineRule="auto"/>
        <w:ind w:left="0" w:leftChars="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按照：《东莞市建冠物业投资有限公司储能项目实施方案》（方案仅供参考，实施方案以最终建设为准）。</w:t>
      </w:r>
    </w:p>
    <w:p w14:paraId="1121FE12">
      <w:pPr>
        <w:rPr>
          <w:rFonts w:hint="eastAsia"/>
          <w:color w:val="auto"/>
          <w:sz w:val="28"/>
          <w:szCs w:val="28"/>
          <w:highlight w:val="none"/>
        </w:rPr>
      </w:pPr>
      <w:bookmarkStart w:id="23" w:name="_Toc182307980"/>
    </w:p>
    <w:p w14:paraId="426308FD">
      <w:pPr>
        <w:rPr>
          <w:rFonts w:hint="eastAsia"/>
          <w:color w:val="auto"/>
          <w:sz w:val="28"/>
          <w:szCs w:val="28"/>
          <w:highlight w:val="none"/>
        </w:rPr>
      </w:pPr>
      <w:r>
        <w:rPr>
          <w:rFonts w:hint="eastAsia"/>
          <w:color w:val="auto"/>
          <w:sz w:val="28"/>
          <w:szCs w:val="28"/>
          <w:highlight w:val="none"/>
        </w:rPr>
        <w:br w:type="page"/>
      </w:r>
    </w:p>
    <w:p w14:paraId="5BA81EAC">
      <w:pPr>
        <w:pStyle w:val="6"/>
        <w:spacing w:before="0" w:after="0" w:line="240" w:lineRule="auto"/>
        <w:rPr>
          <w:color w:val="auto"/>
          <w:sz w:val="24"/>
          <w:szCs w:val="24"/>
          <w:highlight w:val="none"/>
        </w:rPr>
      </w:pPr>
      <w:r>
        <w:rPr>
          <w:rFonts w:hint="eastAsia"/>
          <w:color w:val="auto"/>
          <w:sz w:val="28"/>
          <w:szCs w:val="28"/>
          <w:highlight w:val="none"/>
        </w:rPr>
        <w:t>第四部分投标人须知</w:t>
      </w:r>
      <w:bookmarkEnd w:id="23"/>
    </w:p>
    <w:p w14:paraId="69F0C39A">
      <w:pPr>
        <w:pStyle w:val="7"/>
        <w:numPr>
          <w:ilvl w:val="0"/>
          <w:numId w:val="1"/>
        </w:numPr>
        <w:spacing w:before="0" w:after="0" w:line="480" w:lineRule="auto"/>
        <w:jc w:val="center"/>
        <w:rPr>
          <w:rFonts w:hint="eastAsia" w:ascii="宋体" w:hAnsi="宋体"/>
          <w:color w:val="auto"/>
          <w:highlight w:val="none"/>
        </w:rPr>
      </w:pPr>
      <w:bookmarkStart w:id="24" w:name="_Toc182307981"/>
      <w:r>
        <w:rPr>
          <w:rFonts w:hint="eastAsia" w:ascii="宋体" w:hAnsi="宋体"/>
          <w:color w:val="auto"/>
          <w:highlight w:val="none"/>
        </w:rPr>
        <w:t>说明</w:t>
      </w:r>
      <w:bookmarkEnd w:id="24"/>
    </w:p>
    <w:p w14:paraId="5A206A7D">
      <w:pPr>
        <w:pStyle w:val="8"/>
        <w:widowControl w:val="0"/>
        <w:numPr>
          <w:ilvl w:val="0"/>
          <w:numId w:val="2"/>
        </w:numPr>
        <w:overflowPunct w:val="0"/>
        <w:rPr>
          <w:rFonts w:hint="eastAsia" w:ascii="宋体" w:hAnsi="宋体" w:cs="宋体"/>
          <w:color w:val="auto"/>
          <w:sz w:val="21"/>
          <w:szCs w:val="21"/>
          <w:highlight w:val="none"/>
        </w:rPr>
      </w:pPr>
      <w:bookmarkStart w:id="25" w:name="_Toc182307982"/>
      <w:r>
        <w:rPr>
          <w:rFonts w:hint="eastAsia" w:ascii="宋体" w:hAnsi="宋体" w:cs="宋体"/>
          <w:color w:val="auto"/>
          <w:sz w:val="21"/>
          <w:szCs w:val="21"/>
          <w:highlight w:val="none"/>
        </w:rPr>
        <w:t>适用范围</w:t>
      </w:r>
      <w:bookmarkEnd w:id="25"/>
    </w:p>
    <w:p w14:paraId="679D3A2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采购范围：见本文件《用户需求书》</w:t>
      </w:r>
    </w:p>
    <w:p w14:paraId="4E2DDB7C">
      <w:pPr>
        <w:rPr>
          <w:rFonts w:hint="eastAsia" w:ascii="宋体" w:hAnsi="宋体" w:cs="宋体"/>
          <w:color w:val="auto"/>
          <w:highlight w:val="none"/>
        </w:rPr>
      </w:pPr>
    </w:p>
    <w:p w14:paraId="7D714A44">
      <w:pPr>
        <w:pStyle w:val="8"/>
        <w:widowControl w:val="0"/>
        <w:numPr>
          <w:ilvl w:val="0"/>
          <w:numId w:val="2"/>
        </w:numPr>
        <w:overflowPunct w:val="0"/>
        <w:rPr>
          <w:rFonts w:hint="eastAsia" w:ascii="宋体" w:hAnsi="宋体" w:cs="宋体"/>
          <w:color w:val="auto"/>
          <w:sz w:val="21"/>
          <w:szCs w:val="21"/>
          <w:highlight w:val="none"/>
        </w:rPr>
      </w:pPr>
      <w:bookmarkStart w:id="26" w:name="_Toc298847174"/>
      <w:bookmarkStart w:id="27" w:name="_Toc1530"/>
      <w:bookmarkStart w:id="28" w:name="_Toc382049092"/>
      <w:bookmarkStart w:id="29" w:name="_Toc303084246"/>
      <w:bookmarkStart w:id="30" w:name="_Toc182307983"/>
      <w:r>
        <w:rPr>
          <w:rFonts w:hint="eastAsia" w:ascii="宋体" w:hAnsi="宋体" w:cs="宋体"/>
          <w:color w:val="auto"/>
          <w:sz w:val="21"/>
          <w:szCs w:val="21"/>
          <w:highlight w:val="none"/>
        </w:rPr>
        <w:t>定义</w:t>
      </w:r>
      <w:bookmarkEnd w:id="26"/>
      <w:bookmarkEnd w:id="27"/>
      <w:bookmarkEnd w:id="28"/>
      <w:bookmarkEnd w:id="29"/>
      <w:bookmarkEnd w:id="30"/>
    </w:p>
    <w:p w14:paraId="698904F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采购人：见投标邀请书。</w:t>
      </w:r>
    </w:p>
    <w:p w14:paraId="11E8C44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投标人：响应采购并且符合采购文件规定资格条件和参加投标竞争的法人、其他组织或者自然人。</w:t>
      </w:r>
    </w:p>
    <w:p w14:paraId="0FCBD3F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法人：法人是依法在国内进行注册并具有民事权利能力和民事行为能力，依法独立享有民事权利和承担民事义务的组织。</w:t>
      </w:r>
    </w:p>
    <w:p w14:paraId="6FE3834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中标人：指经评标委员会评审推荐、采购人确认的获得本项目中标资格的投标人。</w:t>
      </w:r>
    </w:p>
    <w:p w14:paraId="0F18051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采购代理机构：见投标邀请书。</w:t>
      </w:r>
    </w:p>
    <w:p w14:paraId="029B094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评标委员会：评标委员会是依据相关规定组建的专门负责本次采购评标工作的临时性机构。</w:t>
      </w:r>
    </w:p>
    <w:p w14:paraId="18DAD8D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合同：指由本次采购所产生的合同或合约文件。</w:t>
      </w:r>
    </w:p>
    <w:p w14:paraId="303DE69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6D3D634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时间：本文件规定按日计算期间的，开始当天不计入，从次日开始计算。期限的最后一日是国家法定节假日的，顺延到节假日后的次日为期限的最后一日。</w:t>
      </w:r>
    </w:p>
    <w:p w14:paraId="7BDD053A">
      <w:pPr>
        <w:rPr>
          <w:rFonts w:hint="eastAsia" w:ascii="宋体" w:hAnsi="宋体" w:cs="宋体"/>
          <w:color w:val="auto"/>
          <w:highlight w:val="none"/>
        </w:rPr>
      </w:pPr>
    </w:p>
    <w:p w14:paraId="2692CF32">
      <w:pPr>
        <w:pStyle w:val="8"/>
        <w:widowControl w:val="0"/>
        <w:numPr>
          <w:ilvl w:val="0"/>
          <w:numId w:val="2"/>
        </w:numPr>
        <w:overflowPunct w:val="0"/>
        <w:rPr>
          <w:rFonts w:hint="eastAsia" w:ascii="宋体" w:hAnsi="宋体" w:cs="宋体"/>
          <w:color w:val="auto"/>
          <w:sz w:val="21"/>
          <w:szCs w:val="21"/>
          <w:highlight w:val="none"/>
        </w:rPr>
      </w:pPr>
      <w:bookmarkStart w:id="31" w:name="_Toc182307984"/>
      <w:r>
        <w:rPr>
          <w:rFonts w:hint="eastAsia" w:ascii="宋体" w:hAnsi="宋体" w:cs="宋体"/>
          <w:color w:val="auto"/>
          <w:sz w:val="21"/>
          <w:szCs w:val="21"/>
          <w:highlight w:val="none"/>
        </w:rPr>
        <w:t>货物和服务</w:t>
      </w:r>
      <w:bookmarkEnd w:id="31"/>
    </w:p>
    <w:p w14:paraId="488F2C9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货物是指各种形态和种类的物品，包括原材料、燃料、设备、产品等。</w:t>
      </w:r>
    </w:p>
    <w:p w14:paraId="306979D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服务是指除货物和工程以外的其他采购对象。</w:t>
      </w:r>
    </w:p>
    <w:p w14:paraId="561522C1">
      <w:pPr>
        <w:rPr>
          <w:rFonts w:hint="eastAsia" w:ascii="宋体" w:hAnsi="宋体" w:cs="宋体"/>
          <w:color w:val="auto"/>
          <w:highlight w:val="none"/>
        </w:rPr>
      </w:pPr>
    </w:p>
    <w:p w14:paraId="26D1BA07">
      <w:pPr>
        <w:pStyle w:val="8"/>
        <w:widowControl w:val="0"/>
        <w:numPr>
          <w:ilvl w:val="0"/>
          <w:numId w:val="2"/>
        </w:numPr>
        <w:overflowPunct w:val="0"/>
        <w:rPr>
          <w:rFonts w:hint="eastAsia" w:ascii="宋体" w:hAnsi="宋体" w:cs="宋体"/>
          <w:color w:val="auto"/>
          <w:sz w:val="21"/>
          <w:szCs w:val="21"/>
          <w:highlight w:val="none"/>
        </w:rPr>
      </w:pPr>
      <w:bookmarkStart w:id="32" w:name="_Toc182307985"/>
      <w:r>
        <w:rPr>
          <w:rFonts w:hint="eastAsia" w:ascii="宋体" w:hAnsi="宋体" w:cs="宋体"/>
          <w:color w:val="auto"/>
          <w:sz w:val="21"/>
          <w:szCs w:val="21"/>
          <w:highlight w:val="none"/>
        </w:rPr>
        <w:t>投标费用</w:t>
      </w:r>
      <w:bookmarkEnd w:id="32"/>
    </w:p>
    <w:p w14:paraId="627D301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投标人应承担所有与编写投标文件和参加投标有关的自身的所有费用，不论投标的结果如何，采购代理机构和采购人在任何情况下均无义务和责任承担这些费用。</w:t>
      </w:r>
    </w:p>
    <w:p w14:paraId="7415BBDF">
      <w:pPr>
        <w:widowControl w:val="0"/>
        <w:adjustRightInd/>
        <w:snapToGrid/>
        <w:jc w:val="both"/>
        <w:rPr>
          <w:rFonts w:hint="eastAsia" w:ascii="宋体" w:hAnsi="宋体" w:cs="宋体"/>
          <w:color w:val="auto"/>
          <w:szCs w:val="21"/>
          <w:highlight w:val="none"/>
        </w:rPr>
      </w:pPr>
    </w:p>
    <w:p w14:paraId="635A51C6">
      <w:pPr>
        <w:pStyle w:val="8"/>
        <w:widowControl w:val="0"/>
        <w:numPr>
          <w:ilvl w:val="0"/>
          <w:numId w:val="2"/>
        </w:numPr>
        <w:overflowPunct w:val="0"/>
        <w:rPr>
          <w:rFonts w:hint="eastAsia" w:ascii="宋体" w:hAnsi="宋体" w:cs="宋体"/>
          <w:color w:val="auto"/>
          <w:sz w:val="21"/>
          <w:szCs w:val="21"/>
          <w:highlight w:val="none"/>
        </w:rPr>
      </w:pPr>
      <w:bookmarkStart w:id="33" w:name="_Toc182307986"/>
      <w:r>
        <w:rPr>
          <w:rFonts w:hint="eastAsia" w:ascii="宋体" w:hAnsi="宋体" w:cs="宋体"/>
          <w:color w:val="auto"/>
          <w:sz w:val="21"/>
          <w:szCs w:val="21"/>
          <w:highlight w:val="none"/>
        </w:rPr>
        <w:t>知识产权</w:t>
      </w:r>
      <w:bookmarkEnd w:id="33"/>
    </w:p>
    <w:p w14:paraId="719E34D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0687A5D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采购人享有本项目实施过程中产生的知识成果及知识产权。</w:t>
      </w:r>
    </w:p>
    <w:p w14:paraId="35151B4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投标人如欲在项目实施过程中采用自有知识成果，需在投标文件中声明，并提供相关知识产权证明文件。使用该知识成果后，投标人需提供开发接口和开发手册等技术文档。</w:t>
      </w:r>
    </w:p>
    <w:p w14:paraId="3041C19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采购货物为计算机办公设备时，投标人提供的产品必须是预装正版操作系统软件的计算机产品。</w:t>
      </w:r>
    </w:p>
    <w:p w14:paraId="3CB5C38A">
      <w:pPr>
        <w:widowControl w:val="0"/>
        <w:adjustRightInd/>
        <w:snapToGrid/>
        <w:ind w:left="567"/>
        <w:jc w:val="both"/>
        <w:rPr>
          <w:rFonts w:hint="eastAsia" w:ascii="宋体" w:hAnsi="宋体" w:cs="宋体"/>
          <w:color w:val="auto"/>
          <w:szCs w:val="21"/>
          <w:highlight w:val="none"/>
        </w:rPr>
      </w:pPr>
    </w:p>
    <w:p w14:paraId="023FABAF">
      <w:pPr>
        <w:pStyle w:val="8"/>
        <w:widowControl w:val="0"/>
        <w:numPr>
          <w:ilvl w:val="0"/>
          <w:numId w:val="2"/>
        </w:numPr>
        <w:overflowPunct w:val="0"/>
        <w:rPr>
          <w:rFonts w:hint="eastAsia" w:ascii="宋体" w:hAnsi="宋体" w:cs="宋体"/>
          <w:color w:val="auto"/>
          <w:sz w:val="21"/>
          <w:szCs w:val="21"/>
          <w:highlight w:val="none"/>
        </w:rPr>
      </w:pPr>
      <w:bookmarkStart w:id="34" w:name="_Toc182307987"/>
      <w:r>
        <w:rPr>
          <w:rFonts w:hint="eastAsia" w:ascii="宋体" w:hAnsi="宋体" w:cs="宋体"/>
          <w:color w:val="auto"/>
          <w:sz w:val="21"/>
          <w:szCs w:val="21"/>
          <w:highlight w:val="none"/>
        </w:rPr>
        <w:t>关于联合体投标</w:t>
      </w:r>
      <w:bookmarkEnd w:id="34"/>
    </w:p>
    <w:p w14:paraId="5D35A8B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对接受联合体投标的项目：两个以上的自然人、法人或者其他组织可以组成一个联合体，以一个投标人的身份共同参加采购活动。</w:t>
      </w:r>
    </w:p>
    <w:p w14:paraId="479CDE5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以联合体形式参与项目的供应商在领购采购文件时，应提供所有联合体组成成员的营业执照复印件，并加盖各联合体组成成员的公章。</w:t>
      </w:r>
    </w:p>
    <w:p w14:paraId="51EC706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联合体各方均应具有独立承担民事责任能力的法人或其他组织。</w:t>
      </w:r>
    </w:p>
    <w:p w14:paraId="29C0CE5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4707A80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采购文件对投标人资格条件有规定的，联合体各方均应当具备规定的相应资格条件。由同一专业的单位组成的联合体，按照资质等级较低的单位确定资质等级。</w:t>
      </w:r>
    </w:p>
    <w:p w14:paraId="74351FB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4A8FE01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供应商为联合体的，可以由联合体中的任意一方交纳保证金，其交纳的保证金对联合体各方均具有约束力。</w:t>
      </w:r>
    </w:p>
    <w:p w14:paraId="5D4D696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除联合体协议明确授权盖章单位外，联合体投标时投标文件中所有要求盖章的地方均须加盖联合体所有组成成员的公章，否则该处盖章无效。</w:t>
      </w:r>
    </w:p>
    <w:p w14:paraId="0F18351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联合体进行评分时，除评分标准有规定或说明外，业绩、奖项等的认定和评分根据共同投标协议约定的各方承担的工作和相应责任，确定一方打分，不累加打分；评审标准不明确或难以明确以哪一方计算评分情况时，则按主体方情况评分。</w:t>
      </w:r>
    </w:p>
    <w:p w14:paraId="0B3B6F37">
      <w:pPr>
        <w:widowControl w:val="0"/>
        <w:adjustRightInd/>
        <w:snapToGrid/>
        <w:ind w:left="567"/>
        <w:jc w:val="both"/>
        <w:rPr>
          <w:rFonts w:hint="eastAsia" w:ascii="宋体" w:hAnsi="宋体" w:cs="宋体"/>
          <w:color w:val="auto"/>
          <w:szCs w:val="21"/>
          <w:highlight w:val="none"/>
        </w:rPr>
      </w:pPr>
    </w:p>
    <w:p w14:paraId="046FC7BA">
      <w:pPr>
        <w:pStyle w:val="8"/>
        <w:widowControl w:val="0"/>
        <w:numPr>
          <w:ilvl w:val="0"/>
          <w:numId w:val="2"/>
        </w:numPr>
        <w:overflowPunct w:val="0"/>
        <w:rPr>
          <w:rFonts w:hint="eastAsia" w:ascii="宋体" w:hAnsi="宋体" w:cs="宋体"/>
          <w:color w:val="auto"/>
          <w:sz w:val="21"/>
          <w:szCs w:val="21"/>
          <w:highlight w:val="none"/>
        </w:rPr>
      </w:pPr>
      <w:bookmarkStart w:id="35" w:name="_Toc182307988"/>
      <w:r>
        <w:rPr>
          <w:rFonts w:hint="eastAsia" w:ascii="宋体" w:hAnsi="宋体" w:cs="宋体"/>
          <w:color w:val="auto"/>
          <w:sz w:val="21"/>
          <w:szCs w:val="21"/>
          <w:highlight w:val="none"/>
        </w:rPr>
        <w:t>关于分支机构投标</w:t>
      </w:r>
      <w:bookmarkEnd w:id="35"/>
    </w:p>
    <w:p w14:paraId="68DD81C4">
      <w:pPr>
        <w:widowControl w:val="0"/>
        <w:numPr>
          <w:ilvl w:val="1"/>
          <w:numId w:val="2"/>
        </w:numPr>
        <w:overflowPunct w:val="0"/>
        <w:rPr>
          <w:rFonts w:hint="eastAsia" w:ascii="宋体" w:hAnsi="宋体" w:cs="宋体"/>
          <w:color w:val="auto"/>
          <w:szCs w:val="21"/>
          <w:highlight w:val="none"/>
        </w:rPr>
      </w:pPr>
      <w:bookmarkStart w:id="36" w:name="EB389f116341dd4693875bc7987e7327f3"/>
      <w:r>
        <w:rPr>
          <w:rFonts w:hint="eastAsia" w:ascii="宋体" w:hAnsi="宋体" w:cs="宋体"/>
          <w:color w:val="auto"/>
          <w:szCs w:val="21"/>
          <w:highlight w:val="none"/>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36"/>
    </w:p>
    <w:p w14:paraId="12A72905">
      <w:pPr>
        <w:widowControl w:val="0"/>
        <w:adjustRightInd/>
        <w:snapToGrid/>
        <w:ind w:left="567"/>
        <w:jc w:val="both"/>
        <w:rPr>
          <w:rFonts w:hint="eastAsia" w:ascii="宋体" w:hAnsi="宋体" w:cs="宋体"/>
          <w:color w:val="auto"/>
          <w:szCs w:val="21"/>
          <w:highlight w:val="none"/>
        </w:rPr>
      </w:pPr>
    </w:p>
    <w:p w14:paraId="67DEB427">
      <w:pPr>
        <w:pStyle w:val="8"/>
        <w:widowControl w:val="0"/>
        <w:numPr>
          <w:ilvl w:val="0"/>
          <w:numId w:val="2"/>
        </w:numPr>
        <w:overflowPunct w:val="0"/>
        <w:rPr>
          <w:rFonts w:hint="eastAsia" w:ascii="宋体" w:hAnsi="宋体" w:cs="宋体"/>
          <w:color w:val="auto"/>
          <w:sz w:val="21"/>
          <w:szCs w:val="21"/>
          <w:highlight w:val="none"/>
        </w:rPr>
      </w:pPr>
      <w:bookmarkStart w:id="37" w:name="_Toc182307989"/>
      <w:r>
        <w:rPr>
          <w:rFonts w:hint="eastAsia" w:ascii="宋体" w:hAnsi="宋体" w:cs="宋体"/>
          <w:color w:val="auto"/>
          <w:sz w:val="21"/>
          <w:szCs w:val="21"/>
          <w:highlight w:val="none"/>
        </w:rPr>
        <w:t>踏勘现场</w:t>
      </w:r>
      <w:bookmarkEnd w:id="37"/>
    </w:p>
    <w:p w14:paraId="195B35C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《投标资料表》规定组织踏勘现场的，采购人按《投标资料表》规定的时间、地点组织响应人踏勘项目现场；</w:t>
      </w:r>
    </w:p>
    <w:p w14:paraId="2C324E3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响应人踏勘现场发生的费用自理；</w:t>
      </w:r>
    </w:p>
    <w:p w14:paraId="02D1DA4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除采购人的原因外，响应人自行负责在踏勘现场中所发生的人员伤亡和财产损失；</w:t>
      </w:r>
    </w:p>
    <w:p w14:paraId="538DC05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采购人在踏勘现场中介绍的实施地点和相关的周边环境情况，供响应人在编制响应文件时参考，采购人不对响应人据此作出的判断和决策负责；</w:t>
      </w:r>
    </w:p>
    <w:p w14:paraId="181E9625">
      <w:pPr>
        <w:rPr>
          <w:rFonts w:hint="eastAsia" w:ascii="宋体" w:hAnsi="宋体" w:cs="宋体"/>
          <w:color w:val="auto"/>
          <w:highlight w:val="none"/>
        </w:rPr>
      </w:pPr>
    </w:p>
    <w:p w14:paraId="5D0C53A9">
      <w:pPr>
        <w:pStyle w:val="7"/>
        <w:numPr>
          <w:ilvl w:val="0"/>
          <w:numId w:val="1"/>
        </w:numPr>
        <w:spacing w:before="0" w:after="0" w:line="360" w:lineRule="auto"/>
        <w:jc w:val="center"/>
        <w:rPr>
          <w:rFonts w:hint="eastAsia" w:ascii="宋体" w:hAnsi="宋体" w:cs="宋体"/>
          <w:color w:val="auto"/>
          <w:highlight w:val="none"/>
        </w:rPr>
      </w:pPr>
      <w:bookmarkStart w:id="38" w:name="_Toc182307990"/>
      <w:r>
        <w:rPr>
          <w:rFonts w:hint="eastAsia" w:ascii="宋体" w:hAnsi="宋体" w:cs="宋体"/>
          <w:color w:val="auto"/>
          <w:highlight w:val="none"/>
        </w:rPr>
        <w:t>采购文件</w:t>
      </w:r>
      <w:bookmarkEnd w:id="38"/>
    </w:p>
    <w:p w14:paraId="54403BF6">
      <w:pPr>
        <w:pStyle w:val="8"/>
        <w:widowControl w:val="0"/>
        <w:numPr>
          <w:ilvl w:val="0"/>
          <w:numId w:val="2"/>
        </w:numPr>
        <w:overflowPunct w:val="0"/>
        <w:rPr>
          <w:rFonts w:hint="eastAsia" w:ascii="宋体" w:hAnsi="宋体" w:cs="宋体"/>
          <w:color w:val="auto"/>
          <w:sz w:val="21"/>
          <w:szCs w:val="21"/>
          <w:highlight w:val="none"/>
        </w:rPr>
      </w:pPr>
      <w:bookmarkStart w:id="39" w:name="_Toc182307991"/>
      <w:r>
        <w:rPr>
          <w:rFonts w:hint="eastAsia" w:ascii="宋体" w:hAnsi="宋体" w:cs="宋体"/>
          <w:color w:val="auto"/>
          <w:sz w:val="21"/>
          <w:szCs w:val="21"/>
          <w:highlight w:val="none"/>
        </w:rPr>
        <w:t>采购文件的组成</w:t>
      </w:r>
      <w:bookmarkEnd w:id="39"/>
    </w:p>
    <w:p w14:paraId="163EE69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采购文件包括：</w:t>
      </w:r>
    </w:p>
    <w:p w14:paraId="4A155929">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（1）投标邀请书；</w:t>
      </w:r>
    </w:p>
    <w:p w14:paraId="70B90E93">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（2）投标资料表；</w:t>
      </w:r>
    </w:p>
    <w:p w14:paraId="094CD400">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（3）用户需求书；</w:t>
      </w:r>
    </w:p>
    <w:p w14:paraId="30A3EE64">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（4）投标人须知；</w:t>
      </w:r>
    </w:p>
    <w:p w14:paraId="53CD371B">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（5）拟签订的合同文本；</w:t>
      </w:r>
    </w:p>
    <w:p w14:paraId="69514329">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（6）投标文件格式；</w:t>
      </w:r>
    </w:p>
    <w:p w14:paraId="254FAFB9">
      <w:pPr>
        <w:widowControl w:val="0"/>
        <w:overflowPunct w:val="0"/>
        <w:rPr>
          <w:rFonts w:hint="eastAsia" w:ascii="宋体" w:hAnsi="宋体" w:cs="宋体"/>
          <w:color w:val="auto"/>
          <w:szCs w:val="21"/>
          <w:highlight w:val="none"/>
        </w:rPr>
      </w:pPr>
      <w:r>
        <w:rPr>
          <w:rFonts w:hint="eastAsia" w:ascii="宋体" w:hAnsi="宋体" w:cs="宋体"/>
          <w:color w:val="auto"/>
          <w:szCs w:val="21"/>
          <w:highlight w:val="none"/>
        </w:rPr>
        <w:t>（7）在采购过程中由采购代理机构发出的澄清更正文件等。</w:t>
      </w:r>
    </w:p>
    <w:p w14:paraId="127BED50">
      <w:pPr>
        <w:rPr>
          <w:rFonts w:hint="eastAsia" w:ascii="宋体" w:hAnsi="宋体" w:cs="宋体"/>
          <w:color w:val="auto"/>
          <w:highlight w:val="none"/>
        </w:rPr>
      </w:pPr>
    </w:p>
    <w:p w14:paraId="36C0AF54">
      <w:pPr>
        <w:pStyle w:val="8"/>
        <w:widowControl w:val="0"/>
        <w:numPr>
          <w:ilvl w:val="0"/>
          <w:numId w:val="2"/>
        </w:numPr>
        <w:overflowPunct w:val="0"/>
        <w:rPr>
          <w:rFonts w:hint="eastAsia" w:ascii="宋体" w:hAnsi="宋体" w:cs="宋体"/>
          <w:color w:val="auto"/>
          <w:sz w:val="21"/>
          <w:szCs w:val="21"/>
          <w:highlight w:val="none"/>
        </w:rPr>
      </w:pPr>
      <w:bookmarkStart w:id="40" w:name="_Toc182307992"/>
      <w:r>
        <w:rPr>
          <w:rFonts w:hint="eastAsia" w:ascii="宋体" w:hAnsi="宋体" w:cs="宋体"/>
          <w:color w:val="auto"/>
          <w:sz w:val="21"/>
          <w:szCs w:val="21"/>
          <w:highlight w:val="none"/>
        </w:rPr>
        <w:t>采购文件的澄清或修改</w:t>
      </w:r>
      <w:bookmarkEnd w:id="40"/>
    </w:p>
    <w:p w14:paraId="0554C29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6F8D0113">
      <w:pPr>
        <w:widowControl w:val="0"/>
        <w:numPr>
          <w:ilvl w:val="1"/>
          <w:numId w:val="2"/>
        </w:numPr>
        <w:overflowPunct w:val="0"/>
        <w:rPr>
          <w:rFonts w:hint="eastAsia" w:ascii="宋体" w:hAnsi="宋体" w:cs="宋体"/>
          <w:b/>
          <w:bCs/>
          <w:color w:val="auto"/>
          <w:szCs w:val="21"/>
          <w:highlight w:val="none"/>
        </w:rPr>
      </w:pPr>
      <w:r>
        <w:rPr>
          <w:rFonts w:hint="eastAsia" w:ascii="宋体" w:hAnsi="宋体" w:cs="宋体"/>
          <w:b/>
          <w:bCs/>
          <w:color w:val="auto"/>
          <w:szCs w:val="21"/>
          <w:highlight w:val="none"/>
        </w:rPr>
        <w:t>采购期间，投标人有义务上网查看，公告一经上网发布，即视为送达。因投标人未及时上网查看而造成的所有后果，由投标人自行承担。</w:t>
      </w:r>
    </w:p>
    <w:p w14:paraId="61CE58AA">
      <w:pPr>
        <w:widowControl w:val="0"/>
        <w:adjustRightInd/>
        <w:snapToGrid/>
        <w:ind w:left="567"/>
        <w:jc w:val="both"/>
        <w:rPr>
          <w:rFonts w:hint="eastAsia" w:ascii="宋体" w:hAnsi="宋体" w:cs="宋体"/>
          <w:color w:val="auto"/>
          <w:szCs w:val="21"/>
          <w:highlight w:val="none"/>
        </w:rPr>
      </w:pPr>
    </w:p>
    <w:p w14:paraId="31A6E16E">
      <w:pPr>
        <w:pStyle w:val="7"/>
        <w:numPr>
          <w:ilvl w:val="0"/>
          <w:numId w:val="1"/>
        </w:numPr>
        <w:spacing w:before="0" w:after="0" w:line="360" w:lineRule="auto"/>
        <w:jc w:val="center"/>
        <w:rPr>
          <w:rFonts w:hint="eastAsia" w:ascii="宋体" w:hAnsi="宋体" w:cs="宋体"/>
          <w:color w:val="auto"/>
          <w:highlight w:val="none"/>
        </w:rPr>
      </w:pPr>
      <w:bookmarkStart w:id="41" w:name="_Toc182307993"/>
      <w:r>
        <w:rPr>
          <w:rFonts w:hint="eastAsia" w:ascii="宋体" w:hAnsi="宋体" w:cs="宋体"/>
          <w:color w:val="auto"/>
          <w:highlight w:val="none"/>
        </w:rPr>
        <w:t>投标文件的编制</w:t>
      </w:r>
      <w:bookmarkEnd w:id="41"/>
    </w:p>
    <w:p w14:paraId="22C5232D">
      <w:pPr>
        <w:pStyle w:val="8"/>
        <w:widowControl w:val="0"/>
        <w:numPr>
          <w:ilvl w:val="0"/>
          <w:numId w:val="2"/>
        </w:numPr>
        <w:overflowPunct w:val="0"/>
        <w:rPr>
          <w:rFonts w:hint="eastAsia" w:ascii="宋体" w:hAnsi="宋体" w:cs="宋体"/>
          <w:color w:val="auto"/>
          <w:sz w:val="21"/>
          <w:szCs w:val="21"/>
          <w:highlight w:val="none"/>
        </w:rPr>
      </w:pPr>
      <w:bookmarkStart w:id="42" w:name="_Toc182307994"/>
      <w:r>
        <w:rPr>
          <w:rFonts w:hint="eastAsia" w:ascii="宋体" w:hAnsi="宋体" w:cs="宋体"/>
          <w:color w:val="auto"/>
          <w:sz w:val="21"/>
          <w:szCs w:val="21"/>
          <w:highlight w:val="none"/>
        </w:rPr>
        <w:t>投标文件的语言及度量衡单位</w:t>
      </w:r>
      <w:bookmarkEnd w:id="42"/>
    </w:p>
    <w:p w14:paraId="55C6309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45305EB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除非采购文件在技术规格中另有规定，投标人在投标文件中及其与采购代理机构和采购人所有往来文件中的所有计量单位均应采用中华人民共和国法定计量单位。</w:t>
      </w:r>
    </w:p>
    <w:p w14:paraId="09FF5524">
      <w:pPr>
        <w:widowControl w:val="0"/>
        <w:adjustRightInd/>
        <w:snapToGrid/>
        <w:ind w:left="567"/>
        <w:jc w:val="both"/>
        <w:rPr>
          <w:rFonts w:hint="eastAsia" w:ascii="宋体" w:hAnsi="宋体" w:cs="宋体"/>
          <w:color w:val="auto"/>
          <w:szCs w:val="21"/>
          <w:highlight w:val="none"/>
        </w:rPr>
      </w:pPr>
    </w:p>
    <w:p w14:paraId="69B416F5">
      <w:pPr>
        <w:pStyle w:val="8"/>
        <w:widowControl w:val="0"/>
        <w:numPr>
          <w:ilvl w:val="0"/>
          <w:numId w:val="2"/>
        </w:numPr>
        <w:overflowPunct w:val="0"/>
        <w:rPr>
          <w:rFonts w:hint="eastAsia" w:ascii="宋体" w:hAnsi="宋体" w:cs="宋体"/>
          <w:color w:val="auto"/>
          <w:sz w:val="21"/>
          <w:szCs w:val="21"/>
          <w:highlight w:val="none"/>
        </w:rPr>
      </w:pPr>
      <w:bookmarkStart w:id="43" w:name="_Toc382049103"/>
      <w:bookmarkStart w:id="44" w:name="_Toc307934854"/>
      <w:bookmarkStart w:id="45" w:name="_Toc28866"/>
      <w:bookmarkStart w:id="46" w:name="_Toc182307995"/>
      <w:bookmarkStart w:id="47" w:name="_Toc303084256"/>
      <w:r>
        <w:rPr>
          <w:rFonts w:hint="eastAsia" w:ascii="宋体" w:hAnsi="宋体" w:cs="宋体"/>
          <w:color w:val="auto"/>
          <w:sz w:val="21"/>
          <w:szCs w:val="21"/>
          <w:highlight w:val="none"/>
        </w:rPr>
        <w:t>投标文件的组成</w:t>
      </w:r>
      <w:bookmarkEnd w:id="43"/>
      <w:bookmarkEnd w:id="44"/>
      <w:bookmarkEnd w:id="45"/>
      <w:bookmarkEnd w:id="46"/>
      <w:bookmarkEnd w:id="47"/>
    </w:p>
    <w:p w14:paraId="12F89E8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包括但不限于采购文件附件格式中要求提供的表格。</w:t>
      </w:r>
    </w:p>
    <w:p w14:paraId="000E184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上述文件须按顺序装订成册，并编制投标文件目录。除上述文件资料外投标人还须按投标人须知的要求制作“唱标信封”。“唱标信封”作为投标文件的一部分，但须单独密封。</w:t>
      </w:r>
    </w:p>
    <w:p w14:paraId="05404071">
      <w:pPr>
        <w:rPr>
          <w:rFonts w:hint="eastAsia" w:ascii="宋体" w:hAnsi="宋体" w:cs="宋体"/>
          <w:color w:val="auto"/>
          <w:highlight w:val="none"/>
        </w:rPr>
      </w:pPr>
    </w:p>
    <w:p w14:paraId="692E5686">
      <w:pPr>
        <w:pStyle w:val="8"/>
        <w:widowControl w:val="0"/>
        <w:numPr>
          <w:ilvl w:val="0"/>
          <w:numId w:val="2"/>
        </w:numPr>
        <w:overflowPunct w:val="0"/>
        <w:rPr>
          <w:rFonts w:hint="eastAsia" w:ascii="宋体" w:hAnsi="宋体" w:cs="宋体"/>
          <w:color w:val="auto"/>
          <w:sz w:val="21"/>
          <w:szCs w:val="21"/>
          <w:highlight w:val="none"/>
        </w:rPr>
      </w:pPr>
      <w:bookmarkStart w:id="48" w:name="_Toc182307996"/>
      <w:r>
        <w:rPr>
          <w:rFonts w:hint="eastAsia" w:ascii="宋体" w:hAnsi="宋体" w:cs="宋体"/>
          <w:color w:val="auto"/>
          <w:sz w:val="21"/>
          <w:szCs w:val="21"/>
          <w:highlight w:val="none"/>
        </w:rPr>
        <w:t>投标文件编制</w:t>
      </w:r>
      <w:bookmarkEnd w:id="48"/>
    </w:p>
    <w:p w14:paraId="1C45CF57">
      <w:pPr>
        <w:widowControl w:val="0"/>
        <w:numPr>
          <w:ilvl w:val="1"/>
          <w:numId w:val="2"/>
        </w:numPr>
        <w:overflowPunct w:val="0"/>
        <w:rPr>
          <w:rFonts w:hint="eastAsia" w:ascii="宋体" w:hAnsi="宋体" w:cs="宋体"/>
          <w:color w:val="auto"/>
          <w:szCs w:val="21"/>
          <w:highlight w:val="none"/>
        </w:rPr>
      </w:pPr>
      <w:bookmarkStart w:id="49" w:name="_Toc303084258"/>
      <w:r>
        <w:rPr>
          <w:rFonts w:hint="eastAsia" w:ascii="宋体" w:hAnsi="宋体" w:cs="宋体"/>
          <w:color w:val="auto"/>
          <w:szCs w:val="21"/>
          <w:highlight w:val="none"/>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26C6149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因投标文件编制存在歧义对投标人产生负面影响的，投标人自行承担后果。</w:t>
      </w:r>
    </w:p>
    <w:p w14:paraId="601E490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投标人名称与投标人公章不一致，若投标人名称已进行变更，应在投标文件中提供相应的证明材料并加盖公章，否则投标文件无效。</w:t>
      </w:r>
    </w:p>
    <w:p w14:paraId="7EBF03C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投标文件密封、标记及内容与本项目采购信息不符，导致无法分辨所投项目为本项目的，投标文件无效。</w:t>
      </w:r>
    </w:p>
    <w:p w14:paraId="2FCD6D8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投标人须客观撰写投标人简介（格式自理，并提供相关证明）以及所投的产品或服务说明。</w:t>
      </w:r>
    </w:p>
    <w:p w14:paraId="58D7898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投标文件若出现以下内容，经评标委员会认定有可能间接影响评审秩序，作废标处理。</w:t>
      </w:r>
    </w:p>
    <w:p w14:paraId="3BE72598">
      <w:pPr>
        <w:pStyle w:val="45"/>
        <w:widowControl w:val="0"/>
        <w:numPr>
          <w:ilvl w:val="0"/>
          <w:numId w:val="3"/>
        </w:numPr>
        <w:adjustRightInd/>
        <w:snapToGrid/>
        <w:ind w:firstLineChars="0"/>
        <w:jc w:val="both"/>
        <w:rPr>
          <w:rFonts w:hint="eastAsia" w:ascii="宋体" w:hAnsi="宋体" w:cs="宋体"/>
          <w:color w:val="auto"/>
          <w:szCs w:val="21"/>
          <w:highlight w:val="none"/>
        </w:rPr>
      </w:pPr>
      <w:r>
        <w:rPr>
          <w:rFonts w:hint="eastAsia" w:ascii="宋体" w:hAnsi="宋体" w:cs="宋体"/>
          <w:color w:val="auto"/>
          <w:szCs w:val="21"/>
          <w:highlight w:val="none"/>
        </w:rPr>
        <w:t>投标文件内出现无官方证明文件的行业地域排名或使用“国家级”“最高级”“最佳”等用语字眼的。</w:t>
      </w:r>
    </w:p>
    <w:p w14:paraId="73F96243">
      <w:pPr>
        <w:pStyle w:val="45"/>
        <w:widowControl w:val="0"/>
        <w:numPr>
          <w:ilvl w:val="0"/>
          <w:numId w:val="3"/>
        </w:numPr>
        <w:adjustRightInd/>
        <w:snapToGrid/>
        <w:ind w:firstLineChars="0"/>
        <w:jc w:val="both"/>
        <w:rPr>
          <w:rFonts w:hint="eastAsia" w:ascii="宋体" w:hAnsi="宋体" w:cs="宋体"/>
          <w:color w:val="auto"/>
          <w:szCs w:val="21"/>
          <w:highlight w:val="none"/>
        </w:rPr>
      </w:pPr>
      <w:r>
        <w:rPr>
          <w:rFonts w:hint="eastAsia" w:ascii="宋体" w:hAnsi="宋体" w:cs="宋体"/>
          <w:color w:val="auto"/>
          <w:szCs w:val="21"/>
          <w:highlight w:val="none"/>
        </w:rPr>
        <w:t>投标文件内出现恶意诋毁、贬低其他生产经营者的商品或者服务的内容。</w:t>
      </w:r>
    </w:p>
    <w:p w14:paraId="5856163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有下列</w:t>
      </w:r>
      <w:r>
        <w:rPr>
          <w:rFonts w:hint="eastAsia" w:ascii="宋体" w:hAnsi="宋体" w:eastAsia="宋体" w:cs="宋体"/>
          <w:color w:val="auto"/>
          <w:szCs w:val="21"/>
          <w:highlight w:val="none"/>
        </w:rPr>
        <w:t>情形</w:t>
      </w:r>
      <w:r>
        <w:rPr>
          <w:rFonts w:hint="eastAsia" w:ascii="宋体" w:hAnsi="宋体" w:cs="宋体"/>
          <w:color w:val="auto"/>
          <w:szCs w:val="21"/>
          <w:highlight w:val="none"/>
        </w:rPr>
        <w:t>之一的，视为投标人串通投标，其投标无效：</w:t>
      </w:r>
    </w:p>
    <w:p w14:paraId="5070282F">
      <w:pPr>
        <w:widowControl w:val="0"/>
        <w:ind w:firstLine="420" w:firstLineChars="200"/>
        <w:jc w:val="both"/>
        <w:rPr>
          <w:rFonts w:hint="eastAsia" w:ascii="宋体" w:hAnsi="宋体" w:eastAsia="宋体" w:cs="宋体"/>
          <w:color w:val="auto"/>
          <w:szCs w:val="21"/>
          <w:highlight w:val="none"/>
        </w:rPr>
      </w:pPr>
      <w:r>
        <w:rPr>
          <w:rFonts w:hint="eastAsia" w:ascii="宋体" w:hAnsi="宋体" w:cs="宋体"/>
          <w:color w:val="auto"/>
          <w:szCs w:val="21"/>
          <w:highlight w:val="none"/>
        </w:rPr>
        <w:t>（</w:t>
      </w:r>
      <w:r>
        <w:rPr>
          <w:rFonts w:hint="eastAsia" w:ascii="宋体" w:hAnsi="宋体" w:eastAsia="宋体" w:cs="宋体"/>
          <w:color w:val="auto"/>
          <w:szCs w:val="21"/>
          <w:highlight w:val="none"/>
        </w:rPr>
        <w:t>1）不同投标人的投标文件由同一单位或者个人编制；</w:t>
      </w:r>
    </w:p>
    <w:p w14:paraId="7777AB7C">
      <w:pPr>
        <w:widowControl w:val="0"/>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（2）不同投标人委托同一单位或者个人办理投标事宜；</w:t>
      </w:r>
    </w:p>
    <w:p w14:paraId="47C3C8E0">
      <w:pPr>
        <w:widowControl w:val="0"/>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（3）不同投标人的投标文件载明的项目管理成员或者联系人员为同一人；</w:t>
      </w:r>
    </w:p>
    <w:p w14:paraId="2A1ACCED">
      <w:pPr>
        <w:widowControl w:val="0"/>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（4）不同投标人的投标文件异常一致或者投标报价呈规律性差异；</w:t>
      </w:r>
    </w:p>
    <w:p w14:paraId="7439C7EC">
      <w:pPr>
        <w:widowControl w:val="0"/>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（5）不同投标人的投标文件相互混装；</w:t>
      </w:r>
    </w:p>
    <w:p w14:paraId="54D53749">
      <w:pPr>
        <w:widowControl w:val="0"/>
        <w:ind w:firstLine="420" w:firstLineChars="20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（6）不同投标人的投标保证金从同一单位或者个人的账户转出。</w:t>
      </w:r>
    </w:p>
    <w:bookmarkEnd w:id="49"/>
    <w:p w14:paraId="604D3F73">
      <w:pPr>
        <w:rPr>
          <w:rFonts w:hint="eastAsia" w:ascii="宋体" w:hAnsi="宋体" w:cs="宋体"/>
          <w:color w:val="auto"/>
          <w:highlight w:val="none"/>
        </w:rPr>
      </w:pPr>
    </w:p>
    <w:p w14:paraId="5C6795E1">
      <w:pPr>
        <w:pStyle w:val="8"/>
        <w:widowControl w:val="0"/>
        <w:numPr>
          <w:ilvl w:val="0"/>
          <w:numId w:val="2"/>
        </w:numPr>
        <w:overflowPunct w:val="0"/>
        <w:rPr>
          <w:rFonts w:hint="eastAsia" w:ascii="宋体" w:hAnsi="宋体" w:cs="宋体"/>
          <w:color w:val="auto"/>
          <w:sz w:val="21"/>
          <w:szCs w:val="21"/>
          <w:highlight w:val="none"/>
        </w:rPr>
      </w:pPr>
      <w:bookmarkStart w:id="50" w:name="_Toc182307997"/>
      <w:r>
        <w:rPr>
          <w:rFonts w:hint="eastAsia" w:ascii="宋体" w:hAnsi="宋体" w:cs="宋体"/>
          <w:color w:val="auto"/>
          <w:sz w:val="21"/>
          <w:szCs w:val="21"/>
          <w:highlight w:val="none"/>
        </w:rPr>
        <w:t>投标报价说明</w:t>
      </w:r>
      <w:bookmarkEnd w:id="50"/>
    </w:p>
    <w:p w14:paraId="2D0BDCB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本次采购，投标人应按用户需求中的要求进行投标报价，少报无效。</w:t>
      </w:r>
    </w:p>
    <w:p w14:paraId="694E37C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投标人所提供的货物或服务均以人民币（或相关费率）报价。</w:t>
      </w:r>
    </w:p>
    <w:p w14:paraId="56348C4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投标报价应包含完成本次采购所有服务内容的费用，包含各种税务费及合同实施过程中的全部费用和售后服务费等。</w:t>
      </w:r>
    </w:p>
    <w:p w14:paraId="1EE5B24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C85066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中标后开出的所有发票必须与中标人的名称一致。</w:t>
      </w:r>
    </w:p>
    <w:p w14:paraId="4F3F8EAC">
      <w:pPr>
        <w:rPr>
          <w:rFonts w:hint="eastAsia" w:ascii="宋体" w:hAnsi="宋体" w:cs="宋体"/>
          <w:color w:val="auto"/>
          <w:highlight w:val="none"/>
        </w:rPr>
      </w:pPr>
    </w:p>
    <w:p w14:paraId="09458AA7">
      <w:pPr>
        <w:pStyle w:val="8"/>
        <w:widowControl w:val="0"/>
        <w:numPr>
          <w:ilvl w:val="0"/>
          <w:numId w:val="2"/>
        </w:numPr>
        <w:overflowPunct w:val="0"/>
        <w:rPr>
          <w:rFonts w:hint="eastAsia" w:ascii="宋体" w:hAnsi="宋体" w:cs="宋体"/>
          <w:color w:val="auto"/>
          <w:sz w:val="21"/>
          <w:szCs w:val="21"/>
          <w:highlight w:val="none"/>
        </w:rPr>
      </w:pPr>
      <w:bookmarkStart w:id="51" w:name="_Toc182307998"/>
      <w:r>
        <w:rPr>
          <w:rFonts w:hint="eastAsia" w:ascii="宋体" w:hAnsi="宋体" w:cs="宋体"/>
          <w:color w:val="auto"/>
          <w:sz w:val="21"/>
          <w:szCs w:val="21"/>
          <w:highlight w:val="none"/>
        </w:rPr>
        <w:t>投标人所提供的服务或货物的证明文件</w:t>
      </w:r>
      <w:bookmarkEnd w:id="51"/>
    </w:p>
    <w:p w14:paraId="77D55741">
      <w:pPr>
        <w:widowControl w:val="0"/>
        <w:numPr>
          <w:ilvl w:val="1"/>
          <w:numId w:val="2"/>
        </w:numPr>
        <w:overflowPunct w:val="0"/>
        <w:rPr>
          <w:rFonts w:hint="eastAsia" w:ascii="宋体" w:hAnsi="宋体" w:cs="宋体"/>
          <w:color w:val="auto"/>
          <w:szCs w:val="21"/>
          <w:highlight w:val="none"/>
        </w:rPr>
      </w:pPr>
      <w:bookmarkStart w:id="52" w:name="_Hlt107925668"/>
      <w:bookmarkEnd w:id="52"/>
      <w:bookmarkStart w:id="53" w:name="_Hlt107925638"/>
      <w:bookmarkEnd w:id="53"/>
      <w:r>
        <w:rPr>
          <w:rFonts w:hint="eastAsia" w:ascii="宋体" w:hAnsi="宋体" w:cs="宋体"/>
          <w:color w:val="auto"/>
          <w:szCs w:val="21"/>
          <w:highlight w:val="none"/>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6AF8972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有下列情形之一的，视为投标人弄虚作假，其投标无效：</w:t>
      </w:r>
    </w:p>
    <w:p w14:paraId="0164B6CE">
      <w:pPr>
        <w:pStyle w:val="45"/>
        <w:widowControl w:val="0"/>
        <w:ind w:left="425" w:firstLine="0" w:firstLineChars="0"/>
        <w:jc w:val="both"/>
        <w:rPr>
          <w:rFonts w:hint="eastAsia" w:ascii="宋体" w:hAnsi="宋体" w:cs="宋体"/>
          <w:color w:val="auto"/>
          <w:highlight w:val="none"/>
        </w:rPr>
      </w:pPr>
      <w:r>
        <w:rPr>
          <w:rFonts w:hint="eastAsia" w:ascii="宋体" w:hAnsi="宋体" w:cs="宋体"/>
          <w:color w:val="auto"/>
          <w:highlight w:val="none"/>
        </w:rPr>
        <w:t>1、使用通过受让或者租借等方式获取的资格、资质证书投标的，属于以他人名义投标。</w:t>
      </w:r>
    </w:p>
    <w:p w14:paraId="49B43546">
      <w:pPr>
        <w:pStyle w:val="45"/>
        <w:widowControl w:val="0"/>
        <w:ind w:left="425" w:firstLine="0" w:firstLineChars="0"/>
        <w:jc w:val="both"/>
        <w:rPr>
          <w:rFonts w:hint="eastAsia" w:ascii="宋体" w:hAnsi="宋体" w:eastAsia="宋体" w:cs="宋体"/>
          <w:color w:val="auto"/>
          <w:highlight w:val="none"/>
        </w:rPr>
      </w:pPr>
      <w:r>
        <w:rPr>
          <w:rFonts w:hint="eastAsia" w:ascii="宋体" w:hAnsi="宋体" w:eastAsia="宋体" w:cs="宋体"/>
          <w:color w:val="auto"/>
          <w:highlight w:val="none"/>
        </w:rPr>
        <w:t>2、投标人有下列情形之一的，属于以其他方式弄虚作假的行为：</w:t>
      </w:r>
    </w:p>
    <w:p w14:paraId="7BCA4B74">
      <w:pPr>
        <w:pStyle w:val="45"/>
        <w:widowControl w:val="0"/>
        <w:ind w:left="425" w:firstLine="0" w:firstLineChars="0"/>
        <w:jc w:val="both"/>
        <w:rPr>
          <w:rFonts w:hint="eastAsia" w:ascii="宋体" w:hAnsi="宋体" w:eastAsia="宋体" w:cs="宋体"/>
          <w:color w:val="auto"/>
          <w:highlight w:val="none"/>
        </w:rPr>
      </w:pPr>
      <w:r>
        <w:rPr>
          <w:rFonts w:hint="eastAsia" w:ascii="宋体" w:hAnsi="宋体" w:eastAsia="宋体" w:cs="宋体"/>
          <w:color w:val="auto"/>
          <w:highlight w:val="none"/>
        </w:rPr>
        <w:t>（1）使用伪造、变造的许可证件；</w:t>
      </w:r>
    </w:p>
    <w:p w14:paraId="3B473FF7">
      <w:pPr>
        <w:pStyle w:val="45"/>
        <w:widowControl w:val="0"/>
        <w:ind w:left="425" w:firstLine="0" w:firstLineChars="0"/>
        <w:jc w:val="both"/>
        <w:rPr>
          <w:rFonts w:hint="eastAsia" w:ascii="宋体" w:hAnsi="宋体" w:eastAsia="宋体" w:cs="宋体"/>
          <w:color w:val="auto"/>
          <w:highlight w:val="none"/>
        </w:rPr>
      </w:pPr>
      <w:r>
        <w:rPr>
          <w:rFonts w:hint="eastAsia" w:ascii="宋体" w:hAnsi="宋体" w:eastAsia="宋体" w:cs="宋体"/>
          <w:color w:val="auto"/>
          <w:highlight w:val="none"/>
        </w:rPr>
        <w:t>（2）提供虚假的财务状况或者业绩；</w:t>
      </w:r>
    </w:p>
    <w:p w14:paraId="59FD3BD6">
      <w:pPr>
        <w:pStyle w:val="45"/>
        <w:widowControl w:val="0"/>
        <w:ind w:left="425" w:firstLine="0" w:firstLineChars="0"/>
        <w:jc w:val="both"/>
        <w:rPr>
          <w:rFonts w:hint="eastAsia" w:ascii="宋体" w:hAnsi="宋体" w:eastAsia="宋体" w:cs="宋体"/>
          <w:color w:val="auto"/>
          <w:highlight w:val="none"/>
        </w:rPr>
      </w:pPr>
      <w:r>
        <w:rPr>
          <w:rFonts w:hint="eastAsia" w:ascii="宋体" w:hAnsi="宋体" w:eastAsia="宋体" w:cs="宋体"/>
          <w:color w:val="auto"/>
          <w:highlight w:val="none"/>
        </w:rPr>
        <w:t>（3）提供虚假的项目负责人或者主要技术人员简历、劳动关系证明；</w:t>
      </w:r>
    </w:p>
    <w:p w14:paraId="4CBBD006">
      <w:pPr>
        <w:pStyle w:val="45"/>
        <w:widowControl w:val="0"/>
        <w:ind w:left="425" w:firstLine="0" w:firstLineChars="0"/>
        <w:jc w:val="both"/>
        <w:rPr>
          <w:rFonts w:hint="eastAsia" w:ascii="宋体" w:hAnsi="宋体" w:eastAsia="宋体" w:cs="宋体"/>
          <w:color w:val="auto"/>
          <w:highlight w:val="none"/>
        </w:rPr>
      </w:pPr>
      <w:r>
        <w:rPr>
          <w:rFonts w:hint="eastAsia" w:ascii="宋体" w:hAnsi="宋体" w:eastAsia="宋体" w:cs="宋体"/>
          <w:color w:val="auto"/>
          <w:highlight w:val="none"/>
        </w:rPr>
        <w:t>（4）提供虚假的信用状况；</w:t>
      </w:r>
    </w:p>
    <w:p w14:paraId="7E283D4D">
      <w:pPr>
        <w:pStyle w:val="45"/>
        <w:widowControl w:val="0"/>
        <w:ind w:left="425" w:firstLine="0" w:firstLineChars="0"/>
        <w:jc w:val="both"/>
        <w:rPr>
          <w:rFonts w:hint="eastAsia" w:ascii="宋体" w:hAnsi="宋体" w:eastAsia="宋体" w:cs="宋体"/>
          <w:color w:val="auto"/>
          <w:highlight w:val="none"/>
        </w:rPr>
      </w:pPr>
      <w:r>
        <w:rPr>
          <w:rFonts w:hint="eastAsia" w:ascii="宋体" w:hAnsi="宋体" w:eastAsia="宋体" w:cs="宋体"/>
          <w:color w:val="auto"/>
          <w:highlight w:val="none"/>
        </w:rPr>
        <w:t>（5）其他弄虚作假的行为。</w:t>
      </w:r>
    </w:p>
    <w:p w14:paraId="419510FF">
      <w:pPr>
        <w:pStyle w:val="8"/>
        <w:widowControl w:val="0"/>
        <w:numPr>
          <w:ilvl w:val="0"/>
          <w:numId w:val="2"/>
        </w:numPr>
        <w:overflowPunct w:val="0"/>
        <w:rPr>
          <w:rFonts w:hint="eastAsia" w:ascii="宋体" w:hAnsi="宋体" w:cs="宋体"/>
          <w:color w:val="auto"/>
          <w:sz w:val="21"/>
          <w:szCs w:val="21"/>
          <w:highlight w:val="none"/>
        </w:rPr>
      </w:pPr>
      <w:bookmarkStart w:id="54" w:name="_Toc182307999"/>
      <w:r>
        <w:rPr>
          <w:rFonts w:hint="eastAsia" w:ascii="宋体" w:hAnsi="宋体" w:cs="宋体"/>
          <w:color w:val="auto"/>
          <w:sz w:val="21"/>
          <w:szCs w:val="21"/>
          <w:highlight w:val="none"/>
        </w:rPr>
        <w:t>投标有效期</w:t>
      </w:r>
      <w:bookmarkEnd w:id="54"/>
    </w:p>
    <w:p w14:paraId="4F10A00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投标文件应根据投标人须知的规定在投标截止日后的90天内保持有效。</w:t>
      </w:r>
    </w:p>
    <w:p w14:paraId="7B1AE207">
      <w:pPr>
        <w:widowControl w:val="0"/>
        <w:adjustRightInd/>
        <w:snapToGrid/>
        <w:ind w:left="567"/>
        <w:jc w:val="both"/>
        <w:rPr>
          <w:rFonts w:hint="eastAsia" w:ascii="宋体" w:hAnsi="宋体" w:cs="宋体"/>
          <w:color w:val="auto"/>
          <w:highlight w:val="none"/>
        </w:rPr>
      </w:pPr>
    </w:p>
    <w:p w14:paraId="700C0770">
      <w:pPr>
        <w:pStyle w:val="8"/>
        <w:widowControl w:val="0"/>
        <w:numPr>
          <w:ilvl w:val="0"/>
          <w:numId w:val="2"/>
        </w:numPr>
        <w:overflowPunct w:val="0"/>
        <w:rPr>
          <w:rFonts w:hint="eastAsia" w:ascii="宋体" w:hAnsi="宋体" w:cs="宋体"/>
          <w:color w:val="auto"/>
          <w:sz w:val="21"/>
          <w:szCs w:val="21"/>
          <w:highlight w:val="none"/>
        </w:rPr>
      </w:pPr>
      <w:bookmarkStart w:id="55" w:name="_Toc182308000"/>
      <w:r>
        <w:rPr>
          <w:rFonts w:hint="eastAsia" w:ascii="宋体" w:hAnsi="宋体" w:cs="宋体"/>
          <w:color w:val="auto"/>
          <w:sz w:val="21"/>
          <w:szCs w:val="21"/>
          <w:highlight w:val="none"/>
        </w:rPr>
        <w:t>投标保证金</w:t>
      </w:r>
      <w:bookmarkEnd w:id="55"/>
    </w:p>
    <w:p w14:paraId="046937D3">
      <w:pPr>
        <w:widowControl w:val="0"/>
        <w:numPr>
          <w:ilvl w:val="1"/>
          <w:numId w:val="2"/>
        </w:numPr>
        <w:overflowPunct w:val="0"/>
        <w:rPr>
          <w:rFonts w:hint="eastAsia" w:ascii="宋体" w:hAnsi="宋体" w:cs="宋体"/>
          <w:color w:val="auto"/>
          <w:szCs w:val="21"/>
          <w:highlight w:val="none"/>
        </w:rPr>
      </w:pPr>
      <w:bookmarkStart w:id="56" w:name="_Ref179619405"/>
      <w:r>
        <w:rPr>
          <w:rFonts w:hint="eastAsia" w:ascii="宋体" w:hAnsi="宋体" w:cs="宋体"/>
          <w:color w:val="auto"/>
          <w:szCs w:val="21"/>
          <w:highlight w:val="none"/>
        </w:rPr>
        <w:t>投标人应在投标文件递交截止前提交相应的投标保证金，并作为其投标的一部分。</w:t>
      </w:r>
      <w:bookmarkEnd w:id="56"/>
    </w:p>
    <w:p w14:paraId="1DB79E9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投标保证金是为了保护采购代理机构和采购人免遭因投标人的行为而蒙受的损失。采购代理机构和采购人在因投标人的行为受到损害时可根据本须知（17.7）的规定没收投标人的投标保证金。</w:t>
      </w:r>
    </w:p>
    <w:p w14:paraId="6CA6A13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保证金采用转账、电汇方式提交，应符合以下要求：采用银行转账、电汇方式提交的，保证金汇入《投标资料表》中投标保证金专用账户，不接收由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7EA519D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凡没有根据本须知（17.1和17.3）的规定随附有效的投标保证金的投标，将被视为非响应性投标予以拒绝。</w:t>
      </w:r>
    </w:p>
    <w:p w14:paraId="7067F5C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投标保证金有效期应当与投标有效期一致。采购人如果按照采购文件另外规定延长了投标文件有效期，则投标担保的有效期也相应延长。</w:t>
      </w:r>
    </w:p>
    <w:p w14:paraId="59BD685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中标人在签订采购合同并按采购文件第（33）条规定提交履约担保金后，携带退保证金声明函、投标保证金汇款单复印件（加盖公章）和合同正本到采购人处办理投标保证金（无息）退回手续。</w:t>
      </w:r>
    </w:p>
    <w:p w14:paraId="30054DF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下列任何情况发生时，投标保证金将不予退还：</w:t>
      </w:r>
    </w:p>
    <w:p w14:paraId="308E4783">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（1）投标人在采购文件中规定的投标有效期内撤回其投标；</w:t>
      </w:r>
    </w:p>
    <w:p w14:paraId="23673007">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（2）中标人无正当理由不与采购人订立合同，在签订合同时向采购人提出附加条件，或者不按照采购文件要求提交履约保证金的；</w:t>
      </w:r>
    </w:p>
    <w:p w14:paraId="2A41E076">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（3）中标人将本项目转让给他人，或者在投标文件中未说明，且未经采购人同意，将中标项目分包给他人的；</w:t>
      </w:r>
    </w:p>
    <w:p w14:paraId="2C4B53BC">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（4）投标人提供虚假投标文件或虚假补充文件的。</w:t>
      </w:r>
    </w:p>
    <w:p w14:paraId="79F8230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在中标通知书发出后，未中标投标人的投标保证金，由采购人自行返还至投标人的原转出账户。</w:t>
      </w:r>
    </w:p>
    <w:p w14:paraId="1F8D5093">
      <w:pPr>
        <w:rPr>
          <w:rFonts w:hint="eastAsia" w:ascii="宋体" w:hAnsi="宋体" w:cs="宋体"/>
          <w:color w:val="auto"/>
          <w:highlight w:val="none"/>
        </w:rPr>
      </w:pPr>
    </w:p>
    <w:p w14:paraId="7DAD3C2D">
      <w:pPr>
        <w:pStyle w:val="7"/>
        <w:numPr>
          <w:ilvl w:val="0"/>
          <w:numId w:val="1"/>
        </w:numPr>
        <w:spacing w:before="0" w:after="0" w:line="360" w:lineRule="auto"/>
        <w:jc w:val="center"/>
        <w:rPr>
          <w:rFonts w:hint="eastAsia" w:ascii="宋体" w:hAnsi="宋体" w:cs="宋体"/>
          <w:color w:val="auto"/>
          <w:highlight w:val="none"/>
        </w:rPr>
      </w:pPr>
      <w:bookmarkStart w:id="57" w:name="_Toc182308001"/>
      <w:r>
        <w:rPr>
          <w:rFonts w:hint="eastAsia" w:ascii="宋体" w:hAnsi="宋体" w:cs="宋体"/>
          <w:color w:val="auto"/>
          <w:highlight w:val="none"/>
        </w:rPr>
        <w:t>投标文件的递交</w:t>
      </w:r>
      <w:bookmarkEnd w:id="57"/>
    </w:p>
    <w:p w14:paraId="156F8D21">
      <w:pPr>
        <w:pStyle w:val="8"/>
        <w:widowControl w:val="0"/>
        <w:numPr>
          <w:ilvl w:val="0"/>
          <w:numId w:val="2"/>
        </w:numPr>
        <w:overflowPunct w:val="0"/>
        <w:rPr>
          <w:rFonts w:hint="eastAsia" w:ascii="宋体" w:hAnsi="宋体" w:cs="宋体"/>
          <w:color w:val="auto"/>
          <w:sz w:val="21"/>
          <w:szCs w:val="21"/>
          <w:highlight w:val="none"/>
        </w:rPr>
      </w:pPr>
      <w:bookmarkStart w:id="58" w:name="_Toc24997"/>
      <w:bookmarkStart w:id="59" w:name="_Toc182308002"/>
      <w:bookmarkStart w:id="60" w:name="_Toc303084264"/>
      <w:bookmarkStart w:id="61" w:name="_Toc382049111"/>
      <w:r>
        <w:rPr>
          <w:rFonts w:hint="eastAsia" w:ascii="宋体" w:hAnsi="宋体" w:cs="宋体"/>
          <w:color w:val="auto"/>
          <w:sz w:val="21"/>
          <w:szCs w:val="21"/>
          <w:highlight w:val="none"/>
        </w:rPr>
        <w:t>投标文件的装订，签署，密封和标记</w:t>
      </w:r>
      <w:bookmarkEnd w:id="58"/>
      <w:bookmarkEnd w:id="59"/>
      <w:bookmarkEnd w:id="60"/>
      <w:bookmarkEnd w:id="61"/>
    </w:p>
    <w:p w14:paraId="2F965A0E">
      <w:pPr>
        <w:widowControl w:val="0"/>
        <w:numPr>
          <w:ilvl w:val="1"/>
          <w:numId w:val="2"/>
        </w:numPr>
        <w:overflowPunct w:val="0"/>
        <w:rPr>
          <w:rFonts w:hint="eastAsia" w:ascii="宋体" w:hAnsi="宋体" w:cs="宋体"/>
          <w:color w:val="auto"/>
          <w:szCs w:val="21"/>
          <w:highlight w:val="none"/>
        </w:rPr>
      </w:pPr>
      <w:r>
        <w:rPr>
          <w:rFonts w:hint="eastAsia" w:ascii="宋体" w:hAnsi="宋体"/>
          <w:color w:val="auto"/>
          <w:szCs w:val="21"/>
          <w:highlight w:val="none"/>
        </w:rPr>
        <w:t>投标人应按《投标资料表》的份数准备价格文件、商务文件、技术文件、唱标信封和电子文件（</w:t>
      </w:r>
      <w:r>
        <w:rPr>
          <w:rFonts w:hint="eastAsia" w:ascii="宋体" w:hAnsi="宋体"/>
          <w:b/>
          <w:color w:val="auto"/>
          <w:szCs w:val="21"/>
          <w:highlight w:val="none"/>
        </w:rPr>
        <w:t>价格文件、商务文件、技术文件分别单独装订成册</w:t>
      </w:r>
      <w:r>
        <w:rPr>
          <w:rFonts w:hint="eastAsia" w:ascii="宋体" w:hAnsi="宋体"/>
          <w:color w:val="auto"/>
          <w:szCs w:val="21"/>
          <w:highlight w:val="none"/>
        </w:rPr>
        <w:t>），每一份投标文件均需编上页次，装订成册（不允许使用活页夹，否则由此产生的风险由投标人自行承担）。所有投标文件必须封入密封完好的信封或包装，封口加盖公章</w:t>
      </w:r>
      <w:r>
        <w:rPr>
          <w:rFonts w:hint="eastAsia" w:ascii="宋体" w:hAnsi="宋体" w:cs="宋体"/>
          <w:color w:val="auto"/>
          <w:szCs w:val="21"/>
          <w:highlight w:val="none"/>
        </w:rPr>
        <w:t>。</w:t>
      </w:r>
    </w:p>
    <w:p w14:paraId="55D11C7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1A3D6EA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联合体投标文件的【正本】及【副本】的封面及骑缝均须加盖所有联合体组成成员的公章。（文件每页盖章等同于盖骑缝章）</w:t>
      </w:r>
    </w:p>
    <w:p w14:paraId="141A818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电子文件内容包括：由投标人自行制作的与正本文件一致的所有文件。电子文件由光盘或U盘储存，并注明投标人名称及项目名称、采购项目编号，随投标文件一同密封提交。</w:t>
      </w:r>
    </w:p>
    <w:p w14:paraId="094F82B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除投标人对错误处修改外，全套投标文件应无涂改或行间插字和增删。如有修改，修改处须由法定代表人或其正式授权代表在旁边签字及盖章。</w:t>
      </w:r>
    </w:p>
    <w:p w14:paraId="59AF54F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投标人应将投标文件进行非透明的封装，以防止投标文件内容的泄露。采购代理机构将拒绝接收采用透明包装进行密封的投标文件。</w:t>
      </w:r>
    </w:p>
    <w:p w14:paraId="47AEDBD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密封破损导致投标文件内容直接或间接泄露的投标文件，采购代理机构将拒绝接收。</w:t>
      </w:r>
    </w:p>
    <w:p w14:paraId="1424045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为方便开标唱标，投标人应将开标一览表和授权委托书单独密封提交，并在信封上标明“唱标信封”字样。唱标信封内还须包括并不限于：投标保证金支付凭证银行汇款底单（复印件加盖公章，原件随身携带，以备核查）和投标保证金汇入情况说明（加盖公章）。投标人的法定代表人参加投标时，须开具法定代表人证明书，按上述要求与开标一览表一并密封提交。“唱标信封”份数及签章等要求与投标文件正本相同（1份）。</w:t>
      </w:r>
    </w:p>
    <w:p w14:paraId="5E67A8BF">
      <w:pPr>
        <w:widowControl w:val="0"/>
        <w:numPr>
          <w:ilvl w:val="1"/>
          <w:numId w:val="2"/>
        </w:numPr>
        <w:overflowPunct w:val="0"/>
        <w:rPr>
          <w:rFonts w:hint="eastAsia" w:ascii="宋体" w:hAnsi="宋体" w:cs="宋体"/>
          <w:b/>
          <w:bCs/>
          <w:color w:val="auto"/>
          <w:szCs w:val="21"/>
          <w:highlight w:val="none"/>
        </w:rPr>
      </w:pPr>
      <w:r>
        <w:rPr>
          <w:rFonts w:hint="eastAsia" w:ascii="宋体" w:hAnsi="宋体" w:cs="宋体"/>
          <w:b/>
          <w:bCs/>
          <w:color w:val="auto"/>
          <w:szCs w:val="21"/>
          <w:highlight w:val="none"/>
        </w:rPr>
        <w:t>未单独提交唱标信封的投标人投标文件不进行唱标，投标文件作无效处理。</w:t>
      </w:r>
    </w:p>
    <w:p w14:paraId="591C233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 xml:space="preserve">所有的信封均应注明： </w:t>
      </w:r>
    </w:p>
    <w:p w14:paraId="57B17046">
      <w:pPr>
        <w:widowControl w:val="0"/>
        <w:numPr>
          <w:ilvl w:val="0"/>
          <w:numId w:val="4"/>
        </w:numPr>
        <w:ind w:left="567"/>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收件人： </w:t>
      </w:r>
    </w:p>
    <w:p w14:paraId="4009FB9F">
      <w:pPr>
        <w:widowControl w:val="0"/>
        <w:numPr>
          <w:ilvl w:val="0"/>
          <w:numId w:val="4"/>
        </w:numPr>
        <w:ind w:left="567"/>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w:t>
      </w:r>
    </w:p>
    <w:p w14:paraId="5B1E9317">
      <w:pPr>
        <w:widowControl w:val="0"/>
        <w:numPr>
          <w:ilvl w:val="0"/>
          <w:numId w:val="4"/>
        </w:numPr>
        <w:ind w:left="567"/>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p w14:paraId="6250A177">
      <w:pPr>
        <w:widowControl w:val="0"/>
        <w:numPr>
          <w:ilvl w:val="0"/>
          <w:numId w:val="4"/>
        </w:numPr>
        <w:ind w:left="567"/>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项目采购项目编号：</w:t>
      </w:r>
    </w:p>
    <w:p w14:paraId="3FC7A12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密封信封上的项目编号错误或项目名称出现严重歧义的（包括采购内容不符），采购代理机构将拒绝接收。</w:t>
      </w:r>
    </w:p>
    <w:p w14:paraId="11ABE9C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采购代理机构对所有投标文件的误投或提前启封概不负责。</w:t>
      </w:r>
    </w:p>
    <w:p w14:paraId="06BBE41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投标人同时参加几个包投标时必须按采购文件要求按包号分别制作投标文件，分别密封递交。</w:t>
      </w:r>
    </w:p>
    <w:p w14:paraId="4023B63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传真、电传的投标文件将被拒绝。</w:t>
      </w:r>
    </w:p>
    <w:p w14:paraId="477BA8B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递交的投标文件中所提供的通讯方式应保持联络畅通，因联系不上而导致的所有后果由投标人自行承担。</w:t>
      </w:r>
    </w:p>
    <w:p w14:paraId="326B8020">
      <w:pPr>
        <w:rPr>
          <w:rFonts w:hint="eastAsia" w:ascii="宋体" w:hAnsi="宋体" w:cs="宋体"/>
          <w:color w:val="auto"/>
          <w:highlight w:val="none"/>
        </w:rPr>
      </w:pPr>
    </w:p>
    <w:p w14:paraId="42BB101B">
      <w:pPr>
        <w:pStyle w:val="8"/>
        <w:widowControl w:val="0"/>
        <w:numPr>
          <w:ilvl w:val="0"/>
          <w:numId w:val="2"/>
        </w:numPr>
        <w:overflowPunct w:val="0"/>
        <w:rPr>
          <w:rFonts w:hint="eastAsia" w:ascii="宋体" w:hAnsi="宋体" w:cs="宋体"/>
          <w:color w:val="auto"/>
          <w:sz w:val="21"/>
          <w:szCs w:val="21"/>
          <w:highlight w:val="none"/>
        </w:rPr>
      </w:pPr>
      <w:bookmarkStart w:id="62" w:name="_Toc182308003"/>
      <w:r>
        <w:rPr>
          <w:rFonts w:hint="eastAsia" w:ascii="宋体" w:hAnsi="宋体" w:cs="宋体"/>
          <w:color w:val="auto"/>
          <w:sz w:val="21"/>
          <w:szCs w:val="21"/>
          <w:highlight w:val="none"/>
        </w:rPr>
        <w:t>迟交的投标文件</w:t>
      </w:r>
      <w:bookmarkEnd w:id="62"/>
    </w:p>
    <w:p w14:paraId="084F864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投标人在投标截止时间之后提交的投标文件，采购代理机构将拒绝接收。</w:t>
      </w:r>
    </w:p>
    <w:p w14:paraId="5B66834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有违反其他法律规定情形的，采购代理机构将拒绝接收。</w:t>
      </w:r>
    </w:p>
    <w:p w14:paraId="475060ED">
      <w:pPr>
        <w:rPr>
          <w:rFonts w:hint="eastAsia" w:ascii="宋体" w:hAnsi="宋体" w:cs="宋体"/>
          <w:color w:val="auto"/>
          <w:highlight w:val="none"/>
        </w:rPr>
      </w:pPr>
    </w:p>
    <w:p w14:paraId="742E1933">
      <w:pPr>
        <w:pStyle w:val="8"/>
        <w:widowControl w:val="0"/>
        <w:numPr>
          <w:ilvl w:val="0"/>
          <w:numId w:val="2"/>
        </w:numPr>
        <w:overflowPunct w:val="0"/>
        <w:rPr>
          <w:rFonts w:hint="eastAsia" w:ascii="宋体" w:hAnsi="宋体" w:cs="宋体"/>
          <w:color w:val="auto"/>
          <w:sz w:val="21"/>
          <w:szCs w:val="21"/>
          <w:highlight w:val="none"/>
        </w:rPr>
      </w:pPr>
      <w:bookmarkStart w:id="63" w:name="_Toc182308004"/>
      <w:r>
        <w:rPr>
          <w:rFonts w:hint="eastAsia" w:ascii="宋体" w:hAnsi="宋体" w:cs="宋体"/>
          <w:color w:val="auto"/>
          <w:sz w:val="21"/>
          <w:szCs w:val="21"/>
          <w:highlight w:val="none"/>
        </w:rPr>
        <w:t>投标样品（如需提交）</w:t>
      </w:r>
      <w:bookmarkEnd w:id="63"/>
    </w:p>
    <w:p w14:paraId="1A1008D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如有必要，采购代理机构可以要求投标人提供本服务项目涉及的部分设备或产品样品，投标人在投标时应提交《样品清单》。</w:t>
      </w:r>
    </w:p>
    <w:p w14:paraId="651FA54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为方便评标，投标人在提供样品时，应在所提供的样品表面显著位置标注投标人的名称、包号、样品名称、采购文件规定的服务或货物编号。</w:t>
      </w:r>
    </w:p>
    <w:p w14:paraId="54FD9FC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0F80C57B">
      <w:pPr>
        <w:rPr>
          <w:rFonts w:hint="eastAsia" w:ascii="宋体" w:hAnsi="宋体" w:cs="宋体"/>
          <w:color w:val="auto"/>
          <w:highlight w:val="none"/>
        </w:rPr>
      </w:pPr>
    </w:p>
    <w:p w14:paraId="6AABB025">
      <w:pPr>
        <w:pStyle w:val="8"/>
        <w:widowControl w:val="0"/>
        <w:numPr>
          <w:ilvl w:val="0"/>
          <w:numId w:val="2"/>
        </w:numPr>
        <w:overflowPunct w:val="0"/>
        <w:rPr>
          <w:rFonts w:hint="eastAsia" w:ascii="宋体" w:hAnsi="宋体" w:cs="宋体"/>
          <w:color w:val="auto"/>
          <w:sz w:val="21"/>
          <w:szCs w:val="21"/>
          <w:highlight w:val="none"/>
        </w:rPr>
      </w:pPr>
      <w:bookmarkStart w:id="64" w:name="_Toc382049112"/>
      <w:bookmarkStart w:id="65" w:name="_Toc9777"/>
      <w:bookmarkStart w:id="66" w:name="_Toc182308005"/>
      <w:bookmarkStart w:id="67" w:name="_Toc303084265"/>
      <w:r>
        <w:rPr>
          <w:rFonts w:hint="eastAsia" w:ascii="宋体" w:hAnsi="宋体" w:cs="宋体"/>
          <w:color w:val="auto"/>
          <w:sz w:val="21"/>
          <w:szCs w:val="21"/>
          <w:highlight w:val="none"/>
        </w:rPr>
        <w:t>投标截止期</w:t>
      </w:r>
      <w:bookmarkEnd w:id="64"/>
      <w:bookmarkEnd w:id="65"/>
      <w:bookmarkEnd w:id="66"/>
      <w:bookmarkEnd w:id="67"/>
    </w:p>
    <w:p w14:paraId="330C9A4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投标人应在采购文件规定的截止日期和时间内，将投标文件送达指定地点。</w:t>
      </w:r>
    </w:p>
    <w:p w14:paraId="6D91563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采购代理机构可按本须知规定以澄清或修改通知的方式，酌情延长递交投标文件的截止时间。在此情况下，投标人的所有权利和义务以及投标人受制约的截止时间，均以延长后新的投标截止时间为准。</w:t>
      </w:r>
    </w:p>
    <w:p w14:paraId="49EF5D01">
      <w:pPr>
        <w:rPr>
          <w:rFonts w:hint="eastAsia" w:ascii="宋体" w:hAnsi="宋体" w:cs="宋体"/>
          <w:color w:val="auto"/>
          <w:highlight w:val="none"/>
        </w:rPr>
      </w:pPr>
    </w:p>
    <w:p w14:paraId="4FCF9333">
      <w:pPr>
        <w:pStyle w:val="8"/>
        <w:widowControl w:val="0"/>
        <w:numPr>
          <w:ilvl w:val="0"/>
          <w:numId w:val="2"/>
        </w:numPr>
        <w:overflowPunct w:val="0"/>
        <w:rPr>
          <w:rFonts w:hint="eastAsia" w:ascii="宋体" w:hAnsi="宋体" w:cs="宋体"/>
          <w:color w:val="auto"/>
          <w:sz w:val="21"/>
          <w:szCs w:val="21"/>
          <w:highlight w:val="none"/>
        </w:rPr>
      </w:pPr>
      <w:bookmarkStart w:id="68" w:name="_Toc182308006"/>
      <w:r>
        <w:rPr>
          <w:rFonts w:hint="eastAsia" w:ascii="宋体" w:hAnsi="宋体" w:cs="宋体"/>
          <w:color w:val="auto"/>
          <w:sz w:val="21"/>
          <w:szCs w:val="21"/>
          <w:highlight w:val="none"/>
        </w:rPr>
        <w:t>投标文件的补充、修改与撤回</w:t>
      </w:r>
      <w:bookmarkEnd w:id="68"/>
    </w:p>
    <w:p w14:paraId="72BD79B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3048E17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投标人对投标文件的补充、修改的内容应当按采购文件要求的签署、盖章、密封后，作为投标文件的组成部分。并按照采购文件规定密封和标记的要求提交，并在投标文件密封袋上标明“补充、修改”字样。</w:t>
      </w:r>
    </w:p>
    <w:p w14:paraId="6EF4AE5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投标文件一经递交不予退还。</w:t>
      </w:r>
    </w:p>
    <w:p w14:paraId="25155CB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在提交投标文件截止时间至投标有效期满之前，投标人不得撤回其投标，否则其投标保证金将不予退还。</w:t>
      </w:r>
    </w:p>
    <w:p w14:paraId="00AF442C">
      <w:pPr>
        <w:pStyle w:val="13"/>
        <w:rPr>
          <w:rFonts w:hint="eastAsia"/>
          <w:color w:val="auto"/>
          <w:highlight w:val="none"/>
        </w:rPr>
      </w:pPr>
    </w:p>
    <w:p w14:paraId="0B8ECBF3">
      <w:pPr>
        <w:pStyle w:val="7"/>
        <w:numPr>
          <w:ilvl w:val="0"/>
          <w:numId w:val="1"/>
        </w:numPr>
        <w:spacing w:before="0" w:after="0" w:line="360" w:lineRule="auto"/>
        <w:jc w:val="center"/>
        <w:rPr>
          <w:rFonts w:hint="eastAsia" w:ascii="宋体" w:hAnsi="宋体" w:cs="宋体"/>
          <w:color w:val="auto"/>
          <w:highlight w:val="none"/>
        </w:rPr>
      </w:pPr>
      <w:bookmarkStart w:id="69" w:name="_Toc182308007"/>
      <w:r>
        <w:rPr>
          <w:rFonts w:hint="eastAsia" w:ascii="宋体" w:hAnsi="宋体" w:cs="宋体"/>
          <w:color w:val="auto"/>
          <w:highlight w:val="none"/>
        </w:rPr>
        <w:t>开标与评标</w:t>
      </w:r>
      <w:bookmarkEnd w:id="69"/>
    </w:p>
    <w:p w14:paraId="6B43675D">
      <w:pPr>
        <w:pStyle w:val="8"/>
        <w:widowControl w:val="0"/>
        <w:numPr>
          <w:ilvl w:val="0"/>
          <w:numId w:val="2"/>
        </w:numPr>
        <w:overflowPunct w:val="0"/>
        <w:rPr>
          <w:rFonts w:hint="eastAsia" w:ascii="宋体" w:hAnsi="宋体" w:cs="宋体"/>
          <w:color w:val="auto"/>
          <w:sz w:val="21"/>
          <w:szCs w:val="21"/>
          <w:highlight w:val="none"/>
        </w:rPr>
      </w:pPr>
      <w:bookmarkStart w:id="70" w:name="_Toc182308008"/>
      <w:r>
        <w:rPr>
          <w:rFonts w:hint="eastAsia" w:ascii="宋体" w:hAnsi="宋体" w:cs="宋体"/>
          <w:color w:val="auto"/>
          <w:sz w:val="21"/>
          <w:szCs w:val="21"/>
          <w:highlight w:val="none"/>
        </w:rPr>
        <w:t>开标</w:t>
      </w:r>
      <w:bookmarkEnd w:id="70"/>
    </w:p>
    <w:p w14:paraId="1229498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采购代理机构按本采购文件所规定的时间和地点公开开标，并邀请所有投标人代表参加。</w:t>
      </w:r>
    </w:p>
    <w:p w14:paraId="4F7C38C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开标程序：</w:t>
      </w:r>
    </w:p>
    <w:p w14:paraId="5F06296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开标会由采购代理机构主持，投标人的法定代表人或其授权代表携带有效身份证明准时参加开标会并签名报到。</w:t>
      </w:r>
    </w:p>
    <w:p w14:paraId="1A28E18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开标时，由投标人或者其推选的代表检查投标文件的密封情况；经确认无误后，由采购人或者采购代理机构工作人员当众拆封，宣布投标人名称、投标价格和采购文件规定的需要宣布的其他内容；</w:t>
      </w:r>
    </w:p>
    <w:p w14:paraId="7420D3D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54C9D18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投标人未参加开标的，视同认可开标结果。</w:t>
      </w:r>
    </w:p>
    <w:p w14:paraId="6F11A81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合格投标人不足3家的，不得开标；</w:t>
      </w:r>
    </w:p>
    <w:p w14:paraId="3625A636">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开标过程应当由采购人或者采购代理机构负责记录，由参加开标的各投标人代表和相关工作人员签字确认。</w:t>
      </w:r>
    </w:p>
    <w:p w14:paraId="226AF1DE">
      <w:pPr>
        <w:widowControl w:val="0"/>
        <w:adjustRightInd/>
        <w:snapToGrid/>
        <w:ind w:left="567"/>
        <w:jc w:val="both"/>
        <w:rPr>
          <w:rFonts w:hint="eastAsia" w:ascii="宋体" w:hAnsi="宋体" w:cs="宋体"/>
          <w:color w:val="auto"/>
          <w:highlight w:val="none"/>
        </w:rPr>
      </w:pPr>
    </w:p>
    <w:p w14:paraId="5FA7DFBE">
      <w:pPr>
        <w:pStyle w:val="8"/>
        <w:widowControl w:val="0"/>
        <w:numPr>
          <w:ilvl w:val="0"/>
          <w:numId w:val="2"/>
        </w:numPr>
        <w:overflowPunct w:val="0"/>
        <w:rPr>
          <w:rFonts w:hint="eastAsia" w:ascii="宋体" w:hAnsi="宋体" w:cs="宋体"/>
          <w:color w:val="auto"/>
          <w:sz w:val="21"/>
          <w:szCs w:val="21"/>
          <w:highlight w:val="none"/>
        </w:rPr>
      </w:pPr>
      <w:bookmarkStart w:id="71" w:name="_Toc182308009"/>
      <w:r>
        <w:rPr>
          <w:rFonts w:hint="eastAsia" w:ascii="宋体" w:hAnsi="宋体" w:cs="宋体"/>
          <w:color w:val="auto"/>
          <w:sz w:val="21"/>
          <w:szCs w:val="21"/>
          <w:highlight w:val="none"/>
        </w:rPr>
        <w:t>评标委员会及评标方法</w:t>
      </w:r>
      <w:bookmarkEnd w:id="71"/>
    </w:p>
    <w:p w14:paraId="4634958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依法组成评标委员会，评标委员会由采购人和有关技术、经济等方面的专家组成，成员人数为五人或五人以上单数，其中技术、经济等方面的专家不少于成员总数的三分之二，并负责评标工作。</w:t>
      </w:r>
    </w:p>
    <w:p w14:paraId="2E5FD8B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评审方法：本次采购的评审方法采用综合评分法。</w:t>
      </w:r>
    </w:p>
    <w:p w14:paraId="422BF02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定标原则：在最大限度满足采购文件实质性要求前提下，按照采购文件规定的各项评价因素进行量化打分，以评标总得分最高的投标人作为中标候选人或中标人。</w:t>
      </w:r>
    </w:p>
    <w:p w14:paraId="3ED5233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评标委员会对投标文件的评审内容，分为商务评议、技术评议和价格评议。评审流程包括符合性检查、澄清问题、比较与评价、推荐中标候选人或确定中标人、编写评标报告等步骤。</w:t>
      </w:r>
    </w:p>
    <w:p w14:paraId="6D3C9AF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7271D95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评标委员会和采购人在评审过程中有权核对投标文件中相关材料的原件，投标人在接到通知后应在评标委员会规定的时间内提交原件核查。</w:t>
      </w:r>
    </w:p>
    <w:p w14:paraId="53F2C7AE">
      <w:pPr>
        <w:rPr>
          <w:rFonts w:hint="eastAsia" w:ascii="宋体" w:hAnsi="宋体" w:cs="宋体"/>
          <w:color w:val="auto"/>
          <w:highlight w:val="none"/>
        </w:rPr>
      </w:pPr>
    </w:p>
    <w:p w14:paraId="034F7B63">
      <w:pPr>
        <w:pStyle w:val="8"/>
        <w:widowControl w:val="0"/>
        <w:numPr>
          <w:ilvl w:val="0"/>
          <w:numId w:val="2"/>
        </w:numPr>
        <w:overflowPunct w:val="0"/>
        <w:rPr>
          <w:rFonts w:hint="eastAsia" w:ascii="宋体" w:hAnsi="宋体" w:cs="宋体"/>
          <w:color w:val="auto"/>
          <w:sz w:val="21"/>
          <w:szCs w:val="21"/>
          <w:highlight w:val="none"/>
        </w:rPr>
      </w:pPr>
      <w:bookmarkStart w:id="72" w:name="_Toc182308010"/>
      <w:r>
        <w:rPr>
          <w:rFonts w:hint="eastAsia" w:ascii="宋体" w:hAnsi="宋体" w:cs="宋体"/>
          <w:color w:val="auto"/>
          <w:sz w:val="21"/>
          <w:szCs w:val="21"/>
          <w:highlight w:val="none"/>
        </w:rPr>
        <w:t>评审原则及评标过程的保密</w:t>
      </w:r>
      <w:bookmarkEnd w:id="72"/>
    </w:p>
    <w:p w14:paraId="38FE671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评审的基本原则：评标委员会将依据采购文件的规定，遵循“公开、公平、公正、择优、信用”的原则进行评审工作。</w:t>
      </w:r>
    </w:p>
    <w:p w14:paraId="698858F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从公开开标到签订合同，凡与审查、澄清、评审和投标有关的资料以及定标意见相关的事项，均不得向投标人及与评标无关的其他人透露。</w:t>
      </w:r>
    </w:p>
    <w:p w14:paraId="175642D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任何单位和个人不得非法干预、影响评标的过程和结果。</w:t>
      </w:r>
    </w:p>
    <w:p w14:paraId="37548986">
      <w:pPr>
        <w:rPr>
          <w:rFonts w:hint="eastAsia" w:ascii="宋体" w:hAnsi="宋体" w:cs="宋体"/>
          <w:color w:val="auto"/>
          <w:highlight w:val="none"/>
        </w:rPr>
      </w:pPr>
    </w:p>
    <w:p w14:paraId="0AE5B17D">
      <w:pPr>
        <w:pStyle w:val="8"/>
        <w:widowControl w:val="0"/>
        <w:numPr>
          <w:ilvl w:val="0"/>
          <w:numId w:val="2"/>
        </w:numPr>
        <w:overflowPunct w:val="0"/>
        <w:rPr>
          <w:rFonts w:hint="eastAsia" w:ascii="宋体" w:hAnsi="宋体" w:cs="宋体"/>
          <w:color w:val="auto"/>
          <w:sz w:val="21"/>
          <w:szCs w:val="21"/>
          <w:highlight w:val="none"/>
        </w:rPr>
      </w:pPr>
      <w:bookmarkStart w:id="73" w:name="_Toc182308011"/>
      <w:bookmarkStart w:id="74" w:name="_Toc7361"/>
      <w:r>
        <w:rPr>
          <w:rFonts w:hint="eastAsia" w:ascii="宋体" w:hAnsi="宋体" w:cs="宋体"/>
          <w:color w:val="auto"/>
          <w:sz w:val="21"/>
          <w:szCs w:val="21"/>
          <w:highlight w:val="none"/>
        </w:rPr>
        <w:t>评标程序</w:t>
      </w:r>
      <w:bookmarkEnd w:id="73"/>
    </w:p>
    <w:p w14:paraId="1295E022">
      <w:pPr>
        <w:widowControl w:val="0"/>
        <w:numPr>
          <w:ilvl w:val="1"/>
          <w:numId w:val="2"/>
        </w:numPr>
        <w:overflowPunct w:val="0"/>
        <w:rPr>
          <w:rFonts w:hint="eastAsia" w:ascii="宋体" w:hAnsi="宋体" w:cs="宋体"/>
          <w:b/>
          <w:bCs/>
          <w:color w:val="auto"/>
          <w:szCs w:val="21"/>
          <w:highlight w:val="none"/>
        </w:rPr>
      </w:pPr>
      <w:r>
        <w:rPr>
          <w:rFonts w:hint="eastAsia" w:ascii="宋体" w:hAnsi="宋体" w:cs="宋体"/>
          <w:b/>
          <w:bCs/>
          <w:color w:val="auto"/>
          <w:szCs w:val="21"/>
          <w:highlight w:val="none"/>
        </w:rPr>
        <w:t>资格性、符合性审查</w:t>
      </w:r>
    </w:p>
    <w:p w14:paraId="23A27876">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w:t>
      </w:r>
      <w:r>
        <w:rPr>
          <w:rFonts w:hint="eastAsia" w:hAnsi="宋体" w:cs="宋体"/>
          <w:color w:val="auto"/>
          <w:szCs w:val="21"/>
          <w:highlight w:val="none"/>
        </w:rPr>
        <w:t>评标阶段</w:t>
      </w:r>
      <w:r>
        <w:rPr>
          <w:rFonts w:hint="eastAsia" w:ascii="宋体" w:hAnsi="宋体" w:cs="宋体"/>
          <w:color w:val="auto"/>
          <w:szCs w:val="21"/>
          <w:highlight w:val="none"/>
        </w:rPr>
        <w:t>的评审。</w:t>
      </w:r>
    </w:p>
    <w:p w14:paraId="0ACBE3E0">
      <w:pPr>
        <w:jc w:val="center"/>
        <w:rPr>
          <w:b/>
          <w:bCs/>
          <w:color w:val="auto"/>
          <w:highlight w:val="none"/>
        </w:rPr>
      </w:pPr>
      <w:r>
        <w:rPr>
          <w:b/>
          <w:bCs/>
          <w:color w:val="auto"/>
          <w:highlight w:val="none"/>
        </w:rPr>
        <w:t>《资格性</w:t>
      </w:r>
      <w:r>
        <w:rPr>
          <w:rFonts w:hint="eastAsia"/>
          <w:b/>
          <w:bCs/>
          <w:color w:val="auto"/>
          <w:highlight w:val="none"/>
        </w:rPr>
        <w:t>、符合性</w:t>
      </w:r>
      <w:r>
        <w:rPr>
          <w:b/>
          <w:bCs/>
          <w:color w:val="auto"/>
          <w:highlight w:val="none"/>
        </w:rPr>
        <w:t>审查表》</w:t>
      </w:r>
    </w:p>
    <w:tbl>
      <w:tblPr>
        <w:tblStyle w:val="29"/>
        <w:tblW w:w="96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8885"/>
      </w:tblGrid>
      <w:tr w14:paraId="67799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4" w:space="0"/>
              <w:bottom w:val="single" w:color="auto" w:sz="4" w:space="0"/>
              <w:right w:val="single" w:color="auto" w:sz="4" w:space="0"/>
              <w:tl2br w:val="nil"/>
              <w:tr2bl w:val="nil"/>
            </w:tcBorders>
            <w:vAlign w:val="center"/>
          </w:tcPr>
          <w:p w14:paraId="749FDFAC">
            <w:pPr>
              <w:jc w:val="center"/>
              <w:rPr>
                <w:rFonts w:hint="eastAsia" w:ascii="宋体" w:hAnsi="宋体" w:cs="宋体"/>
                <w:b/>
                <w:color w:val="auto"/>
                <w:szCs w:val="21"/>
                <w:highlight w:val="none"/>
              </w:rPr>
            </w:pPr>
            <w:r>
              <w:rPr>
                <w:rFonts w:hint="eastAsia" w:ascii="宋体" w:hAnsi="宋体" w:cs="宋体"/>
                <w:b/>
                <w:color w:val="auto"/>
                <w:szCs w:val="21"/>
                <w:highlight w:val="none"/>
              </w:rPr>
              <w:t>序号</w:t>
            </w:r>
          </w:p>
        </w:tc>
        <w:tc>
          <w:tcPr>
            <w:tcW w:w="8885" w:type="dxa"/>
            <w:tcBorders>
              <w:top w:val="single" w:color="auto" w:sz="4" w:space="0"/>
              <w:left w:val="single" w:color="auto" w:sz="4" w:space="0"/>
              <w:bottom w:val="single" w:color="auto" w:sz="4" w:space="0"/>
              <w:right w:val="single" w:color="auto" w:sz="4" w:space="0"/>
              <w:tl2br w:val="nil"/>
              <w:tr2bl w:val="nil"/>
            </w:tcBorders>
            <w:vAlign w:val="center"/>
          </w:tcPr>
          <w:p w14:paraId="414C2178">
            <w:pPr>
              <w:jc w:val="center"/>
              <w:rPr>
                <w:rFonts w:hint="eastAsia" w:ascii="宋体" w:hAnsi="宋体" w:cs="宋体"/>
                <w:b/>
                <w:color w:val="auto"/>
                <w:szCs w:val="21"/>
                <w:highlight w:val="none"/>
              </w:rPr>
            </w:pPr>
            <w:r>
              <w:rPr>
                <w:rFonts w:hint="eastAsia" w:ascii="宋体" w:hAnsi="宋体" w:cs="宋体"/>
                <w:b/>
                <w:color w:val="auto"/>
                <w:szCs w:val="21"/>
                <w:highlight w:val="none"/>
              </w:rPr>
              <w:t>评 审 内 容</w:t>
            </w:r>
          </w:p>
        </w:tc>
      </w:tr>
      <w:tr w14:paraId="1F8BD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vMerge w:val="restart"/>
            <w:tcBorders>
              <w:top w:val="single" w:color="auto" w:sz="4" w:space="0"/>
              <w:left w:val="single" w:color="auto" w:sz="4" w:space="0"/>
              <w:right w:val="single" w:color="auto" w:sz="4" w:space="0"/>
              <w:tl2br w:val="nil"/>
              <w:tr2bl w:val="nil"/>
            </w:tcBorders>
            <w:vAlign w:val="center"/>
          </w:tcPr>
          <w:p w14:paraId="6E37346E">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1</w:t>
            </w:r>
          </w:p>
        </w:tc>
        <w:tc>
          <w:tcPr>
            <w:tcW w:w="8885" w:type="dxa"/>
            <w:tcBorders>
              <w:top w:val="single" w:color="auto" w:sz="4" w:space="0"/>
              <w:left w:val="single" w:color="auto" w:sz="4" w:space="0"/>
              <w:bottom w:val="single" w:color="auto" w:sz="4" w:space="0"/>
              <w:right w:val="single" w:color="auto" w:sz="4" w:space="0"/>
              <w:tl2br w:val="nil"/>
              <w:tr2bl w:val="nil"/>
            </w:tcBorders>
            <w:vAlign w:val="center"/>
          </w:tcPr>
          <w:p w14:paraId="6CC3C9FC">
            <w:pPr>
              <w:tabs>
                <w:tab w:val="left" w:pos="612"/>
              </w:tabs>
              <w:rPr>
                <w:rFonts w:hint="eastAsia"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olor w:val="auto"/>
                <w:szCs w:val="21"/>
                <w:highlight w:val="none"/>
              </w:rPr>
              <w:t>投标人须为在中华人民共和国境内登记注册的具有独立承担民事责任能力的法人或其他组织【提供《营业执照》复印件（加盖公章）或《事业单位法人证书》复印件（加盖公章）或其他主体证书复印件（加盖公章）】。</w:t>
            </w:r>
          </w:p>
        </w:tc>
      </w:tr>
      <w:tr w14:paraId="2D9E8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vMerge w:val="continue"/>
            <w:tcBorders>
              <w:left w:val="single" w:color="auto" w:sz="4" w:space="0"/>
              <w:right w:val="single" w:color="auto" w:sz="4" w:space="0"/>
              <w:tl2br w:val="nil"/>
              <w:tr2bl w:val="nil"/>
            </w:tcBorders>
            <w:vAlign w:val="center"/>
          </w:tcPr>
          <w:p w14:paraId="6761E47E">
            <w:pPr>
              <w:tabs>
                <w:tab w:val="left" w:pos="176"/>
                <w:tab w:val="left" w:pos="612"/>
              </w:tabs>
              <w:ind w:firstLine="210" w:firstLineChars="100"/>
              <w:jc w:val="both"/>
              <w:rPr>
                <w:rFonts w:hint="eastAsia" w:ascii="宋体" w:hAnsi="宋体" w:cs="宋体"/>
                <w:color w:val="auto"/>
                <w:szCs w:val="21"/>
                <w:highlight w:val="none"/>
              </w:rPr>
            </w:pPr>
          </w:p>
        </w:tc>
        <w:tc>
          <w:tcPr>
            <w:tcW w:w="8885" w:type="dxa"/>
            <w:tcBorders>
              <w:top w:val="single" w:color="auto" w:sz="4" w:space="0"/>
              <w:left w:val="single" w:color="auto" w:sz="4" w:space="0"/>
              <w:bottom w:val="single" w:color="auto" w:sz="4" w:space="0"/>
              <w:right w:val="single" w:color="auto" w:sz="4" w:space="0"/>
              <w:tl2br w:val="nil"/>
              <w:tr2bl w:val="nil"/>
            </w:tcBorders>
            <w:vAlign w:val="center"/>
          </w:tcPr>
          <w:p w14:paraId="3D893D53">
            <w:pPr>
              <w:tabs>
                <w:tab w:val="left" w:pos="612"/>
              </w:tabs>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olor w:val="auto"/>
                <w:szCs w:val="21"/>
                <w:highlight w:val="none"/>
              </w:rPr>
              <w:t>参加采购活动前三年内，在经营活动中没有重大违法记录（须提供书面声明）。重大违法记录，是指投标人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tc>
      </w:tr>
      <w:tr w14:paraId="14FD2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vMerge w:val="continue"/>
            <w:tcBorders>
              <w:left w:val="single" w:color="auto" w:sz="4" w:space="0"/>
              <w:right w:val="single" w:color="auto" w:sz="4" w:space="0"/>
              <w:tl2br w:val="nil"/>
              <w:tr2bl w:val="nil"/>
            </w:tcBorders>
            <w:vAlign w:val="center"/>
          </w:tcPr>
          <w:p w14:paraId="2A14F6C1">
            <w:pPr>
              <w:tabs>
                <w:tab w:val="left" w:pos="176"/>
                <w:tab w:val="left" w:pos="612"/>
              </w:tabs>
              <w:ind w:firstLine="210" w:firstLineChars="100"/>
              <w:jc w:val="both"/>
              <w:rPr>
                <w:rFonts w:hint="eastAsia" w:ascii="宋体" w:hAnsi="宋体" w:cs="宋体"/>
                <w:color w:val="auto"/>
                <w:szCs w:val="21"/>
                <w:highlight w:val="none"/>
              </w:rPr>
            </w:pPr>
          </w:p>
        </w:tc>
        <w:tc>
          <w:tcPr>
            <w:tcW w:w="8885" w:type="dxa"/>
            <w:tcBorders>
              <w:top w:val="single" w:color="auto" w:sz="4" w:space="0"/>
              <w:left w:val="single" w:color="auto" w:sz="4" w:space="0"/>
              <w:bottom w:val="single" w:color="auto" w:sz="4" w:space="0"/>
              <w:right w:val="single" w:color="auto" w:sz="4" w:space="0"/>
              <w:tl2br w:val="nil"/>
              <w:tr2bl w:val="nil"/>
            </w:tcBorders>
            <w:vAlign w:val="center"/>
          </w:tcPr>
          <w:p w14:paraId="5E67C2C8">
            <w:pPr>
              <w:tabs>
                <w:tab w:val="left" w:pos="612"/>
              </w:tabs>
              <w:rPr>
                <w:rFonts w:hint="eastAsia" w:ascii="宋体" w:hAnsi="宋体" w:cs="宋体"/>
                <w:color w:val="auto"/>
                <w:szCs w:val="21"/>
                <w:highlight w:val="none"/>
              </w:rPr>
            </w:pPr>
            <w:r>
              <w:rPr>
                <w:rFonts w:hint="eastAsia" w:ascii="宋体" w:hAnsi="宋体"/>
                <w:color w:val="auto"/>
                <w:szCs w:val="21"/>
                <w:highlight w:val="none"/>
              </w:rPr>
              <w:t>（3）投标人的单位负责人为同一人或者存在直接控股、管理关系的不同投标人，不得参加同一合同项下的采购活动。</w:t>
            </w:r>
          </w:p>
        </w:tc>
      </w:tr>
      <w:tr w14:paraId="297BD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vMerge w:val="continue"/>
            <w:tcBorders>
              <w:left w:val="single" w:color="auto" w:sz="4" w:space="0"/>
              <w:right w:val="single" w:color="auto" w:sz="4" w:space="0"/>
              <w:tl2br w:val="nil"/>
              <w:tr2bl w:val="nil"/>
            </w:tcBorders>
            <w:vAlign w:val="center"/>
          </w:tcPr>
          <w:p w14:paraId="33285971">
            <w:pPr>
              <w:tabs>
                <w:tab w:val="left" w:pos="176"/>
                <w:tab w:val="left" w:pos="612"/>
              </w:tabs>
              <w:ind w:firstLine="210" w:firstLineChars="100"/>
              <w:jc w:val="both"/>
              <w:rPr>
                <w:rFonts w:hint="eastAsia" w:ascii="宋体" w:hAnsi="宋体" w:cs="宋体"/>
                <w:color w:val="auto"/>
                <w:szCs w:val="21"/>
                <w:highlight w:val="none"/>
              </w:rPr>
            </w:pPr>
          </w:p>
        </w:tc>
        <w:tc>
          <w:tcPr>
            <w:tcW w:w="8885" w:type="dxa"/>
            <w:tcBorders>
              <w:top w:val="single" w:color="auto" w:sz="4" w:space="0"/>
              <w:left w:val="single" w:color="auto" w:sz="4" w:space="0"/>
              <w:bottom w:val="single" w:color="auto" w:sz="4" w:space="0"/>
              <w:right w:val="single" w:color="auto" w:sz="4" w:space="0"/>
              <w:tl2br w:val="nil"/>
              <w:tr2bl w:val="nil"/>
            </w:tcBorders>
            <w:vAlign w:val="center"/>
          </w:tcPr>
          <w:p w14:paraId="44DCBCBB">
            <w:pPr>
              <w:tabs>
                <w:tab w:val="left" w:pos="612"/>
              </w:tabs>
              <w:rPr>
                <w:rFonts w:hint="eastAsia" w:ascii="宋体" w:hAnsi="宋体" w:cs="宋体"/>
                <w:color w:val="auto"/>
                <w:szCs w:val="21"/>
                <w:highlight w:val="none"/>
              </w:rPr>
            </w:pPr>
            <w:r>
              <w:rPr>
                <w:rFonts w:hint="eastAsia" w:ascii="宋体" w:hAnsi="宋体"/>
                <w:color w:val="auto"/>
                <w:szCs w:val="21"/>
                <w:highlight w:val="none"/>
              </w:rPr>
              <w:t>（4）未被列入“信用中国”网站（www.creditchina.gov.cn )“记录失信被执行人或</w:t>
            </w:r>
            <w:r>
              <w:rPr>
                <w:rFonts w:hint="eastAsia"/>
                <w:color w:val="auto"/>
                <w:highlight w:val="none"/>
              </w:rPr>
              <w:t>重大税收违法失信主体</w:t>
            </w:r>
            <w:r>
              <w:rPr>
                <w:rFonts w:hint="eastAsia" w:ascii="宋体" w:hAnsi="宋体"/>
                <w:color w:val="auto"/>
                <w:szCs w:val="21"/>
                <w:highlight w:val="none"/>
              </w:rPr>
              <w:t>或政府采购严重违法失信行为”记录名单。以代理机构于投标截止日当天在“信用中国”网站查询结果为准，如相关失信记录已失效，投标人需提供相关证明资料。</w:t>
            </w:r>
          </w:p>
        </w:tc>
      </w:tr>
      <w:tr w14:paraId="4F70A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vMerge w:val="continue"/>
            <w:tcBorders>
              <w:left w:val="single" w:color="auto" w:sz="4" w:space="0"/>
              <w:right w:val="single" w:color="auto" w:sz="4" w:space="0"/>
              <w:tl2br w:val="nil"/>
              <w:tr2bl w:val="nil"/>
            </w:tcBorders>
            <w:vAlign w:val="center"/>
          </w:tcPr>
          <w:p w14:paraId="0B1D3613">
            <w:pPr>
              <w:tabs>
                <w:tab w:val="left" w:pos="176"/>
                <w:tab w:val="left" w:pos="612"/>
              </w:tabs>
              <w:ind w:firstLine="210" w:firstLineChars="100"/>
              <w:jc w:val="both"/>
              <w:rPr>
                <w:rFonts w:hint="eastAsia" w:ascii="宋体" w:hAnsi="宋体" w:cs="宋体"/>
                <w:color w:val="auto"/>
                <w:szCs w:val="21"/>
                <w:highlight w:val="none"/>
              </w:rPr>
            </w:pPr>
          </w:p>
        </w:tc>
        <w:tc>
          <w:tcPr>
            <w:tcW w:w="8885" w:type="dxa"/>
            <w:tcBorders>
              <w:top w:val="single" w:color="auto" w:sz="4" w:space="0"/>
              <w:left w:val="single" w:color="auto" w:sz="4" w:space="0"/>
              <w:bottom w:val="single" w:color="auto" w:sz="4" w:space="0"/>
              <w:right w:val="single" w:color="auto" w:sz="4" w:space="0"/>
              <w:tl2br w:val="nil"/>
              <w:tr2bl w:val="nil"/>
            </w:tcBorders>
            <w:vAlign w:val="center"/>
          </w:tcPr>
          <w:p w14:paraId="3BDBAB92">
            <w:pPr>
              <w:shd w:val="clear"/>
              <w:rPr>
                <w:rFonts w:hint="eastAsia" w:ascii="宋体" w:hAnsi="宋体" w:cs="宋体"/>
                <w:color w:val="auto"/>
                <w:szCs w:val="21"/>
                <w:highlight w:val="none"/>
              </w:rPr>
            </w:pPr>
            <w:r>
              <w:rPr>
                <w:rFonts w:hint="eastAsia" w:ascii="宋体" w:hAnsi="宋体"/>
                <w:color w:val="auto"/>
                <w:szCs w:val="21"/>
                <w:highlight w:val="none"/>
              </w:rPr>
              <w:t>（5）投标人自</w:t>
            </w:r>
            <w:r>
              <w:rPr>
                <w:rFonts w:hint="eastAsia" w:ascii="宋体" w:hAnsi="宋体"/>
                <w:color w:val="auto"/>
                <w:szCs w:val="21"/>
                <w:highlight w:val="none"/>
                <w:lang w:val="en-US" w:eastAsia="zh-CN"/>
              </w:rPr>
              <w:t>采购</w:t>
            </w:r>
            <w:r>
              <w:rPr>
                <w:rFonts w:hint="eastAsia" w:ascii="宋体" w:hAnsi="宋体"/>
                <w:color w:val="auto"/>
                <w:szCs w:val="21"/>
                <w:highlight w:val="none"/>
              </w:rPr>
              <w:t>公告发布之日起前两年内，在经营活动中没有因串通投标、弄虚作假、行贿、转包、违法分包、挂靠、死亡事故违法违规行为受到行政、刑事处罚的。以代理机构于投标截止日当天在“信用中国”网站查询结果为准。</w:t>
            </w:r>
          </w:p>
        </w:tc>
      </w:tr>
      <w:tr w14:paraId="52234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vMerge w:val="continue"/>
            <w:tcBorders>
              <w:left w:val="single" w:color="auto" w:sz="4" w:space="0"/>
              <w:right w:val="single" w:color="auto" w:sz="4" w:space="0"/>
              <w:tl2br w:val="nil"/>
              <w:tr2bl w:val="nil"/>
            </w:tcBorders>
            <w:vAlign w:val="center"/>
          </w:tcPr>
          <w:p w14:paraId="11E37DA8">
            <w:pPr>
              <w:tabs>
                <w:tab w:val="left" w:pos="176"/>
                <w:tab w:val="left" w:pos="612"/>
              </w:tabs>
              <w:ind w:firstLine="210" w:firstLineChars="100"/>
              <w:jc w:val="both"/>
              <w:rPr>
                <w:rFonts w:hint="eastAsia" w:ascii="宋体" w:hAnsi="宋体" w:cs="宋体"/>
                <w:color w:val="auto"/>
                <w:szCs w:val="21"/>
                <w:highlight w:val="none"/>
              </w:rPr>
            </w:pPr>
          </w:p>
        </w:tc>
        <w:tc>
          <w:tcPr>
            <w:tcW w:w="8885" w:type="dxa"/>
            <w:tcBorders>
              <w:top w:val="single" w:color="auto" w:sz="4" w:space="0"/>
              <w:left w:val="single" w:color="auto" w:sz="4" w:space="0"/>
              <w:bottom w:val="single" w:color="auto" w:sz="4" w:space="0"/>
              <w:right w:val="single" w:color="auto" w:sz="4" w:space="0"/>
              <w:tl2br w:val="nil"/>
              <w:tr2bl w:val="nil"/>
            </w:tcBorders>
            <w:vAlign w:val="center"/>
          </w:tcPr>
          <w:p w14:paraId="10D284B5">
            <w:pPr>
              <w:tabs>
                <w:tab w:val="left" w:pos="612"/>
              </w:tabs>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）符合“投标人资格要求”中“其他要求”（如有）。（提供《附件7.相关资质证明文件》中对应证明文件。）</w:t>
            </w:r>
          </w:p>
        </w:tc>
      </w:tr>
      <w:tr w14:paraId="5F488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4" w:space="0"/>
              <w:bottom w:val="single" w:color="auto" w:sz="4" w:space="0"/>
              <w:right w:val="single" w:color="auto" w:sz="4" w:space="0"/>
              <w:tl2br w:val="nil"/>
              <w:tr2bl w:val="nil"/>
            </w:tcBorders>
            <w:vAlign w:val="center"/>
          </w:tcPr>
          <w:p w14:paraId="4ABDB5D8">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2</w:t>
            </w:r>
          </w:p>
        </w:tc>
        <w:tc>
          <w:tcPr>
            <w:tcW w:w="8885" w:type="dxa"/>
            <w:tcBorders>
              <w:top w:val="single" w:color="auto" w:sz="4" w:space="0"/>
              <w:left w:val="single" w:color="auto" w:sz="4" w:space="0"/>
              <w:bottom w:val="single" w:color="auto" w:sz="4" w:space="0"/>
              <w:right w:val="single" w:color="auto" w:sz="4" w:space="0"/>
              <w:tl2br w:val="nil"/>
              <w:tr2bl w:val="nil"/>
            </w:tcBorders>
            <w:vAlign w:val="center"/>
          </w:tcPr>
          <w:p w14:paraId="3E894536">
            <w:pPr>
              <w:textAlignment w:val="center"/>
              <w:rPr>
                <w:rFonts w:hint="eastAsia" w:ascii="宋体" w:hAnsi="宋体" w:cs="宋体"/>
                <w:color w:val="auto"/>
                <w:szCs w:val="21"/>
                <w:highlight w:val="none"/>
                <w:lang w:bidi="ar"/>
              </w:rPr>
            </w:pPr>
            <w:r>
              <w:rPr>
                <w:rFonts w:hint="eastAsia" w:ascii="宋体" w:hAnsi="宋体" w:cs="宋体"/>
                <w:color w:val="auto"/>
                <w:szCs w:val="21"/>
                <w:highlight w:val="none"/>
                <w:lang w:bidi="ar"/>
              </w:rPr>
              <w:t>投标人按照采购文件要求提交投标保证金。</w:t>
            </w:r>
          </w:p>
        </w:tc>
      </w:tr>
      <w:tr w14:paraId="207E7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4" w:space="0"/>
              <w:bottom w:val="single" w:color="auto" w:sz="4" w:space="0"/>
              <w:right w:val="single" w:color="auto" w:sz="4" w:space="0"/>
              <w:tl2br w:val="nil"/>
              <w:tr2bl w:val="nil"/>
            </w:tcBorders>
            <w:vAlign w:val="center"/>
          </w:tcPr>
          <w:p w14:paraId="6A7074BF">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3</w:t>
            </w:r>
          </w:p>
        </w:tc>
        <w:tc>
          <w:tcPr>
            <w:tcW w:w="8885" w:type="dxa"/>
            <w:tcBorders>
              <w:top w:val="single" w:color="auto" w:sz="4" w:space="0"/>
              <w:left w:val="single" w:color="auto" w:sz="4" w:space="0"/>
              <w:bottom w:val="single" w:color="auto" w:sz="4" w:space="0"/>
              <w:right w:val="single" w:color="auto" w:sz="4" w:space="0"/>
              <w:tl2br w:val="nil"/>
              <w:tr2bl w:val="nil"/>
            </w:tcBorders>
            <w:vAlign w:val="center"/>
          </w:tcPr>
          <w:p w14:paraId="5DDDFF41">
            <w:pPr>
              <w:textAlignment w:val="center"/>
              <w:rPr>
                <w:rFonts w:hint="eastAsia" w:ascii="宋体" w:hAnsi="宋体" w:cs="宋体"/>
                <w:color w:val="auto"/>
                <w:szCs w:val="21"/>
                <w:highlight w:val="none"/>
              </w:rPr>
            </w:pPr>
            <w:r>
              <w:rPr>
                <w:rFonts w:hint="eastAsia" w:ascii="宋体" w:hAnsi="宋体" w:cs="宋体"/>
                <w:color w:val="auto"/>
                <w:szCs w:val="21"/>
                <w:highlight w:val="none"/>
                <w:lang w:bidi="ar"/>
              </w:rPr>
              <w:t>投标文件按照采购文件要求签署盖章。</w:t>
            </w:r>
          </w:p>
        </w:tc>
      </w:tr>
      <w:tr w14:paraId="7E9EF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4" w:space="0"/>
              <w:bottom w:val="single" w:color="auto" w:sz="4" w:space="0"/>
              <w:right w:val="single" w:color="auto" w:sz="4" w:space="0"/>
              <w:tl2br w:val="nil"/>
              <w:tr2bl w:val="nil"/>
            </w:tcBorders>
            <w:vAlign w:val="center"/>
          </w:tcPr>
          <w:p w14:paraId="5F08EC9F">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4</w:t>
            </w:r>
          </w:p>
        </w:tc>
        <w:tc>
          <w:tcPr>
            <w:tcW w:w="8885" w:type="dxa"/>
            <w:tcBorders>
              <w:top w:val="single" w:color="auto" w:sz="4" w:space="0"/>
              <w:left w:val="single" w:color="auto" w:sz="4" w:space="0"/>
              <w:bottom w:val="single" w:color="auto" w:sz="4" w:space="0"/>
              <w:right w:val="single" w:color="auto" w:sz="4" w:space="0"/>
              <w:tl2br w:val="nil"/>
              <w:tr2bl w:val="nil"/>
            </w:tcBorders>
            <w:vAlign w:val="center"/>
          </w:tcPr>
          <w:p w14:paraId="4E002672">
            <w:pPr>
              <w:textAlignment w:val="center"/>
              <w:rPr>
                <w:rFonts w:hint="eastAsia" w:ascii="宋体" w:hAnsi="宋体" w:cs="宋体"/>
                <w:color w:val="auto"/>
                <w:szCs w:val="21"/>
                <w:highlight w:val="none"/>
              </w:rPr>
            </w:pPr>
            <w:r>
              <w:rPr>
                <w:rFonts w:hint="eastAsia" w:ascii="宋体" w:hAnsi="宋体" w:cs="宋体"/>
                <w:color w:val="auto"/>
                <w:szCs w:val="21"/>
                <w:highlight w:val="none"/>
                <w:lang w:bidi="ar"/>
              </w:rPr>
              <w:t>投标总价未超出采购预算或最高限价。</w:t>
            </w:r>
          </w:p>
        </w:tc>
      </w:tr>
      <w:tr w14:paraId="3F912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4" w:space="0"/>
              <w:bottom w:val="single" w:color="auto" w:sz="4" w:space="0"/>
              <w:right w:val="single" w:color="auto" w:sz="4" w:space="0"/>
              <w:tl2br w:val="nil"/>
              <w:tr2bl w:val="nil"/>
            </w:tcBorders>
            <w:vAlign w:val="center"/>
          </w:tcPr>
          <w:p w14:paraId="6F534436">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5</w:t>
            </w:r>
          </w:p>
        </w:tc>
        <w:tc>
          <w:tcPr>
            <w:tcW w:w="8885" w:type="dxa"/>
            <w:tcBorders>
              <w:top w:val="single" w:color="auto" w:sz="4" w:space="0"/>
              <w:left w:val="single" w:color="auto" w:sz="4" w:space="0"/>
              <w:bottom w:val="single" w:color="auto" w:sz="4" w:space="0"/>
              <w:right w:val="single" w:color="auto" w:sz="4" w:space="0"/>
              <w:tl2br w:val="nil"/>
              <w:tr2bl w:val="nil"/>
            </w:tcBorders>
            <w:vAlign w:val="center"/>
          </w:tcPr>
          <w:p w14:paraId="6A7B6CA1">
            <w:pPr>
              <w:textAlignment w:val="center"/>
              <w:rPr>
                <w:rFonts w:hint="eastAsia" w:ascii="宋体" w:hAnsi="宋体" w:cs="宋体"/>
                <w:color w:val="auto"/>
                <w:szCs w:val="21"/>
                <w:highlight w:val="none"/>
                <w:lang w:bidi="ar"/>
              </w:rPr>
            </w:pPr>
            <w:r>
              <w:rPr>
                <w:rFonts w:hint="eastAsia" w:ascii="宋体" w:hAnsi="宋体" w:cs="宋体"/>
                <w:color w:val="auto"/>
                <w:szCs w:val="21"/>
                <w:highlight w:val="none"/>
                <w:lang w:bidi="ar"/>
              </w:rPr>
              <w:t>投标文件未含有采购人不能接受的附加条件。</w:t>
            </w:r>
          </w:p>
        </w:tc>
      </w:tr>
      <w:tr w14:paraId="52D48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4" w:space="0"/>
              <w:bottom w:val="single" w:color="auto" w:sz="4" w:space="0"/>
              <w:right w:val="single" w:color="auto" w:sz="4" w:space="0"/>
              <w:tl2br w:val="nil"/>
              <w:tr2bl w:val="nil"/>
            </w:tcBorders>
            <w:vAlign w:val="center"/>
          </w:tcPr>
          <w:p w14:paraId="62FC8EEE">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6</w:t>
            </w:r>
          </w:p>
        </w:tc>
        <w:tc>
          <w:tcPr>
            <w:tcW w:w="8885" w:type="dxa"/>
            <w:tcBorders>
              <w:top w:val="single" w:color="auto" w:sz="4" w:space="0"/>
              <w:left w:val="single" w:color="auto" w:sz="4" w:space="0"/>
              <w:bottom w:val="single" w:color="auto" w:sz="4" w:space="0"/>
              <w:right w:val="single" w:color="auto" w:sz="4" w:space="0"/>
              <w:tl2br w:val="nil"/>
              <w:tr2bl w:val="nil"/>
            </w:tcBorders>
            <w:vAlign w:val="center"/>
          </w:tcPr>
          <w:p w14:paraId="77528E86">
            <w:pPr>
              <w:textAlignment w:val="center"/>
              <w:rPr>
                <w:rFonts w:hint="eastAsia" w:ascii="宋体" w:hAnsi="宋体" w:cs="宋体"/>
                <w:color w:val="auto"/>
                <w:szCs w:val="21"/>
                <w:highlight w:val="none"/>
              </w:rPr>
            </w:pPr>
            <w:r>
              <w:rPr>
                <w:rFonts w:hint="eastAsia" w:ascii="宋体" w:hAnsi="宋体" w:cs="宋体"/>
                <w:color w:val="auto"/>
                <w:szCs w:val="21"/>
                <w:highlight w:val="none"/>
                <w:lang w:bidi="ar"/>
              </w:rPr>
              <w:t>标注“★”符号的条款无负偏离。</w:t>
            </w:r>
          </w:p>
        </w:tc>
      </w:tr>
      <w:tr w14:paraId="39535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tcBorders>
              <w:top w:val="single" w:color="auto" w:sz="4" w:space="0"/>
              <w:left w:val="single" w:color="auto" w:sz="4" w:space="0"/>
              <w:bottom w:val="single" w:color="auto" w:sz="4" w:space="0"/>
              <w:right w:val="single" w:color="auto" w:sz="4" w:space="0"/>
              <w:tl2br w:val="nil"/>
              <w:tr2bl w:val="nil"/>
            </w:tcBorders>
            <w:vAlign w:val="center"/>
          </w:tcPr>
          <w:p w14:paraId="04D3D005">
            <w:pPr>
              <w:tabs>
                <w:tab w:val="left" w:pos="176"/>
                <w:tab w:val="left" w:pos="612"/>
              </w:tabs>
              <w:ind w:firstLine="210" w:firstLineChars="100"/>
              <w:jc w:val="both"/>
              <w:rPr>
                <w:rFonts w:hint="eastAsia" w:ascii="宋体" w:hAnsi="宋体" w:cs="宋体"/>
                <w:color w:val="auto"/>
                <w:szCs w:val="21"/>
                <w:highlight w:val="none"/>
              </w:rPr>
            </w:pPr>
            <w:r>
              <w:rPr>
                <w:rFonts w:hint="eastAsia" w:ascii="宋体" w:hAnsi="宋体" w:cs="宋体"/>
                <w:color w:val="auto"/>
                <w:szCs w:val="21"/>
                <w:highlight w:val="none"/>
              </w:rPr>
              <w:t>7</w:t>
            </w:r>
          </w:p>
        </w:tc>
        <w:tc>
          <w:tcPr>
            <w:tcW w:w="8885" w:type="dxa"/>
            <w:tcBorders>
              <w:top w:val="single" w:color="auto" w:sz="4" w:space="0"/>
              <w:left w:val="single" w:color="auto" w:sz="4" w:space="0"/>
              <w:bottom w:val="single" w:color="auto" w:sz="4" w:space="0"/>
              <w:right w:val="single" w:color="auto" w:sz="4" w:space="0"/>
              <w:tl2br w:val="nil"/>
              <w:tr2bl w:val="nil"/>
            </w:tcBorders>
            <w:vAlign w:val="center"/>
          </w:tcPr>
          <w:p w14:paraId="7D10E2F0">
            <w:pPr>
              <w:textAlignment w:val="center"/>
              <w:rPr>
                <w:rFonts w:hint="eastAsia" w:ascii="宋体" w:hAnsi="宋体" w:cs="宋体"/>
                <w:color w:val="auto"/>
                <w:szCs w:val="21"/>
                <w:highlight w:val="none"/>
                <w:lang w:bidi="ar"/>
              </w:rPr>
            </w:pPr>
            <w:r>
              <w:rPr>
                <w:rFonts w:hint="eastAsia" w:ascii="宋体" w:hAnsi="宋体" w:cs="宋体"/>
                <w:color w:val="auto"/>
                <w:szCs w:val="21"/>
                <w:highlight w:val="none"/>
              </w:rPr>
              <w:t>未出现法律法规</w:t>
            </w:r>
            <w:r>
              <w:rPr>
                <w:rFonts w:hint="eastAsia" w:ascii="宋体" w:hAnsi="宋体" w:cs="宋体"/>
                <w:color w:val="auto"/>
                <w:szCs w:val="21"/>
                <w:highlight w:val="none"/>
                <w:lang w:bidi="ar"/>
              </w:rPr>
              <w:t>和采购文件规定的其他无效情形。</w:t>
            </w:r>
          </w:p>
        </w:tc>
      </w:tr>
      <w:bookmarkEnd w:id="74"/>
    </w:tbl>
    <w:p w14:paraId="0ED9A821">
      <w:pPr>
        <w:widowControl w:val="0"/>
        <w:overflowPunct w:val="0"/>
        <w:ind w:firstLine="420" w:firstLineChars="200"/>
        <w:rPr>
          <w:rFonts w:hint="eastAsia" w:ascii="宋体" w:hAnsi="宋体"/>
          <w:color w:val="auto"/>
          <w:szCs w:val="21"/>
          <w:highlight w:val="none"/>
        </w:rPr>
      </w:pPr>
      <w:r>
        <w:rPr>
          <w:rFonts w:hint="eastAsia" w:ascii="宋体" w:hAnsi="宋体"/>
          <w:color w:val="auto"/>
          <w:szCs w:val="21"/>
          <w:highlight w:val="none"/>
        </w:rPr>
        <w:t>以上资格性、符合性审查中带有不合格分项的投标文件，将作无效标处理。经评标委员会确认的无效投标文件，采购人和采购代理机构将予以拒绝，并且不允许通过修正或撤销其不符合要求的差异，使之成为具有符合性的投标文件。经评标委员会资格性、符合性审查确认具有有效投标文件的投标人不足三家时将重新组织采购。</w:t>
      </w:r>
    </w:p>
    <w:p w14:paraId="38CF8AFF">
      <w:pPr>
        <w:widowControl w:val="0"/>
        <w:numPr>
          <w:ilvl w:val="1"/>
          <w:numId w:val="2"/>
        </w:numPr>
        <w:overflowPunct w:val="0"/>
        <w:rPr>
          <w:rFonts w:hint="eastAsia" w:ascii="宋体" w:hAnsi="宋体" w:cs="宋体"/>
          <w:b/>
          <w:bCs/>
          <w:color w:val="auto"/>
          <w:szCs w:val="21"/>
          <w:highlight w:val="none"/>
        </w:rPr>
      </w:pPr>
      <w:r>
        <w:rPr>
          <w:rFonts w:hint="eastAsia" w:ascii="宋体" w:hAnsi="宋体" w:cs="宋体"/>
          <w:b/>
          <w:bCs/>
          <w:color w:val="auto"/>
          <w:szCs w:val="21"/>
          <w:highlight w:val="none"/>
        </w:rPr>
        <w:t>投标文件报价出现前后不一致的，评标委员会按照下列规定修正：</w:t>
      </w:r>
    </w:p>
    <w:p w14:paraId="5C21636D">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投标文件中开标一览表（报价表）内容与投标文件中相应内容不一致的，以开标一览表（报价表）为准；</w:t>
      </w:r>
    </w:p>
    <w:p w14:paraId="3CCF0B60">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大写金额和小写金额不一致的，以大写金额为准；</w:t>
      </w:r>
    </w:p>
    <w:p w14:paraId="02C315B8">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单价金额小数点或者百分比有明显错位的，以开标一览表的总价为准，并修改单价；</w:t>
      </w:r>
    </w:p>
    <w:p w14:paraId="3A99D09C">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总价金额与按单价汇总金额不一致的，以单价金额计算结果为准。</w:t>
      </w:r>
    </w:p>
    <w:p w14:paraId="15BBB03D">
      <w:pPr>
        <w:widowControl w:val="0"/>
        <w:numPr>
          <w:ilvl w:val="0"/>
          <w:numId w:val="5"/>
        </w:numPr>
        <w:overflowPunct w:val="0"/>
        <w:rPr>
          <w:rFonts w:hint="eastAsia" w:ascii="宋体" w:hAnsi="宋体" w:cs="宋体"/>
          <w:color w:val="auto"/>
          <w:szCs w:val="21"/>
          <w:highlight w:val="none"/>
        </w:rPr>
      </w:pPr>
      <w:r>
        <w:rPr>
          <w:rFonts w:hint="eastAsia" w:ascii="宋体" w:hAnsi="宋体" w:cs="宋体"/>
          <w:color w:val="auto"/>
          <w:szCs w:val="21"/>
          <w:highlight w:val="none"/>
        </w:rPr>
        <w:t>同时出现两种以上不一致的，按照前款规定的顺序修正。修正后的报价按照经投标人确认后产生约束力，投标人不确认的，其投标无效。</w:t>
      </w:r>
    </w:p>
    <w:p w14:paraId="3E455B78">
      <w:pPr>
        <w:widowControl w:val="0"/>
        <w:overflowPunct w:val="0"/>
        <w:ind w:left="630" w:hanging="630" w:hangingChars="300"/>
        <w:rPr>
          <w:rFonts w:hint="eastAsia" w:ascii="宋体" w:hAnsi="宋体" w:cs="宋体"/>
          <w:color w:val="auto"/>
          <w:szCs w:val="21"/>
          <w:highlight w:val="none"/>
        </w:rPr>
      </w:pPr>
      <w:r>
        <w:rPr>
          <w:rFonts w:hint="eastAsia" w:ascii="宋体" w:hAnsi="宋体" w:cs="宋体"/>
          <w:color w:val="auto"/>
          <w:szCs w:val="21"/>
          <w:highlight w:val="none"/>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4685E30F">
      <w:pPr>
        <w:widowControl w:val="0"/>
        <w:overflowPunct w:val="0"/>
        <w:ind w:left="630" w:hanging="630" w:hangingChars="300"/>
        <w:rPr>
          <w:rFonts w:hint="eastAsia" w:ascii="宋体" w:hAnsi="宋体" w:cs="宋体"/>
          <w:color w:val="auto"/>
          <w:szCs w:val="21"/>
          <w:highlight w:val="none"/>
        </w:rPr>
      </w:pPr>
      <w:r>
        <w:rPr>
          <w:rFonts w:hint="eastAsia" w:ascii="宋体" w:hAnsi="宋体" w:cs="宋体"/>
          <w:color w:val="auto"/>
          <w:szCs w:val="21"/>
          <w:highlight w:val="none"/>
        </w:rPr>
        <w:t>26.4  对于投标文件中不构成实质性偏差的不正规、不一致或不规则，评标委员会可以接受，但这种接受不能损害或影响任何投标人的相对排序。</w:t>
      </w:r>
    </w:p>
    <w:p w14:paraId="3567B14F">
      <w:pPr>
        <w:widowControl w:val="0"/>
        <w:overflowPunct w:val="0"/>
        <w:ind w:left="630" w:hanging="630" w:hangingChars="300"/>
        <w:rPr>
          <w:rFonts w:hint="eastAsia" w:ascii="宋体" w:hAnsi="宋体" w:cs="宋体"/>
          <w:color w:val="auto"/>
          <w:szCs w:val="21"/>
          <w:highlight w:val="none"/>
        </w:rPr>
      </w:pPr>
      <w:r>
        <w:rPr>
          <w:rFonts w:hint="eastAsia" w:ascii="宋体" w:hAnsi="宋体" w:cs="宋体"/>
          <w:color w:val="auto"/>
          <w:szCs w:val="21"/>
          <w:highlight w:val="none"/>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42F536E5">
      <w:pPr>
        <w:pStyle w:val="13"/>
        <w:rPr>
          <w:rFonts w:hint="eastAsia"/>
          <w:color w:val="auto"/>
          <w:highlight w:val="none"/>
        </w:rPr>
      </w:pPr>
    </w:p>
    <w:p w14:paraId="608735F4">
      <w:pPr>
        <w:pStyle w:val="8"/>
        <w:widowControl w:val="0"/>
        <w:numPr>
          <w:ilvl w:val="0"/>
          <w:numId w:val="2"/>
        </w:numPr>
        <w:overflowPunct w:val="0"/>
        <w:rPr>
          <w:rFonts w:hint="eastAsia" w:ascii="宋体" w:hAnsi="宋体" w:cs="宋体"/>
          <w:color w:val="auto"/>
          <w:sz w:val="21"/>
          <w:szCs w:val="21"/>
          <w:highlight w:val="none"/>
        </w:rPr>
      </w:pPr>
      <w:bookmarkStart w:id="75" w:name="_Toc182308012"/>
      <w:r>
        <w:rPr>
          <w:rFonts w:hint="eastAsia" w:ascii="宋体" w:hAnsi="宋体" w:cs="宋体"/>
          <w:color w:val="auto"/>
          <w:sz w:val="21"/>
          <w:szCs w:val="21"/>
          <w:highlight w:val="none"/>
        </w:rPr>
        <w:t>商务、技术、价格评审（具体评审项目详见投标资料表）</w:t>
      </w:r>
      <w:bookmarkEnd w:id="75"/>
    </w:p>
    <w:p w14:paraId="513CCE8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4A87A904">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4D3753A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采用综合评分法的，评标结果按评审后得分由高到低顺序排列。综合得分相同的，按</w:t>
      </w:r>
      <w:r>
        <w:rPr>
          <w:rFonts w:hint="eastAsia" w:ascii="宋体" w:hAnsi="宋体"/>
          <w:color w:val="auto"/>
          <w:szCs w:val="21"/>
          <w:highlight w:val="none"/>
        </w:rPr>
        <w:t>投标报价</w:t>
      </w:r>
      <w:r>
        <w:rPr>
          <w:rFonts w:hint="eastAsia" w:ascii="宋体" w:hAnsi="宋体" w:cs="宋体"/>
          <w:color w:val="auto"/>
          <w:szCs w:val="21"/>
          <w:highlight w:val="none"/>
        </w:rPr>
        <w:t>由高到低顺序排列。综合</w:t>
      </w:r>
      <w:r>
        <w:rPr>
          <w:rFonts w:hint="eastAsia" w:ascii="宋体" w:hAnsi="宋体"/>
          <w:color w:val="auto"/>
          <w:szCs w:val="21"/>
          <w:highlight w:val="none"/>
        </w:rPr>
        <w:t>得分相同且投标报价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ascii="宋体" w:hAnsi="宋体" w:cs="宋体"/>
          <w:color w:val="auto"/>
          <w:szCs w:val="21"/>
          <w:highlight w:val="none"/>
        </w:rPr>
        <w:t>。</w:t>
      </w:r>
    </w:p>
    <w:p w14:paraId="57E55511">
      <w:pPr>
        <w:widowControl w:val="0"/>
        <w:tabs>
          <w:tab w:val="left" w:pos="907"/>
        </w:tabs>
        <w:adjustRightInd/>
        <w:snapToGrid/>
        <w:ind w:left="567"/>
        <w:jc w:val="both"/>
        <w:rPr>
          <w:rFonts w:hint="eastAsia" w:ascii="宋体" w:hAnsi="宋体" w:cs="宋体"/>
          <w:color w:val="auto"/>
          <w:szCs w:val="21"/>
          <w:highlight w:val="none"/>
        </w:rPr>
      </w:pPr>
    </w:p>
    <w:p w14:paraId="3EFE42CD">
      <w:pPr>
        <w:pStyle w:val="8"/>
        <w:widowControl w:val="0"/>
        <w:numPr>
          <w:ilvl w:val="0"/>
          <w:numId w:val="2"/>
        </w:numPr>
        <w:overflowPunct w:val="0"/>
        <w:rPr>
          <w:rFonts w:hint="eastAsia" w:ascii="宋体" w:hAnsi="宋体" w:cs="宋体"/>
          <w:color w:val="auto"/>
          <w:sz w:val="21"/>
          <w:szCs w:val="21"/>
          <w:highlight w:val="none"/>
        </w:rPr>
      </w:pPr>
      <w:bookmarkStart w:id="76" w:name="_Toc316375620"/>
      <w:bookmarkStart w:id="77" w:name="_Toc182308013"/>
      <w:bookmarkStart w:id="78" w:name="_Toc20328"/>
      <w:bookmarkStart w:id="79" w:name="_Toc382049120"/>
      <w:r>
        <w:rPr>
          <w:rFonts w:hint="eastAsia" w:ascii="宋体" w:hAnsi="宋体" w:cs="宋体"/>
          <w:color w:val="auto"/>
          <w:sz w:val="21"/>
          <w:szCs w:val="21"/>
          <w:highlight w:val="none"/>
        </w:rPr>
        <w:t>纪律和保密</w:t>
      </w:r>
      <w:bookmarkEnd w:id="76"/>
      <w:r>
        <w:rPr>
          <w:rFonts w:hint="eastAsia" w:ascii="宋体" w:hAnsi="宋体" w:cs="宋体"/>
          <w:color w:val="auto"/>
          <w:sz w:val="21"/>
          <w:szCs w:val="21"/>
          <w:highlight w:val="none"/>
        </w:rPr>
        <w:t>事项</w:t>
      </w:r>
      <w:bookmarkEnd w:id="77"/>
      <w:bookmarkEnd w:id="78"/>
      <w:bookmarkEnd w:id="79"/>
    </w:p>
    <w:p w14:paraId="25E3FCFC">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2A868FF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投标人不得串通作弊，以不正当的手段妨碍、排挤其他投标人，扰乱采购市场，破坏公平竞争原则。否则将按相关法律规定严肃处理。</w:t>
      </w:r>
    </w:p>
    <w:p w14:paraId="2959B21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获得本采购文件的投标人，应对文件进行保密，不得用作本次投标以外的任何用途。开标后，投标人应归还采购文件中要求保密的文件和资料。</w:t>
      </w:r>
    </w:p>
    <w:p w14:paraId="41504A7A">
      <w:pPr>
        <w:rPr>
          <w:rFonts w:hint="eastAsia" w:ascii="宋体" w:hAnsi="宋体" w:cs="宋体"/>
          <w:color w:val="auto"/>
          <w:highlight w:val="none"/>
        </w:rPr>
      </w:pPr>
    </w:p>
    <w:p w14:paraId="4CCAA8CC">
      <w:pPr>
        <w:pStyle w:val="7"/>
        <w:numPr>
          <w:ilvl w:val="0"/>
          <w:numId w:val="1"/>
        </w:numPr>
        <w:spacing w:before="0" w:after="0" w:line="360" w:lineRule="auto"/>
        <w:jc w:val="center"/>
        <w:rPr>
          <w:rFonts w:hint="eastAsia" w:ascii="宋体" w:hAnsi="宋体" w:cs="宋体"/>
          <w:color w:val="auto"/>
          <w:highlight w:val="none"/>
        </w:rPr>
      </w:pPr>
      <w:bookmarkStart w:id="80" w:name="_Toc182308014"/>
      <w:r>
        <w:rPr>
          <w:rFonts w:hint="eastAsia" w:ascii="宋体" w:hAnsi="宋体" w:cs="宋体"/>
          <w:color w:val="auto"/>
          <w:highlight w:val="none"/>
        </w:rPr>
        <w:t>授予合同</w:t>
      </w:r>
      <w:bookmarkEnd w:id="80"/>
    </w:p>
    <w:p w14:paraId="69A8CA80">
      <w:pPr>
        <w:pStyle w:val="8"/>
        <w:widowControl w:val="0"/>
        <w:numPr>
          <w:ilvl w:val="0"/>
          <w:numId w:val="2"/>
        </w:numPr>
        <w:overflowPunct w:val="0"/>
        <w:rPr>
          <w:rFonts w:hint="eastAsia" w:ascii="宋体" w:hAnsi="宋体" w:cs="宋体"/>
          <w:color w:val="auto"/>
          <w:sz w:val="21"/>
          <w:szCs w:val="21"/>
          <w:highlight w:val="none"/>
        </w:rPr>
      </w:pPr>
      <w:bookmarkStart w:id="81" w:name="_Toc182308015"/>
      <w:bookmarkStart w:id="82" w:name="_Toc508284011"/>
      <w:r>
        <w:rPr>
          <w:rFonts w:hint="eastAsia" w:ascii="宋体" w:hAnsi="宋体" w:cs="宋体"/>
          <w:color w:val="auto"/>
          <w:sz w:val="21"/>
          <w:szCs w:val="21"/>
          <w:highlight w:val="none"/>
        </w:rPr>
        <w:t>合同授予标准</w:t>
      </w:r>
      <w:bookmarkEnd w:id="81"/>
      <w:bookmarkEnd w:id="82"/>
    </w:p>
    <w:p w14:paraId="24252FF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根据评标委员会的评审结果，采购人按照评审报告推荐的中标候选人中按顺序依法确定中标人。</w:t>
      </w:r>
    </w:p>
    <w:p w14:paraId="4929AE35">
      <w:pPr>
        <w:rPr>
          <w:rFonts w:hint="eastAsia" w:ascii="宋体" w:hAnsi="宋体" w:cs="宋体"/>
          <w:color w:val="auto"/>
          <w:highlight w:val="none"/>
        </w:rPr>
      </w:pPr>
    </w:p>
    <w:p w14:paraId="2301DE74">
      <w:pPr>
        <w:pStyle w:val="8"/>
        <w:widowControl w:val="0"/>
        <w:numPr>
          <w:ilvl w:val="0"/>
          <w:numId w:val="2"/>
        </w:numPr>
        <w:overflowPunct w:val="0"/>
        <w:rPr>
          <w:rFonts w:hint="eastAsia" w:ascii="宋体" w:hAnsi="宋体" w:cs="宋体"/>
          <w:color w:val="auto"/>
          <w:sz w:val="21"/>
          <w:szCs w:val="21"/>
          <w:highlight w:val="none"/>
        </w:rPr>
      </w:pPr>
      <w:bookmarkStart w:id="83" w:name="_Toc508284013"/>
      <w:bookmarkStart w:id="84" w:name="_Toc182308016"/>
      <w:r>
        <w:rPr>
          <w:rFonts w:hint="eastAsia" w:ascii="宋体" w:hAnsi="宋体" w:cs="宋体"/>
          <w:color w:val="auto"/>
          <w:sz w:val="21"/>
          <w:szCs w:val="21"/>
          <w:highlight w:val="none"/>
        </w:rPr>
        <w:t>发布中标结果</w:t>
      </w:r>
      <w:bookmarkEnd w:id="83"/>
      <w:bookmarkEnd w:id="84"/>
    </w:p>
    <w:p w14:paraId="140CF49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评标委员会提出评标书面报告和推荐中标意见报采购人确认后，采购代理机构将在指定的信息发布媒体上发布公告。</w:t>
      </w:r>
    </w:p>
    <w:p w14:paraId="59B5E59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中标公告期限为3个日历日。</w:t>
      </w:r>
    </w:p>
    <w:p w14:paraId="7A6C8ABA">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《中标通知书》是合同的一个组成部分，《中标通知书》对采购人和中标人均具有同等法律效力。</w:t>
      </w:r>
    </w:p>
    <w:p w14:paraId="57883CA0">
      <w:pPr>
        <w:widowControl w:val="0"/>
        <w:tabs>
          <w:tab w:val="left" w:pos="907"/>
        </w:tabs>
        <w:adjustRightInd/>
        <w:snapToGrid/>
        <w:jc w:val="both"/>
        <w:rPr>
          <w:rFonts w:hint="eastAsia" w:ascii="宋体" w:hAnsi="宋体" w:cs="宋体"/>
          <w:color w:val="auto"/>
          <w:szCs w:val="21"/>
          <w:highlight w:val="none"/>
        </w:rPr>
      </w:pPr>
    </w:p>
    <w:p w14:paraId="29E3E52F">
      <w:pPr>
        <w:pStyle w:val="8"/>
        <w:widowControl w:val="0"/>
        <w:numPr>
          <w:ilvl w:val="0"/>
          <w:numId w:val="2"/>
        </w:numPr>
        <w:overflowPunct w:val="0"/>
        <w:rPr>
          <w:rFonts w:hint="eastAsia" w:ascii="宋体" w:hAnsi="宋体" w:cs="宋体"/>
          <w:color w:val="auto"/>
          <w:sz w:val="21"/>
          <w:szCs w:val="21"/>
          <w:highlight w:val="none"/>
        </w:rPr>
      </w:pPr>
      <w:bookmarkStart w:id="85" w:name="_Toc182308017"/>
      <w:r>
        <w:rPr>
          <w:rFonts w:hint="eastAsia" w:ascii="宋体" w:hAnsi="宋体" w:cs="宋体"/>
          <w:color w:val="auto"/>
          <w:sz w:val="21"/>
          <w:szCs w:val="21"/>
          <w:highlight w:val="none"/>
        </w:rPr>
        <w:t>资格后审</w:t>
      </w:r>
      <w:bookmarkEnd w:id="85"/>
    </w:p>
    <w:p w14:paraId="4410004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采购人将</w:t>
      </w:r>
      <w:r>
        <w:rPr>
          <w:rFonts w:hint="eastAsia" w:ascii="宋体" w:hAnsi="宋体" w:cs="宋体"/>
          <w:b/>
          <w:bCs/>
          <w:color w:val="auto"/>
          <w:szCs w:val="21"/>
          <w:highlight w:val="none"/>
        </w:rPr>
        <w:t>有权</w:t>
      </w:r>
      <w:r>
        <w:rPr>
          <w:rFonts w:hint="eastAsia" w:ascii="宋体" w:hAnsi="宋体" w:cs="宋体"/>
          <w:color w:val="auto"/>
          <w:szCs w:val="21"/>
          <w:highlight w:val="none"/>
        </w:rPr>
        <w:t>根据本文件中的要求，对评委会推荐的中标候选人进行资格后审。</w:t>
      </w:r>
    </w:p>
    <w:p w14:paraId="4352091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中标候选人须无条件配合资格后审，否则采购人有权取消其中标资格，且投标保证金可不予退还。</w:t>
      </w:r>
    </w:p>
    <w:p w14:paraId="45A44C7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02D09C8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如发现中标候选人以他人名义投标或者以其他方式弄虚作假，骗取中标的，采购人有权取消其中标资格，且投标保证金可不予退还；给采购人造成损失的，应依法承担赔偿责任。</w:t>
      </w:r>
    </w:p>
    <w:p w14:paraId="67404CF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41AC7CFA">
      <w:pPr>
        <w:rPr>
          <w:rFonts w:hint="eastAsia" w:ascii="宋体" w:hAnsi="宋体" w:cs="宋体"/>
          <w:color w:val="auto"/>
          <w:highlight w:val="none"/>
        </w:rPr>
      </w:pPr>
    </w:p>
    <w:p w14:paraId="13346D4A">
      <w:pPr>
        <w:pStyle w:val="8"/>
        <w:widowControl w:val="0"/>
        <w:numPr>
          <w:ilvl w:val="0"/>
          <w:numId w:val="2"/>
        </w:numPr>
        <w:overflowPunct w:val="0"/>
        <w:rPr>
          <w:rFonts w:hint="eastAsia" w:ascii="宋体" w:hAnsi="宋体" w:cs="宋体"/>
          <w:color w:val="auto"/>
          <w:sz w:val="21"/>
          <w:szCs w:val="21"/>
          <w:highlight w:val="none"/>
        </w:rPr>
      </w:pPr>
      <w:bookmarkStart w:id="86" w:name="_Toc182308018"/>
      <w:r>
        <w:rPr>
          <w:rFonts w:hint="eastAsia" w:ascii="宋体" w:hAnsi="宋体" w:cs="宋体"/>
          <w:color w:val="auto"/>
          <w:sz w:val="21"/>
          <w:szCs w:val="21"/>
          <w:highlight w:val="none"/>
        </w:rPr>
        <w:t>合同的签订与履行</w:t>
      </w:r>
      <w:bookmarkEnd w:id="86"/>
    </w:p>
    <w:p w14:paraId="31FE263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6E947DCE">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采购人与中标人应当根据合同的约定依法履行合同义务。</w:t>
      </w:r>
    </w:p>
    <w:p w14:paraId="594AA0DD">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采购合同的履行、违约责任和解决争议的方法等适用《中华人民共和国民法典》。</w:t>
      </w:r>
    </w:p>
    <w:p w14:paraId="3895089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在评审结束当天至合同履行结束，若因不可抗力的因素（如国家出台新法律法规等）造成投标人资质的变动，投标人应以纸质版形式通知采购人。若资质变动导致中标人不再具备履行合同资质要求，采购人有权终止合同。</w:t>
      </w:r>
    </w:p>
    <w:p w14:paraId="1B914424">
      <w:pPr>
        <w:widowControl w:val="0"/>
        <w:tabs>
          <w:tab w:val="left" w:pos="907"/>
        </w:tabs>
        <w:adjustRightInd/>
        <w:snapToGrid/>
        <w:jc w:val="both"/>
        <w:rPr>
          <w:rFonts w:hint="eastAsia" w:ascii="宋体" w:hAnsi="宋体" w:cs="宋体"/>
          <w:color w:val="auto"/>
          <w:highlight w:val="none"/>
        </w:rPr>
      </w:pPr>
    </w:p>
    <w:p w14:paraId="4CC12BEF">
      <w:pPr>
        <w:pStyle w:val="8"/>
        <w:widowControl w:val="0"/>
        <w:numPr>
          <w:ilvl w:val="0"/>
          <w:numId w:val="2"/>
        </w:numPr>
        <w:overflowPunct w:val="0"/>
        <w:rPr>
          <w:rFonts w:hint="eastAsia" w:ascii="宋体" w:hAnsi="宋体" w:cs="宋体"/>
          <w:color w:val="auto"/>
          <w:sz w:val="21"/>
          <w:szCs w:val="21"/>
          <w:highlight w:val="none"/>
        </w:rPr>
      </w:pPr>
      <w:bookmarkStart w:id="87" w:name="_Toc303084277"/>
      <w:bookmarkStart w:id="88" w:name="_Toc382049124"/>
      <w:bookmarkStart w:id="89" w:name="_Toc29009"/>
      <w:bookmarkStart w:id="90" w:name="_Toc182308019"/>
      <w:r>
        <w:rPr>
          <w:rFonts w:hint="eastAsia" w:ascii="宋体" w:hAnsi="宋体" w:cs="宋体"/>
          <w:color w:val="auto"/>
          <w:sz w:val="21"/>
          <w:szCs w:val="21"/>
          <w:highlight w:val="none"/>
        </w:rPr>
        <w:t>履约</w:t>
      </w:r>
      <w:bookmarkEnd w:id="87"/>
      <w:bookmarkEnd w:id="88"/>
      <w:bookmarkEnd w:id="89"/>
      <w:r>
        <w:rPr>
          <w:rFonts w:hint="eastAsia" w:ascii="宋体" w:hAnsi="宋体" w:cs="宋体"/>
          <w:color w:val="auto"/>
          <w:sz w:val="21"/>
          <w:szCs w:val="21"/>
          <w:highlight w:val="none"/>
        </w:rPr>
        <w:t>担保</w:t>
      </w:r>
      <w:bookmarkEnd w:id="90"/>
    </w:p>
    <w:p w14:paraId="1E9DCC39">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328D9F20">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履约担保期限从合同签订之日起至项目服务期结束验收合格并结算完毕后，经双方签字7天内保持有效。</w:t>
      </w:r>
    </w:p>
    <w:p w14:paraId="11B5386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履约担保可以采用下列任何一种形式：</w:t>
      </w:r>
    </w:p>
    <w:p w14:paraId="3C584972">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（1）履约保函。如果中标人的履约担保是以银行保函形式提供的，则该银行保函应：</w:t>
      </w:r>
    </w:p>
    <w:p w14:paraId="0E66CC91">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①保函应由银行支行或以上银行机构开具，非东莞市行政区内的银行开具的保函要由银行所在地公证部门出具的公证书。</w:t>
      </w:r>
    </w:p>
    <w:p w14:paraId="0FFEC96A">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②保函的格式参考投标文件附件中提供的无条件不可撤销履约保函格式，保函担保期内若项目未能按期竣工，保函必须延期，办理延期手续时在银行方面所产生费用由中标人负责。</w:t>
      </w:r>
    </w:p>
    <w:p w14:paraId="509D37EF">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③履约保函必须打印，手写、涂改无效。</w:t>
      </w:r>
    </w:p>
    <w:p w14:paraId="127BEC4E">
      <w:pPr>
        <w:widowControl w:val="0"/>
        <w:overflowPunct w:val="0"/>
        <w:ind w:left="420" w:leftChars="200"/>
        <w:rPr>
          <w:rFonts w:hint="eastAsia" w:ascii="宋体" w:hAnsi="宋体" w:cs="宋体"/>
          <w:color w:val="auto"/>
          <w:szCs w:val="21"/>
          <w:highlight w:val="none"/>
        </w:rPr>
      </w:pPr>
      <w:r>
        <w:rPr>
          <w:rFonts w:hint="eastAsia" w:ascii="宋体" w:hAnsi="宋体" w:cs="宋体"/>
          <w:color w:val="auto"/>
          <w:szCs w:val="21"/>
          <w:highlight w:val="none"/>
        </w:rPr>
        <w:t>（2）履约保证金。可采用电汇、银行汇票等银行转账方式提交，但不可以采用现金方式提交。履约保证金金额为中标价的10%。中标人必须保证履约保证金以中标人的名称在（合同约定的日期）前提交至采购人指定账户。</w:t>
      </w:r>
    </w:p>
    <w:p w14:paraId="39B74422">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5684E907">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为取得履约担保所需的费用，由中标人承担；若工期延误，履约担保时间延长，延长费用由中标人承担。</w:t>
      </w:r>
    </w:p>
    <w:p w14:paraId="5510AE5B">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4257C8C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下列任何情况发生时，采购人有权行使享有的担保权利：</w:t>
      </w:r>
    </w:p>
    <w:p w14:paraId="6317CF5C">
      <w:pPr>
        <w:widowControl w:val="0"/>
        <w:tabs>
          <w:tab w:val="left" w:pos="907"/>
        </w:tabs>
        <w:ind w:left="567"/>
        <w:jc w:val="both"/>
        <w:rPr>
          <w:rFonts w:hint="eastAsia" w:ascii="宋体" w:hAnsi="宋体" w:cs="宋体"/>
          <w:color w:val="auto"/>
          <w:szCs w:val="21"/>
          <w:highlight w:val="none"/>
        </w:rPr>
      </w:pPr>
      <w:r>
        <w:rPr>
          <w:rFonts w:hint="eastAsia" w:ascii="宋体" w:hAnsi="宋体" w:cs="宋体"/>
          <w:color w:val="auto"/>
          <w:szCs w:val="21"/>
          <w:highlight w:val="none"/>
        </w:rPr>
        <w:t>（1）中标人将本项目转让给他人，或者在投标文件中未说明，且未经采购人同意，将中标项目分包给他人的；</w:t>
      </w:r>
    </w:p>
    <w:p w14:paraId="2E066CE6">
      <w:pPr>
        <w:widowControl w:val="0"/>
        <w:tabs>
          <w:tab w:val="left" w:pos="907"/>
        </w:tabs>
        <w:ind w:left="567"/>
        <w:jc w:val="both"/>
        <w:rPr>
          <w:rFonts w:hint="eastAsia" w:ascii="宋体" w:hAnsi="宋体" w:cs="宋体"/>
          <w:color w:val="auto"/>
          <w:szCs w:val="21"/>
          <w:highlight w:val="none"/>
        </w:rPr>
      </w:pPr>
      <w:r>
        <w:rPr>
          <w:rFonts w:hint="eastAsia" w:ascii="宋体" w:hAnsi="宋体" w:cs="宋体"/>
          <w:color w:val="auto"/>
          <w:szCs w:val="21"/>
          <w:highlight w:val="none"/>
        </w:rPr>
        <w:t>（2）中标人在履行采购合同期间，违反有关法律法规的规定及合同约定的条款，损害了采购人的利益。</w:t>
      </w:r>
    </w:p>
    <w:p w14:paraId="2F1DDEEF">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在整个项目验收合格后，中标人向采购人提交退回履约担保的申请，采购人办理履约担保退还手续。</w:t>
      </w:r>
    </w:p>
    <w:p w14:paraId="02224AE3">
      <w:pPr>
        <w:widowControl w:val="0"/>
        <w:tabs>
          <w:tab w:val="left" w:pos="907"/>
        </w:tabs>
        <w:adjustRightInd/>
        <w:snapToGrid/>
        <w:jc w:val="both"/>
        <w:rPr>
          <w:rFonts w:hint="eastAsia" w:ascii="宋体" w:hAnsi="宋体" w:cs="宋体"/>
          <w:color w:val="auto"/>
          <w:highlight w:val="none"/>
        </w:rPr>
      </w:pPr>
    </w:p>
    <w:p w14:paraId="7AAD46BE">
      <w:pPr>
        <w:pStyle w:val="8"/>
        <w:widowControl w:val="0"/>
        <w:numPr>
          <w:ilvl w:val="0"/>
          <w:numId w:val="2"/>
        </w:numPr>
        <w:overflowPunct w:val="0"/>
        <w:rPr>
          <w:rFonts w:hint="eastAsia" w:ascii="宋体" w:hAnsi="宋体" w:cs="宋体"/>
          <w:vanish/>
          <w:color w:val="auto"/>
          <w:szCs w:val="21"/>
          <w:highlight w:val="none"/>
        </w:rPr>
      </w:pPr>
      <w:bookmarkStart w:id="91" w:name="_Toc182308020"/>
      <w:r>
        <w:rPr>
          <w:rFonts w:hint="eastAsia" w:ascii="宋体" w:hAnsi="宋体" w:cs="宋体"/>
          <w:color w:val="auto"/>
          <w:sz w:val="21"/>
          <w:szCs w:val="21"/>
          <w:highlight w:val="none"/>
        </w:rPr>
        <w:t>预付款保函（适用于预付款支付）</w:t>
      </w:r>
      <w:bookmarkEnd w:id="91"/>
    </w:p>
    <w:p w14:paraId="61D94BE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38AFCF9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预付款保函应：</w:t>
      </w:r>
    </w:p>
    <w:p w14:paraId="2973B7C2">
      <w:pPr>
        <w:widowControl w:val="0"/>
        <w:tabs>
          <w:tab w:val="left" w:pos="907"/>
        </w:tabs>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（1）由东莞市行政区域内的银行支行及以上银行机构开具。非东莞市行政区内的银行开具的保函要由银行所在地公证部门出具的公证书。</w:t>
      </w:r>
    </w:p>
    <w:p w14:paraId="665EAB99">
      <w:pPr>
        <w:widowControl w:val="0"/>
        <w:tabs>
          <w:tab w:val="left" w:pos="907"/>
        </w:tabs>
        <w:spacing w:line="240" w:lineRule="auto"/>
        <w:ind w:left="567"/>
        <w:jc w:val="both"/>
        <w:rPr>
          <w:rFonts w:hint="eastAsia" w:ascii="宋体" w:hAnsi="宋体" w:cs="宋体"/>
          <w:color w:val="auto"/>
          <w:szCs w:val="21"/>
          <w:highlight w:val="none"/>
        </w:rPr>
      </w:pPr>
      <w:r>
        <w:rPr>
          <w:rFonts w:hint="eastAsia" w:ascii="宋体" w:hAnsi="宋体" w:cs="宋体"/>
          <w:color w:val="auto"/>
          <w:szCs w:val="21"/>
          <w:highlight w:val="none"/>
        </w:rPr>
        <w:t>（2）必须打印，手写、</w:t>
      </w:r>
      <w:r>
        <w:rPr>
          <w:rFonts w:hint="eastAsia" w:ascii="宋体" w:hAnsi="宋体" w:eastAsia="宋体" w:cs="宋体"/>
          <w:color w:val="auto"/>
          <w:szCs w:val="21"/>
          <w:highlight w:val="none"/>
        </w:rPr>
        <w:t>涂改</w:t>
      </w:r>
      <w:r>
        <w:rPr>
          <w:rFonts w:hint="eastAsia" w:ascii="宋体" w:hAnsi="宋体" w:cs="宋体"/>
          <w:color w:val="auto"/>
          <w:szCs w:val="21"/>
          <w:highlight w:val="none"/>
        </w:rPr>
        <w:t>无效</w:t>
      </w:r>
    </w:p>
    <w:p w14:paraId="5417998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若中标人不能按本须知（34.1至34.2）的规定执行，采购人将不予支付预付款。</w:t>
      </w:r>
    </w:p>
    <w:p w14:paraId="11622511">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6E5B6E59">
      <w:pPr>
        <w:rPr>
          <w:rFonts w:hint="eastAsia" w:ascii="宋体" w:hAnsi="宋体" w:cs="宋体"/>
          <w:color w:val="auto"/>
          <w:highlight w:val="none"/>
        </w:rPr>
      </w:pPr>
    </w:p>
    <w:p w14:paraId="275404D3">
      <w:pPr>
        <w:pStyle w:val="7"/>
        <w:numPr>
          <w:ilvl w:val="0"/>
          <w:numId w:val="1"/>
        </w:numPr>
        <w:spacing w:before="0" w:after="0" w:line="360" w:lineRule="auto"/>
        <w:jc w:val="center"/>
        <w:rPr>
          <w:rFonts w:hint="eastAsia" w:ascii="宋体" w:hAnsi="宋体" w:cs="宋体"/>
          <w:color w:val="auto"/>
          <w:highlight w:val="none"/>
        </w:rPr>
      </w:pPr>
      <w:bookmarkStart w:id="92" w:name="_Toc182308021"/>
      <w:r>
        <w:rPr>
          <w:rFonts w:hint="eastAsia" w:ascii="宋体" w:hAnsi="宋体" w:cs="宋体"/>
          <w:color w:val="auto"/>
          <w:highlight w:val="none"/>
        </w:rPr>
        <w:t>异议</w:t>
      </w:r>
      <w:bookmarkEnd w:id="92"/>
    </w:p>
    <w:p w14:paraId="4ADD8EE0">
      <w:pPr>
        <w:pStyle w:val="8"/>
        <w:widowControl w:val="0"/>
        <w:numPr>
          <w:ilvl w:val="0"/>
          <w:numId w:val="2"/>
        </w:numPr>
        <w:overflowPunct w:val="0"/>
        <w:rPr>
          <w:rFonts w:hint="eastAsia" w:ascii="宋体" w:hAnsi="宋体" w:cs="宋体"/>
          <w:color w:val="auto"/>
          <w:sz w:val="21"/>
          <w:szCs w:val="21"/>
          <w:highlight w:val="none"/>
        </w:rPr>
      </w:pPr>
      <w:bookmarkStart w:id="93" w:name="_Toc182308022"/>
      <w:r>
        <w:rPr>
          <w:rFonts w:hint="eastAsia" w:ascii="宋体" w:hAnsi="宋体" w:cs="宋体"/>
          <w:color w:val="auto"/>
          <w:sz w:val="21"/>
          <w:szCs w:val="21"/>
          <w:highlight w:val="none"/>
        </w:rPr>
        <w:t>异议</w:t>
      </w:r>
      <w:bookmarkEnd w:id="93"/>
    </w:p>
    <w:p w14:paraId="1C7CFDB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lang w:val="zh-CN"/>
        </w:rPr>
        <w:t>采购文件的异议</w:t>
      </w:r>
      <w:r>
        <w:rPr>
          <w:rFonts w:hint="eastAsia" w:ascii="宋体" w:hAnsi="宋体" w:cs="宋体"/>
          <w:color w:val="auto"/>
          <w:szCs w:val="21"/>
          <w:highlight w:val="none"/>
        </w:rPr>
        <w:t xml:space="preserve">  </w:t>
      </w:r>
    </w:p>
    <w:p w14:paraId="15AED6A9">
      <w:pPr>
        <w:widowControl w:val="0"/>
        <w:overflowPunct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val="zh-CN"/>
        </w:rPr>
        <w:t>投标人或者其他利害关系人对采购文件有异议的，应当在投标截止时间10日前以书面形式向采购代理机构提出，并将材料原件送达采购代理机构，逾期则视为对采购文件所有内容无异议。异议书面材料必须加盖投标人法人公章，并注明联系人、联系电话、联系地址。超出提交接收异议截止时间而提出的任何疑问，</w:t>
      </w:r>
      <w:r>
        <w:rPr>
          <w:rFonts w:hint="eastAsia" w:ascii="宋体" w:hAnsi="宋体" w:cs="宋体"/>
          <w:color w:val="auto"/>
          <w:szCs w:val="21"/>
          <w:highlight w:val="none"/>
        </w:rPr>
        <w:t>采购人或</w:t>
      </w:r>
      <w:r>
        <w:rPr>
          <w:rFonts w:hint="eastAsia" w:ascii="宋体" w:hAnsi="宋体" w:cs="宋体"/>
          <w:color w:val="auto"/>
          <w:szCs w:val="21"/>
          <w:highlight w:val="none"/>
          <w:lang w:val="zh-CN"/>
        </w:rPr>
        <w:t>采购代理机构可不予答复。</w:t>
      </w:r>
    </w:p>
    <w:p w14:paraId="1ACFCB65">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lang w:val="zh-CN"/>
        </w:rPr>
        <w:t>评标结果异议</w:t>
      </w:r>
      <w:r>
        <w:rPr>
          <w:rFonts w:hint="eastAsia" w:ascii="宋体" w:hAnsi="宋体" w:cs="宋体"/>
          <w:color w:val="auto"/>
          <w:szCs w:val="21"/>
          <w:highlight w:val="none"/>
        </w:rPr>
        <w:t xml:space="preserve">   </w:t>
      </w:r>
    </w:p>
    <w:p w14:paraId="12A76D25">
      <w:pPr>
        <w:widowControl w:val="0"/>
        <w:overflowPunct w:val="0"/>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06F9AA8B">
      <w:pPr>
        <w:widowControl w:val="0"/>
        <w:overflowPunct w:val="0"/>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4AA2CCD8">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以联合体形式参加采购活动的，其异议应当由组成联合体的所有投标人共同提出。</w:t>
      </w:r>
    </w:p>
    <w:p w14:paraId="2B457942">
      <w:pPr>
        <w:pStyle w:val="7"/>
        <w:numPr>
          <w:ilvl w:val="0"/>
          <w:numId w:val="1"/>
        </w:numPr>
        <w:spacing w:before="0" w:after="0" w:line="360" w:lineRule="auto"/>
        <w:jc w:val="center"/>
        <w:rPr>
          <w:rFonts w:hint="eastAsia" w:ascii="宋体" w:hAnsi="宋体" w:cs="宋体"/>
          <w:color w:val="auto"/>
          <w:highlight w:val="none"/>
        </w:rPr>
      </w:pPr>
      <w:bookmarkStart w:id="94" w:name="_Toc182308023"/>
      <w:r>
        <w:rPr>
          <w:rFonts w:hint="eastAsia" w:ascii="宋体" w:hAnsi="宋体" w:cs="宋体"/>
          <w:color w:val="auto"/>
          <w:highlight w:val="none"/>
        </w:rPr>
        <w:t>其他</w:t>
      </w:r>
      <w:bookmarkEnd w:id="94"/>
    </w:p>
    <w:p w14:paraId="17C73923">
      <w:pPr>
        <w:pStyle w:val="8"/>
        <w:widowControl w:val="0"/>
        <w:numPr>
          <w:ilvl w:val="0"/>
          <w:numId w:val="2"/>
        </w:numPr>
        <w:overflowPunct w:val="0"/>
        <w:rPr>
          <w:rFonts w:hint="eastAsia" w:ascii="宋体" w:hAnsi="宋体" w:cs="宋体"/>
          <w:color w:val="auto"/>
          <w:sz w:val="21"/>
          <w:szCs w:val="21"/>
          <w:highlight w:val="none"/>
        </w:rPr>
      </w:pPr>
      <w:bookmarkStart w:id="95" w:name="_Toc182308024"/>
      <w:r>
        <w:rPr>
          <w:rFonts w:hint="eastAsia" w:ascii="宋体" w:hAnsi="宋体" w:cs="宋体"/>
          <w:color w:val="auto"/>
          <w:sz w:val="21"/>
          <w:szCs w:val="21"/>
          <w:highlight w:val="none"/>
        </w:rPr>
        <w:t>采购文件的解释权</w:t>
      </w:r>
      <w:bookmarkEnd w:id="95"/>
    </w:p>
    <w:p w14:paraId="404B80E3">
      <w:pPr>
        <w:widowControl w:val="0"/>
        <w:numPr>
          <w:ilvl w:val="1"/>
          <w:numId w:val="2"/>
        </w:numPr>
        <w:overflowPunct w:val="0"/>
        <w:rPr>
          <w:rFonts w:hint="eastAsia" w:ascii="宋体" w:hAnsi="宋体" w:cs="宋体"/>
          <w:color w:val="auto"/>
          <w:szCs w:val="21"/>
          <w:highlight w:val="none"/>
        </w:rPr>
      </w:pPr>
      <w:r>
        <w:rPr>
          <w:rFonts w:hint="eastAsia" w:ascii="宋体" w:hAnsi="宋体" w:cs="宋体"/>
          <w:color w:val="auto"/>
          <w:szCs w:val="21"/>
          <w:highlight w:val="none"/>
        </w:rPr>
        <w:t>本采购文件是根据国家有关法律法规以及采购管理有关规定和参照国际惯例编制，解释权属本采购代理机构。</w:t>
      </w:r>
      <w:r>
        <w:rPr>
          <w:rFonts w:hint="eastAsia" w:ascii="宋体" w:hAnsi="宋体" w:cs="宋体"/>
          <w:color w:val="auto"/>
          <w:szCs w:val="21"/>
          <w:highlight w:val="none"/>
        </w:rPr>
        <w:br w:type="page"/>
      </w:r>
    </w:p>
    <w:p w14:paraId="0EE5ABFA">
      <w:pPr>
        <w:pStyle w:val="6"/>
        <w:spacing w:before="0" w:after="0" w:line="240" w:lineRule="auto"/>
        <w:rPr>
          <w:color w:val="auto"/>
          <w:sz w:val="28"/>
          <w:szCs w:val="28"/>
          <w:highlight w:val="none"/>
        </w:rPr>
      </w:pPr>
      <w:bookmarkStart w:id="96" w:name="_Toc182308025"/>
      <w:r>
        <w:rPr>
          <w:rFonts w:hint="eastAsia"/>
          <w:color w:val="auto"/>
          <w:sz w:val="28"/>
          <w:szCs w:val="28"/>
          <w:highlight w:val="none"/>
        </w:rPr>
        <w:t>第五部分  合同条款格式</w:t>
      </w:r>
      <w:bookmarkEnd w:id="96"/>
      <w:bookmarkStart w:id="97" w:name="_Toc15636"/>
    </w:p>
    <w:bookmarkEnd w:id="97"/>
    <w:p w14:paraId="71375836">
      <w:pPr>
        <w:jc w:val="center"/>
        <w:rPr>
          <w:rFonts w:hint="eastAsia" w:ascii="宋体" w:hAnsi="宋体"/>
          <w:b/>
          <w:color w:val="auto"/>
          <w:szCs w:val="21"/>
          <w:highlight w:val="none"/>
          <w:lang w:eastAsia="zh-CN"/>
        </w:rPr>
      </w:pPr>
      <w:bookmarkStart w:id="98" w:name="_Hlt109815959"/>
      <w:bookmarkEnd w:id="98"/>
      <w:bookmarkStart w:id="99" w:name="_Toc182308026"/>
    </w:p>
    <w:p w14:paraId="794E80B2">
      <w:pPr>
        <w:jc w:val="center"/>
        <w:rPr>
          <w:rFonts w:ascii="宋体" w:hAnsi="宋体" w:cs="宋体"/>
          <w:color w:val="auto"/>
          <w:szCs w:val="21"/>
          <w:highlight w:val="none"/>
          <w:lang w:bidi="ar"/>
        </w:rPr>
      </w:pPr>
      <w:r>
        <w:rPr>
          <w:rFonts w:hint="eastAsia" w:ascii="宋体" w:hAnsi="宋体"/>
          <w:b/>
          <w:color w:val="auto"/>
          <w:szCs w:val="21"/>
          <w:highlight w:val="none"/>
          <w:lang w:eastAsia="zh-CN"/>
        </w:rPr>
        <w:t>（</w:t>
      </w:r>
      <w:r>
        <w:rPr>
          <w:rFonts w:hint="eastAsia" w:ascii="宋体" w:hAnsi="宋体"/>
          <w:b/>
          <w:color w:val="auto"/>
          <w:szCs w:val="21"/>
          <w:highlight w:val="none"/>
        </w:rPr>
        <w:t>此仅为合同书样本，</w:t>
      </w:r>
      <w:r>
        <w:rPr>
          <w:rFonts w:hint="eastAsia" w:ascii="宋体" w:hAnsi="宋体" w:eastAsia="宋体"/>
          <w:b/>
          <w:color w:val="auto"/>
          <w:szCs w:val="21"/>
          <w:highlight w:val="none"/>
        </w:rPr>
        <w:t>中标人</w:t>
      </w:r>
      <w:r>
        <w:rPr>
          <w:rFonts w:hint="eastAsia" w:ascii="宋体" w:hAnsi="宋体"/>
          <w:b/>
          <w:color w:val="auto"/>
          <w:szCs w:val="21"/>
          <w:highlight w:val="none"/>
        </w:rPr>
        <w:t>需根据实际情况和甲方签订相应的合同</w:t>
      </w:r>
      <w:r>
        <w:rPr>
          <w:rFonts w:hint="eastAsia" w:ascii="宋体" w:hAnsi="宋体"/>
          <w:b/>
          <w:color w:val="auto"/>
          <w:szCs w:val="21"/>
          <w:highlight w:val="none"/>
          <w:lang w:eastAsia="zh-CN"/>
        </w:rPr>
        <w:t>）</w:t>
      </w:r>
    </w:p>
    <w:p w14:paraId="3FEA4EC8">
      <w:pPr>
        <w:rPr>
          <w:rFonts w:hint="eastAsia" w:ascii="宋体" w:hAnsi="宋体" w:cs="宋体"/>
          <w:color w:val="auto"/>
          <w:szCs w:val="21"/>
          <w:highlight w:val="none"/>
        </w:rPr>
      </w:pPr>
    </w:p>
    <w:p w14:paraId="64A422A2">
      <w:pPr>
        <w:spacing w:before="1092" w:beforeLines="350" w:after="468" w:afterLines="150" w:line="360" w:lineRule="auto"/>
        <w:jc w:val="center"/>
        <w:outlineLvl w:val="9"/>
        <w:rPr>
          <w:rFonts w:hint="eastAsia" w:ascii="仿宋_GB2312" w:hAnsi="仿宋_GB2312" w:eastAsia="仿宋_GB2312" w:cs="仿宋_GB2312"/>
          <w:b/>
          <w:bCs/>
          <w:color w:val="auto"/>
          <w:spacing w:val="60"/>
          <w:sz w:val="52"/>
          <w:szCs w:val="52"/>
          <w:highlight w:val="none"/>
        </w:rPr>
      </w:pPr>
    </w:p>
    <w:p w14:paraId="360B343D">
      <w:pPr>
        <w:spacing w:before="1092" w:beforeLines="350" w:after="468" w:afterLines="150" w:line="360" w:lineRule="auto"/>
        <w:jc w:val="center"/>
        <w:outlineLvl w:val="0"/>
        <w:rPr>
          <w:rFonts w:hint="eastAsia" w:ascii="仿宋_GB2312" w:hAnsi="仿宋_GB2312" w:eastAsia="仿宋_GB2312" w:cs="仿宋_GB2312"/>
          <w:b/>
          <w:bCs/>
          <w:color w:val="auto"/>
          <w:spacing w:val="60"/>
          <w:sz w:val="52"/>
          <w:szCs w:val="52"/>
          <w:highlight w:val="none"/>
        </w:rPr>
      </w:pPr>
      <w:bookmarkStart w:id="100" w:name="_Toc5547"/>
      <w:r>
        <w:rPr>
          <w:rFonts w:hint="eastAsia" w:ascii="仿宋_GB2312" w:hAnsi="仿宋_GB2312" w:eastAsia="仿宋_GB2312" w:cs="仿宋_GB2312"/>
          <w:b/>
          <w:bCs/>
          <w:color w:val="auto"/>
          <w:spacing w:val="60"/>
          <w:sz w:val="52"/>
          <w:szCs w:val="52"/>
          <w:highlight w:val="none"/>
        </w:rPr>
        <w:t>合同文件</w:t>
      </w:r>
      <w:bookmarkEnd w:id="100"/>
    </w:p>
    <w:p w14:paraId="1616A4FA">
      <w:pPr>
        <w:spacing w:after="200" w:line="360" w:lineRule="auto"/>
        <w:jc w:val="center"/>
        <w:rPr>
          <w:rFonts w:hint="eastAsia" w:ascii="宋体" w:hAnsi="宋体" w:eastAsia="宋体" w:cs="宋体"/>
          <w:b/>
          <w:bCs/>
          <w:color w:val="auto"/>
          <w:sz w:val="22"/>
          <w:szCs w:val="21"/>
          <w:highlight w:val="none"/>
        </w:rPr>
      </w:pPr>
      <w:r>
        <w:rPr>
          <w:rFonts w:hint="eastAsia" w:ascii="宋体" w:hAnsi="宋体" w:eastAsia="宋体" w:cs="宋体"/>
          <w:b/>
          <w:bCs/>
          <w:color w:val="auto"/>
          <w:sz w:val="22"/>
          <w:szCs w:val="21"/>
          <w:highlight w:val="none"/>
        </w:rPr>
        <w:t>（合同编号：</w:t>
      </w:r>
      <w:r>
        <w:rPr>
          <w:rFonts w:hint="eastAsia" w:ascii="宋体" w:hAnsi="宋体" w:eastAsia="宋体" w:cs="宋体"/>
          <w:b/>
          <w:bCs/>
          <w:color w:val="auto"/>
          <w:sz w:val="22"/>
          <w:szCs w:val="21"/>
          <w:highlight w:val="none"/>
          <w:u w:val="single"/>
        </w:rPr>
        <w:t xml:space="preserve">         </w:t>
      </w:r>
      <w:r>
        <w:rPr>
          <w:rFonts w:hint="eastAsia" w:ascii="宋体" w:hAnsi="宋体" w:eastAsia="宋体" w:cs="宋体"/>
          <w:b/>
          <w:bCs/>
          <w:color w:val="auto"/>
          <w:sz w:val="22"/>
          <w:szCs w:val="21"/>
          <w:highlight w:val="none"/>
        </w:rPr>
        <w:t>）</w:t>
      </w:r>
    </w:p>
    <w:p w14:paraId="14AE5379">
      <w:pPr>
        <w:spacing w:after="200" w:line="360" w:lineRule="auto"/>
        <w:rPr>
          <w:rFonts w:hint="eastAsia" w:ascii="仿宋_GB2312" w:hAnsi="仿宋_GB2312" w:eastAsia="仿宋_GB2312" w:cs="仿宋_GB2312"/>
          <w:b/>
          <w:bCs/>
          <w:color w:val="auto"/>
          <w:sz w:val="22"/>
          <w:szCs w:val="21"/>
          <w:highlight w:val="none"/>
        </w:rPr>
      </w:pPr>
    </w:p>
    <w:p w14:paraId="7F558047">
      <w:pPr>
        <w:spacing w:after="200" w:line="360" w:lineRule="auto"/>
        <w:rPr>
          <w:rFonts w:hint="eastAsia" w:ascii="仿宋_GB2312" w:hAnsi="仿宋_GB2312" w:eastAsia="仿宋_GB2312" w:cs="仿宋_GB2312"/>
          <w:b/>
          <w:bCs/>
          <w:color w:val="auto"/>
          <w:sz w:val="22"/>
          <w:szCs w:val="21"/>
          <w:highlight w:val="none"/>
        </w:rPr>
      </w:pPr>
    </w:p>
    <w:p w14:paraId="0D937E40">
      <w:pPr>
        <w:spacing w:after="200" w:line="360" w:lineRule="auto"/>
        <w:rPr>
          <w:rFonts w:hint="eastAsia" w:ascii="仿宋_GB2312" w:hAnsi="仿宋_GB2312" w:eastAsia="仿宋_GB2312" w:cs="仿宋_GB2312"/>
          <w:b/>
          <w:bCs/>
          <w:color w:val="auto"/>
          <w:sz w:val="22"/>
          <w:szCs w:val="21"/>
          <w:highlight w:val="none"/>
        </w:rPr>
      </w:pPr>
    </w:p>
    <w:tbl>
      <w:tblPr>
        <w:tblStyle w:val="29"/>
        <w:tblW w:w="9675" w:type="dxa"/>
        <w:jc w:val="center"/>
        <w:tblLayout w:type="fixed"/>
        <w:tblCellMar>
          <w:top w:w="0" w:type="dxa"/>
          <w:left w:w="108" w:type="dxa"/>
          <w:bottom w:w="0" w:type="dxa"/>
          <w:right w:w="108" w:type="dxa"/>
        </w:tblCellMar>
      </w:tblPr>
      <w:tblGrid>
        <w:gridCol w:w="3108"/>
        <w:gridCol w:w="6567"/>
      </w:tblGrid>
      <w:tr w14:paraId="1469FA2B">
        <w:tblPrEx>
          <w:tblCellMar>
            <w:top w:w="0" w:type="dxa"/>
            <w:left w:w="108" w:type="dxa"/>
            <w:bottom w:w="0" w:type="dxa"/>
            <w:right w:w="108" w:type="dxa"/>
          </w:tblCellMar>
        </w:tblPrEx>
        <w:trPr>
          <w:trHeight w:val="90" w:hRule="atLeast"/>
          <w:jc w:val="center"/>
        </w:trPr>
        <w:tc>
          <w:tcPr>
            <w:tcW w:w="3108" w:type="dxa"/>
            <w:noWrap w:val="0"/>
            <w:vAlign w:val="top"/>
          </w:tcPr>
          <w:p w14:paraId="62E33DC3">
            <w:pPr>
              <w:spacing w:after="200" w:line="360" w:lineRule="auto"/>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甲方（采购人）：</w:t>
            </w:r>
          </w:p>
        </w:tc>
        <w:tc>
          <w:tcPr>
            <w:tcW w:w="6567" w:type="dxa"/>
            <w:noWrap w:val="0"/>
            <w:vAlign w:val="top"/>
          </w:tcPr>
          <w:p w14:paraId="1A07EED7">
            <w:pPr>
              <w:spacing w:after="200" w:line="360" w:lineRule="auto"/>
              <w:rPr>
                <w:rFonts w:hint="eastAsia" w:ascii="仿宋_GB2312" w:hAnsi="仿宋_GB2312" w:eastAsia="仿宋_GB2312" w:cs="仿宋_GB2312"/>
                <w:b/>
                <w:bCs/>
                <w:color w:val="auto"/>
                <w:sz w:val="28"/>
                <w:szCs w:val="28"/>
                <w:highlight w:val="none"/>
                <w:u w:val="single"/>
              </w:rPr>
            </w:pPr>
            <w:r>
              <w:rPr>
                <w:rFonts w:hint="eastAsia" w:ascii="宋体" w:hAnsi="宋体" w:eastAsia="微软雅黑"/>
                <w:b/>
                <w:bCs/>
                <w:color w:val="auto"/>
                <w:sz w:val="28"/>
                <w:szCs w:val="28"/>
                <w:highlight w:val="none"/>
                <w:u w:val="single"/>
              </w:rPr>
              <w:t xml:space="preserve"> </w:t>
            </w:r>
            <w:r>
              <w:rPr>
                <w:rFonts w:hint="eastAsia" w:ascii="宋体" w:hAnsi="宋体" w:eastAsia="宋体" w:cs="宋体"/>
                <w:b/>
                <w:bCs/>
                <w:color w:val="auto"/>
                <w:sz w:val="28"/>
                <w:szCs w:val="28"/>
                <w:highlight w:val="none"/>
                <w:u w:val="single"/>
              </w:rPr>
              <w:t xml:space="preserve">东莞市新有能源投资有限公司 </w:t>
            </w:r>
          </w:p>
        </w:tc>
      </w:tr>
      <w:tr w14:paraId="0F19EEBA">
        <w:tblPrEx>
          <w:tblCellMar>
            <w:top w:w="0" w:type="dxa"/>
            <w:left w:w="108" w:type="dxa"/>
            <w:bottom w:w="0" w:type="dxa"/>
            <w:right w:w="108" w:type="dxa"/>
          </w:tblCellMar>
        </w:tblPrEx>
        <w:trPr>
          <w:trHeight w:val="745" w:hRule="atLeast"/>
          <w:jc w:val="center"/>
        </w:trPr>
        <w:tc>
          <w:tcPr>
            <w:tcW w:w="3108" w:type="dxa"/>
            <w:noWrap w:val="0"/>
            <w:vAlign w:val="top"/>
          </w:tcPr>
          <w:p w14:paraId="059C2E3C">
            <w:pPr>
              <w:spacing w:after="200" w:line="360" w:lineRule="auto"/>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乙方（中标</w:t>
            </w:r>
            <w:r>
              <w:rPr>
                <w:rFonts w:hint="eastAsia" w:ascii="宋体" w:hAnsi="宋体" w:eastAsia="宋体" w:cs="宋体"/>
                <w:b/>
                <w:bCs/>
                <w:color w:val="auto"/>
                <w:sz w:val="28"/>
                <w:szCs w:val="28"/>
                <w:highlight w:val="none"/>
                <w:lang w:val="en-US" w:eastAsia="zh-CN"/>
              </w:rPr>
              <w:t>人</w:t>
            </w:r>
            <w:r>
              <w:rPr>
                <w:rFonts w:hint="eastAsia" w:ascii="宋体" w:hAnsi="宋体" w:eastAsia="宋体" w:cs="宋体"/>
                <w:b/>
                <w:bCs/>
                <w:color w:val="auto"/>
                <w:sz w:val="28"/>
                <w:szCs w:val="28"/>
                <w:highlight w:val="none"/>
              </w:rPr>
              <w:t>）：</w:t>
            </w:r>
          </w:p>
        </w:tc>
        <w:tc>
          <w:tcPr>
            <w:tcW w:w="6567" w:type="dxa"/>
            <w:noWrap w:val="0"/>
            <w:vAlign w:val="top"/>
          </w:tcPr>
          <w:p w14:paraId="1F5BEF84">
            <w:pPr>
              <w:spacing w:after="200" w:line="360" w:lineRule="auto"/>
              <w:rPr>
                <w:rFonts w:hint="eastAsia" w:ascii="仿宋_GB2312" w:hAnsi="仿宋_GB2312" w:eastAsia="仿宋_GB2312" w:cs="仿宋_GB2312"/>
                <w:b/>
                <w:bCs/>
                <w:color w:val="auto"/>
                <w:sz w:val="28"/>
                <w:szCs w:val="28"/>
                <w:highlight w:val="none"/>
                <w:u w:val="single"/>
              </w:rPr>
            </w:pPr>
            <w:r>
              <w:rPr>
                <w:rFonts w:hint="eastAsia" w:ascii="仿宋_GB2312" w:hAnsi="仿宋_GB2312" w:eastAsia="仿宋_GB2312" w:cs="仿宋_GB2312"/>
                <w:b/>
                <w:bCs/>
                <w:color w:val="auto"/>
                <w:sz w:val="28"/>
                <w:szCs w:val="28"/>
                <w:highlight w:val="none"/>
                <w:u w:val="single"/>
              </w:rPr>
              <w:t xml:space="preserve"> </w:t>
            </w:r>
            <w:r>
              <w:rPr>
                <w:rFonts w:hint="eastAsia" w:ascii="仿宋_GB2312" w:hAnsi="仿宋_GB2312" w:eastAsia="仿宋_GB2312" w:cs="仿宋_GB2312"/>
                <w:b/>
                <w:bCs/>
                <w:color w:val="auto"/>
                <w:sz w:val="28"/>
                <w:szCs w:val="28"/>
                <w:highlight w:val="none"/>
                <w:u w:val="single"/>
                <w:lang w:val="en-US" w:eastAsia="zh-CN"/>
              </w:rPr>
              <w:t xml:space="preserve">                          </w:t>
            </w:r>
            <w:r>
              <w:rPr>
                <w:rFonts w:hint="eastAsia" w:ascii="仿宋_GB2312" w:hAnsi="仿宋_GB2312" w:eastAsia="仿宋_GB2312" w:cs="仿宋_GB2312"/>
                <w:b/>
                <w:bCs/>
                <w:color w:val="auto"/>
                <w:sz w:val="28"/>
                <w:szCs w:val="28"/>
                <w:highlight w:val="none"/>
                <w:u w:val="single"/>
              </w:rPr>
              <w:t xml:space="preserve"> </w:t>
            </w:r>
          </w:p>
        </w:tc>
      </w:tr>
      <w:tr w14:paraId="2F173F94">
        <w:tblPrEx>
          <w:tblCellMar>
            <w:top w:w="0" w:type="dxa"/>
            <w:left w:w="108" w:type="dxa"/>
            <w:bottom w:w="0" w:type="dxa"/>
            <w:right w:w="108" w:type="dxa"/>
          </w:tblCellMar>
        </w:tblPrEx>
        <w:trPr>
          <w:trHeight w:val="706" w:hRule="atLeast"/>
          <w:jc w:val="center"/>
        </w:trPr>
        <w:tc>
          <w:tcPr>
            <w:tcW w:w="3108" w:type="dxa"/>
            <w:noWrap w:val="0"/>
            <w:vAlign w:val="top"/>
          </w:tcPr>
          <w:p w14:paraId="66EF0B1A">
            <w:pPr>
              <w:spacing w:after="200" w:line="360" w:lineRule="auto"/>
              <w:jc w:val="both"/>
              <w:rPr>
                <w:rFonts w:hint="eastAsia" w:ascii="宋体" w:hAnsi="宋体" w:eastAsia="宋体" w:cs="宋体"/>
                <w:b/>
                <w:bCs/>
                <w:color w:val="auto"/>
                <w:spacing w:val="9"/>
                <w:sz w:val="28"/>
                <w:szCs w:val="28"/>
                <w:highlight w:val="none"/>
              </w:rPr>
            </w:pPr>
            <w:r>
              <w:rPr>
                <w:rFonts w:hint="eastAsia" w:ascii="宋体" w:hAnsi="宋体" w:eastAsia="宋体" w:cs="宋体"/>
                <w:b/>
                <w:bCs/>
                <w:color w:val="auto"/>
                <w:spacing w:val="9"/>
                <w:sz w:val="28"/>
                <w:szCs w:val="28"/>
                <w:highlight w:val="none"/>
              </w:rPr>
              <w:t>协议签订时间：</w:t>
            </w:r>
          </w:p>
        </w:tc>
        <w:tc>
          <w:tcPr>
            <w:tcW w:w="6567" w:type="dxa"/>
            <w:noWrap w:val="0"/>
            <w:vAlign w:val="top"/>
          </w:tcPr>
          <w:p w14:paraId="4C547A56">
            <w:pPr>
              <w:tabs>
                <w:tab w:val="left" w:pos="720"/>
              </w:tabs>
              <w:spacing w:after="200" w:line="360" w:lineRule="auto"/>
              <w:jc w:val="both"/>
              <w:rPr>
                <w:rFonts w:hint="eastAsia" w:ascii="宋体" w:hAnsi="宋体" w:eastAsia="宋体" w:cs="宋体"/>
                <w:b/>
                <w:bCs/>
                <w:color w:val="auto"/>
                <w:sz w:val="28"/>
                <w:szCs w:val="28"/>
                <w:highlight w:val="none"/>
                <w:u w:val="single"/>
              </w:rPr>
            </w:pPr>
            <w:r>
              <w:rPr>
                <w:rFonts w:hint="eastAsia" w:ascii="宋体" w:hAnsi="宋体" w:eastAsia="宋体" w:cs="宋体"/>
                <w:color w:val="auto"/>
                <w:spacing w:val="20"/>
                <w:sz w:val="28"/>
                <w:szCs w:val="28"/>
                <w:highlight w:val="none"/>
                <w:u w:val="single"/>
              </w:rPr>
              <w:t xml:space="preserve"> </w:t>
            </w:r>
            <w:r>
              <w:rPr>
                <w:rFonts w:hint="eastAsia" w:ascii="宋体" w:hAnsi="宋体" w:eastAsia="宋体" w:cs="宋体"/>
                <w:color w:val="auto"/>
                <w:spacing w:val="20"/>
                <w:sz w:val="28"/>
                <w:szCs w:val="28"/>
                <w:highlight w:val="none"/>
                <w:u w:val="single"/>
                <w:lang w:val="en-US" w:eastAsia="zh-CN"/>
              </w:rPr>
              <w:t xml:space="preserve">     </w:t>
            </w:r>
            <w:r>
              <w:rPr>
                <w:rFonts w:hint="eastAsia" w:ascii="宋体" w:hAnsi="宋体" w:eastAsia="宋体" w:cs="宋体"/>
                <w:color w:val="auto"/>
                <w:spacing w:val="20"/>
                <w:sz w:val="28"/>
                <w:szCs w:val="28"/>
                <w:highlight w:val="none"/>
              </w:rPr>
              <w:t>年</w:t>
            </w:r>
            <w:r>
              <w:rPr>
                <w:rFonts w:hint="eastAsia" w:ascii="宋体" w:hAnsi="宋体" w:eastAsia="宋体" w:cs="宋体"/>
                <w:color w:val="auto"/>
                <w:spacing w:val="20"/>
                <w:sz w:val="28"/>
                <w:szCs w:val="28"/>
                <w:highlight w:val="none"/>
                <w:u w:val="single"/>
              </w:rPr>
              <w:t xml:space="preserve"> </w:t>
            </w:r>
            <w:r>
              <w:rPr>
                <w:rFonts w:hint="eastAsia" w:ascii="宋体" w:hAnsi="宋体" w:eastAsia="宋体" w:cs="宋体"/>
                <w:color w:val="auto"/>
                <w:spacing w:val="20"/>
                <w:sz w:val="28"/>
                <w:szCs w:val="28"/>
                <w:highlight w:val="none"/>
                <w:u w:val="single"/>
                <w:lang w:val="en-US" w:eastAsia="zh-CN"/>
              </w:rPr>
              <w:t xml:space="preserve"> </w:t>
            </w:r>
            <w:r>
              <w:rPr>
                <w:rFonts w:hint="eastAsia" w:ascii="宋体" w:hAnsi="宋体" w:eastAsia="宋体" w:cs="宋体"/>
                <w:color w:val="auto"/>
                <w:spacing w:val="20"/>
                <w:sz w:val="28"/>
                <w:szCs w:val="28"/>
                <w:highlight w:val="none"/>
                <w:u w:val="single"/>
              </w:rPr>
              <w:t xml:space="preserve">  </w:t>
            </w:r>
            <w:r>
              <w:rPr>
                <w:rFonts w:hint="eastAsia" w:ascii="宋体" w:hAnsi="宋体" w:eastAsia="宋体" w:cs="宋体"/>
                <w:color w:val="auto"/>
                <w:spacing w:val="20"/>
                <w:sz w:val="28"/>
                <w:szCs w:val="28"/>
                <w:highlight w:val="none"/>
              </w:rPr>
              <w:t>月</w:t>
            </w:r>
            <w:r>
              <w:rPr>
                <w:rFonts w:hint="eastAsia" w:ascii="宋体" w:hAnsi="宋体" w:eastAsia="宋体" w:cs="宋体"/>
                <w:color w:val="auto"/>
                <w:spacing w:val="20"/>
                <w:sz w:val="28"/>
                <w:szCs w:val="28"/>
                <w:highlight w:val="none"/>
                <w:u w:val="single"/>
              </w:rPr>
              <w:t xml:space="preserve">  </w:t>
            </w:r>
            <w:r>
              <w:rPr>
                <w:rFonts w:hint="eastAsia" w:ascii="宋体" w:hAnsi="宋体" w:eastAsia="宋体" w:cs="宋体"/>
                <w:color w:val="auto"/>
                <w:spacing w:val="20"/>
                <w:sz w:val="28"/>
                <w:szCs w:val="28"/>
                <w:highlight w:val="none"/>
                <w:u w:val="single"/>
                <w:lang w:val="en-US" w:eastAsia="zh-CN"/>
              </w:rPr>
              <w:t xml:space="preserve"> </w:t>
            </w:r>
            <w:r>
              <w:rPr>
                <w:rFonts w:hint="eastAsia" w:ascii="宋体" w:hAnsi="宋体" w:eastAsia="宋体" w:cs="宋体"/>
                <w:color w:val="auto"/>
                <w:spacing w:val="20"/>
                <w:sz w:val="28"/>
                <w:szCs w:val="28"/>
                <w:highlight w:val="none"/>
                <w:u w:val="single"/>
              </w:rPr>
              <w:t xml:space="preserve"> </w:t>
            </w:r>
            <w:r>
              <w:rPr>
                <w:rFonts w:hint="eastAsia" w:ascii="宋体" w:hAnsi="宋体" w:eastAsia="宋体" w:cs="宋体"/>
                <w:color w:val="auto"/>
                <w:spacing w:val="20"/>
                <w:sz w:val="28"/>
                <w:szCs w:val="28"/>
                <w:highlight w:val="none"/>
                <w:u w:val="none"/>
              </w:rPr>
              <w:t>日</w:t>
            </w:r>
          </w:p>
        </w:tc>
      </w:tr>
    </w:tbl>
    <w:p w14:paraId="47B0F76E">
      <w:pPr>
        <w:autoSpaceDE w:val="0"/>
        <w:autoSpaceDN w:val="0"/>
        <w:adjustRightInd w:val="0"/>
        <w:spacing w:line="360" w:lineRule="auto"/>
        <w:jc w:val="center"/>
        <w:rPr>
          <w:rFonts w:hint="eastAsia" w:ascii="仿宋_GB2312" w:hAnsi="仿宋_GB2312" w:eastAsia="仿宋_GB2312" w:cs="仿宋_GB2312"/>
          <w:b/>
          <w:color w:val="auto"/>
          <w:kern w:val="0"/>
          <w:sz w:val="36"/>
          <w:szCs w:val="36"/>
          <w:highlight w:val="none"/>
        </w:rPr>
        <w:sectPr>
          <w:footerReference r:id="rId6" w:type="first"/>
          <w:footerReference r:id="rId5" w:type="default"/>
          <w:pgSz w:w="11907" w:h="16839"/>
          <w:pgMar w:top="1440" w:right="1080" w:bottom="1440" w:left="1080" w:header="1020" w:footer="992" w:gutter="284"/>
          <w:pgBorders>
            <w:top w:val="none" w:sz="0" w:space="0"/>
            <w:left w:val="none" w:sz="0" w:space="0"/>
            <w:bottom w:val="none" w:sz="0" w:space="0"/>
            <w:right w:val="none" w:sz="0" w:space="0"/>
          </w:pgBorders>
          <w:pgNumType w:fmt="decimal" w:start="1"/>
          <w:cols w:space="720" w:num="1"/>
          <w:docGrid w:linePitch="360" w:charSpace="0"/>
        </w:sectPr>
      </w:pPr>
    </w:p>
    <w:p w14:paraId="421ACF88">
      <w:pPr>
        <w:pageBreakBefore w:val="0"/>
        <w:kinsoku/>
        <w:wordWrap/>
        <w:autoSpaceDE w:val="0"/>
        <w:autoSpaceDN w:val="0"/>
        <w:bidi w:val="0"/>
        <w:adjustRightInd w:val="0"/>
        <w:spacing w:after="0" w:line="360" w:lineRule="auto"/>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合同书</w:t>
      </w:r>
    </w:p>
    <w:p w14:paraId="44352214">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合同编号：</w:t>
      </w:r>
    </w:p>
    <w:p w14:paraId="4AFF12D2">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p>
    <w:p w14:paraId="601C212F">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甲方：（采购人）</w:t>
      </w:r>
      <w:r>
        <w:rPr>
          <w:rFonts w:hint="eastAsia" w:ascii="宋体" w:hAnsi="宋体" w:eastAsia="宋体" w:cs="宋体"/>
          <w:color w:val="auto"/>
          <w:sz w:val="21"/>
          <w:szCs w:val="21"/>
          <w:highlight w:val="none"/>
          <w:u w:val="single"/>
        </w:rPr>
        <w:t>东莞市新有能源投资有限公司</w:t>
      </w:r>
      <w:r>
        <w:rPr>
          <w:rFonts w:hint="eastAsia" w:ascii="宋体" w:hAnsi="宋体" w:eastAsia="宋体" w:cs="宋体"/>
          <w:color w:val="auto"/>
          <w:sz w:val="21"/>
          <w:szCs w:val="21"/>
          <w:highlight w:val="none"/>
        </w:rPr>
        <w:t xml:space="preserve"> </w:t>
      </w:r>
    </w:p>
    <w:p w14:paraId="62B57D91">
      <w:pPr>
        <w:pageBreakBefore w:val="0"/>
        <w:kinsoku/>
        <w:wordWrap/>
        <w:bidi w:val="0"/>
        <w:spacing w:after="0" w:line="360" w:lineRule="auto"/>
        <w:ind w:firstLine="480"/>
        <w:jc w:val="left"/>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项目联系人：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联系电话：</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14:paraId="0D2EF852">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乙方：（中标</w:t>
      </w:r>
      <w:r>
        <w:rPr>
          <w:rFonts w:hint="eastAsia" w:ascii="宋体" w:hAnsi="宋体" w:eastAsia="宋体" w:cs="宋体"/>
          <w:color w:val="auto"/>
          <w:sz w:val="21"/>
          <w:szCs w:val="21"/>
          <w:highlight w:val="none"/>
          <w:lang w:val="en-US" w:eastAsia="zh-CN"/>
        </w:rPr>
        <w:t>人</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 xml:space="preserve"> </w:t>
      </w:r>
    </w:p>
    <w:p w14:paraId="14CDDA9B">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项目联系人：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联系电话：      </w:t>
      </w:r>
    </w:p>
    <w:p w14:paraId="27E42F39">
      <w:pPr>
        <w:pageBreakBefore w:val="0"/>
        <w:kinsoku/>
        <w:wordWrap/>
        <w:bidi w:val="0"/>
        <w:spacing w:after="0" w:line="360" w:lineRule="auto"/>
        <w:ind w:firstLine="480"/>
        <w:jc w:val="left"/>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受甲方委托，</w:t>
      </w:r>
      <w:r>
        <w:rPr>
          <w:rFonts w:hint="eastAsia" w:ascii="宋体" w:hAnsi="宋体" w:cs="宋体"/>
          <w:color w:val="auto"/>
          <w:sz w:val="21"/>
          <w:szCs w:val="21"/>
          <w:highlight w:val="none"/>
          <w:u w:val="single"/>
          <w:lang w:val="en-US" w:eastAsia="zh-CN"/>
        </w:rPr>
        <w:t>广西同泽工程项目管理股份有限公司</w:t>
      </w:r>
      <w:r>
        <w:rPr>
          <w:rFonts w:hint="eastAsia" w:ascii="宋体" w:hAnsi="宋体" w:eastAsia="宋体" w:cs="宋体"/>
          <w:color w:val="auto"/>
          <w:sz w:val="21"/>
          <w:szCs w:val="21"/>
          <w:highlight w:val="none"/>
          <w:u w:val="none"/>
        </w:rPr>
        <w:t>(采购代理机构)</w:t>
      </w:r>
      <w:r>
        <w:rPr>
          <w:rFonts w:hint="eastAsia" w:ascii="宋体" w:hAnsi="宋体" w:eastAsia="宋体" w:cs="宋体"/>
          <w:color w:val="auto"/>
          <w:sz w:val="21"/>
          <w:szCs w:val="21"/>
          <w:highlight w:val="none"/>
        </w:rPr>
        <w:t>组织对甲方</w:t>
      </w:r>
      <w:r>
        <w:rPr>
          <w:rFonts w:hint="eastAsia" w:ascii="宋体" w:hAnsi="宋体" w:eastAsia="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lang w:eastAsia="zh-CN"/>
        </w:rPr>
        <w:t>东莞市建冠物业投资有限公司625kW/2500kWh用户侧储能项目</w:t>
      </w:r>
      <w:r>
        <w:rPr>
          <w:rFonts w:hint="eastAsia" w:ascii="宋体" w:hAnsi="宋体" w:eastAsia="宋体" w:cs="宋体"/>
          <w:color w:val="auto"/>
          <w:sz w:val="21"/>
          <w:szCs w:val="21"/>
          <w:highlight w:val="none"/>
        </w:rPr>
        <w:t>采购项目（项目编号</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）进行采购，于202</w:t>
      </w: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 xml:space="preserve"> XX</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 xml:space="preserve">XX </w:t>
      </w:r>
      <w:r>
        <w:rPr>
          <w:rFonts w:hint="eastAsia" w:ascii="宋体" w:hAnsi="宋体" w:eastAsia="宋体" w:cs="宋体"/>
          <w:color w:val="auto"/>
          <w:sz w:val="21"/>
          <w:szCs w:val="21"/>
          <w:highlight w:val="none"/>
        </w:rPr>
        <w:t>通过 公开（公开、邀请、竞争性谈判、询价、单一来源）招标，经评标委员会评定乙方</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为中标供应商。为了保护甲乙双方合法权益，根据《中华人民共和国</w:t>
      </w:r>
      <w:r>
        <w:rPr>
          <w:rFonts w:hint="eastAsia" w:ascii="宋体" w:hAnsi="宋体" w:eastAsia="宋体" w:cs="宋体"/>
          <w:color w:val="auto"/>
          <w:sz w:val="21"/>
          <w:szCs w:val="21"/>
          <w:highlight w:val="none"/>
          <w:lang w:val="en-US" w:eastAsia="zh-CN"/>
        </w:rPr>
        <w:t>民法典</w:t>
      </w:r>
      <w:r>
        <w:rPr>
          <w:rFonts w:hint="eastAsia" w:ascii="宋体" w:hAnsi="宋体" w:eastAsia="宋体" w:cs="宋体"/>
          <w:color w:val="auto"/>
          <w:sz w:val="21"/>
          <w:szCs w:val="21"/>
          <w:highlight w:val="none"/>
        </w:rPr>
        <w:t>》《中华人民共和国政府采购法》及其实施条例，在平等自愿的基础上，按照下面的条款和条件，签署本合同。</w:t>
      </w:r>
    </w:p>
    <w:p w14:paraId="300E7910">
      <w:pPr>
        <w:pageBreakBefore w:val="0"/>
        <w:kinsoku/>
        <w:wordWrap/>
        <w:bidi w:val="0"/>
        <w:spacing w:after="0" w:line="360" w:lineRule="auto"/>
        <w:outlineLvl w:val="0"/>
        <w:rPr>
          <w:rFonts w:hint="eastAsia" w:ascii="宋体" w:hAnsi="宋体" w:eastAsia="宋体" w:cs="宋体"/>
          <w:b/>
          <w:bCs/>
          <w:color w:val="auto"/>
          <w:sz w:val="21"/>
          <w:szCs w:val="21"/>
          <w:highlight w:val="none"/>
        </w:rPr>
      </w:pPr>
      <w:bookmarkStart w:id="101" w:name="_Toc10689"/>
      <w:r>
        <w:rPr>
          <w:rFonts w:hint="eastAsia" w:ascii="宋体" w:hAnsi="宋体" w:eastAsia="宋体" w:cs="宋体"/>
          <w:b/>
          <w:bCs/>
          <w:color w:val="auto"/>
          <w:sz w:val="21"/>
          <w:szCs w:val="21"/>
          <w:highlight w:val="none"/>
        </w:rPr>
        <w:t>第一条　合同项目</w:t>
      </w:r>
      <w:bookmarkEnd w:id="101"/>
      <w:r>
        <w:rPr>
          <w:rFonts w:hint="eastAsia" w:ascii="宋体" w:hAnsi="宋体" w:eastAsia="宋体" w:cs="宋体"/>
          <w:b/>
          <w:bCs/>
          <w:color w:val="auto"/>
          <w:sz w:val="21"/>
          <w:szCs w:val="21"/>
          <w:highlight w:val="none"/>
        </w:rPr>
        <w:t xml:space="preserve"> </w:t>
      </w:r>
    </w:p>
    <w:p w14:paraId="341833CB">
      <w:pPr>
        <w:keepNext w:val="0"/>
        <w:keepLines w:val="0"/>
        <w:pageBreakBefore w:val="0"/>
        <w:widowControl/>
        <w:shd w:val="clear" w:color="auto" w:fill="FFFFFF"/>
        <w:kinsoku/>
        <w:wordWrap/>
        <w:overflowPunct/>
        <w:topLinePunct w:val="0"/>
        <w:autoSpaceDE/>
        <w:autoSpaceDN/>
        <w:bidi w:val="0"/>
        <w:adjustRightInd/>
        <w:snapToGrid/>
        <w:spacing w:after="0" w:line="360" w:lineRule="auto"/>
        <w:ind w:left="0"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1.工程名称：</w:t>
      </w:r>
    </w:p>
    <w:p w14:paraId="0C4861A0">
      <w:pPr>
        <w:keepNext w:val="0"/>
        <w:keepLines w:val="0"/>
        <w:pageBreakBefore w:val="0"/>
        <w:widowControl/>
        <w:shd w:val="clear" w:color="auto" w:fill="FFFFFF"/>
        <w:kinsoku/>
        <w:wordWrap/>
        <w:overflowPunct/>
        <w:topLinePunct w:val="0"/>
        <w:autoSpaceDE/>
        <w:autoSpaceDN/>
        <w:bidi w:val="0"/>
        <w:adjustRightInd/>
        <w:snapToGrid/>
        <w:spacing w:after="0" w:line="360" w:lineRule="auto"/>
        <w:ind w:left="0"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工程地点：</w:t>
      </w:r>
    </w:p>
    <w:p w14:paraId="1A417DC1">
      <w:pPr>
        <w:keepNext w:val="0"/>
        <w:keepLines w:val="0"/>
        <w:pageBreakBefore w:val="0"/>
        <w:widowControl/>
        <w:shd w:val="clear" w:color="auto" w:fill="FFFFFF"/>
        <w:kinsoku/>
        <w:wordWrap/>
        <w:overflowPunct/>
        <w:topLinePunct w:val="0"/>
        <w:autoSpaceDE/>
        <w:autoSpaceDN/>
        <w:bidi w:val="0"/>
        <w:adjustRightInd/>
        <w:snapToGrid/>
        <w:spacing w:after="0" w:line="360" w:lineRule="auto"/>
        <w:ind w:left="0"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 xml:space="preserve">工程建设规模：  </w:t>
      </w:r>
    </w:p>
    <w:p w14:paraId="748F161B">
      <w:pPr>
        <w:keepNext w:val="0"/>
        <w:keepLines w:val="0"/>
        <w:pageBreakBefore w:val="0"/>
        <w:kinsoku/>
        <w:wordWrap/>
        <w:overflowPunct/>
        <w:topLinePunct w:val="0"/>
        <w:autoSpaceDE/>
        <w:autoSpaceDN/>
        <w:bidi w:val="0"/>
        <w:adjustRightInd/>
        <w:snapToGrid/>
        <w:spacing w:after="0" w:line="360" w:lineRule="auto"/>
        <w:ind w:left="0" w:firstLine="420" w:firstLineChars="200"/>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.工程内容：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负责现场勘察、设备安装位置协调选址、施工图设计；</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提供设备：</w:t>
      </w:r>
      <w:r>
        <w:rPr>
          <w:rFonts w:hint="eastAsia" w:ascii="宋体" w:hAnsi="宋体" w:eastAsia="宋体" w:cs="宋体"/>
          <w:color w:val="auto"/>
          <w:sz w:val="21"/>
          <w:szCs w:val="21"/>
          <w:highlight w:val="none"/>
        </w:rPr>
        <w:t>储能系统的设备选型、制造、软件设计开发、验收、提供相关图纸资料、试验（包括工厂试验、出厂试验）、包装、设备运输、现场开箱检查，现场技术服务、安装、调试和试验，参加联调试运行、验收，参加</w:t>
      </w:r>
      <w:r>
        <w:rPr>
          <w:rFonts w:hint="eastAsia" w:ascii="宋体" w:hAnsi="宋体" w:cs="宋体"/>
          <w:color w:val="auto"/>
          <w:sz w:val="21"/>
          <w:szCs w:val="21"/>
          <w:highlight w:val="none"/>
          <w:lang w:eastAsia="zh-CN"/>
        </w:rPr>
        <w:t>甲方</w:t>
      </w:r>
      <w:r>
        <w:rPr>
          <w:rFonts w:hint="eastAsia" w:ascii="宋体" w:hAnsi="宋体" w:eastAsia="宋体" w:cs="宋体"/>
          <w:color w:val="auto"/>
          <w:sz w:val="21"/>
          <w:szCs w:val="21"/>
          <w:highlight w:val="none"/>
        </w:rPr>
        <w:t>组织的其它设备的设计联络会及协调会，投标人应保证设备、文件和技术服务按合同要求的时间及内容进行等。其中储能系统所有的机械、电气、通信、外壳、接地等连接和配合（包括电池舱与 PCS 的连接电缆、PCS 与隔离变压器或升压变压器的连接电缆、储能系统自用动力照明等辅助用电的配电系统及电源、防逆流装置）、消防设施以及其他辅助设施。</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提供储能项目工程建设服务（含施工临时电源、储能系统的土建及电气整体安装、调试达标交付）包括设备和材料采购供应、建筑安装工程施工、工程质量及工期控制、调试、报装、并网试运行直至验收交付等全过程的施工承包工作</w:t>
      </w:r>
      <w:r>
        <w:rPr>
          <w:rFonts w:hint="eastAsia" w:ascii="宋体" w:hAnsi="宋体" w:eastAsia="宋体" w:cs="宋体"/>
          <w:color w:val="auto"/>
          <w:sz w:val="21"/>
          <w:szCs w:val="21"/>
          <w:highlight w:val="none"/>
          <w:lang w:eastAsia="zh-CN"/>
        </w:rPr>
        <w:t>。</w:t>
      </w:r>
    </w:p>
    <w:p w14:paraId="2A67EA5F">
      <w:pPr>
        <w:pageBreakBefore w:val="0"/>
        <w:kinsoku/>
        <w:wordWrap/>
        <w:bidi w:val="0"/>
        <w:spacing w:after="0" w:line="360" w:lineRule="auto"/>
        <w:ind w:firstLine="48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施工部分：提供储能项目工程建设服务（含施工临时电源、项目施工材料的采购（电缆需要采用铜芯电缆）、储能系统的土建、电气整体安装、调试达标交付</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施工过程资料及全套竣工资料）包括储能系统电气、土建基础及配套相关安装工程施工、工程质量及工期控制、调试、报装、并网试运行直至验收交付等全过程的施工承包工作。设备维护及雨棚</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监控系统、</w:t>
      </w:r>
      <w:r>
        <w:rPr>
          <w:rFonts w:hint="eastAsia" w:ascii="宋体" w:hAnsi="宋体" w:eastAsia="宋体" w:cs="宋体"/>
          <w:color w:val="auto"/>
          <w:sz w:val="21"/>
          <w:szCs w:val="21"/>
          <w:highlight w:val="none"/>
        </w:rPr>
        <w:t>建设需要符合采购人的要求，</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如设备设计在房屋内无需加装雨棚</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详见</w:t>
      </w:r>
      <w:r>
        <w:rPr>
          <w:rFonts w:hint="eastAsia" w:ascii="宋体" w:hAnsi="宋体" w:eastAsia="宋体" w:cs="宋体"/>
          <w:color w:val="auto"/>
          <w:sz w:val="21"/>
          <w:szCs w:val="21"/>
          <w:highlight w:val="none"/>
          <w:lang w:val="en-US" w:eastAsia="zh-CN"/>
        </w:rPr>
        <w:t>附件4：</w:t>
      </w:r>
      <w:r>
        <w:rPr>
          <w:rFonts w:hint="eastAsia" w:ascii="宋体" w:hAnsi="宋体" w:eastAsia="宋体" w:cs="宋体"/>
          <w:color w:val="auto"/>
          <w:sz w:val="21"/>
          <w:szCs w:val="21"/>
          <w:highlight w:val="none"/>
        </w:rPr>
        <w:t>《东莞市新有能源投资有限公司电化学储能电站配套设施建设标准》。</w:t>
      </w:r>
      <w:r>
        <w:rPr>
          <w:rFonts w:hint="eastAsia" w:ascii="宋体" w:hAnsi="宋体" w:eastAsia="宋体" w:cs="宋体"/>
          <w:color w:val="auto"/>
          <w:sz w:val="21"/>
          <w:szCs w:val="21"/>
          <w:highlight w:val="none"/>
          <w:lang w:val="en-US" w:eastAsia="zh-CN"/>
        </w:rPr>
        <w:t>项目开工前需安装摄像头监控系统，包安全文明施工措施费、相关部门监督验收及合同实施过程中不可预见费用等中标人为履行本合同所发生的一切费用</w:t>
      </w:r>
      <w:r>
        <w:rPr>
          <w:rFonts w:hint="eastAsia" w:ascii="宋体" w:hAnsi="宋体" w:eastAsia="宋体" w:cs="宋体"/>
          <w:color w:val="auto"/>
          <w:sz w:val="21"/>
          <w:szCs w:val="21"/>
          <w:highlight w:val="none"/>
        </w:rPr>
        <w:t>。</w:t>
      </w:r>
    </w:p>
    <w:p w14:paraId="3D4DB4AB">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.承包形式：总报价金额包含供货、建安费、垃圾清运费、安装、测试、验收直至取得验收合格证明文件及材料价之任何市场差价、管理费、综合费率、保险</w:t>
      </w:r>
      <w:r>
        <w:rPr>
          <w:rFonts w:hint="eastAsia" w:ascii="宋体" w:hAnsi="宋体" w:eastAsia="宋体" w:cs="宋体"/>
          <w:color w:val="auto"/>
          <w:sz w:val="21"/>
          <w:szCs w:val="21"/>
          <w:highlight w:val="none"/>
          <w:lang w:val="en-US" w:eastAsia="zh-Hans"/>
        </w:rPr>
        <w:t>费</w:t>
      </w:r>
      <w:r>
        <w:rPr>
          <w:rFonts w:hint="eastAsia" w:ascii="宋体" w:hAnsi="宋体" w:eastAsia="宋体" w:cs="宋体"/>
          <w:color w:val="auto"/>
          <w:sz w:val="21"/>
          <w:szCs w:val="21"/>
          <w:highlight w:val="none"/>
        </w:rPr>
        <w:t>、利润和国家规定的应由中标人承担的任何收费、税金、必须的加班费、费率或汇率的变动、专利费、运输、货品迟到工地的窝工费等直至交付采购人正常使用的所有费用；中标人根据项目中标金额及项目需求进行施工，建安费等费用不可超过本项目中标价。中标人施工图预算超出本项目中标价的，中标人须无偿为采购人修改施工图纸，直至采购人审定的施工图预算不超过本项目预算金额。双方约定条件范围内包工包料、包各项税费、材料购置费、安装费、运输费、装卸费、人工费、项目开工前需安装摄像头监控系统，包安全文明施工措施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相关部门监督验收及</w:t>
      </w:r>
      <w:r>
        <w:rPr>
          <w:rFonts w:hint="eastAsia" w:ascii="宋体" w:hAnsi="宋体" w:eastAsia="宋体" w:cs="宋体"/>
          <w:color w:val="auto"/>
          <w:sz w:val="21"/>
          <w:szCs w:val="21"/>
          <w:highlight w:val="none"/>
        </w:rPr>
        <w:t>合同实施过程中不可预见费用等中标人为履行本合同所发生的一切费用。</w:t>
      </w:r>
    </w:p>
    <w:p w14:paraId="429493E5">
      <w:pPr>
        <w:pageBreakBefore w:val="0"/>
        <w:kinsoku/>
        <w:wordWrap/>
        <w:bidi w:val="0"/>
        <w:spacing w:after="0" w:line="360" w:lineRule="auto"/>
        <w:ind w:firstLine="420" w:firstLineChars="200"/>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7.甲方现场代表：</w:t>
      </w:r>
      <w:r>
        <w:rPr>
          <w:rFonts w:hint="eastAsia" w:ascii="宋体" w:hAnsi="宋体" w:eastAsia="宋体" w:cs="宋体"/>
          <w:color w:val="auto"/>
          <w:sz w:val="21"/>
          <w:szCs w:val="21"/>
          <w:highlight w:val="none"/>
          <w:u w:val="single"/>
          <w:lang w:val="en-US" w:eastAsia="zh-CN"/>
        </w:rPr>
        <w:t xml:space="preserve">       ，联系方式：      </w:t>
      </w:r>
      <w:r>
        <w:rPr>
          <w:rFonts w:hint="eastAsia" w:ascii="宋体" w:hAnsi="宋体" w:eastAsia="宋体" w:cs="宋体"/>
          <w:color w:val="auto"/>
          <w:sz w:val="21"/>
          <w:szCs w:val="21"/>
          <w:highlight w:val="none"/>
          <w:u w:val="none"/>
          <w:lang w:val="en-US" w:eastAsia="zh-CN"/>
        </w:rPr>
        <w:t xml:space="preserve"> </w:t>
      </w:r>
    </w:p>
    <w:p w14:paraId="727D7B88">
      <w:pPr>
        <w:pageBreakBefore w:val="0"/>
        <w:kinsoku/>
        <w:wordWrap/>
        <w:bidi w:val="0"/>
        <w:spacing w:after="0" w:line="360" w:lineRule="auto"/>
        <w:ind w:firstLine="420" w:firstLineChars="200"/>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u w:val="none"/>
          <w:lang w:val="en-US" w:eastAsia="zh-CN"/>
        </w:rPr>
        <w:t>乙方项目负责人：</w:t>
      </w:r>
      <w:r>
        <w:rPr>
          <w:rFonts w:hint="eastAsia" w:ascii="宋体" w:hAnsi="宋体" w:eastAsia="宋体" w:cs="宋体"/>
          <w:color w:val="auto"/>
          <w:sz w:val="21"/>
          <w:szCs w:val="21"/>
          <w:highlight w:val="none"/>
          <w:u w:val="single"/>
          <w:lang w:val="en-US" w:eastAsia="zh-CN"/>
        </w:rPr>
        <w:t xml:space="preserve">       ，联系方式：      </w:t>
      </w:r>
      <w:r>
        <w:rPr>
          <w:rFonts w:hint="eastAsia" w:ascii="宋体" w:hAnsi="宋体" w:eastAsia="宋体" w:cs="宋体"/>
          <w:color w:val="auto"/>
          <w:sz w:val="21"/>
          <w:szCs w:val="21"/>
          <w:highlight w:val="none"/>
          <w:u w:val="none"/>
          <w:lang w:val="en-US" w:eastAsia="zh-CN"/>
        </w:rPr>
        <w:t xml:space="preserve"> </w:t>
      </w:r>
    </w:p>
    <w:p w14:paraId="2154566E">
      <w:pPr>
        <w:pageBreakBefore w:val="0"/>
        <w:kinsoku/>
        <w:wordWrap/>
        <w:bidi w:val="0"/>
        <w:spacing w:after="0" w:line="360" w:lineRule="auto"/>
        <w:jc w:val="left"/>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第二条　工程期限</w:t>
      </w:r>
    </w:p>
    <w:p w14:paraId="4E2B1D61">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1.合同工期</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合同总工期数为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个日历天（自</w:t>
      </w:r>
      <w:r>
        <w:rPr>
          <w:rFonts w:hint="eastAsia" w:ascii="宋体" w:hAnsi="宋体" w:eastAsia="宋体" w:cs="宋体"/>
          <w:color w:val="auto"/>
          <w:sz w:val="21"/>
          <w:szCs w:val="21"/>
          <w:highlight w:val="none"/>
          <w:lang w:val="en-US" w:eastAsia="zh-CN"/>
        </w:rPr>
        <w:t>采购人工程技术部</w:t>
      </w:r>
      <w:r>
        <w:rPr>
          <w:rFonts w:hint="eastAsia" w:ascii="宋体" w:hAnsi="宋体" w:eastAsia="宋体" w:cs="宋体"/>
          <w:color w:val="auto"/>
          <w:sz w:val="21"/>
          <w:szCs w:val="21"/>
          <w:highlight w:val="none"/>
        </w:rPr>
        <w:t>开</w:t>
      </w:r>
      <w:r>
        <w:rPr>
          <w:rFonts w:hint="eastAsia" w:ascii="宋体" w:hAnsi="宋体" w:eastAsia="宋体" w:cs="宋体"/>
          <w:color w:val="auto"/>
          <w:sz w:val="21"/>
          <w:szCs w:val="21"/>
          <w:highlight w:val="none"/>
          <w:lang w:val="en-US" w:eastAsia="zh-CN"/>
        </w:rPr>
        <w:t>工令</w:t>
      </w:r>
      <w:r>
        <w:rPr>
          <w:rFonts w:hint="eastAsia" w:ascii="宋体" w:hAnsi="宋体" w:eastAsia="宋体" w:cs="宋体"/>
          <w:color w:val="auto"/>
          <w:sz w:val="21"/>
          <w:szCs w:val="21"/>
          <w:highlight w:val="none"/>
        </w:rPr>
        <w:t>确定的日期起）。具体以甲方签发的开工通知确定的日期为准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若甲方无另行开工通知的，乙方应按照前述约定日期开工。</w:t>
      </w:r>
    </w:p>
    <w:p w14:paraId="31A22C10">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2.如遇下列情况，经甲方现场代表签证后，工期可相应顺延。</w:t>
      </w:r>
    </w:p>
    <w:p w14:paraId="4957FC31">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（1）在施工中如因停电、停水</w:t>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rPr>
        <w:t>小时以上或连续间歇性停水、停电</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天以上（每次连续</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小时以上），影响正常施工；停水停电2天以上；</w:t>
      </w:r>
    </w:p>
    <w:p w14:paraId="5AC17BB4">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（2）因台风暴雨飓风等不可抗力的因素；</w:t>
      </w:r>
    </w:p>
    <w:p w14:paraId="626E235C">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（3）因人力不可抗拒的其他因素而延误工期。</w:t>
      </w:r>
    </w:p>
    <w:p w14:paraId="2B2A28DE">
      <w:pPr>
        <w:pageBreakBefore w:val="0"/>
        <w:kinsoku/>
        <w:wordWrap/>
        <w:bidi w:val="0"/>
        <w:spacing w:after="0" w:line="360" w:lineRule="auto"/>
        <w:ind w:firstLine="48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3.由于</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的下列原因造成工期延误的，</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有权</w:t>
      </w:r>
      <w:r>
        <w:rPr>
          <w:rFonts w:hint="eastAsia" w:ascii="宋体" w:hAnsi="宋体" w:eastAsia="宋体" w:cs="宋体"/>
          <w:color w:val="auto"/>
          <w:sz w:val="21"/>
          <w:szCs w:val="21"/>
          <w:highlight w:val="none"/>
          <w:lang w:val="en-US" w:eastAsia="zh-CN"/>
        </w:rPr>
        <w:t>顺延</w:t>
      </w:r>
      <w:r>
        <w:rPr>
          <w:rFonts w:hint="eastAsia" w:ascii="宋体" w:hAnsi="宋体" w:eastAsia="宋体" w:cs="宋体"/>
          <w:color w:val="auto"/>
          <w:sz w:val="21"/>
          <w:szCs w:val="21"/>
          <w:highlight w:val="none"/>
        </w:rPr>
        <w:t>工期</w:t>
      </w:r>
      <w:r>
        <w:rPr>
          <w:rFonts w:hint="eastAsia" w:ascii="宋体" w:hAnsi="宋体" w:eastAsia="宋体" w:cs="宋体"/>
          <w:color w:val="auto"/>
          <w:sz w:val="21"/>
          <w:szCs w:val="21"/>
          <w:highlight w:val="none"/>
          <w:lang w:eastAsia="zh-CN"/>
        </w:rPr>
        <w:t>：</w:t>
      </w:r>
    </w:p>
    <w:p w14:paraId="08C0A4D2">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（l）由于</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原因引起的变更；</w:t>
      </w:r>
    </w:p>
    <w:p w14:paraId="63BA0830">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（2）未能按照合同要求的期限对</w:t>
      </w: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文件进行审查；</w:t>
      </w:r>
    </w:p>
    <w:p w14:paraId="4B4E201D">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（3）因</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原因导致的暂停施工；</w:t>
      </w:r>
    </w:p>
    <w:p w14:paraId="0D41F96C">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（5) </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造成工期延误的其他原因。</w:t>
      </w:r>
    </w:p>
    <w:p w14:paraId="0ECF293D">
      <w:pPr>
        <w:pageBreakBefore w:val="0"/>
        <w:kinsoku/>
        <w:wordWrap/>
        <w:bidi w:val="0"/>
        <w:spacing w:after="0" w:line="360" w:lineRule="auto"/>
        <w:ind w:firstLine="48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因乙方原因造成施工延迟的，不得请求顺延工期。</w:t>
      </w:r>
    </w:p>
    <w:p w14:paraId="7B1A7DC9">
      <w:pPr>
        <w:pageBreakBefore w:val="0"/>
        <w:kinsoku/>
        <w:wordWrap/>
        <w:bidi w:val="0"/>
        <w:spacing w:after="0" w:line="360" w:lineRule="auto"/>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第三条　工程</w:t>
      </w:r>
      <w:r>
        <w:rPr>
          <w:rFonts w:hint="eastAsia" w:ascii="宋体" w:hAnsi="宋体" w:eastAsia="宋体" w:cs="宋体"/>
          <w:b/>
          <w:bCs/>
          <w:color w:val="auto"/>
          <w:sz w:val="21"/>
          <w:szCs w:val="21"/>
          <w:highlight w:val="none"/>
          <w:lang w:val="en-US" w:eastAsia="zh-CN"/>
        </w:rPr>
        <w:t>履约保证金</w:t>
      </w:r>
    </w:p>
    <w:p w14:paraId="62E7CE7E">
      <w:pPr>
        <w:pageBreakBefore w:val="0"/>
        <w:kinsoku/>
        <w:wordWrap/>
        <w:bidi w:val="0"/>
        <w:spacing w:after="0" w:line="360" w:lineRule="auto"/>
        <w:ind w:firstLine="48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1.为保证乙方在建设工程施工合同中承诺的履约义务得到切实履行，根据招标要求，</w:t>
      </w:r>
      <w:r>
        <w:rPr>
          <w:rFonts w:hint="eastAsia" w:ascii="宋体" w:hAnsi="宋体"/>
          <w:b/>
          <w:bCs/>
          <w:color w:val="auto"/>
          <w:szCs w:val="21"/>
          <w:highlight w:val="none"/>
        </w:rPr>
        <w:t>中标人应于本合同签订之日起7个日历日内，按合同总价的10%向采购人缴纳履约保证金。其中人民币50万元整（含本数），须以电汇或银行转账方式支付至采购人指定账户；剩余部分可选择电汇、银行转账方式支付至采购人指定账户，或提交银行机构出具的履约保函（担保公司出具的保函不予接受）。</w:t>
      </w:r>
      <w:r>
        <w:rPr>
          <w:rFonts w:hint="eastAsia" w:ascii="宋体" w:hAnsi="宋体" w:eastAsia="宋体" w:cs="宋体"/>
          <w:color w:val="auto"/>
          <w:sz w:val="21"/>
          <w:szCs w:val="21"/>
          <w:highlight w:val="none"/>
          <w:lang w:val="en-US" w:eastAsia="zh-CN"/>
        </w:rPr>
        <w:t>乙方须向甲方提交履约保证金或银行履约保函</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w:t>
      </w:r>
      <w:bookmarkStart w:id="102" w:name="OLE_LINK4"/>
      <w:r>
        <w:rPr>
          <w:rFonts w:hint="eastAsia" w:ascii="宋体" w:hAnsi="宋体" w:eastAsia="宋体" w:cs="宋体"/>
          <w:color w:val="auto"/>
          <w:sz w:val="21"/>
          <w:szCs w:val="21"/>
          <w:highlight w:val="none"/>
          <w:lang w:val="en-US" w:eastAsia="zh-CN"/>
        </w:rPr>
        <w:t>保函起保时间不低于180天</w:t>
      </w:r>
      <w:bookmarkEnd w:id="102"/>
      <w:r>
        <w:rPr>
          <w:rFonts w:hint="eastAsia" w:ascii="宋体" w:hAnsi="宋体" w:eastAsia="宋体" w:cs="宋体"/>
          <w:color w:val="auto"/>
          <w:sz w:val="21"/>
          <w:szCs w:val="21"/>
          <w:highlight w:val="none"/>
          <w:lang w:val="en-US" w:eastAsia="zh-CN"/>
        </w:rPr>
        <w:t>）。乙方应当按照合同总金额的10%，即金额：(</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lang w:val="en-US" w:eastAsia="zh-CN"/>
        </w:rPr>
        <w:t>元</w:t>
      </w:r>
      <w:r>
        <w:rPr>
          <w:rFonts w:hint="eastAsia" w:ascii="宋体" w:hAnsi="宋体" w:eastAsia="宋体" w:cs="宋体"/>
          <w:color w:val="auto"/>
          <w:sz w:val="21"/>
          <w:szCs w:val="21"/>
          <w:highlight w:val="none"/>
          <w:lang w:val="en-US" w:eastAsia="zh-CN"/>
        </w:rPr>
        <w:t>)大写人民币：</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作为履约保证金或银行履约保函交付给甲方，此笔履约保证金由乙方通过支付到甲方公司账户，此款项不计利息或资金占用费。</w:t>
      </w:r>
    </w:p>
    <w:p w14:paraId="1A014FB4">
      <w:pPr>
        <w:pageBreakBefore w:val="0"/>
        <w:kinsoku/>
        <w:wordWrap/>
        <w:bidi w:val="0"/>
        <w:spacing w:after="0" w:line="360" w:lineRule="auto"/>
        <w:ind w:firstLine="48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保证范围为乙方未按建设工程施工合同约定履行义务，包括但不限于因乙方原因不能按约定竣工日期竣工、安全生产、工程质量达不到标准时以及因违反《民法典》的相关约定应向甲方支付的违约金或赔偿的损失。</w:t>
      </w:r>
    </w:p>
    <w:p w14:paraId="25220056">
      <w:pPr>
        <w:pageBreakBefore w:val="0"/>
        <w:kinsoku/>
        <w:wordWrap/>
        <w:bidi w:val="0"/>
        <w:spacing w:after="0" w:line="360" w:lineRule="auto"/>
        <w:ind w:firstLine="48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3.保证期间自甲乙双方签订合同生效之日起至建设工程竣工验收合格后，项目完成通电调试未出现影响甲方收益的故障，乙方可申请甲方退回乙方履约保证金。</w:t>
      </w:r>
    </w:p>
    <w:p w14:paraId="1F40DA60">
      <w:pPr>
        <w:pageBreakBefore w:val="0"/>
        <w:kinsoku/>
        <w:wordWrap/>
        <w:bidi w:val="0"/>
        <w:spacing w:after="0" w:line="360" w:lineRule="auto"/>
        <w:outlineLvl w:val="0"/>
        <w:rPr>
          <w:rFonts w:hint="eastAsia" w:ascii="宋体" w:hAnsi="宋体" w:eastAsia="宋体" w:cs="宋体"/>
          <w:color w:val="auto"/>
          <w:sz w:val="21"/>
          <w:szCs w:val="21"/>
          <w:highlight w:val="none"/>
          <w:lang w:val="en-US" w:eastAsia="zh-CN"/>
        </w:rPr>
      </w:pPr>
      <w:bookmarkStart w:id="103" w:name="_Toc14221"/>
      <w:r>
        <w:rPr>
          <w:rFonts w:hint="eastAsia" w:ascii="宋体" w:hAnsi="宋体" w:eastAsia="宋体" w:cs="宋体"/>
          <w:b/>
          <w:bCs/>
          <w:color w:val="auto"/>
          <w:sz w:val="21"/>
          <w:szCs w:val="21"/>
          <w:highlight w:val="none"/>
        </w:rPr>
        <w:t>第</w:t>
      </w:r>
      <w:r>
        <w:rPr>
          <w:rFonts w:hint="eastAsia" w:ascii="宋体" w:hAnsi="宋体" w:eastAsia="宋体" w:cs="宋体"/>
          <w:b/>
          <w:bCs/>
          <w:color w:val="auto"/>
          <w:sz w:val="21"/>
          <w:szCs w:val="21"/>
          <w:highlight w:val="none"/>
          <w:lang w:val="en-US" w:eastAsia="zh-CN"/>
        </w:rPr>
        <w:t>四</w:t>
      </w:r>
      <w:r>
        <w:rPr>
          <w:rFonts w:hint="eastAsia" w:ascii="宋体" w:hAnsi="宋体" w:eastAsia="宋体" w:cs="宋体"/>
          <w:b/>
          <w:bCs/>
          <w:color w:val="auto"/>
          <w:sz w:val="21"/>
          <w:szCs w:val="21"/>
          <w:highlight w:val="none"/>
        </w:rPr>
        <w:t>条　工程价款、结算及付款</w:t>
      </w:r>
      <w:r>
        <w:rPr>
          <w:rFonts w:hint="eastAsia" w:ascii="宋体" w:hAnsi="宋体" w:eastAsia="宋体" w:cs="宋体"/>
          <w:b/>
          <w:bCs w:val="0"/>
          <w:color w:val="auto"/>
          <w:kern w:val="2"/>
          <w:sz w:val="21"/>
          <w:szCs w:val="21"/>
          <w:highlight w:val="none"/>
          <w:lang w:val="en-US" w:eastAsia="zh-CN" w:bidi="ar-SA"/>
        </w:rPr>
        <w:t>方式</w:t>
      </w:r>
      <w:bookmarkEnd w:id="103"/>
    </w:p>
    <w:p w14:paraId="68C62810">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w:t>
      </w:r>
      <w:r>
        <w:rPr>
          <w:rFonts w:hint="eastAsia" w:ascii="宋体" w:hAnsi="宋体" w:cs="宋体"/>
          <w:bCs w:val="0"/>
          <w:color w:val="auto"/>
          <w:kern w:val="2"/>
          <w:sz w:val="21"/>
          <w:szCs w:val="21"/>
          <w:highlight w:val="none"/>
          <w:lang w:val="en-US" w:eastAsia="zh-CN" w:bidi="ar-SA"/>
        </w:rPr>
        <w:t>XXX</w:t>
      </w:r>
      <w:r>
        <w:rPr>
          <w:rFonts w:hint="eastAsia" w:ascii="宋体" w:hAnsi="宋体" w:eastAsia="宋体" w:cs="宋体"/>
          <w:bCs w:val="0"/>
          <w:color w:val="auto"/>
          <w:kern w:val="2"/>
          <w:sz w:val="21"/>
          <w:szCs w:val="21"/>
          <w:highlight w:val="none"/>
          <w:lang w:val="en-US" w:eastAsia="zh-CN" w:bidi="ar-SA"/>
        </w:rPr>
        <w:t>有限公司用户侧储能项目最终第三方设计装机容量</w:t>
      </w:r>
      <w:r>
        <w:rPr>
          <w:rFonts w:hint="eastAsia" w:ascii="宋体" w:hAnsi="宋体" w:cs="宋体"/>
          <w:bCs w:val="0"/>
          <w:color w:val="auto"/>
          <w:kern w:val="2"/>
          <w:sz w:val="21"/>
          <w:szCs w:val="21"/>
          <w:highlight w:val="none"/>
          <w:lang w:val="en-US" w:eastAsia="zh-CN" w:bidi="ar-SA"/>
        </w:rPr>
        <w:t>XXX</w:t>
      </w:r>
      <w:r>
        <w:rPr>
          <w:rFonts w:hint="eastAsia" w:ascii="宋体" w:hAnsi="宋体" w:eastAsia="宋体" w:cs="宋体"/>
          <w:bCs w:val="0"/>
          <w:color w:val="auto"/>
          <w:kern w:val="2"/>
          <w:sz w:val="21"/>
          <w:szCs w:val="21"/>
          <w:highlight w:val="none"/>
          <w:lang w:val="en-US" w:eastAsia="zh-CN" w:bidi="ar-SA"/>
        </w:rPr>
        <w:t>kW/</w:t>
      </w:r>
      <w:r>
        <w:rPr>
          <w:rFonts w:hint="eastAsia" w:ascii="宋体" w:hAnsi="宋体" w:cs="宋体"/>
          <w:bCs w:val="0"/>
          <w:color w:val="auto"/>
          <w:kern w:val="2"/>
          <w:sz w:val="21"/>
          <w:szCs w:val="21"/>
          <w:highlight w:val="none"/>
          <w:lang w:val="en-US" w:eastAsia="zh-CN" w:bidi="ar-SA"/>
        </w:rPr>
        <w:t>XXX</w:t>
      </w:r>
      <w:r>
        <w:rPr>
          <w:rFonts w:hint="eastAsia" w:ascii="宋体" w:hAnsi="宋体" w:eastAsia="宋体" w:cs="宋体"/>
          <w:bCs w:val="0"/>
          <w:color w:val="auto"/>
          <w:kern w:val="2"/>
          <w:sz w:val="21"/>
          <w:szCs w:val="21"/>
          <w:highlight w:val="none"/>
          <w:lang w:val="en-US" w:eastAsia="zh-CN" w:bidi="ar-SA"/>
        </w:rPr>
        <w:t>kWh，（现场位置不能满足设计要求，容量缩减不受降低容量偏差限制），本项目现场位置不能满足设计要求最终装机容量相对招标容量发生调整，项目最终结算总价按招标结果中标单价进行结算，中标价：¥</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元/kWh，合计总额（小写）¥</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；（大写）</w:t>
      </w:r>
      <w:r>
        <w:rPr>
          <w:rFonts w:hint="eastAsia" w:ascii="宋体" w:hAnsi="宋体" w:eastAsia="宋体" w:cs="宋体"/>
          <w:bCs w:val="0"/>
          <w:color w:val="auto"/>
          <w:kern w:val="2"/>
          <w:sz w:val="21"/>
          <w:szCs w:val="21"/>
          <w:highlight w:val="none"/>
          <w:u w:val="single"/>
          <w:lang w:val="en-US" w:eastAsia="zh-CN" w:bidi="ar-SA"/>
        </w:rPr>
        <w:t>XXX</w:t>
      </w:r>
      <w:r>
        <w:rPr>
          <w:rFonts w:hint="eastAsia" w:ascii="宋体" w:hAnsi="宋体" w:eastAsia="宋体" w:cs="宋体"/>
          <w:bCs w:val="0"/>
          <w:color w:val="auto"/>
          <w:kern w:val="2"/>
          <w:sz w:val="21"/>
          <w:szCs w:val="21"/>
          <w:highlight w:val="none"/>
          <w:lang w:val="en-US" w:eastAsia="zh-CN" w:bidi="ar-SA"/>
        </w:rPr>
        <w:t>。合同签订后乙方请款需开具等额的合法有效的增值税发票，设备部分为合同款总额的80%，增值税率为13%，工程施工部分为合同款总额的20%，增值税率为9%，具体税率可根据国家税率</w:t>
      </w:r>
      <w:r>
        <w:rPr>
          <w:rFonts w:hint="eastAsia" w:ascii="宋体" w:hAnsi="宋体" w:eastAsia="宋体" w:cs="宋体"/>
          <w:bCs w:val="0"/>
          <w:color w:val="auto"/>
          <w:kern w:val="2"/>
          <w:sz w:val="21"/>
          <w:szCs w:val="21"/>
          <w:highlight w:val="none"/>
          <w:lang w:val="en-US" w:eastAsia="zh-Hans" w:bidi="ar-SA"/>
        </w:rPr>
        <w:t>政策</w:t>
      </w:r>
      <w:r>
        <w:rPr>
          <w:rFonts w:hint="eastAsia" w:ascii="宋体" w:hAnsi="宋体" w:eastAsia="宋体" w:cs="宋体"/>
          <w:bCs w:val="0"/>
          <w:color w:val="auto"/>
          <w:kern w:val="2"/>
          <w:sz w:val="21"/>
          <w:szCs w:val="21"/>
          <w:highlight w:val="none"/>
          <w:lang w:val="en-US" w:eastAsia="zh-CN" w:bidi="ar-SA"/>
        </w:rPr>
        <w:t>要求进行调整。</w:t>
      </w:r>
    </w:p>
    <w:p w14:paraId="385745A6">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2.本项目合同金额包含供货、建安费、垃圾清运费、安装、测试、验收直至取得验收合格证明文件及材料价之任何市场差价、管理费、综合费率、保险</w:t>
      </w:r>
      <w:r>
        <w:rPr>
          <w:rFonts w:hint="eastAsia" w:ascii="宋体" w:hAnsi="宋体" w:eastAsia="宋体" w:cs="宋体"/>
          <w:bCs w:val="0"/>
          <w:color w:val="auto"/>
          <w:kern w:val="2"/>
          <w:sz w:val="21"/>
          <w:szCs w:val="21"/>
          <w:highlight w:val="none"/>
          <w:lang w:val="en-US" w:eastAsia="zh-Hans" w:bidi="ar-SA"/>
        </w:rPr>
        <w:t>费</w:t>
      </w:r>
      <w:r>
        <w:rPr>
          <w:rFonts w:hint="eastAsia" w:ascii="宋体" w:hAnsi="宋体" w:eastAsia="宋体" w:cs="宋体"/>
          <w:bCs w:val="0"/>
          <w:color w:val="auto"/>
          <w:kern w:val="2"/>
          <w:sz w:val="21"/>
          <w:szCs w:val="21"/>
          <w:highlight w:val="none"/>
          <w:lang w:val="en-US" w:eastAsia="zh-CN" w:bidi="ar-SA"/>
        </w:rPr>
        <w:t>、利润和国家规定的应由乙方承担的任何收费、税金、必须的加班费、费率或汇率的变动、专利费、运输、货品迟到工地的窝工费等直至交付甲方正常使用的所有费用；乙方根据项目预算金额及项目需求进行施工，建安费等费用不可超过本项目预算金额。乙方施工图预算超出本项目预算金额的，乙方须无偿为甲方修改施工图纸，直至甲方审定的施工图预算不超过本项目预算金额。双方约定条件范围内包工包料、包各项税费、材料购置费、安装费、运输费、装卸费、人工费、包安全文明施工措施费及合同实施过程中不可预见费用等乙方为履行本合同所发生的一切费用。</w:t>
      </w:r>
    </w:p>
    <w:p w14:paraId="29FAB8F3">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3.付款方式：</w:t>
      </w:r>
    </w:p>
    <w:p w14:paraId="0D026D40">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3.1.预付款</w:t>
      </w:r>
    </w:p>
    <w:p w14:paraId="4458281B">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自施工图纸经甲方审查确认且乙方获甲方开工令之后,乙方可向甲方申请支付合同总金额的30%，即¥</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元；（大写：</w:t>
      </w:r>
      <w:r>
        <w:rPr>
          <w:rFonts w:hint="eastAsia" w:ascii="宋体" w:hAnsi="宋体" w:eastAsia="宋体" w:cs="宋体"/>
          <w:bCs w:val="0"/>
          <w:color w:val="auto"/>
          <w:kern w:val="2"/>
          <w:sz w:val="21"/>
          <w:szCs w:val="21"/>
          <w:highlight w:val="none"/>
          <w:u w:val="single"/>
          <w:lang w:val="en-US" w:eastAsia="zh-CN" w:bidi="ar-SA"/>
        </w:rPr>
        <w:t xml:space="preserve">  </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w:t>
      </w:r>
    </w:p>
    <w:p w14:paraId="1EDB6B37">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3.2.进度款</w:t>
      </w:r>
    </w:p>
    <w:p w14:paraId="0DEF8FE5">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乙方完成设备承台、电缆铺设施工、设备安装完毕后经甲、乙双方书面确认完成该施工进度后，乙方可向甲方申请支付合同总金额的40%,即¥</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元；（大写：</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w:t>
      </w:r>
    </w:p>
    <w:p w14:paraId="425C939B">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3.3.竣工验收款</w:t>
      </w:r>
    </w:p>
    <w:p w14:paraId="6192891C">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乙方</w:t>
      </w:r>
      <w:r>
        <w:rPr>
          <w:rFonts w:hint="eastAsia" w:ascii="宋体" w:hAnsi="宋体" w:eastAsia="宋体" w:cs="宋体"/>
          <w:bCs/>
          <w:color w:val="auto"/>
          <w:sz w:val="21"/>
          <w:szCs w:val="21"/>
          <w:highlight w:val="none"/>
          <w:lang w:val="en-US" w:eastAsia="zh-CN" w:bidi="ar-SA"/>
        </w:rPr>
        <w:t>完成并满足以下要求后</w:t>
      </w:r>
      <w:r>
        <w:rPr>
          <w:rFonts w:hint="eastAsia" w:ascii="宋体" w:hAnsi="宋体" w:eastAsia="宋体" w:cs="宋体"/>
          <w:bCs w:val="0"/>
          <w:color w:val="auto"/>
          <w:kern w:val="2"/>
          <w:sz w:val="21"/>
          <w:szCs w:val="21"/>
          <w:highlight w:val="none"/>
          <w:lang w:val="en-US" w:eastAsia="zh-CN" w:bidi="ar-SA"/>
        </w:rPr>
        <w:t>可向甲方申请竣工验收款：</w:t>
      </w:r>
    </w:p>
    <w:p w14:paraId="48B97CCB">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（1）本项目需完成通电调试且系统试运行正常；</w:t>
      </w:r>
    </w:p>
    <w:p w14:paraId="2E65C635">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（2）Modbus TCP协议及云平台对接要求：乙方的设备厂家需严格按照</w:t>
      </w:r>
      <w:bookmarkStart w:id="104" w:name="OLE_LINK3"/>
      <w:r>
        <w:rPr>
          <w:rFonts w:hint="eastAsia" w:ascii="宋体" w:hAnsi="宋体" w:eastAsia="宋体" w:cs="宋体"/>
          <w:bCs w:val="0"/>
          <w:color w:val="auto"/>
          <w:kern w:val="2"/>
          <w:sz w:val="21"/>
          <w:szCs w:val="21"/>
          <w:highlight w:val="none"/>
          <w:lang w:val="en-US" w:eastAsia="zh-CN" w:bidi="ar-SA"/>
        </w:rPr>
        <w:t>甲方提供的附件5《Modbus TCP规约点表》完成本地数据释放</w:t>
      </w:r>
      <w:bookmarkEnd w:id="104"/>
      <w:r>
        <w:rPr>
          <w:rFonts w:hint="eastAsia" w:ascii="宋体" w:hAnsi="宋体" w:eastAsia="宋体" w:cs="宋体"/>
          <w:bCs w:val="0"/>
          <w:color w:val="auto"/>
          <w:kern w:val="2"/>
          <w:sz w:val="21"/>
          <w:szCs w:val="21"/>
          <w:highlight w:val="none"/>
          <w:lang w:val="en-US" w:eastAsia="zh-CN" w:bidi="ar-SA"/>
        </w:rPr>
        <w:t>，并配合甲方完成本地硬件安装，本项目在甲方自有云平台上线运行，需实现全部数据正确展示、各类控制功能正常执行；</w:t>
      </w:r>
    </w:p>
    <w:p w14:paraId="17A242B3">
      <w:pPr>
        <w:pageBreakBefore w:val="0"/>
        <w:widowControl w:val="0"/>
        <w:kinsoku/>
        <w:wordWrap/>
        <w:bidi w:val="0"/>
        <w:spacing w:after="0" w:line="360" w:lineRule="auto"/>
        <w:ind w:left="0" w:leftChars="0" w:firstLine="435" w:firstLineChars="0"/>
        <w:jc w:val="both"/>
        <w:rPr>
          <w:rFonts w:hint="eastAsia" w:ascii="宋体" w:hAnsi="宋体" w:eastAsia="宋体" w:cs="宋体"/>
          <w:bCs/>
          <w:color w:val="auto"/>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w:t>
      </w:r>
      <w:r>
        <w:rPr>
          <w:rFonts w:hint="eastAsia" w:ascii="宋体" w:hAnsi="宋体" w:eastAsia="宋体" w:cs="宋体"/>
          <w:b w:val="0"/>
          <w:bCs w:val="0"/>
          <w:color w:val="auto"/>
          <w:sz w:val="21"/>
          <w:szCs w:val="21"/>
          <w:highlight w:val="none"/>
          <w:lang w:val="en-US" w:eastAsia="zh-CN" w:bidi="ar-SA"/>
        </w:rPr>
        <w:t>甲方收到业主方第一个月的储能节能款</w:t>
      </w:r>
      <w:r>
        <w:rPr>
          <w:rFonts w:hint="eastAsia" w:ascii="宋体" w:hAnsi="宋体" w:eastAsia="宋体" w:cs="宋体"/>
          <w:bCs w:val="0"/>
          <w:color w:val="auto"/>
          <w:kern w:val="2"/>
          <w:sz w:val="21"/>
          <w:szCs w:val="21"/>
          <w:highlight w:val="none"/>
          <w:lang w:val="en-US" w:eastAsia="zh-CN" w:bidi="ar-SA"/>
        </w:rPr>
        <w:t>；</w:t>
      </w:r>
    </w:p>
    <w:p w14:paraId="3C953BFA">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（4）乙方按甲方要求完成项目竣工资料并出具双方加盖公章的竣工验收合格报告。竣工款支付至总合同结算金额的97%，即¥</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cs="宋体"/>
          <w:bCs w:val="0"/>
          <w:color w:val="auto"/>
          <w:kern w:val="2"/>
          <w:sz w:val="21"/>
          <w:szCs w:val="21"/>
          <w:highlight w:val="non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元；（大写</w:t>
      </w:r>
      <w:r>
        <w:rPr>
          <w:rFonts w:hint="eastAsia" w:ascii="宋体" w:hAnsi="宋体" w:eastAsia="宋体" w:cs="宋体"/>
          <w:bCs w:val="0"/>
          <w:color w:val="auto"/>
          <w:kern w:val="2"/>
          <w:sz w:val="21"/>
          <w:szCs w:val="21"/>
          <w:highlight w:val="none"/>
          <w:u w:val="single"/>
          <w:lang w:val="en-US" w:eastAsia="zh-CN" w:bidi="ar-SA"/>
        </w:rPr>
        <w:t>：</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w:t>
      </w:r>
    </w:p>
    <w:p w14:paraId="141A366B">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3.4.质保款</w:t>
      </w:r>
    </w:p>
    <w:p w14:paraId="6AF36415">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留本工程合同总结算金额的3%作为质量保修金，自本工程保修期届满后，甲方扣除乙方应付的维修、维护及质量损失赔偿金等金额后乙方可向甲方申请无息退还。</w:t>
      </w:r>
    </w:p>
    <w:p w14:paraId="14FC0FCB">
      <w:pPr>
        <w:pageBreakBefore w:val="0"/>
        <w:kinsoku/>
        <w:wordWrap/>
        <w:bidi w:val="0"/>
        <w:spacing w:after="0" w:line="360" w:lineRule="auto"/>
        <w:outlineLvl w:val="0"/>
        <w:rPr>
          <w:rFonts w:hint="eastAsia" w:ascii="宋体" w:hAnsi="宋体" w:eastAsia="宋体" w:cs="宋体"/>
          <w:b/>
          <w:bCs/>
          <w:color w:val="auto"/>
          <w:sz w:val="21"/>
          <w:szCs w:val="21"/>
          <w:highlight w:val="none"/>
        </w:rPr>
      </w:pPr>
      <w:bookmarkStart w:id="105" w:name="_Toc501"/>
      <w:r>
        <w:rPr>
          <w:rFonts w:hint="eastAsia" w:ascii="宋体" w:hAnsi="宋体" w:eastAsia="宋体" w:cs="宋体"/>
          <w:b/>
          <w:bCs/>
          <w:color w:val="auto"/>
          <w:sz w:val="21"/>
          <w:szCs w:val="21"/>
          <w:highlight w:val="none"/>
        </w:rPr>
        <w:t>第</w:t>
      </w:r>
      <w:r>
        <w:rPr>
          <w:rFonts w:hint="eastAsia" w:ascii="宋体" w:hAnsi="宋体" w:eastAsia="宋体" w:cs="宋体"/>
          <w:b/>
          <w:bCs/>
          <w:color w:val="auto"/>
          <w:sz w:val="21"/>
          <w:szCs w:val="21"/>
          <w:highlight w:val="none"/>
          <w:lang w:val="en-US" w:eastAsia="zh-CN"/>
        </w:rPr>
        <w:t>五</w:t>
      </w:r>
      <w:r>
        <w:rPr>
          <w:rFonts w:hint="eastAsia" w:ascii="宋体" w:hAnsi="宋体" w:eastAsia="宋体" w:cs="宋体"/>
          <w:b/>
          <w:bCs/>
          <w:color w:val="auto"/>
          <w:sz w:val="21"/>
          <w:szCs w:val="21"/>
          <w:highlight w:val="none"/>
        </w:rPr>
        <w:t>条　建筑材料、设备的供应和采购</w:t>
      </w:r>
      <w:bookmarkEnd w:id="105"/>
      <w:r>
        <w:rPr>
          <w:rFonts w:hint="eastAsia" w:ascii="宋体" w:hAnsi="宋体" w:eastAsia="宋体" w:cs="宋体"/>
          <w:b/>
          <w:bCs/>
          <w:color w:val="auto"/>
          <w:sz w:val="21"/>
          <w:szCs w:val="21"/>
          <w:highlight w:val="none"/>
        </w:rPr>
        <w:t xml:space="preserve"> </w:t>
      </w:r>
    </w:p>
    <w:p w14:paraId="7298781A">
      <w:pPr>
        <w:pageBreakBefore w:val="0"/>
        <w:widowControl w:val="0"/>
        <w:kinsoku/>
        <w:wordWrap/>
        <w:bidi w:val="0"/>
        <w:spacing w:after="0" w:line="360" w:lineRule="auto"/>
        <w:ind w:left="0" w:leftChars="0" w:firstLine="435" w:firstLineChars="0"/>
        <w:jc w:val="both"/>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 xml:space="preserve">1.工程材料、设备由乙方采购。 </w:t>
      </w:r>
    </w:p>
    <w:p w14:paraId="2632F8FD">
      <w:pPr>
        <w:pageBreakBefore w:val="0"/>
        <w:widowControl w:val="0"/>
        <w:kinsoku/>
        <w:wordWrap/>
        <w:bidi w:val="0"/>
        <w:spacing w:after="0" w:line="360" w:lineRule="auto"/>
        <w:ind w:left="0" w:leftChars="0" w:firstLine="435" w:firstLineChars="0"/>
        <w:jc w:val="both"/>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乙方采购的设备，必须附有产品合格证和试验报告才能用于工程，甲方认为乙方提供的材料需要复验的，乙方应按要求提供复验报告。经复验符合质量要求的，方可用于工程，相关复验费用由甲方承担；复验不符合质量要求的，应退货处理，其复验费和退货损失由乙方承担。</w:t>
      </w:r>
      <w:r>
        <w:rPr>
          <w:rFonts w:hint="eastAsia" w:ascii="宋体" w:hAnsi="宋体" w:eastAsia="宋体" w:cs="宋体"/>
          <w:bCs/>
          <w:color w:val="auto"/>
          <w:sz w:val="21"/>
          <w:szCs w:val="21"/>
          <w:highlight w:val="none"/>
          <w:lang w:val="en-US" w:eastAsia="zh-CN" w:bidi="ar-SA"/>
        </w:rPr>
        <w:t xml:space="preserve"> </w:t>
      </w:r>
    </w:p>
    <w:p w14:paraId="0D366CB5">
      <w:pPr>
        <w:pageBreakBefore w:val="0"/>
        <w:kinsoku/>
        <w:wordWrap/>
        <w:bidi w:val="0"/>
        <w:spacing w:after="0" w:line="360" w:lineRule="auto"/>
        <w:outlineLvl w:val="0"/>
        <w:rPr>
          <w:rFonts w:hint="eastAsia" w:ascii="宋体" w:hAnsi="宋体" w:eastAsia="宋体" w:cs="宋体"/>
          <w:b/>
          <w:bCs/>
          <w:color w:val="auto"/>
          <w:sz w:val="21"/>
          <w:szCs w:val="21"/>
          <w:highlight w:val="none"/>
        </w:rPr>
      </w:pPr>
      <w:bookmarkStart w:id="106" w:name="_Toc4485"/>
      <w:r>
        <w:rPr>
          <w:rFonts w:hint="eastAsia" w:ascii="宋体" w:hAnsi="宋体" w:eastAsia="宋体" w:cs="宋体"/>
          <w:b/>
          <w:bCs/>
          <w:color w:val="auto"/>
          <w:sz w:val="21"/>
          <w:szCs w:val="21"/>
          <w:highlight w:val="none"/>
        </w:rPr>
        <w:t>第</w:t>
      </w:r>
      <w:r>
        <w:rPr>
          <w:rFonts w:hint="eastAsia" w:ascii="宋体" w:hAnsi="宋体" w:eastAsia="宋体" w:cs="宋体"/>
          <w:b/>
          <w:bCs/>
          <w:color w:val="auto"/>
          <w:sz w:val="21"/>
          <w:szCs w:val="21"/>
          <w:highlight w:val="none"/>
          <w:lang w:val="en-US" w:eastAsia="zh-CN"/>
        </w:rPr>
        <w:t>六</w:t>
      </w:r>
      <w:r>
        <w:rPr>
          <w:rFonts w:hint="eastAsia" w:ascii="宋体" w:hAnsi="宋体" w:eastAsia="宋体" w:cs="宋体"/>
          <w:b/>
          <w:bCs/>
          <w:color w:val="auto"/>
          <w:sz w:val="21"/>
          <w:szCs w:val="21"/>
          <w:highlight w:val="none"/>
        </w:rPr>
        <w:t>条　施工与设计</w:t>
      </w:r>
      <w:bookmarkEnd w:id="106"/>
      <w:r>
        <w:rPr>
          <w:rFonts w:hint="eastAsia" w:ascii="宋体" w:hAnsi="宋体" w:eastAsia="宋体" w:cs="宋体"/>
          <w:b/>
          <w:bCs/>
          <w:color w:val="auto"/>
          <w:sz w:val="21"/>
          <w:szCs w:val="21"/>
          <w:highlight w:val="none"/>
        </w:rPr>
        <w:t xml:space="preserve"> </w:t>
      </w:r>
    </w:p>
    <w:p w14:paraId="6F115540">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1.乙方负责聘请具有合格资质的设计单位出具正规设计图纸及相关设计资料，由甲方签字认定交付的设计图纸、说明和有关技术资料，作为施工的有效依据，乙方不得擅自修改。 乙方对于设计过程中所需的设计资料或其他需甲方配合的事项应及时通知甲方,协助和参与甲方的设计资料的收集工作，协助甲方使方案设计及施工图设计获得批准。</w:t>
      </w:r>
    </w:p>
    <w:p w14:paraId="6355C7CC">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2、自本合同签订之日起5个工作日内，乙方需提交项目的施工图，经甲方审查合格后，在3日内做好相关开工准备工作并向甲方提交项目的开工申请。</w:t>
      </w:r>
    </w:p>
    <w:p w14:paraId="7CFEA13A">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甲方因使用功能提出的变更内容，甲方应向乙方出具变更意向书，说明变更的目的、范围、变更内容以及变更的工程量及其进度和技术要求，并附有关图纸和文件。为不影响施工进度，乙方收到变更意向书后应先行实施，并及时做好现场签证。</w:t>
      </w:r>
    </w:p>
    <w:p w14:paraId="0104B470">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4.实现包干价格，除法律规定的条件外一般不变更包干价格。</w:t>
      </w:r>
    </w:p>
    <w:p w14:paraId="110DD069">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5、施工过程中必须遵守甲方的工程管理制度，接受甲方的上级、工程、安全部门的检查考核，相关管理制度详细资料在交底时提供。</w:t>
      </w:r>
    </w:p>
    <w:p w14:paraId="4609B925">
      <w:pPr>
        <w:pageBreakBefore w:val="0"/>
        <w:kinsoku/>
        <w:wordWrap/>
        <w:bidi w:val="0"/>
        <w:spacing w:after="0" w:line="360" w:lineRule="auto"/>
        <w:outlineLvl w:val="0"/>
        <w:rPr>
          <w:rFonts w:hint="eastAsia" w:ascii="宋体" w:hAnsi="宋体" w:eastAsia="宋体" w:cs="宋体"/>
          <w:b/>
          <w:bCs/>
          <w:color w:val="auto"/>
          <w:sz w:val="21"/>
          <w:szCs w:val="21"/>
          <w:highlight w:val="none"/>
        </w:rPr>
      </w:pPr>
      <w:bookmarkStart w:id="107" w:name="_Toc30697"/>
      <w:r>
        <w:rPr>
          <w:rFonts w:hint="eastAsia" w:ascii="宋体" w:hAnsi="宋体" w:eastAsia="宋体" w:cs="宋体"/>
          <w:b/>
          <w:bCs/>
          <w:color w:val="auto"/>
          <w:sz w:val="21"/>
          <w:szCs w:val="21"/>
          <w:highlight w:val="none"/>
        </w:rPr>
        <w:t>第</w:t>
      </w:r>
      <w:r>
        <w:rPr>
          <w:rFonts w:hint="eastAsia" w:ascii="宋体" w:hAnsi="宋体" w:eastAsia="宋体" w:cs="宋体"/>
          <w:b/>
          <w:bCs/>
          <w:color w:val="auto"/>
          <w:sz w:val="21"/>
          <w:szCs w:val="21"/>
          <w:highlight w:val="none"/>
          <w:lang w:val="en-US" w:eastAsia="zh-CN"/>
        </w:rPr>
        <w:t>七</w:t>
      </w:r>
      <w:r>
        <w:rPr>
          <w:rFonts w:hint="eastAsia" w:ascii="宋体" w:hAnsi="宋体" w:eastAsia="宋体" w:cs="宋体"/>
          <w:b/>
          <w:bCs/>
          <w:color w:val="auto"/>
          <w:sz w:val="21"/>
          <w:szCs w:val="21"/>
          <w:highlight w:val="none"/>
        </w:rPr>
        <w:t>条　工程质量管理及验收</w:t>
      </w:r>
      <w:bookmarkEnd w:id="107"/>
    </w:p>
    <w:p w14:paraId="498E5BF0">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1.工程具备隐蔽条件，乙方先进行自检，并在隐蔽工程验收前 24 小时通知甲方验收。验收合格，甲方现场代表在验收记录上签字后，承包人可进行隐蔽工程继续施工。验收不合格，乙方予以整改后再交由甲方重新验收。</w:t>
      </w:r>
    </w:p>
    <w:p w14:paraId="396CA255">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工程具备竣工验收条件，乙方向甲方提供完整竣工资料及竣工验收报告，包含：竣工图、有资质公司设计盖章图和现场签证单（如有）等。验收合格的，双方进行交接，验收不合格的，乙方应及时返工，费用由乙方自行承担，返工导致工期延误的，乙方应承担相应的违约责任。由于乙方原因造成质量事故，其返工费用由乙方承担，工期不变。</w:t>
      </w:r>
    </w:p>
    <w:p w14:paraId="1EE228FB">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经甲、乙双方特别提出并约定，乙方应当在合同工程通过竣工验收后90日内为甲方完成合同工程中低压工程部分的并网申请工作直至最终完成低压并网，否则甲方有权不支付验收款及其他任何款项。同时，需要特别明确的是，因工程发包的不可分割性（低压并网和低压接入并存的接入方式）及基于支付风险的商业考量和违约责任分配，乙方清晰知晓并承诺：在合同所涉低压工程成功并网前，即使甲方已对合同工程完成竣工验收或已实际使用工程中的非低压工程部分，乙方仍无权要求甲方就合同工程的整体或单独部分（无论该单独部分是否可独立核算）支付验收款及其他任何款项。除此之外，乙方清晰知晓因低压工程并网所产生的一切费用（包括但不限于设备整改费用、检验报告出具费用、因并网所产生的各单位协调费用等各费用）均由其自行承担。</w:t>
      </w:r>
    </w:p>
    <w:p w14:paraId="4D01CBEA">
      <w:pPr>
        <w:pageBreakBefore w:val="0"/>
        <w:kinsoku/>
        <w:wordWrap/>
        <w:bidi w:val="0"/>
        <w:spacing w:after="0" w:line="360" w:lineRule="auto"/>
        <w:ind w:firstLine="420" w:firstLineChars="200"/>
        <w:rPr>
          <w:rFonts w:hint="eastAsia" w:ascii="宋体" w:hAnsi="宋体" w:eastAsia="宋体" w:cs="宋体"/>
          <w:b/>
          <w:bCs/>
          <w:color w:val="auto"/>
          <w:sz w:val="21"/>
          <w:szCs w:val="21"/>
          <w:highlight w:val="none"/>
        </w:rPr>
      </w:pPr>
      <w:r>
        <w:rPr>
          <w:rFonts w:hint="eastAsia" w:ascii="宋体" w:hAnsi="宋体" w:eastAsia="宋体" w:cs="宋体"/>
          <w:bCs w:val="0"/>
          <w:color w:val="auto"/>
          <w:kern w:val="2"/>
          <w:sz w:val="21"/>
          <w:szCs w:val="21"/>
          <w:highlight w:val="none"/>
          <w:lang w:val="en-US" w:eastAsia="zh-CN" w:bidi="ar-SA"/>
        </w:rPr>
        <w:t>4.工程质量满足：电力行业相关制度标准、国标以及该项目签署的《技术协议》要求见附件：技术协议。</w:t>
      </w:r>
    </w:p>
    <w:p w14:paraId="0A102AB7">
      <w:pPr>
        <w:pageBreakBefore w:val="0"/>
        <w:kinsoku/>
        <w:wordWrap/>
        <w:bidi w:val="0"/>
        <w:spacing w:after="0" w:line="360" w:lineRule="auto"/>
        <w:outlineLvl w:val="0"/>
        <w:rPr>
          <w:rFonts w:hint="eastAsia" w:ascii="宋体" w:hAnsi="宋体" w:eastAsia="宋体" w:cs="宋体"/>
          <w:b/>
          <w:bCs/>
          <w:color w:val="auto"/>
          <w:sz w:val="21"/>
          <w:szCs w:val="21"/>
          <w:highlight w:val="none"/>
        </w:rPr>
      </w:pPr>
      <w:bookmarkStart w:id="108" w:name="_Toc8501"/>
      <w:r>
        <w:rPr>
          <w:rFonts w:hint="eastAsia" w:ascii="宋体" w:hAnsi="宋体" w:eastAsia="宋体" w:cs="宋体"/>
          <w:b/>
          <w:bCs/>
          <w:color w:val="auto"/>
          <w:sz w:val="21"/>
          <w:szCs w:val="21"/>
          <w:highlight w:val="none"/>
        </w:rPr>
        <w:t>第</w:t>
      </w:r>
      <w:r>
        <w:rPr>
          <w:rFonts w:hint="eastAsia" w:ascii="宋体" w:hAnsi="宋体" w:eastAsia="宋体" w:cs="宋体"/>
          <w:b/>
          <w:bCs/>
          <w:color w:val="auto"/>
          <w:sz w:val="21"/>
          <w:szCs w:val="21"/>
          <w:highlight w:val="none"/>
          <w:lang w:val="en-US" w:eastAsia="zh-CN"/>
        </w:rPr>
        <w:t>八</w:t>
      </w:r>
      <w:r>
        <w:rPr>
          <w:rFonts w:hint="eastAsia" w:ascii="宋体" w:hAnsi="宋体" w:eastAsia="宋体" w:cs="宋体"/>
          <w:b/>
          <w:bCs/>
          <w:color w:val="auto"/>
          <w:sz w:val="21"/>
          <w:szCs w:val="21"/>
          <w:highlight w:val="none"/>
        </w:rPr>
        <w:t>条　安全施工</w:t>
      </w:r>
      <w:bookmarkEnd w:id="108"/>
    </w:p>
    <w:p w14:paraId="396BDF59">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乙方在获得甲方开具的开工令后方可进场施工，未经甲方允许乙方自行施工的一切后果由乙方承担。乙方应遵守工程建设安全生产有关管理规定，严格按安全标准组织施工，乙方应进行现场管理，采取必要的安全防护措施，消除事故隐患。由于乙方安全措施不力造成事故的责任和因此发生的费用，由乙方承担。</w:t>
      </w:r>
    </w:p>
    <w:p w14:paraId="5717A569">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乙方应与作业人员签订劳动合同，购买社保及相关待遇的申领、发放，负责项目安装工人的用工关系及社会保险等。因乙方与实际施工人之间的包括但不限于薪资、工伤等劳动关系争议或一切债权债务关系均由乙方负责，与甲方无关。乙方作业过程中发生安全事故，造成甲方工作人员或第三人、人身伤害或财产损失的，乙方应当及时向保险公司</w:t>
      </w:r>
      <w:r>
        <w:rPr>
          <w:rFonts w:hint="eastAsia" w:ascii="宋体" w:hAnsi="宋体" w:eastAsia="宋体" w:cs="宋体"/>
          <w:bCs w:val="0"/>
          <w:color w:val="auto"/>
          <w:kern w:val="2"/>
          <w:sz w:val="21"/>
          <w:szCs w:val="21"/>
          <w:highlight w:val="none"/>
          <w:lang w:val="en-US" w:eastAsia="zh-Hans" w:bidi="ar-SA"/>
        </w:rPr>
        <w:t>或社保部门</w:t>
      </w:r>
      <w:r>
        <w:rPr>
          <w:rFonts w:hint="eastAsia" w:ascii="宋体" w:hAnsi="宋体" w:eastAsia="宋体" w:cs="宋体"/>
          <w:bCs w:val="0"/>
          <w:color w:val="auto"/>
          <w:kern w:val="2"/>
          <w:sz w:val="21"/>
          <w:szCs w:val="21"/>
          <w:highlight w:val="none"/>
          <w:lang w:val="en-US" w:eastAsia="zh-CN" w:bidi="ar-SA"/>
        </w:rPr>
        <w:t>申请赔付；如因乙方未购买保险</w:t>
      </w:r>
      <w:r>
        <w:rPr>
          <w:rFonts w:hint="eastAsia" w:ascii="宋体" w:hAnsi="宋体" w:eastAsia="宋体" w:cs="宋体"/>
          <w:bCs w:val="0"/>
          <w:color w:val="auto"/>
          <w:kern w:val="2"/>
          <w:sz w:val="21"/>
          <w:szCs w:val="21"/>
          <w:highlight w:val="none"/>
          <w:lang w:val="en-US" w:eastAsia="zh-Hans" w:bidi="ar-SA"/>
        </w:rPr>
        <w:t>或社保</w:t>
      </w:r>
      <w:r>
        <w:rPr>
          <w:rFonts w:hint="eastAsia" w:ascii="宋体" w:hAnsi="宋体" w:eastAsia="宋体" w:cs="宋体"/>
          <w:bCs w:val="0"/>
          <w:color w:val="auto"/>
          <w:kern w:val="2"/>
          <w:sz w:val="21"/>
          <w:szCs w:val="21"/>
          <w:highlight w:val="none"/>
          <w:lang w:val="en-US" w:eastAsia="zh-CN" w:bidi="ar-SA"/>
        </w:rPr>
        <w:t>及乙方原因导致的安全事故，乙方应当承担全部赔偿责任。</w:t>
      </w:r>
    </w:p>
    <w:p w14:paraId="5006EB04">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乙方需针对本工程购买工程相关保险。合同期内发生重大消防安全事故，事故责任的最终认定以消防安全事故专业认定机构或司法机构认定结果为准。乙方应当及时向保险公司申请赔付；如因乙方任何操作不当而导致火情发生或火情发生时不能及时遏制火情，经公安消防部门鉴定确实是乙方未及时报警或操作不当导致的，甲方有权单方解除合同，乙方须赔偿甲方因此而造成的直接损失及第三方的损失，并</w:t>
      </w:r>
      <w:r>
        <w:rPr>
          <w:rFonts w:hint="eastAsia" w:ascii="宋体" w:hAnsi="宋体" w:eastAsia="宋体" w:cs="宋体"/>
          <w:bCs w:val="0"/>
          <w:color w:val="auto"/>
          <w:kern w:val="2"/>
          <w:sz w:val="21"/>
          <w:szCs w:val="21"/>
          <w:highlight w:val="none"/>
          <w:lang w:val="en-US" w:eastAsia="zh-Hans" w:bidi="ar-SA"/>
        </w:rPr>
        <w:t>向甲方支付</w:t>
      </w:r>
      <w:r>
        <w:rPr>
          <w:rFonts w:hint="eastAsia" w:ascii="宋体" w:hAnsi="宋体" w:eastAsia="宋体" w:cs="宋体"/>
          <w:bCs w:val="0"/>
          <w:color w:val="auto"/>
          <w:kern w:val="2"/>
          <w:sz w:val="21"/>
          <w:szCs w:val="21"/>
          <w:highlight w:val="none"/>
          <w:lang w:val="en-US" w:eastAsia="zh-CN" w:bidi="ar-SA"/>
        </w:rPr>
        <w:t>合同价款的15%作为违约金。</w:t>
      </w:r>
    </w:p>
    <w:p w14:paraId="04609735">
      <w:pPr>
        <w:pageBreakBefore w:val="0"/>
        <w:kinsoku/>
        <w:wordWrap/>
        <w:bidi w:val="0"/>
        <w:spacing w:after="0" w:line="360" w:lineRule="auto"/>
        <w:outlineLvl w:val="0"/>
        <w:rPr>
          <w:rFonts w:hint="eastAsia" w:ascii="宋体" w:hAnsi="宋体" w:eastAsia="宋体" w:cs="宋体"/>
          <w:b/>
          <w:bCs/>
          <w:color w:val="auto"/>
          <w:sz w:val="21"/>
          <w:szCs w:val="21"/>
          <w:highlight w:val="none"/>
        </w:rPr>
      </w:pPr>
      <w:bookmarkStart w:id="109" w:name="_Toc31964"/>
      <w:r>
        <w:rPr>
          <w:rFonts w:hint="eastAsia" w:ascii="宋体" w:hAnsi="宋体" w:eastAsia="宋体" w:cs="宋体"/>
          <w:b/>
          <w:bCs/>
          <w:color w:val="auto"/>
          <w:sz w:val="21"/>
          <w:szCs w:val="21"/>
          <w:highlight w:val="none"/>
        </w:rPr>
        <w:t>第</w:t>
      </w:r>
      <w:r>
        <w:rPr>
          <w:rFonts w:hint="eastAsia" w:ascii="宋体" w:hAnsi="宋体" w:eastAsia="宋体" w:cs="宋体"/>
          <w:b/>
          <w:bCs/>
          <w:color w:val="auto"/>
          <w:sz w:val="21"/>
          <w:szCs w:val="21"/>
          <w:highlight w:val="none"/>
          <w:lang w:val="en-US" w:eastAsia="zh-CN"/>
        </w:rPr>
        <w:t>九</w:t>
      </w:r>
      <w:r>
        <w:rPr>
          <w:rFonts w:hint="eastAsia" w:ascii="宋体" w:hAnsi="宋体" w:eastAsia="宋体" w:cs="宋体"/>
          <w:b/>
          <w:bCs/>
          <w:color w:val="auto"/>
          <w:sz w:val="21"/>
          <w:szCs w:val="21"/>
          <w:highlight w:val="none"/>
        </w:rPr>
        <w:t>条　质量保修</w:t>
      </w:r>
      <w:bookmarkEnd w:id="109"/>
    </w:p>
    <w:p w14:paraId="1F78E8D1">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1.本工程施工保修期限为</w:t>
      </w:r>
      <w:r>
        <w:rPr>
          <w:rFonts w:hint="eastAsia" w:ascii="宋体" w:hAnsi="宋体" w:eastAsia="宋体" w:cs="宋体"/>
          <w:bCs w:val="0"/>
          <w:color w:val="auto"/>
          <w:kern w:val="2"/>
          <w:sz w:val="21"/>
          <w:szCs w:val="21"/>
          <w:highlight w:val="none"/>
          <w:u w:val="single"/>
          <w:lang w:val="en-US" w:eastAsia="zh-CN" w:bidi="ar-SA"/>
        </w:rPr>
        <w:t xml:space="preserve"> 壹 </w:t>
      </w:r>
      <w:r>
        <w:rPr>
          <w:rFonts w:hint="eastAsia" w:ascii="宋体" w:hAnsi="宋体" w:eastAsia="宋体" w:cs="宋体"/>
          <w:bCs w:val="0"/>
          <w:color w:val="auto"/>
          <w:kern w:val="2"/>
          <w:sz w:val="21"/>
          <w:szCs w:val="21"/>
          <w:highlight w:val="none"/>
          <w:lang w:val="en-US" w:eastAsia="zh-CN" w:bidi="ar-SA"/>
        </w:rPr>
        <w:t>年，电化学储能设备整体保修期限为 5 年，电池系统寿命不少于 10 年或电池循环次数6500次，6500次循环剩余容量≧原始容量的70%且放电倍率0.5C，EOL≧70%（以先到为准），自工程竣工并经甲方书面验收合格起算。保修期内，如出现相关质量异常或使用问题，乙方应无偿进行维修处理。</w:t>
      </w:r>
    </w:p>
    <w:p w14:paraId="7EA8A135">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在免费保修期内，乙方应保证通讯畅通，令甲方能够随时同乙方取得联系。乙方在接到甲方维修通知后24小时内到达现场并及时处理。如乙方更换保修人员或联系电话，应及时通知甲方。若因乙方通讯不畅或故意不接，拖延推诿，甲方将视为乙方放弃保修责任，有权自行解决（包括聘请第三方维修等），由乙方承担所有费用。</w:t>
      </w:r>
    </w:p>
    <w:p w14:paraId="3E3F9C8B">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乙方保修联系人：</w:t>
      </w:r>
      <w:r>
        <w:rPr>
          <w:rFonts w:hint="eastAsia" w:ascii="宋体" w:hAnsi="宋体" w:eastAsia="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；乙方保修联系电话：</w:t>
      </w:r>
      <w:r>
        <w:rPr>
          <w:rFonts w:hint="eastAsia" w:ascii="宋体" w:hAnsi="宋体" w:eastAsia="宋体" w:cs="宋体"/>
          <w:bCs w:val="0"/>
          <w:color w:val="auto"/>
          <w:kern w:val="2"/>
          <w:sz w:val="21"/>
          <w:szCs w:val="21"/>
          <w:highlight w:val="none"/>
          <w:u w:val="single"/>
          <w:lang w:val="en-US" w:eastAsia="zh-CN" w:bidi="ar-SA"/>
        </w:rPr>
        <w:t xml:space="preserve">   </w:t>
      </w:r>
      <w:r>
        <w:rPr>
          <w:rFonts w:hint="eastAsia" w:ascii="宋体" w:hAnsi="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u w:val="single"/>
          <w:lang w:val="en-US" w:eastAsia="zh-CN" w:bidi="ar-SA"/>
        </w:rPr>
        <w:t xml:space="preserve"> </w:t>
      </w:r>
    </w:p>
    <w:p w14:paraId="718F4DC7">
      <w:pPr>
        <w:pageBreakBefore w:val="0"/>
        <w:numPr>
          <w:ilvl w:val="0"/>
          <w:numId w:val="0"/>
        </w:numPr>
        <w:kinsoku/>
        <w:wordWrap/>
        <w:bidi w:val="0"/>
        <w:spacing w:after="0" w:line="360" w:lineRule="auto"/>
        <w:outlineLvl w:val="0"/>
        <w:rPr>
          <w:rFonts w:hint="eastAsia" w:ascii="宋体" w:hAnsi="宋体" w:eastAsia="宋体" w:cs="宋体"/>
          <w:b/>
          <w:bCs/>
          <w:color w:val="auto"/>
          <w:sz w:val="21"/>
          <w:szCs w:val="21"/>
          <w:highlight w:val="none"/>
        </w:rPr>
      </w:pPr>
      <w:bookmarkStart w:id="110" w:name="_Toc23665"/>
      <w:r>
        <w:rPr>
          <w:rFonts w:hint="eastAsia" w:ascii="宋体" w:hAnsi="宋体" w:eastAsia="宋体" w:cs="宋体"/>
          <w:b/>
          <w:bCs/>
          <w:color w:val="auto"/>
          <w:sz w:val="21"/>
          <w:szCs w:val="21"/>
          <w:highlight w:val="none"/>
          <w:lang w:val="en-US" w:eastAsia="zh-CN"/>
        </w:rPr>
        <w:t xml:space="preserve">第十条 </w:t>
      </w:r>
      <w:r>
        <w:rPr>
          <w:rFonts w:hint="eastAsia" w:ascii="宋体" w:hAnsi="宋体" w:eastAsia="宋体" w:cs="宋体"/>
          <w:b/>
          <w:bCs/>
          <w:color w:val="auto"/>
          <w:sz w:val="21"/>
          <w:szCs w:val="21"/>
          <w:highlight w:val="none"/>
        </w:rPr>
        <w:t>违约责任</w:t>
      </w:r>
      <w:bookmarkEnd w:id="110"/>
    </w:p>
    <w:p w14:paraId="0545D995">
      <w:pPr>
        <w:pageBreakBefore w:val="0"/>
        <w:numPr>
          <w:ilvl w:val="0"/>
          <w:numId w:val="6"/>
        </w:numPr>
        <w:kinsoku/>
        <w:wordWrap/>
        <w:bidi w:val="0"/>
        <w:spacing w:after="0" w:line="360" w:lineRule="auto"/>
        <w:outlineLvl w:val="0"/>
        <w:rPr>
          <w:rFonts w:hint="eastAsia" w:ascii="宋体" w:hAnsi="宋体" w:eastAsia="宋体" w:cs="宋体"/>
          <w:b/>
          <w:bCs/>
          <w:color w:val="auto"/>
          <w:sz w:val="21"/>
          <w:szCs w:val="21"/>
          <w:highlight w:val="none"/>
          <w:lang w:val="en-US" w:eastAsia="zh-CN"/>
        </w:rPr>
      </w:pPr>
      <w:bookmarkStart w:id="111" w:name="_Toc14978"/>
      <w:r>
        <w:rPr>
          <w:rFonts w:hint="eastAsia" w:ascii="宋体" w:hAnsi="宋体" w:eastAsia="宋体" w:cs="宋体"/>
          <w:b/>
          <w:bCs/>
          <w:color w:val="auto"/>
          <w:sz w:val="21"/>
          <w:szCs w:val="21"/>
          <w:highlight w:val="none"/>
          <w:lang w:val="en-US" w:eastAsia="zh-CN"/>
        </w:rPr>
        <w:t>甲方违约责任</w:t>
      </w:r>
      <w:bookmarkEnd w:id="111"/>
    </w:p>
    <w:p w14:paraId="4585D9C3">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若甲方无正当理由延期支付工程款的，乙方可向甲方发出履约通知，甲方在收到通知后仍不按照约定支付工程款的，乙方可以停工并顺延工期且不承担任何违约责任，甲方应当从应付之日起向乙方支付应付工程款的利息，并赔偿因此给乙方造成的停工、窝工损失。</w:t>
      </w:r>
    </w:p>
    <w:p w14:paraId="398C648B">
      <w:pPr>
        <w:pageBreakBefore w:val="0"/>
        <w:numPr>
          <w:ilvl w:val="-1"/>
          <w:numId w:val="0"/>
        </w:numPr>
        <w:kinsoku/>
        <w:wordWrap/>
        <w:bidi w:val="0"/>
        <w:spacing w:after="0" w:line="360" w:lineRule="auto"/>
        <w:outlineLvl w:val="0"/>
        <w:rPr>
          <w:rFonts w:hint="eastAsia" w:ascii="宋体" w:hAnsi="宋体" w:eastAsia="宋体" w:cs="宋体"/>
          <w:b/>
          <w:bCs/>
          <w:color w:val="auto"/>
          <w:sz w:val="21"/>
          <w:szCs w:val="21"/>
          <w:highlight w:val="none"/>
          <w:lang w:val="en-US" w:eastAsia="zh-CN"/>
        </w:rPr>
      </w:pPr>
      <w:bookmarkStart w:id="112" w:name="_Toc27788"/>
      <w:r>
        <w:rPr>
          <w:rFonts w:hint="eastAsia" w:ascii="宋体" w:hAnsi="宋体" w:eastAsia="宋体" w:cs="宋体"/>
          <w:b/>
          <w:bCs/>
          <w:color w:val="auto"/>
          <w:sz w:val="21"/>
          <w:szCs w:val="21"/>
          <w:highlight w:val="none"/>
          <w:lang w:val="en-US" w:eastAsia="zh-CN"/>
        </w:rPr>
        <w:t>（二）乙方违约责任</w:t>
      </w:r>
      <w:bookmarkEnd w:id="112"/>
    </w:p>
    <w:p w14:paraId="1F9C9C92">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1.由于乙方违法甲方的工程、安全管理制度，接受甲方相关部门的按照开工交底前双方确认的制度执行处罚，罚款金额另外支付，不在工程款项中扣除。</w:t>
      </w:r>
    </w:p>
    <w:p w14:paraId="7D51CA85">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因乙方原因致使工程质量不符合约定的，甲方有权要求乙方在合理期限内无偿修理或者返工。此外乙方应赔偿因此给甲方造成的直接损失与相关费用(包括但不限于守约方为维护自己的合法权益而支付的律师费、公证费、调查费、诉讼费、保全费、保全保险费等相关各项费用)。</w:t>
      </w:r>
    </w:p>
    <w:p w14:paraId="51E464F2">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3.因乙方原因导致工期延</w:t>
      </w:r>
      <w:r>
        <w:rPr>
          <w:rFonts w:hint="eastAsia" w:ascii="宋体" w:hAnsi="宋体" w:eastAsia="宋体" w:cs="宋体"/>
          <w:bCs w:val="0"/>
          <w:color w:val="auto"/>
          <w:kern w:val="2"/>
          <w:sz w:val="21"/>
          <w:szCs w:val="21"/>
          <w:highlight w:val="none"/>
          <w:lang w:val="en-US" w:eastAsia="zh-Hans" w:bidi="ar-SA"/>
        </w:rPr>
        <w:t>期</w:t>
      </w:r>
      <w:r>
        <w:rPr>
          <w:rFonts w:hint="eastAsia" w:ascii="宋体" w:hAnsi="宋体" w:eastAsia="宋体" w:cs="宋体"/>
          <w:bCs w:val="0"/>
          <w:color w:val="auto"/>
          <w:kern w:val="2"/>
          <w:sz w:val="21"/>
          <w:szCs w:val="21"/>
          <w:highlight w:val="none"/>
          <w:lang w:val="en-US" w:eastAsia="zh-CN" w:bidi="ar-SA"/>
        </w:rPr>
        <w:t>的，乙方应当承担违约责任，以合同价款为基数，向甲方赔偿；如逾期超15日，甲方要求乙方承担违约金的同时</w:t>
      </w:r>
      <w:r>
        <w:rPr>
          <w:rFonts w:hint="eastAsia" w:ascii="宋体" w:hAnsi="宋体" w:eastAsia="宋体" w:cs="宋体"/>
          <w:bCs w:val="0"/>
          <w:color w:val="auto"/>
          <w:kern w:val="2"/>
          <w:sz w:val="21"/>
          <w:szCs w:val="21"/>
          <w:highlight w:val="none"/>
          <w:lang w:val="en-US" w:eastAsia="zh-Hans" w:bidi="ar-SA"/>
        </w:rPr>
        <w:t>有权</w:t>
      </w:r>
      <w:r>
        <w:rPr>
          <w:rFonts w:hint="eastAsia" w:ascii="宋体" w:hAnsi="宋体" w:eastAsia="宋体" w:cs="宋体"/>
          <w:bCs w:val="0"/>
          <w:color w:val="auto"/>
          <w:kern w:val="2"/>
          <w:sz w:val="21"/>
          <w:szCs w:val="21"/>
          <w:highlight w:val="none"/>
          <w:lang w:val="en-US" w:eastAsia="zh-CN" w:bidi="ar-SA"/>
        </w:rPr>
        <w:t>单方解除本合同，违约金最高不超过每日万分之三的违约金；如逾期超15日，甲方要求乙方承担违约金的同时</w:t>
      </w:r>
      <w:r>
        <w:rPr>
          <w:rFonts w:hint="eastAsia" w:ascii="宋体" w:hAnsi="宋体" w:eastAsia="宋体" w:cs="宋体"/>
          <w:bCs w:val="0"/>
          <w:color w:val="auto"/>
          <w:kern w:val="2"/>
          <w:sz w:val="21"/>
          <w:szCs w:val="21"/>
          <w:highlight w:val="none"/>
          <w:lang w:val="en-US" w:eastAsia="zh-Hans" w:bidi="ar-SA"/>
        </w:rPr>
        <w:t>有权</w:t>
      </w:r>
      <w:r>
        <w:rPr>
          <w:rFonts w:hint="eastAsia" w:ascii="宋体" w:hAnsi="宋体" w:eastAsia="宋体" w:cs="宋体"/>
          <w:bCs w:val="0"/>
          <w:color w:val="auto"/>
          <w:kern w:val="2"/>
          <w:sz w:val="21"/>
          <w:szCs w:val="21"/>
          <w:highlight w:val="none"/>
          <w:lang w:val="en-US" w:eastAsia="zh-CN" w:bidi="ar-SA"/>
        </w:rPr>
        <w:t>解除合同。</w:t>
      </w:r>
    </w:p>
    <w:p w14:paraId="191BD518">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4.乙方擅自拆改房屋承重结构或共用管线和设施，由此发生的损失或事故（包括罚款），由乙方负责并承担责任，同时支付甲方由此遭受的直接损失与相关费用(包括但不限于守约方为维护自己的合法权益而支付的律师费、公证费、调查费、诉讼费、保全费、保全保险费等相关各项费用)。</w:t>
      </w:r>
    </w:p>
    <w:p w14:paraId="43D41337">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5.乙方提供的材料、设备是假冒伪劣产品的，应按材料、设备价款的双倍赔偿甲方。</w:t>
      </w:r>
    </w:p>
    <w:p w14:paraId="07F93D15">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6.乙方未能按照第七条第3点在约定期限内完成并网的，甲方有权要求乙方以合同价款为基数，向甲方按日赔偿日万分之三的违约金，此外还应赔偿因此给甲方造成的直接损失与相关费用(包括但不限于守约方为维护自己的合法权益而支付的律师费、公证费、调查费、诉讼费、保全费、保全保险费等相关各项费用)。</w:t>
      </w:r>
    </w:p>
    <w:p w14:paraId="3B64AF1E">
      <w:pPr>
        <w:pageBreakBefore w:val="0"/>
        <w:kinsoku/>
        <w:wordWrap/>
        <w:bidi w:val="0"/>
        <w:spacing w:after="0" w:line="360" w:lineRule="auto"/>
        <w:ind w:firstLine="0" w:firstLineChars="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其他</w:t>
      </w:r>
    </w:p>
    <w:p w14:paraId="407CC099">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协议一方于施工后擅自解除或终止本合同的，违约方应按工程款的15 %向守约方支付违约金，若该违约金不足以弥补守约方由此遭受的直接损失与相关费用(包括但不限于守约方为维护自己的合法权益而支付的律师费、公证费、调查费、诉讼费、保全费、保全保险费等相关各项费用)，守约方有权追偿。</w:t>
      </w:r>
    </w:p>
    <w:p w14:paraId="67873CAA">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2.不可抗力是指甲乙双方在订立合同时不可预见，在履行合同过程中不可避免发生并不能克服的自然灾害和社会性突发事件，包括但不限于下列情况：</w:t>
      </w:r>
    </w:p>
    <w:p w14:paraId="33B2250C">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（1）战争、敌对行动（无论宣战与否）、入侵、外敌行为；</w:t>
      </w:r>
    </w:p>
    <w:p w14:paraId="4BF4FA37">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（2）叛乱、恐怖主义、暴动、军事政变或篡夺政权、或内战；</w:t>
      </w:r>
    </w:p>
    <w:p w14:paraId="4D3406AF">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（3）暴乱、骚动、混乱、非承包人员工以及非承包人和分包人的其他雇员所造成的罢工或停工；</w:t>
      </w:r>
    </w:p>
    <w:p w14:paraId="4C13E519">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（4）战争军火、爆炸材料、放射能产生的离子辐射污染，但可能因承包人使用此类军火、炸药、放射或辐射能引起的除外；</w:t>
      </w:r>
    </w:p>
    <w:p w14:paraId="26D2BCD3">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（5）自然灾难,例如地震、瘟疫、飓风、台风、雷暴或火山爆发；</w:t>
      </w:r>
    </w:p>
    <w:p w14:paraId="613D1693">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合同一方遇到不可抗力事件，使其履行合同义务受到阻碍时，应立即通知合同另一方，书面说明不可抗力和受阻碍的详细情况，并提供必要的证明。不可抗力发生后，甲方和乙方均应采取措施尽量避免和减少损失的扩大，任何一方没有采取有效措施导致损失扩大的，应对扩大的损失承担责任。</w:t>
      </w:r>
    </w:p>
    <w:p w14:paraId="26E04563">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合同一方因不可抗力不能履行合同的，应当及时通知对方解除合同。合同解除后的付款，双方应根据实际工程量及各方损失协商确定。</w:t>
      </w:r>
    </w:p>
    <w:p w14:paraId="057A2D16">
      <w:pPr>
        <w:pageBreakBefore w:val="0"/>
        <w:kinsoku/>
        <w:wordWrap/>
        <w:bidi w:val="0"/>
        <w:spacing w:after="0" w:line="360" w:lineRule="auto"/>
        <w:ind w:left="0" w:leftChars="0" w:firstLine="0" w:firstLineChars="0"/>
        <w:outlineLvl w:val="9"/>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第十</w:t>
      </w:r>
      <w:r>
        <w:rPr>
          <w:rFonts w:hint="eastAsia" w:ascii="宋体" w:hAnsi="宋体" w:eastAsia="宋体" w:cs="宋体"/>
          <w:b/>
          <w:bCs/>
          <w:color w:val="auto"/>
          <w:sz w:val="21"/>
          <w:szCs w:val="21"/>
          <w:highlight w:val="none"/>
          <w:lang w:val="en-US" w:eastAsia="zh-CN"/>
        </w:rPr>
        <w:t>一</w:t>
      </w:r>
      <w:r>
        <w:rPr>
          <w:rFonts w:hint="eastAsia" w:ascii="宋体" w:hAnsi="宋体" w:eastAsia="宋体" w:cs="宋体"/>
          <w:b/>
          <w:bCs/>
          <w:color w:val="auto"/>
          <w:sz w:val="21"/>
          <w:szCs w:val="21"/>
          <w:highlight w:val="none"/>
        </w:rPr>
        <w:t xml:space="preserve">条　纠纷解决办法 </w:t>
      </w:r>
    </w:p>
    <w:p w14:paraId="2193C617">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1.合同经双方签字生效后，双方必须严格遵守。任何一方需变更合同内容，应经协商一致后，重新签订补充协议。合同签订后施工前，一方如要终止合同，应以书面形式提出，并按合同总价款10%支付违约金，办理终止合同手续。</w:t>
      </w:r>
    </w:p>
    <w:p w14:paraId="1E4AF3EC">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2.因本合同产生纠纷，如协商无法解决，双方均有权向甲方所在地人民法院提起诉讼。</w:t>
      </w:r>
    </w:p>
    <w:p w14:paraId="37E1980A">
      <w:pPr>
        <w:pageBreakBefore w:val="0"/>
        <w:widowControl/>
        <w:shd w:val="clear"/>
        <w:kinsoku/>
        <w:wordWrap/>
        <w:bidi w:val="0"/>
        <w:spacing w:after="0" w:line="360" w:lineRule="auto"/>
        <w:ind w:left="0" w:leftChars="0" w:firstLine="0" w:firstLineChars="0"/>
        <w:outlineLvl w:val="9"/>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第十</w:t>
      </w:r>
      <w:r>
        <w:rPr>
          <w:rFonts w:hint="eastAsia" w:ascii="宋体" w:hAnsi="宋体" w:eastAsia="宋体" w:cs="宋体"/>
          <w:b/>
          <w:bCs/>
          <w:color w:val="auto"/>
          <w:sz w:val="21"/>
          <w:szCs w:val="21"/>
          <w:highlight w:val="none"/>
          <w:lang w:val="en-US" w:eastAsia="zh-CN"/>
        </w:rPr>
        <w:t>二</w:t>
      </w:r>
      <w:r>
        <w:rPr>
          <w:rFonts w:hint="eastAsia" w:ascii="宋体" w:hAnsi="宋体" w:eastAsia="宋体" w:cs="宋体"/>
          <w:b/>
          <w:bCs/>
          <w:color w:val="auto"/>
          <w:sz w:val="21"/>
          <w:szCs w:val="21"/>
          <w:highlight w:val="none"/>
        </w:rPr>
        <w:t xml:space="preserve">条　附　则 </w:t>
      </w:r>
    </w:p>
    <w:p w14:paraId="76C36821">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 xml:space="preserve">1.甲方代表为 </w:t>
      </w:r>
      <w:r>
        <w:rPr>
          <w:rFonts w:hint="eastAsia" w:ascii="宋体" w:hAnsi="宋体" w:eastAsia="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 xml:space="preserve">，乙方代表为 </w:t>
      </w:r>
      <w:r>
        <w:rPr>
          <w:rFonts w:hint="eastAsia" w:ascii="宋体" w:hAnsi="宋体" w:eastAsia="宋体" w:cs="宋体"/>
          <w:bCs w:val="0"/>
          <w:color w:val="auto"/>
          <w:kern w:val="2"/>
          <w:sz w:val="21"/>
          <w:szCs w:val="21"/>
          <w:highlight w:val="none"/>
          <w:u w:val="single"/>
          <w:lang w:val="en-US" w:eastAsia="zh-CN" w:bidi="ar-SA"/>
        </w:rPr>
        <w:t xml:space="preserve">      </w:t>
      </w:r>
      <w:r>
        <w:rPr>
          <w:rFonts w:hint="eastAsia" w:ascii="宋体" w:hAnsi="宋体" w:eastAsia="宋体" w:cs="宋体"/>
          <w:bCs w:val="0"/>
          <w:color w:val="auto"/>
          <w:kern w:val="2"/>
          <w:sz w:val="21"/>
          <w:szCs w:val="21"/>
          <w:highlight w:val="none"/>
          <w:lang w:val="en-US" w:eastAsia="zh-CN" w:bidi="ar-SA"/>
        </w:rPr>
        <w:t xml:space="preserve"> 。</w:t>
      </w:r>
    </w:p>
    <w:p w14:paraId="5476304A">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2.本合同一式肆份，甲乙双方各执贰份，自甲乙双方代表签字，加盖双方公章或合同专用章后生效。</w:t>
      </w:r>
    </w:p>
    <w:p w14:paraId="005B1A3A">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3.附件1：《开票明细表》。</w:t>
      </w:r>
    </w:p>
    <w:p w14:paraId="29391131">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4.附件2：《廉洁协议书》。</w:t>
      </w:r>
    </w:p>
    <w:p w14:paraId="08D6CA2E">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5.附件3：《不拖欠农民工工资承诺书》。</w:t>
      </w:r>
    </w:p>
    <w:p w14:paraId="48398CAD">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6.附件4：《工程施工安全协议书》。</w:t>
      </w:r>
    </w:p>
    <w:p w14:paraId="0F0EF233">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7.附件5：《承包商违章处罚条例》。</w:t>
      </w:r>
    </w:p>
    <w:p w14:paraId="3D4350C2">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8.附件6：《技术用户需求》。</w:t>
      </w:r>
    </w:p>
    <w:p w14:paraId="7BEF4E4F">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bCs w:val="0"/>
          <w:color w:val="auto"/>
          <w:kern w:val="2"/>
          <w:sz w:val="21"/>
          <w:szCs w:val="21"/>
          <w:highlight w:val="none"/>
          <w:lang w:val="en-US" w:eastAsia="zh-CN" w:bidi="ar-SA"/>
        </w:rPr>
        <w:t>9.附件7：《技术协议》。</w:t>
      </w:r>
    </w:p>
    <w:p w14:paraId="17B09B7C">
      <w:pPr>
        <w:pageBreakBefore w:val="0"/>
        <w:kinsoku/>
        <w:wordWrap/>
        <w:bidi w:val="0"/>
        <w:spacing w:after="0" w:line="360" w:lineRule="auto"/>
        <w:ind w:firstLine="0" w:firstLineChars="0"/>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
          <w:color w:val="auto"/>
          <w:sz w:val="21"/>
          <w:szCs w:val="21"/>
          <w:highlight w:val="none"/>
        </w:rPr>
        <w:t>（以下无正文）</w:t>
      </w:r>
    </w:p>
    <w:tbl>
      <w:tblPr>
        <w:tblStyle w:val="29"/>
        <w:tblpPr w:leftFromText="180" w:rightFromText="180" w:vertAnchor="text" w:horzAnchor="page" w:tblpX="1150" w:tblpY="443"/>
        <w:tblOverlap w:val="never"/>
        <w:tblW w:w="9677" w:type="dxa"/>
        <w:tblInd w:w="0" w:type="dxa"/>
        <w:tblLayout w:type="fixed"/>
        <w:tblCellMar>
          <w:top w:w="0" w:type="dxa"/>
          <w:left w:w="108" w:type="dxa"/>
          <w:bottom w:w="0" w:type="dxa"/>
          <w:right w:w="108" w:type="dxa"/>
        </w:tblCellMar>
      </w:tblPr>
      <w:tblGrid>
        <w:gridCol w:w="4930"/>
        <w:gridCol w:w="4747"/>
      </w:tblGrid>
      <w:tr w14:paraId="059B6A23">
        <w:tblPrEx>
          <w:tblCellMar>
            <w:top w:w="0" w:type="dxa"/>
            <w:left w:w="108" w:type="dxa"/>
            <w:bottom w:w="0" w:type="dxa"/>
            <w:right w:w="108" w:type="dxa"/>
          </w:tblCellMar>
        </w:tblPrEx>
        <w:tc>
          <w:tcPr>
            <w:tcW w:w="4930" w:type="dxa"/>
            <w:noWrap w:val="0"/>
            <w:vAlign w:val="top"/>
          </w:tcPr>
          <w:p w14:paraId="664022D0">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p>
          <w:p w14:paraId="048A2F9B">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甲方（盖章）：东莞市新有能源投资有限公司</w:t>
            </w:r>
          </w:p>
        </w:tc>
        <w:tc>
          <w:tcPr>
            <w:tcW w:w="4747" w:type="dxa"/>
            <w:noWrap w:val="0"/>
            <w:vAlign w:val="top"/>
          </w:tcPr>
          <w:p w14:paraId="09A1D19F">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p>
          <w:p w14:paraId="66C5C755">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 xml:space="preserve">乙方(盖章)： </w:t>
            </w:r>
          </w:p>
        </w:tc>
      </w:tr>
      <w:tr w14:paraId="757E438E">
        <w:tblPrEx>
          <w:tblCellMar>
            <w:top w:w="0" w:type="dxa"/>
            <w:left w:w="108" w:type="dxa"/>
            <w:bottom w:w="0" w:type="dxa"/>
            <w:right w:w="108" w:type="dxa"/>
          </w:tblCellMar>
        </w:tblPrEx>
        <w:tc>
          <w:tcPr>
            <w:tcW w:w="4930" w:type="dxa"/>
            <w:noWrap w:val="0"/>
            <w:vAlign w:val="top"/>
          </w:tcPr>
          <w:p w14:paraId="77C15A80">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法定代表人或</w:t>
            </w:r>
          </w:p>
          <w:p w14:paraId="3CCF703E">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授权代表(签章)：</w:t>
            </w:r>
          </w:p>
          <w:p w14:paraId="30B61257">
            <w:pPr>
              <w:pageBreakBefore w:val="0"/>
              <w:kinsoku/>
              <w:wordWrap/>
              <w:bidi w:val="0"/>
              <w:spacing w:after="0" w:line="360" w:lineRule="auto"/>
              <w:ind w:firstLine="420" w:firstLineChars="200"/>
              <w:rPr>
                <w:rFonts w:hint="eastAsia" w:ascii="宋体" w:hAnsi="宋体" w:eastAsia="宋体" w:cs="宋体"/>
                <w:bCs w:val="0"/>
                <w:color w:val="auto"/>
                <w:kern w:val="2"/>
                <w:sz w:val="21"/>
                <w:szCs w:val="21"/>
                <w:highlight w:val="none"/>
                <w:lang w:val="en-US" w:eastAsia="zh-CN" w:bidi="ar-SA"/>
              </w:rPr>
            </w:pPr>
          </w:p>
        </w:tc>
        <w:tc>
          <w:tcPr>
            <w:tcW w:w="4747" w:type="dxa"/>
            <w:noWrap w:val="0"/>
            <w:vAlign w:val="top"/>
          </w:tcPr>
          <w:p w14:paraId="74168AD4">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法定代表人或</w:t>
            </w:r>
          </w:p>
          <w:p w14:paraId="795A55D6">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授权代表(签章)：</w:t>
            </w:r>
          </w:p>
        </w:tc>
      </w:tr>
      <w:tr w14:paraId="297B1979">
        <w:tblPrEx>
          <w:tblCellMar>
            <w:top w:w="0" w:type="dxa"/>
            <w:left w:w="108" w:type="dxa"/>
            <w:bottom w:w="0" w:type="dxa"/>
            <w:right w:w="108" w:type="dxa"/>
          </w:tblCellMar>
        </w:tblPrEx>
        <w:tc>
          <w:tcPr>
            <w:tcW w:w="4930" w:type="dxa"/>
            <w:noWrap w:val="0"/>
            <w:vAlign w:val="top"/>
          </w:tcPr>
          <w:p w14:paraId="1360C2ED">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地址：广东省东莞市松山湖园区新城路5号1栋505室</w:t>
            </w:r>
          </w:p>
        </w:tc>
        <w:tc>
          <w:tcPr>
            <w:tcW w:w="4747" w:type="dxa"/>
            <w:noWrap w:val="0"/>
            <w:vAlign w:val="top"/>
          </w:tcPr>
          <w:p w14:paraId="7FF4A0A7">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地址：</w:t>
            </w:r>
          </w:p>
        </w:tc>
      </w:tr>
      <w:tr w14:paraId="27A95265">
        <w:tblPrEx>
          <w:tblCellMar>
            <w:top w:w="0" w:type="dxa"/>
            <w:left w:w="108" w:type="dxa"/>
            <w:bottom w:w="0" w:type="dxa"/>
            <w:right w:w="108" w:type="dxa"/>
          </w:tblCellMar>
        </w:tblPrEx>
        <w:tc>
          <w:tcPr>
            <w:tcW w:w="4930" w:type="dxa"/>
            <w:noWrap w:val="0"/>
            <w:vAlign w:val="top"/>
          </w:tcPr>
          <w:p w14:paraId="676B8DA5">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电话：0769-26626338</w:t>
            </w:r>
          </w:p>
        </w:tc>
        <w:tc>
          <w:tcPr>
            <w:tcW w:w="4747" w:type="dxa"/>
            <w:noWrap w:val="0"/>
            <w:vAlign w:val="top"/>
          </w:tcPr>
          <w:p w14:paraId="45FEA59B">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电话：</w:t>
            </w:r>
          </w:p>
        </w:tc>
      </w:tr>
      <w:tr w14:paraId="409F332E">
        <w:tblPrEx>
          <w:tblCellMar>
            <w:top w:w="0" w:type="dxa"/>
            <w:left w:w="108" w:type="dxa"/>
            <w:bottom w:w="0" w:type="dxa"/>
            <w:right w:w="108" w:type="dxa"/>
          </w:tblCellMar>
        </w:tblPrEx>
        <w:tc>
          <w:tcPr>
            <w:tcW w:w="4930" w:type="dxa"/>
            <w:noWrap w:val="0"/>
            <w:vAlign w:val="top"/>
          </w:tcPr>
          <w:p w14:paraId="03E9C120">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 xml:space="preserve">开户银行：中信银行股份有限公司东莞大朗支行   </w:t>
            </w:r>
          </w:p>
        </w:tc>
        <w:tc>
          <w:tcPr>
            <w:tcW w:w="4747" w:type="dxa"/>
            <w:noWrap w:val="0"/>
            <w:vAlign w:val="top"/>
          </w:tcPr>
          <w:p w14:paraId="1200D907">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开户银行：</w:t>
            </w:r>
          </w:p>
        </w:tc>
      </w:tr>
      <w:tr w14:paraId="169B7E35">
        <w:tblPrEx>
          <w:tblCellMar>
            <w:top w:w="0" w:type="dxa"/>
            <w:left w:w="108" w:type="dxa"/>
            <w:bottom w:w="0" w:type="dxa"/>
            <w:right w:w="108" w:type="dxa"/>
          </w:tblCellMar>
        </w:tblPrEx>
        <w:tc>
          <w:tcPr>
            <w:tcW w:w="4930" w:type="dxa"/>
            <w:noWrap w:val="0"/>
            <w:vAlign w:val="top"/>
          </w:tcPr>
          <w:p w14:paraId="1D39E022">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银行账户：8110 9010 1130 0886 839</w:t>
            </w:r>
          </w:p>
        </w:tc>
        <w:tc>
          <w:tcPr>
            <w:tcW w:w="4747" w:type="dxa"/>
            <w:noWrap w:val="0"/>
            <w:vAlign w:val="top"/>
          </w:tcPr>
          <w:p w14:paraId="64278DBD">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银行账户：</w:t>
            </w:r>
          </w:p>
        </w:tc>
      </w:tr>
      <w:tr w14:paraId="275C4AB8">
        <w:tblPrEx>
          <w:tblCellMar>
            <w:top w:w="0" w:type="dxa"/>
            <w:left w:w="108" w:type="dxa"/>
            <w:bottom w:w="0" w:type="dxa"/>
            <w:right w:w="108" w:type="dxa"/>
          </w:tblCellMar>
        </w:tblPrEx>
        <w:tc>
          <w:tcPr>
            <w:tcW w:w="4930" w:type="dxa"/>
            <w:noWrap w:val="0"/>
            <w:vAlign w:val="top"/>
          </w:tcPr>
          <w:p w14:paraId="7EE9E771">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签订日期：   年    月    日</w:t>
            </w:r>
          </w:p>
        </w:tc>
        <w:tc>
          <w:tcPr>
            <w:tcW w:w="4747" w:type="dxa"/>
            <w:noWrap w:val="0"/>
            <w:vAlign w:val="top"/>
          </w:tcPr>
          <w:p w14:paraId="1ABA0A7E">
            <w:pPr>
              <w:pageBreakBefore w:val="0"/>
              <w:kinsoku/>
              <w:wordWrap/>
              <w:bidi w:val="0"/>
              <w:spacing w:after="0" w:line="360" w:lineRule="auto"/>
              <w:rPr>
                <w:rFonts w:hint="eastAsia" w:ascii="宋体" w:hAnsi="宋体" w:eastAsia="宋体" w:cs="宋体"/>
                <w:bCs w:val="0"/>
                <w:color w:val="auto"/>
                <w:kern w:val="2"/>
                <w:sz w:val="21"/>
                <w:szCs w:val="21"/>
                <w:highlight w:val="none"/>
                <w:lang w:val="en-US" w:eastAsia="zh-CN" w:bidi="ar-SA"/>
              </w:rPr>
            </w:pPr>
            <w:r>
              <w:rPr>
                <w:rFonts w:hint="eastAsia" w:ascii="宋体" w:hAnsi="宋体" w:eastAsia="宋体" w:cs="宋体"/>
                <w:bCs w:val="0"/>
                <w:color w:val="auto"/>
                <w:kern w:val="2"/>
                <w:sz w:val="21"/>
                <w:szCs w:val="21"/>
                <w:highlight w:val="none"/>
                <w:lang w:val="en-US" w:eastAsia="zh-CN" w:bidi="ar-SA"/>
              </w:rPr>
              <w:t>签订日期：   年    月    日</w:t>
            </w:r>
          </w:p>
        </w:tc>
      </w:tr>
    </w:tbl>
    <w:p w14:paraId="4BA63A30">
      <w:pPr>
        <w:pageBreakBefore w:val="0"/>
        <w:widowControl/>
        <w:kinsoku/>
        <w:wordWrap/>
        <w:bidi w:val="0"/>
        <w:spacing w:after="0" w:line="360" w:lineRule="auto"/>
        <w:jc w:val="left"/>
        <w:rPr>
          <w:rFonts w:hint="eastAsia" w:ascii="宋体" w:hAnsi="宋体" w:eastAsia="宋体" w:cs="宋体"/>
          <w:b/>
          <w:color w:val="auto"/>
          <w:sz w:val="21"/>
          <w:szCs w:val="21"/>
          <w:highlight w:val="none"/>
        </w:rPr>
        <w:sectPr>
          <w:footerReference r:id="rId7" w:type="default"/>
          <w:pgSz w:w="11907" w:h="16839"/>
          <w:pgMar w:top="1440" w:right="1080" w:bottom="1440" w:left="1080" w:header="850" w:footer="992" w:gutter="284"/>
          <w:pgBorders>
            <w:top w:val="none" w:sz="0" w:space="0"/>
            <w:left w:val="none" w:sz="0" w:space="0"/>
            <w:bottom w:val="none" w:sz="0" w:space="0"/>
            <w:right w:val="none" w:sz="0" w:space="0"/>
          </w:pgBorders>
          <w:pgNumType w:fmt="decimal"/>
          <w:cols w:space="720" w:num="1"/>
          <w:docGrid w:linePitch="360" w:charSpace="0"/>
        </w:sectPr>
      </w:pPr>
      <w:r>
        <w:rPr>
          <w:rFonts w:hint="eastAsia" w:ascii="宋体" w:hAnsi="宋体" w:eastAsia="宋体" w:cs="宋体"/>
          <w:b/>
          <w:color w:val="auto"/>
          <w:sz w:val="21"/>
          <w:szCs w:val="21"/>
          <w:highlight w:val="none"/>
        </w:rPr>
        <w:br w:type="page"/>
      </w:r>
    </w:p>
    <w:p w14:paraId="6811F126">
      <w:pPr>
        <w:pageBreakBefore w:val="0"/>
        <w:widowControl w:val="0"/>
        <w:kinsoku/>
        <w:wordWrap/>
        <w:bidi w:val="0"/>
        <w:spacing w:after="0" w:line="360" w:lineRule="auto"/>
        <w:ind w:left="0" w:leftChars="0" w:firstLine="0" w:firstLineChars="0"/>
        <w:jc w:val="both"/>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附件1 开票明细表</w:t>
      </w:r>
    </w:p>
    <w:p w14:paraId="57620041">
      <w:pPr>
        <w:pageBreakBefore w:val="0"/>
        <w:kinsoku/>
        <w:wordWrap/>
        <w:bidi w:val="0"/>
        <w:spacing w:after="0" w:line="360" w:lineRule="auto"/>
        <w:rPr>
          <w:rFonts w:hint="eastAsia" w:ascii="宋体" w:hAnsi="宋体" w:eastAsia="宋体" w:cs="宋体"/>
          <w:b/>
          <w:color w:val="auto"/>
          <w:sz w:val="21"/>
          <w:szCs w:val="21"/>
          <w:highlight w:val="none"/>
          <w:lang w:val="en-US" w:eastAsia="zh-CN"/>
        </w:rPr>
      </w:pPr>
    </w:p>
    <w:tbl>
      <w:tblPr>
        <w:tblStyle w:val="29"/>
        <w:tblW w:w="966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58"/>
        <w:gridCol w:w="1818"/>
        <w:gridCol w:w="1472"/>
        <w:gridCol w:w="702"/>
        <w:gridCol w:w="824"/>
        <w:gridCol w:w="1387"/>
        <w:gridCol w:w="1408"/>
      </w:tblGrid>
      <w:tr w14:paraId="7E20E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2" w:hRule="atLeast"/>
        </w:trPr>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78EDC">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开票类别</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5F26E">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开票内容</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8E438">
            <w:pPr>
              <w:keepNext w:val="0"/>
              <w:keepLines w:val="0"/>
              <w:pageBreakBefore w:val="0"/>
              <w:widowControl/>
              <w:suppressLineNumbers w:val="0"/>
              <w:kinsoku/>
              <w:wordWrap/>
              <w:bidi w:val="0"/>
              <w:spacing w:after="0" w:line="360" w:lineRule="auto"/>
              <w:jc w:val="center"/>
              <w:textAlignment w:val="center"/>
              <w:rPr>
                <w:rFonts w:hint="default"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型号</w:t>
            </w:r>
          </w:p>
        </w:tc>
        <w:tc>
          <w:tcPr>
            <w:tcW w:w="7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72D6C">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数量</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4D1F6">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单位</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6D5C2">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含税单价</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96F06">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税价合计</w:t>
            </w:r>
          </w:p>
        </w:tc>
      </w:tr>
      <w:tr w14:paraId="509BA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9" w:hRule="atLeast"/>
        </w:trPr>
        <w:tc>
          <w:tcPr>
            <w:tcW w:w="20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727AA8">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设备部分为合同款总额的80%，增值税率为13%</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5E686">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lang w:val="en-US"/>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3488F">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7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895CE">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F4F07">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8E22C">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15D76">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r>
      <w:tr w14:paraId="44F6F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0" w:hRule="atLeast"/>
        </w:trPr>
        <w:tc>
          <w:tcPr>
            <w:tcW w:w="2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2B823C">
            <w:pPr>
              <w:pageBreakBefore w:val="0"/>
              <w:kinsoku/>
              <w:wordWrap/>
              <w:bidi w:val="0"/>
              <w:spacing w:after="0" w:line="360" w:lineRule="auto"/>
              <w:jc w:val="center"/>
              <w:rPr>
                <w:rFonts w:hint="eastAsia" w:ascii="宋体" w:hAnsi="宋体" w:eastAsia="宋体" w:cs="宋体"/>
                <w:i w:val="0"/>
                <w:iCs w:val="0"/>
                <w:color w:val="auto"/>
                <w:sz w:val="21"/>
                <w:szCs w:val="21"/>
                <w:highlight w:val="none"/>
                <w:u w:val="none"/>
              </w:rPr>
            </w:pP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2B1D8">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B8801">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7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E4107">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ED0B8">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26E8E">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2E565">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r>
      <w:tr w14:paraId="373ACF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0" w:hRule="atLeast"/>
        </w:trPr>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6B1FE">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工程施工部分为合同款总额的20%，增值税率为9%</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9A08F">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工程施工</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897E7">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7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A211B">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B283C">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AFD21">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8A0A6">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i w:val="0"/>
                <w:iCs w:val="0"/>
                <w:color w:val="auto"/>
                <w:sz w:val="21"/>
                <w:szCs w:val="21"/>
                <w:highlight w:val="none"/>
                <w:u w:val="none"/>
              </w:rPr>
            </w:pPr>
          </w:p>
        </w:tc>
      </w:tr>
      <w:tr w14:paraId="274E6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3" w:hRule="atLeast"/>
        </w:trPr>
        <w:tc>
          <w:tcPr>
            <w:tcW w:w="966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68A641B">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合同总价：¥</w:t>
            </w:r>
            <w:r>
              <w:rPr>
                <w:rFonts w:hint="eastAsia" w:ascii="宋体" w:hAnsi="宋体" w:eastAsia="宋体" w:cs="宋体"/>
                <w:b/>
                <w:bCs/>
                <w:i w:val="0"/>
                <w:iCs w:val="0"/>
                <w:color w:val="auto"/>
                <w:kern w:val="0"/>
                <w:sz w:val="21"/>
                <w:szCs w:val="21"/>
                <w:highlight w:val="none"/>
                <w:u w:val="single"/>
                <w:lang w:val="en-US" w:eastAsia="zh-CN" w:bidi="ar"/>
              </w:rPr>
              <w:t xml:space="preserve"> </w:t>
            </w:r>
            <w:r>
              <w:rPr>
                <w:rFonts w:hint="eastAsia" w:ascii="宋体" w:hAnsi="宋体" w:cs="宋体"/>
                <w:b/>
                <w:bCs/>
                <w:i w:val="0"/>
                <w:iCs w:val="0"/>
                <w:color w:val="auto"/>
                <w:kern w:val="0"/>
                <w:sz w:val="21"/>
                <w:szCs w:val="21"/>
                <w:highlight w:val="none"/>
                <w:u w:val="single"/>
                <w:lang w:val="en-US" w:eastAsia="zh-CN" w:bidi="ar"/>
              </w:rPr>
              <w:t xml:space="preserve">     </w:t>
            </w:r>
            <w:r>
              <w:rPr>
                <w:rFonts w:hint="eastAsia" w:ascii="宋体" w:hAnsi="宋体" w:eastAsia="宋体" w:cs="宋体"/>
                <w:b/>
                <w:bCs/>
                <w:i w:val="0"/>
                <w:iCs w:val="0"/>
                <w:color w:val="auto"/>
                <w:kern w:val="0"/>
                <w:sz w:val="21"/>
                <w:szCs w:val="21"/>
                <w:highlight w:val="none"/>
                <w:u w:val="single"/>
                <w:lang w:val="en-US" w:eastAsia="zh-CN" w:bidi="ar"/>
              </w:rPr>
              <w:t xml:space="preserve"> 元</w:t>
            </w:r>
            <w:r>
              <w:rPr>
                <w:rFonts w:hint="eastAsia" w:ascii="宋体" w:hAnsi="宋体" w:eastAsia="宋体" w:cs="宋体"/>
                <w:b/>
                <w:bCs/>
                <w:i w:val="0"/>
                <w:iCs w:val="0"/>
                <w:color w:val="auto"/>
                <w:kern w:val="0"/>
                <w:sz w:val="21"/>
                <w:szCs w:val="21"/>
                <w:highlight w:val="none"/>
                <w:u w:val="none"/>
                <w:lang w:val="en-US" w:eastAsia="zh-CN" w:bidi="ar"/>
              </w:rPr>
              <w:t xml:space="preserve"> (人民币</w:t>
            </w:r>
            <w:r>
              <w:rPr>
                <w:rFonts w:hint="eastAsia" w:ascii="宋体" w:hAnsi="宋体" w:eastAsia="宋体" w:cs="宋体"/>
                <w:b/>
                <w:bCs/>
                <w:i w:val="0"/>
                <w:iCs w:val="0"/>
                <w:color w:val="auto"/>
                <w:kern w:val="0"/>
                <w:sz w:val="21"/>
                <w:szCs w:val="21"/>
                <w:highlight w:val="none"/>
                <w:u w:val="single"/>
                <w:lang w:val="en-US" w:eastAsia="zh-CN" w:bidi="ar"/>
              </w:rPr>
              <w:t xml:space="preserve">  )</w:t>
            </w:r>
          </w:p>
        </w:tc>
      </w:tr>
      <w:tr w14:paraId="5C22A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966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9180766">
            <w:pPr>
              <w:keepNext w:val="0"/>
              <w:keepLines w:val="0"/>
              <w:pageBreakBefore w:val="0"/>
              <w:widowControl/>
              <w:suppressLineNumbers w:val="0"/>
              <w:kinsoku/>
              <w:wordWrap/>
              <w:bidi w:val="0"/>
              <w:spacing w:after="0" w:line="36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备注：每套储能系统含1套储能嵌入式软件</w:t>
            </w:r>
          </w:p>
        </w:tc>
      </w:tr>
    </w:tbl>
    <w:p w14:paraId="70C033CB">
      <w:pPr>
        <w:pageBreakBefore w:val="0"/>
        <w:kinsoku/>
        <w:wordWrap/>
        <w:bidi w:val="0"/>
        <w:spacing w:after="0" w:line="36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br w:type="page"/>
      </w:r>
    </w:p>
    <w:p w14:paraId="11F884C8">
      <w:pPr>
        <w:pageBreakBefore w:val="0"/>
        <w:widowControl/>
        <w:kinsoku/>
        <w:wordWrap/>
        <w:bidi w:val="0"/>
        <w:spacing w:after="0" w:line="360" w:lineRule="auto"/>
        <w:ind w:left="0" w:leftChars="0" w:firstLine="0" w:firstLineChars="0"/>
        <w:jc w:val="left"/>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附件2：廉洁协议书</w:t>
      </w:r>
    </w:p>
    <w:p w14:paraId="2E41C0E0">
      <w:pPr>
        <w:pageBreakBefore w:val="0"/>
        <w:kinsoku/>
        <w:wordWrap/>
        <w:bidi w:val="0"/>
        <w:spacing w:after="0" w:line="360" w:lineRule="auto"/>
        <w:jc w:val="center"/>
        <w:outlineLvl w:val="1"/>
        <w:rPr>
          <w:rFonts w:hint="eastAsia" w:ascii="宋体" w:hAnsi="宋体" w:eastAsia="宋体" w:cs="宋体"/>
          <w:b/>
          <w:bCs/>
          <w:color w:val="auto"/>
          <w:sz w:val="21"/>
          <w:szCs w:val="21"/>
          <w:highlight w:val="none"/>
        </w:rPr>
      </w:pPr>
      <w:bookmarkStart w:id="113" w:name="_Toc27047"/>
      <w:r>
        <w:rPr>
          <w:rFonts w:hint="eastAsia" w:ascii="宋体" w:hAnsi="宋体" w:eastAsia="宋体" w:cs="宋体"/>
          <w:b/>
          <w:bCs/>
          <w:color w:val="auto"/>
          <w:sz w:val="21"/>
          <w:szCs w:val="21"/>
          <w:highlight w:val="none"/>
        </w:rPr>
        <w:t>廉洁协议书</w:t>
      </w:r>
      <w:bookmarkEnd w:id="113"/>
    </w:p>
    <w:p w14:paraId="17FFE4DF">
      <w:pPr>
        <w:pageBreakBefore w:val="0"/>
        <w:kinsoku/>
        <w:wordWrap/>
        <w:bidi w:val="0"/>
        <w:spacing w:after="0" w:line="360" w:lineRule="auto"/>
        <w:rPr>
          <w:rFonts w:hint="eastAsia" w:ascii="宋体" w:hAnsi="宋体" w:eastAsia="宋体" w:cs="宋体"/>
          <w:color w:val="auto"/>
          <w:sz w:val="21"/>
          <w:szCs w:val="21"/>
          <w:highlight w:val="none"/>
        </w:rPr>
      </w:pPr>
    </w:p>
    <w:p w14:paraId="0137FBA2">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项目名称：                         </w:t>
      </w:r>
    </w:p>
    <w:p w14:paraId="2C14DFF3">
      <w:pPr>
        <w:keepNext w:val="0"/>
        <w:keepLines w:val="0"/>
        <w:pageBreakBefore w:val="0"/>
        <w:widowControl w:val="0"/>
        <w:kinsoku/>
        <w:wordWrap/>
        <w:overflowPunct/>
        <w:topLinePunct w:val="0"/>
        <w:autoSpaceDE/>
        <w:autoSpaceDN/>
        <w:bidi w:val="0"/>
        <w:adjustRightInd w:val="0"/>
        <w:snapToGrid w:val="0"/>
        <w:spacing w:after="0" w:line="360" w:lineRule="auto"/>
        <w:ind w:left="0" w:leftChars="0" w:right="0" w:rightChars="0" w:firstLine="420" w:firstLineChars="200"/>
        <w:jc w:val="both"/>
        <w:textAlignment w:val="auto"/>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w:t>
      </w:r>
      <w:r>
        <w:rPr>
          <w:rFonts w:hint="eastAsia" w:ascii="宋体" w:hAnsi="宋体" w:eastAsia="宋体" w:cs="宋体"/>
          <w:color w:val="auto"/>
          <w:sz w:val="21"/>
          <w:szCs w:val="21"/>
          <w:highlight w:val="none"/>
          <w:u w:val="single"/>
        </w:rPr>
        <w:t>东莞市新有能源投资有限公司</w:t>
      </w:r>
    </w:p>
    <w:p w14:paraId="0D9234B1">
      <w:pPr>
        <w:pageBreakBefore w:val="0"/>
        <w:kinsoku/>
        <w:wordWrap/>
        <w:bidi w:val="0"/>
        <w:adjustRightInd w:val="0"/>
        <w:snapToGrid w:val="0"/>
        <w:spacing w:after="0" w:line="360" w:lineRule="auto"/>
        <w:ind w:firstLine="420" w:firstLineChars="200"/>
        <w:rPr>
          <w:rFonts w:hint="default"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rPr>
        <w:t>乙方：</w:t>
      </w:r>
      <w:r>
        <w:rPr>
          <w:rFonts w:hint="eastAsia" w:ascii="宋体" w:hAnsi="宋体" w:eastAsia="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lang w:val="en-US" w:eastAsia="zh-CN"/>
        </w:rPr>
        <w:t xml:space="preserve">                 </w:t>
      </w:r>
    </w:p>
    <w:p w14:paraId="73CF05F0">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规范甲乙双方在订立、履行合同及经济业务往来过程中的行为，保持廉洁自律的工作作风,防止各种违法及不正当行为的发生,确保甲乙双方及其工作人员自觉遵守国家法律、法规及廉洁从业各项规定，特订立本协议。</w:t>
      </w:r>
    </w:p>
    <w:p w14:paraId="299522D6">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p>
    <w:p w14:paraId="48432F04">
      <w:pPr>
        <w:pageBreakBefore w:val="0"/>
        <w:kinsoku/>
        <w:wordWrap/>
        <w:bidi w:val="0"/>
        <w:adjustRightInd w:val="0"/>
        <w:snapToGrid w:val="0"/>
        <w:spacing w:after="0" w:line="360" w:lineRule="auto"/>
        <w:ind w:firstLine="422" w:firstLineChars="200"/>
        <w:outlineLvl w:val="0"/>
        <w:rPr>
          <w:rFonts w:hint="eastAsia" w:ascii="宋体" w:hAnsi="宋体" w:eastAsia="宋体" w:cs="宋体"/>
          <w:b/>
          <w:bCs/>
          <w:color w:val="auto"/>
          <w:sz w:val="21"/>
          <w:szCs w:val="21"/>
          <w:highlight w:val="none"/>
        </w:rPr>
      </w:pPr>
      <w:bookmarkStart w:id="114" w:name="_Toc4319"/>
      <w:r>
        <w:rPr>
          <w:rFonts w:hint="eastAsia" w:ascii="宋体" w:hAnsi="宋体" w:eastAsia="宋体" w:cs="宋体"/>
          <w:b/>
          <w:bCs/>
          <w:color w:val="auto"/>
          <w:sz w:val="21"/>
          <w:szCs w:val="21"/>
          <w:highlight w:val="none"/>
        </w:rPr>
        <w:t>第一条  甲乙双方的权利和义务</w:t>
      </w:r>
      <w:bookmarkEnd w:id="114"/>
    </w:p>
    <w:p w14:paraId="5B06EAF6">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（一）严格遵守党和国家有关法律法规等有关廉洁从业规定。</w:t>
      </w:r>
    </w:p>
    <w:p w14:paraId="2372BD5E">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（二）严格执行本项目的合同文件，自觉按合同办事。</w:t>
      </w:r>
    </w:p>
    <w:p w14:paraId="5CF7635B">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（三）双方的业务活动坚持公开、公正、诚信、透明的原则（除法律认定的商业秘密和合同文件另有规定之外）不得损害国家和集体利益，违反服务建设管理及其他法律法规规章制度。</w:t>
      </w:r>
    </w:p>
    <w:p w14:paraId="26674D46">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（四）建立健全廉洁制度，开展廉洁教育，设立廉洁监督公示牌，公布举报电话，监督并认真查处违法违纪行为。</w:t>
      </w:r>
    </w:p>
    <w:p w14:paraId="70973123">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（五）发现对方在业务活动中有违反廉洁规定的行为，有及时提醒对方纠正的权利和义务。</w:t>
      </w:r>
    </w:p>
    <w:p w14:paraId="12A3B12E">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（六）发现对方严重违反本协议义务条款的行为，有向其上级有关部门举报、建议给予处理并要求告知处理结果的权利。</w:t>
      </w:r>
    </w:p>
    <w:p w14:paraId="256A2F0B">
      <w:pPr>
        <w:pageBreakBefore w:val="0"/>
        <w:kinsoku/>
        <w:wordWrap/>
        <w:bidi w:val="0"/>
        <w:adjustRightInd w:val="0"/>
        <w:snapToGrid w:val="0"/>
        <w:spacing w:after="0" w:line="360" w:lineRule="auto"/>
        <w:ind w:firstLine="422" w:firstLineChars="200"/>
        <w:outlineLvl w:val="0"/>
        <w:rPr>
          <w:rFonts w:hint="eastAsia" w:ascii="宋体" w:hAnsi="宋体" w:eastAsia="宋体" w:cs="宋体"/>
          <w:b/>
          <w:bCs/>
          <w:color w:val="auto"/>
          <w:sz w:val="21"/>
          <w:szCs w:val="21"/>
          <w:highlight w:val="none"/>
        </w:rPr>
      </w:pPr>
      <w:bookmarkStart w:id="115" w:name="_Toc30481"/>
      <w:r>
        <w:rPr>
          <w:rFonts w:hint="eastAsia" w:ascii="宋体" w:hAnsi="宋体" w:eastAsia="宋体" w:cs="宋体"/>
          <w:b/>
          <w:bCs/>
          <w:color w:val="auto"/>
          <w:sz w:val="21"/>
          <w:szCs w:val="21"/>
          <w:highlight w:val="none"/>
        </w:rPr>
        <w:t>第二条  甲方的义务</w:t>
      </w:r>
      <w:bookmarkEnd w:id="115"/>
    </w:p>
    <w:p w14:paraId="4C43DD62">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（一）甲方及其工作人员不得索要或接受乙方的礼金、有价证券和贵重物品，不得在乙方报销任何应由甲方或个人支付的费用。</w:t>
      </w:r>
    </w:p>
    <w:p w14:paraId="324C7A08">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（二）甲方工作人员不得参加乙方安排的高消费宴请和娱乐活动；不得接受乙方提供的通讯工具、交通工具和高档办公用品。</w:t>
      </w:r>
    </w:p>
    <w:p w14:paraId="739A9970">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（三）甲方及其工作人员不得要求或者接受乙方为其住房装修、婚丧嫁娶活动、家属或亲友的工作安排以及出国出境、旅游等提供方便。</w:t>
      </w:r>
    </w:p>
    <w:p w14:paraId="5C88A51F">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（四）甲方工作人员不得向乙方介绍其家属或者亲友（包括家属或亲友开办的公司企业）从事于本项目涉及的经济业务活动。</w:t>
      </w:r>
    </w:p>
    <w:p w14:paraId="2F696E13">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（五）甲方及其工作人员不得以任何理由向乙方推荐分包单位，不得要求乙方购买合同规定外的材料和设备。</w:t>
      </w:r>
    </w:p>
    <w:p w14:paraId="631E1DA9">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（六）甲方及其工作人员不得进行违反廉洁规定的其他活动。</w:t>
      </w:r>
    </w:p>
    <w:p w14:paraId="1A02CC5D">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（七）甲方应对甲方工作人员进行廉洁监督管理，如甲方工作人员违反本协议第一、第二条，甲方应依据有关法律法规、党纪规定对其进行处理；涉嫌犯罪的，甲方应将其移交司法机关追究刑事责任。</w:t>
      </w:r>
    </w:p>
    <w:p w14:paraId="4F858DED">
      <w:pPr>
        <w:pageBreakBefore w:val="0"/>
        <w:kinsoku/>
        <w:wordWrap/>
        <w:bidi w:val="0"/>
        <w:adjustRightInd w:val="0"/>
        <w:snapToGrid w:val="0"/>
        <w:spacing w:after="0" w:line="360" w:lineRule="auto"/>
        <w:ind w:firstLine="422" w:firstLineChars="200"/>
        <w:outlineLvl w:val="0"/>
        <w:rPr>
          <w:rFonts w:hint="eastAsia" w:ascii="宋体" w:hAnsi="宋体" w:eastAsia="宋体" w:cs="宋体"/>
          <w:b/>
          <w:bCs/>
          <w:color w:val="auto"/>
          <w:sz w:val="21"/>
          <w:szCs w:val="21"/>
          <w:highlight w:val="none"/>
        </w:rPr>
      </w:pPr>
      <w:bookmarkStart w:id="116" w:name="_Toc19097"/>
      <w:r>
        <w:rPr>
          <w:rFonts w:hint="eastAsia" w:ascii="宋体" w:hAnsi="宋体" w:eastAsia="宋体" w:cs="宋体"/>
          <w:b/>
          <w:bCs/>
          <w:color w:val="auto"/>
          <w:sz w:val="21"/>
          <w:szCs w:val="21"/>
          <w:highlight w:val="none"/>
        </w:rPr>
        <w:t>第三条  乙方义务</w:t>
      </w:r>
      <w:bookmarkEnd w:id="116"/>
    </w:p>
    <w:p w14:paraId="3974D5E7">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（一）乙方不得以任何理由向甲方及其工作人员馈赠礼金、有价证券、贵重礼品，或报销应由甲方单位或个人支付的任何费用。</w:t>
      </w:r>
    </w:p>
    <w:p w14:paraId="330CF769">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（二）乙方及其工作人员不得以考察、参观、洽谈业务、签订合同等的借口邀请甲方及其工作人员参加高消费的宴请、娱乐和健身等活动。</w:t>
      </w:r>
    </w:p>
    <w:p w14:paraId="68D247D4">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（三）乙方不得为甲方单位和个人购置或提供通讯工具、交通工具和高档办公用品等。</w:t>
      </w:r>
    </w:p>
    <w:p w14:paraId="1B7847F2">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（四）乙方及其工作人员不得为甲方工作人员购买、装修、维修私人住房、汽车等。</w:t>
      </w:r>
    </w:p>
    <w:p w14:paraId="221921A1">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（五）乙方及其工作人员不得为甲方工作人员的婚丧嫁娶、家属或亲友的工作安排，及出国出境提供方便以及报销任何私人消费的费用。</w:t>
      </w:r>
    </w:p>
    <w:p w14:paraId="2C500911">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（六）乙方及其工作人员不得进行影响甲方及其工作人员公正执行合同和履行职务的其他活动。</w:t>
      </w:r>
    </w:p>
    <w:p w14:paraId="2A052C01">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乙方应对乙方工作人员进行廉洁监督管理，如乙方工作人员违反本协议第一、第三条，乙方应依据有关法律法规、党纪规定对其进行处理；乙方工作人员涉嫌犯罪的，乙方应将其移交司法机关追究刑事责任。</w:t>
      </w:r>
    </w:p>
    <w:p w14:paraId="4006EB5B">
      <w:pPr>
        <w:pageBreakBefore w:val="0"/>
        <w:kinsoku/>
        <w:wordWrap/>
        <w:bidi w:val="0"/>
        <w:adjustRightInd w:val="0"/>
        <w:snapToGrid w:val="0"/>
        <w:spacing w:after="0" w:line="360" w:lineRule="auto"/>
        <w:ind w:firstLine="422" w:firstLineChars="200"/>
        <w:outlineLvl w:val="0"/>
        <w:rPr>
          <w:rFonts w:hint="eastAsia" w:ascii="宋体" w:hAnsi="宋体" w:eastAsia="宋体" w:cs="宋体"/>
          <w:b/>
          <w:bCs/>
          <w:color w:val="auto"/>
          <w:sz w:val="21"/>
          <w:szCs w:val="21"/>
          <w:highlight w:val="none"/>
        </w:rPr>
      </w:pPr>
      <w:bookmarkStart w:id="117" w:name="_Toc12434"/>
      <w:r>
        <w:rPr>
          <w:rFonts w:hint="eastAsia" w:ascii="宋体" w:hAnsi="宋体" w:eastAsia="宋体" w:cs="宋体"/>
          <w:b/>
          <w:bCs/>
          <w:color w:val="auto"/>
          <w:sz w:val="21"/>
          <w:szCs w:val="21"/>
          <w:highlight w:val="none"/>
        </w:rPr>
        <w:t>第四条  违约责任</w:t>
      </w:r>
      <w:bookmarkEnd w:id="117"/>
    </w:p>
    <w:p w14:paraId="06A01874">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（一）甲方违反本协议第一、第二条给乙方单位造成经济损失的，应予以赔偿。</w:t>
      </w:r>
    </w:p>
    <w:p w14:paraId="0099746D">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（二）乙方违反本协议第一、第三条给甲方单位造成经济损失的，应予以赔偿。</w:t>
      </w:r>
    </w:p>
    <w:p w14:paraId="6FD1729E">
      <w:pPr>
        <w:pageBreakBefore w:val="0"/>
        <w:kinsoku/>
        <w:wordWrap/>
        <w:bidi w:val="0"/>
        <w:adjustRightInd w:val="0"/>
        <w:snapToGrid w:val="0"/>
        <w:spacing w:after="0" w:line="360" w:lineRule="auto"/>
        <w:ind w:firstLine="422" w:firstLineChars="200"/>
        <w:outlineLvl w:val="0"/>
        <w:rPr>
          <w:rFonts w:hint="eastAsia" w:ascii="宋体" w:hAnsi="宋体" w:eastAsia="宋体" w:cs="宋体"/>
          <w:b/>
          <w:bCs/>
          <w:color w:val="auto"/>
          <w:sz w:val="21"/>
          <w:szCs w:val="21"/>
          <w:highlight w:val="none"/>
        </w:rPr>
      </w:pPr>
      <w:bookmarkStart w:id="118" w:name="_Toc17449"/>
      <w:r>
        <w:rPr>
          <w:rFonts w:hint="eastAsia" w:ascii="宋体" w:hAnsi="宋体" w:eastAsia="宋体" w:cs="宋体"/>
          <w:b/>
          <w:bCs/>
          <w:color w:val="auto"/>
          <w:sz w:val="21"/>
          <w:szCs w:val="21"/>
          <w:highlight w:val="none"/>
        </w:rPr>
        <w:t>第五条  监督检查</w:t>
      </w:r>
      <w:bookmarkEnd w:id="118"/>
    </w:p>
    <w:p w14:paraId="6C38635B">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甲乙双方的廉洁从业行为由双方或双方上级单位的纪检、监察负责监督，对本协议履行情况进行检查。</w:t>
      </w:r>
    </w:p>
    <w:p w14:paraId="14F5CBEF">
      <w:pPr>
        <w:pageBreakBefore w:val="0"/>
        <w:kinsoku/>
        <w:wordWrap/>
        <w:bidi w:val="0"/>
        <w:adjustRightInd w:val="0"/>
        <w:snapToGrid w:val="0"/>
        <w:spacing w:after="0" w:line="360" w:lineRule="auto"/>
        <w:ind w:firstLine="422" w:firstLineChars="200"/>
        <w:outlineLvl w:val="0"/>
        <w:rPr>
          <w:rFonts w:hint="eastAsia" w:ascii="宋体" w:hAnsi="宋体" w:eastAsia="宋体" w:cs="宋体"/>
          <w:b/>
          <w:bCs/>
          <w:color w:val="auto"/>
          <w:sz w:val="21"/>
          <w:szCs w:val="21"/>
          <w:highlight w:val="none"/>
        </w:rPr>
      </w:pPr>
      <w:bookmarkStart w:id="119" w:name="_Toc17236"/>
      <w:r>
        <w:rPr>
          <w:rFonts w:hint="eastAsia" w:ascii="宋体" w:hAnsi="宋体" w:eastAsia="宋体" w:cs="宋体"/>
          <w:b/>
          <w:bCs/>
          <w:color w:val="auto"/>
          <w:sz w:val="21"/>
          <w:szCs w:val="21"/>
          <w:highlight w:val="none"/>
        </w:rPr>
        <w:t>第六条  其他</w:t>
      </w:r>
      <w:bookmarkEnd w:id="119"/>
    </w:p>
    <w:p w14:paraId="279CE6E1">
      <w:pPr>
        <w:pageBreakBefore w:val="0"/>
        <w:kinsoku/>
        <w:wordWrap/>
        <w:bidi w:val="0"/>
        <w:adjustRightInd w:val="0"/>
        <w:snapToGrid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本协议有效期为甲乙双方签字并加盖公章之日起至该服务期满后止。本协议一式</w:t>
      </w:r>
      <w:r>
        <w:rPr>
          <w:rFonts w:hint="eastAsia" w:ascii="宋体" w:hAnsi="宋体" w:eastAsia="宋体" w:cs="宋体"/>
          <w:color w:val="auto"/>
          <w:sz w:val="21"/>
          <w:szCs w:val="21"/>
          <w:highlight w:val="none"/>
          <w:lang w:val="en-US" w:eastAsia="zh-CN"/>
        </w:rPr>
        <w:t>肆</w:t>
      </w:r>
      <w:r>
        <w:rPr>
          <w:rFonts w:hint="eastAsia" w:ascii="宋体" w:hAnsi="宋体" w:eastAsia="宋体" w:cs="宋体"/>
          <w:color w:val="auto"/>
          <w:sz w:val="21"/>
          <w:szCs w:val="21"/>
          <w:highlight w:val="none"/>
        </w:rPr>
        <w:t>份，甲</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乙</w:t>
      </w:r>
      <w:r>
        <w:rPr>
          <w:rFonts w:hint="eastAsia" w:ascii="宋体" w:hAnsi="宋体" w:eastAsia="宋体" w:cs="宋体"/>
          <w:color w:val="auto"/>
          <w:sz w:val="21"/>
          <w:szCs w:val="21"/>
          <w:highlight w:val="none"/>
        </w:rPr>
        <w:t>双方各执</w:t>
      </w:r>
      <w:r>
        <w:rPr>
          <w:rFonts w:hint="eastAsia" w:ascii="宋体" w:hAnsi="宋体" w:eastAsia="宋体" w:cs="宋体"/>
          <w:color w:val="auto"/>
          <w:sz w:val="21"/>
          <w:szCs w:val="21"/>
          <w:highlight w:val="none"/>
          <w:lang w:val="en-US" w:eastAsia="zh-CN"/>
        </w:rPr>
        <w:t>贰</w:t>
      </w:r>
      <w:r>
        <w:rPr>
          <w:rFonts w:hint="eastAsia" w:ascii="宋体" w:hAnsi="宋体" w:eastAsia="宋体" w:cs="宋体"/>
          <w:color w:val="auto"/>
          <w:sz w:val="21"/>
          <w:szCs w:val="21"/>
          <w:highlight w:val="none"/>
        </w:rPr>
        <w:t>份。</w:t>
      </w:r>
    </w:p>
    <w:tbl>
      <w:tblPr>
        <w:tblStyle w:val="29"/>
        <w:tblpPr w:leftFromText="180" w:rightFromText="180" w:vertAnchor="text" w:horzAnchor="page" w:tblpX="1360" w:tblpY="443"/>
        <w:tblOverlap w:val="never"/>
        <w:tblW w:w="10192" w:type="dxa"/>
        <w:tblInd w:w="0" w:type="dxa"/>
        <w:tblLayout w:type="fixed"/>
        <w:tblCellMar>
          <w:top w:w="0" w:type="dxa"/>
          <w:left w:w="108" w:type="dxa"/>
          <w:bottom w:w="0" w:type="dxa"/>
          <w:right w:w="108" w:type="dxa"/>
        </w:tblCellMar>
      </w:tblPr>
      <w:tblGrid>
        <w:gridCol w:w="5362"/>
        <w:gridCol w:w="4830"/>
      </w:tblGrid>
      <w:tr w14:paraId="29B28A8B">
        <w:tblPrEx>
          <w:tblCellMar>
            <w:top w:w="0" w:type="dxa"/>
            <w:left w:w="108" w:type="dxa"/>
            <w:bottom w:w="0" w:type="dxa"/>
            <w:right w:w="108" w:type="dxa"/>
          </w:tblCellMar>
        </w:tblPrEx>
        <w:trPr>
          <w:trHeight w:val="758" w:hRule="atLeast"/>
        </w:trPr>
        <w:tc>
          <w:tcPr>
            <w:tcW w:w="5362" w:type="dxa"/>
            <w:noWrap w:val="0"/>
            <w:vAlign w:val="top"/>
          </w:tcPr>
          <w:p w14:paraId="1F0FE06D">
            <w:pPr>
              <w:pageBreakBefore w:val="0"/>
              <w:kinsoku/>
              <w:wordWrap/>
              <w:bidi w:val="0"/>
              <w:spacing w:after="0" w:line="360" w:lineRule="auto"/>
              <w:rPr>
                <w:rFonts w:hint="eastAsia" w:ascii="宋体" w:hAnsi="宋体" w:eastAsia="宋体" w:cs="宋体"/>
                <w:b/>
                <w:bCs/>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甲方（盖章）：东莞市新有能源投资有限公司</w:t>
            </w:r>
          </w:p>
        </w:tc>
        <w:tc>
          <w:tcPr>
            <w:tcW w:w="4830" w:type="dxa"/>
            <w:noWrap w:val="0"/>
            <w:vAlign w:val="top"/>
          </w:tcPr>
          <w:p w14:paraId="737D3FA9">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乙方(盖章)：  </w:t>
            </w:r>
          </w:p>
        </w:tc>
      </w:tr>
      <w:tr w14:paraId="4DFD37E1">
        <w:tblPrEx>
          <w:tblCellMar>
            <w:top w:w="0" w:type="dxa"/>
            <w:left w:w="108" w:type="dxa"/>
            <w:bottom w:w="0" w:type="dxa"/>
            <w:right w:w="108" w:type="dxa"/>
          </w:tblCellMar>
        </w:tblPrEx>
        <w:tc>
          <w:tcPr>
            <w:tcW w:w="5362" w:type="dxa"/>
            <w:noWrap w:val="0"/>
            <w:vAlign w:val="top"/>
          </w:tcPr>
          <w:p w14:paraId="16FE9081">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法定代表人或</w:t>
            </w:r>
          </w:p>
          <w:p w14:paraId="1E4AE30B">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授权代表(签章)：</w:t>
            </w:r>
          </w:p>
        </w:tc>
        <w:tc>
          <w:tcPr>
            <w:tcW w:w="4830" w:type="dxa"/>
            <w:noWrap w:val="0"/>
            <w:vAlign w:val="top"/>
          </w:tcPr>
          <w:p w14:paraId="5F345B53">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法定代表人或</w:t>
            </w:r>
          </w:p>
          <w:p w14:paraId="44C2B302">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授权代表(签章)：</w:t>
            </w:r>
          </w:p>
          <w:p w14:paraId="741A1A7D">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tc>
      </w:tr>
      <w:tr w14:paraId="67EE2931">
        <w:tblPrEx>
          <w:tblCellMar>
            <w:top w:w="0" w:type="dxa"/>
            <w:left w:w="108" w:type="dxa"/>
            <w:bottom w:w="0" w:type="dxa"/>
            <w:right w:w="108" w:type="dxa"/>
          </w:tblCellMar>
        </w:tblPrEx>
        <w:trPr>
          <w:trHeight w:val="608" w:hRule="atLeast"/>
        </w:trPr>
        <w:tc>
          <w:tcPr>
            <w:tcW w:w="5362" w:type="dxa"/>
            <w:noWrap w:val="0"/>
            <w:vAlign w:val="top"/>
          </w:tcPr>
          <w:p w14:paraId="1E5308BF">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签订日期：    年    月    日</w:t>
            </w:r>
          </w:p>
        </w:tc>
        <w:tc>
          <w:tcPr>
            <w:tcW w:w="4830" w:type="dxa"/>
            <w:noWrap w:val="0"/>
            <w:vAlign w:val="top"/>
          </w:tcPr>
          <w:p w14:paraId="77E9967E">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签订日期：    年    月    日</w:t>
            </w:r>
          </w:p>
        </w:tc>
      </w:tr>
    </w:tbl>
    <w:p w14:paraId="09EE7E8F">
      <w:pPr>
        <w:pageBreakBefore w:val="0"/>
        <w:tabs>
          <w:tab w:val="left" w:pos="202"/>
        </w:tabs>
        <w:kinsoku/>
        <w:wordWrap/>
        <w:bidi w:val="0"/>
        <w:spacing w:after="0" w:line="360" w:lineRule="auto"/>
        <w:jc w:val="left"/>
        <w:rPr>
          <w:rFonts w:hint="eastAsia" w:ascii="宋体" w:hAnsi="宋体" w:eastAsia="宋体" w:cs="宋体"/>
          <w:color w:val="auto"/>
          <w:sz w:val="21"/>
          <w:szCs w:val="21"/>
          <w:highlight w:val="none"/>
          <w:lang w:val="en-US" w:eastAsia="zh-CN"/>
        </w:rPr>
        <w:sectPr>
          <w:footerReference r:id="rId9" w:type="first"/>
          <w:footerReference r:id="rId8" w:type="default"/>
          <w:pgSz w:w="11907" w:h="16839"/>
          <w:pgMar w:top="1440" w:right="1080" w:bottom="1440" w:left="1080" w:header="850" w:footer="992" w:gutter="284"/>
          <w:pgBorders>
            <w:top w:val="none" w:sz="0" w:space="0"/>
            <w:left w:val="none" w:sz="0" w:space="0"/>
            <w:bottom w:val="none" w:sz="0" w:space="0"/>
            <w:right w:val="none" w:sz="0" w:space="0"/>
          </w:pgBorders>
          <w:pgNumType w:fmt="decimal"/>
          <w:cols w:space="720" w:num="1"/>
          <w:titlePg/>
          <w:docGrid w:linePitch="360" w:charSpace="0"/>
        </w:sectPr>
      </w:pPr>
    </w:p>
    <w:p w14:paraId="2D5289A7">
      <w:pPr>
        <w:pageBreakBefore w:val="0"/>
        <w:widowControl/>
        <w:kinsoku/>
        <w:wordWrap/>
        <w:bidi w:val="0"/>
        <w:spacing w:after="0" w:line="360" w:lineRule="auto"/>
        <w:ind w:left="0" w:leftChars="0" w:firstLine="0" w:firstLineChars="0"/>
        <w:jc w:val="left"/>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附件3：不拖欠农民工工资承诺书</w:t>
      </w:r>
    </w:p>
    <w:p w14:paraId="2F69235C">
      <w:pPr>
        <w:pageBreakBefore w:val="0"/>
        <w:kinsoku/>
        <w:wordWrap/>
        <w:bidi w:val="0"/>
        <w:spacing w:after="0" w:line="360" w:lineRule="auto"/>
        <w:ind w:firstLine="643"/>
        <w:outlineLvl w:val="9"/>
        <w:rPr>
          <w:rFonts w:hint="eastAsia" w:ascii="宋体" w:hAnsi="宋体" w:eastAsia="宋体" w:cs="宋体"/>
          <w:color w:val="auto"/>
          <w:sz w:val="24"/>
          <w:szCs w:val="24"/>
          <w:highlight w:val="none"/>
        </w:rPr>
      </w:pPr>
    </w:p>
    <w:p w14:paraId="4385A6F4">
      <w:pPr>
        <w:pageBreakBefore w:val="0"/>
        <w:numPr>
          <w:ilvl w:val="0"/>
          <w:numId w:val="0"/>
        </w:numPr>
        <w:kinsoku/>
        <w:wordWrap/>
        <w:bidi w:val="0"/>
        <w:adjustRightInd w:val="0"/>
        <w:snapToGrid w:val="0"/>
        <w:spacing w:after="0" w:line="360" w:lineRule="auto"/>
        <w:ind w:leftChars="0"/>
        <w:jc w:val="center"/>
        <w:outlineLvl w:val="0"/>
        <w:rPr>
          <w:rFonts w:hint="eastAsia" w:ascii="宋体" w:hAnsi="宋体" w:eastAsia="宋体" w:cs="宋体"/>
          <w:b w:val="0"/>
          <w:color w:val="auto"/>
          <w:kern w:val="2"/>
          <w:sz w:val="21"/>
          <w:szCs w:val="21"/>
          <w:highlight w:val="none"/>
          <w:lang w:val="en-US" w:eastAsia="zh-CN" w:bidi="ar-SA"/>
        </w:rPr>
      </w:pPr>
      <w:bookmarkStart w:id="120" w:name="_Toc28005"/>
      <w:bookmarkStart w:id="121" w:name="_Toc27388"/>
      <w:bookmarkStart w:id="122" w:name="_Toc2531"/>
      <w:bookmarkStart w:id="123" w:name="_Toc1174"/>
      <w:bookmarkStart w:id="124" w:name="_Toc20516"/>
      <w:bookmarkStart w:id="125" w:name="_Toc20225"/>
      <w:bookmarkStart w:id="126" w:name="_Toc14513"/>
      <w:bookmarkStart w:id="127" w:name="_Toc488"/>
      <w:r>
        <w:rPr>
          <w:rFonts w:hint="eastAsia" w:ascii="宋体" w:hAnsi="宋体" w:eastAsia="宋体" w:cs="宋体"/>
          <w:b w:val="0"/>
          <w:color w:val="auto"/>
          <w:kern w:val="2"/>
          <w:sz w:val="24"/>
          <w:szCs w:val="24"/>
          <w:highlight w:val="none"/>
          <w:lang w:val="en-US" w:eastAsia="zh-CN" w:bidi="ar-SA"/>
        </w:rPr>
        <w:t>不拖欠农民工工资承诺书</w:t>
      </w:r>
      <w:bookmarkEnd w:id="120"/>
      <w:bookmarkEnd w:id="121"/>
      <w:bookmarkEnd w:id="122"/>
      <w:bookmarkEnd w:id="123"/>
      <w:bookmarkEnd w:id="124"/>
      <w:bookmarkEnd w:id="125"/>
      <w:bookmarkEnd w:id="126"/>
      <w:bookmarkEnd w:id="127"/>
    </w:p>
    <w:p w14:paraId="0784B521">
      <w:pPr>
        <w:pageBreakBefore w:val="0"/>
        <w:kinsoku/>
        <w:wordWrap/>
        <w:bidi w:val="0"/>
        <w:spacing w:after="0" w:line="360" w:lineRule="auto"/>
        <w:ind w:firstLine="643"/>
        <w:jc w:val="center"/>
        <w:rPr>
          <w:rFonts w:hint="eastAsia" w:ascii="宋体" w:hAnsi="宋体" w:eastAsia="宋体" w:cs="宋体"/>
          <w:b/>
          <w:color w:val="auto"/>
          <w:sz w:val="21"/>
          <w:szCs w:val="21"/>
          <w:highlight w:val="none"/>
        </w:rPr>
      </w:pPr>
    </w:p>
    <w:p w14:paraId="52F4FBDA">
      <w:pPr>
        <w:pageBreakBefore w:val="0"/>
        <w:kinsoku/>
        <w:wordWrap/>
        <w:bidi w:val="0"/>
        <w:spacing w:after="0" w:line="360" w:lineRule="auto"/>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我公司承诺我公司承接的</w:t>
      </w:r>
      <w:r>
        <w:rPr>
          <w:rFonts w:hint="eastAsia" w:ascii="宋体" w:hAnsi="宋体" w:eastAsia="宋体" w:cs="宋体"/>
          <w:color w:val="auto"/>
          <w:sz w:val="21"/>
          <w:szCs w:val="21"/>
          <w:highlight w:val="none"/>
          <w:lang w:val="en-US" w:eastAsia="zh-CN"/>
        </w:rPr>
        <w:t>xxxx</w:t>
      </w:r>
      <w:r>
        <w:rPr>
          <w:rFonts w:hint="eastAsia" w:ascii="宋体" w:hAnsi="宋体" w:eastAsia="宋体" w:cs="宋体"/>
          <w:color w:val="auto"/>
          <w:sz w:val="21"/>
          <w:szCs w:val="21"/>
          <w:highlight w:val="none"/>
          <w:u w:val="single"/>
          <w:lang w:eastAsia="zh-CN"/>
        </w:rPr>
        <w:t>储能项目</w:t>
      </w:r>
      <w:r>
        <w:rPr>
          <w:rFonts w:hint="eastAsia" w:ascii="宋体" w:hAnsi="宋体" w:eastAsia="宋体" w:cs="宋体"/>
          <w:color w:val="auto"/>
          <w:sz w:val="21"/>
          <w:szCs w:val="21"/>
          <w:highlight w:val="none"/>
          <w:u w:val="single"/>
          <w:lang w:val="en-US" w:eastAsia="zh-CN"/>
        </w:rPr>
        <w:t xml:space="preserve">合同文件 </w:t>
      </w:r>
      <w:r>
        <w:rPr>
          <w:rFonts w:hint="eastAsia" w:ascii="宋体" w:hAnsi="宋体" w:eastAsia="宋体" w:cs="宋体"/>
          <w:color w:val="auto"/>
          <w:sz w:val="21"/>
          <w:szCs w:val="21"/>
          <w:highlight w:val="none"/>
          <w:u w:val="none"/>
        </w:rPr>
        <w:t>工程</w:t>
      </w:r>
      <w:r>
        <w:rPr>
          <w:rFonts w:hint="eastAsia" w:ascii="宋体" w:hAnsi="宋体" w:eastAsia="宋体" w:cs="宋体"/>
          <w:color w:val="auto"/>
          <w:sz w:val="21"/>
          <w:szCs w:val="21"/>
          <w:highlight w:val="none"/>
        </w:rPr>
        <w:t>项目按照国家规定、合同要求支付农民工工资，决不拖欠农民工工资，如果发生违反规定拖欠或克扣农民工工资行为，造成农民工上访，本单位愿意接受人力资源社会保障、建设、公安等部门依照有关规定作出的处理和处罚决定。</w:t>
      </w:r>
    </w:p>
    <w:p w14:paraId="0A1F22C2">
      <w:pPr>
        <w:pageBreakBefore w:val="0"/>
        <w:kinsoku/>
        <w:wordWrap/>
        <w:bidi w:val="0"/>
        <w:spacing w:after="0" w:line="360" w:lineRule="auto"/>
        <w:ind w:firstLine="640"/>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单位全称（盖 章）</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 xml:space="preserve">      </w:t>
      </w:r>
    </w:p>
    <w:p w14:paraId="1E59526C">
      <w:pPr>
        <w:pageBreakBefore w:val="0"/>
        <w:kinsoku/>
        <w:wordWrap/>
        <w:bidi w:val="0"/>
        <w:spacing w:after="0" w:line="360" w:lineRule="auto"/>
        <w:ind w:firstLine="64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法定代表人或委托人（签 字）</w:t>
      </w:r>
      <w:r>
        <w:rPr>
          <w:rFonts w:hint="eastAsia" w:ascii="宋体" w:hAnsi="宋体" w:eastAsia="宋体" w:cs="宋体"/>
          <w:color w:val="auto"/>
          <w:sz w:val="21"/>
          <w:szCs w:val="21"/>
          <w:highlight w:val="none"/>
          <w:lang w:eastAsia="zh-CN"/>
        </w:rPr>
        <w:t>：</w:t>
      </w:r>
    </w:p>
    <w:p w14:paraId="6320504D">
      <w:pPr>
        <w:pageBreakBefore w:val="0"/>
        <w:kinsoku/>
        <w:wordWrap/>
        <w:bidi w:val="0"/>
        <w:spacing w:after="0" w:line="360" w:lineRule="auto"/>
        <w:ind w:firstLine="3675" w:firstLineChars="1750"/>
        <w:rPr>
          <w:rFonts w:hint="eastAsia" w:ascii="宋体" w:hAnsi="宋体" w:eastAsia="宋体" w:cs="宋体"/>
          <w:color w:val="auto"/>
          <w:sz w:val="21"/>
          <w:szCs w:val="21"/>
          <w:highlight w:val="none"/>
        </w:rPr>
      </w:pPr>
    </w:p>
    <w:p w14:paraId="71FC1EF0">
      <w:pPr>
        <w:pageBreakBefore w:val="0"/>
        <w:kinsoku/>
        <w:wordWrap/>
        <w:bidi w:val="0"/>
        <w:spacing w:after="0" w:line="360" w:lineRule="auto"/>
        <w:ind w:firstLine="3360" w:firstLineChars="16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月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日</w:t>
      </w:r>
    </w:p>
    <w:p w14:paraId="1E8AC7BB">
      <w:pPr>
        <w:pageBreakBefore w:val="0"/>
        <w:kinsoku/>
        <w:wordWrap/>
        <w:bidi w:val="0"/>
        <w:spacing w:after="0" w:line="360" w:lineRule="auto"/>
        <w:rPr>
          <w:rFonts w:hint="eastAsia" w:ascii="宋体" w:hAnsi="宋体" w:eastAsia="宋体" w:cs="宋体"/>
          <w:color w:val="auto"/>
          <w:kern w:val="2"/>
          <w:sz w:val="21"/>
          <w:szCs w:val="21"/>
          <w:highlight w:val="none"/>
          <w:lang w:val="en-US" w:eastAsia="zh-CN" w:bidi="ar-SA"/>
        </w:rPr>
      </w:pPr>
    </w:p>
    <w:p w14:paraId="27EDACF2">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2BB4BCB2">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377A4740">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44D499A1">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39D609BF">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6121FA84">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3B953683">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552197CD">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1836AC22">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2E2D0D61">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498089BF">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2B9140A3">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1A782EB7">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28B74DA9">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0ADE1C48">
      <w:pPr>
        <w:pageBreakBefore w:val="0"/>
        <w:tabs>
          <w:tab w:val="left" w:pos="1478"/>
        </w:tabs>
        <w:kinsoku/>
        <w:wordWrap/>
        <w:bidi w:val="0"/>
        <w:spacing w:after="0" w:line="360" w:lineRule="auto"/>
        <w:jc w:val="left"/>
        <w:rPr>
          <w:rFonts w:hint="eastAsia" w:ascii="宋体" w:hAnsi="宋体" w:eastAsia="宋体" w:cs="宋体"/>
          <w:color w:val="auto"/>
          <w:sz w:val="21"/>
          <w:szCs w:val="21"/>
          <w:highlight w:val="none"/>
          <w:lang w:val="en-US" w:eastAsia="zh-CN"/>
        </w:rPr>
        <w:sectPr>
          <w:pgSz w:w="11907" w:h="16840"/>
          <w:pgMar w:top="1418" w:right="1134" w:bottom="1134" w:left="1418" w:header="851" w:footer="992" w:gutter="0"/>
          <w:pgBorders>
            <w:top w:val="none" w:sz="0" w:space="0"/>
            <w:left w:val="none" w:sz="0" w:space="0"/>
            <w:bottom w:val="none" w:sz="0" w:space="0"/>
            <w:right w:val="none" w:sz="0" w:space="0"/>
          </w:pgBorders>
          <w:pgNumType w:fmt="decimal"/>
          <w:cols w:space="720" w:num="1"/>
          <w:docGrid w:type="lines" w:linePitch="317" w:charSpace="0"/>
        </w:sectPr>
      </w:pPr>
      <w:r>
        <w:rPr>
          <w:rFonts w:hint="eastAsia" w:ascii="宋体" w:hAnsi="宋体" w:eastAsia="宋体" w:cs="宋体"/>
          <w:color w:val="auto"/>
          <w:sz w:val="21"/>
          <w:szCs w:val="21"/>
          <w:highlight w:val="none"/>
          <w:lang w:val="en-US" w:eastAsia="zh-CN"/>
        </w:rPr>
        <w:tab/>
      </w:r>
    </w:p>
    <w:p w14:paraId="50B55130">
      <w:pPr>
        <w:pageBreakBefore w:val="0"/>
        <w:widowControl w:val="0"/>
        <w:numPr>
          <w:ilvl w:val="0"/>
          <w:numId w:val="0"/>
        </w:numPr>
        <w:kinsoku/>
        <w:wordWrap/>
        <w:bidi w:val="0"/>
        <w:spacing w:after="0" w:line="360" w:lineRule="auto"/>
        <w:ind w:left="0" w:leftChars="0" w:firstLine="0" w:firstLineChars="0"/>
        <w:jc w:val="left"/>
        <w:outlineLvl w:val="1"/>
        <w:rPr>
          <w:rFonts w:hint="eastAsia" w:ascii="宋体" w:hAnsi="宋体" w:eastAsia="宋体" w:cs="宋体"/>
          <w:b/>
          <w:bCs/>
          <w:color w:val="auto"/>
          <w:sz w:val="21"/>
          <w:szCs w:val="21"/>
          <w:highlight w:val="none"/>
          <w:lang w:val="en-US" w:eastAsia="zh-CN" w:bidi="ar-SA"/>
        </w:rPr>
      </w:pPr>
      <w:bookmarkStart w:id="128" w:name="_Toc24046"/>
      <w:r>
        <w:rPr>
          <w:rFonts w:hint="eastAsia" w:ascii="宋体" w:hAnsi="宋体" w:eastAsia="宋体" w:cs="宋体"/>
          <w:b/>
          <w:bCs/>
          <w:color w:val="auto"/>
          <w:sz w:val="21"/>
          <w:szCs w:val="21"/>
          <w:highlight w:val="none"/>
          <w:lang w:val="en-US" w:eastAsia="zh-CN" w:bidi="en-US"/>
        </w:rPr>
        <w:t>附件4：工程施工安全协议书</w:t>
      </w:r>
      <w:bookmarkEnd w:id="128"/>
    </w:p>
    <w:p w14:paraId="13F00D11">
      <w:pPr>
        <w:pageBreakBefore w:val="0"/>
        <w:kinsoku/>
        <w:wordWrap/>
        <w:bidi w:val="0"/>
        <w:spacing w:after="0" w:line="36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工程施工安全协议书</w:t>
      </w:r>
    </w:p>
    <w:p w14:paraId="17C30F9C">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p w14:paraId="21D1D8DE">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甲方(发包方):东莞市新有能源投资有限公司</w:t>
      </w:r>
    </w:p>
    <w:p w14:paraId="5492ABE6">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代理人:</w:t>
      </w:r>
    </w:p>
    <w:p w14:paraId="0C0F2DF1">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联系电话:</w:t>
      </w:r>
    </w:p>
    <w:p w14:paraId="1014B19B">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联系地址: 广东省东莞市松山湖园区新城路5号1栋505室。</w:t>
      </w:r>
    </w:p>
    <w:p w14:paraId="2E034146">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乙方(承包方) :</w:t>
      </w:r>
      <w:r>
        <w:rPr>
          <w:rFonts w:hint="eastAsia" w:ascii="宋体" w:hAnsi="宋体" w:eastAsia="宋体" w:cs="宋体"/>
          <w:color w:val="auto"/>
          <w:sz w:val="21"/>
          <w:szCs w:val="21"/>
          <w:highlight w:val="none"/>
          <w:lang w:val="en-US" w:eastAsia="zh-CN"/>
        </w:rPr>
        <w:t xml:space="preserve">        </w:t>
      </w:r>
    </w:p>
    <w:p w14:paraId="3D898F5D">
      <w:pPr>
        <w:pageBreakBefore w:val="0"/>
        <w:kinsoku/>
        <w:wordWrap/>
        <w:bidi w:val="0"/>
        <w:spacing w:after="0" w:line="360" w:lineRule="auto"/>
        <w:ind w:firstLine="0" w:firstLineChars="0"/>
        <w:jc w:val="left"/>
        <w:rPr>
          <w:rFonts w:hint="eastAsia" w:ascii="宋体" w:hAnsi="宋体" w:eastAsia="宋体" w:cs="宋体"/>
          <w:bCs w:val="0"/>
          <w:color w:val="auto"/>
          <w:kern w:val="2"/>
          <w:sz w:val="21"/>
          <w:szCs w:val="21"/>
          <w:highlight w:val="none"/>
          <w:u w:val="none"/>
          <w:lang w:val="en-US" w:eastAsia="zh-CN" w:bidi="ar-SA"/>
        </w:rPr>
      </w:pPr>
      <w:r>
        <w:rPr>
          <w:rFonts w:hint="eastAsia" w:ascii="宋体" w:hAnsi="宋体" w:eastAsia="宋体" w:cs="宋体"/>
          <w:color w:val="auto"/>
          <w:sz w:val="21"/>
          <w:szCs w:val="21"/>
          <w:highlight w:val="none"/>
        </w:rPr>
        <w:t>代理人:</w:t>
      </w:r>
      <w:r>
        <w:rPr>
          <w:rFonts w:hint="eastAsia" w:ascii="宋体" w:hAnsi="宋体" w:eastAsia="宋体" w:cs="宋体"/>
          <w:bCs w:val="0"/>
          <w:color w:val="auto"/>
          <w:kern w:val="2"/>
          <w:sz w:val="21"/>
          <w:szCs w:val="21"/>
          <w:highlight w:val="none"/>
          <w:u w:val="none"/>
          <w:lang w:val="en-US" w:eastAsia="zh-CN" w:bidi="ar-SA"/>
        </w:rPr>
        <w:t xml:space="preserve">      </w:t>
      </w:r>
    </w:p>
    <w:p w14:paraId="2B9CFFCC">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u w:val="none"/>
          <w:lang w:val="en-US" w:eastAsia="zh-CN"/>
        </w:rPr>
      </w:pPr>
      <w:r>
        <w:rPr>
          <w:rFonts w:hint="eastAsia" w:ascii="宋体" w:hAnsi="宋体" w:eastAsia="宋体" w:cs="宋体"/>
          <w:color w:val="auto"/>
          <w:sz w:val="21"/>
          <w:szCs w:val="21"/>
          <w:highlight w:val="none"/>
        </w:rPr>
        <w:t>联系电话:</w:t>
      </w:r>
      <w:r>
        <w:rPr>
          <w:rFonts w:hint="eastAsia" w:ascii="宋体" w:hAnsi="宋体" w:eastAsia="宋体" w:cs="宋体"/>
          <w:color w:val="auto"/>
          <w:sz w:val="21"/>
          <w:szCs w:val="21"/>
          <w:highlight w:val="none"/>
          <w:u w:val="none"/>
          <w:lang w:val="en-US" w:eastAsia="zh-CN"/>
        </w:rPr>
        <w:t xml:space="preserve">       </w:t>
      </w:r>
    </w:p>
    <w:p w14:paraId="5174DBF1">
      <w:pPr>
        <w:pageBreakBefore w:val="0"/>
        <w:kinsoku/>
        <w:wordWrap/>
        <w:bidi w:val="0"/>
        <w:spacing w:after="0" w:line="360" w:lineRule="auto"/>
        <w:ind w:firstLine="0" w:firstLineChars="0"/>
        <w:jc w:val="left"/>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联系地址:</w:t>
      </w:r>
      <w:r>
        <w:rPr>
          <w:rFonts w:hint="eastAsia" w:ascii="宋体" w:hAnsi="宋体" w:eastAsia="宋体" w:cs="宋体"/>
          <w:bCs w:val="0"/>
          <w:color w:val="auto"/>
          <w:kern w:val="2"/>
          <w:sz w:val="21"/>
          <w:szCs w:val="21"/>
          <w:highlight w:val="none"/>
          <w:lang w:val="en-US" w:eastAsia="zh-CN" w:bidi="ar-SA"/>
        </w:rPr>
        <w:t xml:space="preserve">     </w:t>
      </w:r>
    </w:p>
    <w:p w14:paraId="17F1755A">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了切实加强施工现场安全生产管理，依照《中华人民共和国安全生产法》、《中华人民共和国建筑法》、《中华人民共和国民法典》以及《建设工程安全生产管理条例》建设部《施工现场临时用电安全技术规范》、机电安装相关的标准，双方本着平等、自愿的原则，签订本协议书。</w:t>
      </w:r>
    </w:p>
    <w:p w14:paraId="664683BB">
      <w:pPr>
        <w:pageBreakBefore w:val="0"/>
        <w:kinsoku/>
        <w:wordWrap/>
        <w:bidi w:val="0"/>
        <w:spacing w:after="0"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第一条 管理人员</w:t>
      </w:r>
    </w:p>
    <w:p w14:paraId="6A6C63D2">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为保证施工安全管理及安全责任，必须明确现场管理人员:</w:t>
      </w:r>
    </w:p>
    <w:p w14:paraId="14EEEB19">
      <w:pPr>
        <w:pageBreakBefore w:val="0"/>
        <w:numPr>
          <w:ilvl w:val="0"/>
          <w:numId w:val="7"/>
        </w:numPr>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乙方项目负责人:</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联系电话:</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 xml:space="preserve">  </w:t>
      </w:r>
    </w:p>
    <w:p w14:paraId="4BCF859C">
      <w:pPr>
        <w:pageBreakBefore w:val="0"/>
        <w:numPr>
          <w:ilvl w:val="0"/>
          <w:numId w:val="7"/>
        </w:numPr>
        <w:kinsoku/>
        <w:wordWrap/>
        <w:bidi w:val="0"/>
        <w:spacing w:after="0"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乙方现场安全负责人:</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联系电话:</w:t>
      </w:r>
      <w:r>
        <w:rPr>
          <w:rFonts w:hint="eastAsia" w:ascii="宋体" w:hAnsi="宋体" w:eastAsia="宋体" w:cs="宋体"/>
          <w:color w:val="auto"/>
          <w:sz w:val="21"/>
          <w:szCs w:val="21"/>
          <w:highlight w:val="none"/>
          <w:u w:val="single"/>
          <w:lang w:val="en-US" w:eastAsia="zh-CN"/>
        </w:rPr>
        <w:t xml:space="preserve">         </w:t>
      </w:r>
    </w:p>
    <w:p w14:paraId="2BC68A7D">
      <w:pPr>
        <w:pageBreakBefore w:val="0"/>
        <w:kinsoku/>
        <w:wordWrap/>
        <w:bidi w:val="0"/>
        <w:spacing w:after="0" w:line="36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第二条 甲方安全责任</w:t>
      </w:r>
    </w:p>
    <w:p w14:paraId="3B4D0A01">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甲方有协助乙方搞好安全生产、防火管理以及督促检查的义务。甲方有权检查督促乙方执行有关安全生产方面的工作规定，对乙方不符合安全文明施工的行为进行制止、纠正并发出安全整改通知书,直至清退出场。</w:t>
      </w:r>
    </w:p>
    <w:p w14:paraId="1C82F5B7">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2、甲方不得要求乙方违反安全管理规定进行施工。因甲方原因导致的事故由甲方承担责任。</w:t>
      </w:r>
    </w:p>
    <w:p w14:paraId="4A9EAB24">
      <w:pPr>
        <w:pageBreakBefore w:val="0"/>
        <w:kinsoku/>
        <w:wordWrap/>
        <w:bidi w:val="0"/>
        <w:spacing w:after="0" w:line="360" w:lineRule="auto"/>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第三条 乙方安全责任</w:t>
      </w:r>
    </w:p>
    <w:p w14:paraId="0217BDA1">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乙方作为工程项目的承包方，对工程施工过程中发生的人身伤害、设备损坏事故承担安全责任。乙方应切实履行以下安全责任:</w:t>
      </w:r>
    </w:p>
    <w:p w14:paraId="2087DEB0">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1、乙方按照国家的有关规定,为施工人员办理人身保险,配备合格的劳动防护用品、安全用具。</w:t>
      </w:r>
    </w:p>
    <w:p w14:paraId="0DB20ABA">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2、乙方所提供的承包工程要求的相关资质证明材料应真实、合法、有效。</w:t>
      </w:r>
    </w:p>
    <w:p w14:paraId="7A8C7E3F">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3、现场施工应遵守国家和地方关于劳动安全,劳务用工遵守法律法规及规章制度，保证其用工的合法性。</w:t>
      </w:r>
    </w:p>
    <w:p w14:paraId="5CEA6E1C">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4、施工期间，乙方应指派专职安全员作为安全工作联系和现场安全管理。</w:t>
      </w:r>
    </w:p>
    <w:p w14:paraId="22A91602">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5、施工活动，必须有安全施工措施，施工前对全体施工人员进行全面的安全技术交底，并在整个施工过程正确、完整地执行，无措施或未交底，严禁施工。</w:t>
      </w:r>
    </w:p>
    <w:p w14:paraId="6FADB8EA">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6、开工前，乙方应组织全体施工人员进行安全教育。特种作业人员必须有相关部门核发的合格有效的上岗资格证书。</w:t>
      </w:r>
    </w:p>
    <w:p w14:paraId="3B1816BC">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7、乙方应在施工范围装设临时围栏或警告标志,不得超越指定的施工范围进行施工，禁止无关人员进入施工现场。</w:t>
      </w:r>
    </w:p>
    <w:p w14:paraId="137FA8C5">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8、乙方施工过程中应做到日产、日清，确保施工场地卫生整洁。</w:t>
      </w:r>
    </w:p>
    <w:p w14:paraId="7CDF7500">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9、做好文明施工、安全施工;施工过程中需使用电、水源，应事先与甲方取得联系,不得私拉乱接;做好施工临时用电;按规范要求搭设脚手架做好安全防护工作，确保施工人员和乘客安全。</w:t>
      </w:r>
    </w:p>
    <w:p w14:paraId="2F0F1F87">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 建立整改责任制,对检查中发现的质量安全隐患，采取有效措施立即进行整改，落实专人负责监控，确保质量安全。</w:t>
      </w:r>
    </w:p>
    <w:p w14:paraId="28A26117">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11、制定安全紧急情况预案，</w:t>
      </w:r>
      <w:r>
        <w:rPr>
          <w:rFonts w:hint="eastAsia" w:ascii="宋体" w:hAnsi="宋体" w:eastAsia="宋体" w:cs="宋体"/>
          <w:color w:val="auto"/>
          <w:sz w:val="21"/>
          <w:szCs w:val="21"/>
          <w:highlight w:val="none"/>
          <w:lang w:val="en-US" w:eastAsia="zh-CN"/>
        </w:rPr>
        <w:t>一</w:t>
      </w:r>
      <w:r>
        <w:rPr>
          <w:rFonts w:hint="eastAsia" w:ascii="宋体" w:hAnsi="宋体" w:eastAsia="宋体" w:cs="宋体"/>
          <w:color w:val="auto"/>
          <w:sz w:val="21"/>
          <w:szCs w:val="21"/>
          <w:highlight w:val="none"/>
        </w:rPr>
        <w:t>旦发生各类突发事故和紧急情况，要立即启动预案，并按照有关规定及时上报和妥善处理。</w:t>
      </w:r>
    </w:p>
    <w:p w14:paraId="5D5A9C9A">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r>
        <w:rPr>
          <w:rFonts w:hint="eastAsia" w:ascii="宋体" w:hAnsi="宋体" w:eastAsia="宋体" w:cs="宋体"/>
          <w:color w:val="auto"/>
          <w:sz w:val="21"/>
          <w:szCs w:val="21"/>
          <w:highlight w:val="none"/>
          <w:lang w:val="en-US" w:eastAsia="zh-CN"/>
        </w:rPr>
        <w:t>因乙方原因</w:t>
      </w:r>
      <w:r>
        <w:rPr>
          <w:rFonts w:hint="eastAsia" w:ascii="宋体" w:hAnsi="宋体" w:eastAsia="宋体" w:cs="宋体"/>
          <w:color w:val="auto"/>
          <w:sz w:val="21"/>
          <w:szCs w:val="21"/>
          <w:highlight w:val="none"/>
        </w:rPr>
        <w:t>发生以下情况停工整顿，因停工造成的违约责任由乙方承担:</w:t>
      </w:r>
    </w:p>
    <w:p w14:paraId="73F9B270">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(1)人身伤亡事故;</w:t>
      </w:r>
    </w:p>
    <w:p w14:paraId="2FAFB40C">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(2)发生施工机械、生产主设备严重损坏事故;</w:t>
      </w:r>
    </w:p>
    <w:p w14:paraId="5BB8A366">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(3)发生违章作业、冒险作业不听劝告的;</w:t>
      </w:r>
    </w:p>
    <w:p w14:paraId="7BA66825">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(4)施工现场脏、乱、差，不能满足安全和文明施工要求的;</w:t>
      </w:r>
    </w:p>
    <w:p w14:paraId="08E381E9">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(5)施工过程中，因违反工程相关规定的，被相关管理机关勒令停工的。</w:t>
      </w:r>
    </w:p>
    <w:p w14:paraId="19CC726D">
      <w:pPr>
        <w:pageBreakBefore w:val="0"/>
        <w:kinsoku/>
        <w:wordWrap/>
        <w:bidi w:val="0"/>
        <w:spacing w:after="0" w:line="360" w:lineRule="auto"/>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第四条</w:t>
      </w:r>
      <w:r>
        <w:rPr>
          <w:rFonts w:hint="eastAsia" w:ascii="宋体" w:hAnsi="宋体" w:eastAsia="宋体" w:cs="宋体"/>
          <w:b/>
          <w:bCs/>
          <w:color w:val="auto"/>
          <w:sz w:val="21"/>
          <w:szCs w:val="21"/>
          <w:highlight w:val="none"/>
          <w:lang w:val="en-US" w:eastAsia="zh-CN"/>
        </w:rPr>
        <w:t xml:space="preserve"> </w:t>
      </w:r>
      <w:r>
        <w:rPr>
          <w:rFonts w:hint="eastAsia" w:ascii="宋体" w:hAnsi="宋体" w:eastAsia="宋体" w:cs="宋体"/>
          <w:b/>
          <w:bCs/>
          <w:color w:val="auto"/>
          <w:sz w:val="21"/>
          <w:szCs w:val="21"/>
          <w:highlight w:val="none"/>
        </w:rPr>
        <w:t>违约责任</w:t>
      </w:r>
    </w:p>
    <w:p w14:paraId="0A0FDC8D">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1、由于乙方责任造成对第三方的人身伤害、设备损坏等财产损失，由乙方承担相应责任，并赔偿第三方因此造成的全部损失。</w:t>
      </w:r>
    </w:p>
    <w:p w14:paraId="0D0613EE">
      <w:pPr>
        <w:pageBreakBefore w:val="0"/>
        <w:kinsoku/>
        <w:wordWrap/>
        <w:bidi w:val="0"/>
        <w:spacing w:after="0"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2、乙方未指定安监人员;未能正确、全面执行安全技术措施、施工组织设计;施工人员未掌握本工程项目特点及施工安全措施;甲方有权要求乙方立即停工整改,由此弓|起的后果及损失由乙方承担。</w:t>
      </w:r>
    </w:p>
    <w:p w14:paraId="4B716AFE">
      <w:pPr>
        <w:pageBreakBefore w:val="0"/>
        <w:kinsoku/>
        <w:wordWrap/>
        <w:bidi w:val="0"/>
        <w:spacing w:after="0" w:line="360" w:lineRule="auto"/>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第五条</w:t>
      </w:r>
      <w:r>
        <w:rPr>
          <w:rFonts w:hint="eastAsia" w:ascii="宋体" w:hAnsi="宋体" w:eastAsia="宋体" w:cs="宋体"/>
          <w:b/>
          <w:bCs/>
          <w:color w:val="auto"/>
          <w:sz w:val="21"/>
          <w:szCs w:val="21"/>
          <w:highlight w:val="none"/>
          <w:lang w:val="en-US" w:eastAsia="zh-CN"/>
        </w:rPr>
        <w:t xml:space="preserve"> </w:t>
      </w:r>
      <w:r>
        <w:rPr>
          <w:rFonts w:hint="eastAsia" w:ascii="宋体" w:hAnsi="宋体" w:eastAsia="宋体" w:cs="宋体"/>
          <w:b/>
          <w:bCs/>
          <w:color w:val="auto"/>
          <w:sz w:val="21"/>
          <w:szCs w:val="21"/>
          <w:highlight w:val="none"/>
        </w:rPr>
        <w:t>出险理赔责任</w:t>
      </w:r>
    </w:p>
    <w:p w14:paraId="28684122">
      <w:pPr>
        <w:pageBreakBefore w:val="0"/>
        <w:kinsoku/>
        <w:wordWrap/>
        <w:bidi w:val="0"/>
        <w:spacing w:after="0"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对于施工过程中出现意外，造成人身伤事故，由保险公司依据相关条例规定和额度负责理赔，</w:t>
      </w: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不承担赔偿责任。</w:t>
      </w:r>
      <w:r>
        <w:rPr>
          <w:rFonts w:hint="eastAsia" w:ascii="宋体" w:hAnsi="宋体" w:eastAsia="宋体" w:cs="宋体"/>
          <w:color w:val="auto"/>
          <w:sz w:val="21"/>
          <w:szCs w:val="21"/>
          <w:highlight w:val="none"/>
          <w:lang w:val="en-US" w:eastAsia="zh-CN"/>
        </w:rPr>
        <w:t>如</w:t>
      </w:r>
      <w:r>
        <w:rPr>
          <w:rFonts w:hint="eastAsia" w:ascii="宋体" w:hAnsi="宋体" w:eastAsia="宋体" w:cs="宋体"/>
          <w:color w:val="auto"/>
          <w:sz w:val="21"/>
          <w:szCs w:val="21"/>
          <w:highlight w:val="none"/>
          <w:lang w:val="en-US" w:eastAsia="zh-Hans"/>
        </w:rPr>
        <w:t>从</w:t>
      </w:r>
      <w:r>
        <w:rPr>
          <w:rFonts w:hint="eastAsia" w:ascii="宋体" w:hAnsi="宋体" w:eastAsia="宋体" w:cs="宋体"/>
          <w:color w:val="auto"/>
          <w:sz w:val="21"/>
          <w:szCs w:val="21"/>
          <w:highlight w:val="none"/>
          <w:lang w:val="en-US" w:eastAsia="zh-CN"/>
        </w:rPr>
        <w:t>承保人处获得的</w:t>
      </w:r>
      <w:r>
        <w:rPr>
          <w:rFonts w:hint="eastAsia" w:ascii="宋体" w:hAnsi="宋体" w:eastAsia="宋体" w:cs="宋体"/>
          <w:color w:val="auto"/>
          <w:sz w:val="21"/>
          <w:szCs w:val="21"/>
          <w:highlight w:val="none"/>
          <w:lang w:val="en-US" w:eastAsia="zh-Hans"/>
        </w:rPr>
        <w:t>保险金</w:t>
      </w:r>
      <w:r>
        <w:rPr>
          <w:rFonts w:hint="eastAsia" w:ascii="宋体" w:hAnsi="宋体" w:eastAsia="宋体" w:cs="宋体"/>
          <w:color w:val="auto"/>
          <w:sz w:val="21"/>
          <w:szCs w:val="21"/>
          <w:highlight w:val="none"/>
          <w:lang w:val="en-US" w:eastAsia="zh-CN"/>
        </w:rPr>
        <w:t>不能全额补偿乙方或第三方损失的差额部分及免赔额，由乙方自行负责。</w:t>
      </w:r>
    </w:p>
    <w:p w14:paraId="5B73AE15">
      <w:pPr>
        <w:pageBreakBefore w:val="0"/>
        <w:kinsoku/>
        <w:wordWrap/>
        <w:bidi w:val="0"/>
        <w:spacing w:after="0" w:line="360" w:lineRule="auto"/>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第六条</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甲乙双方必须严格执行本协议,本协议的法律效力独立于主合同。</w:t>
      </w:r>
    </w:p>
    <w:p w14:paraId="67DA20E1">
      <w:pPr>
        <w:pageBreakBefore w:val="0"/>
        <w:kinsoku/>
        <w:wordWrap/>
        <w:bidi w:val="0"/>
        <w:spacing w:after="0" w:line="360" w:lineRule="auto"/>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第七条</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本协议经双方法定代表人或委托代理人签字盖章后生效。</w:t>
      </w:r>
    </w:p>
    <w:p w14:paraId="393FE275">
      <w:pPr>
        <w:pageBreakBefore w:val="0"/>
        <w:kinsoku/>
        <w:wordWrap/>
        <w:bidi w:val="0"/>
        <w:spacing w:after="0" w:line="360" w:lineRule="auto"/>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第八条</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本协议</w:t>
      </w:r>
      <w:r>
        <w:rPr>
          <w:rFonts w:hint="eastAsia" w:ascii="宋体" w:hAnsi="宋体" w:eastAsia="宋体" w:cs="宋体"/>
          <w:color w:val="auto"/>
          <w:sz w:val="21"/>
          <w:szCs w:val="21"/>
          <w:highlight w:val="none"/>
          <w:lang w:val="en-US" w:eastAsia="zh-CN"/>
        </w:rPr>
        <w:t>一</w:t>
      </w:r>
      <w:r>
        <w:rPr>
          <w:rFonts w:hint="eastAsia" w:ascii="宋体" w:hAnsi="宋体" w:eastAsia="宋体" w:cs="宋体"/>
          <w:color w:val="auto"/>
          <w:sz w:val="21"/>
          <w:szCs w:val="21"/>
          <w:highlight w:val="none"/>
        </w:rPr>
        <w:t>式</w:t>
      </w:r>
      <w:r>
        <w:rPr>
          <w:rFonts w:hint="eastAsia" w:ascii="宋体" w:hAnsi="宋体" w:eastAsia="宋体" w:cs="宋体"/>
          <w:color w:val="auto"/>
          <w:sz w:val="21"/>
          <w:szCs w:val="21"/>
          <w:highlight w:val="none"/>
          <w:lang w:val="en-US" w:eastAsia="zh-CN"/>
        </w:rPr>
        <w:t>肆</w:t>
      </w:r>
      <w:r>
        <w:rPr>
          <w:rFonts w:hint="eastAsia" w:ascii="宋体" w:hAnsi="宋体" w:eastAsia="宋体" w:cs="宋体"/>
          <w:color w:val="auto"/>
          <w:sz w:val="21"/>
          <w:szCs w:val="21"/>
          <w:highlight w:val="none"/>
        </w:rPr>
        <w:t>份，甲</w:t>
      </w:r>
      <w:r>
        <w:rPr>
          <w:rFonts w:hint="eastAsia" w:ascii="宋体" w:hAnsi="宋体" w:eastAsia="宋体" w:cs="宋体"/>
          <w:color w:val="auto"/>
          <w:sz w:val="21"/>
          <w:szCs w:val="21"/>
          <w:highlight w:val="none"/>
          <w:lang w:val="en-US" w:eastAsia="zh-CN"/>
        </w:rPr>
        <w:t>乙</w:t>
      </w:r>
      <w:r>
        <w:rPr>
          <w:rFonts w:hint="eastAsia" w:ascii="宋体" w:hAnsi="宋体" w:eastAsia="宋体" w:cs="宋体"/>
          <w:color w:val="auto"/>
          <w:sz w:val="21"/>
          <w:szCs w:val="21"/>
          <w:highlight w:val="none"/>
        </w:rPr>
        <w:t>双方各执</w:t>
      </w:r>
      <w:r>
        <w:rPr>
          <w:rFonts w:hint="eastAsia" w:ascii="宋体" w:hAnsi="宋体" w:eastAsia="宋体" w:cs="宋体"/>
          <w:color w:val="auto"/>
          <w:sz w:val="21"/>
          <w:szCs w:val="21"/>
          <w:highlight w:val="none"/>
          <w:lang w:val="en-US" w:eastAsia="zh-CN"/>
        </w:rPr>
        <w:t>贰</w:t>
      </w:r>
      <w:r>
        <w:rPr>
          <w:rFonts w:hint="eastAsia" w:ascii="宋体" w:hAnsi="宋体" w:eastAsia="宋体" w:cs="宋体"/>
          <w:color w:val="auto"/>
          <w:sz w:val="21"/>
          <w:szCs w:val="21"/>
          <w:highlight w:val="none"/>
        </w:rPr>
        <w:t>份。</w:t>
      </w:r>
    </w:p>
    <w:p w14:paraId="55DEAD28">
      <w:pPr>
        <w:pageBreakBefore w:val="0"/>
        <w:kinsoku/>
        <w:wordWrap/>
        <w:bidi w:val="0"/>
        <w:spacing w:after="0" w:line="360" w:lineRule="auto"/>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第九条</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本协议签订地点在</w:t>
      </w:r>
      <w:r>
        <w:rPr>
          <w:rFonts w:hint="eastAsia" w:ascii="宋体" w:hAnsi="宋体" w:eastAsia="宋体" w:cs="宋体"/>
          <w:color w:val="auto"/>
          <w:sz w:val="21"/>
          <w:szCs w:val="21"/>
          <w:highlight w:val="none"/>
          <w:u w:val="single"/>
        </w:rPr>
        <w:t>广东省东莞市松山湖</w:t>
      </w:r>
      <w:r>
        <w:rPr>
          <w:rFonts w:hint="eastAsia" w:ascii="宋体" w:hAnsi="宋体" w:eastAsia="宋体" w:cs="宋体"/>
          <w:color w:val="auto"/>
          <w:sz w:val="21"/>
          <w:szCs w:val="21"/>
          <w:highlight w:val="none"/>
        </w:rPr>
        <w:t>。</w:t>
      </w:r>
    </w:p>
    <w:p w14:paraId="0FF31650">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5816DC2A">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49B132DB">
      <w:pPr>
        <w:pageBreakBefore w:val="0"/>
        <w:kinsoku/>
        <w:wordWrap/>
        <w:bidi w:val="0"/>
        <w:spacing w:after="0" w:line="360" w:lineRule="auto"/>
        <w:rPr>
          <w:rFonts w:hint="eastAsia" w:ascii="宋体" w:hAnsi="宋体" w:eastAsia="宋体" w:cs="宋体"/>
          <w:b w:val="0"/>
          <w:bCs w:val="0"/>
          <w:color w:val="auto"/>
          <w:sz w:val="21"/>
          <w:szCs w:val="21"/>
          <w:highlight w:val="none"/>
        </w:rPr>
      </w:pPr>
      <w:r>
        <w:rPr>
          <w:rFonts w:hint="eastAsia" w:ascii="宋体" w:hAnsi="宋体" w:eastAsia="宋体" w:cs="宋体"/>
          <w:color w:val="auto"/>
          <w:sz w:val="21"/>
          <w:szCs w:val="21"/>
          <w:highlight w:val="none"/>
          <w:lang w:val="en-US" w:eastAsia="zh-CN"/>
        </w:rPr>
        <w:t>以下无正文</w:t>
      </w:r>
    </w:p>
    <w:tbl>
      <w:tblPr>
        <w:tblStyle w:val="29"/>
        <w:tblpPr w:leftFromText="180" w:rightFromText="180" w:vertAnchor="text" w:horzAnchor="page" w:tblpX="1360" w:tblpY="443"/>
        <w:tblOverlap w:val="never"/>
        <w:tblW w:w="8520" w:type="dxa"/>
        <w:tblInd w:w="0" w:type="dxa"/>
        <w:tblLayout w:type="fixed"/>
        <w:tblCellMar>
          <w:top w:w="0" w:type="dxa"/>
          <w:left w:w="108" w:type="dxa"/>
          <w:bottom w:w="0" w:type="dxa"/>
          <w:right w:w="108" w:type="dxa"/>
        </w:tblCellMar>
      </w:tblPr>
      <w:tblGrid>
        <w:gridCol w:w="4482"/>
        <w:gridCol w:w="4038"/>
      </w:tblGrid>
      <w:tr w14:paraId="5F64C47C">
        <w:tblPrEx>
          <w:tblCellMar>
            <w:top w:w="0" w:type="dxa"/>
            <w:left w:w="108" w:type="dxa"/>
            <w:bottom w:w="0" w:type="dxa"/>
            <w:right w:w="108" w:type="dxa"/>
          </w:tblCellMar>
        </w:tblPrEx>
        <w:tc>
          <w:tcPr>
            <w:tcW w:w="4482" w:type="dxa"/>
            <w:noWrap w:val="0"/>
            <w:vAlign w:val="top"/>
          </w:tcPr>
          <w:p w14:paraId="6A453CD9">
            <w:pPr>
              <w:pageBreakBefore w:val="0"/>
              <w:kinsoku/>
              <w:wordWrap/>
              <w:bidi w:val="0"/>
              <w:spacing w:after="0" w:line="360" w:lineRule="auto"/>
              <w:rPr>
                <w:rFonts w:hint="eastAsia" w:ascii="宋体" w:hAnsi="宋体" w:eastAsia="宋体" w:cs="宋体"/>
                <w:b/>
                <w:bCs/>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甲方（盖章）：东莞市新有能源投资有限公司</w:t>
            </w:r>
          </w:p>
        </w:tc>
        <w:tc>
          <w:tcPr>
            <w:tcW w:w="4038" w:type="dxa"/>
            <w:noWrap w:val="0"/>
            <w:vAlign w:val="top"/>
          </w:tcPr>
          <w:p w14:paraId="7A8A9843">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乙方(盖章)： </w:t>
            </w:r>
          </w:p>
        </w:tc>
      </w:tr>
      <w:tr w14:paraId="5526D1AE">
        <w:tblPrEx>
          <w:tblCellMar>
            <w:top w:w="0" w:type="dxa"/>
            <w:left w:w="108" w:type="dxa"/>
            <w:bottom w:w="0" w:type="dxa"/>
            <w:right w:w="108" w:type="dxa"/>
          </w:tblCellMar>
        </w:tblPrEx>
        <w:tc>
          <w:tcPr>
            <w:tcW w:w="4482" w:type="dxa"/>
            <w:noWrap w:val="0"/>
            <w:vAlign w:val="top"/>
          </w:tcPr>
          <w:p w14:paraId="1F774289">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法定代表人或</w:t>
            </w:r>
          </w:p>
          <w:p w14:paraId="5DBC7D79">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授权代表(签章)：</w:t>
            </w:r>
          </w:p>
        </w:tc>
        <w:tc>
          <w:tcPr>
            <w:tcW w:w="4038" w:type="dxa"/>
            <w:noWrap w:val="0"/>
            <w:vAlign w:val="top"/>
          </w:tcPr>
          <w:p w14:paraId="3D48A25B">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法定代表人或</w:t>
            </w:r>
          </w:p>
          <w:p w14:paraId="09C406E9">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授权代表(签章)：</w:t>
            </w:r>
          </w:p>
          <w:p w14:paraId="6A81B4B2">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tc>
      </w:tr>
      <w:tr w14:paraId="57E51BB3">
        <w:tblPrEx>
          <w:tblCellMar>
            <w:top w:w="0" w:type="dxa"/>
            <w:left w:w="108" w:type="dxa"/>
            <w:bottom w:w="0" w:type="dxa"/>
            <w:right w:w="108" w:type="dxa"/>
          </w:tblCellMar>
        </w:tblPrEx>
        <w:tc>
          <w:tcPr>
            <w:tcW w:w="4482" w:type="dxa"/>
            <w:noWrap w:val="0"/>
            <w:vAlign w:val="top"/>
          </w:tcPr>
          <w:p w14:paraId="74FAFE68">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38BA31F2">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签订日期：202</w:t>
            </w: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lang w:val="en-US" w:eastAsia="zh-CN"/>
              </w:rPr>
              <w:t>年    月    日</w:t>
            </w:r>
          </w:p>
        </w:tc>
        <w:tc>
          <w:tcPr>
            <w:tcW w:w="4038" w:type="dxa"/>
            <w:noWrap w:val="0"/>
            <w:vAlign w:val="top"/>
          </w:tcPr>
          <w:p w14:paraId="16ED54D8">
            <w:pPr>
              <w:pageBreakBefore w:val="0"/>
              <w:kinsoku/>
              <w:wordWrap/>
              <w:bidi w:val="0"/>
              <w:spacing w:after="0" w:line="360" w:lineRule="auto"/>
              <w:rPr>
                <w:rFonts w:hint="eastAsia" w:ascii="宋体" w:hAnsi="宋体" w:eastAsia="宋体" w:cs="宋体"/>
                <w:color w:val="auto"/>
                <w:sz w:val="21"/>
                <w:szCs w:val="21"/>
                <w:highlight w:val="none"/>
                <w:lang w:val="en-US" w:eastAsia="zh-CN"/>
              </w:rPr>
            </w:pPr>
          </w:p>
          <w:p w14:paraId="7F07086F">
            <w:pPr>
              <w:pageBreakBefore w:val="0"/>
              <w:kinsoku/>
              <w:wordWrap/>
              <w:bidi w:val="0"/>
              <w:spacing w:after="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签订日期：202</w:t>
            </w:r>
            <w:r>
              <w:rPr>
                <w:rFonts w:hint="eastAsia" w:ascii="宋体" w:hAnsi="宋体" w:cs="宋体"/>
                <w:color w:val="auto"/>
                <w:sz w:val="21"/>
                <w:szCs w:val="21"/>
                <w:highlight w:val="none"/>
                <w:lang w:val="en-US" w:eastAsia="zh-CN"/>
              </w:rPr>
              <w:t>6</w:t>
            </w:r>
            <w:r>
              <w:rPr>
                <w:rFonts w:hint="eastAsia" w:ascii="宋体" w:hAnsi="宋体" w:eastAsia="宋体" w:cs="宋体"/>
                <w:color w:val="auto"/>
                <w:sz w:val="21"/>
                <w:szCs w:val="21"/>
                <w:highlight w:val="none"/>
                <w:lang w:val="en-US" w:eastAsia="zh-CN"/>
              </w:rPr>
              <w:t>年    月    日</w:t>
            </w:r>
          </w:p>
        </w:tc>
      </w:tr>
    </w:tbl>
    <w:p w14:paraId="19D71953">
      <w:pPr>
        <w:pageBreakBefore w:val="0"/>
        <w:widowControl w:val="0"/>
        <w:kinsoku/>
        <w:wordWrap/>
        <w:bidi w:val="0"/>
        <w:spacing w:after="0" w:line="360" w:lineRule="auto"/>
        <w:ind w:left="0" w:leftChars="0" w:firstLine="0" w:firstLineChars="0"/>
        <w:jc w:val="both"/>
        <w:outlineLvl w:val="9"/>
        <w:rPr>
          <w:rFonts w:hint="eastAsia" w:ascii="宋体" w:hAnsi="宋体" w:eastAsia="宋体" w:cs="宋体"/>
          <w:bCs/>
          <w:color w:val="auto"/>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bidi="ar-SA"/>
        </w:rPr>
        <w:t xml:space="preserve"> </w:t>
      </w:r>
    </w:p>
    <w:p w14:paraId="7AF17B42">
      <w:pPr>
        <w:pageBreakBefore w:val="0"/>
        <w:widowControl w:val="0"/>
        <w:kinsoku/>
        <w:wordWrap/>
        <w:bidi w:val="0"/>
        <w:spacing w:after="0" w:line="360" w:lineRule="auto"/>
        <w:ind w:left="0" w:leftChars="0" w:firstLine="0" w:firstLineChars="0"/>
        <w:jc w:val="both"/>
        <w:outlineLvl w:val="9"/>
        <w:rPr>
          <w:rFonts w:hint="eastAsia" w:ascii="宋体" w:hAnsi="宋体" w:eastAsia="宋体" w:cs="宋体"/>
          <w:bCs/>
          <w:color w:val="auto"/>
          <w:sz w:val="21"/>
          <w:szCs w:val="21"/>
          <w:highlight w:val="none"/>
          <w:lang w:val="en-US" w:eastAsia="zh-CN" w:bidi="ar-SA"/>
        </w:rPr>
      </w:pPr>
    </w:p>
    <w:p w14:paraId="076CEE05">
      <w:pPr>
        <w:pageBreakBefore w:val="0"/>
        <w:widowControl w:val="0"/>
        <w:numPr>
          <w:ilvl w:val="0"/>
          <w:numId w:val="0"/>
        </w:numPr>
        <w:kinsoku/>
        <w:wordWrap/>
        <w:bidi w:val="0"/>
        <w:spacing w:after="0" w:line="360" w:lineRule="auto"/>
        <w:ind w:left="0" w:leftChars="0" w:firstLine="0" w:firstLineChars="0"/>
        <w:jc w:val="left"/>
        <w:outlineLvl w:val="9"/>
        <w:rPr>
          <w:rFonts w:hint="eastAsia" w:ascii="宋体" w:hAnsi="宋体" w:eastAsia="宋体" w:cs="宋体"/>
          <w:b/>
          <w:bCs/>
          <w:color w:val="auto"/>
          <w:sz w:val="21"/>
          <w:szCs w:val="21"/>
          <w:highlight w:val="none"/>
          <w:lang w:val="en-US" w:eastAsia="zh-CN" w:bidi="en-US"/>
        </w:rPr>
      </w:pPr>
    </w:p>
    <w:p w14:paraId="2021E5F1">
      <w:pPr>
        <w:pageBreakBefore w:val="0"/>
        <w:widowControl w:val="0"/>
        <w:numPr>
          <w:ilvl w:val="0"/>
          <w:numId w:val="0"/>
        </w:numPr>
        <w:kinsoku/>
        <w:wordWrap/>
        <w:bidi w:val="0"/>
        <w:spacing w:after="0" w:line="360" w:lineRule="auto"/>
        <w:ind w:left="0" w:leftChars="0" w:firstLine="0" w:firstLineChars="0"/>
        <w:jc w:val="left"/>
        <w:outlineLvl w:val="9"/>
        <w:rPr>
          <w:rFonts w:hint="eastAsia" w:ascii="宋体" w:hAnsi="宋体" w:eastAsia="宋体" w:cs="宋体"/>
          <w:b/>
          <w:bCs/>
          <w:color w:val="auto"/>
          <w:sz w:val="21"/>
          <w:szCs w:val="21"/>
          <w:highlight w:val="none"/>
          <w:lang w:val="en-US" w:eastAsia="zh-CN" w:bidi="en-US"/>
        </w:rPr>
      </w:pPr>
    </w:p>
    <w:p w14:paraId="60C8B8F3">
      <w:pPr>
        <w:spacing w:after="200" w:line="240" w:lineRule="auto"/>
        <w:outlineLvl w:val="9"/>
        <w:rPr>
          <w:rFonts w:hint="eastAsia" w:ascii="宋体" w:hAnsi="宋体" w:eastAsia="宋体" w:cs="宋体"/>
          <w:b/>
          <w:color w:val="auto"/>
          <w:sz w:val="21"/>
          <w:szCs w:val="21"/>
          <w:highlight w:val="none"/>
          <w:lang w:bidi="en-US"/>
        </w:rPr>
      </w:pPr>
      <w:r>
        <w:rPr>
          <w:rFonts w:hint="eastAsia" w:ascii="宋体" w:hAnsi="宋体" w:eastAsia="宋体" w:cs="宋体"/>
          <w:b/>
          <w:color w:val="auto"/>
          <w:sz w:val="21"/>
          <w:szCs w:val="21"/>
          <w:highlight w:val="none"/>
          <w:lang w:bidi="en-US"/>
        </w:rPr>
        <w:br w:type="page"/>
      </w:r>
    </w:p>
    <w:p w14:paraId="32FB7C35">
      <w:pPr>
        <w:pageBreakBefore w:val="0"/>
        <w:widowControl w:val="0"/>
        <w:numPr>
          <w:ilvl w:val="0"/>
          <w:numId w:val="0"/>
        </w:numPr>
        <w:kinsoku/>
        <w:wordWrap/>
        <w:bidi w:val="0"/>
        <w:spacing w:after="0" w:line="360" w:lineRule="auto"/>
        <w:ind w:left="0" w:leftChars="0" w:firstLine="0" w:firstLineChars="0"/>
        <w:jc w:val="left"/>
        <w:outlineLvl w:val="1"/>
        <w:rPr>
          <w:rFonts w:hint="eastAsia" w:ascii="宋体" w:hAnsi="宋体" w:eastAsia="宋体" w:cs="宋体"/>
          <w:b/>
          <w:bCs/>
          <w:color w:val="auto"/>
          <w:sz w:val="21"/>
          <w:szCs w:val="21"/>
          <w:highlight w:val="none"/>
          <w:lang w:val="en-US" w:eastAsia="zh-CN" w:bidi="ar-SA"/>
        </w:rPr>
      </w:pPr>
      <w:bookmarkStart w:id="129" w:name="_Toc1131"/>
      <w:r>
        <w:rPr>
          <w:rFonts w:hint="eastAsia" w:ascii="宋体" w:hAnsi="宋体" w:eastAsia="宋体" w:cs="宋体"/>
          <w:b/>
          <w:bCs/>
          <w:color w:val="auto"/>
          <w:sz w:val="21"/>
          <w:szCs w:val="21"/>
          <w:highlight w:val="none"/>
          <w:lang w:val="en-US" w:eastAsia="zh-CN" w:bidi="en-US"/>
        </w:rPr>
        <w:t>附件5：承包商违章处罚条款</w:t>
      </w:r>
      <w:bookmarkEnd w:id="129"/>
    </w:p>
    <w:tbl>
      <w:tblPr>
        <w:tblStyle w:val="29"/>
        <w:tblW w:w="9960" w:type="dxa"/>
        <w:tblInd w:w="-65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5"/>
        <w:gridCol w:w="4410"/>
        <w:gridCol w:w="1125"/>
        <w:gridCol w:w="750"/>
        <w:gridCol w:w="750"/>
        <w:gridCol w:w="659"/>
        <w:gridCol w:w="736"/>
        <w:gridCol w:w="945"/>
      </w:tblGrid>
      <w:tr w14:paraId="4A00F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atLeast"/>
        </w:trPr>
        <w:tc>
          <w:tcPr>
            <w:tcW w:w="585" w:type="dxa"/>
            <w:tcBorders>
              <w:top w:val="single" w:color="auto" w:sz="4" w:space="0"/>
              <w:left w:val="single" w:color="000000" w:sz="4" w:space="0"/>
              <w:bottom w:val="single" w:color="000000" w:sz="4" w:space="0"/>
              <w:right w:val="single" w:color="000000" w:sz="4" w:space="0"/>
            </w:tcBorders>
            <w:shd w:val="clear" w:color="auto" w:fill="auto"/>
            <w:vAlign w:val="center"/>
          </w:tcPr>
          <w:p w14:paraId="4564ABF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4410" w:type="dxa"/>
            <w:tcBorders>
              <w:top w:val="single" w:color="auto" w:sz="4" w:space="0"/>
              <w:left w:val="single" w:color="000000" w:sz="4" w:space="0"/>
              <w:bottom w:val="single" w:color="000000" w:sz="4" w:space="0"/>
              <w:right w:val="single" w:color="000000" w:sz="4" w:space="0"/>
            </w:tcBorders>
            <w:shd w:val="clear" w:color="auto" w:fill="auto"/>
            <w:vAlign w:val="center"/>
          </w:tcPr>
          <w:p w14:paraId="3F836DB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违章现象</w:t>
            </w:r>
          </w:p>
        </w:tc>
        <w:tc>
          <w:tcPr>
            <w:tcW w:w="1125" w:type="dxa"/>
            <w:tcBorders>
              <w:top w:val="single" w:color="auto" w:sz="4" w:space="0"/>
              <w:left w:val="single" w:color="000000" w:sz="4" w:space="0"/>
              <w:bottom w:val="single" w:color="000000" w:sz="4" w:space="0"/>
              <w:right w:val="single" w:color="000000" w:sz="4" w:space="0"/>
            </w:tcBorders>
            <w:shd w:val="clear" w:color="auto" w:fill="auto"/>
            <w:vAlign w:val="center"/>
          </w:tcPr>
          <w:p w14:paraId="7589739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违章类型</w:t>
            </w:r>
          </w:p>
        </w:tc>
        <w:tc>
          <w:tcPr>
            <w:tcW w:w="750" w:type="dxa"/>
            <w:tcBorders>
              <w:top w:val="single" w:color="auto" w:sz="4" w:space="0"/>
              <w:left w:val="single" w:color="000000" w:sz="4" w:space="0"/>
              <w:bottom w:val="single" w:color="000000" w:sz="4" w:space="0"/>
              <w:right w:val="single" w:color="000000" w:sz="4" w:space="0"/>
            </w:tcBorders>
            <w:shd w:val="clear" w:color="auto" w:fill="auto"/>
            <w:vAlign w:val="center"/>
          </w:tcPr>
          <w:p w14:paraId="09E11DD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严重性</w:t>
            </w:r>
          </w:p>
        </w:tc>
        <w:tc>
          <w:tcPr>
            <w:tcW w:w="750" w:type="dxa"/>
            <w:tcBorders>
              <w:top w:val="single" w:color="auto" w:sz="4" w:space="0"/>
              <w:left w:val="single" w:color="000000" w:sz="4" w:space="0"/>
              <w:bottom w:val="single" w:color="000000" w:sz="4" w:space="0"/>
              <w:right w:val="single" w:color="000000" w:sz="4" w:space="0"/>
            </w:tcBorders>
            <w:shd w:val="clear" w:color="auto" w:fill="auto"/>
            <w:vAlign w:val="center"/>
          </w:tcPr>
          <w:p w14:paraId="5301737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第一次</w:t>
            </w:r>
          </w:p>
        </w:tc>
        <w:tc>
          <w:tcPr>
            <w:tcW w:w="659" w:type="dxa"/>
            <w:tcBorders>
              <w:top w:val="single" w:color="auto" w:sz="4" w:space="0"/>
              <w:left w:val="single" w:color="000000" w:sz="4" w:space="0"/>
              <w:bottom w:val="single" w:color="000000" w:sz="4" w:space="0"/>
              <w:right w:val="single" w:color="000000" w:sz="4" w:space="0"/>
            </w:tcBorders>
            <w:shd w:val="clear" w:color="auto" w:fill="auto"/>
            <w:vAlign w:val="center"/>
          </w:tcPr>
          <w:p w14:paraId="5A0429F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第二次</w:t>
            </w:r>
          </w:p>
        </w:tc>
        <w:tc>
          <w:tcPr>
            <w:tcW w:w="736" w:type="dxa"/>
            <w:tcBorders>
              <w:top w:val="single" w:color="auto" w:sz="4" w:space="0"/>
              <w:left w:val="single" w:color="000000" w:sz="4" w:space="0"/>
              <w:bottom w:val="single" w:color="000000" w:sz="4" w:space="0"/>
              <w:right w:val="single" w:color="000000" w:sz="4" w:space="0"/>
            </w:tcBorders>
            <w:shd w:val="clear" w:color="auto" w:fill="auto"/>
            <w:vAlign w:val="center"/>
          </w:tcPr>
          <w:p w14:paraId="3E185D9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第三次</w:t>
            </w:r>
          </w:p>
        </w:tc>
        <w:tc>
          <w:tcPr>
            <w:tcW w:w="945" w:type="dxa"/>
            <w:tcBorders>
              <w:top w:val="single" w:color="auto" w:sz="4" w:space="0"/>
              <w:left w:val="single" w:color="000000" w:sz="4" w:space="0"/>
              <w:bottom w:val="single" w:color="000000" w:sz="4" w:space="0"/>
              <w:right w:val="single" w:color="000000" w:sz="4" w:space="0"/>
            </w:tcBorders>
            <w:shd w:val="clear" w:color="auto" w:fill="auto"/>
            <w:vAlign w:val="center"/>
          </w:tcPr>
          <w:p w14:paraId="131FEDA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备注</w:t>
            </w:r>
          </w:p>
        </w:tc>
      </w:tr>
      <w:tr w14:paraId="5843C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D458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065C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没有按规定做好围蔽、五牌一图、摄像头、警示牌（等）、防暑用品，按合同约定设立项目部（如有）</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91BE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2742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83C8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6763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911A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0BB4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单位：元/次</w:t>
            </w:r>
          </w:p>
        </w:tc>
      </w:tr>
      <w:tr w14:paraId="16A1A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915D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34C6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不组织班前、班后会及其他安全活动；安全技术交底记录中未签字、代签字或机打签字。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A7EF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0688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D80C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D8C2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C500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52692">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16B9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F051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AA40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不按照交底宣贯的施工样板技术规范施工，施工工艺、材料设备质量不合符规范。</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FBAF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材料质量</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67B2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7A12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1EE9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45D5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AA854">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2D3745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F3E9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AA91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不按规定同步更新施工过程资料（施工图片、施工日志、材料报审、进度汇报等）、竣工资料；施工日志没有当天发到工作群。</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3C42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信息传递</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43FE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4551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D2F6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7C61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E6BE5">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7A477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0C6A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1E20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当日施工完毕后未对现场进行整理及垃圾清理，现场混乱。</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3392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4242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4FB7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C83A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880D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27ED9">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1FA2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83AD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14CE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工程进度滞后超过3天（自然日），且未经甲方项目负责人书面同意延期的。（不可抗力因素除外）</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1CE5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进度管控</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197F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C24F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9335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E3F2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3A023">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2DD2B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F616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5F74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总承包单位在实施过程中，因施工单位原因，收到业主单位/客户/监管部门投诉。</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800B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495F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2209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DFF5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0A7E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5459D">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20038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1738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B82C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施工现场存在坑洞、高空坠落物、触电、滑倒等危险因素的场地,未设置醒目标识、护栏或围栏。</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6D6B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安全措施</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0A88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AC48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CFF3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1AA8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51AD2">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063086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1FCE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7282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施工人员在非指定区域吸烟、乱丢烟头的；不按指定路线出入施工区域且不听劝阻。</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1B29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2FA3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8A4E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AD69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D12E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24BED">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9650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9740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F33A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施工现场未确定监工及现场安全管理人员或监工、现场安全管理人员未在现场督导。</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471D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安全措施</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6943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3FEB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64E8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4595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19118">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E11A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8CAD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477F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施工人员不听劝阻等正常管理，而采取抵触、漫骂等行为</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763D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7964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6205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7869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A393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00AAC">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081D1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AB9E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DB98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违规碰撞、踩踏、破坏储能设备；没做好基础成品保护的。</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E6BA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EC9D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3A25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BD54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11FC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BB320">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2B5A0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FD94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13</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564A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不当施工或行为造成空气/土壤/水污染且未采取任何恢复措施者。</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E70B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C15D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CDF6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A861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7E17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8046E">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C6BF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ED1F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EA43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施工现场发生危险，未令停止作业及未告知甲方或监理人员，发生事故者；工作场所发生职业伤害，未通报甲方且未依照相关规定办理。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4C59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C869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B9D9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4908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62DB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AC28D">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26341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407F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5780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未经停电、验电、接地即开展作业，未按照工作票所列“应装设的接地”要求装设接地或工作地点未装设封闭接地，擅自变更接地位置。</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7CB6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7E87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AC7F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DE27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7A97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62BA5">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54C97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E52B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16</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6559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违章指挥、强令工作班人员冒险作业；未办理开工/复工手续擅自组织施工，或停工令执行不到位。</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3AF3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信息传递</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B12D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851D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A42C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712D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E939F">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2A8445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74A7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17</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7AD4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在存在感应电、反送电触电风险的导地线等设备作业时，未使用个人保安线或接地线，或个人保安线或接地线未有效接地，丧失接地保护功能。</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4A5F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FD58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E4AD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DA3A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3652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F8847">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5F7FE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2"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7EF7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18</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402E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高处作业未使用安全带等防坠落用品、装置，或安全带未挂在牢固的构件上，或攀登杆塔、转移位置时失去安全带的保护；人未下到地面直接移动脚手架或梯子等登高用具。</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5564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4DB2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79F9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700C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4678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7DE78">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A095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EDC6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90C4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带明火进入易燃易爆物品储放场所，或在易燃易爆物品储放场所动火工作未采取防火等安全措施，动火作业点10米内未清除可燃物品或作业后现场有残留火种。</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0F3C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32C7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9EA0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3C8A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3959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FA02C">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5F2305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60C3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F3CA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低压不停电作业未穿绝缘鞋，未戴低压绝缘手套或帆布手套，未使用有绝缘柄的工具。作业前未采取绝缘隔离、遮蔽带电部分等防止相间或接地短路的有效措施。</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641E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A692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515A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DAF6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3CEB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31837">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7CEA7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F067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21</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A316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起重机械、高空作业平台、吊篮（吊笼）、牵引设备、钢丝绳等起重、起吊、牵引设备超过铭牌规定额定荷载值使用；吊钩防脱落保险装置残缺、失效。</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E807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1973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2042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8170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8E7B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4934B">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E0DF2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B1BC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22</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6E72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邻近带电设备场所使用的起重机和绞车等牵引工具未接地，作业的导（地）线未在工作地点接地。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7E42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90D2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FFFD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0A47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88CC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C5EE5">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3A32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AD45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23</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3E1F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在带电设备附近使用金属梯子进行作业。</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34FA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6EA0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FFC6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7DFA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7CAA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B4F72">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4B46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AF83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24</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DB58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特种作业人员未经年审或证件过期仍开展特种作业。</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7802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6E79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6E4C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803B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F1B2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6CA42">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247C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1C7F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25</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E612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醉酒、酒后等不清醒状态下开展作业。</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0B56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492A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878D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2E7F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FCA2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A9C2C">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232C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CADF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26</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0739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雨天在户外操作电气设备时，验电器、绝缘棒、操作杆无防雨罩，未穿绝缘靴、戴绝缘手套。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AD4B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397C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817B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4635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095E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FE00B">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56B7B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6C28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27</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C33E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作业现场使用、携带的工器具不合格（存在严重破损、裂纹、松脱、断股等明显缺陷或达到报废标准）。</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11D0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2FA0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5221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8DF2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22BE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9048C">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4262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516B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28</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5CF2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未使用相应电压等级且合格的验电器进行验电。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7961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9E3E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4FBF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3314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3ED4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90D53">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0347E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D0F4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29</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4E4C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作业现场使用、携带的砂轮机、切割机、锯木机的刀片有裂纹、破损，或机械转动部分保护罩破损、缺失。</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61FD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47F2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A18B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BB0A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E73F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FDA26">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709F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897E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8636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采用流动式起重机、高空作业车、绝缘斗臂车、高处作业平台等作业时，未落实稳固支撑等防倾覆措施，且存在严重的倾覆隐患。</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C0D0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5F35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09EC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3DE9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8613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BC09B">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92CE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5238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FA62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装、拆接地线后未及时做好相关记录。</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8A11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安全措施</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A86B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C94D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0DC6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8F9F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2508C">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7217C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F724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32</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EF27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在高处作业地点的垂直下方及坠物可能落到的地方通行或逗留；高处作业人员随手上下抛掷工具、器具和材料。</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2491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B04B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073A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1419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EBAE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26279">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9B63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3044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C5D4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起吊作业范围没有防止外人通行的围蔽设施、未设置警示标志。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85C2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BAB2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A75B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025C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7DD9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341C6">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210AF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4054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34</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E653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在城区、人口密集区、通行道路上或交通道口施工时，工作场所周围未设遮栏（围栏）或其他安全措施。</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92B8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EEB8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A4DE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7F69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28BA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478BC">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7D0DB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874F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35</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2BAC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施工检修电源箱外壳未接地或接地不规范、无锁、无警示标志等。现场使用的施工机具等应接地未接地或接地不规范。</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3005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8563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A7B1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E2FE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D42E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E1183">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027BC4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70DE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36</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BC5E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作业人员擅自移动安全遮栏（围栏）、拆除标志牌等；随意挪用现场安全设施或损坏现场安全标志。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4AE9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44CA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D7A9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0601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860F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35679">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3109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BA51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37</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61E1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擅自拆除孔洞盖板、栏杆、隔离层，或因工作需要拆除附属设施时未设明显标示，未及时恢复。</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8F1B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F4CE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1984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3C0F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8205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8142E">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51B79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2FF6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38</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09CB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电容器、电缆等设备检修前或试验调整接线前，未逐个、逐相进行充分放电。</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7D3E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4C24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0D51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4018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9472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C4CCE">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6EBE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7851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39</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EC4F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作业人员在受力钢丝绳上下方、内角侧，或起吊物下逗留或通过。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405D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CE8F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CE41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B6EE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6D78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51A39">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76C98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4B8B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9E4D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电动工具搬动和移动、收放电源线时未切断电源。</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D5DD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C9F8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EDD9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6554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A083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05D36">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75006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972A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41</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DC34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工作负责人在工作内容、分工、范围等变动后，未重新组织工作班人员进行安全交代。</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117F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信息传递</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8B7D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6D42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3BCB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76F5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397E8">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270D2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FBA5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42</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9D88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搬运、起吊重大物件无统一指挥、统一信号；凭借栏杆、脚手架、瓷件等起吊物件。</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5D2C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信息传递</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CF45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F83D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C22B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4E59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7F7E3">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FD20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63E4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43</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3429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电源箱设置不符合“一机、一闸、一保护”要求，临时电源箱无漏电保护装置或漏电装置损坏，或插头、插座、电源箱破损明显，或使用铁线、铜线等代替保险丝。</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BB3A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275D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7C74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49DE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9B5E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E1BA0">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59870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B2C1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44</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108D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电气设备、工具的电源线直接钩挂在闸刀上或直接插入插座使用。</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1EB0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FC25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3E64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17F8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284B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92524">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2785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20B5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45</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7CA9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户外使用中的电焊机无防雨措施，或电焊机电源线直接搭接在电线上。</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C991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FC41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D894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9CAE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16F2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2D425">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0F97B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6493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46</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F884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绞磨牵引钢丝绳未从绞磨下方卷入，钢丝绳未在磨芯上绕5圈以上，磨芯未放置防钢丝绳跑出的安全装置。</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CF52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81CF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0B54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A0C7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3109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2C24D">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506B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AE7B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47</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FE7B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使用大锤和手锤、砂轮、钻床、电钻、冲击钻时戴棉纱手套操作。</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9D56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EDB1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747A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9461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7451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C12D2">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66040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76D0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48</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6258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梯子架设在不稳定的支持物上，或梯子无防滑措施，或人字梯无限制开度的拉绳或限位器。梯子架设不稳固时无专人扶持或在未绑扎牢固的梯子上作业。</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B1F6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EFD5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AF71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4F5C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53BA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E90E0">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07146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6075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49</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B2B3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使用长度在2米以上的安全带、安全绳等未加装缓冲器或在具备条件的情况下安全带未高挂低用。</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F8C9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F3BA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0BC6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0F1B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EAAC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CE1FC">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34D5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CF62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E1A7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现场作业时未按规定着装；不按规定佩戴或未正确佩戴安全帽。</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92DE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545C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0455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42B8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CD59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BD4B6">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7F438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77D6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51</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03C9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使用验电器对低压配电设备验电时未戴绝缘手套。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A277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E5F5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3074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2B51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46EB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7F249">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00240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DFC8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52</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39D3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电、气焊工作时不戴防护镜、不穿帆布或全棉工作服、不戴防护手套等专用劳动防护用品。</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D858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1AA7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C472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E893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F3B3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5484D">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0EDA8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EDE6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53</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19EB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二次回路工作未落实防止电流互感器二次侧开路或电压互感器二次侧短路的措施。</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4CB1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7DAB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90F2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8CEE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B7DA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CB08B">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441D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8BAE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54</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B493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易燃、易爆物品或各种气瓶不按规定储运、存放、使用。</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8620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B0CA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C353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138A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B2DE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905D6">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068A4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59B3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55</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B44A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使用中的乙炔瓶没有防回火装置，气管有龟裂、鼓包、漏气等现象。</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65FB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DB66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7DD1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9ED4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B1BF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F15C7">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76BF3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A791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56</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F9C7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氧气瓶与乙炔瓶同车运载及混放使用中的氧气瓶、乙炔瓶放置相距不足5米，距明火不足10米，未垂直放置固定。</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1254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A0DA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B82F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8BC5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6DE8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D3102">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FC85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C30A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57</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ABBC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动火作业现场未放置足够、合格的灭火器材。</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1C35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C91B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1FFC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1063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6116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B7E87">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73E6C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2397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58</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3469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动火现场（周围及动火点下方最小半径10米）有易燃易爆物，存在可燃溶剂清洗剂及喷漆作业。</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062F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04A6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A</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F590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659B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42AF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6A1B3">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5A381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0705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59</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D06F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擅自倾倒、堆放、丢弃或遗撒危险化学品；危化品、爆破品运输、存储、使用不规范。</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E0C6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615E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3918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205F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51B4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20F36">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49EE7F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3F48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75FE6">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电缆沟、疏水沟、下水道、井下等有限空间工作现场少于2人，有限空间外未设置监护人或未全程持续监护。</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7660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BFC1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ACE4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F6F7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102F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23544">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3BF4A0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D066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61</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BA19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敷设电缆过程中无专人指挥，电缆移动时用手搬动滑轮。</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47BF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057D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2587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4F14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D029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817FC">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06E12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2B247">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62</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D8F71">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未按规定将作业纳入视频监控（含视频点不足、故意遮挡视频、非可调摄像头未对准作业现场、位置摆放错误）。</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5602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信息传递</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5E22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AE8A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3324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F146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F7789">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02F0B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4BC4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63</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835D2">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安排有职业禁忌病症的人员从事相应的禁忌作业。</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031FB">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人员行为</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032F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AFF5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A6E0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4A61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9BFB7">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1C722E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01F2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64</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328C8">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未按规定办理审批、交底等手续或未探明地下管线等分布情况，盲目开挖、掘进、顶管等作业。</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FE525">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作业环境</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C0B4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B</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65D3A">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B034D">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A6B13">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C9D05">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r w14:paraId="5F5769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8E32E">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65</w:t>
            </w:r>
          </w:p>
        </w:tc>
        <w:tc>
          <w:tcPr>
            <w:tcW w:w="44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73534">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现场处于使用状态的施工机械（具）、发电车或施工用电设备无人看护。</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B1BFC">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机具防护</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B0E50">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D576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w:t>
            </w:r>
          </w:p>
        </w:tc>
        <w:tc>
          <w:tcPr>
            <w:tcW w:w="6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8C0FF">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491E9">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43977">
            <w:pPr>
              <w:keepNext w:val="0"/>
              <w:keepLines w:val="0"/>
              <w:pageBreakBefore w:val="0"/>
              <w:widowControl/>
              <w:kinsoku/>
              <w:wordWrap/>
              <w:overflowPunct/>
              <w:topLinePunct w:val="0"/>
              <w:autoSpaceDE/>
              <w:autoSpaceDN/>
              <w:bidi w:val="0"/>
              <w:adjustRightInd w:val="0"/>
              <w:snapToGrid w:val="0"/>
              <w:spacing w:after="0" w:line="240" w:lineRule="auto"/>
              <w:jc w:val="left"/>
              <w:rPr>
                <w:rFonts w:hint="eastAsia" w:ascii="宋体" w:hAnsi="宋体" w:eastAsia="宋体" w:cs="宋体"/>
                <w:i w:val="0"/>
                <w:iCs w:val="0"/>
                <w:color w:val="auto"/>
                <w:sz w:val="21"/>
                <w:szCs w:val="21"/>
                <w:highlight w:val="none"/>
                <w:u w:val="none"/>
              </w:rPr>
            </w:pPr>
          </w:p>
        </w:tc>
      </w:tr>
    </w:tbl>
    <w:p w14:paraId="6090CCC4">
      <w:pPr>
        <w:spacing w:line="360" w:lineRule="auto"/>
        <w:rPr>
          <w:rFonts w:hint="default" w:ascii="仿宋_GB2312" w:eastAsia="仿宋_GB2312"/>
          <w:color w:val="auto"/>
          <w:sz w:val="24"/>
          <w:highlight w:val="none"/>
        </w:rPr>
      </w:pPr>
    </w:p>
    <w:p w14:paraId="567D3B81">
      <w:pPr>
        <w:rPr>
          <w:color w:val="auto"/>
          <w:highlight w:val="none"/>
        </w:rPr>
      </w:pPr>
    </w:p>
    <w:p w14:paraId="5A067A32">
      <w:pPr>
        <w:rPr>
          <w:rFonts w:hint="eastAsia" w:ascii="宋体" w:hAnsi="宋体" w:eastAsia="宋体" w:cs="宋体"/>
          <w:color w:val="auto"/>
          <w:sz w:val="28"/>
          <w:szCs w:val="28"/>
          <w:highlight w:val="none"/>
        </w:rPr>
      </w:pPr>
    </w:p>
    <w:p w14:paraId="193DED98">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4878104D">
      <w:pPr>
        <w:pStyle w:val="6"/>
        <w:spacing w:before="0" w:after="0" w:line="24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第六部分 附件－投标文件格式</w:t>
      </w:r>
      <w:bookmarkEnd w:id="99"/>
    </w:p>
    <w:p w14:paraId="19B1E66B">
      <w:pPr>
        <w:pStyle w:val="6"/>
        <w:rPr>
          <w:rFonts w:hint="eastAsia" w:ascii="宋体" w:hAnsi="宋体" w:cs="宋体"/>
          <w:color w:val="auto"/>
          <w:sz w:val="21"/>
          <w:szCs w:val="21"/>
          <w:highlight w:val="none"/>
        </w:rPr>
      </w:pPr>
      <w:bookmarkStart w:id="130" w:name="_Toc182308027"/>
      <w:r>
        <w:rPr>
          <w:rFonts w:hint="eastAsia" w:ascii="宋体" w:hAnsi="宋体" w:cs="宋体"/>
          <w:color w:val="auto"/>
          <w:sz w:val="21"/>
          <w:szCs w:val="21"/>
          <w:highlight w:val="none"/>
        </w:rPr>
        <w:t>投标文件目录</w:t>
      </w:r>
      <w:bookmarkEnd w:id="130"/>
    </w:p>
    <w:p w14:paraId="0591F2BE">
      <w:pPr>
        <w:jc w:val="center"/>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目录</w:t>
      </w:r>
    </w:p>
    <w:p w14:paraId="73731DC8">
      <w:pPr>
        <w:adjustRightInd/>
        <w:snapToGrid/>
        <w:spacing w:line="276" w:lineRule="auto"/>
        <w:rPr>
          <w:rFonts w:ascii="宋体" w:hAnsi="宋体"/>
          <w:color w:val="auto"/>
          <w:szCs w:val="21"/>
          <w:highlight w:val="none"/>
        </w:rPr>
      </w:pPr>
      <w:r>
        <w:rPr>
          <w:rFonts w:hint="eastAsia" w:ascii="宋体" w:hAnsi="宋体"/>
          <w:color w:val="auto"/>
          <w:szCs w:val="21"/>
          <w:highlight w:val="none"/>
        </w:rPr>
        <w:t>格式自理。</w:t>
      </w:r>
    </w:p>
    <w:p w14:paraId="073CCB1C">
      <w:pPr>
        <w:adjustRightInd/>
        <w:snapToGrid/>
        <w:spacing w:line="276" w:lineRule="auto"/>
        <w:rPr>
          <w:rFonts w:ascii="宋体" w:hAnsi="宋体"/>
          <w:color w:val="auto"/>
          <w:szCs w:val="21"/>
          <w:highlight w:val="none"/>
        </w:rPr>
      </w:pPr>
    </w:p>
    <w:p w14:paraId="3D20C0AD">
      <w:pPr>
        <w:adjustRightInd/>
        <w:snapToGrid/>
        <w:spacing w:line="276" w:lineRule="auto"/>
        <w:rPr>
          <w:rFonts w:ascii="宋体" w:hAnsi="宋体"/>
          <w:color w:val="auto"/>
          <w:szCs w:val="21"/>
          <w:highlight w:val="none"/>
        </w:rPr>
      </w:pPr>
    </w:p>
    <w:p w14:paraId="0C0CA91F">
      <w:pPr>
        <w:adjustRightInd/>
        <w:snapToGrid/>
        <w:spacing w:line="276" w:lineRule="auto"/>
        <w:rPr>
          <w:rFonts w:ascii="宋体" w:hAnsi="宋体"/>
          <w:color w:val="auto"/>
          <w:szCs w:val="21"/>
          <w:highlight w:val="none"/>
        </w:rPr>
      </w:pPr>
      <w:r>
        <w:rPr>
          <w:rFonts w:hint="eastAsia" w:ascii="宋体" w:hAnsi="宋体"/>
          <w:color w:val="auto"/>
          <w:szCs w:val="21"/>
          <w:highlight w:val="none"/>
        </w:rPr>
        <w:t>注：</w:t>
      </w:r>
    </w:p>
    <w:p w14:paraId="7186FBC9">
      <w:pPr>
        <w:adjustRightInd/>
        <w:snapToGrid/>
        <w:spacing w:line="276" w:lineRule="auto"/>
        <w:rPr>
          <w:rFonts w:hint="eastAsia" w:ascii="宋体" w:hAnsi="宋体" w:cs="宋体"/>
          <w:color w:val="auto"/>
          <w:szCs w:val="21"/>
          <w:highlight w:val="none"/>
        </w:rPr>
      </w:pPr>
      <w:r>
        <w:rPr>
          <w:rFonts w:hint="eastAsia" w:ascii="宋体" w:hAnsi="宋体"/>
          <w:color w:val="auto"/>
          <w:szCs w:val="21"/>
          <w:highlight w:val="none"/>
        </w:rPr>
        <w:t>1、投标人制作的投标文件应当具备目录。</w:t>
      </w:r>
      <w:r>
        <w:rPr>
          <w:rFonts w:hint="eastAsia" w:ascii="宋体" w:hAnsi="宋体" w:cs="宋体"/>
          <w:color w:val="auto"/>
          <w:szCs w:val="21"/>
          <w:highlight w:val="none"/>
        </w:rPr>
        <w:br w:type="page"/>
      </w:r>
    </w:p>
    <w:p w14:paraId="66B46B61">
      <w:pPr>
        <w:pStyle w:val="6"/>
        <w:spacing w:before="0" w:after="0" w:line="360" w:lineRule="auto"/>
        <w:jc w:val="center"/>
        <w:rPr>
          <w:color w:val="auto"/>
          <w:sz w:val="72"/>
          <w:szCs w:val="72"/>
          <w:highlight w:val="none"/>
        </w:rPr>
      </w:pPr>
      <w:bookmarkStart w:id="131" w:name="_Toc30918"/>
      <w:bookmarkStart w:id="132" w:name="_Toc182308028"/>
      <w:bookmarkStart w:id="133" w:name="_Toc18450"/>
      <w:bookmarkStart w:id="134" w:name="_Toc20335"/>
      <w:bookmarkStart w:id="135" w:name="_Toc28154"/>
      <w:bookmarkStart w:id="136" w:name="_Toc21746"/>
      <w:r>
        <w:rPr>
          <w:rFonts w:hint="eastAsia"/>
          <w:color w:val="auto"/>
          <w:sz w:val="72"/>
          <w:szCs w:val="72"/>
          <w:highlight w:val="none"/>
        </w:rPr>
        <w:t>价格文件</w:t>
      </w:r>
      <w:bookmarkEnd w:id="131"/>
      <w:bookmarkEnd w:id="132"/>
      <w:bookmarkEnd w:id="133"/>
      <w:bookmarkStart w:id="137" w:name="_Hlt10519799"/>
      <w:bookmarkEnd w:id="137"/>
      <w:bookmarkStart w:id="138" w:name="_Hlt10456397"/>
      <w:bookmarkEnd w:id="138"/>
    </w:p>
    <w:p w14:paraId="1E9594BC">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bookmarkEnd w:id="134"/>
      <w:bookmarkEnd w:id="135"/>
      <w:bookmarkEnd w:id="136"/>
    </w:p>
    <w:p w14:paraId="5AFCB2FD">
      <w:pPr>
        <w:rPr>
          <w:color w:val="auto"/>
          <w:highlight w:val="none"/>
        </w:rPr>
      </w:pPr>
    </w:p>
    <w:p w14:paraId="63310CE5">
      <w:pPr>
        <w:pStyle w:val="13"/>
        <w:rPr>
          <w:rFonts w:hint="eastAsia"/>
          <w:color w:val="auto"/>
          <w:highlight w:val="none"/>
        </w:rPr>
      </w:pPr>
    </w:p>
    <w:p w14:paraId="0B23FA9A">
      <w:pPr>
        <w:ind w:firstLine="240"/>
        <w:rPr>
          <w:color w:val="auto"/>
          <w:highlight w:val="none"/>
        </w:rPr>
      </w:pPr>
    </w:p>
    <w:p w14:paraId="1DDB9C18">
      <w:pPr>
        <w:rPr>
          <w:rFonts w:hint="eastAsia" w:ascii="宋体" w:hAnsi="宋体" w:cs="宋体"/>
          <w:b/>
          <w:bCs/>
          <w:color w:val="auto"/>
          <w:spacing w:val="-6"/>
          <w:sz w:val="32"/>
          <w:szCs w:val="32"/>
          <w:highlight w:val="none"/>
        </w:rPr>
      </w:pPr>
      <w:r>
        <w:rPr>
          <w:rFonts w:hint="eastAsia" w:ascii="宋体" w:hAnsi="宋体" w:cs="宋体"/>
          <w:b/>
          <w:bCs/>
          <w:color w:val="auto"/>
          <w:spacing w:val="53"/>
          <w:w w:val="100"/>
          <w:kern w:val="0"/>
          <w:sz w:val="32"/>
          <w:szCs w:val="32"/>
          <w:highlight w:val="none"/>
          <w:fitText w:val="1600" w:id="1860113123"/>
        </w:rPr>
        <w:t>项目名</w:t>
      </w:r>
      <w:r>
        <w:rPr>
          <w:rFonts w:hint="eastAsia" w:ascii="宋体" w:hAnsi="宋体" w:cs="宋体"/>
          <w:b/>
          <w:bCs/>
          <w:color w:val="auto"/>
          <w:spacing w:val="1"/>
          <w:w w:val="100"/>
          <w:kern w:val="0"/>
          <w:sz w:val="32"/>
          <w:szCs w:val="32"/>
          <w:highlight w:val="none"/>
          <w:fitText w:val="1600" w:id="1860113123"/>
        </w:rPr>
        <w:t>称</w:t>
      </w:r>
      <w:r>
        <w:rPr>
          <w:rFonts w:hint="eastAsia" w:ascii="宋体" w:hAnsi="宋体" w:cs="宋体"/>
          <w:b/>
          <w:bCs/>
          <w:color w:val="auto"/>
          <w:spacing w:val="-6"/>
          <w:sz w:val="32"/>
          <w:szCs w:val="32"/>
          <w:highlight w:val="none"/>
        </w:rPr>
        <w:t>：</w:t>
      </w:r>
    </w:p>
    <w:p w14:paraId="154B5F7B">
      <w:pPr>
        <w:rPr>
          <w:rFonts w:hint="eastAsia" w:ascii="宋体" w:hAnsi="宋体" w:cs="宋体"/>
          <w:b/>
          <w:bCs/>
          <w:color w:val="auto"/>
          <w:sz w:val="32"/>
          <w:szCs w:val="32"/>
          <w:highlight w:val="none"/>
        </w:rPr>
      </w:pPr>
      <w:r>
        <w:rPr>
          <w:rFonts w:hint="eastAsia" w:ascii="宋体" w:hAnsi="宋体" w:cs="宋体"/>
          <w:b/>
          <w:bCs/>
          <w:color w:val="auto"/>
          <w:spacing w:val="53"/>
          <w:w w:val="100"/>
          <w:kern w:val="0"/>
          <w:sz w:val="32"/>
          <w:szCs w:val="32"/>
          <w:highlight w:val="none"/>
          <w:fitText w:val="1600" w:id="1"/>
        </w:rPr>
        <w:t>项目编</w:t>
      </w:r>
      <w:r>
        <w:rPr>
          <w:rFonts w:hint="eastAsia" w:ascii="宋体" w:hAnsi="宋体" w:cs="宋体"/>
          <w:b/>
          <w:bCs/>
          <w:color w:val="auto"/>
          <w:spacing w:val="1"/>
          <w:w w:val="100"/>
          <w:kern w:val="0"/>
          <w:sz w:val="32"/>
          <w:szCs w:val="32"/>
          <w:highlight w:val="none"/>
          <w:fitText w:val="1600" w:id="1"/>
        </w:rPr>
        <w:t>号</w:t>
      </w:r>
      <w:r>
        <w:rPr>
          <w:rFonts w:hint="eastAsia" w:ascii="宋体" w:hAnsi="宋体" w:cs="宋体"/>
          <w:b/>
          <w:bCs/>
          <w:color w:val="auto"/>
          <w:sz w:val="32"/>
          <w:szCs w:val="32"/>
          <w:highlight w:val="none"/>
        </w:rPr>
        <w:t>：</w:t>
      </w:r>
    </w:p>
    <w:p w14:paraId="2B31C1DC">
      <w:pPr>
        <w:pStyle w:val="27"/>
        <w:widowControl/>
        <w:adjustRightInd w:val="0"/>
        <w:snapToGrid w:val="0"/>
        <w:spacing w:before="161" w:afterAutospacing="1"/>
        <w:jc w:val="left"/>
        <w:rPr>
          <w:rFonts w:hint="eastAsia" w:ascii="宋体" w:hAnsi="宋体" w:cs="宋体"/>
          <w:b/>
          <w:color w:val="auto"/>
          <w:w w:val="83"/>
          <w:kern w:val="0"/>
          <w:sz w:val="32"/>
          <w:szCs w:val="32"/>
          <w:highlight w:val="none"/>
        </w:rPr>
      </w:pPr>
      <w:r>
        <w:rPr>
          <w:rFonts w:hint="eastAsia" w:ascii="宋体" w:hAnsi="宋体" w:cs="宋体"/>
          <w:b/>
          <w:color w:val="auto"/>
          <w:spacing w:val="106"/>
          <w:kern w:val="0"/>
          <w:sz w:val="32"/>
          <w:szCs w:val="32"/>
          <w:highlight w:val="none"/>
          <w:lang w:bidi="ar"/>
        </w:rPr>
        <w:t>包组号（如有）：</w:t>
      </w:r>
    </w:p>
    <w:p w14:paraId="7357BA01">
      <w:pPr>
        <w:rPr>
          <w:rFonts w:hint="eastAsia" w:ascii="宋体" w:hAnsi="宋体" w:cs="宋体"/>
          <w:b/>
          <w:color w:val="auto"/>
          <w:sz w:val="32"/>
          <w:szCs w:val="32"/>
          <w:highlight w:val="none"/>
        </w:rPr>
      </w:pPr>
      <w:r>
        <w:rPr>
          <w:rFonts w:hint="eastAsia" w:ascii="宋体" w:hAnsi="宋体" w:cs="宋体"/>
          <w:b/>
          <w:color w:val="auto"/>
          <w:spacing w:val="0"/>
          <w:w w:val="100"/>
          <w:kern w:val="0"/>
          <w:sz w:val="32"/>
          <w:szCs w:val="32"/>
          <w:highlight w:val="none"/>
          <w:fitText w:val="1600" w:id="2"/>
        </w:rPr>
        <w:t>投标人名称</w:t>
      </w:r>
      <w:r>
        <w:rPr>
          <w:rFonts w:hint="eastAsia" w:ascii="宋体" w:hAnsi="宋体" w:cs="宋体"/>
          <w:b/>
          <w:color w:val="auto"/>
          <w:sz w:val="32"/>
          <w:szCs w:val="32"/>
          <w:highlight w:val="none"/>
        </w:rPr>
        <w:t>：</w:t>
      </w:r>
    </w:p>
    <w:p w14:paraId="6FB5CC3D">
      <w:pPr>
        <w:rPr>
          <w:rFonts w:hint="eastAsia" w:ascii="宋体" w:hAnsi="宋体" w:cs="宋体"/>
          <w:b/>
          <w:color w:val="auto"/>
          <w:sz w:val="32"/>
          <w:szCs w:val="32"/>
          <w:highlight w:val="none"/>
        </w:rPr>
      </w:pPr>
      <w:r>
        <w:rPr>
          <w:rFonts w:hint="eastAsia" w:ascii="宋体" w:hAnsi="宋体" w:cs="宋体"/>
          <w:b/>
          <w:color w:val="auto"/>
          <w:spacing w:val="32"/>
          <w:w w:val="100"/>
          <w:kern w:val="0"/>
          <w:sz w:val="32"/>
          <w:szCs w:val="32"/>
          <w:highlight w:val="none"/>
          <w:fitText w:val="1600" w:id="3"/>
        </w:rPr>
        <w:t xml:space="preserve">日    </w:t>
      </w:r>
      <w:r>
        <w:rPr>
          <w:rFonts w:hint="eastAsia" w:ascii="宋体" w:hAnsi="宋体" w:cs="宋体"/>
          <w:b/>
          <w:color w:val="auto"/>
          <w:spacing w:val="0"/>
          <w:w w:val="100"/>
          <w:kern w:val="0"/>
          <w:sz w:val="32"/>
          <w:szCs w:val="32"/>
          <w:highlight w:val="none"/>
          <w:fitText w:val="1600" w:id="3"/>
        </w:rPr>
        <w:t>期</w:t>
      </w:r>
      <w:r>
        <w:rPr>
          <w:rFonts w:hint="eastAsia" w:ascii="宋体" w:hAnsi="宋体" w:cs="宋体"/>
          <w:b/>
          <w:color w:val="auto"/>
          <w:sz w:val="32"/>
          <w:szCs w:val="32"/>
          <w:highlight w:val="none"/>
        </w:rPr>
        <w:t>：  年  月  日</w:t>
      </w:r>
    </w:p>
    <w:p w14:paraId="3B6DAB05">
      <w:pPr>
        <w:rPr>
          <w:color w:val="auto"/>
          <w:highlight w:val="none"/>
        </w:rPr>
      </w:pPr>
    </w:p>
    <w:p w14:paraId="674E461E">
      <w:pPr>
        <w:pStyle w:val="13"/>
        <w:rPr>
          <w:rFonts w:hint="eastAsia"/>
          <w:color w:val="auto"/>
          <w:highlight w:val="none"/>
        </w:rPr>
      </w:pPr>
    </w:p>
    <w:p w14:paraId="5E4D1F27">
      <w:pPr>
        <w:pStyle w:val="24"/>
        <w:rPr>
          <w:color w:val="auto"/>
          <w:highlight w:val="none"/>
        </w:rPr>
      </w:pPr>
    </w:p>
    <w:p w14:paraId="5A981BAD">
      <w:pPr>
        <w:pStyle w:val="24"/>
        <w:ind w:left="0"/>
        <w:rPr>
          <w:color w:val="auto"/>
          <w:highlight w:val="none"/>
        </w:rPr>
      </w:pPr>
    </w:p>
    <w:p w14:paraId="48548DF0">
      <w:pPr>
        <w:rPr>
          <w:rFonts w:hint="eastAsia" w:ascii="宋体" w:hAnsi="宋体"/>
          <w:color w:val="auto"/>
          <w:szCs w:val="21"/>
          <w:highlight w:val="none"/>
        </w:rPr>
      </w:pPr>
      <w:r>
        <w:rPr>
          <w:rFonts w:hint="eastAsia" w:ascii="宋体" w:hAnsi="宋体"/>
          <w:color w:val="auto"/>
          <w:szCs w:val="21"/>
          <w:highlight w:val="none"/>
        </w:rPr>
        <w:br w:type="page"/>
      </w:r>
    </w:p>
    <w:p w14:paraId="057F558D">
      <w:pPr>
        <w:pStyle w:val="8"/>
        <w:widowControl w:val="0"/>
        <w:overflowPunct w:val="0"/>
        <w:spacing w:line="240" w:lineRule="auto"/>
        <w:rPr>
          <w:rFonts w:hint="eastAsia" w:ascii="宋体" w:hAnsi="宋体"/>
          <w:color w:val="auto"/>
          <w:sz w:val="21"/>
          <w:szCs w:val="21"/>
          <w:highlight w:val="none"/>
        </w:rPr>
      </w:pPr>
      <w:bookmarkStart w:id="139" w:name="_Toc182308029"/>
      <w:r>
        <w:rPr>
          <w:rFonts w:hint="eastAsia" w:ascii="宋体" w:hAnsi="宋体"/>
          <w:color w:val="auto"/>
          <w:sz w:val="21"/>
          <w:szCs w:val="21"/>
          <w:highlight w:val="none"/>
        </w:rPr>
        <w:t>附件1.开标一览表格式</w:t>
      </w:r>
      <w:bookmarkEnd w:id="139"/>
    </w:p>
    <w:p w14:paraId="730DF43E">
      <w:pPr>
        <w:jc w:val="center"/>
        <w:rPr>
          <w:rFonts w:ascii="黑体" w:eastAsia="黑体"/>
          <w:color w:val="auto"/>
          <w:sz w:val="32"/>
          <w:szCs w:val="32"/>
          <w:highlight w:val="none"/>
        </w:rPr>
      </w:pPr>
      <w:r>
        <w:rPr>
          <w:rFonts w:hint="eastAsia" w:ascii="黑体" w:eastAsia="黑体"/>
          <w:color w:val="auto"/>
          <w:sz w:val="32"/>
          <w:szCs w:val="32"/>
          <w:highlight w:val="none"/>
        </w:rPr>
        <w:t>开标一览表</w:t>
      </w:r>
    </w:p>
    <w:p w14:paraId="56EC5F0D">
      <w:pPr>
        <w:rPr>
          <w:color w:val="auto"/>
          <w:highlight w:val="none"/>
        </w:rPr>
      </w:pPr>
    </w:p>
    <w:p w14:paraId="13A4F910">
      <w:pPr>
        <w:rPr>
          <w:rFonts w:ascii="宋体" w:hAnsi="宋体"/>
          <w:color w:val="auto"/>
          <w:szCs w:val="21"/>
          <w:highlight w:val="none"/>
        </w:rPr>
      </w:pPr>
      <w:bookmarkStart w:id="140" w:name="_Toc182308030"/>
      <w:r>
        <w:rPr>
          <w:rFonts w:hint="eastAsia" w:ascii="宋体" w:hAnsi="宋体"/>
          <w:color w:val="auto"/>
          <w:szCs w:val="21"/>
          <w:highlight w:val="none"/>
          <w:lang w:val="en-US" w:eastAsia="zh-CN"/>
        </w:rPr>
        <w:t>项目</w:t>
      </w:r>
      <w:r>
        <w:rPr>
          <w:rFonts w:hint="eastAsia" w:ascii="宋体" w:hAnsi="宋体"/>
          <w:color w:val="auto"/>
          <w:szCs w:val="21"/>
          <w:highlight w:val="none"/>
        </w:rPr>
        <w:t>名称：</w:t>
      </w:r>
    </w:p>
    <w:p w14:paraId="4E354DE7">
      <w:pPr>
        <w:rPr>
          <w:color w:val="auto"/>
          <w:highlight w:val="none"/>
        </w:rPr>
      </w:pPr>
      <w:r>
        <w:rPr>
          <w:rFonts w:hint="eastAsia" w:ascii="宋体" w:hAnsi="宋体"/>
          <w:color w:val="auto"/>
          <w:szCs w:val="21"/>
          <w:highlight w:val="none"/>
        </w:rPr>
        <w:t>采购项目编号：</w:t>
      </w:r>
    </w:p>
    <w:tbl>
      <w:tblPr>
        <w:tblStyle w:val="29"/>
        <w:tblW w:w="851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hemeFill="background1"/>
        <w:tblLayout w:type="fixed"/>
        <w:tblCellMar>
          <w:top w:w="0" w:type="dxa"/>
          <w:left w:w="108" w:type="dxa"/>
          <w:bottom w:w="0" w:type="dxa"/>
          <w:right w:w="108" w:type="dxa"/>
        </w:tblCellMar>
      </w:tblPr>
      <w:tblGrid>
        <w:gridCol w:w="3484"/>
        <w:gridCol w:w="1566"/>
        <w:gridCol w:w="3469"/>
      </w:tblGrid>
      <w:tr w14:paraId="1BC5579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hemeFill="background1"/>
          <w:tblCellMar>
            <w:top w:w="0" w:type="dxa"/>
            <w:left w:w="108" w:type="dxa"/>
            <w:bottom w:w="0" w:type="dxa"/>
            <w:right w:w="108" w:type="dxa"/>
          </w:tblCellMar>
        </w:tblPrEx>
        <w:trPr>
          <w:trHeight w:val="905" w:hRule="atLeast"/>
          <w:jc w:val="center"/>
        </w:trPr>
        <w:tc>
          <w:tcPr>
            <w:tcW w:w="3484" w:type="dxa"/>
            <w:shd w:val="clear" w:color="auto" w:fill="FFFFFF" w:themeFill="background1"/>
            <w:vAlign w:val="center"/>
          </w:tcPr>
          <w:p w14:paraId="58E542A5">
            <w:pPr>
              <w:widowControl w:val="0"/>
              <w:spacing w:after="0"/>
              <w:jc w:val="center"/>
              <w:rPr>
                <w:rFonts w:ascii="宋体" w:hAnsi="宋体" w:eastAsia="宋体" w:cs="Times New Roman"/>
                <w:b/>
                <w:color w:val="auto"/>
                <w:kern w:val="2"/>
                <w:sz w:val="21"/>
                <w:szCs w:val="21"/>
                <w:highlight w:val="none"/>
              </w:rPr>
            </w:pPr>
            <w:r>
              <w:rPr>
                <w:rFonts w:hint="eastAsia" w:ascii="宋体" w:hAnsi="宋体" w:eastAsia="宋体" w:cs="Times New Roman"/>
                <w:b/>
                <w:color w:val="auto"/>
                <w:kern w:val="2"/>
                <w:sz w:val="21"/>
                <w:szCs w:val="21"/>
                <w:highlight w:val="none"/>
              </w:rPr>
              <w:t>采购标的</w:t>
            </w:r>
          </w:p>
        </w:tc>
        <w:tc>
          <w:tcPr>
            <w:tcW w:w="1566" w:type="dxa"/>
            <w:shd w:val="clear" w:color="auto" w:fill="FFFFFF" w:themeFill="background1"/>
            <w:vAlign w:val="center"/>
          </w:tcPr>
          <w:p w14:paraId="771272CA">
            <w:pPr>
              <w:widowControl w:val="0"/>
              <w:spacing w:after="0"/>
              <w:jc w:val="center"/>
              <w:rPr>
                <w:rFonts w:ascii="宋体" w:hAnsi="宋体" w:eastAsia="宋体" w:cs="Times New Roman"/>
                <w:b/>
                <w:color w:val="auto"/>
                <w:kern w:val="2"/>
                <w:sz w:val="21"/>
                <w:szCs w:val="21"/>
                <w:highlight w:val="none"/>
              </w:rPr>
            </w:pPr>
            <w:r>
              <w:rPr>
                <w:rStyle w:val="32"/>
                <w:rFonts w:ascii="宋体" w:hAnsi="宋体" w:eastAsia="宋体"/>
                <w:color w:val="auto"/>
                <w:sz w:val="21"/>
                <w:szCs w:val="21"/>
                <w:highlight w:val="none"/>
              </w:rPr>
              <w:t>数量（单位）</w:t>
            </w:r>
          </w:p>
        </w:tc>
        <w:tc>
          <w:tcPr>
            <w:tcW w:w="3469" w:type="dxa"/>
            <w:shd w:val="clear" w:color="auto" w:fill="FFFFFF" w:themeFill="background1"/>
            <w:vAlign w:val="center"/>
          </w:tcPr>
          <w:p w14:paraId="28408F56">
            <w:pPr>
              <w:widowControl w:val="0"/>
              <w:spacing w:after="0"/>
              <w:jc w:val="center"/>
              <w:rPr>
                <w:rFonts w:ascii="宋体" w:hAnsi="Times New Roman" w:eastAsia="宋体" w:cs="Times New Roman"/>
                <w:b/>
                <w:color w:val="auto"/>
                <w:kern w:val="2"/>
                <w:sz w:val="21"/>
                <w:szCs w:val="21"/>
                <w:highlight w:val="none"/>
              </w:rPr>
            </w:pPr>
            <w:r>
              <w:rPr>
                <w:rFonts w:hint="eastAsia" w:ascii="宋体" w:hAnsi="Times New Roman" w:eastAsia="宋体" w:cs="Times New Roman"/>
                <w:b/>
                <w:color w:val="auto"/>
                <w:kern w:val="2"/>
                <w:sz w:val="21"/>
                <w:szCs w:val="21"/>
                <w:highlight w:val="none"/>
              </w:rPr>
              <w:t>单价投标报价</w:t>
            </w:r>
          </w:p>
        </w:tc>
      </w:tr>
      <w:tr w14:paraId="045698A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hemeFill="background1"/>
          <w:tblCellMar>
            <w:top w:w="0" w:type="dxa"/>
            <w:left w:w="108" w:type="dxa"/>
            <w:bottom w:w="0" w:type="dxa"/>
            <w:right w:w="108" w:type="dxa"/>
          </w:tblCellMar>
        </w:tblPrEx>
        <w:trPr>
          <w:trHeight w:val="1362" w:hRule="atLeast"/>
          <w:jc w:val="center"/>
        </w:trPr>
        <w:tc>
          <w:tcPr>
            <w:tcW w:w="3484" w:type="dxa"/>
            <w:shd w:val="clear" w:color="auto" w:fill="FFFFFF" w:themeFill="background1"/>
            <w:vAlign w:val="center"/>
          </w:tcPr>
          <w:p w14:paraId="7F7D1A35">
            <w:pPr>
              <w:widowControl w:val="0"/>
              <w:spacing w:after="0"/>
              <w:jc w:val="center"/>
              <w:rPr>
                <w:rFonts w:hint="eastAsia" w:ascii="宋体" w:hAnsi="宋体" w:eastAsia="宋体" w:cs="Times New Roman"/>
                <w:bCs/>
                <w:color w:val="auto"/>
                <w:kern w:val="2"/>
                <w:sz w:val="21"/>
                <w:szCs w:val="21"/>
                <w:highlight w:val="none"/>
                <w:lang w:eastAsia="zh-CN"/>
              </w:rPr>
            </w:pPr>
            <w:r>
              <w:rPr>
                <w:rFonts w:hint="eastAsia" w:ascii="宋体" w:hAnsi="宋体" w:cs="Times New Roman"/>
                <w:bCs/>
                <w:color w:val="auto"/>
                <w:kern w:val="2"/>
                <w:sz w:val="21"/>
                <w:szCs w:val="21"/>
                <w:highlight w:val="none"/>
                <w:lang w:eastAsia="zh-CN"/>
              </w:rPr>
              <w:t>东莞市建冠物业投资有限公司625kW/2500kWh用户侧储能项目</w:t>
            </w:r>
          </w:p>
        </w:tc>
        <w:tc>
          <w:tcPr>
            <w:tcW w:w="1566" w:type="dxa"/>
            <w:shd w:val="clear" w:color="auto" w:fill="FFFFFF" w:themeFill="background1"/>
            <w:vAlign w:val="center"/>
          </w:tcPr>
          <w:p w14:paraId="601A08D2">
            <w:pPr>
              <w:widowControl w:val="0"/>
              <w:spacing w:after="0"/>
              <w:jc w:val="center"/>
              <w:rPr>
                <w:rFonts w:ascii="宋体" w:hAnsi="宋体" w:eastAsia="宋体" w:cs="Times New Roman"/>
                <w:bCs/>
                <w:color w:val="auto"/>
                <w:kern w:val="2"/>
                <w:sz w:val="21"/>
                <w:szCs w:val="21"/>
                <w:highlight w:val="none"/>
              </w:rPr>
            </w:pPr>
            <w:r>
              <w:rPr>
                <w:rFonts w:hint="eastAsia" w:ascii="宋体" w:hAnsi="宋体" w:eastAsia="宋体"/>
                <w:color w:val="auto"/>
                <w:sz w:val="21"/>
                <w:szCs w:val="21"/>
                <w:highlight w:val="none"/>
              </w:rPr>
              <w:t>1（项）</w:t>
            </w:r>
          </w:p>
        </w:tc>
        <w:tc>
          <w:tcPr>
            <w:tcW w:w="3469" w:type="dxa"/>
            <w:shd w:val="clear" w:color="auto" w:fill="FFFFFF" w:themeFill="background1"/>
            <w:vAlign w:val="center"/>
          </w:tcPr>
          <w:p w14:paraId="2C8A673F">
            <w:pPr>
              <w:widowControl w:val="0"/>
              <w:spacing w:after="0"/>
              <w:jc w:val="center"/>
              <w:rPr>
                <w:rFonts w:hint="eastAsia" w:ascii="宋体" w:hAnsi="Times New Roman" w:eastAsia="宋体" w:cs="Times New Roman"/>
                <w:bCs/>
                <w:color w:val="auto"/>
                <w:kern w:val="2"/>
                <w:sz w:val="21"/>
                <w:szCs w:val="21"/>
                <w:highlight w:val="none"/>
                <w:lang w:eastAsia="zh-CN"/>
              </w:rPr>
            </w:pPr>
            <w:r>
              <w:rPr>
                <w:rFonts w:hint="eastAsia" w:ascii="宋体" w:hAnsi="Times New Roman" w:eastAsia="宋体" w:cs="Times New Roman"/>
                <w:bCs/>
                <w:color w:val="auto"/>
                <w:kern w:val="2"/>
                <w:sz w:val="21"/>
                <w:szCs w:val="21"/>
                <w:highlight w:val="none"/>
              </w:rPr>
              <w:t>小写：</w:t>
            </w:r>
            <w:r>
              <w:rPr>
                <w:rFonts w:hint="eastAsia" w:ascii="宋体" w:hAnsi="Times New Roman" w:eastAsia="宋体" w:cs="Times New Roman"/>
                <w:bCs/>
                <w:color w:val="auto"/>
                <w:kern w:val="2"/>
                <w:sz w:val="21"/>
                <w:szCs w:val="21"/>
                <w:highlight w:val="none"/>
                <w:u w:val="single"/>
              </w:rPr>
              <w:t xml:space="preserve">        </w:t>
            </w:r>
            <w:r>
              <w:rPr>
                <w:rFonts w:hint="eastAsia" w:ascii="宋体" w:hAnsi="Times New Roman" w:eastAsia="宋体" w:cs="Times New Roman"/>
                <w:b/>
                <w:color w:val="auto"/>
                <w:kern w:val="2"/>
                <w:sz w:val="21"/>
                <w:szCs w:val="21"/>
                <w:highlight w:val="none"/>
              </w:rPr>
              <w:t>元/</w:t>
            </w:r>
            <w:r>
              <w:rPr>
                <w:rFonts w:hint="eastAsia" w:ascii="宋体" w:hAnsi="Times New Roman" w:eastAsia="宋体" w:cs="Times New Roman"/>
                <w:b/>
                <w:color w:val="auto"/>
                <w:kern w:val="2"/>
                <w:sz w:val="21"/>
                <w:szCs w:val="21"/>
                <w:highlight w:val="none"/>
                <w:lang w:eastAsia="zh-CN"/>
              </w:rPr>
              <w:t>kWh</w:t>
            </w:r>
          </w:p>
        </w:tc>
      </w:tr>
      <w:tr w14:paraId="5913A22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hemeFill="background1"/>
          <w:tblCellMar>
            <w:top w:w="0" w:type="dxa"/>
            <w:left w:w="108" w:type="dxa"/>
            <w:bottom w:w="0" w:type="dxa"/>
            <w:right w:w="108" w:type="dxa"/>
          </w:tblCellMar>
        </w:tblPrEx>
        <w:trPr>
          <w:trHeight w:val="1002" w:hRule="atLeast"/>
          <w:jc w:val="center"/>
        </w:trPr>
        <w:tc>
          <w:tcPr>
            <w:tcW w:w="8519" w:type="dxa"/>
            <w:gridSpan w:val="3"/>
            <w:shd w:val="clear" w:color="auto" w:fill="FFFFFF" w:themeFill="background1"/>
            <w:vAlign w:val="center"/>
          </w:tcPr>
          <w:p w14:paraId="361A2913">
            <w:pPr>
              <w:widowControl w:val="0"/>
              <w:spacing w:after="0"/>
              <w:jc w:val="left"/>
              <w:rPr>
                <w:rFonts w:hint="eastAsia" w:ascii="宋体" w:hAnsi="Times New Roman" w:eastAsia="宋体" w:cs="Times New Roman"/>
                <w:bCs/>
                <w:color w:val="auto"/>
                <w:kern w:val="2"/>
                <w:sz w:val="21"/>
                <w:szCs w:val="21"/>
                <w:highlight w:val="none"/>
              </w:rPr>
            </w:pPr>
            <w:r>
              <w:rPr>
                <w:rFonts w:hint="eastAsia" w:ascii="宋体" w:hAnsi="宋体" w:eastAsia="宋体" w:cs="宋体"/>
                <w:b/>
                <w:bCs/>
                <w:i w:val="0"/>
                <w:iCs w:val="0"/>
                <w:color w:val="auto"/>
                <w:sz w:val="24"/>
                <w:szCs w:val="24"/>
                <w:highlight w:val="none"/>
                <w:u w:val="none"/>
                <w:lang w:val="en-US" w:eastAsia="zh-CN"/>
              </w:rPr>
              <w:t>注：最终结算价根据中标单价乘以实际容量进行结算。</w:t>
            </w:r>
          </w:p>
        </w:tc>
      </w:tr>
    </w:tbl>
    <w:p w14:paraId="1BBCD628">
      <w:pPr>
        <w:rPr>
          <w:rFonts w:ascii="宋体" w:hAnsi="宋体"/>
          <w:color w:val="auto"/>
          <w:szCs w:val="21"/>
          <w:highlight w:val="none"/>
        </w:rPr>
      </w:pPr>
    </w:p>
    <w:p w14:paraId="48272CAD">
      <w:pPr>
        <w:ind w:firstLine="359" w:firstLineChars="171"/>
        <w:rPr>
          <w:rFonts w:ascii="宋体" w:hAnsi="宋体"/>
          <w:color w:val="auto"/>
          <w:szCs w:val="21"/>
          <w:highlight w:val="none"/>
        </w:rPr>
      </w:pPr>
    </w:p>
    <w:p w14:paraId="2B48B1EC">
      <w:pPr>
        <w:ind w:firstLine="359" w:firstLineChars="171"/>
        <w:rPr>
          <w:rFonts w:ascii="宋体" w:hAnsi="宋体"/>
          <w:color w:val="auto"/>
          <w:szCs w:val="21"/>
          <w:highlight w:val="none"/>
        </w:rPr>
      </w:pPr>
      <w:r>
        <w:rPr>
          <w:rFonts w:hint="eastAsia" w:ascii="宋体" w:hAnsi="宋体"/>
          <w:color w:val="auto"/>
          <w:szCs w:val="21"/>
          <w:highlight w:val="none"/>
        </w:rPr>
        <w:t>投标人代表签字：</w:t>
      </w:r>
    </w:p>
    <w:p w14:paraId="39BD2442">
      <w:pPr>
        <w:ind w:firstLine="359" w:firstLineChars="171"/>
        <w:rPr>
          <w:rFonts w:ascii="宋体" w:hAnsi="宋体"/>
          <w:color w:val="auto"/>
          <w:szCs w:val="21"/>
          <w:highlight w:val="none"/>
        </w:rPr>
      </w:pPr>
      <w:r>
        <w:rPr>
          <w:rFonts w:hint="eastAsia" w:ascii="宋体" w:hAnsi="宋体"/>
          <w:color w:val="auto"/>
          <w:szCs w:val="21"/>
          <w:highlight w:val="none"/>
        </w:rPr>
        <w:t>投标人盖章：</w:t>
      </w:r>
    </w:p>
    <w:p w14:paraId="75405B1E">
      <w:pPr>
        <w:ind w:firstLine="359" w:firstLineChars="171"/>
        <w:rPr>
          <w:rFonts w:ascii="宋体" w:hAnsi="宋体"/>
          <w:color w:val="auto"/>
          <w:szCs w:val="21"/>
          <w:highlight w:val="none"/>
        </w:rPr>
      </w:pPr>
      <w:r>
        <w:rPr>
          <w:rFonts w:hint="eastAsia" w:ascii="宋体" w:hAnsi="宋体"/>
          <w:color w:val="auto"/>
          <w:szCs w:val="21"/>
          <w:highlight w:val="none"/>
        </w:rPr>
        <w:t>日期：</w:t>
      </w:r>
    </w:p>
    <w:p w14:paraId="00C2BFED">
      <w:pPr>
        <w:ind w:firstLine="359" w:firstLineChars="171"/>
        <w:rPr>
          <w:rFonts w:ascii="宋体" w:hAnsi="宋体"/>
          <w:color w:val="auto"/>
          <w:szCs w:val="21"/>
          <w:highlight w:val="none"/>
        </w:rPr>
      </w:pPr>
    </w:p>
    <w:p w14:paraId="572C7C44">
      <w:pPr>
        <w:ind w:left="391" w:hanging="390" w:hangingChars="186"/>
        <w:rPr>
          <w:rFonts w:ascii="宋体" w:hAnsi="宋体"/>
          <w:color w:val="auto"/>
          <w:szCs w:val="21"/>
          <w:highlight w:val="none"/>
        </w:rPr>
      </w:pPr>
      <w:r>
        <w:rPr>
          <w:rFonts w:hint="eastAsia" w:ascii="宋体" w:hAnsi="宋体"/>
          <w:color w:val="auto"/>
          <w:szCs w:val="21"/>
          <w:highlight w:val="none"/>
        </w:rPr>
        <w:t xml:space="preserve">    注：</w:t>
      </w:r>
    </w:p>
    <w:p w14:paraId="10342174">
      <w:pPr>
        <w:ind w:firstLine="420" w:firstLineChars="200"/>
        <w:rPr>
          <w:rFonts w:ascii="宋体" w:hAnsi="宋体"/>
          <w:color w:val="auto"/>
          <w:szCs w:val="21"/>
          <w:highlight w:val="none"/>
        </w:rPr>
      </w:pPr>
      <w:r>
        <w:rPr>
          <w:rFonts w:hint="eastAsia" w:ascii="宋体" w:hAnsi="宋体"/>
          <w:color w:val="auto"/>
          <w:szCs w:val="21"/>
          <w:highlight w:val="none"/>
        </w:rPr>
        <w:t>1、投标</w:t>
      </w:r>
      <w:r>
        <w:rPr>
          <w:rFonts w:hint="eastAsia" w:ascii="宋体" w:hAnsi="宋体"/>
          <w:color w:val="auto"/>
          <w:szCs w:val="21"/>
          <w:highlight w:val="none"/>
          <w:lang w:eastAsia="zh-CN"/>
        </w:rPr>
        <w:t>报价</w:t>
      </w:r>
      <w:r>
        <w:rPr>
          <w:rFonts w:hint="eastAsia" w:ascii="宋体" w:hAnsi="宋体"/>
          <w:color w:val="auto"/>
          <w:szCs w:val="21"/>
          <w:highlight w:val="none"/>
        </w:rPr>
        <w:t>保留小数点后两位。投标</w:t>
      </w:r>
      <w:r>
        <w:rPr>
          <w:rFonts w:hint="eastAsia" w:ascii="宋体" w:hAnsi="宋体"/>
          <w:color w:val="auto"/>
          <w:szCs w:val="21"/>
          <w:highlight w:val="none"/>
          <w:lang w:eastAsia="zh-CN"/>
        </w:rPr>
        <w:t>报价</w:t>
      </w:r>
      <w:r>
        <w:rPr>
          <w:rFonts w:hint="eastAsia" w:ascii="宋体" w:hAnsi="宋体"/>
          <w:color w:val="auto"/>
          <w:szCs w:val="21"/>
          <w:highlight w:val="none"/>
        </w:rPr>
        <w:t>必须准确唯一且应包含采购文件要求的所有费用。</w:t>
      </w:r>
    </w:p>
    <w:p w14:paraId="6E235EFA">
      <w:pPr>
        <w:ind w:firstLine="420" w:firstLineChars="200"/>
        <w:rPr>
          <w:rFonts w:ascii="宋体" w:hAnsi="宋体"/>
          <w:color w:val="auto"/>
          <w:szCs w:val="21"/>
          <w:highlight w:val="none"/>
        </w:rPr>
      </w:pPr>
      <w:r>
        <w:rPr>
          <w:rFonts w:hint="eastAsia" w:ascii="宋体" w:hAnsi="宋体"/>
          <w:color w:val="auto"/>
          <w:szCs w:val="21"/>
          <w:highlight w:val="none"/>
        </w:rPr>
        <w:t>2、温馨提示：未按采购文件要求报价、填写开标一览表是导致投标人废标的常见问题，请投标人仔细填写，认真核对。</w:t>
      </w:r>
    </w:p>
    <w:bookmarkEnd w:id="140"/>
    <w:p w14:paraId="46001E49">
      <w:pPr>
        <w:rPr>
          <w:color w:val="auto"/>
          <w:sz w:val="52"/>
          <w:szCs w:val="52"/>
          <w:highlight w:val="none"/>
        </w:rPr>
      </w:pPr>
      <w:r>
        <w:rPr>
          <w:color w:val="auto"/>
          <w:sz w:val="52"/>
          <w:szCs w:val="52"/>
          <w:highlight w:val="none"/>
        </w:rPr>
        <w:br w:type="page"/>
      </w:r>
    </w:p>
    <w:p w14:paraId="78525FB9">
      <w:pPr>
        <w:pStyle w:val="40"/>
        <w:spacing w:before="180"/>
        <w:ind w:firstLine="480"/>
        <w:rPr>
          <w:color w:val="auto"/>
          <w:highlight w:val="none"/>
        </w:rPr>
      </w:pPr>
    </w:p>
    <w:p w14:paraId="7C6B93EA">
      <w:pPr>
        <w:pStyle w:val="6"/>
        <w:spacing w:before="0" w:after="0" w:line="360" w:lineRule="auto"/>
        <w:jc w:val="center"/>
        <w:rPr>
          <w:color w:val="auto"/>
          <w:sz w:val="72"/>
          <w:szCs w:val="72"/>
          <w:highlight w:val="none"/>
        </w:rPr>
      </w:pPr>
      <w:bookmarkStart w:id="141" w:name="_Toc182308032"/>
      <w:r>
        <w:rPr>
          <w:rFonts w:hint="eastAsia"/>
          <w:color w:val="auto"/>
          <w:sz w:val="72"/>
          <w:szCs w:val="72"/>
          <w:highlight w:val="none"/>
        </w:rPr>
        <w:t>商务文件</w:t>
      </w:r>
      <w:bookmarkEnd w:id="141"/>
    </w:p>
    <w:p w14:paraId="44833EC4">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68458B25">
      <w:pPr>
        <w:rPr>
          <w:color w:val="auto"/>
          <w:highlight w:val="none"/>
        </w:rPr>
      </w:pPr>
    </w:p>
    <w:p w14:paraId="72720B56">
      <w:pPr>
        <w:pStyle w:val="13"/>
        <w:rPr>
          <w:rFonts w:hint="eastAsia"/>
          <w:color w:val="auto"/>
          <w:highlight w:val="none"/>
        </w:rPr>
      </w:pPr>
    </w:p>
    <w:p w14:paraId="1E8F0C43">
      <w:pPr>
        <w:ind w:firstLine="240"/>
        <w:rPr>
          <w:color w:val="auto"/>
          <w:highlight w:val="none"/>
        </w:rPr>
      </w:pPr>
    </w:p>
    <w:p w14:paraId="6328D745">
      <w:pPr>
        <w:rPr>
          <w:rFonts w:hint="eastAsia" w:ascii="宋体" w:hAnsi="宋体" w:cs="宋体"/>
          <w:b/>
          <w:bCs/>
          <w:color w:val="auto"/>
          <w:spacing w:val="-6"/>
          <w:sz w:val="32"/>
          <w:szCs w:val="32"/>
          <w:highlight w:val="none"/>
        </w:rPr>
      </w:pPr>
      <w:r>
        <w:rPr>
          <w:rFonts w:hint="eastAsia" w:ascii="宋体" w:hAnsi="宋体" w:cs="宋体"/>
          <w:b/>
          <w:bCs/>
          <w:color w:val="auto"/>
          <w:spacing w:val="53"/>
          <w:w w:val="100"/>
          <w:kern w:val="0"/>
          <w:sz w:val="32"/>
          <w:szCs w:val="32"/>
          <w:highlight w:val="none"/>
          <w:fitText w:val="1600" w:id="4"/>
        </w:rPr>
        <w:t>项目名</w:t>
      </w:r>
      <w:r>
        <w:rPr>
          <w:rFonts w:hint="eastAsia" w:ascii="宋体" w:hAnsi="宋体" w:cs="宋体"/>
          <w:b/>
          <w:bCs/>
          <w:color w:val="auto"/>
          <w:spacing w:val="1"/>
          <w:w w:val="100"/>
          <w:kern w:val="0"/>
          <w:sz w:val="32"/>
          <w:szCs w:val="32"/>
          <w:highlight w:val="none"/>
          <w:fitText w:val="1600" w:id="4"/>
        </w:rPr>
        <w:t>称</w:t>
      </w:r>
      <w:r>
        <w:rPr>
          <w:rFonts w:hint="eastAsia" w:ascii="宋体" w:hAnsi="宋体" w:cs="宋体"/>
          <w:b/>
          <w:bCs/>
          <w:color w:val="auto"/>
          <w:spacing w:val="-6"/>
          <w:sz w:val="32"/>
          <w:szCs w:val="32"/>
          <w:highlight w:val="none"/>
        </w:rPr>
        <w:t>：</w:t>
      </w:r>
    </w:p>
    <w:p w14:paraId="47D8F152">
      <w:pPr>
        <w:rPr>
          <w:rFonts w:hint="eastAsia" w:ascii="宋体" w:hAnsi="宋体" w:cs="宋体"/>
          <w:b/>
          <w:bCs/>
          <w:color w:val="auto"/>
          <w:sz w:val="32"/>
          <w:szCs w:val="32"/>
          <w:highlight w:val="none"/>
        </w:rPr>
      </w:pPr>
      <w:r>
        <w:rPr>
          <w:rFonts w:hint="eastAsia" w:ascii="宋体" w:hAnsi="宋体" w:cs="宋体"/>
          <w:b/>
          <w:bCs/>
          <w:color w:val="auto"/>
          <w:spacing w:val="53"/>
          <w:w w:val="100"/>
          <w:kern w:val="0"/>
          <w:sz w:val="32"/>
          <w:szCs w:val="32"/>
          <w:highlight w:val="none"/>
          <w:fitText w:val="1600" w:id="5"/>
        </w:rPr>
        <w:t>项目编</w:t>
      </w:r>
      <w:r>
        <w:rPr>
          <w:rFonts w:hint="eastAsia" w:ascii="宋体" w:hAnsi="宋体" w:cs="宋体"/>
          <w:b/>
          <w:bCs/>
          <w:color w:val="auto"/>
          <w:spacing w:val="1"/>
          <w:w w:val="100"/>
          <w:kern w:val="0"/>
          <w:sz w:val="32"/>
          <w:szCs w:val="32"/>
          <w:highlight w:val="none"/>
          <w:fitText w:val="1600" w:id="5"/>
        </w:rPr>
        <w:t>号</w:t>
      </w:r>
      <w:r>
        <w:rPr>
          <w:rFonts w:hint="eastAsia" w:ascii="宋体" w:hAnsi="宋体" w:cs="宋体"/>
          <w:b/>
          <w:bCs/>
          <w:color w:val="auto"/>
          <w:sz w:val="32"/>
          <w:szCs w:val="32"/>
          <w:highlight w:val="none"/>
        </w:rPr>
        <w:t>：</w:t>
      </w:r>
    </w:p>
    <w:p w14:paraId="7FD2E3A2">
      <w:pPr>
        <w:pStyle w:val="13"/>
        <w:ind w:left="0"/>
        <w:rPr>
          <w:rFonts w:hint="eastAsia"/>
          <w:b/>
          <w:color w:val="auto"/>
          <w:spacing w:val="1280"/>
          <w:sz w:val="32"/>
          <w:szCs w:val="32"/>
          <w:highlight w:val="none"/>
        </w:rPr>
      </w:pPr>
      <w:r>
        <w:rPr>
          <w:b/>
          <w:color w:val="auto"/>
          <w:spacing w:val="106"/>
          <w:sz w:val="32"/>
          <w:szCs w:val="32"/>
          <w:highlight w:val="none"/>
          <w:lang w:val="en-US" w:bidi="ar-SA"/>
        </w:rPr>
        <w:t>包组号（如有）：</w:t>
      </w:r>
    </w:p>
    <w:p w14:paraId="15BE8DAC">
      <w:pPr>
        <w:rPr>
          <w:rFonts w:hint="eastAsia" w:ascii="宋体" w:hAnsi="宋体" w:cs="宋体"/>
          <w:b/>
          <w:color w:val="auto"/>
          <w:sz w:val="32"/>
          <w:szCs w:val="32"/>
          <w:highlight w:val="none"/>
        </w:rPr>
      </w:pPr>
      <w:r>
        <w:rPr>
          <w:rFonts w:hint="eastAsia" w:ascii="宋体" w:hAnsi="宋体" w:cs="宋体"/>
          <w:b/>
          <w:color w:val="auto"/>
          <w:spacing w:val="0"/>
          <w:w w:val="100"/>
          <w:kern w:val="0"/>
          <w:sz w:val="32"/>
          <w:szCs w:val="32"/>
          <w:highlight w:val="none"/>
          <w:fitText w:val="1600" w:id="6"/>
        </w:rPr>
        <w:t>投标人名称</w:t>
      </w:r>
      <w:r>
        <w:rPr>
          <w:rFonts w:hint="eastAsia" w:ascii="宋体" w:hAnsi="宋体" w:cs="宋体"/>
          <w:b/>
          <w:color w:val="auto"/>
          <w:sz w:val="32"/>
          <w:szCs w:val="32"/>
          <w:highlight w:val="none"/>
        </w:rPr>
        <w:t>：</w:t>
      </w:r>
    </w:p>
    <w:p w14:paraId="4AA46F5F">
      <w:pPr>
        <w:rPr>
          <w:rFonts w:hint="eastAsia" w:ascii="宋体" w:hAnsi="宋体" w:cs="宋体"/>
          <w:b/>
          <w:color w:val="auto"/>
          <w:sz w:val="32"/>
          <w:szCs w:val="32"/>
          <w:highlight w:val="none"/>
        </w:rPr>
      </w:pPr>
      <w:r>
        <w:rPr>
          <w:rFonts w:hint="eastAsia" w:ascii="宋体" w:hAnsi="宋体" w:cs="宋体"/>
          <w:b/>
          <w:color w:val="auto"/>
          <w:spacing w:val="32"/>
          <w:w w:val="100"/>
          <w:kern w:val="0"/>
          <w:sz w:val="32"/>
          <w:szCs w:val="32"/>
          <w:highlight w:val="none"/>
          <w:fitText w:val="1600" w:id="7"/>
        </w:rPr>
        <w:t xml:space="preserve">日    </w:t>
      </w:r>
      <w:r>
        <w:rPr>
          <w:rFonts w:hint="eastAsia" w:ascii="宋体" w:hAnsi="宋体" w:cs="宋体"/>
          <w:b/>
          <w:color w:val="auto"/>
          <w:spacing w:val="0"/>
          <w:w w:val="100"/>
          <w:kern w:val="0"/>
          <w:sz w:val="32"/>
          <w:szCs w:val="32"/>
          <w:highlight w:val="none"/>
          <w:fitText w:val="1600" w:id="7"/>
        </w:rPr>
        <w:t>期</w:t>
      </w:r>
      <w:r>
        <w:rPr>
          <w:rFonts w:hint="eastAsia" w:ascii="宋体" w:hAnsi="宋体" w:cs="宋体"/>
          <w:b/>
          <w:color w:val="auto"/>
          <w:sz w:val="32"/>
          <w:szCs w:val="32"/>
          <w:highlight w:val="none"/>
        </w:rPr>
        <w:t>：  年  月  日</w:t>
      </w:r>
    </w:p>
    <w:p w14:paraId="199532AF">
      <w:pPr>
        <w:pStyle w:val="13"/>
        <w:rPr>
          <w:rFonts w:hint="eastAsia"/>
          <w:b/>
          <w:color w:val="auto"/>
          <w:sz w:val="32"/>
          <w:szCs w:val="32"/>
          <w:highlight w:val="none"/>
        </w:rPr>
      </w:pPr>
    </w:p>
    <w:p w14:paraId="0D4022C9">
      <w:pPr>
        <w:rPr>
          <w:color w:val="auto"/>
          <w:highlight w:val="none"/>
        </w:rPr>
      </w:pPr>
    </w:p>
    <w:p w14:paraId="3822BB1B">
      <w:pPr>
        <w:adjustRightInd/>
        <w:snapToGrid/>
        <w:spacing w:line="240" w:lineRule="auto"/>
        <w:rPr>
          <w:rFonts w:hint="eastAsia" w:ascii="宋体" w:hAnsi="宋体"/>
          <w:color w:val="auto"/>
          <w:szCs w:val="21"/>
          <w:highlight w:val="none"/>
        </w:rPr>
      </w:pPr>
      <w:r>
        <w:rPr>
          <w:rFonts w:hint="eastAsia" w:ascii="宋体" w:hAnsi="宋体"/>
          <w:color w:val="auto"/>
          <w:szCs w:val="21"/>
          <w:highlight w:val="none"/>
        </w:rPr>
        <w:br w:type="page"/>
      </w:r>
    </w:p>
    <w:p w14:paraId="3AAA299A">
      <w:pPr>
        <w:pStyle w:val="8"/>
        <w:widowControl w:val="0"/>
        <w:overflowPunct w:val="0"/>
        <w:spacing w:line="240" w:lineRule="auto"/>
        <w:rPr>
          <w:rFonts w:hint="eastAsia" w:ascii="宋体" w:hAnsi="宋体"/>
          <w:color w:val="auto"/>
          <w:sz w:val="21"/>
          <w:szCs w:val="21"/>
          <w:highlight w:val="none"/>
        </w:rPr>
      </w:pPr>
      <w:bookmarkStart w:id="142" w:name="_Toc182308033"/>
      <w:r>
        <w:rPr>
          <w:rFonts w:hint="eastAsia" w:ascii="宋体" w:hAnsi="宋体"/>
          <w:color w:val="auto"/>
          <w:sz w:val="21"/>
          <w:szCs w:val="21"/>
          <w:highlight w:val="none"/>
        </w:rPr>
        <w:t>附件1：商务评审评分标准索引表</w:t>
      </w:r>
      <w:bookmarkEnd w:id="142"/>
    </w:p>
    <w:p w14:paraId="5222CEB0">
      <w:pPr>
        <w:rPr>
          <w:color w:val="auto"/>
          <w:highlight w:val="none"/>
        </w:rPr>
      </w:pPr>
    </w:p>
    <w:p w14:paraId="24903044">
      <w:pPr>
        <w:rPr>
          <w:color w:val="auto"/>
          <w:highlight w:val="none"/>
        </w:rPr>
      </w:pPr>
    </w:p>
    <w:p w14:paraId="69F1F6A2">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评分标准索引表</w:t>
      </w:r>
    </w:p>
    <w:tbl>
      <w:tblPr>
        <w:tblStyle w:val="3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55FD5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45540507">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序号</w:t>
            </w:r>
          </w:p>
        </w:tc>
        <w:tc>
          <w:tcPr>
            <w:tcW w:w="1704" w:type="dxa"/>
            <w:vAlign w:val="center"/>
          </w:tcPr>
          <w:p w14:paraId="1D611D20">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评审项目</w:t>
            </w:r>
          </w:p>
        </w:tc>
        <w:tc>
          <w:tcPr>
            <w:tcW w:w="1704" w:type="dxa"/>
            <w:vAlign w:val="center"/>
          </w:tcPr>
          <w:p w14:paraId="2301E714">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评审细则</w:t>
            </w:r>
          </w:p>
        </w:tc>
        <w:tc>
          <w:tcPr>
            <w:tcW w:w="1705" w:type="dxa"/>
            <w:vAlign w:val="center"/>
          </w:tcPr>
          <w:p w14:paraId="75A8A6F0">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分值</w:t>
            </w:r>
          </w:p>
        </w:tc>
        <w:tc>
          <w:tcPr>
            <w:tcW w:w="1705" w:type="dxa"/>
            <w:vAlign w:val="center"/>
          </w:tcPr>
          <w:p w14:paraId="036193BA">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页码范围</w:t>
            </w:r>
          </w:p>
        </w:tc>
      </w:tr>
      <w:tr w14:paraId="1FF8C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1822B25F">
            <w:pPr>
              <w:jc w:val="center"/>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商务评审</w:t>
            </w:r>
          </w:p>
        </w:tc>
      </w:tr>
      <w:tr w14:paraId="1EA19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17068297">
            <w:pPr>
              <w:jc w:val="center"/>
              <w:rPr>
                <w:rFonts w:ascii="Times New Roman" w:hAnsi="Times New Roman" w:cs="Times New Roman"/>
                <w:color w:val="auto"/>
                <w:sz w:val="24"/>
                <w:szCs w:val="24"/>
                <w:highlight w:val="none"/>
              </w:rPr>
            </w:pPr>
          </w:p>
        </w:tc>
        <w:tc>
          <w:tcPr>
            <w:tcW w:w="1704" w:type="dxa"/>
            <w:vAlign w:val="center"/>
          </w:tcPr>
          <w:p w14:paraId="00C6D5D6">
            <w:pPr>
              <w:jc w:val="center"/>
              <w:rPr>
                <w:rFonts w:ascii="Times New Roman" w:hAnsi="Times New Roman" w:cs="Times New Roman"/>
                <w:color w:val="auto"/>
                <w:sz w:val="24"/>
                <w:szCs w:val="24"/>
                <w:highlight w:val="none"/>
              </w:rPr>
            </w:pPr>
          </w:p>
        </w:tc>
        <w:tc>
          <w:tcPr>
            <w:tcW w:w="1704" w:type="dxa"/>
            <w:vAlign w:val="center"/>
          </w:tcPr>
          <w:p w14:paraId="60C01B45">
            <w:pPr>
              <w:jc w:val="center"/>
              <w:rPr>
                <w:rFonts w:ascii="Times New Roman" w:hAnsi="Times New Roman" w:cs="Times New Roman"/>
                <w:color w:val="auto"/>
                <w:sz w:val="24"/>
                <w:szCs w:val="24"/>
                <w:highlight w:val="none"/>
              </w:rPr>
            </w:pPr>
          </w:p>
        </w:tc>
        <w:tc>
          <w:tcPr>
            <w:tcW w:w="1705" w:type="dxa"/>
            <w:vAlign w:val="center"/>
          </w:tcPr>
          <w:p w14:paraId="719DA53A">
            <w:pPr>
              <w:jc w:val="center"/>
              <w:rPr>
                <w:rFonts w:ascii="Times New Roman" w:hAnsi="Times New Roman" w:cs="Times New Roman"/>
                <w:color w:val="auto"/>
                <w:sz w:val="24"/>
                <w:szCs w:val="24"/>
                <w:highlight w:val="none"/>
              </w:rPr>
            </w:pPr>
          </w:p>
        </w:tc>
        <w:tc>
          <w:tcPr>
            <w:tcW w:w="1705" w:type="dxa"/>
            <w:vAlign w:val="center"/>
          </w:tcPr>
          <w:p w14:paraId="5DA521F0">
            <w:pPr>
              <w:jc w:val="center"/>
              <w:rPr>
                <w:rFonts w:ascii="Times New Roman" w:hAnsi="Times New Roman" w:cs="Times New Roman"/>
                <w:color w:val="auto"/>
                <w:sz w:val="24"/>
                <w:szCs w:val="24"/>
                <w:highlight w:val="none"/>
              </w:rPr>
            </w:pPr>
          </w:p>
        </w:tc>
      </w:tr>
      <w:tr w14:paraId="5CD38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5FE40B3C">
            <w:pPr>
              <w:jc w:val="center"/>
              <w:rPr>
                <w:rFonts w:ascii="Times New Roman" w:hAnsi="Times New Roman" w:cs="Times New Roman"/>
                <w:color w:val="auto"/>
                <w:sz w:val="24"/>
                <w:szCs w:val="24"/>
                <w:highlight w:val="none"/>
              </w:rPr>
            </w:pPr>
          </w:p>
        </w:tc>
        <w:tc>
          <w:tcPr>
            <w:tcW w:w="1704" w:type="dxa"/>
            <w:vAlign w:val="center"/>
          </w:tcPr>
          <w:p w14:paraId="1E6711BF">
            <w:pPr>
              <w:jc w:val="center"/>
              <w:rPr>
                <w:rFonts w:ascii="Times New Roman" w:hAnsi="Times New Roman" w:cs="Times New Roman"/>
                <w:color w:val="auto"/>
                <w:sz w:val="24"/>
                <w:szCs w:val="24"/>
                <w:highlight w:val="none"/>
              </w:rPr>
            </w:pPr>
          </w:p>
        </w:tc>
        <w:tc>
          <w:tcPr>
            <w:tcW w:w="1704" w:type="dxa"/>
            <w:vAlign w:val="center"/>
          </w:tcPr>
          <w:p w14:paraId="3635CA7D">
            <w:pPr>
              <w:jc w:val="center"/>
              <w:rPr>
                <w:rFonts w:ascii="Times New Roman" w:hAnsi="Times New Roman" w:cs="Times New Roman"/>
                <w:color w:val="auto"/>
                <w:sz w:val="24"/>
                <w:szCs w:val="24"/>
                <w:highlight w:val="none"/>
              </w:rPr>
            </w:pPr>
          </w:p>
        </w:tc>
        <w:tc>
          <w:tcPr>
            <w:tcW w:w="1705" w:type="dxa"/>
            <w:vAlign w:val="center"/>
          </w:tcPr>
          <w:p w14:paraId="72D71F46">
            <w:pPr>
              <w:jc w:val="center"/>
              <w:rPr>
                <w:rFonts w:ascii="Times New Roman" w:hAnsi="Times New Roman" w:cs="Times New Roman"/>
                <w:color w:val="auto"/>
                <w:sz w:val="24"/>
                <w:szCs w:val="24"/>
                <w:highlight w:val="none"/>
              </w:rPr>
            </w:pPr>
          </w:p>
        </w:tc>
        <w:tc>
          <w:tcPr>
            <w:tcW w:w="1705" w:type="dxa"/>
            <w:vAlign w:val="center"/>
          </w:tcPr>
          <w:p w14:paraId="08F603D2">
            <w:pPr>
              <w:jc w:val="center"/>
              <w:rPr>
                <w:rFonts w:ascii="Times New Roman" w:hAnsi="Times New Roman" w:cs="Times New Roman"/>
                <w:color w:val="auto"/>
                <w:sz w:val="24"/>
                <w:szCs w:val="24"/>
                <w:highlight w:val="none"/>
              </w:rPr>
            </w:pPr>
          </w:p>
        </w:tc>
      </w:tr>
      <w:tr w14:paraId="2BAC1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15A0B827">
            <w:pPr>
              <w:jc w:val="center"/>
              <w:rPr>
                <w:rFonts w:ascii="Times New Roman" w:hAnsi="Times New Roman" w:cs="Times New Roman"/>
                <w:color w:val="auto"/>
                <w:sz w:val="24"/>
                <w:szCs w:val="24"/>
                <w:highlight w:val="none"/>
              </w:rPr>
            </w:pPr>
          </w:p>
        </w:tc>
        <w:tc>
          <w:tcPr>
            <w:tcW w:w="1704" w:type="dxa"/>
            <w:vAlign w:val="center"/>
          </w:tcPr>
          <w:p w14:paraId="01E54E5C">
            <w:pPr>
              <w:jc w:val="center"/>
              <w:rPr>
                <w:rFonts w:ascii="Times New Roman" w:hAnsi="Times New Roman" w:cs="Times New Roman"/>
                <w:color w:val="auto"/>
                <w:sz w:val="24"/>
                <w:szCs w:val="24"/>
                <w:highlight w:val="none"/>
              </w:rPr>
            </w:pPr>
          </w:p>
        </w:tc>
        <w:tc>
          <w:tcPr>
            <w:tcW w:w="1704" w:type="dxa"/>
            <w:vAlign w:val="center"/>
          </w:tcPr>
          <w:p w14:paraId="7210CC69">
            <w:pPr>
              <w:jc w:val="center"/>
              <w:rPr>
                <w:rFonts w:ascii="Times New Roman" w:hAnsi="Times New Roman" w:cs="Times New Roman"/>
                <w:color w:val="auto"/>
                <w:sz w:val="24"/>
                <w:szCs w:val="24"/>
                <w:highlight w:val="none"/>
              </w:rPr>
            </w:pPr>
          </w:p>
        </w:tc>
        <w:tc>
          <w:tcPr>
            <w:tcW w:w="1705" w:type="dxa"/>
            <w:vAlign w:val="center"/>
          </w:tcPr>
          <w:p w14:paraId="0302DB8F">
            <w:pPr>
              <w:jc w:val="center"/>
              <w:rPr>
                <w:rFonts w:ascii="Times New Roman" w:hAnsi="Times New Roman" w:cs="Times New Roman"/>
                <w:color w:val="auto"/>
                <w:sz w:val="24"/>
                <w:szCs w:val="24"/>
                <w:highlight w:val="none"/>
              </w:rPr>
            </w:pPr>
          </w:p>
        </w:tc>
        <w:tc>
          <w:tcPr>
            <w:tcW w:w="1705" w:type="dxa"/>
            <w:vAlign w:val="center"/>
          </w:tcPr>
          <w:p w14:paraId="67B4432B">
            <w:pPr>
              <w:jc w:val="center"/>
              <w:rPr>
                <w:rFonts w:ascii="Times New Roman" w:hAnsi="Times New Roman" w:cs="Times New Roman"/>
                <w:color w:val="auto"/>
                <w:sz w:val="24"/>
                <w:szCs w:val="24"/>
                <w:highlight w:val="none"/>
              </w:rPr>
            </w:pPr>
          </w:p>
        </w:tc>
      </w:tr>
    </w:tbl>
    <w:p w14:paraId="5F226DB2">
      <w:pPr>
        <w:adjustRightInd/>
        <w:snapToGrid/>
        <w:spacing w:line="240" w:lineRule="auto"/>
        <w:rPr>
          <w:rFonts w:hint="eastAsia" w:ascii="宋体" w:hAnsi="宋体"/>
          <w:color w:val="auto"/>
          <w:szCs w:val="21"/>
          <w:highlight w:val="none"/>
        </w:rPr>
      </w:pPr>
    </w:p>
    <w:p w14:paraId="299E63FD">
      <w:pPr>
        <w:adjustRightInd/>
        <w:snapToGrid/>
        <w:spacing w:line="240" w:lineRule="auto"/>
        <w:rPr>
          <w:rFonts w:hint="eastAsia" w:ascii="宋体" w:hAnsi="宋体"/>
          <w:color w:val="auto"/>
          <w:szCs w:val="21"/>
          <w:highlight w:val="none"/>
        </w:rPr>
      </w:pPr>
      <w:r>
        <w:rPr>
          <w:rFonts w:hint="eastAsia" w:ascii="宋体" w:hAnsi="宋体"/>
          <w:color w:val="auto"/>
          <w:szCs w:val="21"/>
          <w:highlight w:val="none"/>
        </w:rPr>
        <w:br w:type="page"/>
      </w:r>
    </w:p>
    <w:p w14:paraId="35897BA6">
      <w:pPr>
        <w:pStyle w:val="8"/>
        <w:widowControl w:val="0"/>
        <w:overflowPunct w:val="0"/>
        <w:spacing w:line="240" w:lineRule="auto"/>
        <w:rPr>
          <w:rFonts w:hint="eastAsia" w:ascii="宋体" w:hAnsi="宋体"/>
          <w:color w:val="auto"/>
          <w:sz w:val="21"/>
          <w:szCs w:val="21"/>
          <w:highlight w:val="none"/>
        </w:rPr>
      </w:pPr>
      <w:bookmarkStart w:id="143" w:name="_Toc182308034"/>
      <w:r>
        <w:rPr>
          <w:rFonts w:hint="eastAsia" w:ascii="宋体" w:hAnsi="宋体"/>
          <w:color w:val="auto"/>
          <w:sz w:val="21"/>
          <w:szCs w:val="21"/>
          <w:highlight w:val="none"/>
        </w:rPr>
        <w:t>附件2.投标书格式</w:t>
      </w:r>
      <w:bookmarkEnd w:id="143"/>
    </w:p>
    <w:p w14:paraId="765A920C">
      <w:pPr>
        <w:jc w:val="center"/>
        <w:rPr>
          <w:rFonts w:hint="eastAsia" w:ascii="宋体" w:hAnsi="宋体"/>
          <w:color w:val="auto"/>
          <w:szCs w:val="21"/>
          <w:highlight w:val="none"/>
        </w:rPr>
      </w:pPr>
      <w:r>
        <w:rPr>
          <w:rFonts w:hint="eastAsia" w:ascii="黑体" w:eastAsia="黑体"/>
          <w:color w:val="auto"/>
          <w:sz w:val="32"/>
          <w:szCs w:val="32"/>
          <w:highlight w:val="none"/>
        </w:rPr>
        <w:t>投标书</w:t>
      </w:r>
    </w:p>
    <w:p w14:paraId="06643376">
      <w:pPr>
        <w:rPr>
          <w:rFonts w:hint="eastAsia"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lang w:eastAsia="zh-CN"/>
        </w:rPr>
        <w:t>广西同泽工程项目管理股份有限公司</w:t>
      </w:r>
      <w:r>
        <w:rPr>
          <w:rFonts w:hint="eastAsia" w:ascii="宋体" w:hAnsi="宋体"/>
          <w:color w:val="auto"/>
          <w:szCs w:val="21"/>
          <w:highlight w:val="none"/>
        </w:rPr>
        <w:t>：</w:t>
      </w:r>
    </w:p>
    <w:p w14:paraId="1C96ECB6">
      <w:pPr>
        <w:rPr>
          <w:rFonts w:hint="eastAsia" w:ascii="宋体" w:hAnsi="宋体"/>
          <w:color w:val="auto"/>
          <w:szCs w:val="21"/>
          <w:highlight w:val="none"/>
        </w:rPr>
      </w:pPr>
    </w:p>
    <w:p w14:paraId="7E487F96">
      <w:pPr>
        <w:ind w:firstLine="420" w:firstLineChars="200"/>
        <w:rPr>
          <w:rFonts w:hint="eastAsia" w:ascii="宋体" w:hAnsi="宋体"/>
          <w:color w:val="auto"/>
          <w:szCs w:val="21"/>
          <w:highlight w:val="none"/>
        </w:rPr>
      </w:pPr>
      <w:r>
        <w:rPr>
          <w:rFonts w:hint="eastAsia" w:ascii="宋体" w:hAnsi="宋体"/>
          <w:color w:val="auto"/>
          <w:szCs w:val="21"/>
          <w:highlight w:val="none"/>
        </w:rPr>
        <w:t>根据贵方为</w:t>
      </w:r>
      <w:r>
        <w:rPr>
          <w:rFonts w:hint="eastAsia" w:ascii="宋体" w:hAnsi="宋体"/>
          <w:color w:val="auto"/>
          <w:szCs w:val="21"/>
          <w:highlight w:val="none"/>
          <w:u w:val="single"/>
        </w:rPr>
        <w:t>（项目名称）（采购项目编号）</w:t>
      </w:r>
      <w:r>
        <w:rPr>
          <w:rFonts w:hint="eastAsia" w:ascii="宋体" w:hAnsi="宋体"/>
          <w:color w:val="auto"/>
          <w:szCs w:val="21"/>
          <w:highlight w:val="none"/>
        </w:rPr>
        <w:t>项目采购公告/采购邀请，签字代表</w:t>
      </w:r>
      <w:r>
        <w:rPr>
          <w:rFonts w:hint="eastAsia" w:ascii="宋体" w:hAnsi="宋体"/>
          <w:color w:val="auto"/>
          <w:szCs w:val="21"/>
          <w:highlight w:val="none"/>
          <w:u w:val="single"/>
        </w:rPr>
        <w:t>（姓名、职务）</w:t>
      </w:r>
      <w:r>
        <w:rPr>
          <w:rFonts w:hint="eastAsia" w:ascii="宋体" w:hAnsi="宋体"/>
          <w:color w:val="auto"/>
          <w:szCs w:val="21"/>
          <w:highlight w:val="none"/>
        </w:rPr>
        <w:t>经正式授权并代表投标人</w:t>
      </w:r>
      <w:r>
        <w:rPr>
          <w:rFonts w:hint="eastAsia" w:ascii="宋体" w:hAnsi="宋体"/>
          <w:color w:val="auto"/>
          <w:szCs w:val="21"/>
          <w:highlight w:val="none"/>
          <w:u w:val="single"/>
        </w:rPr>
        <w:t>（投标人名称、地址）</w:t>
      </w:r>
      <w:r>
        <w:rPr>
          <w:rFonts w:hint="eastAsia" w:ascii="宋体" w:hAnsi="宋体"/>
          <w:color w:val="auto"/>
          <w:szCs w:val="21"/>
          <w:highlight w:val="none"/>
        </w:rPr>
        <w:t>提交投标文件及“唱标信封”：</w:t>
      </w:r>
    </w:p>
    <w:p w14:paraId="2A84099F">
      <w:pPr>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在此，签字代表宣布同意如下： </w:t>
      </w:r>
    </w:p>
    <w:p w14:paraId="59015AD8">
      <w:pPr>
        <w:widowControl w:val="0"/>
        <w:numPr>
          <w:ilvl w:val="0"/>
          <w:numId w:val="8"/>
        </w:numPr>
        <w:adjustRightInd/>
        <w:snapToGrid/>
        <w:jc w:val="both"/>
        <w:rPr>
          <w:rFonts w:hint="eastAsia" w:ascii="宋体" w:hAnsi="宋体"/>
          <w:color w:val="auto"/>
          <w:szCs w:val="21"/>
          <w:highlight w:val="none"/>
        </w:rPr>
      </w:pPr>
      <w:r>
        <w:rPr>
          <w:rFonts w:hint="eastAsia" w:ascii="宋体" w:hAnsi="宋体"/>
          <w:color w:val="auto"/>
          <w:szCs w:val="21"/>
          <w:highlight w:val="none"/>
        </w:rPr>
        <w:t xml:space="preserve">我方将按采购文件的规定履行合同责任和义务。 </w:t>
      </w:r>
    </w:p>
    <w:p w14:paraId="51D47F09">
      <w:pPr>
        <w:widowControl w:val="0"/>
        <w:numPr>
          <w:ilvl w:val="0"/>
          <w:numId w:val="8"/>
        </w:numPr>
        <w:adjustRightInd/>
        <w:snapToGrid/>
        <w:jc w:val="both"/>
        <w:rPr>
          <w:rFonts w:hint="eastAsia" w:ascii="宋体" w:hAnsi="宋体"/>
          <w:color w:val="auto"/>
          <w:szCs w:val="21"/>
          <w:highlight w:val="none"/>
        </w:rPr>
      </w:pPr>
      <w:r>
        <w:rPr>
          <w:rFonts w:hint="eastAsia" w:ascii="宋体" w:hAnsi="宋体"/>
          <w:b/>
          <w:color w:val="auto"/>
          <w:szCs w:val="21"/>
          <w:highlight w:val="none"/>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626C3CAF">
      <w:pPr>
        <w:widowControl w:val="0"/>
        <w:numPr>
          <w:ilvl w:val="0"/>
          <w:numId w:val="8"/>
        </w:numPr>
        <w:adjustRightInd/>
        <w:snapToGrid/>
        <w:jc w:val="both"/>
        <w:rPr>
          <w:rFonts w:hint="eastAsia" w:ascii="宋体" w:hAnsi="宋体"/>
          <w:color w:val="auto"/>
          <w:szCs w:val="21"/>
          <w:highlight w:val="none"/>
        </w:rPr>
      </w:pPr>
      <w:r>
        <w:rPr>
          <w:rFonts w:hint="eastAsia" w:ascii="宋体" w:hAnsi="宋体"/>
          <w:color w:val="auto"/>
          <w:szCs w:val="21"/>
          <w:highlight w:val="none"/>
        </w:rPr>
        <w:t>本投标有效期为自开标日起</w:t>
      </w:r>
      <w:r>
        <w:rPr>
          <w:rFonts w:hint="eastAsia" w:ascii="宋体" w:hAnsi="宋体"/>
          <w:color w:val="auto"/>
          <w:szCs w:val="21"/>
          <w:highlight w:val="none"/>
          <w:u w:val="single"/>
        </w:rPr>
        <w:t>90</w:t>
      </w:r>
      <w:r>
        <w:rPr>
          <w:rFonts w:hint="eastAsia" w:ascii="宋体" w:hAnsi="宋体"/>
          <w:color w:val="auto"/>
          <w:szCs w:val="21"/>
          <w:highlight w:val="none"/>
        </w:rPr>
        <w:t xml:space="preserve">个日历日。 </w:t>
      </w:r>
    </w:p>
    <w:p w14:paraId="309E1778">
      <w:pPr>
        <w:widowControl w:val="0"/>
        <w:numPr>
          <w:ilvl w:val="0"/>
          <w:numId w:val="8"/>
        </w:numPr>
        <w:adjustRightInd/>
        <w:snapToGrid/>
        <w:jc w:val="both"/>
        <w:rPr>
          <w:rFonts w:hint="eastAsia" w:ascii="宋体" w:hAnsi="宋体"/>
          <w:color w:val="auto"/>
          <w:szCs w:val="21"/>
          <w:highlight w:val="none"/>
        </w:rPr>
      </w:pPr>
      <w:r>
        <w:rPr>
          <w:rFonts w:hint="eastAsia" w:ascii="宋体" w:hAnsi="宋体"/>
          <w:color w:val="auto"/>
          <w:szCs w:val="21"/>
          <w:highlight w:val="none"/>
        </w:rPr>
        <w:t>我方保证遵守投标人须知中关于没收投标保证金的规定。</w:t>
      </w:r>
    </w:p>
    <w:p w14:paraId="38484ED6">
      <w:pPr>
        <w:widowControl w:val="0"/>
        <w:numPr>
          <w:ilvl w:val="0"/>
          <w:numId w:val="8"/>
        </w:numPr>
        <w:adjustRightInd/>
        <w:snapToGrid/>
        <w:jc w:val="both"/>
        <w:rPr>
          <w:rFonts w:hint="eastAsia" w:ascii="宋体" w:hAnsi="宋体"/>
          <w:color w:val="auto"/>
          <w:szCs w:val="21"/>
          <w:highlight w:val="none"/>
        </w:rPr>
      </w:pPr>
      <w:r>
        <w:rPr>
          <w:rFonts w:hint="eastAsia" w:ascii="宋体" w:hAnsi="宋体"/>
          <w:color w:val="auto"/>
          <w:szCs w:val="21"/>
          <w:highlight w:val="none"/>
        </w:rPr>
        <w:t xml:space="preserve">我方承诺，与买方聘请的为此项目提供咨询服务的公司及任何附属机构均无关联，我方不是买方的附属机构。 </w:t>
      </w:r>
    </w:p>
    <w:p w14:paraId="5A742919">
      <w:pPr>
        <w:widowControl w:val="0"/>
        <w:numPr>
          <w:ilvl w:val="0"/>
          <w:numId w:val="8"/>
        </w:numPr>
        <w:adjustRightInd/>
        <w:snapToGrid/>
        <w:jc w:val="both"/>
        <w:rPr>
          <w:rFonts w:hint="eastAsia" w:ascii="宋体" w:hAnsi="宋体"/>
          <w:color w:val="auto"/>
          <w:szCs w:val="21"/>
          <w:highlight w:val="none"/>
        </w:rPr>
      </w:pPr>
      <w:r>
        <w:rPr>
          <w:rFonts w:hint="eastAsia" w:ascii="宋体" w:hAnsi="宋体"/>
          <w:color w:val="auto"/>
          <w:szCs w:val="21"/>
          <w:highlight w:val="none"/>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3C16AAA4">
      <w:pPr>
        <w:widowControl w:val="0"/>
        <w:numPr>
          <w:ilvl w:val="0"/>
          <w:numId w:val="8"/>
        </w:numPr>
        <w:adjustRightInd/>
        <w:snapToGrid/>
        <w:jc w:val="both"/>
        <w:rPr>
          <w:rFonts w:hint="eastAsia" w:ascii="宋体" w:hAnsi="宋体"/>
          <w:color w:val="auto"/>
          <w:szCs w:val="21"/>
          <w:highlight w:val="none"/>
        </w:rPr>
      </w:pPr>
      <w:r>
        <w:rPr>
          <w:rFonts w:hint="eastAsia" w:ascii="宋体" w:hAnsi="宋体"/>
          <w:color w:val="auto"/>
          <w:szCs w:val="21"/>
          <w:highlight w:val="none"/>
        </w:rPr>
        <w:t>我方同意提供按照贵方可能要求的与其投标有关的一切数据或资料。</w:t>
      </w:r>
    </w:p>
    <w:p w14:paraId="4CA0E7A9">
      <w:pPr>
        <w:widowControl w:val="0"/>
        <w:numPr>
          <w:ilvl w:val="0"/>
          <w:numId w:val="8"/>
        </w:numPr>
        <w:adjustRightInd/>
        <w:snapToGrid/>
        <w:jc w:val="both"/>
        <w:rPr>
          <w:rFonts w:hint="eastAsia" w:ascii="宋体" w:hAnsi="宋体"/>
          <w:color w:val="auto"/>
          <w:szCs w:val="21"/>
          <w:highlight w:val="none"/>
        </w:rPr>
      </w:pPr>
      <w:r>
        <w:rPr>
          <w:rFonts w:hint="eastAsia" w:ascii="宋体" w:hAnsi="宋体"/>
          <w:color w:val="auto"/>
          <w:szCs w:val="21"/>
          <w:highlight w:val="none"/>
        </w:rPr>
        <w:t>与本投标有关的一切正式信函请寄：</w:t>
      </w:r>
    </w:p>
    <w:p w14:paraId="674CC290">
      <w:pPr>
        <w:rPr>
          <w:rFonts w:hint="eastAsia" w:ascii="宋体" w:hAnsi="宋体"/>
          <w:color w:val="auto"/>
          <w:szCs w:val="21"/>
          <w:highlight w:val="none"/>
        </w:rPr>
      </w:pPr>
      <w:r>
        <w:rPr>
          <w:rFonts w:hint="eastAsia" w:ascii="宋体" w:hAnsi="宋体"/>
          <w:color w:val="auto"/>
          <w:szCs w:val="21"/>
          <w:highlight w:val="none"/>
        </w:rPr>
        <w:t>地址：　　　　　　　　　　　　　　　电子邮箱：　　　　</w:t>
      </w:r>
    </w:p>
    <w:p w14:paraId="7C990849">
      <w:pPr>
        <w:rPr>
          <w:rFonts w:hint="eastAsia" w:ascii="宋体" w:hAnsi="宋体"/>
          <w:color w:val="auto"/>
          <w:szCs w:val="21"/>
          <w:highlight w:val="none"/>
        </w:rPr>
      </w:pPr>
      <w:r>
        <w:rPr>
          <w:rFonts w:hint="eastAsia" w:ascii="宋体" w:hAnsi="宋体"/>
          <w:color w:val="auto"/>
          <w:szCs w:val="21"/>
          <w:highlight w:val="none"/>
        </w:rPr>
        <w:t>电话/移动电话：</w:t>
      </w:r>
    </w:p>
    <w:p w14:paraId="175F7F47">
      <w:pPr>
        <w:rPr>
          <w:rFonts w:hint="eastAsia" w:ascii="宋体" w:hAnsi="宋体"/>
          <w:color w:val="auto"/>
          <w:szCs w:val="21"/>
          <w:highlight w:val="none"/>
        </w:rPr>
      </w:pPr>
      <w:r>
        <w:rPr>
          <w:rFonts w:hint="eastAsia" w:ascii="宋体" w:hAnsi="宋体"/>
          <w:color w:val="auto"/>
          <w:szCs w:val="21"/>
          <w:highlight w:val="none"/>
        </w:rPr>
        <w:t xml:space="preserve">投标人法定代表人（或其授权代表）签字：                  </w:t>
      </w:r>
    </w:p>
    <w:p w14:paraId="16706382">
      <w:pPr>
        <w:rPr>
          <w:rFonts w:hint="eastAsia" w:ascii="宋体" w:hAnsi="宋体"/>
          <w:color w:val="auto"/>
          <w:szCs w:val="21"/>
          <w:highlight w:val="none"/>
        </w:rPr>
      </w:pPr>
      <w:r>
        <w:rPr>
          <w:rFonts w:hint="eastAsia" w:ascii="宋体" w:hAnsi="宋体"/>
          <w:color w:val="auto"/>
          <w:szCs w:val="21"/>
          <w:highlight w:val="none"/>
        </w:rPr>
        <w:t xml:space="preserve">投标人名称（全称）： </w:t>
      </w:r>
    </w:p>
    <w:p w14:paraId="19B243A2">
      <w:pPr>
        <w:rPr>
          <w:rFonts w:hint="eastAsia" w:ascii="宋体" w:hAnsi="宋体"/>
          <w:color w:val="auto"/>
          <w:szCs w:val="21"/>
          <w:highlight w:val="none"/>
        </w:rPr>
      </w:pPr>
      <w:r>
        <w:rPr>
          <w:rFonts w:hint="eastAsia" w:ascii="宋体" w:hAnsi="宋体"/>
          <w:color w:val="auto"/>
          <w:szCs w:val="21"/>
          <w:highlight w:val="none"/>
        </w:rPr>
        <w:t xml:space="preserve">投标人盖章： </w:t>
      </w:r>
    </w:p>
    <w:p w14:paraId="3D963C55">
      <w:pPr>
        <w:rPr>
          <w:rFonts w:ascii="宋体"/>
          <w:color w:val="auto"/>
          <w:szCs w:val="21"/>
          <w:highlight w:val="none"/>
        </w:rPr>
      </w:pPr>
      <w:r>
        <w:rPr>
          <w:rFonts w:hint="eastAsia" w:ascii="宋体" w:hAnsi="宋体"/>
          <w:color w:val="auto"/>
          <w:szCs w:val="21"/>
          <w:highlight w:val="none"/>
        </w:rPr>
        <w:t>日期：</w:t>
      </w:r>
      <w:r>
        <w:rPr>
          <w:rFonts w:hint="eastAsia" w:ascii="宋体"/>
          <w:color w:val="auto"/>
          <w:szCs w:val="21"/>
          <w:highlight w:val="none"/>
        </w:rPr>
        <w:t xml:space="preserve">  年  月  日</w:t>
      </w:r>
    </w:p>
    <w:p w14:paraId="4D60D147">
      <w:pPr>
        <w:rPr>
          <w:color w:val="auto"/>
          <w:highlight w:val="none"/>
        </w:rPr>
      </w:pPr>
      <w:r>
        <w:rPr>
          <w:color w:val="auto"/>
          <w:highlight w:val="none"/>
        </w:rPr>
        <w:br w:type="page"/>
      </w:r>
    </w:p>
    <w:p w14:paraId="473DCAD7">
      <w:pPr>
        <w:pStyle w:val="8"/>
        <w:widowControl w:val="0"/>
        <w:overflowPunct w:val="0"/>
        <w:spacing w:line="240" w:lineRule="auto"/>
        <w:rPr>
          <w:rFonts w:hint="eastAsia" w:ascii="宋体" w:hAnsi="宋体"/>
          <w:color w:val="auto"/>
          <w:sz w:val="21"/>
          <w:szCs w:val="21"/>
          <w:highlight w:val="none"/>
        </w:rPr>
      </w:pPr>
      <w:bookmarkStart w:id="144" w:name="_Toc182308035"/>
      <w:r>
        <w:rPr>
          <w:rFonts w:hint="eastAsia" w:ascii="宋体" w:hAnsi="宋体"/>
          <w:color w:val="auto"/>
          <w:sz w:val="21"/>
          <w:szCs w:val="21"/>
          <w:highlight w:val="none"/>
        </w:rPr>
        <w:t>附件3. 法定代表人证明书格式</w:t>
      </w:r>
      <w:bookmarkEnd w:id="144"/>
    </w:p>
    <w:p w14:paraId="3DDADD81">
      <w:pPr>
        <w:rPr>
          <w:color w:val="auto"/>
          <w:highlight w:val="none"/>
        </w:rPr>
      </w:pPr>
    </w:p>
    <w:p w14:paraId="01CF5A9B">
      <w:pPr>
        <w:jc w:val="center"/>
        <w:rPr>
          <w:rFonts w:ascii="黑体" w:eastAsia="黑体"/>
          <w:color w:val="auto"/>
          <w:sz w:val="28"/>
          <w:szCs w:val="28"/>
          <w:highlight w:val="none"/>
        </w:rPr>
      </w:pPr>
      <w:r>
        <w:rPr>
          <w:rFonts w:hint="eastAsia" w:ascii="黑体" w:eastAsia="黑体"/>
          <w:color w:val="auto"/>
          <w:sz w:val="28"/>
          <w:szCs w:val="28"/>
          <w:highlight w:val="none"/>
        </w:rPr>
        <w:t>法定代表人证明书</w:t>
      </w:r>
    </w:p>
    <w:p w14:paraId="66222C70">
      <w:pPr>
        <w:pStyle w:val="48"/>
        <w:spacing w:line="420" w:lineRule="atLeast"/>
        <w:ind w:firstLine="0" w:firstLineChars="0"/>
        <w:rPr>
          <w:rFonts w:hint="eastAsia" w:ascii="宋体" w:eastAsia="宋体"/>
          <w:color w:val="auto"/>
          <w:sz w:val="21"/>
          <w:szCs w:val="21"/>
          <w:highlight w:val="none"/>
          <w:lang w:eastAsia="zh-CN"/>
        </w:rPr>
      </w:pPr>
      <w:r>
        <w:rPr>
          <w:rFonts w:hint="eastAsia" w:ascii="宋体" w:eastAsia="宋体"/>
          <w:color w:val="auto"/>
          <w:sz w:val="21"/>
          <w:szCs w:val="21"/>
          <w:highlight w:val="none"/>
        </w:rPr>
        <w:t>致：</w:t>
      </w:r>
      <w:r>
        <w:rPr>
          <w:rFonts w:hint="eastAsia" w:ascii="宋体" w:eastAsia="宋体"/>
          <w:color w:val="auto"/>
          <w:sz w:val="21"/>
          <w:szCs w:val="21"/>
          <w:highlight w:val="none"/>
          <w:lang w:eastAsia="zh-CN"/>
        </w:rPr>
        <w:t>广西同泽工程项目管理股份有限公司</w:t>
      </w:r>
    </w:p>
    <w:p w14:paraId="5027E03F">
      <w:pPr>
        <w:pStyle w:val="48"/>
        <w:spacing w:line="420" w:lineRule="atLeast"/>
        <w:ind w:firstLine="433"/>
        <w:rPr>
          <w:rFonts w:hint="eastAsia" w:ascii="宋体" w:eastAsia="宋体"/>
          <w:color w:val="auto"/>
          <w:sz w:val="21"/>
          <w:szCs w:val="21"/>
          <w:highlight w:val="none"/>
        </w:rPr>
      </w:pPr>
    </w:p>
    <w:p w14:paraId="7F0EFE07">
      <w:pPr>
        <w:pStyle w:val="48"/>
        <w:spacing w:line="420" w:lineRule="atLeast"/>
        <w:ind w:firstLine="433"/>
        <w:rPr>
          <w:rFonts w:hint="eastAsia" w:ascii="宋体" w:eastAsia="宋体"/>
          <w:color w:val="auto"/>
          <w:sz w:val="21"/>
          <w:szCs w:val="21"/>
          <w:highlight w:val="none"/>
          <w:u w:val="single"/>
        </w:rPr>
      </w:pPr>
      <w:r>
        <w:rPr>
          <w:rFonts w:hint="eastAsia" w:ascii="宋体" w:eastAsia="宋体"/>
          <w:color w:val="auto"/>
          <w:sz w:val="21"/>
          <w:szCs w:val="21"/>
          <w:highlight w:val="none"/>
        </w:rPr>
        <w:t>投标人名称：</w:t>
      </w:r>
    </w:p>
    <w:p w14:paraId="7D9AA737">
      <w:pPr>
        <w:pStyle w:val="48"/>
        <w:spacing w:line="420" w:lineRule="atLeast"/>
        <w:ind w:firstLine="433"/>
        <w:rPr>
          <w:rFonts w:hint="eastAsia" w:ascii="宋体" w:eastAsia="宋体"/>
          <w:color w:val="auto"/>
          <w:sz w:val="21"/>
          <w:szCs w:val="21"/>
          <w:highlight w:val="none"/>
          <w:u w:val="single"/>
        </w:rPr>
      </w:pPr>
      <w:r>
        <w:rPr>
          <w:rFonts w:hint="eastAsia" w:ascii="宋体" w:eastAsia="宋体"/>
          <w:color w:val="auto"/>
          <w:sz w:val="21"/>
          <w:szCs w:val="21"/>
          <w:highlight w:val="none"/>
        </w:rPr>
        <w:t>单 位 性质：</w:t>
      </w:r>
    </w:p>
    <w:p w14:paraId="0881A566">
      <w:pPr>
        <w:pStyle w:val="48"/>
        <w:spacing w:line="420" w:lineRule="atLeast"/>
        <w:ind w:firstLine="433"/>
        <w:rPr>
          <w:rFonts w:hint="eastAsia" w:ascii="宋体" w:eastAsia="宋体"/>
          <w:color w:val="auto"/>
          <w:sz w:val="21"/>
          <w:szCs w:val="21"/>
          <w:highlight w:val="none"/>
          <w:u w:val="single"/>
        </w:rPr>
      </w:pPr>
      <w:r>
        <w:rPr>
          <w:rFonts w:hint="eastAsia" w:ascii="宋体" w:eastAsia="宋体"/>
          <w:color w:val="auto"/>
          <w:sz w:val="21"/>
          <w:szCs w:val="21"/>
          <w:highlight w:val="none"/>
        </w:rPr>
        <w:t>地      址：</w:t>
      </w:r>
    </w:p>
    <w:p w14:paraId="7F5F082D">
      <w:pPr>
        <w:pStyle w:val="48"/>
        <w:spacing w:line="42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成 立 时间：  年  月  日</w:t>
      </w:r>
    </w:p>
    <w:p w14:paraId="3549EEC2">
      <w:pPr>
        <w:pStyle w:val="48"/>
        <w:spacing w:line="42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经 营 期限：</w:t>
      </w:r>
    </w:p>
    <w:p w14:paraId="54617BF9">
      <w:pPr>
        <w:pStyle w:val="48"/>
        <w:spacing w:line="42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姓名：    性别：    年龄：    职务：</w:t>
      </w:r>
    </w:p>
    <w:p w14:paraId="0E6F099F">
      <w:pPr>
        <w:pStyle w:val="48"/>
        <w:spacing w:line="42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系</w:t>
      </w:r>
      <w:r>
        <w:rPr>
          <w:rFonts w:hint="eastAsia" w:ascii="宋体" w:eastAsia="宋体"/>
          <w:color w:val="auto"/>
          <w:sz w:val="21"/>
          <w:szCs w:val="21"/>
          <w:highlight w:val="none"/>
          <w:u w:val="single"/>
        </w:rPr>
        <w:t>（投标人名称）</w:t>
      </w:r>
      <w:r>
        <w:rPr>
          <w:rFonts w:hint="eastAsia" w:ascii="宋体" w:eastAsia="宋体"/>
          <w:color w:val="auto"/>
          <w:sz w:val="21"/>
          <w:szCs w:val="21"/>
          <w:highlight w:val="none"/>
        </w:rPr>
        <w:t>的法定代表人。</w:t>
      </w:r>
    </w:p>
    <w:p w14:paraId="360DB8A8">
      <w:pPr>
        <w:spacing w:line="420" w:lineRule="atLeast"/>
        <w:ind w:firstLine="420" w:firstLineChars="200"/>
        <w:rPr>
          <w:rFonts w:hint="eastAsia" w:ascii="宋体" w:hAnsi="宋体"/>
          <w:color w:val="auto"/>
          <w:szCs w:val="21"/>
          <w:highlight w:val="none"/>
        </w:rPr>
      </w:pPr>
      <w:r>
        <w:rPr>
          <w:rFonts w:hint="eastAsia" w:ascii="宋体" w:hAnsi="宋体"/>
          <w:color w:val="auto"/>
          <w:szCs w:val="21"/>
          <w:highlight w:val="none"/>
        </w:rPr>
        <w:t>特此证明。</w:t>
      </w:r>
    </w:p>
    <w:p w14:paraId="44609301">
      <w:pPr>
        <w:pStyle w:val="48"/>
        <w:spacing w:line="500" w:lineRule="atLeast"/>
        <w:ind w:firstLine="3517" w:firstLineChars="1675"/>
        <w:rPr>
          <w:rFonts w:hint="eastAsia" w:ascii="宋体" w:eastAsia="宋体"/>
          <w:color w:val="auto"/>
          <w:sz w:val="21"/>
          <w:szCs w:val="21"/>
          <w:highlight w:val="none"/>
        </w:rPr>
      </w:pPr>
    </w:p>
    <w:p w14:paraId="6C75067F">
      <w:pPr>
        <w:pStyle w:val="48"/>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投标人名称（加盖公章）：</w:t>
      </w:r>
    </w:p>
    <w:p w14:paraId="1BCF8DD1">
      <w:pPr>
        <w:pStyle w:val="48"/>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法定代表人（签名或盖私章）：</w:t>
      </w:r>
    </w:p>
    <w:p w14:paraId="582764BE">
      <w:pPr>
        <w:pStyle w:val="48"/>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法定代表人联系方式：</w:t>
      </w:r>
    </w:p>
    <w:p w14:paraId="1DD854EB">
      <w:pPr>
        <w:pStyle w:val="48"/>
        <w:spacing w:line="500" w:lineRule="atLeast"/>
        <w:ind w:firstLine="3517" w:firstLineChars="1675"/>
        <w:rPr>
          <w:rFonts w:hint="eastAsia" w:ascii="宋体" w:eastAsia="宋体"/>
          <w:color w:val="auto"/>
          <w:sz w:val="21"/>
          <w:szCs w:val="21"/>
          <w:highlight w:val="none"/>
          <w:u w:val="single"/>
        </w:rPr>
      </w:pPr>
      <w:r>
        <w:rPr>
          <w:rFonts w:hint="eastAsia" w:ascii="宋体" w:eastAsia="宋体"/>
          <w:color w:val="auto"/>
          <w:sz w:val="21"/>
          <w:szCs w:val="21"/>
          <w:highlight w:val="none"/>
        </w:rPr>
        <w:t>身份证号码：</w:t>
      </w:r>
    </w:p>
    <w:p w14:paraId="36677815">
      <w:pPr>
        <w:pStyle w:val="48"/>
        <w:spacing w:line="500" w:lineRule="atLeast"/>
        <w:ind w:firstLine="3507" w:firstLineChars="1670"/>
        <w:rPr>
          <w:rFonts w:hint="eastAsia" w:ascii="宋体" w:eastAsia="宋体"/>
          <w:color w:val="auto"/>
          <w:sz w:val="21"/>
          <w:szCs w:val="21"/>
          <w:highlight w:val="none"/>
        </w:rPr>
      </w:pPr>
      <w:r>
        <w:rPr>
          <w:rFonts w:hint="eastAsia" w:ascii="宋体" w:eastAsia="宋体"/>
          <w:color w:val="auto"/>
          <w:sz w:val="21"/>
          <w:szCs w:val="21"/>
          <w:highlight w:val="none"/>
        </w:rPr>
        <w:t>日     期：  年  月  日</w:t>
      </w:r>
    </w:p>
    <w:p w14:paraId="18328FF8">
      <w:pPr>
        <w:ind w:firstLine="420" w:firstLineChars="200"/>
        <w:rPr>
          <w:rFonts w:hint="eastAsia" w:ascii="宋体" w:hAnsi="宋体"/>
          <w:color w:val="auto"/>
          <w:szCs w:val="21"/>
          <w:highlight w:val="none"/>
        </w:rPr>
      </w:pPr>
    </w:p>
    <w:p w14:paraId="5A29009A">
      <w:pPr>
        <w:ind w:firstLine="420" w:firstLineChars="200"/>
        <w:rPr>
          <w:rFonts w:hint="eastAsia" w:ascii="宋体" w:hAnsi="宋体"/>
          <w:color w:val="auto"/>
          <w:szCs w:val="21"/>
          <w:highlight w:val="none"/>
        </w:rPr>
      </w:pPr>
      <w:r>
        <w:rPr>
          <w:rFonts w:hint="eastAsia" w:ascii="宋体" w:hAnsi="宋体"/>
          <w:color w:val="auto"/>
          <w:szCs w:val="21"/>
          <w:highlight w:val="none"/>
        </w:rPr>
        <w:t>注：法定代表人身份证明书需附法人代表身份证复印件。</w:t>
      </w:r>
    </w:p>
    <w:tbl>
      <w:tblPr>
        <w:tblStyle w:val="29"/>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696F340D">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4BA8D326">
            <w:pPr>
              <w:pStyle w:val="48"/>
              <w:spacing w:line="460" w:lineRule="exact"/>
              <w:ind w:firstLine="0" w:firstLineChars="0"/>
              <w:jc w:val="center"/>
              <w:rPr>
                <w:rFonts w:hint="eastAsia" w:ascii="宋体" w:eastAsia="宋体"/>
                <w:color w:val="auto"/>
                <w:sz w:val="22"/>
                <w:highlight w:val="none"/>
              </w:rPr>
            </w:pPr>
            <w:r>
              <w:rPr>
                <w:rFonts w:hint="eastAsia" w:ascii="宋体" w:eastAsia="宋体"/>
                <w:color w:val="auto"/>
                <w:sz w:val="22"/>
                <w:highlight w:val="none"/>
              </w:rPr>
              <w:t>正面</w:t>
            </w:r>
          </w:p>
        </w:tc>
        <w:tc>
          <w:tcPr>
            <w:tcW w:w="4182" w:type="dxa"/>
            <w:vAlign w:val="center"/>
          </w:tcPr>
          <w:p w14:paraId="38DCCB72">
            <w:pPr>
              <w:pStyle w:val="48"/>
              <w:spacing w:line="460" w:lineRule="exact"/>
              <w:ind w:firstLine="0" w:firstLineChars="0"/>
              <w:jc w:val="center"/>
              <w:rPr>
                <w:rFonts w:hint="eastAsia" w:ascii="宋体" w:eastAsia="宋体"/>
                <w:color w:val="auto"/>
                <w:sz w:val="22"/>
                <w:highlight w:val="none"/>
              </w:rPr>
            </w:pPr>
            <w:r>
              <w:rPr>
                <w:rFonts w:hint="eastAsia" w:ascii="宋体" w:eastAsia="宋体"/>
                <w:color w:val="auto"/>
                <w:sz w:val="22"/>
                <w:highlight w:val="none"/>
              </w:rPr>
              <w:t>背面</w:t>
            </w:r>
          </w:p>
        </w:tc>
      </w:tr>
    </w:tbl>
    <w:p w14:paraId="5C68DC23">
      <w:pPr>
        <w:rPr>
          <w:color w:val="auto"/>
          <w:highlight w:val="none"/>
        </w:rPr>
      </w:pPr>
    </w:p>
    <w:p w14:paraId="54D3B399">
      <w:pPr>
        <w:adjustRightInd/>
        <w:snapToGrid/>
        <w:spacing w:line="276" w:lineRule="auto"/>
        <w:rPr>
          <w:rFonts w:ascii="楷体_GB2312" w:eastAsia="楷体_GB2312" w:hAnsiTheme="majorHAnsi" w:cstheme="majorBidi"/>
          <w:b/>
          <w:bCs/>
          <w:color w:val="auto"/>
          <w:sz w:val="24"/>
          <w:szCs w:val="28"/>
          <w:highlight w:val="none"/>
        </w:rPr>
      </w:pPr>
      <w:r>
        <w:rPr>
          <w:rFonts w:ascii="楷体_GB2312" w:eastAsia="楷体_GB2312"/>
          <w:color w:val="auto"/>
          <w:sz w:val="24"/>
          <w:highlight w:val="none"/>
        </w:rPr>
        <w:br w:type="page"/>
      </w:r>
    </w:p>
    <w:p w14:paraId="3321F5A1">
      <w:pPr>
        <w:pStyle w:val="8"/>
        <w:widowControl w:val="0"/>
        <w:overflowPunct w:val="0"/>
        <w:spacing w:line="240" w:lineRule="auto"/>
        <w:rPr>
          <w:color w:val="auto"/>
          <w:highlight w:val="none"/>
        </w:rPr>
      </w:pPr>
      <w:bookmarkStart w:id="145" w:name="_Toc182308036"/>
      <w:r>
        <w:rPr>
          <w:rFonts w:hint="eastAsia" w:ascii="宋体" w:hAnsi="宋体"/>
          <w:color w:val="auto"/>
          <w:sz w:val="21"/>
          <w:szCs w:val="21"/>
          <w:highlight w:val="none"/>
        </w:rPr>
        <w:t>附件4.法定代表人授权书格式</w:t>
      </w:r>
      <w:bookmarkEnd w:id="145"/>
    </w:p>
    <w:p w14:paraId="6D0E4E86">
      <w:pPr>
        <w:rPr>
          <w:color w:val="auto"/>
          <w:highlight w:val="none"/>
        </w:rPr>
      </w:pPr>
    </w:p>
    <w:p w14:paraId="52046ED5">
      <w:pPr>
        <w:jc w:val="center"/>
        <w:rPr>
          <w:rFonts w:ascii="黑体" w:eastAsia="黑体"/>
          <w:color w:val="auto"/>
          <w:sz w:val="28"/>
          <w:szCs w:val="28"/>
          <w:highlight w:val="none"/>
        </w:rPr>
      </w:pPr>
      <w:r>
        <w:rPr>
          <w:rFonts w:hint="eastAsia" w:ascii="黑体" w:eastAsia="黑体"/>
          <w:color w:val="auto"/>
          <w:sz w:val="28"/>
          <w:szCs w:val="28"/>
          <w:highlight w:val="none"/>
        </w:rPr>
        <w:t>法定代表人授权书</w:t>
      </w:r>
    </w:p>
    <w:p w14:paraId="16FC63B0">
      <w:pPr>
        <w:pStyle w:val="48"/>
        <w:spacing w:line="420" w:lineRule="atLeast"/>
        <w:ind w:firstLine="0" w:firstLineChars="0"/>
        <w:rPr>
          <w:rFonts w:hint="eastAsia" w:ascii="宋体" w:eastAsia="宋体"/>
          <w:color w:val="auto"/>
          <w:sz w:val="21"/>
          <w:szCs w:val="21"/>
          <w:highlight w:val="none"/>
          <w:lang w:eastAsia="zh-CN"/>
        </w:rPr>
      </w:pPr>
      <w:r>
        <w:rPr>
          <w:rFonts w:hint="eastAsia" w:ascii="宋体" w:eastAsia="宋体"/>
          <w:color w:val="auto"/>
          <w:sz w:val="21"/>
          <w:szCs w:val="21"/>
          <w:highlight w:val="none"/>
        </w:rPr>
        <w:t>致：</w:t>
      </w:r>
      <w:r>
        <w:rPr>
          <w:rFonts w:hint="eastAsia" w:ascii="宋体" w:eastAsia="宋体"/>
          <w:color w:val="auto"/>
          <w:sz w:val="21"/>
          <w:szCs w:val="21"/>
          <w:highlight w:val="none"/>
          <w:lang w:eastAsia="zh-CN"/>
        </w:rPr>
        <w:t>广西同泽工程项目管理股份有限公司</w:t>
      </w:r>
    </w:p>
    <w:p w14:paraId="00FFBC2C">
      <w:pPr>
        <w:pStyle w:val="48"/>
        <w:spacing w:line="420" w:lineRule="atLeast"/>
        <w:ind w:firstLine="433"/>
        <w:rPr>
          <w:rFonts w:hint="eastAsia" w:ascii="宋体" w:eastAsia="宋体"/>
          <w:color w:val="auto"/>
          <w:sz w:val="21"/>
          <w:szCs w:val="21"/>
          <w:highlight w:val="none"/>
        </w:rPr>
      </w:pPr>
    </w:p>
    <w:p w14:paraId="2B7856C5">
      <w:pPr>
        <w:ind w:firstLine="420" w:firstLineChars="200"/>
        <w:rPr>
          <w:rFonts w:hint="eastAsia" w:ascii="宋体" w:hAnsi="宋体" w:cs="Times New Roman"/>
          <w:color w:val="auto"/>
          <w:szCs w:val="21"/>
          <w:highlight w:val="none"/>
        </w:rPr>
      </w:pPr>
      <w:bookmarkStart w:id="146" w:name="_Toc22486"/>
      <w:r>
        <w:rPr>
          <w:rFonts w:hint="eastAsia" w:ascii="宋体" w:hAnsi="宋体" w:cs="Times New Roman"/>
          <w:color w:val="auto"/>
          <w:szCs w:val="21"/>
          <w:highlight w:val="none"/>
        </w:rPr>
        <w:t>本授权书声明：注册于</w:t>
      </w:r>
      <w:r>
        <w:rPr>
          <w:rFonts w:hint="eastAsia" w:ascii="宋体" w:hAnsi="宋体" w:cs="Times New Roman"/>
          <w:color w:val="auto"/>
          <w:szCs w:val="21"/>
          <w:highlight w:val="none"/>
          <w:u w:val="single"/>
        </w:rPr>
        <w:t>（国家或地区的名称）</w:t>
      </w:r>
      <w:r>
        <w:rPr>
          <w:rFonts w:hint="eastAsia" w:ascii="宋体" w:hAnsi="宋体" w:cs="Times New Roman"/>
          <w:color w:val="auto"/>
          <w:szCs w:val="21"/>
          <w:highlight w:val="none"/>
        </w:rPr>
        <w:t>的</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（法定代表人姓名、职务）</w:t>
      </w:r>
      <w:r>
        <w:rPr>
          <w:rFonts w:hint="eastAsia" w:ascii="宋体" w:hAnsi="宋体" w:cs="Times New Roman"/>
          <w:color w:val="auto"/>
          <w:szCs w:val="21"/>
          <w:highlight w:val="none"/>
        </w:rPr>
        <w:t>代表本单位授权</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（被授权人的姓名、职务）</w:t>
      </w:r>
      <w:r>
        <w:rPr>
          <w:rFonts w:hint="eastAsia" w:ascii="宋体" w:hAnsi="宋体" w:cs="Times New Roman"/>
          <w:color w:val="auto"/>
          <w:szCs w:val="21"/>
          <w:highlight w:val="none"/>
        </w:rPr>
        <w:t>为本单位的合法代理人，就</w:t>
      </w:r>
      <w:r>
        <w:rPr>
          <w:rFonts w:hint="eastAsia" w:ascii="宋体" w:hAnsi="宋体" w:cs="Times New Roman"/>
          <w:color w:val="auto"/>
          <w:szCs w:val="21"/>
          <w:highlight w:val="none"/>
          <w:u w:val="single"/>
        </w:rPr>
        <w:t>（项目名称）</w:t>
      </w:r>
      <w:r>
        <w:rPr>
          <w:rFonts w:hint="eastAsia" w:ascii="宋体" w:hAnsi="宋体" w:cs="Times New Roman"/>
          <w:color w:val="auto"/>
          <w:szCs w:val="21"/>
          <w:highlight w:val="none"/>
        </w:rPr>
        <w:t>投标及参加项目谈判，以本单位名义处理一切与之有关的事务。</w:t>
      </w:r>
      <w:r>
        <w:rPr>
          <w:rFonts w:hint="eastAsia" w:ascii="宋体" w:hAnsi="宋体" w:cs="Times New Roman"/>
          <w:color w:val="auto"/>
          <w:szCs w:val="21"/>
          <w:highlight w:val="none"/>
          <w:lang w:val="en-US" w:eastAsia="zh-CN"/>
        </w:rPr>
        <w:t>在递交投标文件时，投标人委托授权代表须为本单位正式员工并携带本人身份证原件、社保部门出具的近六个月内任意一个月社会保险证明（或劳动合同证明）备查。无法开具社会保险证明的省市，若相关记录能够在官网上查询，允许以查询记录加盖投标人公章的形式证明。未能提供相关证明可能被认定投标无效。</w:t>
      </w:r>
    </w:p>
    <w:p w14:paraId="547888BE">
      <w:pPr>
        <w:ind w:firstLine="315" w:firstLineChars="150"/>
        <w:rPr>
          <w:rFonts w:hint="eastAsia" w:ascii="宋体" w:hAnsi="宋体" w:cs="Times New Roman"/>
          <w:color w:val="auto"/>
          <w:szCs w:val="21"/>
          <w:highlight w:val="none"/>
        </w:rPr>
      </w:pPr>
      <w:r>
        <w:rPr>
          <w:rFonts w:hint="eastAsia" w:ascii="宋体" w:hAnsi="宋体" w:cs="Times New Roman"/>
          <w:color w:val="auto"/>
          <w:szCs w:val="21"/>
          <w:highlight w:val="none"/>
        </w:rPr>
        <w:t>本授权书于</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年</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月</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日签字生效，特此声明。</w:t>
      </w:r>
    </w:p>
    <w:p w14:paraId="3A617EC6">
      <w:pPr>
        <w:pStyle w:val="48"/>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投标人名称（加盖公章）：</w:t>
      </w:r>
    </w:p>
    <w:p w14:paraId="2E52C33F">
      <w:pPr>
        <w:pStyle w:val="48"/>
        <w:spacing w:line="500" w:lineRule="atLeast"/>
        <w:ind w:firstLine="3517" w:firstLineChars="1675"/>
        <w:rPr>
          <w:rFonts w:hint="eastAsia" w:ascii="宋体" w:eastAsia="宋体"/>
          <w:color w:val="auto"/>
          <w:sz w:val="21"/>
          <w:szCs w:val="21"/>
          <w:highlight w:val="none"/>
          <w:u w:val="single"/>
        </w:rPr>
      </w:pPr>
      <w:r>
        <w:rPr>
          <w:rFonts w:hint="eastAsia" w:ascii="宋体" w:eastAsia="宋体"/>
          <w:color w:val="auto"/>
          <w:sz w:val="21"/>
          <w:szCs w:val="21"/>
          <w:highlight w:val="none"/>
        </w:rPr>
        <w:t>法定代表人签字（签名或盖私章）：</w:t>
      </w:r>
    </w:p>
    <w:p w14:paraId="1691CC7F">
      <w:pPr>
        <w:pStyle w:val="48"/>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被授权人签字：</w:t>
      </w:r>
    </w:p>
    <w:p w14:paraId="4C53F080">
      <w:pPr>
        <w:pStyle w:val="48"/>
        <w:spacing w:line="500" w:lineRule="atLeast"/>
        <w:ind w:firstLine="3517" w:firstLineChars="1675"/>
        <w:rPr>
          <w:rFonts w:hint="eastAsia" w:ascii="宋体" w:eastAsia="宋体"/>
          <w:color w:val="auto"/>
          <w:sz w:val="21"/>
          <w:szCs w:val="21"/>
          <w:highlight w:val="none"/>
          <w:u w:val="single"/>
        </w:rPr>
      </w:pPr>
      <w:r>
        <w:rPr>
          <w:rFonts w:hint="eastAsia" w:ascii="宋体" w:eastAsia="宋体"/>
          <w:color w:val="auto"/>
          <w:sz w:val="21"/>
          <w:szCs w:val="21"/>
          <w:highlight w:val="none"/>
        </w:rPr>
        <w:t>职务：</w:t>
      </w:r>
    </w:p>
    <w:p w14:paraId="7CF27C09">
      <w:pPr>
        <w:pStyle w:val="48"/>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 xml:space="preserve">移动电话： </w:t>
      </w:r>
    </w:p>
    <w:p w14:paraId="3F74AFD7">
      <w:pPr>
        <w:pStyle w:val="48"/>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详细通讯地址：</w:t>
      </w:r>
    </w:p>
    <w:p w14:paraId="55133749">
      <w:pPr>
        <w:pStyle w:val="48"/>
        <w:spacing w:line="500" w:lineRule="atLeast"/>
        <w:ind w:firstLine="3517" w:firstLineChars="1675"/>
        <w:rPr>
          <w:rFonts w:hint="eastAsia" w:ascii="宋体" w:eastAsia="宋体"/>
          <w:color w:val="auto"/>
          <w:sz w:val="21"/>
          <w:szCs w:val="21"/>
          <w:highlight w:val="none"/>
        </w:rPr>
      </w:pPr>
      <w:r>
        <w:rPr>
          <w:rFonts w:hint="eastAsia" w:ascii="宋体" w:eastAsia="宋体"/>
          <w:color w:val="auto"/>
          <w:sz w:val="21"/>
          <w:szCs w:val="21"/>
          <w:highlight w:val="none"/>
        </w:rPr>
        <w:t xml:space="preserve">邮箱：                          </w:t>
      </w:r>
    </w:p>
    <w:p w14:paraId="7DD3EFFA">
      <w:pPr>
        <w:pStyle w:val="48"/>
        <w:spacing w:line="500" w:lineRule="atLeast"/>
        <w:ind w:firstLine="3507" w:firstLineChars="1670"/>
        <w:rPr>
          <w:rFonts w:hint="eastAsia" w:ascii="宋体" w:eastAsia="宋体"/>
          <w:color w:val="auto"/>
          <w:sz w:val="21"/>
          <w:szCs w:val="21"/>
          <w:highlight w:val="none"/>
        </w:rPr>
      </w:pPr>
      <w:r>
        <w:rPr>
          <w:rFonts w:hint="eastAsia" w:ascii="宋体" w:eastAsia="宋体"/>
          <w:color w:val="auto"/>
          <w:sz w:val="21"/>
          <w:szCs w:val="21"/>
          <w:highlight w:val="none"/>
        </w:rPr>
        <w:t>日     期：  年  月  日</w:t>
      </w:r>
    </w:p>
    <w:p w14:paraId="00C5936A">
      <w:pPr>
        <w:pStyle w:val="48"/>
        <w:spacing w:line="460" w:lineRule="exact"/>
        <w:ind w:firstLine="433"/>
        <w:rPr>
          <w:rFonts w:hint="eastAsia" w:ascii="宋体" w:eastAsia="宋体"/>
          <w:color w:val="auto"/>
          <w:sz w:val="21"/>
          <w:szCs w:val="21"/>
          <w:highlight w:val="none"/>
        </w:rPr>
      </w:pPr>
    </w:p>
    <w:p w14:paraId="13ED5C71">
      <w:pPr>
        <w:rPr>
          <w:rFonts w:hint="eastAsia" w:eastAsia="宋体"/>
          <w:color w:val="auto"/>
          <w:highlight w:val="none"/>
          <w:lang w:eastAsia="zh-CN"/>
        </w:rPr>
      </w:pPr>
      <w:r>
        <w:rPr>
          <w:rFonts w:hint="eastAsia" w:ascii="宋体" w:hAnsi="宋体"/>
          <w:color w:val="auto"/>
          <w:szCs w:val="21"/>
          <w:highlight w:val="none"/>
        </w:rPr>
        <w:t>须附：被授权人身份证复印件</w:t>
      </w:r>
      <w:r>
        <w:rPr>
          <w:rFonts w:hint="eastAsia" w:ascii="宋体" w:hAnsi="宋体"/>
          <w:color w:val="auto"/>
          <w:szCs w:val="21"/>
          <w:highlight w:val="none"/>
          <w:lang w:eastAsia="zh-CN"/>
        </w:rPr>
        <w:t>、</w:t>
      </w:r>
      <w:r>
        <w:rPr>
          <w:rFonts w:hint="eastAsia" w:ascii="宋体" w:hAnsi="宋体"/>
          <w:color w:val="auto"/>
          <w:szCs w:val="21"/>
          <w:highlight w:val="none"/>
        </w:rPr>
        <w:t>人</w:t>
      </w:r>
      <w:r>
        <w:rPr>
          <w:rFonts w:hint="eastAsia" w:ascii="宋体" w:hAnsi="宋体" w:cs="Times New Roman"/>
          <w:color w:val="auto"/>
          <w:szCs w:val="21"/>
          <w:highlight w:val="none"/>
        </w:rPr>
        <w:t>社保部门出具的近六个月内任意一个月社会保险证明（或劳动合同证明）</w:t>
      </w:r>
      <w:r>
        <w:rPr>
          <w:rFonts w:hint="eastAsia" w:ascii="宋体" w:hAnsi="宋体" w:cs="Times New Roman"/>
          <w:color w:val="auto"/>
          <w:szCs w:val="21"/>
          <w:highlight w:val="none"/>
          <w:lang w:val="en-US" w:eastAsia="zh-CN"/>
        </w:rPr>
        <w:t>复印件</w:t>
      </w:r>
      <w:r>
        <w:rPr>
          <w:rFonts w:hint="eastAsia" w:ascii="宋体" w:hAnsi="宋体" w:cs="Times New Roman"/>
          <w:color w:val="auto"/>
          <w:szCs w:val="21"/>
          <w:highlight w:val="none"/>
          <w:lang w:eastAsia="zh-CN"/>
        </w:rPr>
        <w:t>。</w:t>
      </w:r>
    </w:p>
    <w:tbl>
      <w:tblPr>
        <w:tblStyle w:val="29"/>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8464"/>
      </w:tblGrid>
      <w:tr w14:paraId="7A48BC04">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PrEx>
        <w:trPr>
          <w:trHeight w:val="2661" w:hRule="atLeast"/>
          <w:jc w:val="center"/>
        </w:trPr>
        <w:tc>
          <w:tcPr>
            <w:tcW w:w="8464" w:type="dxa"/>
            <w:vAlign w:val="center"/>
          </w:tcPr>
          <w:p w14:paraId="57207139">
            <w:pPr>
              <w:pStyle w:val="48"/>
              <w:spacing w:line="460" w:lineRule="exact"/>
              <w:ind w:firstLine="0" w:firstLineChars="0"/>
              <w:jc w:val="center"/>
              <w:rPr>
                <w:rFonts w:hint="eastAsia" w:ascii="宋体" w:eastAsia="宋体"/>
                <w:color w:val="auto"/>
                <w:sz w:val="22"/>
                <w:highlight w:val="none"/>
              </w:rPr>
            </w:pPr>
          </w:p>
        </w:tc>
      </w:tr>
    </w:tbl>
    <w:p w14:paraId="055F7C3B">
      <w:pPr>
        <w:adjustRightInd/>
        <w:snapToGrid/>
        <w:spacing w:line="276" w:lineRule="auto"/>
        <w:rPr>
          <w:color w:val="auto"/>
          <w:highlight w:val="none"/>
        </w:rPr>
      </w:pPr>
      <w:r>
        <w:rPr>
          <w:rFonts w:hint="eastAsia" w:ascii="宋体" w:hAnsi="宋体"/>
          <w:color w:val="auto"/>
          <w:szCs w:val="21"/>
          <w:highlight w:val="none"/>
        </w:rPr>
        <w:br w:type="page"/>
      </w:r>
    </w:p>
    <w:p w14:paraId="4E378433">
      <w:pPr>
        <w:pStyle w:val="8"/>
        <w:widowControl w:val="0"/>
        <w:overflowPunct w:val="0"/>
        <w:spacing w:line="240" w:lineRule="auto"/>
        <w:rPr>
          <w:rFonts w:hint="eastAsia" w:ascii="宋体" w:hAnsi="宋体"/>
          <w:color w:val="auto"/>
          <w:sz w:val="21"/>
          <w:szCs w:val="21"/>
          <w:highlight w:val="none"/>
        </w:rPr>
      </w:pPr>
      <w:bookmarkStart w:id="147" w:name="_Toc182308037"/>
      <w:r>
        <w:rPr>
          <w:rFonts w:hint="eastAsia" w:ascii="宋体" w:hAnsi="宋体"/>
          <w:color w:val="auto"/>
          <w:sz w:val="21"/>
          <w:szCs w:val="21"/>
          <w:highlight w:val="none"/>
        </w:rPr>
        <w:t>附件5.资格申明</w:t>
      </w:r>
      <w:bookmarkEnd w:id="147"/>
    </w:p>
    <w:p w14:paraId="766AB9E6">
      <w:pPr>
        <w:jc w:val="center"/>
        <w:rPr>
          <w:rFonts w:ascii="黑体" w:eastAsia="黑体"/>
          <w:color w:val="auto"/>
          <w:sz w:val="28"/>
          <w:szCs w:val="28"/>
          <w:highlight w:val="none"/>
        </w:rPr>
      </w:pPr>
      <w:r>
        <w:rPr>
          <w:rFonts w:hint="eastAsia" w:ascii="黑体" w:eastAsia="黑体"/>
          <w:color w:val="auto"/>
          <w:sz w:val="28"/>
          <w:szCs w:val="28"/>
          <w:highlight w:val="none"/>
        </w:rPr>
        <w:t>资格申明</w:t>
      </w:r>
    </w:p>
    <w:p w14:paraId="0CD7B5B4">
      <w:pPr>
        <w:pStyle w:val="48"/>
        <w:spacing w:line="420" w:lineRule="atLeast"/>
        <w:ind w:firstLine="0" w:firstLineChars="0"/>
        <w:rPr>
          <w:rFonts w:hint="eastAsia" w:ascii="宋体" w:eastAsia="宋体"/>
          <w:color w:val="auto"/>
          <w:sz w:val="21"/>
          <w:szCs w:val="21"/>
          <w:highlight w:val="none"/>
        </w:rPr>
      </w:pPr>
      <w:r>
        <w:rPr>
          <w:rFonts w:hint="eastAsia" w:ascii="宋体" w:eastAsia="宋体"/>
          <w:color w:val="auto"/>
          <w:sz w:val="21"/>
          <w:szCs w:val="21"/>
          <w:highlight w:val="none"/>
          <w:lang w:eastAsia="zh-CN"/>
        </w:rPr>
        <w:t>广西同泽工程项目管理股份有限公司</w:t>
      </w:r>
      <w:r>
        <w:rPr>
          <w:rFonts w:hint="eastAsia" w:ascii="宋体" w:eastAsia="宋体"/>
          <w:color w:val="auto"/>
          <w:sz w:val="21"/>
          <w:szCs w:val="21"/>
          <w:highlight w:val="none"/>
        </w:rPr>
        <w:t>：</w:t>
      </w:r>
    </w:p>
    <w:p w14:paraId="68D630B6">
      <w:pPr>
        <w:ind w:firstLine="420" w:firstLineChars="200"/>
        <w:rPr>
          <w:rFonts w:hint="eastAsia" w:ascii="宋体" w:hAnsi="宋体"/>
          <w:color w:val="auto"/>
          <w:szCs w:val="21"/>
          <w:highlight w:val="none"/>
        </w:rPr>
      </w:pPr>
    </w:p>
    <w:p w14:paraId="51F32B4E">
      <w:pPr>
        <w:ind w:firstLine="420" w:firstLineChars="200"/>
        <w:rPr>
          <w:rFonts w:hint="eastAsia" w:ascii="宋体" w:hAnsi="宋体"/>
          <w:color w:val="auto"/>
          <w:szCs w:val="21"/>
          <w:highlight w:val="none"/>
        </w:rPr>
      </w:pPr>
      <w:r>
        <w:rPr>
          <w:rFonts w:hint="eastAsia" w:ascii="宋体" w:hAnsi="宋体"/>
          <w:color w:val="auto"/>
          <w:szCs w:val="21"/>
          <w:highlight w:val="none"/>
        </w:rPr>
        <w:t>我方</w:t>
      </w:r>
      <w:r>
        <w:rPr>
          <w:rFonts w:ascii="宋体" w:hAnsi="宋体"/>
          <w:color w:val="auto"/>
          <w:szCs w:val="21"/>
          <w:highlight w:val="none"/>
        </w:rPr>
        <w:t>愿响应</w:t>
      </w:r>
      <w:r>
        <w:rPr>
          <w:rFonts w:hint="eastAsia" w:ascii="宋体" w:hAnsi="宋体"/>
          <w:color w:val="auto"/>
          <w:szCs w:val="21"/>
          <w:highlight w:val="none"/>
        </w:rPr>
        <w:t>贵</w:t>
      </w:r>
      <w:r>
        <w:rPr>
          <w:rFonts w:ascii="宋体" w:hAnsi="宋体"/>
          <w:color w:val="auto"/>
          <w:szCs w:val="21"/>
          <w:highlight w:val="none"/>
        </w:rPr>
        <w:t>方</w:t>
      </w:r>
      <w:r>
        <w:rPr>
          <w:rFonts w:hint="eastAsia" w:ascii="宋体" w:hAnsi="宋体"/>
          <w:color w:val="auto"/>
          <w:szCs w:val="21"/>
          <w:highlight w:val="none"/>
        </w:rPr>
        <w:t>关于（项目名称：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ascii="宋体" w:hAnsi="宋体"/>
          <w:color w:val="auto"/>
          <w:szCs w:val="21"/>
          <w:highlight w:val="none"/>
        </w:rPr>
        <w:t>（</w:t>
      </w:r>
      <w:r>
        <w:rPr>
          <w:rFonts w:hint="eastAsia" w:ascii="宋体" w:hAnsi="宋体"/>
          <w:color w:val="auto"/>
          <w:szCs w:val="21"/>
          <w:highlight w:val="none"/>
        </w:rPr>
        <w:t>采购项目编号：</w:t>
      </w:r>
      <w:r>
        <w:rPr>
          <w:rFonts w:hint="eastAsia"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的</w:t>
      </w:r>
      <w:r>
        <w:rPr>
          <w:rFonts w:ascii="宋体" w:hAnsi="宋体"/>
          <w:color w:val="auto"/>
          <w:szCs w:val="21"/>
          <w:highlight w:val="none"/>
        </w:rPr>
        <w:t>投标邀请，参与投标，提供用户需求书中规定的</w:t>
      </w:r>
      <w:r>
        <w:rPr>
          <w:rFonts w:hint="eastAsia" w:ascii="宋体" w:hAnsi="宋体"/>
          <w:color w:val="auto"/>
          <w:szCs w:val="21"/>
          <w:highlight w:val="none"/>
        </w:rPr>
        <w:t>货物及相关服务</w:t>
      </w:r>
      <w:r>
        <w:rPr>
          <w:rFonts w:ascii="宋体" w:hAnsi="宋体"/>
          <w:color w:val="auto"/>
          <w:szCs w:val="21"/>
          <w:highlight w:val="none"/>
        </w:rPr>
        <w:t>，并按</w:t>
      </w:r>
      <w:r>
        <w:rPr>
          <w:rFonts w:hint="eastAsia" w:ascii="宋体" w:hAnsi="宋体"/>
          <w:color w:val="auto"/>
          <w:szCs w:val="21"/>
          <w:highlight w:val="none"/>
        </w:rPr>
        <w:t>采购</w:t>
      </w:r>
      <w:r>
        <w:rPr>
          <w:rFonts w:ascii="宋体" w:hAnsi="宋体"/>
          <w:color w:val="auto"/>
          <w:szCs w:val="21"/>
          <w:highlight w:val="none"/>
        </w:rPr>
        <w:t>文件要求提交所附资格文件且声明和保证如下：</w:t>
      </w:r>
    </w:p>
    <w:p w14:paraId="7DB61895">
      <w:pPr>
        <w:ind w:firstLine="420" w:firstLineChars="200"/>
        <w:rPr>
          <w:rFonts w:hint="eastAsia" w:ascii="宋体" w:hAnsi="宋体"/>
          <w:color w:val="auto"/>
          <w:szCs w:val="21"/>
          <w:highlight w:val="none"/>
        </w:rPr>
      </w:pPr>
      <w:r>
        <w:rPr>
          <w:rFonts w:hint="eastAsia" w:ascii="宋体" w:hAnsi="宋体"/>
          <w:color w:val="auto"/>
          <w:szCs w:val="21"/>
          <w:highlight w:val="none"/>
        </w:rPr>
        <w:t>一、我方具备投标人邀请中所要求的资格条件，已清楚采购文件所有要求及有关规定；并承诺参加本次采购活动中，如有违法、违规、弄虚作假行为，所造成的损失、不良后果及法律责任，一律由我方承担；</w:t>
      </w:r>
    </w:p>
    <w:p w14:paraId="53185C35">
      <w:pPr>
        <w:ind w:firstLine="420" w:firstLineChars="200"/>
        <w:rPr>
          <w:rFonts w:hint="eastAsia"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我方依法注册，在法律上、财务上和运作上完全独立于</w:t>
      </w:r>
      <w:r>
        <w:rPr>
          <w:rFonts w:hint="eastAsia" w:ascii="宋体" w:hAnsi="宋体"/>
          <w:color w:val="auto"/>
          <w:szCs w:val="21"/>
          <w:highlight w:val="none"/>
          <w:u w:val="single"/>
        </w:rPr>
        <w:t xml:space="preserve">  xxxx   </w:t>
      </w:r>
      <w:r>
        <w:rPr>
          <w:rFonts w:hint="eastAsia" w:ascii="宋体" w:hAnsi="宋体"/>
          <w:color w:val="auto"/>
          <w:szCs w:val="21"/>
          <w:highlight w:val="none"/>
        </w:rPr>
        <w:t>公司</w:t>
      </w:r>
      <w:r>
        <w:rPr>
          <w:rFonts w:ascii="宋体" w:hAnsi="宋体"/>
          <w:color w:val="auto"/>
          <w:szCs w:val="21"/>
          <w:highlight w:val="none"/>
        </w:rPr>
        <w:t>（</w:t>
      </w:r>
      <w:r>
        <w:rPr>
          <w:rFonts w:hint="eastAsia" w:ascii="宋体" w:hAnsi="宋体"/>
          <w:color w:val="auto"/>
          <w:szCs w:val="21"/>
          <w:highlight w:val="none"/>
        </w:rPr>
        <w:t>采购人</w:t>
      </w:r>
      <w:r>
        <w:rPr>
          <w:rFonts w:ascii="宋体" w:hAnsi="宋体"/>
          <w:color w:val="auto"/>
          <w:szCs w:val="21"/>
          <w:highlight w:val="none"/>
        </w:rPr>
        <w:t>）及</w:t>
      </w:r>
      <w:r>
        <w:rPr>
          <w:rFonts w:hint="eastAsia" w:ascii="宋体" w:hAnsi="宋体"/>
          <w:color w:val="auto"/>
          <w:szCs w:val="21"/>
          <w:highlight w:val="none"/>
          <w:u w:val="single"/>
        </w:rPr>
        <w:t xml:space="preserve">    xxx   </w:t>
      </w:r>
      <w:r>
        <w:rPr>
          <w:rFonts w:hint="eastAsia" w:ascii="宋体" w:hAnsi="宋体"/>
          <w:color w:val="auto"/>
          <w:szCs w:val="21"/>
          <w:highlight w:val="none"/>
        </w:rPr>
        <w:t>公司</w:t>
      </w:r>
      <w:r>
        <w:rPr>
          <w:rFonts w:ascii="宋体" w:hAnsi="宋体"/>
          <w:color w:val="auto"/>
          <w:szCs w:val="21"/>
          <w:highlight w:val="none"/>
        </w:rPr>
        <w:t>（采购代理机构）</w:t>
      </w:r>
      <w:r>
        <w:rPr>
          <w:rFonts w:hint="eastAsia" w:ascii="宋体" w:hAnsi="宋体"/>
          <w:color w:val="auto"/>
          <w:szCs w:val="21"/>
          <w:highlight w:val="none"/>
        </w:rPr>
        <w:t>。</w:t>
      </w:r>
    </w:p>
    <w:p w14:paraId="39B84F40">
      <w:pPr>
        <w:pStyle w:val="48"/>
        <w:spacing w:line="500" w:lineRule="atLeast"/>
        <w:ind w:firstLine="638" w:firstLineChars="304"/>
        <w:rPr>
          <w:rFonts w:hint="eastAsia" w:ascii="宋体" w:eastAsia="宋体"/>
          <w:color w:val="auto"/>
          <w:kern w:val="0"/>
          <w:sz w:val="21"/>
          <w:szCs w:val="21"/>
          <w:highlight w:val="none"/>
        </w:rPr>
      </w:pPr>
      <w:r>
        <w:rPr>
          <w:rFonts w:hint="eastAsia" w:ascii="宋体" w:eastAsia="宋体"/>
          <w:color w:val="auto"/>
          <w:kern w:val="0"/>
          <w:sz w:val="21"/>
          <w:szCs w:val="21"/>
          <w:highlight w:val="none"/>
        </w:rPr>
        <w:t>三、</w:t>
      </w:r>
      <w:r>
        <w:rPr>
          <w:rFonts w:ascii="宋体" w:eastAsia="宋体"/>
          <w:color w:val="auto"/>
          <w:kern w:val="0"/>
          <w:sz w:val="21"/>
          <w:szCs w:val="21"/>
          <w:highlight w:val="none"/>
        </w:rPr>
        <w:t>我方</w:t>
      </w:r>
      <w:r>
        <w:rPr>
          <w:rFonts w:hint="eastAsia" w:ascii="宋体" w:eastAsia="宋体"/>
          <w:color w:val="auto"/>
          <w:kern w:val="0"/>
          <w:sz w:val="21"/>
          <w:szCs w:val="21"/>
          <w:highlight w:val="none"/>
        </w:rPr>
        <w:t>单位负责人不存在为同一人或者存在直接控股、管理关系的不同投标人等情形。</w:t>
      </w:r>
    </w:p>
    <w:p w14:paraId="69685A2B">
      <w:pPr>
        <w:pStyle w:val="48"/>
        <w:spacing w:line="500" w:lineRule="atLeast"/>
        <w:ind w:firstLine="3517" w:firstLineChars="1675"/>
        <w:rPr>
          <w:rFonts w:hint="eastAsia" w:ascii="宋体" w:eastAsia="宋体"/>
          <w:color w:val="auto"/>
          <w:sz w:val="21"/>
          <w:szCs w:val="21"/>
          <w:highlight w:val="none"/>
        </w:rPr>
      </w:pPr>
    </w:p>
    <w:p w14:paraId="4851A3DE">
      <w:pPr>
        <w:pStyle w:val="48"/>
        <w:spacing w:line="50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投标人名称（加盖公章）：</w:t>
      </w:r>
    </w:p>
    <w:p w14:paraId="514FB587">
      <w:pPr>
        <w:pStyle w:val="48"/>
        <w:spacing w:line="50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法定代表人签字（签名或盖私章）：</w:t>
      </w:r>
    </w:p>
    <w:p w14:paraId="550AFFB3">
      <w:pPr>
        <w:pStyle w:val="48"/>
        <w:spacing w:line="50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t>日     期：   年  月  日</w:t>
      </w:r>
    </w:p>
    <w:p w14:paraId="5BCC67E7">
      <w:pPr>
        <w:pStyle w:val="48"/>
        <w:spacing w:line="500" w:lineRule="atLeast"/>
        <w:ind w:firstLine="433"/>
        <w:rPr>
          <w:rFonts w:hint="eastAsia" w:ascii="宋体" w:eastAsia="宋体"/>
          <w:color w:val="auto"/>
          <w:sz w:val="21"/>
          <w:szCs w:val="21"/>
          <w:highlight w:val="none"/>
        </w:rPr>
      </w:pPr>
      <w:r>
        <w:rPr>
          <w:rFonts w:hint="eastAsia" w:ascii="宋体" w:eastAsia="宋体"/>
          <w:color w:val="auto"/>
          <w:sz w:val="21"/>
          <w:szCs w:val="21"/>
          <w:highlight w:val="none"/>
        </w:rPr>
        <w:br w:type="page"/>
      </w:r>
    </w:p>
    <w:p w14:paraId="39A0F611">
      <w:pPr>
        <w:pStyle w:val="8"/>
        <w:widowControl w:val="0"/>
        <w:overflowPunct w:val="0"/>
        <w:spacing w:line="240" w:lineRule="auto"/>
        <w:rPr>
          <w:rFonts w:hint="eastAsia" w:ascii="宋体" w:hAnsi="宋体"/>
          <w:color w:val="auto"/>
          <w:sz w:val="21"/>
          <w:szCs w:val="21"/>
          <w:highlight w:val="none"/>
        </w:rPr>
      </w:pPr>
      <w:bookmarkStart w:id="148" w:name="_Toc182308038"/>
      <w:r>
        <w:rPr>
          <w:rFonts w:hint="eastAsia" w:ascii="宋体" w:hAnsi="宋体"/>
          <w:color w:val="auto"/>
          <w:sz w:val="21"/>
          <w:szCs w:val="21"/>
          <w:highlight w:val="none"/>
        </w:rPr>
        <w:t>附件6.营业执照</w:t>
      </w:r>
      <w:bookmarkEnd w:id="148"/>
    </w:p>
    <w:p w14:paraId="08EDA07B">
      <w:pPr>
        <w:jc w:val="center"/>
        <w:rPr>
          <w:rFonts w:ascii="黑体" w:eastAsia="黑体"/>
          <w:color w:val="auto"/>
          <w:sz w:val="28"/>
          <w:szCs w:val="28"/>
          <w:highlight w:val="none"/>
        </w:rPr>
      </w:pPr>
      <w:bookmarkStart w:id="149" w:name="_Toc1511"/>
      <w:bookmarkStart w:id="150" w:name="_Toc17470"/>
      <w:bookmarkStart w:id="151" w:name="_Toc24210"/>
      <w:bookmarkStart w:id="152" w:name="_Toc4926"/>
      <w:bookmarkStart w:id="153" w:name="_Toc5919"/>
      <w:r>
        <w:rPr>
          <w:rFonts w:hint="eastAsia" w:ascii="黑体" w:eastAsia="黑体"/>
          <w:color w:val="auto"/>
          <w:sz w:val="28"/>
          <w:szCs w:val="28"/>
          <w:highlight w:val="none"/>
        </w:rPr>
        <w:t>营业执照</w:t>
      </w:r>
      <w:bookmarkEnd w:id="149"/>
      <w:bookmarkEnd w:id="150"/>
      <w:bookmarkEnd w:id="151"/>
      <w:bookmarkEnd w:id="152"/>
      <w:bookmarkEnd w:id="153"/>
    </w:p>
    <w:p w14:paraId="537684E3">
      <w:pPr>
        <w:jc w:val="center"/>
        <w:rPr>
          <w:rFonts w:ascii="黑体" w:eastAsia="黑体"/>
          <w:color w:val="auto"/>
          <w:sz w:val="28"/>
          <w:szCs w:val="28"/>
          <w:highlight w:val="none"/>
        </w:rPr>
      </w:pPr>
      <w:r>
        <w:rPr>
          <w:rFonts w:hint="eastAsia" w:ascii="黑体" w:eastAsia="黑体"/>
          <w:color w:val="auto"/>
          <w:sz w:val="28"/>
          <w:szCs w:val="28"/>
          <w:highlight w:val="none"/>
        </w:rPr>
        <w:br w:type="page"/>
      </w:r>
    </w:p>
    <w:p w14:paraId="11C1AEED">
      <w:pPr>
        <w:pStyle w:val="8"/>
        <w:widowControl w:val="0"/>
        <w:overflowPunct w:val="0"/>
        <w:spacing w:line="240" w:lineRule="auto"/>
        <w:rPr>
          <w:rFonts w:hint="eastAsia" w:ascii="宋体" w:hAnsi="宋体"/>
          <w:color w:val="auto"/>
          <w:sz w:val="21"/>
          <w:szCs w:val="21"/>
          <w:highlight w:val="none"/>
        </w:rPr>
      </w:pPr>
      <w:bookmarkStart w:id="154" w:name="_Toc182308039"/>
      <w:r>
        <w:rPr>
          <w:rFonts w:hint="eastAsia" w:ascii="宋体" w:hAnsi="宋体"/>
          <w:color w:val="auto"/>
          <w:sz w:val="21"/>
          <w:szCs w:val="21"/>
          <w:highlight w:val="none"/>
        </w:rPr>
        <w:t>附件7.相关资质证明文件</w:t>
      </w:r>
      <w:bookmarkEnd w:id="154"/>
    </w:p>
    <w:p w14:paraId="192D1B4A">
      <w:pPr>
        <w:rPr>
          <w:color w:val="auto"/>
          <w:highlight w:val="none"/>
        </w:rPr>
      </w:pPr>
    </w:p>
    <w:p w14:paraId="45B47961">
      <w:pPr>
        <w:jc w:val="center"/>
        <w:rPr>
          <w:rFonts w:ascii="黑体" w:eastAsia="黑体"/>
          <w:color w:val="auto"/>
          <w:sz w:val="28"/>
          <w:szCs w:val="28"/>
          <w:highlight w:val="none"/>
        </w:rPr>
      </w:pPr>
      <w:bookmarkStart w:id="155" w:name="_Toc16233"/>
      <w:bookmarkStart w:id="156" w:name="_Toc16698"/>
      <w:bookmarkStart w:id="157" w:name="_Toc9592"/>
      <w:bookmarkStart w:id="158" w:name="_Toc30307"/>
      <w:bookmarkStart w:id="159" w:name="_Toc13458"/>
      <w:r>
        <w:rPr>
          <w:rFonts w:hint="eastAsia" w:ascii="黑体" w:eastAsia="黑体"/>
          <w:color w:val="auto"/>
          <w:sz w:val="28"/>
          <w:szCs w:val="28"/>
          <w:highlight w:val="none"/>
        </w:rPr>
        <w:t>相关资质证明文件</w:t>
      </w:r>
      <w:bookmarkEnd w:id="146"/>
      <w:bookmarkEnd w:id="155"/>
      <w:bookmarkEnd w:id="156"/>
      <w:bookmarkEnd w:id="157"/>
      <w:bookmarkEnd w:id="158"/>
      <w:bookmarkEnd w:id="159"/>
    </w:p>
    <w:p w14:paraId="5DDE549C">
      <w:pPr>
        <w:numPr>
          <w:ilvl w:val="0"/>
          <w:numId w:val="9"/>
        </w:numPr>
        <w:tabs>
          <w:tab w:val="left" w:pos="1680"/>
        </w:tabs>
        <w:jc w:val="both"/>
        <w:rPr>
          <w:rFonts w:hint="eastAsia" w:ascii="宋体" w:hAnsi="宋体" w:cs="宋体"/>
          <w:b/>
          <w:bCs/>
          <w:color w:val="auto"/>
          <w:szCs w:val="21"/>
          <w:highlight w:val="none"/>
        </w:rPr>
      </w:pPr>
      <w:r>
        <w:rPr>
          <w:rFonts w:hint="eastAsia" w:ascii="宋体" w:hAnsi="宋体" w:cs="宋体"/>
          <w:b/>
          <w:bCs/>
          <w:color w:val="auto"/>
          <w:szCs w:val="21"/>
          <w:highlight w:val="none"/>
        </w:rPr>
        <w:t>符合投标邀请书“投标人资格要求”其他要求对应的证明文件；</w:t>
      </w:r>
    </w:p>
    <w:p w14:paraId="7CE10FEE">
      <w:pPr>
        <w:numPr>
          <w:ilvl w:val="0"/>
          <w:numId w:val="9"/>
        </w:numPr>
        <w:tabs>
          <w:tab w:val="left" w:pos="1680"/>
        </w:tabs>
        <w:jc w:val="both"/>
        <w:rPr>
          <w:rFonts w:hint="eastAsia" w:ascii="宋体" w:hAnsi="宋体" w:cs="宋体"/>
          <w:b/>
          <w:bCs/>
          <w:color w:val="auto"/>
          <w:szCs w:val="21"/>
          <w:highlight w:val="none"/>
        </w:rPr>
      </w:pPr>
      <w:r>
        <w:rPr>
          <w:rFonts w:hint="eastAsia" w:ascii="宋体" w:hAnsi="宋体" w:cs="宋体"/>
          <w:b/>
          <w:bCs/>
          <w:color w:val="auto"/>
          <w:szCs w:val="21"/>
          <w:highlight w:val="none"/>
        </w:rPr>
        <w:t>投标人认为必要的文件。</w:t>
      </w:r>
      <w:r>
        <w:rPr>
          <w:rFonts w:hint="eastAsia" w:ascii="宋体" w:hAnsi="宋体" w:cs="宋体"/>
          <w:b/>
          <w:bCs/>
          <w:color w:val="auto"/>
          <w:szCs w:val="21"/>
          <w:highlight w:val="none"/>
        </w:rPr>
        <w:br w:type="page"/>
      </w:r>
    </w:p>
    <w:p w14:paraId="6C22356B">
      <w:pPr>
        <w:pStyle w:val="8"/>
        <w:widowControl w:val="0"/>
        <w:overflowPunct w:val="0"/>
        <w:spacing w:line="240" w:lineRule="auto"/>
        <w:rPr>
          <w:rFonts w:ascii="楷体_GB2312" w:eastAsia="楷体_GB2312"/>
          <w:color w:val="auto"/>
          <w:highlight w:val="none"/>
        </w:rPr>
      </w:pPr>
      <w:bookmarkStart w:id="160" w:name="_Toc182308040"/>
      <w:r>
        <w:rPr>
          <w:rFonts w:hint="eastAsia" w:ascii="宋体" w:hAnsi="宋体"/>
          <w:color w:val="auto"/>
          <w:sz w:val="21"/>
          <w:szCs w:val="21"/>
          <w:highlight w:val="none"/>
        </w:rPr>
        <w:t>附件8.在经营活动中没有重大违法记录的书面声明格式</w:t>
      </w:r>
      <w:bookmarkEnd w:id="160"/>
    </w:p>
    <w:p w14:paraId="25403872">
      <w:pPr>
        <w:rPr>
          <w:color w:val="auto"/>
          <w:highlight w:val="none"/>
        </w:rPr>
      </w:pPr>
    </w:p>
    <w:p w14:paraId="451B247D">
      <w:pPr>
        <w:jc w:val="center"/>
        <w:rPr>
          <w:rFonts w:ascii="黑体" w:eastAsia="黑体"/>
          <w:color w:val="auto"/>
          <w:sz w:val="28"/>
          <w:szCs w:val="28"/>
          <w:highlight w:val="none"/>
        </w:rPr>
      </w:pPr>
      <w:r>
        <w:rPr>
          <w:rFonts w:hint="eastAsia" w:ascii="黑体" w:eastAsia="黑体"/>
          <w:color w:val="auto"/>
          <w:sz w:val="28"/>
          <w:szCs w:val="28"/>
          <w:highlight w:val="none"/>
        </w:rPr>
        <w:t>投标人在经营活动中前三年内未有重大违法记录、没有不良信用记录的声明函</w:t>
      </w:r>
    </w:p>
    <w:p w14:paraId="69D51FDB">
      <w:pPr>
        <w:ind w:firstLine="420" w:firstLineChars="200"/>
        <w:rPr>
          <w:rFonts w:hint="eastAsia" w:ascii="宋体" w:hAnsi="宋体" w:cs="宋体"/>
          <w:color w:val="auto"/>
          <w:szCs w:val="21"/>
          <w:highlight w:val="none"/>
        </w:rPr>
      </w:pPr>
    </w:p>
    <w:p w14:paraId="7CFE217C">
      <w:pPr>
        <w:spacing w:line="480" w:lineRule="auto"/>
        <w:rPr>
          <w:rFonts w:hint="eastAsia" w:ascii="宋体" w:hAnsi="宋体" w:cs="宋体"/>
          <w:color w:val="auto"/>
          <w:szCs w:val="21"/>
          <w:highlight w:val="none"/>
        </w:rPr>
      </w:pPr>
      <w:r>
        <w:rPr>
          <w:rFonts w:hint="eastAsia" w:ascii="宋体" w:hAnsi="宋体" w:cs="宋体"/>
          <w:color w:val="auto"/>
          <w:szCs w:val="21"/>
          <w:highlight w:val="none"/>
          <w:lang w:eastAsia="zh-CN"/>
        </w:rPr>
        <w:t>东莞市新有能源投资有限公司</w:t>
      </w:r>
      <w:r>
        <w:rPr>
          <w:rFonts w:hint="eastAsia" w:ascii="宋体" w:hAnsi="宋体" w:cs="宋体"/>
          <w:color w:val="auto"/>
          <w:szCs w:val="21"/>
          <w:highlight w:val="none"/>
        </w:rPr>
        <w:t>、</w:t>
      </w:r>
      <w:r>
        <w:rPr>
          <w:rFonts w:hint="eastAsia" w:ascii="宋体" w:hAnsi="宋体" w:cs="宋体"/>
          <w:color w:val="auto"/>
          <w:szCs w:val="21"/>
          <w:highlight w:val="none"/>
          <w:lang w:eastAsia="zh-CN"/>
        </w:rPr>
        <w:t>广西同泽工程项目管理股份有限公司</w:t>
      </w:r>
      <w:r>
        <w:rPr>
          <w:rFonts w:hint="eastAsia" w:ascii="宋体" w:hAnsi="宋体" w:cs="宋体"/>
          <w:color w:val="auto"/>
          <w:szCs w:val="21"/>
          <w:highlight w:val="none"/>
        </w:rPr>
        <w:t>：</w:t>
      </w:r>
    </w:p>
    <w:p w14:paraId="465CEE93">
      <w:pPr>
        <w:spacing w:line="48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我公司郑重承诺：在参加“</w:t>
      </w:r>
      <w:r>
        <w:rPr>
          <w:rFonts w:hint="eastAsia" w:ascii="宋体" w:hAnsi="宋体" w:cs="宋体"/>
          <w:color w:val="auto"/>
          <w:szCs w:val="21"/>
          <w:highlight w:val="none"/>
          <w:u w:val="single"/>
        </w:rPr>
        <w:t xml:space="preserve">       （采购项目名称）</w:t>
      </w:r>
      <w:r>
        <w:rPr>
          <w:rFonts w:hint="eastAsia" w:ascii="宋体" w:hAnsi="宋体" w:cs="宋体"/>
          <w:color w:val="auto"/>
          <w:szCs w:val="21"/>
          <w:highlight w:val="none"/>
        </w:rPr>
        <w:t>” （项目编号：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26E41539">
      <w:pPr>
        <w:spacing w:line="48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我公司以上承诺均为真实有效，绝无任何虚假、伪造的成分，否则，愿承担相应的后果和法律责任。</w:t>
      </w:r>
    </w:p>
    <w:p w14:paraId="36CC8B11">
      <w:pPr>
        <w:ind w:firstLine="420" w:firstLineChars="200"/>
        <w:rPr>
          <w:rFonts w:hint="eastAsia" w:ascii="宋体" w:hAnsi="宋体" w:cs="宋体"/>
          <w:color w:val="auto"/>
          <w:szCs w:val="21"/>
          <w:highlight w:val="none"/>
        </w:rPr>
      </w:pPr>
    </w:p>
    <w:p w14:paraId="624CC340">
      <w:pPr>
        <w:rPr>
          <w:rFonts w:hint="eastAsia" w:ascii="宋体" w:hAnsi="宋体" w:cs="宋体"/>
          <w:color w:val="auto"/>
          <w:szCs w:val="21"/>
          <w:highlight w:val="none"/>
        </w:rPr>
      </w:pPr>
    </w:p>
    <w:p w14:paraId="74F739F8">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投标人名称（盖章）：</w:t>
      </w:r>
    </w:p>
    <w:p w14:paraId="13028D7E">
      <w:pPr>
        <w:rPr>
          <w:rFonts w:hint="eastAsia" w:ascii="宋体" w:hAnsi="宋体" w:cs="宋体"/>
          <w:color w:val="auto"/>
          <w:szCs w:val="21"/>
          <w:highlight w:val="none"/>
        </w:rPr>
      </w:pPr>
    </w:p>
    <w:p w14:paraId="6C388092">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日期：</w:t>
      </w:r>
      <w:r>
        <w:rPr>
          <w:rFonts w:hint="eastAsia" w:ascii="宋体"/>
          <w:color w:val="auto"/>
          <w:szCs w:val="21"/>
          <w:highlight w:val="none"/>
        </w:rPr>
        <w:t xml:space="preserve">   年  月  日</w:t>
      </w:r>
    </w:p>
    <w:p w14:paraId="05890822">
      <w:pPr>
        <w:rPr>
          <w:color w:val="auto"/>
          <w:highlight w:val="none"/>
        </w:rPr>
      </w:pPr>
    </w:p>
    <w:p w14:paraId="57A737C0">
      <w:pPr>
        <w:rPr>
          <w:rFonts w:hint="eastAsia" w:ascii="宋体" w:hAnsi="宋体"/>
          <w:color w:val="auto"/>
          <w:szCs w:val="21"/>
          <w:highlight w:val="none"/>
        </w:rPr>
      </w:pPr>
    </w:p>
    <w:p w14:paraId="6F593B02">
      <w:pPr>
        <w:pStyle w:val="13"/>
        <w:rPr>
          <w:rFonts w:hint="eastAsia"/>
          <w:color w:val="auto"/>
          <w:sz w:val="21"/>
          <w:szCs w:val="21"/>
          <w:highlight w:val="none"/>
        </w:rPr>
      </w:pPr>
    </w:p>
    <w:p w14:paraId="5D1C1924">
      <w:pPr>
        <w:rPr>
          <w:rFonts w:hint="eastAsia" w:ascii="宋体" w:hAnsi="宋体"/>
          <w:color w:val="auto"/>
          <w:szCs w:val="21"/>
          <w:highlight w:val="none"/>
        </w:rPr>
      </w:pPr>
    </w:p>
    <w:p w14:paraId="08244864">
      <w:pPr>
        <w:rPr>
          <w:rFonts w:hint="eastAsia" w:ascii="宋体" w:hAnsi="宋体"/>
          <w:color w:val="auto"/>
          <w:szCs w:val="21"/>
          <w:highlight w:val="none"/>
        </w:rPr>
      </w:pPr>
      <w:r>
        <w:rPr>
          <w:rFonts w:hint="eastAsia" w:ascii="宋体" w:hAnsi="宋体"/>
          <w:color w:val="auto"/>
          <w:szCs w:val="21"/>
          <w:highlight w:val="none"/>
        </w:rPr>
        <w:br w:type="page"/>
      </w:r>
    </w:p>
    <w:p w14:paraId="659E8473">
      <w:pPr>
        <w:pStyle w:val="8"/>
        <w:widowControl w:val="0"/>
        <w:overflowPunct w:val="0"/>
        <w:spacing w:line="240" w:lineRule="auto"/>
        <w:rPr>
          <w:rFonts w:ascii="楷体_GB2312" w:eastAsia="楷体_GB2312"/>
          <w:color w:val="auto"/>
          <w:highlight w:val="none"/>
        </w:rPr>
      </w:pPr>
      <w:bookmarkStart w:id="161" w:name="_Toc182308041"/>
      <w:r>
        <w:rPr>
          <w:rFonts w:hint="eastAsia" w:ascii="宋体" w:hAnsi="宋体"/>
          <w:color w:val="auto"/>
          <w:sz w:val="21"/>
          <w:szCs w:val="21"/>
          <w:highlight w:val="none"/>
        </w:rPr>
        <w:t>附件9.</w:t>
      </w:r>
      <w:r>
        <w:rPr>
          <w:rFonts w:hint="eastAsia"/>
          <w:color w:val="auto"/>
          <w:highlight w:val="none"/>
        </w:rPr>
        <w:t xml:space="preserve"> </w:t>
      </w:r>
      <w:r>
        <w:rPr>
          <w:rFonts w:hint="eastAsia" w:ascii="宋体" w:hAnsi="宋体"/>
          <w:color w:val="auto"/>
          <w:sz w:val="21"/>
          <w:szCs w:val="21"/>
          <w:highlight w:val="none"/>
        </w:rPr>
        <w:t>未被列入“信用中国”记录失信被执行人或重大税收违法失信主体或政府采购严重违法失信行为记录名单的证明资料</w:t>
      </w:r>
      <w:bookmarkEnd w:id="161"/>
    </w:p>
    <w:p w14:paraId="0F3D07BC">
      <w:pPr>
        <w:adjustRightInd/>
        <w:snapToGrid/>
        <w:spacing w:line="240" w:lineRule="auto"/>
        <w:rPr>
          <w:rFonts w:hint="eastAsia" w:ascii="宋体" w:hAnsi="宋体"/>
          <w:color w:val="auto"/>
          <w:szCs w:val="21"/>
          <w:highlight w:val="none"/>
        </w:rPr>
      </w:pPr>
      <w:r>
        <w:rPr>
          <w:rFonts w:hint="eastAsia" w:ascii="宋体" w:hAnsi="宋体"/>
          <w:color w:val="auto"/>
          <w:szCs w:val="21"/>
          <w:highlight w:val="none"/>
        </w:rPr>
        <w:br w:type="page"/>
      </w:r>
    </w:p>
    <w:p w14:paraId="4CC1F64C">
      <w:pPr>
        <w:pStyle w:val="8"/>
        <w:widowControl w:val="0"/>
        <w:overflowPunct w:val="0"/>
        <w:spacing w:line="240" w:lineRule="auto"/>
        <w:rPr>
          <w:rFonts w:ascii="楷体_GB2312" w:eastAsia="楷体_GB2312"/>
          <w:color w:val="auto"/>
          <w:highlight w:val="none"/>
        </w:rPr>
      </w:pPr>
      <w:bookmarkStart w:id="162" w:name="_Toc182308042"/>
      <w:r>
        <w:rPr>
          <w:rFonts w:hint="eastAsia" w:ascii="宋体" w:hAnsi="宋体"/>
          <w:color w:val="auto"/>
          <w:sz w:val="21"/>
          <w:szCs w:val="21"/>
          <w:highlight w:val="none"/>
        </w:rPr>
        <w:t>附件10.承诺书格式</w:t>
      </w:r>
      <w:bookmarkEnd w:id="162"/>
    </w:p>
    <w:p w14:paraId="3C7029DB">
      <w:pPr>
        <w:jc w:val="center"/>
        <w:rPr>
          <w:rFonts w:ascii="黑体" w:eastAsia="黑体"/>
          <w:color w:val="auto"/>
          <w:sz w:val="28"/>
          <w:szCs w:val="28"/>
          <w:highlight w:val="none"/>
        </w:rPr>
      </w:pPr>
      <w:r>
        <w:rPr>
          <w:rFonts w:hint="eastAsia" w:ascii="黑体" w:eastAsia="黑体"/>
          <w:color w:val="auto"/>
          <w:sz w:val="28"/>
          <w:szCs w:val="28"/>
          <w:highlight w:val="none"/>
        </w:rPr>
        <w:t>承诺书</w:t>
      </w:r>
    </w:p>
    <w:p w14:paraId="5E4413F9">
      <w:pPr>
        <w:pStyle w:val="48"/>
        <w:spacing w:line="420" w:lineRule="atLeast"/>
        <w:ind w:firstLine="0" w:firstLineChars="0"/>
        <w:rPr>
          <w:rFonts w:hint="eastAsia" w:ascii="宋体" w:eastAsia="宋体" w:cs="宋体"/>
          <w:color w:val="auto"/>
          <w:sz w:val="21"/>
          <w:szCs w:val="21"/>
          <w:highlight w:val="none"/>
        </w:rPr>
      </w:pPr>
      <w:r>
        <w:rPr>
          <w:rFonts w:hint="eastAsia" w:ascii="宋体" w:eastAsia="宋体" w:cs="宋体"/>
          <w:color w:val="auto"/>
          <w:sz w:val="21"/>
          <w:szCs w:val="21"/>
          <w:highlight w:val="none"/>
        </w:rPr>
        <w:t>致</w:t>
      </w:r>
      <w:r>
        <w:rPr>
          <w:rFonts w:hint="eastAsia" w:ascii="宋体" w:eastAsia="宋体" w:cs="宋体"/>
          <w:color w:val="auto"/>
          <w:sz w:val="21"/>
          <w:szCs w:val="21"/>
          <w:highlight w:val="none"/>
          <w:lang w:eastAsia="zh-CN"/>
        </w:rPr>
        <w:t>广西同泽工程项目管理股份有限公司</w:t>
      </w:r>
      <w:r>
        <w:rPr>
          <w:rFonts w:hint="eastAsia" w:ascii="宋体" w:eastAsia="宋体" w:cs="宋体"/>
          <w:color w:val="auto"/>
          <w:sz w:val="21"/>
          <w:szCs w:val="21"/>
          <w:highlight w:val="none"/>
        </w:rPr>
        <w:t>：</w:t>
      </w:r>
    </w:p>
    <w:p w14:paraId="4C5ECD68">
      <w:pPr>
        <w:jc w:val="center"/>
        <w:rPr>
          <w:rFonts w:hint="eastAsia" w:ascii="宋体" w:hAnsi="宋体" w:cs="宋体"/>
          <w:color w:val="auto"/>
          <w:szCs w:val="21"/>
          <w:highlight w:val="none"/>
        </w:rPr>
      </w:pPr>
    </w:p>
    <w:p w14:paraId="6E6962C4">
      <w:pPr>
        <w:pStyle w:val="48"/>
        <w:spacing w:line="420" w:lineRule="exact"/>
        <w:ind w:firstLine="433"/>
        <w:rPr>
          <w:rFonts w:hint="eastAsia" w:ascii="宋体" w:eastAsia="宋体" w:cs="宋体"/>
          <w:color w:val="auto"/>
          <w:sz w:val="21"/>
          <w:szCs w:val="21"/>
          <w:highlight w:val="none"/>
        </w:rPr>
      </w:pPr>
      <w:r>
        <w:rPr>
          <w:rFonts w:hint="eastAsia" w:ascii="宋体" w:eastAsia="宋体" w:cs="宋体"/>
          <w:color w:val="auto"/>
          <w:sz w:val="21"/>
          <w:szCs w:val="21"/>
          <w:highlight w:val="none"/>
        </w:rPr>
        <w:t>我方已完整阅读了</w:t>
      </w:r>
      <w:r>
        <w:rPr>
          <w:rFonts w:hint="eastAsia" w:ascii="宋体" w:eastAsia="宋体" w:cs="宋体"/>
          <w:color w:val="auto"/>
          <w:sz w:val="21"/>
          <w:szCs w:val="21"/>
          <w:highlight w:val="none"/>
          <w:u w:val="single"/>
        </w:rPr>
        <w:t xml:space="preserve">  （项目名称）     </w:t>
      </w:r>
      <w:r>
        <w:rPr>
          <w:rFonts w:hint="eastAsia" w:ascii="宋体" w:eastAsia="宋体" w:cs="宋体"/>
          <w:color w:val="auto"/>
          <w:sz w:val="21"/>
          <w:szCs w:val="21"/>
          <w:highlight w:val="none"/>
        </w:rPr>
        <w:t>项目（项目编号：</w:t>
      </w:r>
      <w:r>
        <w:rPr>
          <w:rFonts w:hint="eastAsia" w:ascii="宋体" w:eastAsia="宋体" w:cs="宋体"/>
          <w:color w:val="auto"/>
          <w:sz w:val="21"/>
          <w:szCs w:val="21"/>
          <w:highlight w:val="none"/>
          <w:u w:val="single"/>
        </w:rPr>
        <w:t xml:space="preserve">            </w:t>
      </w:r>
      <w:r>
        <w:rPr>
          <w:rFonts w:hint="eastAsia" w:ascii="宋体" w:eastAsia="宋体" w:cs="宋体"/>
          <w:color w:val="auto"/>
          <w:sz w:val="21"/>
          <w:szCs w:val="21"/>
          <w:highlight w:val="none"/>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auto"/>
          <w:sz w:val="21"/>
          <w:szCs w:val="21"/>
          <w:highlight w:val="none"/>
        </w:rPr>
        <w:cr/>
      </w:r>
    </w:p>
    <w:p w14:paraId="5E9B1C8F">
      <w:pPr>
        <w:pStyle w:val="48"/>
        <w:spacing w:line="420" w:lineRule="exact"/>
        <w:ind w:firstLine="433"/>
        <w:rPr>
          <w:rFonts w:hint="eastAsia" w:ascii="宋体" w:eastAsia="宋体" w:cs="宋体"/>
          <w:color w:val="auto"/>
          <w:sz w:val="21"/>
          <w:szCs w:val="21"/>
          <w:highlight w:val="none"/>
        </w:rPr>
      </w:pPr>
    </w:p>
    <w:p w14:paraId="388E7E0A">
      <w:pPr>
        <w:ind w:right="561"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投标人名称（加盖公章）：</w:t>
      </w:r>
    </w:p>
    <w:p w14:paraId="5008E882">
      <w:pPr>
        <w:ind w:right="561" w:firstLine="420" w:firstLineChars="200"/>
        <w:rPr>
          <w:rFonts w:hint="eastAsia" w:ascii="宋体" w:hAnsi="宋体" w:cs="宋体"/>
          <w:color w:val="auto"/>
          <w:szCs w:val="21"/>
          <w:highlight w:val="none"/>
        </w:rPr>
      </w:pPr>
      <w:r>
        <w:rPr>
          <w:rFonts w:hint="eastAsia" w:ascii="宋体" w:hAnsi="宋体" w:cs="宋体"/>
          <w:color w:val="auto"/>
          <w:szCs w:val="21"/>
          <w:highlight w:val="none"/>
        </w:rPr>
        <w:t>法定代表人或被授权人（签名或盖私章）：</w:t>
      </w:r>
    </w:p>
    <w:p w14:paraId="3B7030EE">
      <w:pPr>
        <w:ind w:right="561" w:firstLine="420" w:firstLineChars="200"/>
        <w:rPr>
          <w:rFonts w:hint="eastAsia" w:ascii="宋体" w:hAnsi="宋体" w:cs="宋体"/>
          <w:color w:val="auto"/>
          <w:szCs w:val="21"/>
          <w:highlight w:val="none"/>
        </w:rPr>
      </w:pPr>
      <w:r>
        <w:rPr>
          <w:rFonts w:hint="eastAsia" w:ascii="宋体" w:hAnsi="宋体" w:cs="宋体"/>
          <w:color w:val="auto"/>
          <w:szCs w:val="21"/>
          <w:highlight w:val="none"/>
        </w:rPr>
        <w:t>日      期：</w:t>
      </w:r>
      <w:r>
        <w:rPr>
          <w:rFonts w:hint="eastAsia" w:ascii="宋体"/>
          <w:color w:val="auto"/>
          <w:szCs w:val="21"/>
          <w:highlight w:val="none"/>
        </w:rPr>
        <w:t xml:space="preserve">   年  月  日</w:t>
      </w:r>
    </w:p>
    <w:p w14:paraId="628279A1">
      <w:pPr>
        <w:rPr>
          <w:color w:val="auto"/>
          <w:highlight w:val="none"/>
        </w:rPr>
      </w:pPr>
    </w:p>
    <w:p w14:paraId="301530F5">
      <w:pPr>
        <w:rPr>
          <w:rFonts w:hint="eastAsia" w:ascii="宋体" w:hAnsi="宋体"/>
          <w:color w:val="auto"/>
          <w:szCs w:val="21"/>
          <w:highlight w:val="none"/>
        </w:rPr>
      </w:pPr>
    </w:p>
    <w:p w14:paraId="29FB6F1D">
      <w:pPr>
        <w:pStyle w:val="13"/>
        <w:rPr>
          <w:rFonts w:hint="eastAsia"/>
          <w:color w:val="auto"/>
          <w:sz w:val="21"/>
          <w:szCs w:val="21"/>
          <w:highlight w:val="none"/>
        </w:rPr>
      </w:pPr>
    </w:p>
    <w:p w14:paraId="1A05C39D">
      <w:pPr>
        <w:rPr>
          <w:rFonts w:hint="eastAsia" w:ascii="宋体" w:hAnsi="宋体"/>
          <w:color w:val="auto"/>
          <w:szCs w:val="21"/>
          <w:highlight w:val="none"/>
        </w:rPr>
      </w:pPr>
    </w:p>
    <w:p w14:paraId="5B9AB15D">
      <w:pPr>
        <w:rPr>
          <w:rFonts w:hint="eastAsia" w:ascii="宋体" w:hAnsi="宋体"/>
          <w:color w:val="auto"/>
          <w:szCs w:val="21"/>
          <w:highlight w:val="none"/>
        </w:rPr>
      </w:pPr>
      <w:bookmarkStart w:id="163" w:name="_Toc8279"/>
      <w:r>
        <w:rPr>
          <w:rFonts w:hint="eastAsia" w:ascii="宋体" w:hAnsi="宋体"/>
          <w:color w:val="auto"/>
          <w:szCs w:val="21"/>
          <w:highlight w:val="none"/>
        </w:rPr>
        <w:br w:type="page"/>
      </w:r>
    </w:p>
    <w:p w14:paraId="68C37421">
      <w:pPr>
        <w:pStyle w:val="8"/>
        <w:widowControl w:val="0"/>
        <w:overflowPunct w:val="0"/>
        <w:spacing w:line="240" w:lineRule="auto"/>
        <w:rPr>
          <w:rFonts w:hint="eastAsia" w:ascii="宋体" w:hAnsi="宋体"/>
          <w:color w:val="auto"/>
          <w:sz w:val="21"/>
          <w:szCs w:val="21"/>
          <w:highlight w:val="none"/>
        </w:rPr>
      </w:pPr>
      <w:bookmarkStart w:id="164" w:name="_Toc182308043"/>
      <w:r>
        <w:rPr>
          <w:rFonts w:hint="eastAsia" w:ascii="宋体" w:hAnsi="宋体"/>
          <w:color w:val="auto"/>
          <w:sz w:val="21"/>
          <w:szCs w:val="21"/>
          <w:highlight w:val="none"/>
        </w:rPr>
        <w:t>附件11.商务需求条款偏离表格式</w:t>
      </w:r>
      <w:bookmarkEnd w:id="163"/>
      <w:bookmarkEnd w:id="164"/>
    </w:p>
    <w:p w14:paraId="1C7A599F">
      <w:pPr>
        <w:jc w:val="center"/>
        <w:rPr>
          <w:rFonts w:ascii="黑体" w:eastAsia="黑体"/>
          <w:color w:val="auto"/>
          <w:sz w:val="28"/>
          <w:szCs w:val="28"/>
          <w:highlight w:val="none"/>
        </w:rPr>
      </w:pPr>
    </w:p>
    <w:p w14:paraId="145A20EB">
      <w:pPr>
        <w:jc w:val="center"/>
        <w:rPr>
          <w:rFonts w:ascii="黑体" w:eastAsia="黑体"/>
          <w:color w:val="auto"/>
          <w:sz w:val="28"/>
          <w:szCs w:val="28"/>
          <w:highlight w:val="none"/>
        </w:rPr>
      </w:pPr>
      <w:r>
        <w:rPr>
          <w:rFonts w:hint="eastAsia" w:ascii="黑体" w:eastAsia="黑体"/>
          <w:color w:val="auto"/>
          <w:sz w:val="28"/>
          <w:szCs w:val="28"/>
          <w:highlight w:val="none"/>
        </w:rPr>
        <w:t>商务需求条款偏离表</w:t>
      </w:r>
    </w:p>
    <w:tbl>
      <w:tblPr>
        <w:tblStyle w:val="29"/>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40BB9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1FE7702D">
            <w:pPr>
              <w:jc w:val="center"/>
              <w:rPr>
                <w:rFonts w:hint="eastAsia" w:ascii="宋体" w:hAnsi="宋体"/>
                <w:color w:val="auto"/>
                <w:szCs w:val="21"/>
                <w:highlight w:val="none"/>
              </w:rPr>
            </w:pPr>
            <w:r>
              <w:rPr>
                <w:rFonts w:hint="eastAsia" w:ascii="宋体" w:hAnsi="宋体"/>
                <w:color w:val="auto"/>
                <w:szCs w:val="21"/>
                <w:highlight w:val="none"/>
              </w:rPr>
              <w:t>序号</w:t>
            </w:r>
          </w:p>
        </w:tc>
        <w:tc>
          <w:tcPr>
            <w:tcW w:w="1620" w:type="dxa"/>
            <w:vAlign w:val="center"/>
          </w:tcPr>
          <w:p w14:paraId="44607E6D">
            <w:pPr>
              <w:jc w:val="center"/>
              <w:rPr>
                <w:rFonts w:hint="eastAsia" w:ascii="宋体" w:hAnsi="宋体"/>
                <w:color w:val="auto"/>
                <w:szCs w:val="21"/>
                <w:highlight w:val="none"/>
              </w:rPr>
            </w:pPr>
            <w:r>
              <w:rPr>
                <w:rFonts w:hint="eastAsia" w:ascii="宋体" w:hAnsi="宋体"/>
                <w:color w:val="auto"/>
                <w:szCs w:val="21"/>
                <w:highlight w:val="none"/>
              </w:rPr>
              <w:t>服务项目名称</w:t>
            </w:r>
          </w:p>
        </w:tc>
        <w:tc>
          <w:tcPr>
            <w:tcW w:w="1360" w:type="dxa"/>
            <w:vAlign w:val="center"/>
          </w:tcPr>
          <w:p w14:paraId="197B2AD4">
            <w:pPr>
              <w:jc w:val="center"/>
              <w:rPr>
                <w:rFonts w:hint="eastAsia" w:ascii="宋体" w:hAnsi="宋体"/>
                <w:color w:val="auto"/>
                <w:szCs w:val="21"/>
                <w:highlight w:val="none"/>
              </w:rPr>
            </w:pPr>
            <w:r>
              <w:rPr>
                <w:rFonts w:hint="eastAsia" w:ascii="宋体" w:hAnsi="宋体"/>
                <w:color w:val="auto"/>
                <w:szCs w:val="21"/>
                <w:highlight w:val="none"/>
              </w:rPr>
              <w:t>采购要求</w:t>
            </w:r>
          </w:p>
        </w:tc>
        <w:tc>
          <w:tcPr>
            <w:tcW w:w="1587" w:type="dxa"/>
            <w:vAlign w:val="center"/>
          </w:tcPr>
          <w:p w14:paraId="1CC20FC8">
            <w:pPr>
              <w:jc w:val="center"/>
              <w:rPr>
                <w:rFonts w:hint="eastAsia" w:ascii="宋体" w:hAnsi="宋体"/>
                <w:color w:val="auto"/>
                <w:szCs w:val="21"/>
                <w:highlight w:val="none"/>
              </w:rPr>
            </w:pPr>
            <w:r>
              <w:rPr>
                <w:rFonts w:hint="eastAsia" w:ascii="宋体" w:hAnsi="宋体"/>
                <w:color w:val="auto"/>
                <w:szCs w:val="21"/>
                <w:highlight w:val="none"/>
              </w:rPr>
              <w:t>投标实际响应</w:t>
            </w:r>
          </w:p>
        </w:tc>
        <w:tc>
          <w:tcPr>
            <w:tcW w:w="1133" w:type="dxa"/>
            <w:vAlign w:val="center"/>
          </w:tcPr>
          <w:p w14:paraId="5464158A">
            <w:pPr>
              <w:jc w:val="center"/>
              <w:rPr>
                <w:rFonts w:hint="eastAsia" w:ascii="宋体" w:hAnsi="宋体"/>
                <w:color w:val="auto"/>
                <w:szCs w:val="21"/>
                <w:highlight w:val="none"/>
              </w:rPr>
            </w:pPr>
            <w:r>
              <w:rPr>
                <w:rFonts w:hint="eastAsia" w:ascii="宋体" w:hAnsi="宋体"/>
                <w:color w:val="auto"/>
                <w:szCs w:val="21"/>
                <w:highlight w:val="none"/>
              </w:rPr>
              <w:t>是否偏离</w:t>
            </w:r>
          </w:p>
        </w:tc>
        <w:tc>
          <w:tcPr>
            <w:tcW w:w="1730" w:type="dxa"/>
            <w:vAlign w:val="center"/>
          </w:tcPr>
          <w:p w14:paraId="36229922">
            <w:pPr>
              <w:jc w:val="center"/>
              <w:rPr>
                <w:rFonts w:hint="eastAsia" w:ascii="宋体" w:hAnsi="宋体"/>
                <w:color w:val="auto"/>
                <w:szCs w:val="21"/>
                <w:highlight w:val="none"/>
              </w:rPr>
            </w:pPr>
            <w:r>
              <w:rPr>
                <w:rFonts w:hint="eastAsia" w:ascii="宋体" w:hAnsi="宋体"/>
                <w:color w:val="auto"/>
                <w:szCs w:val="21"/>
                <w:highlight w:val="none"/>
              </w:rPr>
              <w:t>说明</w:t>
            </w:r>
          </w:p>
        </w:tc>
      </w:tr>
      <w:tr w14:paraId="55CFE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0FE2CE2">
            <w:pPr>
              <w:jc w:val="center"/>
              <w:rPr>
                <w:rFonts w:hint="eastAsia" w:ascii="宋体" w:hAnsi="宋体"/>
                <w:color w:val="auto"/>
                <w:szCs w:val="21"/>
                <w:highlight w:val="none"/>
              </w:rPr>
            </w:pPr>
          </w:p>
        </w:tc>
        <w:tc>
          <w:tcPr>
            <w:tcW w:w="1620" w:type="dxa"/>
            <w:vAlign w:val="center"/>
          </w:tcPr>
          <w:p w14:paraId="4035F2CE">
            <w:pPr>
              <w:jc w:val="center"/>
              <w:rPr>
                <w:rFonts w:hint="eastAsia" w:ascii="宋体" w:hAnsi="宋体"/>
                <w:color w:val="auto"/>
                <w:szCs w:val="21"/>
                <w:highlight w:val="none"/>
              </w:rPr>
            </w:pPr>
          </w:p>
        </w:tc>
        <w:tc>
          <w:tcPr>
            <w:tcW w:w="1360" w:type="dxa"/>
            <w:vAlign w:val="center"/>
          </w:tcPr>
          <w:p w14:paraId="0CC4D1DC">
            <w:pPr>
              <w:jc w:val="center"/>
              <w:rPr>
                <w:rFonts w:hint="eastAsia" w:ascii="宋体" w:hAnsi="宋体"/>
                <w:color w:val="auto"/>
                <w:szCs w:val="21"/>
                <w:highlight w:val="none"/>
              </w:rPr>
            </w:pPr>
          </w:p>
        </w:tc>
        <w:tc>
          <w:tcPr>
            <w:tcW w:w="1587" w:type="dxa"/>
            <w:vAlign w:val="center"/>
          </w:tcPr>
          <w:p w14:paraId="425C3A03">
            <w:pPr>
              <w:jc w:val="center"/>
              <w:rPr>
                <w:rFonts w:hint="eastAsia" w:ascii="宋体" w:hAnsi="宋体"/>
                <w:color w:val="auto"/>
                <w:szCs w:val="21"/>
                <w:highlight w:val="none"/>
              </w:rPr>
            </w:pPr>
          </w:p>
        </w:tc>
        <w:tc>
          <w:tcPr>
            <w:tcW w:w="1133" w:type="dxa"/>
            <w:vAlign w:val="center"/>
          </w:tcPr>
          <w:p w14:paraId="0C49B272">
            <w:pPr>
              <w:jc w:val="center"/>
              <w:rPr>
                <w:rFonts w:hint="eastAsia" w:ascii="宋体" w:hAnsi="宋体"/>
                <w:color w:val="auto"/>
                <w:szCs w:val="21"/>
                <w:highlight w:val="none"/>
              </w:rPr>
            </w:pPr>
          </w:p>
        </w:tc>
        <w:tc>
          <w:tcPr>
            <w:tcW w:w="1730" w:type="dxa"/>
            <w:vAlign w:val="center"/>
          </w:tcPr>
          <w:p w14:paraId="110142C4">
            <w:pPr>
              <w:jc w:val="center"/>
              <w:rPr>
                <w:rFonts w:hint="eastAsia" w:ascii="宋体" w:hAnsi="宋体"/>
                <w:color w:val="auto"/>
                <w:szCs w:val="21"/>
                <w:highlight w:val="none"/>
              </w:rPr>
            </w:pPr>
          </w:p>
        </w:tc>
      </w:tr>
      <w:tr w14:paraId="59215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3DE4992">
            <w:pPr>
              <w:jc w:val="center"/>
              <w:rPr>
                <w:rFonts w:hint="eastAsia" w:ascii="宋体" w:hAnsi="宋体"/>
                <w:color w:val="auto"/>
                <w:szCs w:val="21"/>
                <w:highlight w:val="none"/>
              </w:rPr>
            </w:pPr>
          </w:p>
        </w:tc>
        <w:tc>
          <w:tcPr>
            <w:tcW w:w="1620" w:type="dxa"/>
            <w:vAlign w:val="center"/>
          </w:tcPr>
          <w:p w14:paraId="3922230A">
            <w:pPr>
              <w:jc w:val="center"/>
              <w:rPr>
                <w:rFonts w:hint="eastAsia" w:ascii="宋体" w:hAnsi="宋体"/>
                <w:color w:val="auto"/>
                <w:szCs w:val="21"/>
                <w:highlight w:val="none"/>
              </w:rPr>
            </w:pPr>
          </w:p>
        </w:tc>
        <w:tc>
          <w:tcPr>
            <w:tcW w:w="1360" w:type="dxa"/>
            <w:vAlign w:val="center"/>
          </w:tcPr>
          <w:p w14:paraId="4FD27588">
            <w:pPr>
              <w:jc w:val="center"/>
              <w:rPr>
                <w:rFonts w:hint="eastAsia" w:ascii="宋体" w:hAnsi="宋体"/>
                <w:color w:val="auto"/>
                <w:szCs w:val="21"/>
                <w:highlight w:val="none"/>
              </w:rPr>
            </w:pPr>
          </w:p>
        </w:tc>
        <w:tc>
          <w:tcPr>
            <w:tcW w:w="1587" w:type="dxa"/>
            <w:vAlign w:val="center"/>
          </w:tcPr>
          <w:p w14:paraId="17D22D1C">
            <w:pPr>
              <w:jc w:val="center"/>
              <w:rPr>
                <w:rFonts w:hint="eastAsia" w:ascii="宋体" w:hAnsi="宋体"/>
                <w:color w:val="auto"/>
                <w:szCs w:val="21"/>
                <w:highlight w:val="none"/>
              </w:rPr>
            </w:pPr>
          </w:p>
        </w:tc>
        <w:tc>
          <w:tcPr>
            <w:tcW w:w="1133" w:type="dxa"/>
            <w:vAlign w:val="center"/>
          </w:tcPr>
          <w:p w14:paraId="552B30D7">
            <w:pPr>
              <w:jc w:val="center"/>
              <w:rPr>
                <w:rFonts w:hint="eastAsia" w:ascii="宋体" w:hAnsi="宋体"/>
                <w:color w:val="auto"/>
                <w:szCs w:val="21"/>
                <w:highlight w:val="none"/>
              </w:rPr>
            </w:pPr>
          </w:p>
        </w:tc>
        <w:tc>
          <w:tcPr>
            <w:tcW w:w="1730" w:type="dxa"/>
            <w:vAlign w:val="center"/>
          </w:tcPr>
          <w:p w14:paraId="58A8B049">
            <w:pPr>
              <w:jc w:val="center"/>
              <w:rPr>
                <w:rFonts w:hint="eastAsia" w:ascii="宋体" w:hAnsi="宋体"/>
                <w:color w:val="auto"/>
                <w:szCs w:val="21"/>
                <w:highlight w:val="none"/>
              </w:rPr>
            </w:pPr>
          </w:p>
        </w:tc>
      </w:tr>
      <w:tr w14:paraId="48B24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65AD874">
            <w:pPr>
              <w:jc w:val="center"/>
              <w:rPr>
                <w:rFonts w:hint="eastAsia" w:ascii="宋体" w:hAnsi="宋体"/>
                <w:color w:val="auto"/>
                <w:szCs w:val="21"/>
                <w:highlight w:val="none"/>
              </w:rPr>
            </w:pPr>
          </w:p>
        </w:tc>
        <w:tc>
          <w:tcPr>
            <w:tcW w:w="1620" w:type="dxa"/>
            <w:vAlign w:val="center"/>
          </w:tcPr>
          <w:p w14:paraId="1E0893D1">
            <w:pPr>
              <w:jc w:val="center"/>
              <w:rPr>
                <w:rFonts w:hint="eastAsia" w:ascii="宋体" w:hAnsi="宋体"/>
                <w:color w:val="auto"/>
                <w:szCs w:val="21"/>
                <w:highlight w:val="none"/>
              </w:rPr>
            </w:pPr>
          </w:p>
        </w:tc>
        <w:tc>
          <w:tcPr>
            <w:tcW w:w="1360" w:type="dxa"/>
            <w:vAlign w:val="center"/>
          </w:tcPr>
          <w:p w14:paraId="47DC86F8">
            <w:pPr>
              <w:jc w:val="center"/>
              <w:rPr>
                <w:rFonts w:hint="eastAsia" w:ascii="宋体" w:hAnsi="宋体"/>
                <w:color w:val="auto"/>
                <w:szCs w:val="21"/>
                <w:highlight w:val="none"/>
              </w:rPr>
            </w:pPr>
          </w:p>
        </w:tc>
        <w:tc>
          <w:tcPr>
            <w:tcW w:w="1587" w:type="dxa"/>
            <w:vAlign w:val="center"/>
          </w:tcPr>
          <w:p w14:paraId="109E9155">
            <w:pPr>
              <w:jc w:val="center"/>
              <w:rPr>
                <w:rFonts w:hint="eastAsia" w:ascii="宋体" w:hAnsi="宋体"/>
                <w:color w:val="auto"/>
                <w:szCs w:val="21"/>
                <w:highlight w:val="none"/>
              </w:rPr>
            </w:pPr>
          </w:p>
        </w:tc>
        <w:tc>
          <w:tcPr>
            <w:tcW w:w="1133" w:type="dxa"/>
            <w:vAlign w:val="center"/>
          </w:tcPr>
          <w:p w14:paraId="6E4A6BBE">
            <w:pPr>
              <w:jc w:val="center"/>
              <w:rPr>
                <w:rFonts w:hint="eastAsia" w:ascii="宋体" w:hAnsi="宋体"/>
                <w:color w:val="auto"/>
                <w:szCs w:val="21"/>
                <w:highlight w:val="none"/>
              </w:rPr>
            </w:pPr>
          </w:p>
        </w:tc>
        <w:tc>
          <w:tcPr>
            <w:tcW w:w="1730" w:type="dxa"/>
            <w:vAlign w:val="center"/>
          </w:tcPr>
          <w:p w14:paraId="084E33A2">
            <w:pPr>
              <w:jc w:val="center"/>
              <w:rPr>
                <w:rFonts w:hint="eastAsia" w:ascii="宋体" w:hAnsi="宋体"/>
                <w:color w:val="auto"/>
                <w:szCs w:val="21"/>
                <w:highlight w:val="none"/>
              </w:rPr>
            </w:pPr>
          </w:p>
        </w:tc>
      </w:tr>
      <w:tr w14:paraId="66754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6675D33">
            <w:pPr>
              <w:jc w:val="center"/>
              <w:rPr>
                <w:rFonts w:hint="eastAsia" w:ascii="宋体" w:hAnsi="宋体"/>
                <w:color w:val="auto"/>
                <w:szCs w:val="21"/>
                <w:highlight w:val="none"/>
              </w:rPr>
            </w:pPr>
          </w:p>
        </w:tc>
        <w:tc>
          <w:tcPr>
            <w:tcW w:w="1620" w:type="dxa"/>
            <w:vAlign w:val="center"/>
          </w:tcPr>
          <w:p w14:paraId="3300C01F">
            <w:pPr>
              <w:jc w:val="center"/>
              <w:rPr>
                <w:rFonts w:hint="eastAsia" w:ascii="宋体" w:hAnsi="宋体"/>
                <w:color w:val="auto"/>
                <w:szCs w:val="21"/>
                <w:highlight w:val="none"/>
              </w:rPr>
            </w:pPr>
          </w:p>
        </w:tc>
        <w:tc>
          <w:tcPr>
            <w:tcW w:w="1360" w:type="dxa"/>
            <w:vAlign w:val="center"/>
          </w:tcPr>
          <w:p w14:paraId="638129E8">
            <w:pPr>
              <w:jc w:val="center"/>
              <w:rPr>
                <w:rFonts w:hint="eastAsia" w:ascii="宋体" w:hAnsi="宋体"/>
                <w:color w:val="auto"/>
                <w:szCs w:val="21"/>
                <w:highlight w:val="none"/>
              </w:rPr>
            </w:pPr>
          </w:p>
        </w:tc>
        <w:tc>
          <w:tcPr>
            <w:tcW w:w="1587" w:type="dxa"/>
            <w:vAlign w:val="center"/>
          </w:tcPr>
          <w:p w14:paraId="5ABECB2E">
            <w:pPr>
              <w:jc w:val="center"/>
              <w:rPr>
                <w:rFonts w:hint="eastAsia" w:ascii="宋体" w:hAnsi="宋体"/>
                <w:color w:val="auto"/>
                <w:szCs w:val="21"/>
                <w:highlight w:val="none"/>
              </w:rPr>
            </w:pPr>
          </w:p>
        </w:tc>
        <w:tc>
          <w:tcPr>
            <w:tcW w:w="1133" w:type="dxa"/>
            <w:vAlign w:val="center"/>
          </w:tcPr>
          <w:p w14:paraId="2C391A78">
            <w:pPr>
              <w:jc w:val="center"/>
              <w:rPr>
                <w:rFonts w:hint="eastAsia" w:ascii="宋体" w:hAnsi="宋体"/>
                <w:color w:val="auto"/>
                <w:szCs w:val="21"/>
                <w:highlight w:val="none"/>
              </w:rPr>
            </w:pPr>
          </w:p>
        </w:tc>
        <w:tc>
          <w:tcPr>
            <w:tcW w:w="1730" w:type="dxa"/>
            <w:vAlign w:val="center"/>
          </w:tcPr>
          <w:p w14:paraId="2026D4A3">
            <w:pPr>
              <w:jc w:val="center"/>
              <w:rPr>
                <w:rFonts w:hint="eastAsia" w:ascii="宋体" w:hAnsi="宋体"/>
                <w:color w:val="auto"/>
                <w:szCs w:val="21"/>
                <w:highlight w:val="none"/>
              </w:rPr>
            </w:pPr>
          </w:p>
        </w:tc>
      </w:tr>
      <w:tr w14:paraId="03989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690CEC8">
            <w:pPr>
              <w:jc w:val="center"/>
              <w:rPr>
                <w:rFonts w:hint="eastAsia" w:ascii="宋体" w:hAnsi="宋体"/>
                <w:color w:val="auto"/>
                <w:szCs w:val="21"/>
                <w:highlight w:val="none"/>
              </w:rPr>
            </w:pPr>
          </w:p>
        </w:tc>
        <w:tc>
          <w:tcPr>
            <w:tcW w:w="1620" w:type="dxa"/>
            <w:vAlign w:val="center"/>
          </w:tcPr>
          <w:p w14:paraId="6BD4861D">
            <w:pPr>
              <w:jc w:val="center"/>
              <w:rPr>
                <w:rFonts w:hint="eastAsia" w:ascii="宋体" w:hAnsi="宋体"/>
                <w:color w:val="auto"/>
                <w:szCs w:val="21"/>
                <w:highlight w:val="none"/>
              </w:rPr>
            </w:pPr>
          </w:p>
        </w:tc>
        <w:tc>
          <w:tcPr>
            <w:tcW w:w="1360" w:type="dxa"/>
            <w:vAlign w:val="center"/>
          </w:tcPr>
          <w:p w14:paraId="7A7658B1">
            <w:pPr>
              <w:jc w:val="center"/>
              <w:rPr>
                <w:rFonts w:hint="eastAsia" w:ascii="宋体" w:hAnsi="宋体"/>
                <w:color w:val="auto"/>
                <w:szCs w:val="21"/>
                <w:highlight w:val="none"/>
              </w:rPr>
            </w:pPr>
          </w:p>
        </w:tc>
        <w:tc>
          <w:tcPr>
            <w:tcW w:w="1587" w:type="dxa"/>
            <w:vAlign w:val="center"/>
          </w:tcPr>
          <w:p w14:paraId="1CC7F87E">
            <w:pPr>
              <w:jc w:val="center"/>
              <w:rPr>
                <w:rFonts w:hint="eastAsia" w:ascii="宋体" w:hAnsi="宋体"/>
                <w:color w:val="auto"/>
                <w:szCs w:val="21"/>
                <w:highlight w:val="none"/>
              </w:rPr>
            </w:pPr>
          </w:p>
        </w:tc>
        <w:tc>
          <w:tcPr>
            <w:tcW w:w="1133" w:type="dxa"/>
            <w:vAlign w:val="center"/>
          </w:tcPr>
          <w:p w14:paraId="15CF7F86">
            <w:pPr>
              <w:jc w:val="center"/>
              <w:rPr>
                <w:rFonts w:hint="eastAsia" w:ascii="宋体" w:hAnsi="宋体"/>
                <w:color w:val="auto"/>
                <w:szCs w:val="21"/>
                <w:highlight w:val="none"/>
              </w:rPr>
            </w:pPr>
          </w:p>
        </w:tc>
        <w:tc>
          <w:tcPr>
            <w:tcW w:w="1730" w:type="dxa"/>
            <w:vAlign w:val="center"/>
          </w:tcPr>
          <w:p w14:paraId="0BBCA847">
            <w:pPr>
              <w:jc w:val="center"/>
              <w:rPr>
                <w:rFonts w:hint="eastAsia" w:ascii="宋体" w:hAnsi="宋体"/>
                <w:color w:val="auto"/>
                <w:szCs w:val="21"/>
                <w:highlight w:val="none"/>
              </w:rPr>
            </w:pPr>
          </w:p>
        </w:tc>
      </w:tr>
      <w:tr w14:paraId="03B1E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6C076C2">
            <w:pPr>
              <w:jc w:val="center"/>
              <w:rPr>
                <w:rFonts w:hint="eastAsia" w:ascii="宋体" w:hAnsi="宋体"/>
                <w:color w:val="auto"/>
                <w:szCs w:val="21"/>
                <w:highlight w:val="none"/>
              </w:rPr>
            </w:pPr>
          </w:p>
        </w:tc>
        <w:tc>
          <w:tcPr>
            <w:tcW w:w="1620" w:type="dxa"/>
            <w:vAlign w:val="center"/>
          </w:tcPr>
          <w:p w14:paraId="64C50D92">
            <w:pPr>
              <w:jc w:val="center"/>
              <w:rPr>
                <w:rFonts w:hint="eastAsia" w:ascii="宋体" w:hAnsi="宋体"/>
                <w:color w:val="auto"/>
                <w:szCs w:val="21"/>
                <w:highlight w:val="none"/>
              </w:rPr>
            </w:pPr>
          </w:p>
        </w:tc>
        <w:tc>
          <w:tcPr>
            <w:tcW w:w="1360" w:type="dxa"/>
            <w:vAlign w:val="center"/>
          </w:tcPr>
          <w:p w14:paraId="58AE2387">
            <w:pPr>
              <w:jc w:val="center"/>
              <w:rPr>
                <w:rFonts w:hint="eastAsia" w:ascii="宋体" w:hAnsi="宋体"/>
                <w:color w:val="auto"/>
                <w:szCs w:val="21"/>
                <w:highlight w:val="none"/>
              </w:rPr>
            </w:pPr>
          </w:p>
        </w:tc>
        <w:tc>
          <w:tcPr>
            <w:tcW w:w="1587" w:type="dxa"/>
            <w:vAlign w:val="center"/>
          </w:tcPr>
          <w:p w14:paraId="2B00E7C7">
            <w:pPr>
              <w:jc w:val="center"/>
              <w:rPr>
                <w:rFonts w:hint="eastAsia" w:ascii="宋体" w:hAnsi="宋体"/>
                <w:color w:val="auto"/>
                <w:szCs w:val="21"/>
                <w:highlight w:val="none"/>
              </w:rPr>
            </w:pPr>
          </w:p>
        </w:tc>
        <w:tc>
          <w:tcPr>
            <w:tcW w:w="1133" w:type="dxa"/>
            <w:vAlign w:val="center"/>
          </w:tcPr>
          <w:p w14:paraId="53DE7BB5">
            <w:pPr>
              <w:jc w:val="center"/>
              <w:rPr>
                <w:rFonts w:hint="eastAsia" w:ascii="宋体" w:hAnsi="宋体"/>
                <w:color w:val="auto"/>
                <w:szCs w:val="21"/>
                <w:highlight w:val="none"/>
              </w:rPr>
            </w:pPr>
          </w:p>
        </w:tc>
        <w:tc>
          <w:tcPr>
            <w:tcW w:w="1730" w:type="dxa"/>
            <w:vAlign w:val="center"/>
          </w:tcPr>
          <w:p w14:paraId="10EFE475">
            <w:pPr>
              <w:jc w:val="center"/>
              <w:rPr>
                <w:rFonts w:hint="eastAsia" w:ascii="宋体" w:hAnsi="宋体"/>
                <w:color w:val="auto"/>
                <w:szCs w:val="21"/>
                <w:highlight w:val="none"/>
              </w:rPr>
            </w:pPr>
          </w:p>
        </w:tc>
      </w:tr>
      <w:tr w14:paraId="7E05D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2D99248">
            <w:pPr>
              <w:jc w:val="center"/>
              <w:rPr>
                <w:rFonts w:hint="eastAsia" w:ascii="宋体" w:hAnsi="宋体"/>
                <w:color w:val="auto"/>
                <w:szCs w:val="21"/>
                <w:highlight w:val="none"/>
              </w:rPr>
            </w:pPr>
          </w:p>
        </w:tc>
        <w:tc>
          <w:tcPr>
            <w:tcW w:w="1620" w:type="dxa"/>
            <w:vAlign w:val="center"/>
          </w:tcPr>
          <w:p w14:paraId="52A4A640">
            <w:pPr>
              <w:jc w:val="center"/>
              <w:rPr>
                <w:rFonts w:hint="eastAsia" w:ascii="宋体" w:hAnsi="宋体"/>
                <w:color w:val="auto"/>
                <w:szCs w:val="21"/>
                <w:highlight w:val="none"/>
              </w:rPr>
            </w:pPr>
          </w:p>
        </w:tc>
        <w:tc>
          <w:tcPr>
            <w:tcW w:w="1360" w:type="dxa"/>
            <w:vAlign w:val="center"/>
          </w:tcPr>
          <w:p w14:paraId="27217FF6">
            <w:pPr>
              <w:jc w:val="center"/>
              <w:rPr>
                <w:rFonts w:hint="eastAsia" w:ascii="宋体" w:hAnsi="宋体"/>
                <w:color w:val="auto"/>
                <w:szCs w:val="21"/>
                <w:highlight w:val="none"/>
              </w:rPr>
            </w:pPr>
          </w:p>
        </w:tc>
        <w:tc>
          <w:tcPr>
            <w:tcW w:w="1587" w:type="dxa"/>
            <w:vAlign w:val="center"/>
          </w:tcPr>
          <w:p w14:paraId="7994FE05">
            <w:pPr>
              <w:jc w:val="center"/>
              <w:rPr>
                <w:rFonts w:hint="eastAsia" w:ascii="宋体" w:hAnsi="宋体"/>
                <w:color w:val="auto"/>
                <w:szCs w:val="21"/>
                <w:highlight w:val="none"/>
              </w:rPr>
            </w:pPr>
          </w:p>
        </w:tc>
        <w:tc>
          <w:tcPr>
            <w:tcW w:w="1133" w:type="dxa"/>
            <w:vAlign w:val="center"/>
          </w:tcPr>
          <w:p w14:paraId="739F1944">
            <w:pPr>
              <w:jc w:val="center"/>
              <w:rPr>
                <w:rFonts w:hint="eastAsia" w:ascii="宋体" w:hAnsi="宋体"/>
                <w:color w:val="auto"/>
                <w:szCs w:val="21"/>
                <w:highlight w:val="none"/>
              </w:rPr>
            </w:pPr>
          </w:p>
        </w:tc>
        <w:tc>
          <w:tcPr>
            <w:tcW w:w="1730" w:type="dxa"/>
            <w:vAlign w:val="center"/>
          </w:tcPr>
          <w:p w14:paraId="75265162">
            <w:pPr>
              <w:jc w:val="center"/>
              <w:rPr>
                <w:rFonts w:hint="eastAsia" w:ascii="宋体" w:hAnsi="宋体"/>
                <w:color w:val="auto"/>
                <w:szCs w:val="21"/>
                <w:highlight w:val="none"/>
              </w:rPr>
            </w:pPr>
          </w:p>
        </w:tc>
      </w:tr>
      <w:tr w14:paraId="25D2C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8A604BF">
            <w:pPr>
              <w:jc w:val="center"/>
              <w:rPr>
                <w:rFonts w:hint="eastAsia" w:ascii="宋体" w:hAnsi="宋体"/>
                <w:color w:val="auto"/>
                <w:szCs w:val="21"/>
                <w:highlight w:val="none"/>
              </w:rPr>
            </w:pPr>
          </w:p>
        </w:tc>
        <w:tc>
          <w:tcPr>
            <w:tcW w:w="1620" w:type="dxa"/>
            <w:vAlign w:val="center"/>
          </w:tcPr>
          <w:p w14:paraId="760470F0">
            <w:pPr>
              <w:jc w:val="center"/>
              <w:rPr>
                <w:rFonts w:hint="eastAsia" w:ascii="宋体" w:hAnsi="宋体"/>
                <w:color w:val="auto"/>
                <w:szCs w:val="21"/>
                <w:highlight w:val="none"/>
              </w:rPr>
            </w:pPr>
          </w:p>
        </w:tc>
        <w:tc>
          <w:tcPr>
            <w:tcW w:w="1360" w:type="dxa"/>
            <w:vAlign w:val="center"/>
          </w:tcPr>
          <w:p w14:paraId="76AA2A86">
            <w:pPr>
              <w:jc w:val="center"/>
              <w:rPr>
                <w:rFonts w:hint="eastAsia" w:ascii="宋体" w:hAnsi="宋体"/>
                <w:color w:val="auto"/>
                <w:szCs w:val="21"/>
                <w:highlight w:val="none"/>
              </w:rPr>
            </w:pPr>
          </w:p>
        </w:tc>
        <w:tc>
          <w:tcPr>
            <w:tcW w:w="1587" w:type="dxa"/>
            <w:vAlign w:val="center"/>
          </w:tcPr>
          <w:p w14:paraId="2D74BE55">
            <w:pPr>
              <w:jc w:val="center"/>
              <w:rPr>
                <w:rFonts w:hint="eastAsia" w:ascii="宋体" w:hAnsi="宋体"/>
                <w:color w:val="auto"/>
                <w:szCs w:val="21"/>
                <w:highlight w:val="none"/>
              </w:rPr>
            </w:pPr>
          </w:p>
        </w:tc>
        <w:tc>
          <w:tcPr>
            <w:tcW w:w="1133" w:type="dxa"/>
            <w:vAlign w:val="center"/>
          </w:tcPr>
          <w:p w14:paraId="2C6C673E">
            <w:pPr>
              <w:jc w:val="center"/>
              <w:rPr>
                <w:rFonts w:hint="eastAsia" w:ascii="宋体" w:hAnsi="宋体"/>
                <w:color w:val="auto"/>
                <w:szCs w:val="21"/>
                <w:highlight w:val="none"/>
              </w:rPr>
            </w:pPr>
          </w:p>
        </w:tc>
        <w:tc>
          <w:tcPr>
            <w:tcW w:w="1730" w:type="dxa"/>
            <w:vAlign w:val="center"/>
          </w:tcPr>
          <w:p w14:paraId="6EFF54DC">
            <w:pPr>
              <w:jc w:val="center"/>
              <w:rPr>
                <w:rFonts w:hint="eastAsia" w:ascii="宋体" w:hAnsi="宋体"/>
                <w:color w:val="auto"/>
                <w:szCs w:val="21"/>
                <w:highlight w:val="none"/>
              </w:rPr>
            </w:pPr>
          </w:p>
        </w:tc>
      </w:tr>
      <w:tr w14:paraId="46CC1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AF05DEF">
            <w:pPr>
              <w:jc w:val="center"/>
              <w:rPr>
                <w:rFonts w:hint="eastAsia" w:ascii="宋体" w:hAnsi="宋体"/>
                <w:color w:val="auto"/>
                <w:szCs w:val="21"/>
                <w:highlight w:val="none"/>
              </w:rPr>
            </w:pPr>
          </w:p>
        </w:tc>
        <w:tc>
          <w:tcPr>
            <w:tcW w:w="1620" w:type="dxa"/>
            <w:vAlign w:val="center"/>
          </w:tcPr>
          <w:p w14:paraId="4DA99791">
            <w:pPr>
              <w:jc w:val="center"/>
              <w:rPr>
                <w:rFonts w:hint="eastAsia" w:ascii="宋体" w:hAnsi="宋体"/>
                <w:color w:val="auto"/>
                <w:szCs w:val="21"/>
                <w:highlight w:val="none"/>
              </w:rPr>
            </w:pPr>
          </w:p>
        </w:tc>
        <w:tc>
          <w:tcPr>
            <w:tcW w:w="1360" w:type="dxa"/>
            <w:vAlign w:val="center"/>
          </w:tcPr>
          <w:p w14:paraId="33EB24C2">
            <w:pPr>
              <w:jc w:val="center"/>
              <w:rPr>
                <w:rFonts w:hint="eastAsia" w:ascii="宋体" w:hAnsi="宋体"/>
                <w:color w:val="auto"/>
                <w:szCs w:val="21"/>
                <w:highlight w:val="none"/>
              </w:rPr>
            </w:pPr>
          </w:p>
        </w:tc>
        <w:tc>
          <w:tcPr>
            <w:tcW w:w="1587" w:type="dxa"/>
            <w:vAlign w:val="center"/>
          </w:tcPr>
          <w:p w14:paraId="50E44738">
            <w:pPr>
              <w:jc w:val="center"/>
              <w:rPr>
                <w:rFonts w:hint="eastAsia" w:ascii="宋体" w:hAnsi="宋体"/>
                <w:color w:val="auto"/>
                <w:szCs w:val="21"/>
                <w:highlight w:val="none"/>
              </w:rPr>
            </w:pPr>
          </w:p>
        </w:tc>
        <w:tc>
          <w:tcPr>
            <w:tcW w:w="1133" w:type="dxa"/>
            <w:vAlign w:val="center"/>
          </w:tcPr>
          <w:p w14:paraId="31A06B77">
            <w:pPr>
              <w:jc w:val="center"/>
              <w:rPr>
                <w:rFonts w:hint="eastAsia" w:ascii="宋体" w:hAnsi="宋体"/>
                <w:color w:val="auto"/>
                <w:szCs w:val="21"/>
                <w:highlight w:val="none"/>
              </w:rPr>
            </w:pPr>
          </w:p>
        </w:tc>
        <w:tc>
          <w:tcPr>
            <w:tcW w:w="1730" w:type="dxa"/>
            <w:vAlign w:val="center"/>
          </w:tcPr>
          <w:p w14:paraId="62B6CADE">
            <w:pPr>
              <w:jc w:val="center"/>
              <w:rPr>
                <w:rFonts w:hint="eastAsia" w:ascii="宋体" w:hAnsi="宋体"/>
                <w:color w:val="auto"/>
                <w:szCs w:val="21"/>
                <w:highlight w:val="none"/>
              </w:rPr>
            </w:pPr>
          </w:p>
        </w:tc>
      </w:tr>
      <w:tr w14:paraId="53FA1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7449630">
            <w:pPr>
              <w:jc w:val="center"/>
              <w:rPr>
                <w:rFonts w:hint="eastAsia" w:ascii="宋体" w:hAnsi="宋体"/>
                <w:color w:val="auto"/>
                <w:szCs w:val="21"/>
                <w:highlight w:val="none"/>
              </w:rPr>
            </w:pPr>
          </w:p>
        </w:tc>
        <w:tc>
          <w:tcPr>
            <w:tcW w:w="1620" w:type="dxa"/>
            <w:vAlign w:val="center"/>
          </w:tcPr>
          <w:p w14:paraId="318255DF">
            <w:pPr>
              <w:jc w:val="center"/>
              <w:rPr>
                <w:rFonts w:hint="eastAsia" w:ascii="宋体" w:hAnsi="宋体"/>
                <w:color w:val="auto"/>
                <w:szCs w:val="21"/>
                <w:highlight w:val="none"/>
              </w:rPr>
            </w:pPr>
          </w:p>
        </w:tc>
        <w:tc>
          <w:tcPr>
            <w:tcW w:w="1360" w:type="dxa"/>
            <w:vAlign w:val="center"/>
          </w:tcPr>
          <w:p w14:paraId="2C827816">
            <w:pPr>
              <w:jc w:val="center"/>
              <w:rPr>
                <w:rFonts w:hint="eastAsia" w:ascii="宋体" w:hAnsi="宋体"/>
                <w:color w:val="auto"/>
                <w:szCs w:val="21"/>
                <w:highlight w:val="none"/>
              </w:rPr>
            </w:pPr>
          </w:p>
        </w:tc>
        <w:tc>
          <w:tcPr>
            <w:tcW w:w="1587" w:type="dxa"/>
            <w:vAlign w:val="center"/>
          </w:tcPr>
          <w:p w14:paraId="4FA520EE">
            <w:pPr>
              <w:jc w:val="center"/>
              <w:rPr>
                <w:rFonts w:hint="eastAsia" w:ascii="宋体" w:hAnsi="宋体"/>
                <w:color w:val="auto"/>
                <w:szCs w:val="21"/>
                <w:highlight w:val="none"/>
              </w:rPr>
            </w:pPr>
          </w:p>
        </w:tc>
        <w:tc>
          <w:tcPr>
            <w:tcW w:w="1133" w:type="dxa"/>
            <w:vAlign w:val="center"/>
          </w:tcPr>
          <w:p w14:paraId="547F609B">
            <w:pPr>
              <w:jc w:val="center"/>
              <w:rPr>
                <w:rFonts w:hint="eastAsia" w:ascii="宋体" w:hAnsi="宋体"/>
                <w:color w:val="auto"/>
                <w:szCs w:val="21"/>
                <w:highlight w:val="none"/>
              </w:rPr>
            </w:pPr>
          </w:p>
        </w:tc>
        <w:tc>
          <w:tcPr>
            <w:tcW w:w="1730" w:type="dxa"/>
            <w:vAlign w:val="center"/>
          </w:tcPr>
          <w:p w14:paraId="6C1F6FE4">
            <w:pPr>
              <w:jc w:val="center"/>
              <w:rPr>
                <w:rFonts w:hint="eastAsia" w:ascii="宋体" w:hAnsi="宋体"/>
                <w:color w:val="auto"/>
                <w:szCs w:val="21"/>
                <w:highlight w:val="none"/>
              </w:rPr>
            </w:pPr>
          </w:p>
        </w:tc>
      </w:tr>
    </w:tbl>
    <w:p w14:paraId="24063FE7">
      <w:pPr>
        <w:rPr>
          <w:rFonts w:hint="eastAsia" w:ascii="宋体" w:hAnsi="宋体"/>
          <w:color w:val="auto"/>
          <w:szCs w:val="21"/>
          <w:highlight w:val="none"/>
        </w:rPr>
      </w:pPr>
    </w:p>
    <w:p w14:paraId="43F05F55">
      <w:pPr>
        <w:rPr>
          <w:rFonts w:hint="eastAsia" w:ascii="宋体" w:hAnsi="宋体"/>
          <w:color w:val="auto"/>
          <w:szCs w:val="21"/>
          <w:highlight w:val="none"/>
        </w:rPr>
      </w:pPr>
      <w:r>
        <w:rPr>
          <w:rFonts w:hint="eastAsia" w:ascii="宋体" w:hAnsi="宋体"/>
          <w:color w:val="auto"/>
          <w:szCs w:val="21"/>
          <w:highlight w:val="none"/>
        </w:rPr>
        <w:t>投标人代表签字：</w:t>
      </w:r>
    </w:p>
    <w:p w14:paraId="737D2655">
      <w:pPr>
        <w:rPr>
          <w:rFonts w:hint="eastAsia" w:ascii="宋体" w:hAnsi="宋体"/>
          <w:color w:val="auto"/>
          <w:szCs w:val="21"/>
          <w:highlight w:val="none"/>
        </w:rPr>
      </w:pPr>
      <w:r>
        <w:rPr>
          <w:rFonts w:hint="eastAsia" w:ascii="宋体" w:hAnsi="宋体"/>
          <w:color w:val="auto"/>
          <w:szCs w:val="21"/>
          <w:highlight w:val="none"/>
        </w:rPr>
        <w:t>投标人盖章：</w:t>
      </w:r>
    </w:p>
    <w:p w14:paraId="1DA4C139">
      <w:pPr>
        <w:rPr>
          <w:rFonts w:hint="eastAsia" w:ascii="宋体" w:hAnsi="宋体"/>
          <w:color w:val="auto"/>
          <w:szCs w:val="21"/>
          <w:highlight w:val="none"/>
        </w:rPr>
      </w:pPr>
    </w:p>
    <w:p w14:paraId="64F00FD0">
      <w:pPr>
        <w:ind w:left="718" w:hanging="718" w:hangingChars="342"/>
        <w:rPr>
          <w:rFonts w:hint="eastAsia" w:ascii="宋体" w:hAnsi="宋体"/>
          <w:color w:val="auto"/>
          <w:szCs w:val="21"/>
          <w:highlight w:val="none"/>
        </w:rPr>
      </w:pPr>
      <w:r>
        <w:rPr>
          <w:rFonts w:hint="eastAsia" w:ascii="宋体" w:hAnsi="宋体"/>
          <w:color w:val="auto"/>
          <w:szCs w:val="21"/>
          <w:highlight w:val="none"/>
        </w:rPr>
        <w:t>注：</w:t>
      </w:r>
    </w:p>
    <w:p w14:paraId="30AD0B28">
      <w:pPr>
        <w:rPr>
          <w:rFonts w:hint="eastAsia" w:ascii="宋体" w:hAnsi="宋体"/>
          <w:color w:val="auto"/>
          <w:szCs w:val="21"/>
          <w:highlight w:val="none"/>
        </w:rPr>
      </w:pPr>
      <w:r>
        <w:rPr>
          <w:rFonts w:hint="eastAsia" w:ascii="宋体" w:hAnsi="宋体"/>
          <w:color w:val="auto"/>
          <w:szCs w:val="21"/>
          <w:highlight w:val="none"/>
        </w:rPr>
        <w:t>1、投标人应对照采购文件商务需求书中商务要求，说明已对采购文件的商务内容做出了实质性的响应。</w:t>
      </w:r>
    </w:p>
    <w:p w14:paraId="6A2F3DFF">
      <w:pPr>
        <w:rPr>
          <w:rFonts w:hint="eastAsia"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w:t>
      </w:r>
      <w:r>
        <w:rPr>
          <w:rFonts w:hint="eastAsia" w:ascii="宋体" w:hAnsi="宋体"/>
          <w:color w:val="auto"/>
          <w:szCs w:val="21"/>
          <w:highlight w:val="none"/>
        </w:rPr>
        <w:t>商务</w:t>
      </w:r>
      <w:r>
        <w:rPr>
          <w:rFonts w:hint="eastAsia" w:hAnsi="宋体" w:cs="宋体"/>
          <w:color w:val="auto"/>
          <w:szCs w:val="21"/>
          <w:highlight w:val="none"/>
        </w:rPr>
        <w:t>需求书”的内容并对采购人所需的服务要求作全面响应，投标人必须承担完成“</w:t>
      </w:r>
      <w:r>
        <w:rPr>
          <w:rFonts w:hint="eastAsia" w:ascii="宋体" w:hAnsi="宋体"/>
          <w:color w:val="auto"/>
          <w:szCs w:val="21"/>
          <w:highlight w:val="none"/>
        </w:rPr>
        <w:t>商务</w:t>
      </w:r>
      <w:r>
        <w:rPr>
          <w:rFonts w:hint="eastAsia" w:hAnsi="宋体" w:cs="宋体"/>
          <w:color w:val="auto"/>
          <w:szCs w:val="21"/>
          <w:highlight w:val="none"/>
        </w:rPr>
        <w:t>需求书”所描述内容的义务</w:t>
      </w:r>
      <w:r>
        <w:rPr>
          <w:rFonts w:hint="eastAsia" w:ascii="宋体" w:hAnsi="宋体"/>
          <w:color w:val="auto"/>
          <w:szCs w:val="21"/>
          <w:highlight w:val="none"/>
        </w:rPr>
        <w:t>，因此对投标人投标产生负面影响的，投标人自行承担后果。</w:t>
      </w:r>
    </w:p>
    <w:p w14:paraId="6BCD3CF0">
      <w:pPr>
        <w:rPr>
          <w:rFonts w:hint="eastAsia"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466C392B">
      <w:pPr>
        <w:rPr>
          <w:rFonts w:hint="eastAsia"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7A0C0995">
      <w:pPr>
        <w:rPr>
          <w:rFonts w:hint="eastAsia"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14:paraId="55ECAF4B">
      <w:pPr>
        <w:rPr>
          <w:rFonts w:hint="eastAsia" w:ascii="宋体" w:hAnsi="宋体"/>
          <w:color w:val="auto"/>
          <w:szCs w:val="21"/>
          <w:highlight w:val="none"/>
        </w:rPr>
      </w:pPr>
      <w:r>
        <w:rPr>
          <w:rFonts w:hint="eastAsia" w:ascii="宋体" w:hAnsi="宋体"/>
          <w:color w:val="auto"/>
          <w:szCs w:val="21"/>
          <w:highlight w:val="none"/>
        </w:rPr>
        <w:br w:type="page"/>
      </w:r>
    </w:p>
    <w:p w14:paraId="37F42659">
      <w:pPr>
        <w:pStyle w:val="8"/>
        <w:widowControl w:val="0"/>
        <w:overflowPunct w:val="0"/>
        <w:spacing w:line="240" w:lineRule="auto"/>
        <w:rPr>
          <w:rFonts w:hint="eastAsia" w:ascii="宋体" w:hAnsi="宋体"/>
          <w:color w:val="auto"/>
          <w:sz w:val="30"/>
          <w:szCs w:val="30"/>
          <w:highlight w:val="none"/>
        </w:rPr>
      </w:pPr>
      <w:bookmarkStart w:id="165" w:name="_Toc182308044"/>
      <w:r>
        <w:rPr>
          <w:rFonts w:hint="eastAsia" w:ascii="宋体" w:hAnsi="宋体"/>
          <w:color w:val="auto"/>
          <w:sz w:val="21"/>
          <w:szCs w:val="21"/>
          <w:highlight w:val="none"/>
        </w:rPr>
        <w:t>附件12.业绩表</w:t>
      </w:r>
      <w:bookmarkEnd w:id="165"/>
    </w:p>
    <w:p w14:paraId="315C7545">
      <w:pPr>
        <w:jc w:val="center"/>
        <w:rPr>
          <w:rFonts w:ascii="黑体" w:eastAsia="黑体"/>
          <w:color w:val="auto"/>
          <w:sz w:val="28"/>
          <w:szCs w:val="28"/>
          <w:highlight w:val="none"/>
        </w:rPr>
      </w:pPr>
      <w:r>
        <w:rPr>
          <w:rFonts w:hint="eastAsia" w:ascii="黑体" w:eastAsia="黑体"/>
          <w:color w:val="auto"/>
          <w:sz w:val="28"/>
          <w:szCs w:val="28"/>
          <w:highlight w:val="none"/>
        </w:rPr>
        <w:t>业绩表</w:t>
      </w:r>
    </w:p>
    <w:tbl>
      <w:tblPr>
        <w:tblStyle w:val="30"/>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14:paraId="65CC2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18235A7E">
            <w:pPr>
              <w:adjustRightInd/>
              <w:snapToGrid/>
              <w:jc w:val="center"/>
              <w:rPr>
                <w:rFonts w:hint="eastAsia" w:ascii="宋体" w:hAnsi="宋体"/>
                <w:color w:val="auto"/>
                <w:szCs w:val="21"/>
                <w:highlight w:val="none"/>
              </w:rPr>
            </w:pPr>
            <w:r>
              <w:rPr>
                <w:rFonts w:hint="eastAsia" w:ascii="宋体" w:hAnsi="宋体"/>
                <w:color w:val="auto"/>
                <w:szCs w:val="21"/>
                <w:highlight w:val="none"/>
              </w:rPr>
              <w:t>序号</w:t>
            </w:r>
          </w:p>
        </w:tc>
        <w:tc>
          <w:tcPr>
            <w:tcW w:w="1705" w:type="dxa"/>
            <w:vAlign w:val="center"/>
          </w:tcPr>
          <w:p w14:paraId="641E7DA1">
            <w:pPr>
              <w:adjustRightInd/>
              <w:snapToGrid/>
              <w:jc w:val="center"/>
              <w:rPr>
                <w:rFonts w:hint="eastAsia" w:ascii="宋体" w:hAnsi="宋体"/>
                <w:color w:val="auto"/>
                <w:szCs w:val="21"/>
                <w:highlight w:val="none"/>
              </w:rPr>
            </w:pPr>
            <w:r>
              <w:rPr>
                <w:rFonts w:hint="eastAsia" w:ascii="宋体" w:hAnsi="宋体"/>
                <w:color w:val="auto"/>
                <w:szCs w:val="21"/>
                <w:highlight w:val="none"/>
              </w:rPr>
              <w:t>项目名称</w:t>
            </w:r>
          </w:p>
        </w:tc>
        <w:tc>
          <w:tcPr>
            <w:tcW w:w="1706" w:type="dxa"/>
            <w:vAlign w:val="center"/>
          </w:tcPr>
          <w:p w14:paraId="4ACAD936">
            <w:pPr>
              <w:adjustRightInd/>
              <w:snapToGrid/>
              <w:jc w:val="center"/>
              <w:rPr>
                <w:rFonts w:hint="eastAsia" w:ascii="宋体" w:hAnsi="宋体"/>
                <w:color w:val="auto"/>
                <w:szCs w:val="21"/>
                <w:highlight w:val="none"/>
              </w:rPr>
            </w:pPr>
            <w:r>
              <w:rPr>
                <w:rFonts w:hint="eastAsia" w:ascii="宋体" w:hAnsi="宋体"/>
                <w:color w:val="auto"/>
                <w:szCs w:val="21"/>
                <w:highlight w:val="none"/>
              </w:rPr>
              <w:t>项目金额</w:t>
            </w:r>
          </w:p>
        </w:tc>
        <w:tc>
          <w:tcPr>
            <w:tcW w:w="1705" w:type="dxa"/>
            <w:vAlign w:val="center"/>
          </w:tcPr>
          <w:p w14:paraId="7D8FDA10">
            <w:pPr>
              <w:adjustRightInd/>
              <w:snapToGrid/>
              <w:jc w:val="center"/>
              <w:rPr>
                <w:rFonts w:hint="eastAsia" w:ascii="宋体" w:hAnsi="宋体"/>
                <w:color w:val="auto"/>
                <w:szCs w:val="21"/>
                <w:highlight w:val="none"/>
              </w:rPr>
            </w:pPr>
            <w:r>
              <w:rPr>
                <w:rFonts w:hint="eastAsia" w:ascii="宋体" w:hAnsi="宋体"/>
                <w:color w:val="auto"/>
                <w:szCs w:val="21"/>
                <w:highlight w:val="none"/>
              </w:rPr>
              <w:t>项目合同</w:t>
            </w:r>
          </w:p>
          <w:p w14:paraId="41479063">
            <w:pPr>
              <w:adjustRightInd/>
              <w:snapToGrid/>
              <w:jc w:val="center"/>
              <w:rPr>
                <w:rFonts w:hint="eastAsia" w:ascii="宋体" w:hAnsi="宋体"/>
                <w:color w:val="auto"/>
                <w:szCs w:val="21"/>
                <w:highlight w:val="none"/>
              </w:rPr>
            </w:pPr>
            <w:r>
              <w:rPr>
                <w:rFonts w:hint="eastAsia" w:ascii="宋体" w:hAnsi="宋体"/>
                <w:color w:val="auto"/>
                <w:szCs w:val="21"/>
                <w:highlight w:val="none"/>
              </w:rPr>
              <w:t>签订时间</w:t>
            </w:r>
          </w:p>
        </w:tc>
        <w:tc>
          <w:tcPr>
            <w:tcW w:w="1697" w:type="dxa"/>
            <w:vAlign w:val="center"/>
          </w:tcPr>
          <w:p w14:paraId="6431DC34">
            <w:pPr>
              <w:adjustRightInd/>
              <w:snapToGrid/>
              <w:jc w:val="center"/>
              <w:rPr>
                <w:rFonts w:hint="eastAsia" w:ascii="宋体" w:hAnsi="宋体"/>
                <w:color w:val="auto"/>
                <w:szCs w:val="21"/>
                <w:highlight w:val="none"/>
              </w:rPr>
            </w:pPr>
            <w:r>
              <w:rPr>
                <w:rFonts w:hint="eastAsia" w:ascii="宋体" w:hAnsi="宋体"/>
                <w:color w:val="auto"/>
                <w:szCs w:val="21"/>
                <w:highlight w:val="none"/>
              </w:rPr>
              <w:t>备注</w:t>
            </w:r>
          </w:p>
        </w:tc>
      </w:tr>
      <w:tr w14:paraId="7057D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1EAA9AA9">
            <w:pPr>
              <w:adjustRightInd/>
              <w:snapToGrid/>
              <w:jc w:val="center"/>
              <w:rPr>
                <w:rFonts w:hint="eastAsia" w:ascii="宋体" w:hAnsi="宋体"/>
                <w:color w:val="auto"/>
                <w:szCs w:val="21"/>
                <w:highlight w:val="none"/>
              </w:rPr>
            </w:pPr>
          </w:p>
        </w:tc>
        <w:tc>
          <w:tcPr>
            <w:tcW w:w="1705" w:type="dxa"/>
            <w:vAlign w:val="center"/>
          </w:tcPr>
          <w:p w14:paraId="529CBC03">
            <w:pPr>
              <w:adjustRightInd/>
              <w:snapToGrid/>
              <w:jc w:val="center"/>
              <w:rPr>
                <w:rFonts w:hint="eastAsia" w:ascii="宋体" w:hAnsi="宋体"/>
                <w:color w:val="auto"/>
                <w:szCs w:val="21"/>
                <w:highlight w:val="none"/>
              </w:rPr>
            </w:pPr>
          </w:p>
        </w:tc>
        <w:tc>
          <w:tcPr>
            <w:tcW w:w="1706" w:type="dxa"/>
            <w:vAlign w:val="center"/>
          </w:tcPr>
          <w:p w14:paraId="0D41088D">
            <w:pPr>
              <w:adjustRightInd/>
              <w:snapToGrid/>
              <w:jc w:val="center"/>
              <w:rPr>
                <w:rFonts w:hint="eastAsia" w:ascii="宋体" w:hAnsi="宋体"/>
                <w:color w:val="auto"/>
                <w:szCs w:val="21"/>
                <w:highlight w:val="none"/>
              </w:rPr>
            </w:pPr>
          </w:p>
        </w:tc>
        <w:tc>
          <w:tcPr>
            <w:tcW w:w="1705" w:type="dxa"/>
            <w:vAlign w:val="center"/>
          </w:tcPr>
          <w:p w14:paraId="3EA04922">
            <w:pPr>
              <w:adjustRightInd/>
              <w:snapToGrid/>
              <w:jc w:val="center"/>
              <w:rPr>
                <w:rFonts w:hint="eastAsia" w:ascii="宋体" w:hAnsi="宋体"/>
                <w:color w:val="auto"/>
                <w:szCs w:val="21"/>
                <w:highlight w:val="none"/>
              </w:rPr>
            </w:pPr>
          </w:p>
        </w:tc>
        <w:tc>
          <w:tcPr>
            <w:tcW w:w="1697" w:type="dxa"/>
            <w:vAlign w:val="center"/>
          </w:tcPr>
          <w:p w14:paraId="603848C6">
            <w:pPr>
              <w:adjustRightInd/>
              <w:snapToGrid/>
              <w:jc w:val="center"/>
              <w:rPr>
                <w:rFonts w:hint="eastAsia" w:ascii="宋体" w:hAnsi="宋体"/>
                <w:color w:val="auto"/>
                <w:szCs w:val="21"/>
                <w:highlight w:val="none"/>
              </w:rPr>
            </w:pPr>
          </w:p>
        </w:tc>
      </w:tr>
      <w:tr w14:paraId="4B19F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2D855CF">
            <w:pPr>
              <w:adjustRightInd/>
              <w:snapToGrid/>
              <w:rPr>
                <w:rFonts w:hint="eastAsia" w:ascii="宋体" w:hAnsi="宋体"/>
                <w:color w:val="auto"/>
                <w:szCs w:val="21"/>
                <w:highlight w:val="none"/>
              </w:rPr>
            </w:pPr>
          </w:p>
        </w:tc>
        <w:tc>
          <w:tcPr>
            <w:tcW w:w="1705" w:type="dxa"/>
          </w:tcPr>
          <w:p w14:paraId="54D190EE">
            <w:pPr>
              <w:adjustRightInd/>
              <w:snapToGrid/>
              <w:rPr>
                <w:rFonts w:hint="eastAsia" w:ascii="宋体" w:hAnsi="宋体"/>
                <w:color w:val="auto"/>
                <w:szCs w:val="21"/>
                <w:highlight w:val="none"/>
              </w:rPr>
            </w:pPr>
          </w:p>
        </w:tc>
        <w:tc>
          <w:tcPr>
            <w:tcW w:w="1706" w:type="dxa"/>
          </w:tcPr>
          <w:p w14:paraId="09F5A601">
            <w:pPr>
              <w:adjustRightInd/>
              <w:snapToGrid/>
              <w:rPr>
                <w:rFonts w:hint="eastAsia" w:ascii="宋体" w:hAnsi="宋体"/>
                <w:color w:val="auto"/>
                <w:szCs w:val="21"/>
                <w:highlight w:val="none"/>
              </w:rPr>
            </w:pPr>
          </w:p>
        </w:tc>
        <w:tc>
          <w:tcPr>
            <w:tcW w:w="1705" w:type="dxa"/>
          </w:tcPr>
          <w:p w14:paraId="1819C61D">
            <w:pPr>
              <w:adjustRightInd/>
              <w:snapToGrid/>
              <w:rPr>
                <w:rFonts w:hint="eastAsia" w:ascii="宋体" w:hAnsi="宋体"/>
                <w:color w:val="auto"/>
                <w:szCs w:val="21"/>
                <w:highlight w:val="none"/>
              </w:rPr>
            </w:pPr>
          </w:p>
        </w:tc>
        <w:tc>
          <w:tcPr>
            <w:tcW w:w="1697" w:type="dxa"/>
          </w:tcPr>
          <w:p w14:paraId="0CA3BEE7">
            <w:pPr>
              <w:adjustRightInd/>
              <w:snapToGrid/>
              <w:rPr>
                <w:rFonts w:hint="eastAsia" w:ascii="宋体" w:hAnsi="宋体"/>
                <w:color w:val="auto"/>
                <w:szCs w:val="21"/>
                <w:highlight w:val="none"/>
              </w:rPr>
            </w:pPr>
          </w:p>
        </w:tc>
      </w:tr>
      <w:tr w14:paraId="28E0C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2EB3CB5">
            <w:pPr>
              <w:adjustRightInd/>
              <w:snapToGrid/>
              <w:rPr>
                <w:rFonts w:hint="eastAsia" w:ascii="宋体" w:hAnsi="宋体"/>
                <w:color w:val="auto"/>
                <w:szCs w:val="21"/>
                <w:highlight w:val="none"/>
              </w:rPr>
            </w:pPr>
          </w:p>
        </w:tc>
        <w:tc>
          <w:tcPr>
            <w:tcW w:w="1705" w:type="dxa"/>
          </w:tcPr>
          <w:p w14:paraId="66C96872">
            <w:pPr>
              <w:adjustRightInd/>
              <w:snapToGrid/>
              <w:rPr>
                <w:rFonts w:hint="eastAsia" w:ascii="宋体" w:hAnsi="宋体"/>
                <w:color w:val="auto"/>
                <w:szCs w:val="21"/>
                <w:highlight w:val="none"/>
              </w:rPr>
            </w:pPr>
          </w:p>
        </w:tc>
        <w:tc>
          <w:tcPr>
            <w:tcW w:w="1706" w:type="dxa"/>
          </w:tcPr>
          <w:p w14:paraId="3BF8FA46">
            <w:pPr>
              <w:adjustRightInd/>
              <w:snapToGrid/>
              <w:rPr>
                <w:rFonts w:hint="eastAsia" w:ascii="宋体" w:hAnsi="宋体"/>
                <w:color w:val="auto"/>
                <w:szCs w:val="21"/>
                <w:highlight w:val="none"/>
              </w:rPr>
            </w:pPr>
          </w:p>
        </w:tc>
        <w:tc>
          <w:tcPr>
            <w:tcW w:w="1705" w:type="dxa"/>
          </w:tcPr>
          <w:p w14:paraId="309E77CB">
            <w:pPr>
              <w:adjustRightInd/>
              <w:snapToGrid/>
              <w:rPr>
                <w:rFonts w:hint="eastAsia" w:ascii="宋体" w:hAnsi="宋体"/>
                <w:color w:val="auto"/>
                <w:szCs w:val="21"/>
                <w:highlight w:val="none"/>
              </w:rPr>
            </w:pPr>
          </w:p>
        </w:tc>
        <w:tc>
          <w:tcPr>
            <w:tcW w:w="1697" w:type="dxa"/>
          </w:tcPr>
          <w:p w14:paraId="4AAF7871">
            <w:pPr>
              <w:adjustRightInd/>
              <w:snapToGrid/>
              <w:rPr>
                <w:rFonts w:hint="eastAsia" w:ascii="宋体" w:hAnsi="宋体"/>
                <w:color w:val="auto"/>
                <w:szCs w:val="21"/>
                <w:highlight w:val="none"/>
              </w:rPr>
            </w:pPr>
          </w:p>
        </w:tc>
      </w:tr>
      <w:tr w14:paraId="45FEA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290F6F9A">
            <w:pPr>
              <w:adjustRightInd/>
              <w:snapToGrid/>
              <w:rPr>
                <w:rFonts w:hint="eastAsia" w:ascii="宋体" w:hAnsi="宋体"/>
                <w:color w:val="auto"/>
                <w:szCs w:val="21"/>
                <w:highlight w:val="none"/>
              </w:rPr>
            </w:pPr>
          </w:p>
        </w:tc>
        <w:tc>
          <w:tcPr>
            <w:tcW w:w="1705" w:type="dxa"/>
          </w:tcPr>
          <w:p w14:paraId="2BBF457F">
            <w:pPr>
              <w:adjustRightInd/>
              <w:snapToGrid/>
              <w:rPr>
                <w:rFonts w:hint="eastAsia" w:ascii="宋体" w:hAnsi="宋体"/>
                <w:color w:val="auto"/>
                <w:szCs w:val="21"/>
                <w:highlight w:val="none"/>
              </w:rPr>
            </w:pPr>
          </w:p>
        </w:tc>
        <w:tc>
          <w:tcPr>
            <w:tcW w:w="1706" w:type="dxa"/>
          </w:tcPr>
          <w:p w14:paraId="04829208">
            <w:pPr>
              <w:adjustRightInd/>
              <w:snapToGrid/>
              <w:rPr>
                <w:rFonts w:hint="eastAsia" w:ascii="宋体" w:hAnsi="宋体"/>
                <w:color w:val="auto"/>
                <w:szCs w:val="21"/>
                <w:highlight w:val="none"/>
              </w:rPr>
            </w:pPr>
          </w:p>
        </w:tc>
        <w:tc>
          <w:tcPr>
            <w:tcW w:w="1705" w:type="dxa"/>
          </w:tcPr>
          <w:p w14:paraId="76BD4092">
            <w:pPr>
              <w:adjustRightInd/>
              <w:snapToGrid/>
              <w:rPr>
                <w:rFonts w:hint="eastAsia" w:ascii="宋体" w:hAnsi="宋体"/>
                <w:color w:val="auto"/>
                <w:szCs w:val="21"/>
                <w:highlight w:val="none"/>
              </w:rPr>
            </w:pPr>
          </w:p>
        </w:tc>
        <w:tc>
          <w:tcPr>
            <w:tcW w:w="1697" w:type="dxa"/>
          </w:tcPr>
          <w:p w14:paraId="649DC6BF">
            <w:pPr>
              <w:adjustRightInd/>
              <w:snapToGrid/>
              <w:rPr>
                <w:rFonts w:hint="eastAsia" w:ascii="宋体" w:hAnsi="宋体"/>
                <w:color w:val="auto"/>
                <w:szCs w:val="21"/>
                <w:highlight w:val="none"/>
              </w:rPr>
            </w:pPr>
          </w:p>
        </w:tc>
      </w:tr>
      <w:tr w14:paraId="1A082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4D1895B7">
            <w:pPr>
              <w:adjustRightInd/>
              <w:snapToGrid/>
              <w:rPr>
                <w:rFonts w:hint="eastAsia" w:ascii="宋体" w:hAnsi="宋体"/>
                <w:color w:val="auto"/>
                <w:szCs w:val="21"/>
                <w:highlight w:val="none"/>
              </w:rPr>
            </w:pPr>
          </w:p>
        </w:tc>
        <w:tc>
          <w:tcPr>
            <w:tcW w:w="1705" w:type="dxa"/>
          </w:tcPr>
          <w:p w14:paraId="0378627D">
            <w:pPr>
              <w:adjustRightInd/>
              <w:snapToGrid/>
              <w:rPr>
                <w:rFonts w:hint="eastAsia" w:ascii="宋体" w:hAnsi="宋体"/>
                <w:color w:val="auto"/>
                <w:szCs w:val="21"/>
                <w:highlight w:val="none"/>
              </w:rPr>
            </w:pPr>
          </w:p>
        </w:tc>
        <w:tc>
          <w:tcPr>
            <w:tcW w:w="1706" w:type="dxa"/>
          </w:tcPr>
          <w:p w14:paraId="42142470">
            <w:pPr>
              <w:adjustRightInd/>
              <w:snapToGrid/>
              <w:rPr>
                <w:rFonts w:hint="eastAsia" w:ascii="宋体" w:hAnsi="宋体"/>
                <w:color w:val="auto"/>
                <w:szCs w:val="21"/>
                <w:highlight w:val="none"/>
              </w:rPr>
            </w:pPr>
          </w:p>
        </w:tc>
        <w:tc>
          <w:tcPr>
            <w:tcW w:w="1705" w:type="dxa"/>
          </w:tcPr>
          <w:p w14:paraId="4A4AF1CB">
            <w:pPr>
              <w:adjustRightInd/>
              <w:snapToGrid/>
              <w:rPr>
                <w:rFonts w:hint="eastAsia" w:ascii="宋体" w:hAnsi="宋体"/>
                <w:color w:val="auto"/>
                <w:szCs w:val="21"/>
                <w:highlight w:val="none"/>
              </w:rPr>
            </w:pPr>
          </w:p>
        </w:tc>
        <w:tc>
          <w:tcPr>
            <w:tcW w:w="1697" w:type="dxa"/>
          </w:tcPr>
          <w:p w14:paraId="57E5FB1E">
            <w:pPr>
              <w:adjustRightInd/>
              <w:snapToGrid/>
              <w:rPr>
                <w:rFonts w:hint="eastAsia" w:ascii="宋体" w:hAnsi="宋体"/>
                <w:color w:val="auto"/>
                <w:szCs w:val="21"/>
                <w:highlight w:val="none"/>
              </w:rPr>
            </w:pPr>
          </w:p>
        </w:tc>
      </w:tr>
      <w:tr w14:paraId="5FDE8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26002507">
            <w:pPr>
              <w:adjustRightInd/>
              <w:snapToGrid/>
              <w:rPr>
                <w:rFonts w:hint="eastAsia" w:ascii="宋体" w:hAnsi="宋体"/>
                <w:color w:val="auto"/>
                <w:szCs w:val="21"/>
                <w:highlight w:val="none"/>
              </w:rPr>
            </w:pPr>
          </w:p>
        </w:tc>
        <w:tc>
          <w:tcPr>
            <w:tcW w:w="1705" w:type="dxa"/>
          </w:tcPr>
          <w:p w14:paraId="69CDEA2F">
            <w:pPr>
              <w:adjustRightInd/>
              <w:snapToGrid/>
              <w:rPr>
                <w:rFonts w:hint="eastAsia" w:ascii="宋体" w:hAnsi="宋体"/>
                <w:color w:val="auto"/>
                <w:szCs w:val="21"/>
                <w:highlight w:val="none"/>
              </w:rPr>
            </w:pPr>
          </w:p>
        </w:tc>
        <w:tc>
          <w:tcPr>
            <w:tcW w:w="1706" w:type="dxa"/>
          </w:tcPr>
          <w:p w14:paraId="67DFBEC3">
            <w:pPr>
              <w:adjustRightInd/>
              <w:snapToGrid/>
              <w:rPr>
                <w:rFonts w:hint="eastAsia" w:ascii="宋体" w:hAnsi="宋体"/>
                <w:color w:val="auto"/>
                <w:szCs w:val="21"/>
                <w:highlight w:val="none"/>
              </w:rPr>
            </w:pPr>
          </w:p>
        </w:tc>
        <w:tc>
          <w:tcPr>
            <w:tcW w:w="1705" w:type="dxa"/>
          </w:tcPr>
          <w:p w14:paraId="242BC7A6">
            <w:pPr>
              <w:adjustRightInd/>
              <w:snapToGrid/>
              <w:rPr>
                <w:rFonts w:hint="eastAsia" w:ascii="宋体" w:hAnsi="宋体"/>
                <w:color w:val="auto"/>
                <w:szCs w:val="21"/>
                <w:highlight w:val="none"/>
              </w:rPr>
            </w:pPr>
          </w:p>
        </w:tc>
        <w:tc>
          <w:tcPr>
            <w:tcW w:w="1697" w:type="dxa"/>
          </w:tcPr>
          <w:p w14:paraId="7D541DDF">
            <w:pPr>
              <w:adjustRightInd/>
              <w:snapToGrid/>
              <w:rPr>
                <w:rFonts w:hint="eastAsia" w:ascii="宋体" w:hAnsi="宋体"/>
                <w:color w:val="auto"/>
                <w:szCs w:val="21"/>
                <w:highlight w:val="none"/>
              </w:rPr>
            </w:pPr>
          </w:p>
        </w:tc>
      </w:tr>
    </w:tbl>
    <w:p w14:paraId="2C552BE1">
      <w:pPr>
        <w:pStyle w:val="45"/>
        <w:rPr>
          <w:rFonts w:hint="eastAsia" w:ascii="宋体" w:hAnsi="宋体"/>
          <w:color w:val="auto"/>
          <w:szCs w:val="21"/>
          <w:highlight w:val="none"/>
        </w:rPr>
      </w:pPr>
    </w:p>
    <w:p w14:paraId="7C52E8B6">
      <w:pPr>
        <w:pStyle w:val="45"/>
        <w:rPr>
          <w:rFonts w:hint="eastAsia" w:ascii="宋体" w:hAnsi="宋体"/>
          <w:color w:val="auto"/>
          <w:szCs w:val="21"/>
          <w:highlight w:val="none"/>
        </w:rPr>
      </w:pPr>
      <w:r>
        <w:rPr>
          <w:rFonts w:hint="eastAsia" w:ascii="宋体" w:hAnsi="宋体"/>
          <w:color w:val="auto"/>
          <w:szCs w:val="21"/>
          <w:highlight w:val="none"/>
        </w:rPr>
        <w:t>注：</w:t>
      </w:r>
    </w:p>
    <w:p w14:paraId="3763FF33">
      <w:pPr>
        <w:pStyle w:val="45"/>
        <w:numPr>
          <w:ilvl w:val="0"/>
          <w:numId w:val="10"/>
        </w:numPr>
        <w:rPr>
          <w:rFonts w:hint="eastAsia" w:ascii="宋体" w:hAnsi="宋体"/>
          <w:color w:val="auto"/>
          <w:szCs w:val="21"/>
          <w:highlight w:val="none"/>
        </w:rPr>
      </w:pPr>
      <w:r>
        <w:rPr>
          <w:rFonts w:hint="eastAsia" w:ascii="宋体" w:hAnsi="宋体"/>
          <w:color w:val="auto"/>
          <w:szCs w:val="21"/>
          <w:highlight w:val="none"/>
        </w:rPr>
        <w:t>该表格为参考格式，投标人可按实际情况自行制订。</w:t>
      </w:r>
    </w:p>
    <w:p w14:paraId="0FB823DF">
      <w:pPr>
        <w:pStyle w:val="45"/>
        <w:numPr>
          <w:ilvl w:val="0"/>
          <w:numId w:val="10"/>
        </w:numPr>
        <w:rPr>
          <w:rFonts w:hint="eastAsia" w:ascii="宋体" w:hAnsi="宋体"/>
          <w:color w:val="auto"/>
          <w:szCs w:val="21"/>
          <w:highlight w:val="none"/>
        </w:rPr>
      </w:pPr>
      <w:r>
        <w:rPr>
          <w:rFonts w:hint="eastAsia" w:ascii="宋体" w:hAnsi="宋体"/>
          <w:color w:val="auto"/>
          <w:szCs w:val="21"/>
          <w:highlight w:val="none"/>
        </w:rPr>
        <w:t>业绩表所列出的材料应为真实准确的，并应提供相关证明材料复印件加盖公章。请勿提供虚假、过期材料，否则将依据相关规定严肃处理。</w:t>
      </w:r>
    </w:p>
    <w:p w14:paraId="7DDA7ABE">
      <w:pPr>
        <w:rPr>
          <w:rFonts w:hint="eastAsia" w:ascii="宋体" w:hAnsi="宋体"/>
          <w:color w:val="auto"/>
          <w:szCs w:val="21"/>
          <w:highlight w:val="none"/>
        </w:rPr>
      </w:pPr>
      <w:r>
        <w:rPr>
          <w:rFonts w:hint="eastAsia" w:ascii="宋体" w:hAnsi="宋体"/>
          <w:color w:val="auto"/>
          <w:szCs w:val="21"/>
          <w:highlight w:val="none"/>
        </w:rPr>
        <w:br w:type="page"/>
      </w:r>
    </w:p>
    <w:p w14:paraId="3784B70A">
      <w:pPr>
        <w:pStyle w:val="8"/>
        <w:widowControl w:val="0"/>
        <w:overflowPunct w:val="0"/>
        <w:spacing w:line="240" w:lineRule="auto"/>
        <w:rPr>
          <w:color w:val="auto"/>
          <w:highlight w:val="none"/>
        </w:rPr>
      </w:pPr>
      <w:bookmarkStart w:id="166" w:name="_Toc1959"/>
      <w:bookmarkStart w:id="167" w:name="_Toc182308045"/>
      <w:r>
        <w:rPr>
          <w:rFonts w:hint="eastAsia" w:ascii="宋体" w:hAnsi="宋体"/>
          <w:color w:val="auto"/>
          <w:sz w:val="21"/>
          <w:szCs w:val="21"/>
          <w:highlight w:val="none"/>
        </w:rPr>
        <w:t>附件13.</w:t>
      </w:r>
      <w:r>
        <w:rPr>
          <w:rFonts w:hint="eastAsia" w:ascii="宋体" w:hAnsi="宋体"/>
          <w:color w:val="auto"/>
          <w:sz w:val="21"/>
          <w:szCs w:val="21"/>
          <w:highlight w:val="none"/>
          <w:lang w:val="en-US" w:eastAsia="zh-CN"/>
        </w:rPr>
        <w:t>承诺函</w:t>
      </w:r>
      <w:bookmarkEnd w:id="166"/>
      <w:bookmarkEnd w:id="167"/>
    </w:p>
    <w:p w14:paraId="133FCA1B">
      <w:pPr>
        <w:rPr>
          <w:color w:val="auto"/>
          <w:highlight w:val="none"/>
        </w:rPr>
      </w:pPr>
    </w:p>
    <w:p w14:paraId="5D01E658">
      <w:pPr>
        <w:widowControl w:val="0"/>
        <w:spacing w:after="120" w:line="360" w:lineRule="auto"/>
        <w:ind w:left="0" w:leftChars="0" w:firstLine="0" w:firstLineChars="0"/>
        <w:jc w:val="center"/>
        <w:rPr>
          <w:rFonts w:hint="eastAsia" w:ascii="宋体" w:hAnsi="宋体" w:eastAsia="宋体" w:cs="宋体"/>
          <w:b/>
          <w:bCs w:val="0"/>
          <w:color w:val="auto"/>
          <w:kern w:val="2"/>
          <w:sz w:val="28"/>
          <w:szCs w:val="28"/>
          <w:highlight w:val="none"/>
          <w:lang w:val="en-US" w:eastAsia="zh-CN" w:bidi="ar-SA"/>
        </w:rPr>
      </w:pPr>
      <w:r>
        <w:rPr>
          <w:rFonts w:hint="eastAsia" w:ascii="宋体" w:hAnsi="宋体" w:eastAsia="宋体" w:cs="宋体"/>
          <w:b/>
          <w:bCs w:val="0"/>
          <w:color w:val="auto"/>
          <w:kern w:val="2"/>
          <w:sz w:val="28"/>
          <w:szCs w:val="28"/>
          <w:highlight w:val="none"/>
          <w:lang w:val="en-US" w:eastAsia="zh-CN" w:bidi="ar-SA"/>
        </w:rPr>
        <w:t>Modbus TCP协议及云平台对接要求承诺函</w:t>
      </w:r>
    </w:p>
    <w:p w14:paraId="5AD5110F">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eastAsia" w:ascii="宋体" w:hAnsi="宋体" w:eastAsia="宋体" w:cs="Times New Roman"/>
          <w:b/>
          <w:bCs/>
          <w:color w:val="auto"/>
          <w:kern w:val="2"/>
          <w:sz w:val="22"/>
          <w:szCs w:val="21"/>
          <w:highlight w:val="none"/>
          <w:lang w:val="en-US" w:eastAsia="zh-CN"/>
        </w:rPr>
      </w:pPr>
      <w:r>
        <w:rPr>
          <w:rFonts w:hint="eastAsia" w:ascii="宋体" w:hAnsi="宋体" w:eastAsia="宋体" w:cs="Times New Roman"/>
          <w:b/>
          <w:bCs/>
          <w:color w:val="auto"/>
          <w:kern w:val="2"/>
          <w:sz w:val="22"/>
          <w:szCs w:val="21"/>
          <w:highlight w:val="none"/>
          <w:lang w:val="en-US" w:eastAsia="zh-CN"/>
        </w:rPr>
        <w:t>东莞市新有能源投资有限公司、</w:t>
      </w:r>
      <w:r>
        <w:rPr>
          <w:rFonts w:hint="eastAsia" w:ascii="宋体" w:hAnsi="宋体" w:cs="Times New Roman"/>
          <w:b/>
          <w:bCs/>
          <w:color w:val="auto"/>
          <w:kern w:val="2"/>
          <w:sz w:val="22"/>
          <w:szCs w:val="21"/>
          <w:highlight w:val="none"/>
          <w:lang w:val="en-US" w:eastAsia="zh-CN"/>
        </w:rPr>
        <w:t>广西同泽工程项目管理股份有限公司</w:t>
      </w:r>
      <w:r>
        <w:rPr>
          <w:rFonts w:hint="eastAsia" w:ascii="宋体" w:hAnsi="宋体" w:eastAsia="宋体" w:cs="Times New Roman"/>
          <w:b/>
          <w:bCs/>
          <w:color w:val="auto"/>
          <w:kern w:val="2"/>
          <w:sz w:val="22"/>
          <w:szCs w:val="21"/>
          <w:highlight w:val="none"/>
          <w:lang w:val="en-US" w:eastAsia="zh-CN"/>
        </w:rPr>
        <w:t>：</w:t>
      </w:r>
    </w:p>
    <w:p w14:paraId="0D8981F0">
      <w:pPr>
        <w:keepNext w:val="0"/>
        <w:keepLines w:val="0"/>
        <w:pageBreakBefore w:val="0"/>
        <w:widowControl w:val="0"/>
        <w:kinsoku/>
        <w:wordWrap/>
        <w:overflowPunct/>
        <w:topLinePunct w:val="0"/>
        <w:autoSpaceDE/>
        <w:autoSpaceDN/>
        <w:bidi w:val="0"/>
        <w:adjustRightInd/>
        <w:snapToGrid/>
        <w:spacing w:after="0" w:line="480" w:lineRule="auto"/>
        <w:ind w:firstLine="720" w:firstLineChars="0"/>
        <w:jc w:val="both"/>
        <w:textAlignment w:val="auto"/>
        <w:rPr>
          <w:rFonts w:hint="eastAsia" w:ascii="宋体" w:hAnsi="宋体" w:eastAsia="宋体" w:cs="Times New Roman"/>
          <w:color w:val="auto"/>
          <w:kern w:val="2"/>
          <w:sz w:val="22"/>
          <w:szCs w:val="21"/>
          <w:highlight w:val="none"/>
          <w:lang w:val="en-US" w:eastAsia="zh-CN"/>
        </w:rPr>
      </w:pPr>
      <w:r>
        <w:rPr>
          <w:rFonts w:hint="eastAsia" w:ascii="宋体" w:hAnsi="宋体" w:eastAsia="宋体" w:cs="Times New Roman"/>
          <w:color w:val="auto"/>
          <w:kern w:val="2"/>
          <w:sz w:val="22"/>
          <w:szCs w:val="21"/>
          <w:highlight w:val="none"/>
          <w:lang w:val="en-US" w:eastAsia="zh-CN"/>
        </w:rPr>
        <w:t>我方参加</w:t>
      </w:r>
      <w:r>
        <w:rPr>
          <w:rFonts w:hint="eastAsia" w:ascii="宋体" w:hAnsi="宋体" w:eastAsia="宋体" w:cs="Times New Roman"/>
          <w:color w:val="auto"/>
          <w:kern w:val="2"/>
          <w:sz w:val="22"/>
          <w:szCs w:val="21"/>
          <w:highlight w:val="none"/>
          <w:u w:val="single"/>
          <w:lang w:val="en-US" w:eastAsia="zh-CN"/>
        </w:rPr>
        <w:t xml:space="preserve">        </w:t>
      </w:r>
      <w:r>
        <w:rPr>
          <w:rFonts w:hint="default" w:ascii="宋体" w:hAnsi="宋体" w:eastAsia="宋体" w:cs="Times New Roman"/>
          <w:color w:val="auto"/>
          <w:kern w:val="2"/>
          <w:sz w:val="22"/>
          <w:szCs w:val="21"/>
          <w:highlight w:val="none"/>
          <w:lang w:eastAsia="zh-CN"/>
        </w:rPr>
        <w:t>项目的招标</w:t>
      </w:r>
      <w:r>
        <w:rPr>
          <w:rFonts w:hint="eastAsia" w:ascii="宋体" w:hAnsi="宋体" w:eastAsia="宋体" w:cs="Times New Roman"/>
          <w:color w:val="auto"/>
          <w:kern w:val="2"/>
          <w:sz w:val="22"/>
          <w:szCs w:val="21"/>
          <w:highlight w:val="none"/>
          <w:lang w:eastAsia="zh-CN"/>
        </w:rPr>
        <w:t>（</w:t>
      </w:r>
      <w:r>
        <w:rPr>
          <w:rFonts w:hint="default" w:ascii="宋体" w:hAnsi="宋体" w:eastAsia="宋体" w:cs="Times New Roman"/>
          <w:color w:val="auto"/>
          <w:kern w:val="2"/>
          <w:sz w:val="22"/>
          <w:szCs w:val="21"/>
          <w:highlight w:val="none"/>
          <w:lang w:eastAsia="zh-CN"/>
        </w:rPr>
        <w:t>项目编号：</w:t>
      </w:r>
      <w:r>
        <w:rPr>
          <w:rFonts w:hint="eastAsia" w:ascii="宋体" w:hAnsi="宋体" w:eastAsia="宋体" w:cs="Times New Roman"/>
          <w:color w:val="auto"/>
          <w:kern w:val="2"/>
          <w:sz w:val="22"/>
          <w:szCs w:val="21"/>
          <w:highlight w:val="none"/>
          <w:u w:val="single"/>
          <w:lang w:val="en-US" w:eastAsia="zh-CN"/>
        </w:rPr>
        <w:t xml:space="preserve">       </w:t>
      </w:r>
      <w:r>
        <w:rPr>
          <w:rFonts w:hint="eastAsia" w:ascii="宋体" w:hAnsi="宋体" w:eastAsia="宋体" w:cs="Times New Roman"/>
          <w:color w:val="auto"/>
          <w:kern w:val="2"/>
          <w:sz w:val="22"/>
          <w:szCs w:val="21"/>
          <w:highlight w:val="none"/>
          <w:lang w:val="en-US" w:eastAsia="zh-CN"/>
        </w:rPr>
        <w:t>）</w:t>
      </w:r>
      <w:r>
        <w:rPr>
          <w:rFonts w:hint="default" w:ascii="宋体" w:hAnsi="宋体" w:eastAsia="宋体" w:cs="Times New Roman"/>
          <w:color w:val="auto"/>
          <w:kern w:val="2"/>
          <w:sz w:val="22"/>
          <w:szCs w:val="21"/>
          <w:highlight w:val="none"/>
          <w:lang w:eastAsia="zh-CN"/>
        </w:rPr>
        <w:t>，我方在参与投标前已</w:t>
      </w:r>
      <w:r>
        <w:rPr>
          <w:rFonts w:hint="eastAsia" w:ascii="宋体" w:hAnsi="宋体" w:eastAsia="宋体" w:cs="Times New Roman"/>
          <w:color w:val="auto"/>
          <w:kern w:val="2"/>
          <w:sz w:val="22"/>
          <w:szCs w:val="21"/>
          <w:highlight w:val="none"/>
          <w:lang w:val="en-US" w:eastAsia="zh-CN"/>
        </w:rPr>
        <w:t>清楚了解</w:t>
      </w:r>
      <w:r>
        <w:rPr>
          <w:rFonts w:hint="default" w:ascii="宋体" w:hAnsi="宋体" w:eastAsia="宋体" w:cs="Times New Roman"/>
          <w:color w:val="auto"/>
          <w:kern w:val="2"/>
          <w:sz w:val="22"/>
          <w:szCs w:val="21"/>
          <w:highlight w:val="none"/>
          <w:lang w:eastAsia="zh-CN"/>
        </w:rPr>
        <w:t>招标文件的所有内容</w:t>
      </w:r>
      <w:r>
        <w:rPr>
          <w:rFonts w:hint="eastAsia" w:ascii="宋体" w:hAnsi="宋体" w:eastAsia="宋体" w:cs="Times New Roman"/>
          <w:color w:val="auto"/>
          <w:kern w:val="2"/>
          <w:sz w:val="22"/>
          <w:szCs w:val="21"/>
          <w:highlight w:val="none"/>
          <w:lang w:eastAsia="zh-CN"/>
        </w:rPr>
        <w:t>，</w:t>
      </w:r>
      <w:r>
        <w:rPr>
          <w:rFonts w:hint="eastAsia" w:ascii="宋体" w:hAnsi="宋体" w:eastAsia="宋体" w:cs="Times New Roman"/>
          <w:color w:val="auto"/>
          <w:kern w:val="2"/>
          <w:sz w:val="22"/>
          <w:szCs w:val="21"/>
          <w:highlight w:val="none"/>
          <w:lang w:val="en-US" w:eastAsia="zh-CN"/>
        </w:rPr>
        <w:t>并对Modbus TCP协议及云平台对接要求作出以下承诺：</w:t>
      </w:r>
    </w:p>
    <w:p w14:paraId="10E412E1">
      <w:pPr>
        <w:keepNext w:val="0"/>
        <w:keepLines w:val="0"/>
        <w:pageBreakBefore w:val="0"/>
        <w:widowControl w:val="0"/>
        <w:kinsoku/>
        <w:wordWrap/>
        <w:overflowPunct/>
        <w:topLinePunct w:val="0"/>
        <w:autoSpaceDE/>
        <w:autoSpaceDN/>
        <w:bidi w:val="0"/>
        <w:adjustRightInd/>
        <w:snapToGrid/>
        <w:spacing w:after="0" w:line="480" w:lineRule="auto"/>
        <w:ind w:firstLine="720" w:firstLineChars="0"/>
        <w:jc w:val="both"/>
        <w:textAlignment w:val="auto"/>
        <w:rPr>
          <w:rFonts w:hint="eastAsia" w:ascii="宋体" w:hAnsi="宋体" w:eastAsia="宋体" w:cs="Times New Roman"/>
          <w:color w:val="auto"/>
          <w:kern w:val="2"/>
          <w:sz w:val="22"/>
          <w:szCs w:val="21"/>
          <w:highlight w:val="none"/>
          <w:lang w:eastAsia="zh-CN"/>
        </w:rPr>
      </w:pPr>
      <w:r>
        <w:rPr>
          <w:rFonts w:hint="eastAsia" w:ascii="宋体" w:hAnsi="宋体" w:eastAsia="宋体" w:cs="Times New Roman"/>
          <w:color w:val="auto"/>
          <w:kern w:val="2"/>
          <w:sz w:val="22"/>
          <w:szCs w:val="21"/>
          <w:highlight w:val="none"/>
          <w:lang w:val="en-US" w:eastAsia="zh-CN"/>
        </w:rPr>
        <w:t>我方无偏离响应并执行达到附件5《Modbus TCP规约点表》的要求，包含：地址规划、系统数据、PCS、电堆、电池簇、单体电压、单体温度、电表数据、空调数据、液冷数据、遥控遥调、PCS故障字解析表、BMS报警码解析表、空调故障字解析表、液冷故障字解析表。</w:t>
      </w:r>
    </w:p>
    <w:p w14:paraId="375383FE">
      <w:pPr>
        <w:keepNext w:val="0"/>
        <w:keepLines w:val="0"/>
        <w:pageBreakBefore w:val="0"/>
        <w:widowControl w:val="0"/>
        <w:kinsoku/>
        <w:wordWrap/>
        <w:overflowPunct/>
        <w:topLinePunct w:val="0"/>
        <w:autoSpaceDE/>
        <w:autoSpaceDN/>
        <w:bidi w:val="0"/>
        <w:adjustRightInd/>
        <w:snapToGrid/>
        <w:spacing w:after="0" w:line="480" w:lineRule="auto"/>
        <w:ind w:firstLine="720" w:firstLineChars="0"/>
        <w:jc w:val="both"/>
        <w:textAlignment w:val="auto"/>
        <w:rPr>
          <w:rFonts w:hint="default" w:ascii="宋体" w:hAnsi="宋体" w:eastAsia="宋体" w:cs="Times New Roman"/>
          <w:color w:val="auto"/>
          <w:kern w:val="2"/>
          <w:sz w:val="22"/>
          <w:szCs w:val="21"/>
          <w:highlight w:val="none"/>
          <w:lang w:val="en-US" w:eastAsia="zh-CN"/>
        </w:rPr>
      </w:pPr>
      <w:r>
        <w:rPr>
          <w:rFonts w:hint="eastAsia" w:ascii="宋体" w:hAnsi="宋体" w:eastAsia="宋体" w:cs="Times New Roman"/>
          <w:color w:val="auto"/>
          <w:kern w:val="2"/>
          <w:sz w:val="22"/>
          <w:szCs w:val="21"/>
          <w:highlight w:val="none"/>
          <w:lang w:val="en-US" w:eastAsia="zh-CN"/>
        </w:rPr>
        <w:t>特此承诺！</w:t>
      </w:r>
    </w:p>
    <w:p w14:paraId="7D9F2AAE">
      <w:pPr>
        <w:keepNext w:val="0"/>
        <w:keepLines w:val="0"/>
        <w:pageBreakBefore w:val="0"/>
        <w:widowControl w:val="0"/>
        <w:kinsoku/>
        <w:wordWrap/>
        <w:overflowPunct/>
        <w:topLinePunct w:val="0"/>
        <w:autoSpaceDE/>
        <w:autoSpaceDN/>
        <w:bidi w:val="0"/>
        <w:adjustRightInd/>
        <w:snapToGrid/>
        <w:spacing w:after="0" w:line="480" w:lineRule="auto"/>
        <w:ind w:firstLine="4620" w:firstLineChars="2100"/>
        <w:jc w:val="both"/>
        <w:textAlignment w:val="auto"/>
        <w:rPr>
          <w:rFonts w:ascii="宋体" w:hAnsi="宋体" w:eastAsia="宋体" w:cs="Times New Roman"/>
          <w:color w:val="auto"/>
          <w:kern w:val="2"/>
          <w:sz w:val="22"/>
          <w:szCs w:val="21"/>
          <w:highlight w:val="none"/>
          <w:u w:val="single"/>
        </w:rPr>
      </w:pPr>
      <w:r>
        <w:rPr>
          <w:rFonts w:hint="eastAsia" w:ascii="宋体" w:hAnsi="宋体" w:eastAsia="宋体" w:cs="Times New Roman"/>
          <w:color w:val="auto"/>
          <w:kern w:val="2"/>
          <w:sz w:val="22"/>
          <w:szCs w:val="21"/>
          <w:highlight w:val="none"/>
          <w:lang w:val="en-US" w:eastAsia="zh-CN"/>
        </w:rPr>
        <w:t>承诺人</w:t>
      </w:r>
      <w:r>
        <w:rPr>
          <w:rFonts w:hint="eastAsia" w:ascii="Times New Roman" w:hAnsi="Times New Roman" w:eastAsia="宋体" w:cs="Times New Roman"/>
          <w:color w:val="auto"/>
          <w:spacing w:val="4"/>
          <w:kern w:val="2"/>
          <w:sz w:val="22"/>
          <w:szCs w:val="21"/>
          <w:highlight w:val="none"/>
        </w:rPr>
        <w:t>（</w:t>
      </w:r>
      <w:r>
        <w:rPr>
          <w:rFonts w:hint="eastAsia" w:ascii="宋体" w:hAnsi="宋体" w:eastAsia="宋体" w:cs="Times New Roman"/>
          <w:color w:val="auto"/>
          <w:kern w:val="2"/>
          <w:sz w:val="22"/>
          <w:szCs w:val="21"/>
          <w:highlight w:val="none"/>
        </w:rPr>
        <w:t>单位盖</w:t>
      </w:r>
      <w:r>
        <w:rPr>
          <w:rFonts w:hint="eastAsia" w:ascii="Times New Roman" w:hAnsi="Times New Roman" w:eastAsia="宋体" w:cs="Times New Roman"/>
          <w:color w:val="auto"/>
          <w:spacing w:val="4"/>
          <w:kern w:val="2"/>
          <w:sz w:val="22"/>
          <w:szCs w:val="21"/>
          <w:highlight w:val="none"/>
        </w:rPr>
        <w:t>公章）：</w:t>
      </w:r>
      <w:r>
        <w:rPr>
          <w:rFonts w:ascii="Times New Roman" w:hAnsi="Times New Roman" w:eastAsia="宋体" w:cs="Times New Roman"/>
          <w:color w:val="auto"/>
          <w:spacing w:val="4"/>
          <w:kern w:val="2"/>
          <w:sz w:val="22"/>
          <w:szCs w:val="21"/>
          <w:highlight w:val="none"/>
          <w:u w:val="single"/>
        </w:rPr>
        <w:t xml:space="preserve">                       </w:t>
      </w:r>
    </w:p>
    <w:p w14:paraId="2357D0DC">
      <w:pPr>
        <w:keepNext w:val="0"/>
        <w:keepLines w:val="0"/>
        <w:pageBreakBefore w:val="0"/>
        <w:kinsoku/>
        <w:wordWrap/>
        <w:overflowPunct/>
        <w:topLinePunct w:val="0"/>
        <w:autoSpaceDE/>
        <w:autoSpaceDN/>
        <w:bidi w:val="0"/>
        <w:spacing w:after="200" w:line="480" w:lineRule="auto"/>
        <w:ind w:firstLine="6380" w:firstLineChars="2900"/>
        <w:textAlignment w:val="auto"/>
        <w:rPr>
          <w:rFonts w:hint="eastAsia" w:eastAsia="微软雅黑"/>
          <w:color w:val="auto"/>
          <w:sz w:val="22"/>
          <w:highlight w:val="none"/>
          <w:lang w:val="en-US" w:eastAsia="zh-CN"/>
        </w:rPr>
      </w:pPr>
      <w:r>
        <w:rPr>
          <w:rFonts w:hint="eastAsia" w:ascii="Times New Roman" w:hAnsi="Times New Roman" w:eastAsia="宋体" w:cs="Times New Roman"/>
          <w:color w:val="auto"/>
          <w:sz w:val="22"/>
          <w:highlight w:val="none"/>
          <w:lang w:val="en-US" w:eastAsia="zh-CN"/>
        </w:rPr>
        <w:t>日期：</w:t>
      </w:r>
      <w:r>
        <w:rPr>
          <w:rFonts w:ascii="Times New Roman" w:hAnsi="Times New Roman" w:eastAsia="宋体" w:cs="Times New Roman"/>
          <w:color w:val="auto"/>
          <w:spacing w:val="4"/>
          <w:kern w:val="2"/>
          <w:sz w:val="22"/>
          <w:szCs w:val="21"/>
          <w:highlight w:val="none"/>
          <w:u w:val="single"/>
        </w:rPr>
        <w:t xml:space="preserve">                       </w:t>
      </w:r>
    </w:p>
    <w:p w14:paraId="4302A1A9">
      <w:pPr>
        <w:adjustRightInd/>
        <w:snapToGrid/>
        <w:spacing w:line="240" w:lineRule="auto"/>
        <w:rPr>
          <w:color w:val="auto"/>
          <w:szCs w:val="21"/>
          <w:highlight w:val="none"/>
        </w:rPr>
      </w:pPr>
      <w:r>
        <w:rPr>
          <w:rFonts w:hint="eastAsia"/>
          <w:color w:val="auto"/>
          <w:szCs w:val="21"/>
          <w:highlight w:val="none"/>
        </w:rPr>
        <w:br w:type="page"/>
      </w:r>
    </w:p>
    <w:p w14:paraId="293BFD88">
      <w:pPr>
        <w:pStyle w:val="8"/>
        <w:widowControl w:val="0"/>
        <w:overflowPunct w:val="0"/>
        <w:spacing w:line="240" w:lineRule="auto"/>
        <w:rPr>
          <w:color w:val="auto"/>
          <w:highlight w:val="none"/>
        </w:rPr>
      </w:pPr>
      <w:bookmarkStart w:id="168" w:name="_Toc182308046"/>
      <w:r>
        <w:rPr>
          <w:rFonts w:hint="eastAsia" w:ascii="宋体" w:hAnsi="宋体"/>
          <w:color w:val="auto"/>
          <w:sz w:val="21"/>
          <w:szCs w:val="21"/>
          <w:highlight w:val="none"/>
        </w:rPr>
        <w:t>附件14.</w:t>
      </w:r>
      <w:r>
        <w:rPr>
          <w:rFonts w:hint="eastAsia"/>
          <w:color w:val="auto"/>
          <w:highlight w:val="none"/>
        </w:rPr>
        <w:t xml:space="preserve"> </w:t>
      </w:r>
      <w:r>
        <w:rPr>
          <w:rFonts w:hint="eastAsia" w:ascii="宋体" w:hAnsi="宋体"/>
          <w:color w:val="auto"/>
          <w:sz w:val="21"/>
          <w:szCs w:val="21"/>
          <w:highlight w:val="none"/>
        </w:rPr>
        <w:t>体系认证资料</w:t>
      </w:r>
      <w:bookmarkEnd w:id="168"/>
    </w:p>
    <w:p w14:paraId="39A7282E">
      <w:pPr>
        <w:adjustRightInd/>
        <w:snapToGrid/>
        <w:spacing w:line="240" w:lineRule="auto"/>
        <w:rPr>
          <w:color w:val="auto"/>
          <w:szCs w:val="21"/>
          <w:highlight w:val="none"/>
        </w:rPr>
      </w:pPr>
    </w:p>
    <w:p w14:paraId="2D4DFA96">
      <w:pPr>
        <w:pStyle w:val="13"/>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r>
        <w:rPr>
          <w:rFonts w:hint="eastAsia" w:ascii="Tahoma" w:hAnsi="宋体" w:eastAsia="宋体" w:cs="宋体"/>
          <w:b w:val="0"/>
          <w:bCs w:val="0"/>
          <w:color w:val="auto"/>
          <w:spacing w:val="2"/>
          <w:sz w:val="21"/>
          <w:szCs w:val="21"/>
          <w:highlight w:val="none"/>
          <w:u w:val="none"/>
          <w:lang w:val="en-US" w:eastAsia="zh-CN" w:bidi="ar-SA"/>
        </w:rPr>
        <w:t>1、体系认证</w:t>
      </w:r>
    </w:p>
    <w:p w14:paraId="5B4C92B0">
      <w:pPr>
        <w:pStyle w:val="13"/>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r>
        <w:rPr>
          <w:rFonts w:hint="eastAsia" w:ascii="Tahoma" w:hAnsi="宋体" w:eastAsia="宋体" w:cs="宋体"/>
          <w:b w:val="0"/>
          <w:bCs w:val="0"/>
          <w:color w:val="auto"/>
          <w:spacing w:val="2"/>
          <w:sz w:val="21"/>
          <w:szCs w:val="21"/>
          <w:highlight w:val="none"/>
          <w:u w:val="none"/>
          <w:lang w:val="en-US" w:eastAsia="zh-CN" w:bidi="ar-SA"/>
        </w:rPr>
        <w:t>2、财务状况</w:t>
      </w:r>
    </w:p>
    <w:p w14:paraId="5CBEA4D8">
      <w:pPr>
        <w:pStyle w:val="13"/>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r>
        <w:rPr>
          <w:rFonts w:hint="eastAsia" w:ascii="Tahoma" w:hAnsi="宋体" w:eastAsia="宋体" w:cs="宋体"/>
          <w:b w:val="0"/>
          <w:bCs w:val="0"/>
          <w:color w:val="auto"/>
          <w:spacing w:val="2"/>
          <w:sz w:val="21"/>
          <w:szCs w:val="21"/>
          <w:highlight w:val="none"/>
          <w:u w:val="none"/>
          <w:lang w:val="en-US" w:eastAsia="zh-CN" w:bidi="ar-SA"/>
        </w:rPr>
        <w:t>3、人员要求</w:t>
      </w:r>
    </w:p>
    <w:p w14:paraId="5C4F4DC9">
      <w:pPr>
        <w:pStyle w:val="13"/>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r>
        <w:rPr>
          <w:rFonts w:hint="eastAsia" w:ascii="Tahoma" w:hAnsi="宋体" w:eastAsia="宋体" w:cs="宋体"/>
          <w:b w:val="0"/>
          <w:bCs w:val="0"/>
          <w:color w:val="auto"/>
          <w:spacing w:val="2"/>
          <w:sz w:val="21"/>
          <w:szCs w:val="21"/>
          <w:highlight w:val="none"/>
          <w:u w:val="none"/>
          <w:lang w:val="en-US" w:eastAsia="zh-CN" w:bidi="ar-SA"/>
        </w:rPr>
        <w:t>4、企业信誉</w:t>
      </w:r>
    </w:p>
    <w:p w14:paraId="050A0764">
      <w:pPr>
        <w:pStyle w:val="13"/>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r>
        <w:rPr>
          <w:rFonts w:hint="eastAsia" w:ascii="Tahoma" w:hAnsi="宋体" w:eastAsia="宋体" w:cs="宋体"/>
          <w:b w:val="0"/>
          <w:bCs w:val="0"/>
          <w:color w:val="auto"/>
          <w:spacing w:val="2"/>
          <w:sz w:val="21"/>
          <w:szCs w:val="21"/>
          <w:highlight w:val="none"/>
          <w:u w:val="none"/>
          <w:lang w:val="en-US" w:eastAsia="zh-CN" w:bidi="ar-SA"/>
        </w:rPr>
        <w:t>5、服务便利性</w:t>
      </w:r>
    </w:p>
    <w:p w14:paraId="691A22A2">
      <w:pPr>
        <w:pStyle w:val="13"/>
        <w:ind w:left="120" w:leftChars="0" w:firstLine="517" w:firstLineChars="242"/>
        <w:rPr>
          <w:rFonts w:hint="eastAsia" w:ascii="Tahoma" w:hAnsi="宋体" w:eastAsia="宋体" w:cs="宋体"/>
          <w:b w:val="0"/>
          <w:bCs w:val="0"/>
          <w:color w:val="auto"/>
          <w:spacing w:val="2"/>
          <w:sz w:val="21"/>
          <w:szCs w:val="21"/>
          <w:highlight w:val="none"/>
          <w:u w:val="none"/>
          <w:lang w:val="en-US" w:eastAsia="zh-CN" w:bidi="ar-SA"/>
        </w:rPr>
      </w:pPr>
    </w:p>
    <w:p w14:paraId="596BD03D">
      <w:pPr>
        <w:pStyle w:val="13"/>
        <w:ind w:left="120" w:leftChars="0" w:firstLine="2260" w:firstLineChars="942"/>
        <w:rPr>
          <w:rFonts w:hint="eastAsia" w:ascii="宋体" w:hAnsi="宋体"/>
          <w:color w:val="auto"/>
          <w:szCs w:val="21"/>
          <w:highlight w:val="none"/>
          <w:lang w:eastAsia="zh-CN"/>
        </w:rPr>
      </w:pPr>
      <w:r>
        <w:rPr>
          <w:rFonts w:hint="eastAsia" w:ascii="宋体" w:hAnsi="宋体"/>
          <w:color w:val="auto"/>
          <w:szCs w:val="21"/>
          <w:highlight w:val="none"/>
          <w:lang w:eastAsia="zh-CN"/>
        </w:rPr>
        <w:t>（由投标人自行编写）</w:t>
      </w:r>
    </w:p>
    <w:p w14:paraId="744DCEEE">
      <w:pPr>
        <w:adjustRightInd/>
        <w:snapToGrid/>
        <w:spacing w:line="240" w:lineRule="auto"/>
        <w:rPr>
          <w:color w:val="auto"/>
          <w:szCs w:val="21"/>
          <w:highlight w:val="none"/>
        </w:rPr>
      </w:pPr>
      <w:r>
        <w:rPr>
          <w:color w:val="auto"/>
          <w:szCs w:val="21"/>
          <w:highlight w:val="none"/>
        </w:rPr>
        <w:br w:type="page"/>
      </w:r>
    </w:p>
    <w:p w14:paraId="6339A9E5">
      <w:pPr>
        <w:pStyle w:val="8"/>
        <w:widowControl w:val="0"/>
        <w:overflowPunct w:val="0"/>
        <w:spacing w:line="240" w:lineRule="auto"/>
        <w:rPr>
          <w:color w:val="auto"/>
          <w:highlight w:val="none"/>
        </w:rPr>
      </w:pPr>
      <w:bookmarkStart w:id="169" w:name="_Toc182308047"/>
      <w:r>
        <w:rPr>
          <w:rFonts w:hint="eastAsia" w:ascii="宋体" w:hAnsi="宋体"/>
          <w:color w:val="auto"/>
          <w:sz w:val="21"/>
          <w:szCs w:val="21"/>
          <w:highlight w:val="none"/>
        </w:rPr>
        <w:t>附件15.</w:t>
      </w:r>
      <w:r>
        <w:rPr>
          <w:rFonts w:hint="eastAsia"/>
          <w:color w:val="auto"/>
          <w:highlight w:val="none"/>
        </w:rPr>
        <w:t xml:space="preserve"> </w:t>
      </w:r>
      <w:r>
        <w:rPr>
          <w:rFonts w:hint="eastAsia" w:ascii="宋体" w:hAnsi="宋体"/>
          <w:color w:val="auto"/>
          <w:sz w:val="21"/>
          <w:szCs w:val="21"/>
          <w:highlight w:val="none"/>
        </w:rPr>
        <w:t>财务资料</w:t>
      </w:r>
      <w:bookmarkEnd w:id="169"/>
    </w:p>
    <w:p w14:paraId="0D25046D">
      <w:pPr>
        <w:adjustRightInd/>
        <w:snapToGrid/>
        <w:spacing w:line="240" w:lineRule="auto"/>
        <w:rPr>
          <w:color w:val="auto"/>
          <w:szCs w:val="21"/>
          <w:highlight w:val="none"/>
        </w:rPr>
      </w:pPr>
    </w:p>
    <w:p w14:paraId="4B69C539">
      <w:pPr>
        <w:adjustRightInd/>
        <w:snapToGrid/>
        <w:spacing w:line="240" w:lineRule="auto"/>
        <w:rPr>
          <w:color w:val="auto"/>
          <w:szCs w:val="21"/>
          <w:highlight w:val="none"/>
        </w:rPr>
      </w:pPr>
      <w:r>
        <w:rPr>
          <w:color w:val="auto"/>
          <w:szCs w:val="21"/>
          <w:highlight w:val="none"/>
        </w:rPr>
        <w:br w:type="page"/>
      </w:r>
    </w:p>
    <w:p w14:paraId="0FAB079B">
      <w:pPr>
        <w:pStyle w:val="8"/>
        <w:widowControl w:val="0"/>
        <w:overflowPunct w:val="0"/>
        <w:spacing w:line="240" w:lineRule="auto"/>
        <w:rPr>
          <w:rFonts w:hint="eastAsia" w:ascii="宋体" w:hAnsi="宋体"/>
          <w:color w:val="auto"/>
          <w:sz w:val="21"/>
          <w:szCs w:val="21"/>
          <w:highlight w:val="none"/>
        </w:rPr>
      </w:pPr>
      <w:bookmarkStart w:id="170" w:name="_Toc182308048"/>
      <w:r>
        <w:rPr>
          <w:rFonts w:hint="eastAsia" w:ascii="宋体" w:hAnsi="宋体"/>
          <w:color w:val="auto"/>
          <w:sz w:val="21"/>
          <w:szCs w:val="21"/>
          <w:highlight w:val="none"/>
        </w:rPr>
        <w:t>附件16. 实施本项目的有关人员资料表格式（包括相关人员相关证书资料）</w:t>
      </w:r>
      <w:bookmarkEnd w:id="170"/>
    </w:p>
    <w:p w14:paraId="7EBE614C">
      <w:pPr>
        <w:jc w:val="center"/>
        <w:rPr>
          <w:rFonts w:hint="eastAsia" w:asciiTheme="majorEastAsia" w:hAnsiTheme="majorEastAsia" w:eastAsiaTheme="majorEastAsia"/>
          <w:color w:val="auto"/>
          <w:szCs w:val="21"/>
          <w:highlight w:val="none"/>
        </w:rPr>
      </w:pPr>
    </w:p>
    <w:p w14:paraId="6550FA36">
      <w:pPr>
        <w:jc w:val="center"/>
        <w:rPr>
          <w:rFonts w:hint="eastAsia" w:asciiTheme="majorEastAsia" w:hAnsiTheme="majorEastAsia" w:eastAsiaTheme="majorEastAsia"/>
          <w:color w:val="auto"/>
          <w:sz w:val="32"/>
          <w:szCs w:val="32"/>
          <w:highlight w:val="none"/>
        </w:rPr>
      </w:pPr>
      <w:r>
        <w:rPr>
          <w:rFonts w:hint="eastAsia" w:asciiTheme="majorEastAsia" w:hAnsiTheme="majorEastAsia" w:eastAsiaTheme="majorEastAsia"/>
          <w:color w:val="auto"/>
          <w:sz w:val="32"/>
          <w:szCs w:val="32"/>
          <w:highlight w:val="none"/>
        </w:rPr>
        <w:t>实施本项目的有关人员资料表</w:t>
      </w:r>
    </w:p>
    <w:tbl>
      <w:tblPr>
        <w:tblStyle w:val="29"/>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702"/>
        <w:gridCol w:w="1861"/>
        <w:gridCol w:w="702"/>
        <w:gridCol w:w="702"/>
        <w:gridCol w:w="1164"/>
        <w:gridCol w:w="818"/>
        <w:gridCol w:w="1165"/>
        <w:gridCol w:w="703"/>
      </w:tblGrid>
      <w:tr w14:paraId="788BD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41998E3">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序号</w:t>
            </w:r>
          </w:p>
        </w:tc>
        <w:tc>
          <w:tcPr>
            <w:tcW w:w="702" w:type="dxa"/>
            <w:vAlign w:val="center"/>
          </w:tcPr>
          <w:p w14:paraId="1FB88B81">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姓名</w:t>
            </w:r>
          </w:p>
        </w:tc>
        <w:tc>
          <w:tcPr>
            <w:tcW w:w="1861" w:type="dxa"/>
            <w:vAlign w:val="center"/>
          </w:tcPr>
          <w:p w14:paraId="721505E2">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本项目拟任岗位</w:t>
            </w:r>
          </w:p>
        </w:tc>
        <w:tc>
          <w:tcPr>
            <w:tcW w:w="702" w:type="dxa"/>
            <w:vAlign w:val="center"/>
          </w:tcPr>
          <w:p w14:paraId="0D7D343B">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性别</w:t>
            </w:r>
          </w:p>
        </w:tc>
        <w:tc>
          <w:tcPr>
            <w:tcW w:w="702" w:type="dxa"/>
            <w:vAlign w:val="center"/>
          </w:tcPr>
          <w:p w14:paraId="3A821F50">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年龄</w:t>
            </w:r>
          </w:p>
        </w:tc>
        <w:tc>
          <w:tcPr>
            <w:tcW w:w="1164" w:type="dxa"/>
            <w:vAlign w:val="center"/>
          </w:tcPr>
          <w:p w14:paraId="3B670921">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技术职称</w:t>
            </w:r>
          </w:p>
        </w:tc>
        <w:tc>
          <w:tcPr>
            <w:tcW w:w="818" w:type="dxa"/>
            <w:vAlign w:val="center"/>
          </w:tcPr>
          <w:p w14:paraId="263F95E7">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专 业</w:t>
            </w:r>
          </w:p>
        </w:tc>
        <w:tc>
          <w:tcPr>
            <w:tcW w:w="1165" w:type="dxa"/>
            <w:vAlign w:val="center"/>
          </w:tcPr>
          <w:p w14:paraId="4161DF0E">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资质证书</w:t>
            </w:r>
          </w:p>
        </w:tc>
        <w:tc>
          <w:tcPr>
            <w:tcW w:w="703" w:type="dxa"/>
            <w:tcBorders>
              <w:right w:val="single" w:color="auto" w:sz="6" w:space="0"/>
            </w:tcBorders>
            <w:vAlign w:val="center"/>
          </w:tcPr>
          <w:p w14:paraId="4B0C6525">
            <w:pPr>
              <w:jc w:val="center"/>
              <w:rPr>
                <w:rFonts w:hint="eastAsia" w:asciiTheme="majorEastAsia" w:hAnsiTheme="majorEastAsia" w:eastAsiaTheme="majorEastAsia"/>
                <w:color w:val="auto"/>
                <w:szCs w:val="21"/>
                <w:highlight w:val="none"/>
              </w:rPr>
            </w:pPr>
            <w:r>
              <w:rPr>
                <w:rFonts w:hint="eastAsia" w:asciiTheme="majorEastAsia" w:hAnsiTheme="majorEastAsia" w:eastAsiaTheme="majorEastAsia"/>
                <w:color w:val="auto"/>
                <w:szCs w:val="21"/>
                <w:highlight w:val="none"/>
              </w:rPr>
              <w:t>备注</w:t>
            </w:r>
          </w:p>
        </w:tc>
      </w:tr>
      <w:tr w14:paraId="6B88D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347EAAE5">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08FFE776">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5E4DAAC9">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3B737D61">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43367F66">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58F3B80F">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5267A815">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2CBCC93A">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76FD0A38">
            <w:pPr>
              <w:spacing w:line="288" w:lineRule="auto"/>
              <w:jc w:val="center"/>
              <w:rPr>
                <w:rFonts w:hint="eastAsia" w:asciiTheme="majorEastAsia" w:hAnsiTheme="majorEastAsia" w:eastAsiaTheme="majorEastAsia"/>
                <w:color w:val="auto"/>
                <w:szCs w:val="21"/>
                <w:highlight w:val="none"/>
              </w:rPr>
            </w:pPr>
          </w:p>
        </w:tc>
      </w:tr>
      <w:tr w14:paraId="6AAFC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EEF64D3">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9C0E937">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24C845AD">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3A64B8A8">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14B41BA0">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32790610">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531336A1">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01E76F90">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5844A10E">
            <w:pPr>
              <w:spacing w:line="288" w:lineRule="auto"/>
              <w:jc w:val="center"/>
              <w:rPr>
                <w:rFonts w:hint="eastAsia" w:asciiTheme="majorEastAsia" w:hAnsiTheme="majorEastAsia" w:eastAsiaTheme="majorEastAsia"/>
                <w:color w:val="auto"/>
                <w:szCs w:val="21"/>
                <w:highlight w:val="none"/>
              </w:rPr>
            </w:pPr>
          </w:p>
        </w:tc>
      </w:tr>
      <w:tr w14:paraId="3A593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2F6F75D2">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B73CD09">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6C36E6EA">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0C78918">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7951E96A">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3629900C">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6167000D">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1D71A2D7">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1B4A379A">
            <w:pPr>
              <w:spacing w:line="288" w:lineRule="auto"/>
              <w:jc w:val="center"/>
              <w:rPr>
                <w:rFonts w:hint="eastAsia" w:asciiTheme="majorEastAsia" w:hAnsiTheme="majorEastAsia" w:eastAsiaTheme="majorEastAsia"/>
                <w:color w:val="auto"/>
                <w:szCs w:val="21"/>
                <w:highlight w:val="none"/>
              </w:rPr>
            </w:pPr>
          </w:p>
        </w:tc>
      </w:tr>
      <w:tr w14:paraId="6F64B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32EB5F7">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2A0A98C1">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37670935">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71EB39F">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4FC8F546">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00E7760E">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2EAF4A7A">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1431FB35">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6F5E24FC">
            <w:pPr>
              <w:spacing w:line="288" w:lineRule="auto"/>
              <w:jc w:val="center"/>
              <w:rPr>
                <w:rFonts w:hint="eastAsia" w:asciiTheme="majorEastAsia" w:hAnsiTheme="majorEastAsia" w:eastAsiaTheme="majorEastAsia"/>
                <w:color w:val="auto"/>
                <w:szCs w:val="21"/>
                <w:highlight w:val="none"/>
              </w:rPr>
            </w:pPr>
          </w:p>
        </w:tc>
      </w:tr>
      <w:tr w14:paraId="36D9A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4E700B34">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75EC8E4F">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3478C0A5">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1CCD027F">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2698FC28">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5899E0ED">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3B63AEDF">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64F88776">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565DA665">
            <w:pPr>
              <w:spacing w:line="288" w:lineRule="auto"/>
              <w:jc w:val="center"/>
              <w:rPr>
                <w:rFonts w:hint="eastAsia" w:asciiTheme="majorEastAsia" w:hAnsiTheme="majorEastAsia" w:eastAsiaTheme="majorEastAsia"/>
                <w:color w:val="auto"/>
                <w:szCs w:val="21"/>
                <w:highlight w:val="none"/>
              </w:rPr>
            </w:pPr>
          </w:p>
        </w:tc>
      </w:tr>
      <w:tr w14:paraId="6B604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4AE1D3A9">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731A0956">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4EF25EEF">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D53E11C">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3B3A4CAE">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13FE0ABC">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3BEA7F35">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2FEBB645">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64C2610E">
            <w:pPr>
              <w:spacing w:line="288" w:lineRule="auto"/>
              <w:jc w:val="center"/>
              <w:rPr>
                <w:rFonts w:hint="eastAsia" w:asciiTheme="majorEastAsia" w:hAnsiTheme="majorEastAsia" w:eastAsiaTheme="majorEastAsia"/>
                <w:color w:val="auto"/>
                <w:szCs w:val="21"/>
                <w:highlight w:val="none"/>
              </w:rPr>
            </w:pPr>
          </w:p>
        </w:tc>
      </w:tr>
      <w:tr w14:paraId="0902F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A5FB3E6">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68EA823E">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660188A6">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72789729">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0288AE57">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42FDCA46">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02E2DF08">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0AEDAE1C">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049147C6">
            <w:pPr>
              <w:spacing w:line="288" w:lineRule="auto"/>
              <w:jc w:val="center"/>
              <w:rPr>
                <w:rFonts w:hint="eastAsia" w:asciiTheme="majorEastAsia" w:hAnsiTheme="majorEastAsia" w:eastAsiaTheme="majorEastAsia"/>
                <w:color w:val="auto"/>
                <w:szCs w:val="21"/>
                <w:highlight w:val="none"/>
              </w:rPr>
            </w:pPr>
          </w:p>
        </w:tc>
      </w:tr>
      <w:tr w14:paraId="0C976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0BF44299">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42E61C47">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3A80C26D">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5D2FFE4F">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4A90866F">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419E545B">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1BD7A632">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3FF7E678">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7841074C">
            <w:pPr>
              <w:spacing w:line="288" w:lineRule="auto"/>
              <w:jc w:val="center"/>
              <w:rPr>
                <w:rFonts w:hint="eastAsia" w:asciiTheme="majorEastAsia" w:hAnsiTheme="majorEastAsia" w:eastAsiaTheme="majorEastAsia"/>
                <w:color w:val="auto"/>
                <w:szCs w:val="21"/>
                <w:highlight w:val="none"/>
              </w:rPr>
            </w:pPr>
          </w:p>
        </w:tc>
      </w:tr>
      <w:tr w14:paraId="4EB8B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0DB40446">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4BFF6453">
            <w:pPr>
              <w:spacing w:line="288" w:lineRule="auto"/>
              <w:jc w:val="center"/>
              <w:rPr>
                <w:rFonts w:hint="eastAsia" w:asciiTheme="majorEastAsia" w:hAnsiTheme="majorEastAsia" w:eastAsiaTheme="majorEastAsia"/>
                <w:color w:val="auto"/>
                <w:szCs w:val="21"/>
                <w:highlight w:val="none"/>
              </w:rPr>
            </w:pPr>
          </w:p>
        </w:tc>
        <w:tc>
          <w:tcPr>
            <w:tcW w:w="1861" w:type="dxa"/>
            <w:vAlign w:val="center"/>
          </w:tcPr>
          <w:p w14:paraId="1E96AE53">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77AF4BC7">
            <w:pPr>
              <w:spacing w:line="288" w:lineRule="auto"/>
              <w:jc w:val="center"/>
              <w:rPr>
                <w:rFonts w:hint="eastAsia" w:asciiTheme="majorEastAsia" w:hAnsiTheme="majorEastAsia" w:eastAsiaTheme="majorEastAsia"/>
                <w:color w:val="auto"/>
                <w:szCs w:val="21"/>
                <w:highlight w:val="none"/>
              </w:rPr>
            </w:pPr>
          </w:p>
        </w:tc>
        <w:tc>
          <w:tcPr>
            <w:tcW w:w="702" w:type="dxa"/>
            <w:vAlign w:val="center"/>
          </w:tcPr>
          <w:p w14:paraId="31E4C313">
            <w:pPr>
              <w:spacing w:line="288" w:lineRule="auto"/>
              <w:jc w:val="center"/>
              <w:rPr>
                <w:rFonts w:hint="eastAsia" w:asciiTheme="majorEastAsia" w:hAnsiTheme="majorEastAsia" w:eastAsiaTheme="majorEastAsia"/>
                <w:color w:val="auto"/>
                <w:szCs w:val="21"/>
                <w:highlight w:val="none"/>
              </w:rPr>
            </w:pPr>
          </w:p>
        </w:tc>
        <w:tc>
          <w:tcPr>
            <w:tcW w:w="1164" w:type="dxa"/>
            <w:vAlign w:val="center"/>
          </w:tcPr>
          <w:p w14:paraId="4B365BDC">
            <w:pPr>
              <w:spacing w:line="288" w:lineRule="auto"/>
              <w:jc w:val="center"/>
              <w:rPr>
                <w:rFonts w:hint="eastAsia" w:asciiTheme="majorEastAsia" w:hAnsiTheme="majorEastAsia" w:eastAsiaTheme="majorEastAsia"/>
                <w:color w:val="auto"/>
                <w:szCs w:val="21"/>
                <w:highlight w:val="none"/>
              </w:rPr>
            </w:pPr>
          </w:p>
        </w:tc>
        <w:tc>
          <w:tcPr>
            <w:tcW w:w="818" w:type="dxa"/>
            <w:vAlign w:val="center"/>
          </w:tcPr>
          <w:p w14:paraId="61CFFB70">
            <w:pPr>
              <w:spacing w:line="288" w:lineRule="auto"/>
              <w:jc w:val="center"/>
              <w:rPr>
                <w:rFonts w:hint="eastAsia" w:asciiTheme="majorEastAsia" w:hAnsiTheme="majorEastAsia" w:eastAsiaTheme="majorEastAsia"/>
                <w:color w:val="auto"/>
                <w:szCs w:val="21"/>
                <w:highlight w:val="none"/>
              </w:rPr>
            </w:pPr>
          </w:p>
        </w:tc>
        <w:tc>
          <w:tcPr>
            <w:tcW w:w="1165" w:type="dxa"/>
            <w:vAlign w:val="center"/>
          </w:tcPr>
          <w:p w14:paraId="6E78C3D8">
            <w:pPr>
              <w:spacing w:line="288" w:lineRule="auto"/>
              <w:jc w:val="center"/>
              <w:rPr>
                <w:rFonts w:hint="eastAsia" w:asciiTheme="majorEastAsia" w:hAnsiTheme="majorEastAsia" w:eastAsiaTheme="majorEastAsia"/>
                <w:color w:val="auto"/>
                <w:szCs w:val="21"/>
                <w:highlight w:val="none"/>
              </w:rPr>
            </w:pPr>
          </w:p>
        </w:tc>
        <w:tc>
          <w:tcPr>
            <w:tcW w:w="703" w:type="dxa"/>
            <w:tcBorders>
              <w:right w:val="single" w:color="auto" w:sz="6" w:space="0"/>
            </w:tcBorders>
            <w:vAlign w:val="center"/>
          </w:tcPr>
          <w:p w14:paraId="73ADC58F">
            <w:pPr>
              <w:spacing w:line="288" w:lineRule="auto"/>
              <w:jc w:val="center"/>
              <w:rPr>
                <w:rFonts w:hint="eastAsia" w:asciiTheme="majorEastAsia" w:hAnsiTheme="majorEastAsia" w:eastAsiaTheme="majorEastAsia"/>
                <w:color w:val="auto"/>
                <w:szCs w:val="21"/>
                <w:highlight w:val="none"/>
              </w:rPr>
            </w:pPr>
          </w:p>
        </w:tc>
      </w:tr>
      <w:tr w14:paraId="03955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90139E7">
            <w:pPr>
              <w:spacing w:line="288" w:lineRule="auto"/>
              <w:jc w:val="center"/>
              <w:rPr>
                <w:rFonts w:hint="eastAsia" w:ascii="宋体" w:hAnsi="宋体"/>
                <w:color w:val="auto"/>
                <w:szCs w:val="21"/>
                <w:highlight w:val="none"/>
              </w:rPr>
            </w:pPr>
          </w:p>
        </w:tc>
        <w:tc>
          <w:tcPr>
            <w:tcW w:w="702" w:type="dxa"/>
            <w:vAlign w:val="center"/>
          </w:tcPr>
          <w:p w14:paraId="6C90E7D1">
            <w:pPr>
              <w:spacing w:line="288" w:lineRule="auto"/>
              <w:jc w:val="center"/>
              <w:rPr>
                <w:rFonts w:hint="eastAsia" w:ascii="宋体" w:hAnsi="宋体"/>
                <w:color w:val="auto"/>
                <w:szCs w:val="21"/>
                <w:highlight w:val="none"/>
              </w:rPr>
            </w:pPr>
          </w:p>
        </w:tc>
        <w:tc>
          <w:tcPr>
            <w:tcW w:w="1861" w:type="dxa"/>
            <w:vAlign w:val="center"/>
          </w:tcPr>
          <w:p w14:paraId="5197CE8B">
            <w:pPr>
              <w:spacing w:line="288" w:lineRule="auto"/>
              <w:jc w:val="center"/>
              <w:rPr>
                <w:rFonts w:hint="eastAsia" w:ascii="宋体" w:hAnsi="宋体"/>
                <w:color w:val="auto"/>
                <w:szCs w:val="21"/>
                <w:highlight w:val="none"/>
              </w:rPr>
            </w:pPr>
          </w:p>
        </w:tc>
        <w:tc>
          <w:tcPr>
            <w:tcW w:w="702" w:type="dxa"/>
            <w:vAlign w:val="center"/>
          </w:tcPr>
          <w:p w14:paraId="3F865A4D">
            <w:pPr>
              <w:spacing w:line="288" w:lineRule="auto"/>
              <w:jc w:val="center"/>
              <w:rPr>
                <w:rFonts w:hint="eastAsia" w:ascii="宋体" w:hAnsi="宋体"/>
                <w:color w:val="auto"/>
                <w:szCs w:val="21"/>
                <w:highlight w:val="none"/>
              </w:rPr>
            </w:pPr>
          </w:p>
        </w:tc>
        <w:tc>
          <w:tcPr>
            <w:tcW w:w="702" w:type="dxa"/>
            <w:vAlign w:val="center"/>
          </w:tcPr>
          <w:p w14:paraId="5234F136">
            <w:pPr>
              <w:spacing w:line="288" w:lineRule="auto"/>
              <w:jc w:val="center"/>
              <w:rPr>
                <w:rFonts w:hint="eastAsia" w:ascii="宋体" w:hAnsi="宋体"/>
                <w:color w:val="auto"/>
                <w:szCs w:val="21"/>
                <w:highlight w:val="none"/>
              </w:rPr>
            </w:pPr>
          </w:p>
        </w:tc>
        <w:tc>
          <w:tcPr>
            <w:tcW w:w="1164" w:type="dxa"/>
            <w:vAlign w:val="center"/>
          </w:tcPr>
          <w:p w14:paraId="72D3198B">
            <w:pPr>
              <w:spacing w:line="288" w:lineRule="auto"/>
              <w:jc w:val="center"/>
              <w:rPr>
                <w:rFonts w:hint="eastAsia" w:ascii="宋体" w:hAnsi="宋体"/>
                <w:color w:val="auto"/>
                <w:szCs w:val="21"/>
                <w:highlight w:val="none"/>
              </w:rPr>
            </w:pPr>
          </w:p>
        </w:tc>
        <w:tc>
          <w:tcPr>
            <w:tcW w:w="818" w:type="dxa"/>
            <w:vAlign w:val="center"/>
          </w:tcPr>
          <w:p w14:paraId="339479DA">
            <w:pPr>
              <w:spacing w:line="288" w:lineRule="auto"/>
              <w:jc w:val="center"/>
              <w:rPr>
                <w:rFonts w:hint="eastAsia" w:ascii="宋体" w:hAnsi="宋体"/>
                <w:color w:val="auto"/>
                <w:szCs w:val="21"/>
                <w:highlight w:val="none"/>
              </w:rPr>
            </w:pPr>
          </w:p>
        </w:tc>
        <w:tc>
          <w:tcPr>
            <w:tcW w:w="1165" w:type="dxa"/>
            <w:vAlign w:val="center"/>
          </w:tcPr>
          <w:p w14:paraId="2A2102B4">
            <w:pPr>
              <w:spacing w:line="288" w:lineRule="auto"/>
              <w:jc w:val="center"/>
              <w:rPr>
                <w:rFonts w:hint="eastAsia" w:ascii="宋体" w:hAnsi="宋体"/>
                <w:color w:val="auto"/>
                <w:szCs w:val="21"/>
                <w:highlight w:val="none"/>
              </w:rPr>
            </w:pPr>
          </w:p>
        </w:tc>
        <w:tc>
          <w:tcPr>
            <w:tcW w:w="703" w:type="dxa"/>
            <w:tcBorders>
              <w:right w:val="single" w:color="auto" w:sz="6" w:space="0"/>
            </w:tcBorders>
            <w:vAlign w:val="center"/>
          </w:tcPr>
          <w:p w14:paraId="2949468C">
            <w:pPr>
              <w:spacing w:line="288" w:lineRule="auto"/>
              <w:jc w:val="center"/>
              <w:rPr>
                <w:rFonts w:hint="eastAsia" w:ascii="宋体" w:hAnsi="宋体"/>
                <w:color w:val="auto"/>
                <w:szCs w:val="21"/>
                <w:highlight w:val="none"/>
              </w:rPr>
            </w:pPr>
          </w:p>
        </w:tc>
      </w:tr>
    </w:tbl>
    <w:p w14:paraId="7000E880">
      <w:pPr>
        <w:ind w:firstLine="178" w:firstLineChars="85"/>
        <w:rPr>
          <w:rFonts w:hint="eastAsia" w:ascii="宋体" w:hAnsi="宋体"/>
          <w:color w:val="auto"/>
          <w:szCs w:val="21"/>
          <w:highlight w:val="none"/>
        </w:rPr>
      </w:pPr>
    </w:p>
    <w:p w14:paraId="2BBB9CE4">
      <w:pPr>
        <w:ind w:firstLine="178" w:firstLineChars="85"/>
        <w:rPr>
          <w:rFonts w:hint="eastAsia" w:ascii="宋体" w:hAnsi="宋体"/>
          <w:color w:val="auto"/>
          <w:szCs w:val="21"/>
          <w:highlight w:val="none"/>
        </w:rPr>
      </w:pPr>
      <w:r>
        <w:rPr>
          <w:rFonts w:hint="eastAsia" w:ascii="宋体" w:hAnsi="宋体"/>
          <w:color w:val="auto"/>
          <w:szCs w:val="21"/>
          <w:highlight w:val="none"/>
        </w:rPr>
        <w:t>附有关证明文件（复印件加盖公章）</w:t>
      </w:r>
    </w:p>
    <w:p w14:paraId="4947C473">
      <w:pPr>
        <w:ind w:firstLine="178" w:firstLineChars="85"/>
        <w:rPr>
          <w:rFonts w:hint="eastAsia" w:ascii="宋体" w:hAnsi="宋体"/>
          <w:color w:val="auto"/>
          <w:szCs w:val="21"/>
          <w:highlight w:val="none"/>
        </w:rPr>
      </w:pPr>
      <w:r>
        <w:rPr>
          <w:rFonts w:hint="eastAsia" w:ascii="宋体" w:hAnsi="宋体"/>
          <w:color w:val="auto"/>
          <w:szCs w:val="21"/>
          <w:highlight w:val="none"/>
        </w:rPr>
        <w:t>投标人代表签字：</w:t>
      </w:r>
    </w:p>
    <w:p w14:paraId="45297CAF">
      <w:pPr>
        <w:ind w:firstLine="178" w:firstLineChars="85"/>
        <w:rPr>
          <w:rFonts w:hint="eastAsia" w:ascii="宋体" w:hAnsi="宋体"/>
          <w:color w:val="auto"/>
          <w:szCs w:val="21"/>
          <w:highlight w:val="none"/>
        </w:rPr>
      </w:pPr>
      <w:r>
        <w:rPr>
          <w:rFonts w:hint="eastAsia" w:ascii="宋体" w:hAnsi="宋体"/>
          <w:color w:val="auto"/>
          <w:szCs w:val="21"/>
          <w:highlight w:val="none"/>
        </w:rPr>
        <w:t>投标人盖章：</w:t>
      </w:r>
    </w:p>
    <w:p w14:paraId="2F620CD3">
      <w:pPr>
        <w:rPr>
          <w:rFonts w:hint="eastAsia" w:ascii="宋体" w:hAnsi="宋体"/>
          <w:color w:val="auto"/>
          <w:szCs w:val="21"/>
          <w:highlight w:val="none"/>
        </w:rPr>
      </w:pPr>
      <w:r>
        <w:rPr>
          <w:rFonts w:hint="eastAsia" w:ascii="宋体" w:hAnsi="宋体"/>
          <w:color w:val="auto"/>
          <w:szCs w:val="21"/>
          <w:highlight w:val="none"/>
        </w:rPr>
        <w:t>注：</w:t>
      </w:r>
    </w:p>
    <w:p w14:paraId="0DA9319A">
      <w:pPr>
        <w:pStyle w:val="45"/>
        <w:numPr>
          <w:ilvl w:val="0"/>
          <w:numId w:val="11"/>
        </w:numPr>
        <w:ind w:firstLineChars="0"/>
        <w:rPr>
          <w:rFonts w:hint="eastAsia" w:ascii="宋体" w:hAnsi="宋体"/>
          <w:color w:val="auto"/>
          <w:szCs w:val="21"/>
          <w:highlight w:val="none"/>
        </w:rPr>
      </w:pPr>
      <w:r>
        <w:rPr>
          <w:rFonts w:hint="eastAsia" w:ascii="宋体" w:hAnsi="宋体"/>
          <w:color w:val="auto"/>
          <w:szCs w:val="21"/>
          <w:highlight w:val="none"/>
        </w:rPr>
        <w:t>投标人可按项目的实际需要提供本表格。</w:t>
      </w:r>
    </w:p>
    <w:p w14:paraId="62A0DE98">
      <w:pPr>
        <w:pStyle w:val="45"/>
        <w:numPr>
          <w:ilvl w:val="0"/>
          <w:numId w:val="11"/>
        </w:numPr>
        <w:ind w:firstLineChars="0"/>
        <w:rPr>
          <w:rFonts w:hint="eastAsia" w:ascii="宋体" w:hAnsi="宋体" w:cs="Times New Roman"/>
          <w:color w:val="auto"/>
          <w:szCs w:val="21"/>
          <w:highlight w:val="none"/>
        </w:rPr>
      </w:pPr>
      <w:r>
        <w:rPr>
          <w:rFonts w:hint="eastAsia" w:ascii="宋体" w:hAnsi="宋体"/>
          <w:color w:val="auto"/>
          <w:szCs w:val="21"/>
          <w:highlight w:val="none"/>
        </w:rPr>
        <w:t>该表格为参考格式，投标人可按实际情况自行制订。</w:t>
      </w:r>
    </w:p>
    <w:p w14:paraId="06889A00">
      <w:pPr>
        <w:rPr>
          <w:rFonts w:hint="eastAsia" w:ascii="宋体" w:hAnsi="宋体" w:cs="Times New Roman"/>
          <w:color w:val="auto"/>
          <w:szCs w:val="21"/>
          <w:highlight w:val="none"/>
        </w:rPr>
      </w:pPr>
      <w:r>
        <w:rPr>
          <w:rFonts w:hint="eastAsia" w:ascii="宋体" w:hAnsi="宋体"/>
          <w:color w:val="auto"/>
          <w:szCs w:val="21"/>
          <w:highlight w:val="none"/>
        </w:rPr>
        <w:t>3、投标人若未提供或未填写完整则视为完全响应采购文件的人员要求，因此对投标人投标产生负面影响的，投标人自行承担后果。</w:t>
      </w:r>
    </w:p>
    <w:p w14:paraId="18045482">
      <w:pPr>
        <w:pStyle w:val="45"/>
        <w:numPr>
          <w:ilvl w:val="0"/>
          <w:numId w:val="11"/>
        </w:numPr>
        <w:ind w:firstLineChars="0"/>
        <w:rPr>
          <w:rFonts w:hint="eastAsia" w:ascii="宋体" w:hAnsi="宋体" w:cs="Times New Roman"/>
          <w:color w:val="auto"/>
          <w:szCs w:val="21"/>
          <w:highlight w:val="none"/>
        </w:rPr>
      </w:pPr>
      <w:r>
        <w:rPr>
          <w:rFonts w:hint="eastAsia" w:ascii="宋体" w:hAnsi="宋体"/>
          <w:color w:val="auto"/>
          <w:szCs w:val="21"/>
          <w:highlight w:val="none"/>
        </w:rPr>
        <w:br w:type="page"/>
      </w:r>
    </w:p>
    <w:p w14:paraId="18A21520">
      <w:pPr>
        <w:pStyle w:val="8"/>
        <w:widowControl w:val="0"/>
        <w:overflowPunct w:val="0"/>
        <w:spacing w:line="240" w:lineRule="auto"/>
        <w:rPr>
          <w:rFonts w:hint="eastAsia" w:ascii="宋体" w:hAnsi="宋体"/>
          <w:color w:val="auto"/>
          <w:sz w:val="21"/>
          <w:szCs w:val="21"/>
          <w:highlight w:val="none"/>
        </w:rPr>
      </w:pPr>
      <w:bookmarkStart w:id="171" w:name="_Toc182308049"/>
      <w:r>
        <w:rPr>
          <w:rFonts w:hint="eastAsia" w:ascii="宋体" w:hAnsi="宋体"/>
          <w:color w:val="auto"/>
          <w:sz w:val="21"/>
          <w:szCs w:val="21"/>
          <w:highlight w:val="none"/>
        </w:rPr>
        <w:t>附件17. 有关人员近期的社保缴纳情况</w:t>
      </w:r>
      <w:bookmarkEnd w:id="171"/>
    </w:p>
    <w:p w14:paraId="3201E851">
      <w:pPr>
        <w:adjustRightInd/>
        <w:snapToGrid/>
        <w:spacing w:line="240" w:lineRule="auto"/>
        <w:rPr>
          <w:rFonts w:hint="eastAsia" w:ascii="宋体" w:hAnsi="宋体"/>
          <w:color w:val="auto"/>
          <w:szCs w:val="21"/>
          <w:highlight w:val="none"/>
        </w:rPr>
      </w:pPr>
    </w:p>
    <w:p w14:paraId="2E71157C">
      <w:pPr>
        <w:adjustRightInd/>
        <w:snapToGrid/>
        <w:spacing w:line="240" w:lineRule="auto"/>
        <w:rPr>
          <w:rFonts w:hint="eastAsia" w:ascii="宋体" w:hAnsi="宋体" w:cstheme="majorBidi"/>
          <w:b/>
          <w:bCs/>
          <w:color w:val="auto"/>
          <w:szCs w:val="21"/>
          <w:highlight w:val="none"/>
        </w:rPr>
      </w:pPr>
      <w:r>
        <w:rPr>
          <w:rFonts w:hint="eastAsia" w:ascii="宋体" w:hAnsi="宋体"/>
          <w:color w:val="auto"/>
          <w:szCs w:val="21"/>
          <w:highlight w:val="none"/>
        </w:rPr>
        <w:br w:type="page"/>
      </w:r>
    </w:p>
    <w:p w14:paraId="78DBA8C9">
      <w:pPr>
        <w:pStyle w:val="6"/>
        <w:spacing w:before="0" w:after="0" w:line="360" w:lineRule="auto"/>
        <w:jc w:val="center"/>
        <w:rPr>
          <w:color w:val="auto"/>
          <w:sz w:val="72"/>
          <w:szCs w:val="72"/>
          <w:highlight w:val="none"/>
        </w:rPr>
      </w:pPr>
      <w:bookmarkStart w:id="172" w:name="_Toc182308050"/>
      <w:r>
        <w:rPr>
          <w:rFonts w:hint="eastAsia"/>
          <w:color w:val="auto"/>
          <w:sz w:val="72"/>
          <w:szCs w:val="72"/>
          <w:highlight w:val="none"/>
        </w:rPr>
        <w:t>技术文件</w:t>
      </w:r>
      <w:bookmarkEnd w:id="172"/>
    </w:p>
    <w:p w14:paraId="1C3CE00A">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63A952EA">
      <w:pPr>
        <w:rPr>
          <w:color w:val="auto"/>
          <w:highlight w:val="none"/>
        </w:rPr>
      </w:pPr>
    </w:p>
    <w:p w14:paraId="0AA1BB4D">
      <w:pPr>
        <w:pStyle w:val="13"/>
        <w:rPr>
          <w:rFonts w:hint="eastAsia"/>
          <w:color w:val="auto"/>
          <w:highlight w:val="none"/>
        </w:rPr>
      </w:pPr>
    </w:p>
    <w:p w14:paraId="1A568B9E">
      <w:pPr>
        <w:ind w:firstLine="240"/>
        <w:rPr>
          <w:color w:val="auto"/>
          <w:highlight w:val="none"/>
        </w:rPr>
      </w:pPr>
    </w:p>
    <w:p w14:paraId="4EA90306">
      <w:pPr>
        <w:rPr>
          <w:rFonts w:hint="eastAsia" w:ascii="宋体" w:hAnsi="宋体" w:cs="宋体"/>
          <w:b/>
          <w:bCs/>
          <w:color w:val="auto"/>
          <w:spacing w:val="-6"/>
          <w:sz w:val="32"/>
          <w:szCs w:val="32"/>
          <w:highlight w:val="none"/>
        </w:rPr>
      </w:pPr>
      <w:r>
        <w:rPr>
          <w:rFonts w:hint="eastAsia" w:ascii="宋体" w:hAnsi="宋体" w:cs="宋体"/>
          <w:b/>
          <w:bCs/>
          <w:color w:val="auto"/>
          <w:spacing w:val="53"/>
          <w:w w:val="100"/>
          <w:kern w:val="0"/>
          <w:sz w:val="32"/>
          <w:szCs w:val="32"/>
          <w:highlight w:val="none"/>
          <w:fitText w:val="1600" w:id="8"/>
        </w:rPr>
        <w:t>项目名</w:t>
      </w:r>
      <w:r>
        <w:rPr>
          <w:rFonts w:hint="eastAsia" w:ascii="宋体" w:hAnsi="宋体" w:cs="宋体"/>
          <w:b/>
          <w:bCs/>
          <w:color w:val="auto"/>
          <w:spacing w:val="1"/>
          <w:w w:val="100"/>
          <w:kern w:val="0"/>
          <w:sz w:val="32"/>
          <w:szCs w:val="32"/>
          <w:highlight w:val="none"/>
          <w:fitText w:val="1600" w:id="8"/>
        </w:rPr>
        <w:t>称</w:t>
      </w:r>
      <w:r>
        <w:rPr>
          <w:rFonts w:hint="eastAsia" w:ascii="宋体" w:hAnsi="宋体" w:cs="宋体"/>
          <w:b/>
          <w:bCs/>
          <w:color w:val="auto"/>
          <w:spacing w:val="-6"/>
          <w:sz w:val="32"/>
          <w:szCs w:val="32"/>
          <w:highlight w:val="none"/>
        </w:rPr>
        <w:t>：</w:t>
      </w:r>
    </w:p>
    <w:p w14:paraId="68D5FAB2">
      <w:pPr>
        <w:rPr>
          <w:rFonts w:hint="eastAsia" w:ascii="宋体" w:hAnsi="宋体" w:cs="宋体"/>
          <w:b/>
          <w:bCs/>
          <w:color w:val="auto"/>
          <w:sz w:val="32"/>
          <w:szCs w:val="32"/>
          <w:highlight w:val="none"/>
        </w:rPr>
      </w:pPr>
      <w:r>
        <w:rPr>
          <w:rFonts w:hint="eastAsia" w:ascii="宋体" w:hAnsi="宋体" w:cs="宋体"/>
          <w:b/>
          <w:bCs/>
          <w:color w:val="auto"/>
          <w:spacing w:val="53"/>
          <w:w w:val="100"/>
          <w:kern w:val="0"/>
          <w:sz w:val="32"/>
          <w:szCs w:val="32"/>
          <w:highlight w:val="none"/>
          <w:fitText w:val="1600" w:id="9"/>
        </w:rPr>
        <w:t>项目编</w:t>
      </w:r>
      <w:r>
        <w:rPr>
          <w:rFonts w:hint="eastAsia" w:ascii="宋体" w:hAnsi="宋体" w:cs="宋体"/>
          <w:b/>
          <w:bCs/>
          <w:color w:val="auto"/>
          <w:spacing w:val="1"/>
          <w:w w:val="100"/>
          <w:kern w:val="0"/>
          <w:sz w:val="32"/>
          <w:szCs w:val="32"/>
          <w:highlight w:val="none"/>
          <w:fitText w:val="1600" w:id="9"/>
        </w:rPr>
        <w:t>号</w:t>
      </w:r>
      <w:r>
        <w:rPr>
          <w:rFonts w:hint="eastAsia" w:ascii="宋体" w:hAnsi="宋体" w:cs="宋体"/>
          <w:b/>
          <w:bCs/>
          <w:color w:val="auto"/>
          <w:sz w:val="32"/>
          <w:szCs w:val="32"/>
          <w:highlight w:val="none"/>
        </w:rPr>
        <w:t>：</w:t>
      </w:r>
    </w:p>
    <w:p w14:paraId="633DCD5F">
      <w:pPr>
        <w:pStyle w:val="13"/>
        <w:ind w:left="0"/>
        <w:rPr>
          <w:rFonts w:hint="eastAsia"/>
          <w:b/>
          <w:color w:val="auto"/>
          <w:spacing w:val="1280"/>
          <w:sz w:val="32"/>
          <w:szCs w:val="32"/>
          <w:highlight w:val="none"/>
        </w:rPr>
      </w:pPr>
      <w:r>
        <w:rPr>
          <w:b/>
          <w:color w:val="auto"/>
          <w:spacing w:val="106"/>
          <w:sz w:val="32"/>
          <w:szCs w:val="32"/>
          <w:highlight w:val="none"/>
          <w:lang w:val="en-US" w:bidi="ar-SA"/>
        </w:rPr>
        <w:t>包组号（如有）：</w:t>
      </w:r>
    </w:p>
    <w:p w14:paraId="493A12E5">
      <w:pPr>
        <w:rPr>
          <w:rFonts w:hint="eastAsia" w:ascii="宋体" w:hAnsi="宋体" w:cs="宋体"/>
          <w:b/>
          <w:color w:val="auto"/>
          <w:sz w:val="32"/>
          <w:szCs w:val="32"/>
          <w:highlight w:val="none"/>
        </w:rPr>
      </w:pPr>
      <w:r>
        <w:rPr>
          <w:rFonts w:hint="eastAsia" w:ascii="宋体" w:hAnsi="宋体" w:cs="宋体"/>
          <w:b/>
          <w:color w:val="auto"/>
          <w:spacing w:val="0"/>
          <w:w w:val="100"/>
          <w:kern w:val="0"/>
          <w:sz w:val="32"/>
          <w:szCs w:val="32"/>
          <w:highlight w:val="none"/>
          <w:fitText w:val="1600" w:id="10"/>
        </w:rPr>
        <w:t>投标人名称</w:t>
      </w:r>
      <w:r>
        <w:rPr>
          <w:rFonts w:hint="eastAsia" w:ascii="宋体" w:hAnsi="宋体" w:cs="宋体"/>
          <w:b/>
          <w:color w:val="auto"/>
          <w:sz w:val="32"/>
          <w:szCs w:val="32"/>
          <w:highlight w:val="none"/>
        </w:rPr>
        <w:t>：</w:t>
      </w:r>
    </w:p>
    <w:p w14:paraId="692AEB8C">
      <w:pPr>
        <w:rPr>
          <w:rFonts w:hint="eastAsia" w:ascii="宋体" w:hAnsi="宋体" w:cs="宋体"/>
          <w:b/>
          <w:color w:val="auto"/>
          <w:sz w:val="32"/>
          <w:szCs w:val="32"/>
          <w:highlight w:val="none"/>
        </w:rPr>
      </w:pPr>
      <w:r>
        <w:rPr>
          <w:rFonts w:hint="eastAsia" w:ascii="宋体" w:hAnsi="宋体" w:cs="宋体"/>
          <w:b/>
          <w:color w:val="auto"/>
          <w:spacing w:val="32"/>
          <w:w w:val="100"/>
          <w:kern w:val="0"/>
          <w:sz w:val="32"/>
          <w:szCs w:val="32"/>
          <w:highlight w:val="none"/>
          <w:fitText w:val="1600" w:id="11"/>
        </w:rPr>
        <w:t xml:space="preserve">日    </w:t>
      </w:r>
      <w:r>
        <w:rPr>
          <w:rFonts w:hint="eastAsia" w:ascii="宋体" w:hAnsi="宋体" w:cs="宋体"/>
          <w:b/>
          <w:color w:val="auto"/>
          <w:spacing w:val="0"/>
          <w:w w:val="100"/>
          <w:kern w:val="0"/>
          <w:sz w:val="32"/>
          <w:szCs w:val="32"/>
          <w:highlight w:val="none"/>
          <w:fitText w:val="1600" w:id="11"/>
        </w:rPr>
        <w:t>期</w:t>
      </w:r>
      <w:r>
        <w:rPr>
          <w:rFonts w:hint="eastAsia" w:ascii="宋体" w:hAnsi="宋体" w:cs="宋体"/>
          <w:b/>
          <w:color w:val="auto"/>
          <w:sz w:val="32"/>
          <w:szCs w:val="32"/>
          <w:highlight w:val="none"/>
        </w:rPr>
        <w:t>：  年  月  日</w:t>
      </w:r>
    </w:p>
    <w:p w14:paraId="5878BF9F">
      <w:pPr>
        <w:rPr>
          <w:rFonts w:hint="eastAsia" w:ascii="宋体" w:hAnsi="宋体"/>
          <w:color w:val="auto"/>
          <w:szCs w:val="21"/>
          <w:highlight w:val="none"/>
        </w:rPr>
      </w:pPr>
      <w:r>
        <w:rPr>
          <w:rFonts w:hint="eastAsia" w:ascii="宋体" w:hAnsi="宋体"/>
          <w:color w:val="auto"/>
          <w:szCs w:val="21"/>
          <w:highlight w:val="none"/>
        </w:rPr>
        <w:br w:type="page"/>
      </w:r>
    </w:p>
    <w:p w14:paraId="09F104FF">
      <w:pPr>
        <w:pStyle w:val="8"/>
        <w:widowControl w:val="0"/>
        <w:overflowPunct w:val="0"/>
        <w:spacing w:line="240" w:lineRule="auto"/>
        <w:rPr>
          <w:rFonts w:hint="eastAsia" w:ascii="宋体" w:hAnsi="宋体"/>
          <w:color w:val="auto"/>
          <w:sz w:val="21"/>
          <w:szCs w:val="21"/>
          <w:highlight w:val="none"/>
        </w:rPr>
      </w:pPr>
      <w:bookmarkStart w:id="173" w:name="_Toc182308051"/>
      <w:r>
        <w:rPr>
          <w:rFonts w:hint="eastAsia" w:ascii="宋体" w:hAnsi="宋体"/>
          <w:color w:val="auto"/>
          <w:sz w:val="21"/>
          <w:szCs w:val="21"/>
          <w:highlight w:val="none"/>
        </w:rPr>
        <w:t>附件1.</w:t>
      </w:r>
      <w:r>
        <w:rPr>
          <w:rFonts w:hint="eastAsia"/>
          <w:color w:val="auto"/>
          <w:highlight w:val="none"/>
        </w:rPr>
        <w:t xml:space="preserve"> </w:t>
      </w:r>
      <w:r>
        <w:rPr>
          <w:rFonts w:hint="eastAsia" w:ascii="宋体" w:hAnsi="宋体"/>
          <w:color w:val="auto"/>
          <w:sz w:val="21"/>
          <w:szCs w:val="21"/>
          <w:highlight w:val="none"/>
        </w:rPr>
        <w:t>技术评分标准索引表</w:t>
      </w:r>
      <w:bookmarkEnd w:id="173"/>
    </w:p>
    <w:p w14:paraId="5E15002D">
      <w:pPr>
        <w:adjustRightInd/>
        <w:snapToGrid/>
        <w:spacing w:line="276" w:lineRule="auto"/>
        <w:rPr>
          <w:rFonts w:hint="eastAsia" w:ascii="宋体" w:hAnsi="宋体" w:cs="宋体"/>
          <w:color w:val="auto"/>
          <w:szCs w:val="21"/>
          <w:highlight w:val="none"/>
        </w:rPr>
      </w:pPr>
    </w:p>
    <w:p w14:paraId="7C30C03A">
      <w:pPr>
        <w:jc w:val="center"/>
        <w:rPr>
          <w:rFonts w:hint="eastAsia" w:ascii="宋体" w:hAnsi="宋体" w:cs="宋体"/>
          <w:color w:val="auto"/>
          <w:sz w:val="32"/>
          <w:szCs w:val="32"/>
          <w:highlight w:val="none"/>
        </w:rPr>
      </w:pPr>
      <w:r>
        <w:rPr>
          <w:rFonts w:hint="eastAsia" w:ascii="宋体" w:hAnsi="宋体" w:cs="宋体"/>
          <w:color w:val="auto"/>
          <w:sz w:val="32"/>
          <w:szCs w:val="32"/>
          <w:highlight w:val="none"/>
        </w:rPr>
        <w:t>评分标准索引表</w:t>
      </w:r>
    </w:p>
    <w:tbl>
      <w:tblPr>
        <w:tblStyle w:val="3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1F324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291A8F67">
            <w:pPr>
              <w:jc w:val="center"/>
              <w:rPr>
                <w:rFonts w:hint="eastAsia" w:ascii="宋体" w:hAnsi="宋体" w:cs="宋体"/>
                <w:color w:val="auto"/>
                <w:highlight w:val="none"/>
              </w:rPr>
            </w:pPr>
            <w:r>
              <w:rPr>
                <w:rFonts w:hint="eastAsia" w:ascii="宋体" w:hAnsi="宋体" w:cs="宋体"/>
                <w:color w:val="auto"/>
                <w:highlight w:val="none"/>
              </w:rPr>
              <w:t>序号</w:t>
            </w:r>
          </w:p>
        </w:tc>
        <w:tc>
          <w:tcPr>
            <w:tcW w:w="1704" w:type="dxa"/>
            <w:vAlign w:val="center"/>
          </w:tcPr>
          <w:p w14:paraId="1A758E87">
            <w:pPr>
              <w:jc w:val="center"/>
              <w:rPr>
                <w:rFonts w:hint="eastAsia" w:ascii="宋体" w:hAnsi="宋体" w:cs="宋体"/>
                <w:color w:val="auto"/>
                <w:highlight w:val="none"/>
              </w:rPr>
            </w:pPr>
            <w:r>
              <w:rPr>
                <w:rFonts w:hint="eastAsia" w:ascii="宋体" w:hAnsi="宋体" w:cs="宋体"/>
                <w:color w:val="auto"/>
                <w:highlight w:val="none"/>
              </w:rPr>
              <w:t>评审项目</w:t>
            </w:r>
          </w:p>
        </w:tc>
        <w:tc>
          <w:tcPr>
            <w:tcW w:w="1704" w:type="dxa"/>
            <w:vAlign w:val="center"/>
          </w:tcPr>
          <w:p w14:paraId="4B8369C3">
            <w:pPr>
              <w:jc w:val="center"/>
              <w:rPr>
                <w:rFonts w:hint="eastAsia" w:ascii="宋体" w:hAnsi="宋体" w:cs="宋体"/>
                <w:color w:val="auto"/>
                <w:highlight w:val="none"/>
              </w:rPr>
            </w:pPr>
            <w:r>
              <w:rPr>
                <w:rFonts w:hint="eastAsia" w:ascii="宋体" w:hAnsi="宋体" w:cs="宋体"/>
                <w:color w:val="auto"/>
                <w:highlight w:val="none"/>
              </w:rPr>
              <w:t>评审细则</w:t>
            </w:r>
          </w:p>
        </w:tc>
        <w:tc>
          <w:tcPr>
            <w:tcW w:w="1705" w:type="dxa"/>
            <w:vAlign w:val="center"/>
          </w:tcPr>
          <w:p w14:paraId="24EA5344">
            <w:pPr>
              <w:jc w:val="center"/>
              <w:rPr>
                <w:rFonts w:hint="eastAsia" w:ascii="宋体" w:hAnsi="宋体" w:cs="宋体"/>
                <w:color w:val="auto"/>
                <w:highlight w:val="none"/>
              </w:rPr>
            </w:pPr>
            <w:r>
              <w:rPr>
                <w:rFonts w:hint="eastAsia" w:ascii="宋体" w:hAnsi="宋体" w:cs="宋体"/>
                <w:color w:val="auto"/>
                <w:highlight w:val="none"/>
              </w:rPr>
              <w:t>分值</w:t>
            </w:r>
          </w:p>
        </w:tc>
        <w:tc>
          <w:tcPr>
            <w:tcW w:w="1705" w:type="dxa"/>
            <w:vAlign w:val="center"/>
          </w:tcPr>
          <w:p w14:paraId="5B648673">
            <w:pPr>
              <w:jc w:val="center"/>
              <w:rPr>
                <w:rFonts w:hint="eastAsia" w:ascii="宋体" w:hAnsi="宋体" w:cs="宋体"/>
                <w:color w:val="auto"/>
                <w:highlight w:val="none"/>
              </w:rPr>
            </w:pPr>
            <w:r>
              <w:rPr>
                <w:rFonts w:hint="eastAsia" w:ascii="宋体" w:hAnsi="宋体" w:cs="宋体"/>
                <w:color w:val="auto"/>
                <w:highlight w:val="none"/>
              </w:rPr>
              <w:t>页码范围</w:t>
            </w:r>
          </w:p>
        </w:tc>
      </w:tr>
      <w:tr w14:paraId="282F3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7D843551">
            <w:pPr>
              <w:jc w:val="center"/>
              <w:rPr>
                <w:rFonts w:hint="eastAsia" w:ascii="宋体" w:hAnsi="宋体" w:cs="宋体"/>
                <w:color w:val="auto"/>
                <w:highlight w:val="none"/>
              </w:rPr>
            </w:pPr>
            <w:r>
              <w:rPr>
                <w:rFonts w:hint="eastAsia" w:ascii="宋体" w:hAnsi="宋体" w:cs="宋体"/>
                <w:color w:val="auto"/>
                <w:highlight w:val="none"/>
              </w:rPr>
              <w:t>技术评审</w:t>
            </w:r>
          </w:p>
        </w:tc>
      </w:tr>
      <w:tr w14:paraId="6C5D1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6FB626B">
            <w:pPr>
              <w:jc w:val="center"/>
              <w:rPr>
                <w:rFonts w:hint="eastAsia" w:ascii="宋体" w:hAnsi="宋体" w:cs="宋体"/>
                <w:color w:val="auto"/>
                <w:highlight w:val="none"/>
              </w:rPr>
            </w:pPr>
          </w:p>
        </w:tc>
        <w:tc>
          <w:tcPr>
            <w:tcW w:w="1704" w:type="dxa"/>
            <w:vAlign w:val="center"/>
          </w:tcPr>
          <w:p w14:paraId="7954B5D9">
            <w:pPr>
              <w:jc w:val="center"/>
              <w:rPr>
                <w:rFonts w:hint="eastAsia" w:ascii="宋体" w:hAnsi="宋体" w:cs="宋体"/>
                <w:color w:val="auto"/>
                <w:highlight w:val="none"/>
              </w:rPr>
            </w:pPr>
          </w:p>
        </w:tc>
        <w:tc>
          <w:tcPr>
            <w:tcW w:w="1704" w:type="dxa"/>
            <w:vAlign w:val="center"/>
          </w:tcPr>
          <w:p w14:paraId="39DF5070">
            <w:pPr>
              <w:jc w:val="center"/>
              <w:rPr>
                <w:rFonts w:hint="eastAsia" w:ascii="宋体" w:hAnsi="宋体" w:cs="宋体"/>
                <w:color w:val="auto"/>
                <w:highlight w:val="none"/>
              </w:rPr>
            </w:pPr>
          </w:p>
        </w:tc>
        <w:tc>
          <w:tcPr>
            <w:tcW w:w="1705" w:type="dxa"/>
            <w:vAlign w:val="center"/>
          </w:tcPr>
          <w:p w14:paraId="0BC33BF0">
            <w:pPr>
              <w:jc w:val="center"/>
              <w:rPr>
                <w:rFonts w:hint="eastAsia" w:ascii="宋体" w:hAnsi="宋体" w:cs="宋体"/>
                <w:color w:val="auto"/>
                <w:highlight w:val="none"/>
              </w:rPr>
            </w:pPr>
          </w:p>
        </w:tc>
        <w:tc>
          <w:tcPr>
            <w:tcW w:w="1705" w:type="dxa"/>
            <w:vAlign w:val="center"/>
          </w:tcPr>
          <w:p w14:paraId="3DBD652E">
            <w:pPr>
              <w:jc w:val="center"/>
              <w:rPr>
                <w:rFonts w:hint="eastAsia" w:ascii="宋体" w:hAnsi="宋体" w:cs="宋体"/>
                <w:color w:val="auto"/>
                <w:highlight w:val="none"/>
              </w:rPr>
            </w:pPr>
          </w:p>
        </w:tc>
      </w:tr>
      <w:tr w14:paraId="384A1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2BD280E4">
            <w:pPr>
              <w:jc w:val="center"/>
              <w:rPr>
                <w:rFonts w:hint="eastAsia" w:ascii="宋体" w:hAnsi="宋体" w:cs="宋体"/>
                <w:color w:val="auto"/>
                <w:highlight w:val="none"/>
              </w:rPr>
            </w:pPr>
          </w:p>
        </w:tc>
        <w:tc>
          <w:tcPr>
            <w:tcW w:w="1704" w:type="dxa"/>
            <w:vAlign w:val="center"/>
          </w:tcPr>
          <w:p w14:paraId="34635691">
            <w:pPr>
              <w:jc w:val="center"/>
              <w:rPr>
                <w:rFonts w:hint="eastAsia" w:ascii="宋体" w:hAnsi="宋体" w:cs="宋体"/>
                <w:color w:val="auto"/>
                <w:highlight w:val="none"/>
              </w:rPr>
            </w:pPr>
          </w:p>
        </w:tc>
        <w:tc>
          <w:tcPr>
            <w:tcW w:w="1704" w:type="dxa"/>
            <w:vAlign w:val="center"/>
          </w:tcPr>
          <w:p w14:paraId="59B76412">
            <w:pPr>
              <w:jc w:val="center"/>
              <w:rPr>
                <w:rFonts w:hint="eastAsia" w:ascii="宋体" w:hAnsi="宋体" w:cs="宋体"/>
                <w:color w:val="auto"/>
                <w:highlight w:val="none"/>
              </w:rPr>
            </w:pPr>
          </w:p>
        </w:tc>
        <w:tc>
          <w:tcPr>
            <w:tcW w:w="1705" w:type="dxa"/>
            <w:vAlign w:val="center"/>
          </w:tcPr>
          <w:p w14:paraId="25AF1A46">
            <w:pPr>
              <w:jc w:val="center"/>
              <w:rPr>
                <w:rFonts w:hint="eastAsia" w:ascii="宋体" w:hAnsi="宋体" w:cs="宋体"/>
                <w:color w:val="auto"/>
                <w:highlight w:val="none"/>
              </w:rPr>
            </w:pPr>
          </w:p>
        </w:tc>
        <w:tc>
          <w:tcPr>
            <w:tcW w:w="1705" w:type="dxa"/>
            <w:vAlign w:val="center"/>
          </w:tcPr>
          <w:p w14:paraId="42E23275">
            <w:pPr>
              <w:jc w:val="center"/>
              <w:rPr>
                <w:rFonts w:hint="eastAsia" w:ascii="宋体" w:hAnsi="宋体" w:cs="宋体"/>
                <w:color w:val="auto"/>
                <w:highlight w:val="none"/>
              </w:rPr>
            </w:pPr>
          </w:p>
        </w:tc>
      </w:tr>
      <w:tr w14:paraId="701C8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0C2BF8C">
            <w:pPr>
              <w:jc w:val="center"/>
              <w:rPr>
                <w:rFonts w:hint="eastAsia" w:ascii="宋体" w:hAnsi="宋体" w:cs="宋体"/>
                <w:color w:val="auto"/>
                <w:highlight w:val="none"/>
              </w:rPr>
            </w:pPr>
          </w:p>
        </w:tc>
        <w:tc>
          <w:tcPr>
            <w:tcW w:w="1704" w:type="dxa"/>
            <w:vAlign w:val="center"/>
          </w:tcPr>
          <w:p w14:paraId="3986A81C">
            <w:pPr>
              <w:jc w:val="center"/>
              <w:rPr>
                <w:rFonts w:hint="eastAsia" w:ascii="宋体" w:hAnsi="宋体" w:cs="宋体"/>
                <w:color w:val="auto"/>
                <w:highlight w:val="none"/>
              </w:rPr>
            </w:pPr>
          </w:p>
        </w:tc>
        <w:tc>
          <w:tcPr>
            <w:tcW w:w="1704" w:type="dxa"/>
            <w:vAlign w:val="center"/>
          </w:tcPr>
          <w:p w14:paraId="2CD396D7">
            <w:pPr>
              <w:jc w:val="center"/>
              <w:rPr>
                <w:rFonts w:hint="eastAsia" w:ascii="宋体" w:hAnsi="宋体" w:cs="宋体"/>
                <w:color w:val="auto"/>
                <w:highlight w:val="none"/>
              </w:rPr>
            </w:pPr>
          </w:p>
        </w:tc>
        <w:tc>
          <w:tcPr>
            <w:tcW w:w="1705" w:type="dxa"/>
            <w:vAlign w:val="center"/>
          </w:tcPr>
          <w:p w14:paraId="54082514">
            <w:pPr>
              <w:jc w:val="center"/>
              <w:rPr>
                <w:rFonts w:hint="eastAsia" w:ascii="宋体" w:hAnsi="宋体" w:cs="宋体"/>
                <w:color w:val="auto"/>
                <w:highlight w:val="none"/>
              </w:rPr>
            </w:pPr>
          </w:p>
        </w:tc>
        <w:tc>
          <w:tcPr>
            <w:tcW w:w="1705" w:type="dxa"/>
            <w:vAlign w:val="center"/>
          </w:tcPr>
          <w:p w14:paraId="0D69E76E">
            <w:pPr>
              <w:jc w:val="center"/>
              <w:rPr>
                <w:rFonts w:hint="eastAsia" w:ascii="宋体" w:hAnsi="宋体" w:cs="宋体"/>
                <w:color w:val="auto"/>
                <w:highlight w:val="none"/>
              </w:rPr>
            </w:pPr>
          </w:p>
        </w:tc>
      </w:tr>
    </w:tbl>
    <w:p w14:paraId="6770437B">
      <w:pPr>
        <w:rPr>
          <w:rFonts w:hint="eastAsia" w:ascii="宋体" w:hAnsi="宋体" w:cs="宋体"/>
          <w:color w:val="auto"/>
          <w:szCs w:val="21"/>
          <w:highlight w:val="none"/>
        </w:rPr>
      </w:pPr>
    </w:p>
    <w:p w14:paraId="446904BE">
      <w:pPr>
        <w:adjustRightInd/>
        <w:snapToGrid/>
        <w:spacing w:line="240" w:lineRule="auto"/>
        <w:rPr>
          <w:rFonts w:hint="eastAsia" w:ascii="宋体" w:hAnsi="宋体"/>
          <w:color w:val="auto"/>
          <w:szCs w:val="21"/>
          <w:highlight w:val="none"/>
        </w:rPr>
      </w:pPr>
      <w:r>
        <w:rPr>
          <w:rFonts w:hint="eastAsia" w:ascii="宋体" w:hAnsi="宋体"/>
          <w:color w:val="auto"/>
          <w:szCs w:val="21"/>
          <w:highlight w:val="none"/>
        </w:rPr>
        <w:br w:type="page"/>
      </w:r>
    </w:p>
    <w:p w14:paraId="2755C291">
      <w:pPr>
        <w:pStyle w:val="8"/>
        <w:widowControl w:val="0"/>
        <w:overflowPunct w:val="0"/>
        <w:spacing w:line="240" w:lineRule="auto"/>
        <w:rPr>
          <w:rFonts w:hint="eastAsia" w:ascii="宋体" w:hAnsi="宋体"/>
          <w:color w:val="auto"/>
          <w:sz w:val="21"/>
          <w:szCs w:val="21"/>
          <w:highlight w:val="none"/>
        </w:rPr>
      </w:pPr>
      <w:bookmarkStart w:id="174" w:name="_Toc182308052"/>
      <w:r>
        <w:rPr>
          <w:rFonts w:hint="eastAsia" w:ascii="宋体" w:hAnsi="宋体"/>
          <w:color w:val="auto"/>
          <w:sz w:val="21"/>
          <w:szCs w:val="21"/>
          <w:highlight w:val="none"/>
        </w:rPr>
        <w:t>附件2. 技术规格偏离表格式</w:t>
      </w:r>
      <w:bookmarkEnd w:id="174"/>
    </w:p>
    <w:p w14:paraId="5404035C">
      <w:pPr>
        <w:jc w:val="center"/>
        <w:rPr>
          <w:rFonts w:ascii="黑体" w:eastAsia="黑体"/>
          <w:color w:val="auto"/>
          <w:sz w:val="28"/>
          <w:szCs w:val="28"/>
          <w:highlight w:val="none"/>
        </w:rPr>
      </w:pPr>
    </w:p>
    <w:p w14:paraId="005E60A9">
      <w:pPr>
        <w:jc w:val="center"/>
        <w:rPr>
          <w:rFonts w:hint="eastAsia" w:ascii="宋体" w:hAnsi="宋体"/>
          <w:color w:val="auto"/>
          <w:sz w:val="28"/>
          <w:szCs w:val="28"/>
          <w:highlight w:val="none"/>
        </w:rPr>
      </w:pPr>
      <w:r>
        <w:rPr>
          <w:rFonts w:hint="eastAsia" w:ascii="宋体" w:hAnsi="宋体"/>
          <w:color w:val="auto"/>
          <w:sz w:val="28"/>
          <w:szCs w:val="28"/>
          <w:highlight w:val="none"/>
        </w:rPr>
        <w:t>技术规格偏离表</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50EE9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76811997">
            <w:pPr>
              <w:jc w:val="center"/>
              <w:rPr>
                <w:rFonts w:hint="eastAsia" w:ascii="宋体" w:hAnsi="宋体"/>
                <w:color w:val="auto"/>
                <w:szCs w:val="21"/>
                <w:highlight w:val="none"/>
              </w:rPr>
            </w:pPr>
            <w:r>
              <w:rPr>
                <w:rFonts w:hint="eastAsia" w:ascii="宋体" w:hAnsi="宋体"/>
                <w:color w:val="auto"/>
                <w:szCs w:val="21"/>
                <w:highlight w:val="none"/>
              </w:rPr>
              <w:t>序号</w:t>
            </w:r>
          </w:p>
        </w:tc>
        <w:tc>
          <w:tcPr>
            <w:tcW w:w="1902" w:type="dxa"/>
            <w:vAlign w:val="center"/>
          </w:tcPr>
          <w:p w14:paraId="25B7E8E9">
            <w:pPr>
              <w:jc w:val="center"/>
              <w:rPr>
                <w:rFonts w:hint="eastAsia" w:ascii="宋体" w:hAnsi="宋体"/>
                <w:color w:val="auto"/>
                <w:szCs w:val="21"/>
                <w:highlight w:val="none"/>
              </w:rPr>
            </w:pPr>
            <w:r>
              <w:rPr>
                <w:rFonts w:hint="eastAsia" w:ascii="宋体" w:hAnsi="宋体"/>
                <w:color w:val="auto"/>
                <w:szCs w:val="21"/>
                <w:highlight w:val="none"/>
              </w:rPr>
              <w:t>服务项目名称</w:t>
            </w:r>
          </w:p>
        </w:tc>
        <w:tc>
          <w:tcPr>
            <w:tcW w:w="1370" w:type="dxa"/>
            <w:vAlign w:val="center"/>
          </w:tcPr>
          <w:p w14:paraId="5FCD809A">
            <w:pPr>
              <w:jc w:val="center"/>
              <w:rPr>
                <w:rFonts w:hint="eastAsia" w:ascii="宋体" w:hAnsi="宋体"/>
                <w:color w:val="auto"/>
                <w:szCs w:val="21"/>
                <w:highlight w:val="none"/>
              </w:rPr>
            </w:pPr>
            <w:r>
              <w:rPr>
                <w:rFonts w:hint="eastAsia" w:ascii="宋体" w:hAnsi="宋体"/>
                <w:color w:val="auto"/>
                <w:szCs w:val="21"/>
                <w:highlight w:val="none"/>
              </w:rPr>
              <w:t>采购要求</w:t>
            </w:r>
          </w:p>
        </w:tc>
        <w:tc>
          <w:tcPr>
            <w:tcW w:w="1629" w:type="dxa"/>
            <w:vAlign w:val="center"/>
          </w:tcPr>
          <w:p w14:paraId="75B28810">
            <w:pPr>
              <w:jc w:val="center"/>
              <w:rPr>
                <w:rFonts w:hint="eastAsia" w:ascii="宋体" w:hAnsi="宋体"/>
                <w:color w:val="auto"/>
                <w:szCs w:val="21"/>
                <w:highlight w:val="none"/>
              </w:rPr>
            </w:pPr>
            <w:r>
              <w:rPr>
                <w:rFonts w:hint="eastAsia" w:ascii="宋体" w:hAnsi="宋体"/>
                <w:color w:val="auto"/>
                <w:szCs w:val="21"/>
                <w:highlight w:val="none"/>
              </w:rPr>
              <w:t>投标实际响应</w:t>
            </w:r>
          </w:p>
        </w:tc>
        <w:tc>
          <w:tcPr>
            <w:tcW w:w="1239" w:type="dxa"/>
            <w:vAlign w:val="center"/>
          </w:tcPr>
          <w:p w14:paraId="5B2B9FA7">
            <w:pPr>
              <w:jc w:val="center"/>
              <w:rPr>
                <w:rFonts w:hint="eastAsia" w:ascii="宋体" w:hAnsi="宋体"/>
                <w:color w:val="auto"/>
                <w:szCs w:val="21"/>
                <w:highlight w:val="none"/>
              </w:rPr>
            </w:pPr>
            <w:r>
              <w:rPr>
                <w:rFonts w:hint="eastAsia" w:ascii="宋体" w:hAnsi="宋体"/>
                <w:color w:val="auto"/>
                <w:szCs w:val="21"/>
                <w:highlight w:val="none"/>
              </w:rPr>
              <w:t>是否偏离</w:t>
            </w:r>
          </w:p>
        </w:tc>
        <w:tc>
          <w:tcPr>
            <w:tcW w:w="1544" w:type="dxa"/>
            <w:vAlign w:val="center"/>
          </w:tcPr>
          <w:p w14:paraId="4284D793">
            <w:pPr>
              <w:jc w:val="center"/>
              <w:rPr>
                <w:rFonts w:hint="eastAsia" w:ascii="宋体" w:hAnsi="宋体"/>
                <w:color w:val="auto"/>
                <w:szCs w:val="21"/>
                <w:highlight w:val="none"/>
              </w:rPr>
            </w:pPr>
            <w:r>
              <w:rPr>
                <w:rFonts w:hint="eastAsia" w:ascii="宋体" w:hAnsi="宋体"/>
                <w:color w:val="auto"/>
                <w:szCs w:val="21"/>
                <w:highlight w:val="none"/>
              </w:rPr>
              <w:t>说明</w:t>
            </w:r>
          </w:p>
        </w:tc>
      </w:tr>
      <w:tr w14:paraId="0E84F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5BA42A5">
            <w:pPr>
              <w:jc w:val="center"/>
              <w:rPr>
                <w:rFonts w:hint="eastAsia" w:ascii="宋体" w:hAnsi="宋体"/>
                <w:color w:val="auto"/>
                <w:szCs w:val="21"/>
                <w:highlight w:val="none"/>
              </w:rPr>
            </w:pPr>
          </w:p>
        </w:tc>
        <w:tc>
          <w:tcPr>
            <w:tcW w:w="1902" w:type="dxa"/>
            <w:vAlign w:val="center"/>
          </w:tcPr>
          <w:p w14:paraId="698EA403">
            <w:pPr>
              <w:jc w:val="center"/>
              <w:rPr>
                <w:rFonts w:hint="eastAsia" w:ascii="宋体" w:hAnsi="宋体"/>
                <w:color w:val="auto"/>
                <w:szCs w:val="21"/>
                <w:highlight w:val="none"/>
              </w:rPr>
            </w:pPr>
          </w:p>
        </w:tc>
        <w:tc>
          <w:tcPr>
            <w:tcW w:w="1370" w:type="dxa"/>
            <w:vAlign w:val="center"/>
          </w:tcPr>
          <w:p w14:paraId="44DDB9FD">
            <w:pPr>
              <w:jc w:val="center"/>
              <w:rPr>
                <w:rFonts w:hint="eastAsia" w:ascii="宋体" w:hAnsi="宋体"/>
                <w:color w:val="auto"/>
                <w:szCs w:val="21"/>
                <w:highlight w:val="none"/>
              </w:rPr>
            </w:pPr>
          </w:p>
        </w:tc>
        <w:tc>
          <w:tcPr>
            <w:tcW w:w="1629" w:type="dxa"/>
            <w:vAlign w:val="center"/>
          </w:tcPr>
          <w:p w14:paraId="619F77CC">
            <w:pPr>
              <w:jc w:val="center"/>
              <w:rPr>
                <w:rFonts w:hint="eastAsia" w:ascii="宋体" w:hAnsi="宋体"/>
                <w:color w:val="auto"/>
                <w:szCs w:val="21"/>
                <w:highlight w:val="none"/>
              </w:rPr>
            </w:pPr>
          </w:p>
        </w:tc>
        <w:tc>
          <w:tcPr>
            <w:tcW w:w="1239" w:type="dxa"/>
            <w:vAlign w:val="center"/>
          </w:tcPr>
          <w:p w14:paraId="6A3BCDC1">
            <w:pPr>
              <w:jc w:val="center"/>
              <w:rPr>
                <w:rFonts w:hint="eastAsia" w:ascii="宋体" w:hAnsi="宋体"/>
                <w:color w:val="auto"/>
                <w:szCs w:val="21"/>
                <w:highlight w:val="none"/>
              </w:rPr>
            </w:pPr>
          </w:p>
        </w:tc>
        <w:tc>
          <w:tcPr>
            <w:tcW w:w="1544" w:type="dxa"/>
            <w:vAlign w:val="center"/>
          </w:tcPr>
          <w:p w14:paraId="77A96B0A">
            <w:pPr>
              <w:jc w:val="center"/>
              <w:rPr>
                <w:rFonts w:hint="eastAsia" w:ascii="宋体" w:hAnsi="宋体"/>
                <w:color w:val="auto"/>
                <w:szCs w:val="21"/>
                <w:highlight w:val="none"/>
              </w:rPr>
            </w:pPr>
          </w:p>
        </w:tc>
      </w:tr>
      <w:tr w14:paraId="656EA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73A0846">
            <w:pPr>
              <w:jc w:val="center"/>
              <w:rPr>
                <w:rFonts w:hint="eastAsia" w:ascii="宋体" w:hAnsi="宋体"/>
                <w:color w:val="auto"/>
                <w:szCs w:val="21"/>
                <w:highlight w:val="none"/>
              </w:rPr>
            </w:pPr>
          </w:p>
        </w:tc>
        <w:tc>
          <w:tcPr>
            <w:tcW w:w="1902" w:type="dxa"/>
            <w:vAlign w:val="center"/>
          </w:tcPr>
          <w:p w14:paraId="5BBD2049">
            <w:pPr>
              <w:jc w:val="center"/>
              <w:rPr>
                <w:rFonts w:hint="eastAsia" w:ascii="宋体" w:hAnsi="宋体"/>
                <w:color w:val="auto"/>
                <w:szCs w:val="21"/>
                <w:highlight w:val="none"/>
              </w:rPr>
            </w:pPr>
          </w:p>
        </w:tc>
        <w:tc>
          <w:tcPr>
            <w:tcW w:w="1370" w:type="dxa"/>
            <w:vAlign w:val="center"/>
          </w:tcPr>
          <w:p w14:paraId="48646F4D">
            <w:pPr>
              <w:jc w:val="center"/>
              <w:rPr>
                <w:rFonts w:hint="eastAsia" w:ascii="宋体" w:hAnsi="宋体"/>
                <w:color w:val="auto"/>
                <w:szCs w:val="21"/>
                <w:highlight w:val="none"/>
              </w:rPr>
            </w:pPr>
          </w:p>
        </w:tc>
        <w:tc>
          <w:tcPr>
            <w:tcW w:w="1629" w:type="dxa"/>
            <w:vAlign w:val="center"/>
          </w:tcPr>
          <w:p w14:paraId="2BEA1207">
            <w:pPr>
              <w:jc w:val="center"/>
              <w:rPr>
                <w:rFonts w:hint="eastAsia" w:ascii="宋体" w:hAnsi="宋体"/>
                <w:color w:val="auto"/>
                <w:szCs w:val="21"/>
                <w:highlight w:val="none"/>
              </w:rPr>
            </w:pPr>
          </w:p>
        </w:tc>
        <w:tc>
          <w:tcPr>
            <w:tcW w:w="1239" w:type="dxa"/>
            <w:vAlign w:val="center"/>
          </w:tcPr>
          <w:p w14:paraId="28DD3F70">
            <w:pPr>
              <w:jc w:val="center"/>
              <w:rPr>
                <w:rFonts w:hint="eastAsia" w:ascii="宋体" w:hAnsi="宋体"/>
                <w:color w:val="auto"/>
                <w:szCs w:val="21"/>
                <w:highlight w:val="none"/>
              </w:rPr>
            </w:pPr>
          </w:p>
        </w:tc>
        <w:tc>
          <w:tcPr>
            <w:tcW w:w="1544" w:type="dxa"/>
            <w:vAlign w:val="center"/>
          </w:tcPr>
          <w:p w14:paraId="1625C7AB">
            <w:pPr>
              <w:jc w:val="center"/>
              <w:rPr>
                <w:rFonts w:hint="eastAsia" w:ascii="宋体" w:hAnsi="宋体"/>
                <w:color w:val="auto"/>
                <w:szCs w:val="21"/>
                <w:highlight w:val="none"/>
              </w:rPr>
            </w:pPr>
          </w:p>
        </w:tc>
      </w:tr>
      <w:tr w14:paraId="1228B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3807AA6">
            <w:pPr>
              <w:jc w:val="center"/>
              <w:rPr>
                <w:rFonts w:hint="eastAsia" w:ascii="宋体" w:hAnsi="宋体"/>
                <w:color w:val="auto"/>
                <w:szCs w:val="21"/>
                <w:highlight w:val="none"/>
              </w:rPr>
            </w:pPr>
          </w:p>
        </w:tc>
        <w:tc>
          <w:tcPr>
            <w:tcW w:w="1902" w:type="dxa"/>
            <w:vAlign w:val="center"/>
          </w:tcPr>
          <w:p w14:paraId="01B98C18">
            <w:pPr>
              <w:jc w:val="center"/>
              <w:rPr>
                <w:rFonts w:hint="eastAsia" w:ascii="宋体" w:hAnsi="宋体"/>
                <w:color w:val="auto"/>
                <w:szCs w:val="21"/>
                <w:highlight w:val="none"/>
              </w:rPr>
            </w:pPr>
          </w:p>
        </w:tc>
        <w:tc>
          <w:tcPr>
            <w:tcW w:w="1370" w:type="dxa"/>
            <w:vAlign w:val="center"/>
          </w:tcPr>
          <w:p w14:paraId="7EA18F94">
            <w:pPr>
              <w:jc w:val="center"/>
              <w:rPr>
                <w:rFonts w:hint="eastAsia" w:ascii="宋体" w:hAnsi="宋体"/>
                <w:color w:val="auto"/>
                <w:szCs w:val="21"/>
                <w:highlight w:val="none"/>
              </w:rPr>
            </w:pPr>
          </w:p>
        </w:tc>
        <w:tc>
          <w:tcPr>
            <w:tcW w:w="1629" w:type="dxa"/>
            <w:vAlign w:val="center"/>
          </w:tcPr>
          <w:p w14:paraId="7006A95E">
            <w:pPr>
              <w:jc w:val="center"/>
              <w:rPr>
                <w:rFonts w:hint="eastAsia" w:ascii="宋体" w:hAnsi="宋体"/>
                <w:color w:val="auto"/>
                <w:szCs w:val="21"/>
                <w:highlight w:val="none"/>
              </w:rPr>
            </w:pPr>
          </w:p>
        </w:tc>
        <w:tc>
          <w:tcPr>
            <w:tcW w:w="1239" w:type="dxa"/>
            <w:vAlign w:val="center"/>
          </w:tcPr>
          <w:p w14:paraId="1C248A3D">
            <w:pPr>
              <w:jc w:val="center"/>
              <w:rPr>
                <w:rFonts w:hint="eastAsia" w:ascii="宋体" w:hAnsi="宋体"/>
                <w:color w:val="auto"/>
                <w:szCs w:val="21"/>
                <w:highlight w:val="none"/>
              </w:rPr>
            </w:pPr>
          </w:p>
        </w:tc>
        <w:tc>
          <w:tcPr>
            <w:tcW w:w="1544" w:type="dxa"/>
            <w:vAlign w:val="center"/>
          </w:tcPr>
          <w:p w14:paraId="1510B2AB">
            <w:pPr>
              <w:jc w:val="center"/>
              <w:rPr>
                <w:rFonts w:hint="eastAsia" w:ascii="宋体" w:hAnsi="宋体"/>
                <w:color w:val="auto"/>
                <w:szCs w:val="21"/>
                <w:highlight w:val="none"/>
              </w:rPr>
            </w:pPr>
          </w:p>
        </w:tc>
      </w:tr>
      <w:tr w14:paraId="06583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90ED648">
            <w:pPr>
              <w:jc w:val="center"/>
              <w:rPr>
                <w:rFonts w:hint="eastAsia" w:ascii="宋体" w:hAnsi="宋体"/>
                <w:color w:val="auto"/>
                <w:szCs w:val="21"/>
                <w:highlight w:val="none"/>
              </w:rPr>
            </w:pPr>
          </w:p>
        </w:tc>
        <w:tc>
          <w:tcPr>
            <w:tcW w:w="1902" w:type="dxa"/>
            <w:vAlign w:val="center"/>
          </w:tcPr>
          <w:p w14:paraId="662EDEE1">
            <w:pPr>
              <w:jc w:val="center"/>
              <w:rPr>
                <w:rFonts w:hint="eastAsia" w:ascii="宋体" w:hAnsi="宋体"/>
                <w:color w:val="auto"/>
                <w:szCs w:val="21"/>
                <w:highlight w:val="none"/>
              </w:rPr>
            </w:pPr>
          </w:p>
        </w:tc>
        <w:tc>
          <w:tcPr>
            <w:tcW w:w="1370" w:type="dxa"/>
            <w:vAlign w:val="center"/>
          </w:tcPr>
          <w:p w14:paraId="458D0E0E">
            <w:pPr>
              <w:jc w:val="center"/>
              <w:rPr>
                <w:rFonts w:hint="eastAsia" w:ascii="宋体" w:hAnsi="宋体"/>
                <w:color w:val="auto"/>
                <w:szCs w:val="21"/>
                <w:highlight w:val="none"/>
              </w:rPr>
            </w:pPr>
          </w:p>
        </w:tc>
        <w:tc>
          <w:tcPr>
            <w:tcW w:w="1629" w:type="dxa"/>
            <w:vAlign w:val="center"/>
          </w:tcPr>
          <w:p w14:paraId="249A9A5D">
            <w:pPr>
              <w:jc w:val="center"/>
              <w:rPr>
                <w:rFonts w:hint="eastAsia" w:ascii="宋体" w:hAnsi="宋体"/>
                <w:color w:val="auto"/>
                <w:szCs w:val="21"/>
                <w:highlight w:val="none"/>
              </w:rPr>
            </w:pPr>
          </w:p>
        </w:tc>
        <w:tc>
          <w:tcPr>
            <w:tcW w:w="1239" w:type="dxa"/>
            <w:vAlign w:val="center"/>
          </w:tcPr>
          <w:p w14:paraId="05F7F882">
            <w:pPr>
              <w:jc w:val="center"/>
              <w:rPr>
                <w:rFonts w:hint="eastAsia" w:ascii="宋体" w:hAnsi="宋体"/>
                <w:color w:val="auto"/>
                <w:szCs w:val="21"/>
                <w:highlight w:val="none"/>
              </w:rPr>
            </w:pPr>
          </w:p>
        </w:tc>
        <w:tc>
          <w:tcPr>
            <w:tcW w:w="1544" w:type="dxa"/>
            <w:vAlign w:val="center"/>
          </w:tcPr>
          <w:p w14:paraId="6CF5D188">
            <w:pPr>
              <w:jc w:val="center"/>
              <w:rPr>
                <w:rFonts w:hint="eastAsia" w:ascii="宋体" w:hAnsi="宋体"/>
                <w:color w:val="auto"/>
                <w:szCs w:val="21"/>
                <w:highlight w:val="none"/>
              </w:rPr>
            </w:pPr>
          </w:p>
        </w:tc>
      </w:tr>
      <w:tr w14:paraId="403A2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EE3C46F">
            <w:pPr>
              <w:jc w:val="center"/>
              <w:rPr>
                <w:rFonts w:hint="eastAsia" w:ascii="宋体" w:hAnsi="宋体"/>
                <w:color w:val="auto"/>
                <w:szCs w:val="21"/>
                <w:highlight w:val="none"/>
              </w:rPr>
            </w:pPr>
          </w:p>
        </w:tc>
        <w:tc>
          <w:tcPr>
            <w:tcW w:w="1902" w:type="dxa"/>
            <w:vAlign w:val="center"/>
          </w:tcPr>
          <w:p w14:paraId="3FA2CACD">
            <w:pPr>
              <w:jc w:val="center"/>
              <w:rPr>
                <w:rFonts w:hint="eastAsia" w:ascii="宋体" w:hAnsi="宋体"/>
                <w:color w:val="auto"/>
                <w:szCs w:val="21"/>
                <w:highlight w:val="none"/>
              </w:rPr>
            </w:pPr>
          </w:p>
        </w:tc>
        <w:tc>
          <w:tcPr>
            <w:tcW w:w="1370" w:type="dxa"/>
            <w:vAlign w:val="center"/>
          </w:tcPr>
          <w:p w14:paraId="36811AC6">
            <w:pPr>
              <w:jc w:val="center"/>
              <w:rPr>
                <w:rFonts w:hint="eastAsia" w:ascii="宋体" w:hAnsi="宋体"/>
                <w:color w:val="auto"/>
                <w:szCs w:val="21"/>
                <w:highlight w:val="none"/>
              </w:rPr>
            </w:pPr>
          </w:p>
        </w:tc>
        <w:tc>
          <w:tcPr>
            <w:tcW w:w="1629" w:type="dxa"/>
            <w:vAlign w:val="center"/>
          </w:tcPr>
          <w:p w14:paraId="37CEF0CE">
            <w:pPr>
              <w:jc w:val="center"/>
              <w:rPr>
                <w:rFonts w:hint="eastAsia" w:ascii="宋体" w:hAnsi="宋体"/>
                <w:color w:val="auto"/>
                <w:szCs w:val="21"/>
                <w:highlight w:val="none"/>
              </w:rPr>
            </w:pPr>
          </w:p>
        </w:tc>
        <w:tc>
          <w:tcPr>
            <w:tcW w:w="1239" w:type="dxa"/>
            <w:vAlign w:val="center"/>
          </w:tcPr>
          <w:p w14:paraId="0A794B03">
            <w:pPr>
              <w:jc w:val="center"/>
              <w:rPr>
                <w:rFonts w:hint="eastAsia" w:ascii="宋体" w:hAnsi="宋体"/>
                <w:color w:val="auto"/>
                <w:szCs w:val="21"/>
                <w:highlight w:val="none"/>
              </w:rPr>
            </w:pPr>
          </w:p>
        </w:tc>
        <w:tc>
          <w:tcPr>
            <w:tcW w:w="1544" w:type="dxa"/>
            <w:vAlign w:val="center"/>
          </w:tcPr>
          <w:p w14:paraId="1F7742FD">
            <w:pPr>
              <w:jc w:val="center"/>
              <w:rPr>
                <w:rFonts w:hint="eastAsia" w:ascii="宋体" w:hAnsi="宋体"/>
                <w:color w:val="auto"/>
                <w:szCs w:val="21"/>
                <w:highlight w:val="none"/>
              </w:rPr>
            </w:pPr>
          </w:p>
        </w:tc>
      </w:tr>
      <w:tr w14:paraId="7477B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DF71652">
            <w:pPr>
              <w:jc w:val="center"/>
              <w:rPr>
                <w:rFonts w:hint="eastAsia" w:ascii="宋体" w:hAnsi="宋体"/>
                <w:color w:val="auto"/>
                <w:szCs w:val="21"/>
                <w:highlight w:val="none"/>
              </w:rPr>
            </w:pPr>
          </w:p>
        </w:tc>
        <w:tc>
          <w:tcPr>
            <w:tcW w:w="1902" w:type="dxa"/>
            <w:vAlign w:val="center"/>
          </w:tcPr>
          <w:p w14:paraId="00148E32">
            <w:pPr>
              <w:jc w:val="center"/>
              <w:rPr>
                <w:rFonts w:hint="eastAsia" w:ascii="宋体" w:hAnsi="宋体"/>
                <w:color w:val="auto"/>
                <w:szCs w:val="21"/>
                <w:highlight w:val="none"/>
              </w:rPr>
            </w:pPr>
          </w:p>
        </w:tc>
        <w:tc>
          <w:tcPr>
            <w:tcW w:w="1370" w:type="dxa"/>
            <w:vAlign w:val="center"/>
          </w:tcPr>
          <w:p w14:paraId="499D47E2">
            <w:pPr>
              <w:jc w:val="center"/>
              <w:rPr>
                <w:rFonts w:hint="eastAsia" w:ascii="宋体" w:hAnsi="宋体"/>
                <w:color w:val="auto"/>
                <w:szCs w:val="21"/>
                <w:highlight w:val="none"/>
              </w:rPr>
            </w:pPr>
          </w:p>
        </w:tc>
        <w:tc>
          <w:tcPr>
            <w:tcW w:w="1629" w:type="dxa"/>
            <w:vAlign w:val="center"/>
          </w:tcPr>
          <w:p w14:paraId="45331721">
            <w:pPr>
              <w:jc w:val="center"/>
              <w:rPr>
                <w:rFonts w:hint="eastAsia" w:ascii="宋体" w:hAnsi="宋体"/>
                <w:color w:val="auto"/>
                <w:szCs w:val="21"/>
                <w:highlight w:val="none"/>
              </w:rPr>
            </w:pPr>
          </w:p>
        </w:tc>
        <w:tc>
          <w:tcPr>
            <w:tcW w:w="1239" w:type="dxa"/>
            <w:vAlign w:val="center"/>
          </w:tcPr>
          <w:p w14:paraId="09E50BD6">
            <w:pPr>
              <w:jc w:val="center"/>
              <w:rPr>
                <w:rFonts w:hint="eastAsia" w:ascii="宋体" w:hAnsi="宋体"/>
                <w:color w:val="auto"/>
                <w:szCs w:val="21"/>
                <w:highlight w:val="none"/>
              </w:rPr>
            </w:pPr>
          </w:p>
        </w:tc>
        <w:tc>
          <w:tcPr>
            <w:tcW w:w="1544" w:type="dxa"/>
            <w:vAlign w:val="center"/>
          </w:tcPr>
          <w:p w14:paraId="661954DC">
            <w:pPr>
              <w:jc w:val="center"/>
              <w:rPr>
                <w:rFonts w:hint="eastAsia" w:ascii="宋体" w:hAnsi="宋体"/>
                <w:color w:val="auto"/>
                <w:szCs w:val="21"/>
                <w:highlight w:val="none"/>
              </w:rPr>
            </w:pPr>
          </w:p>
        </w:tc>
      </w:tr>
      <w:tr w14:paraId="57C72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90FF9AE">
            <w:pPr>
              <w:jc w:val="center"/>
              <w:rPr>
                <w:rFonts w:hint="eastAsia" w:ascii="宋体" w:hAnsi="宋体"/>
                <w:color w:val="auto"/>
                <w:szCs w:val="21"/>
                <w:highlight w:val="none"/>
              </w:rPr>
            </w:pPr>
          </w:p>
        </w:tc>
        <w:tc>
          <w:tcPr>
            <w:tcW w:w="1902" w:type="dxa"/>
            <w:vAlign w:val="center"/>
          </w:tcPr>
          <w:p w14:paraId="55A7D5D3">
            <w:pPr>
              <w:jc w:val="center"/>
              <w:rPr>
                <w:rFonts w:hint="eastAsia" w:ascii="宋体" w:hAnsi="宋体"/>
                <w:color w:val="auto"/>
                <w:szCs w:val="21"/>
                <w:highlight w:val="none"/>
              </w:rPr>
            </w:pPr>
          </w:p>
        </w:tc>
        <w:tc>
          <w:tcPr>
            <w:tcW w:w="1370" w:type="dxa"/>
            <w:vAlign w:val="center"/>
          </w:tcPr>
          <w:p w14:paraId="5A902C60">
            <w:pPr>
              <w:jc w:val="center"/>
              <w:rPr>
                <w:rFonts w:hint="eastAsia" w:ascii="宋体" w:hAnsi="宋体"/>
                <w:color w:val="auto"/>
                <w:szCs w:val="21"/>
                <w:highlight w:val="none"/>
              </w:rPr>
            </w:pPr>
          </w:p>
        </w:tc>
        <w:tc>
          <w:tcPr>
            <w:tcW w:w="1629" w:type="dxa"/>
            <w:vAlign w:val="center"/>
          </w:tcPr>
          <w:p w14:paraId="5C6711AC">
            <w:pPr>
              <w:jc w:val="center"/>
              <w:rPr>
                <w:rFonts w:hint="eastAsia" w:ascii="宋体" w:hAnsi="宋体"/>
                <w:color w:val="auto"/>
                <w:szCs w:val="21"/>
                <w:highlight w:val="none"/>
              </w:rPr>
            </w:pPr>
          </w:p>
        </w:tc>
        <w:tc>
          <w:tcPr>
            <w:tcW w:w="1239" w:type="dxa"/>
            <w:vAlign w:val="center"/>
          </w:tcPr>
          <w:p w14:paraId="53AE66BF">
            <w:pPr>
              <w:jc w:val="center"/>
              <w:rPr>
                <w:rFonts w:hint="eastAsia" w:ascii="宋体" w:hAnsi="宋体"/>
                <w:color w:val="auto"/>
                <w:szCs w:val="21"/>
                <w:highlight w:val="none"/>
              </w:rPr>
            </w:pPr>
          </w:p>
        </w:tc>
        <w:tc>
          <w:tcPr>
            <w:tcW w:w="1544" w:type="dxa"/>
            <w:vAlign w:val="center"/>
          </w:tcPr>
          <w:p w14:paraId="74A72B83">
            <w:pPr>
              <w:jc w:val="center"/>
              <w:rPr>
                <w:rFonts w:hint="eastAsia" w:ascii="宋体" w:hAnsi="宋体"/>
                <w:color w:val="auto"/>
                <w:szCs w:val="21"/>
                <w:highlight w:val="none"/>
              </w:rPr>
            </w:pPr>
          </w:p>
        </w:tc>
      </w:tr>
      <w:tr w14:paraId="21F00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AEE57C0">
            <w:pPr>
              <w:jc w:val="center"/>
              <w:rPr>
                <w:rFonts w:hint="eastAsia" w:ascii="宋体" w:hAnsi="宋体"/>
                <w:color w:val="auto"/>
                <w:szCs w:val="21"/>
                <w:highlight w:val="none"/>
              </w:rPr>
            </w:pPr>
          </w:p>
        </w:tc>
        <w:tc>
          <w:tcPr>
            <w:tcW w:w="1902" w:type="dxa"/>
            <w:vAlign w:val="center"/>
          </w:tcPr>
          <w:p w14:paraId="47109068">
            <w:pPr>
              <w:jc w:val="center"/>
              <w:rPr>
                <w:rFonts w:hint="eastAsia" w:ascii="宋体" w:hAnsi="宋体"/>
                <w:color w:val="auto"/>
                <w:szCs w:val="21"/>
                <w:highlight w:val="none"/>
              </w:rPr>
            </w:pPr>
          </w:p>
        </w:tc>
        <w:tc>
          <w:tcPr>
            <w:tcW w:w="1370" w:type="dxa"/>
            <w:vAlign w:val="center"/>
          </w:tcPr>
          <w:p w14:paraId="0DE996AB">
            <w:pPr>
              <w:jc w:val="center"/>
              <w:rPr>
                <w:rFonts w:hint="eastAsia" w:ascii="宋体" w:hAnsi="宋体"/>
                <w:color w:val="auto"/>
                <w:szCs w:val="21"/>
                <w:highlight w:val="none"/>
              </w:rPr>
            </w:pPr>
          </w:p>
        </w:tc>
        <w:tc>
          <w:tcPr>
            <w:tcW w:w="1629" w:type="dxa"/>
            <w:vAlign w:val="center"/>
          </w:tcPr>
          <w:p w14:paraId="333A84F5">
            <w:pPr>
              <w:jc w:val="center"/>
              <w:rPr>
                <w:rFonts w:hint="eastAsia" w:ascii="宋体" w:hAnsi="宋体"/>
                <w:color w:val="auto"/>
                <w:szCs w:val="21"/>
                <w:highlight w:val="none"/>
              </w:rPr>
            </w:pPr>
          </w:p>
        </w:tc>
        <w:tc>
          <w:tcPr>
            <w:tcW w:w="1239" w:type="dxa"/>
            <w:vAlign w:val="center"/>
          </w:tcPr>
          <w:p w14:paraId="1171BC97">
            <w:pPr>
              <w:jc w:val="center"/>
              <w:rPr>
                <w:rFonts w:hint="eastAsia" w:ascii="宋体" w:hAnsi="宋体"/>
                <w:color w:val="auto"/>
                <w:szCs w:val="21"/>
                <w:highlight w:val="none"/>
              </w:rPr>
            </w:pPr>
          </w:p>
        </w:tc>
        <w:tc>
          <w:tcPr>
            <w:tcW w:w="1544" w:type="dxa"/>
            <w:vAlign w:val="center"/>
          </w:tcPr>
          <w:p w14:paraId="0D7E96B8">
            <w:pPr>
              <w:jc w:val="center"/>
              <w:rPr>
                <w:rFonts w:hint="eastAsia" w:ascii="宋体" w:hAnsi="宋体"/>
                <w:color w:val="auto"/>
                <w:szCs w:val="21"/>
                <w:highlight w:val="none"/>
              </w:rPr>
            </w:pPr>
          </w:p>
        </w:tc>
      </w:tr>
      <w:tr w14:paraId="1465E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91FE452">
            <w:pPr>
              <w:jc w:val="center"/>
              <w:rPr>
                <w:rFonts w:hint="eastAsia" w:ascii="宋体" w:hAnsi="宋体"/>
                <w:color w:val="auto"/>
                <w:szCs w:val="21"/>
                <w:highlight w:val="none"/>
              </w:rPr>
            </w:pPr>
          </w:p>
        </w:tc>
        <w:tc>
          <w:tcPr>
            <w:tcW w:w="1902" w:type="dxa"/>
            <w:vAlign w:val="center"/>
          </w:tcPr>
          <w:p w14:paraId="30DF16C4">
            <w:pPr>
              <w:jc w:val="center"/>
              <w:rPr>
                <w:rFonts w:hint="eastAsia" w:ascii="宋体" w:hAnsi="宋体"/>
                <w:color w:val="auto"/>
                <w:szCs w:val="21"/>
                <w:highlight w:val="none"/>
              </w:rPr>
            </w:pPr>
          </w:p>
        </w:tc>
        <w:tc>
          <w:tcPr>
            <w:tcW w:w="1370" w:type="dxa"/>
            <w:vAlign w:val="center"/>
          </w:tcPr>
          <w:p w14:paraId="0003596A">
            <w:pPr>
              <w:jc w:val="center"/>
              <w:rPr>
                <w:rFonts w:hint="eastAsia" w:ascii="宋体" w:hAnsi="宋体"/>
                <w:color w:val="auto"/>
                <w:szCs w:val="21"/>
                <w:highlight w:val="none"/>
              </w:rPr>
            </w:pPr>
          </w:p>
        </w:tc>
        <w:tc>
          <w:tcPr>
            <w:tcW w:w="1629" w:type="dxa"/>
            <w:vAlign w:val="center"/>
          </w:tcPr>
          <w:p w14:paraId="45C8CB1C">
            <w:pPr>
              <w:jc w:val="center"/>
              <w:rPr>
                <w:rFonts w:hint="eastAsia" w:ascii="宋体" w:hAnsi="宋体"/>
                <w:color w:val="auto"/>
                <w:szCs w:val="21"/>
                <w:highlight w:val="none"/>
              </w:rPr>
            </w:pPr>
          </w:p>
        </w:tc>
        <w:tc>
          <w:tcPr>
            <w:tcW w:w="1239" w:type="dxa"/>
            <w:vAlign w:val="center"/>
          </w:tcPr>
          <w:p w14:paraId="606FAD04">
            <w:pPr>
              <w:jc w:val="center"/>
              <w:rPr>
                <w:rFonts w:hint="eastAsia" w:ascii="宋体" w:hAnsi="宋体"/>
                <w:color w:val="auto"/>
                <w:szCs w:val="21"/>
                <w:highlight w:val="none"/>
              </w:rPr>
            </w:pPr>
          </w:p>
        </w:tc>
        <w:tc>
          <w:tcPr>
            <w:tcW w:w="1544" w:type="dxa"/>
            <w:vAlign w:val="center"/>
          </w:tcPr>
          <w:p w14:paraId="02F7CAE1">
            <w:pPr>
              <w:jc w:val="center"/>
              <w:rPr>
                <w:rFonts w:hint="eastAsia" w:ascii="宋体" w:hAnsi="宋体"/>
                <w:color w:val="auto"/>
                <w:szCs w:val="21"/>
                <w:highlight w:val="none"/>
              </w:rPr>
            </w:pPr>
          </w:p>
        </w:tc>
      </w:tr>
      <w:tr w14:paraId="24FD3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435EE89">
            <w:pPr>
              <w:jc w:val="center"/>
              <w:rPr>
                <w:rFonts w:hint="eastAsia" w:ascii="宋体" w:hAnsi="宋体"/>
                <w:color w:val="auto"/>
                <w:szCs w:val="21"/>
                <w:highlight w:val="none"/>
              </w:rPr>
            </w:pPr>
          </w:p>
        </w:tc>
        <w:tc>
          <w:tcPr>
            <w:tcW w:w="1902" w:type="dxa"/>
            <w:vAlign w:val="center"/>
          </w:tcPr>
          <w:p w14:paraId="7B97F295">
            <w:pPr>
              <w:jc w:val="center"/>
              <w:rPr>
                <w:rFonts w:hint="eastAsia" w:ascii="宋体" w:hAnsi="宋体"/>
                <w:color w:val="auto"/>
                <w:szCs w:val="21"/>
                <w:highlight w:val="none"/>
              </w:rPr>
            </w:pPr>
          </w:p>
        </w:tc>
        <w:tc>
          <w:tcPr>
            <w:tcW w:w="1370" w:type="dxa"/>
            <w:vAlign w:val="center"/>
          </w:tcPr>
          <w:p w14:paraId="211DD22D">
            <w:pPr>
              <w:jc w:val="center"/>
              <w:rPr>
                <w:rFonts w:hint="eastAsia" w:ascii="宋体" w:hAnsi="宋体"/>
                <w:color w:val="auto"/>
                <w:szCs w:val="21"/>
                <w:highlight w:val="none"/>
              </w:rPr>
            </w:pPr>
          </w:p>
        </w:tc>
        <w:tc>
          <w:tcPr>
            <w:tcW w:w="1629" w:type="dxa"/>
            <w:vAlign w:val="center"/>
          </w:tcPr>
          <w:p w14:paraId="0B4AD113">
            <w:pPr>
              <w:jc w:val="center"/>
              <w:rPr>
                <w:rFonts w:hint="eastAsia" w:ascii="宋体" w:hAnsi="宋体"/>
                <w:color w:val="auto"/>
                <w:szCs w:val="21"/>
                <w:highlight w:val="none"/>
              </w:rPr>
            </w:pPr>
          </w:p>
        </w:tc>
        <w:tc>
          <w:tcPr>
            <w:tcW w:w="1239" w:type="dxa"/>
            <w:vAlign w:val="center"/>
          </w:tcPr>
          <w:p w14:paraId="316BDD35">
            <w:pPr>
              <w:jc w:val="center"/>
              <w:rPr>
                <w:rFonts w:hint="eastAsia" w:ascii="宋体" w:hAnsi="宋体"/>
                <w:color w:val="auto"/>
                <w:szCs w:val="21"/>
                <w:highlight w:val="none"/>
              </w:rPr>
            </w:pPr>
          </w:p>
        </w:tc>
        <w:tc>
          <w:tcPr>
            <w:tcW w:w="1544" w:type="dxa"/>
            <w:vAlign w:val="center"/>
          </w:tcPr>
          <w:p w14:paraId="40D42CEA">
            <w:pPr>
              <w:jc w:val="center"/>
              <w:rPr>
                <w:rFonts w:hint="eastAsia" w:ascii="宋体" w:hAnsi="宋体"/>
                <w:color w:val="auto"/>
                <w:szCs w:val="21"/>
                <w:highlight w:val="none"/>
              </w:rPr>
            </w:pPr>
          </w:p>
        </w:tc>
      </w:tr>
    </w:tbl>
    <w:p w14:paraId="4749C561">
      <w:pPr>
        <w:rPr>
          <w:rFonts w:hint="eastAsia" w:ascii="宋体" w:hAnsi="宋体"/>
          <w:color w:val="auto"/>
          <w:szCs w:val="21"/>
          <w:highlight w:val="none"/>
        </w:rPr>
      </w:pPr>
    </w:p>
    <w:p w14:paraId="75400713">
      <w:pPr>
        <w:rPr>
          <w:rFonts w:hint="eastAsia" w:ascii="宋体" w:hAnsi="宋体"/>
          <w:color w:val="auto"/>
          <w:szCs w:val="21"/>
          <w:highlight w:val="none"/>
        </w:rPr>
      </w:pPr>
      <w:r>
        <w:rPr>
          <w:rFonts w:hint="eastAsia" w:ascii="宋体" w:hAnsi="宋体"/>
          <w:color w:val="auto"/>
          <w:szCs w:val="21"/>
          <w:highlight w:val="none"/>
        </w:rPr>
        <w:t>投标人代表签字：</w:t>
      </w:r>
    </w:p>
    <w:p w14:paraId="00AEAC3A">
      <w:pPr>
        <w:rPr>
          <w:rFonts w:hint="eastAsia" w:ascii="宋体" w:hAnsi="宋体"/>
          <w:color w:val="auto"/>
          <w:szCs w:val="21"/>
          <w:highlight w:val="none"/>
        </w:rPr>
      </w:pPr>
      <w:r>
        <w:rPr>
          <w:rFonts w:hint="eastAsia" w:ascii="宋体" w:hAnsi="宋体"/>
          <w:color w:val="auto"/>
          <w:szCs w:val="21"/>
          <w:highlight w:val="none"/>
        </w:rPr>
        <w:t>投标人盖章：</w:t>
      </w:r>
    </w:p>
    <w:p w14:paraId="45D9DBCF">
      <w:pPr>
        <w:ind w:firstLine="178" w:firstLineChars="85"/>
        <w:rPr>
          <w:rFonts w:hint="eastAsia" w:ascii="宋体" w:hAnsi="宋体"/>
          <w:color w:val="auto"/>
          <w:szCs w:val="21"/>
          <w:highlight w:val="none"/>
        </w:rPr>
      </w:pPr>
    </w:p>
    <w:p w14:paraId="6502A401">
      <w:pPr>
        <w:rPr>
          <w:rFonts w:hint="eastAsia" w:ascii="宋体" w:hAnsi="宋体"/>
          <w:color w:val="auto"/>
          <w:szCs w:val="21"/>
          <w:highlight w:val="none"/>
        </w:rPr>
      </w:pPr>
      <w:r>
        <w:rPr>
          <w:rFonts w:hint="eastAsia" w:ascii="宋体" w:hAnsi="宋体"/>
          <w:color w:val="auto"/>
          <w:szCs w:val="21"/>
          <w:highlight w:val="none"/>
        </w:rPr>
        <w:t>注：</w:t>
      </w:r>
    </w:p>
    <w:p w14:paraId="3E2F6C4C">
      <w:pPr>
        <w:rPr>
          <w:rFonts w:hint="eastAsia" w:ascii="宋体" w:hAnsi="宋体"/>
          <w:color w:val="auto"/>
          <w:szCs w:val="21"/>
          <w:highlight w:val="none"/>
        </w:rPr>
      </w:pPr>
      <w:r>
        <w:rPr>
          <w:rFonts w:hint="eastAsia" w:ascii="宋体" w:hAnsi="宋体"/>
          <w:color w:val="auto"/>
          <w:szCs w:val="21"/>
          <w:highlight w:val="none"/>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4B2E9A41">
      <w:pPr>
        <w:rPr>
          <w:rFonts w:hint="eastAsia"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，投标人都被认为已清楚了解采购文件“技术需求书”的内容并对采购人所需的服务要求作全面响应，投标人必须承担完成“技术需求书”所描述内容的义务</w:t>
      </w:r>
      <w:r>
        <w:rPr>
          <w:rFonts w:hint="eastAsia" w:ascii="宋体" w:hAnsi="宋体"/>
          <w:color w:val="auto"/>
          <w:szCs w:val="21"/>
          <w:highlight w:val="none"/>
        </w:rPr>
        <w:t>，因此对投标人投标产生负面影响的，投标人自行承担后果。</w:t>
      </w:r>
    </w:p>
    <w:p w14:paraId="6A61000E">
      <w:pPr>
        <w:rPr>
          <w:rFonts w:hint="eastAsia"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574BD045">
      <w:pPr>
        <w:rPr>
          <w:rFonts w:hint="eastAsia"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16EFC4B1">
      <w:pPr>
        <w:rPr>
          <w:rFonts w:hint="eastAsia"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如投标人对用户需求书技术要求的条款全部响应的，也可以在表格下面用文字总括性的说明。</w:t>
      </w:r>
    </w:p>
    <w:p w14:paraId="55FB1957">
      <w:pPr>
        <w:rPr>
          <w:rFonts w:hint="eastAsia" w:ascii="宋体" w:hAnsi="宋体"/>
          <w:color w:val="auto"/>
          <w:szCs w:val="21"/>
          <w:highlight w:val="none"/>
        </w:rPr>
      </w:pPr>
    </w:p>
    <w:p w14:paraId="0322F24B">
      <w:pPr>
        <w:adjustRightInd/>
        <w:snapToGrid/>
        <w:spacing w:line="276" w:lineRule="auto"/>
        <w:rPr>
          <w:color w:val="auto"/>
          <w:highlight w:val="none"/>
        </w:rPr>
      </w:pPr>
    </w:p>
    <w:p w14:paraId="3600B7DC">
      <w:pPr>
        <w:rPr>
          <w:rFonts w:hint="eastAsia" w:ascii="宋体" w:hAnsi="宋体"/>
          <w:color w:val="auto"/>
          <w:szCs w:val="21"/>
          <w:highlight w:val="none"/>
        </w:rPr>
      </w:pPr>
      <w:bookmarkStart w:id="175" w:name="_Toc17691"/>
      <w:r>
        <w:rPr>
          <w:rFonts w:hint="eastAsia" w:ascii="宋体" w:hAnsi="宋体"/>
          <w:color w:val="auto"/>
          <w:szCs w:val="21"/>
          <w:highlight w:val="none"/>
        </w:rPr>
        <w:br w:type="page"/>
      </w:r>
    </w:p>
    <w:bookmarkEnd w:id="175"/>
    <w:p w14:paraId="60CBF3B7">
      <w:pPr>
        <w:pStyle w:val="8"/>
        <w:widowControl w:val="0"/>
        <w:overflowPunct w:val="0"/>
        <w:spacing w:line="240" w:lineRule="auto"/>
        <w:rPr>
          <w:rFonts w:hint="eastAsia" w:ascii="宋体" w:hAnsi="宋体"/>
          <w:color w:val="auto"/>
          <w:sz w:val="21"/>
          <w:szCs w:val="21"/>
          <w:highlight w:val="none"/>
        </w:rPr>
      </w:pPr>
      <w:bookmarkStart w:id="176" w:name="_Toc182308053"/>
      <w:r>
        <w:rPr>
          <w:rFonts w:hint="eastAsia" w:ascii="宋体" w:hAnsi="宋体"/>
          <w:color w:val="auto"/>
          <w:sz w:val="21"/>
          <w:szCs w:val="21"/>
          <w:highlight w:val="none"/>
        </w:rPr>
        <w:t>附件3.</w:t>
      </w:r>
      <w:r>
        <w:rPr>
          <w:rFonts w:hint="eastAsia"/>
          <w:color w:val="auto"/>
          <w:highlight w:val="none"/>
        </w:rPr>
        <w:t xml:space="preserve"> </w:t>
      </w:r>
      <w:r>
        <w:rPr>
          <w:rFonts w:hint="eastAsia" w:ascii="宋体" w:hAnsi="宋体"/>
          <w:color w:val="auto"/>
          <w:sz w:val="21"/>
          <w:szCs w:val="21"/>
          <w:highlight w:val="none"/>
        </w:rPr>
        <w:t>项目实施方案格式</w:t>
      </w:r>
      <w:bookmarkEnd w:id="176"/>
    </w:p>
    <w:p w14:paraId="5DD0D448">
      <w:pPr>
        <w:jc w:val="center"/>
        <w:rPr>
          <w:rFonts w:ascii="黑体" w:eastAsia="黑体"/>
          <w:color w:val="auto"/>
          <w:sz w:val="32"/>
          <w:szCs w:val="32"/>
          <w:highlight w:val="none"/>
        </w:rPr>
      </w:pPr>
    </w:p>
    <w:p w14:paraId="4A7A33C0">
      <w:pPr>
        <w:jc w:val="center"/>
        <w:rPr>
          <w:rFonts w:ascii="黑体" w:eastAsia="黑体"/>
          <w:color w:val="auto"/>
          <w:sz w:val="32"/>
          <w:szCs w:val="32"/>
          <w:highlight w:val="none"/>
        </w:rPr>
      </w:pPr>
      <w:r>
        <w:rPr>
          <w:rFonts w:hint="eastAsia" w:ascii="黑体" w:eastAsia="黑体"/>
          <w:color w:val="auto"/>
          <w:sz w:val="32"/>
          <w:szCs w:val="32"/>
          <w:highlight w:val="none"/>
        </w:rPr>
        <w:t>项目实施方案</w:t>
      </w:r>
    </w:p>
    <w:p w14:paraId="2CE5E90F">
      <w:pPr>
        <w:jc w:val="center"/>
        <w:rPr>
          <w:rFonts w:ascii="黑体" w:eastAsia="黑体"/>
          <w:color w:val="auto"/>
          <w:sz w:val="32"/>
          <w:szCs w:val="32"/>
          <w:highlight w:val="none"/>
        </w:rPr>
      </w:pPr>
    </w:p>
    <w:p w14:paraId="4737078F">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1、</w:t>
      </w:r>
      <w:r>
        <w:rPr>
          <w:rFonts w:hint="eastAsia" w:hAnsi="宋体" w:cs="宋体"/>
          <w:color w:val="auto"/>
          <w:spacing w:val="2"/>
          <w:szCs w:val="21"/>
          <w:highlight w:val="none"/>
        </w:rPr>
        <w:t>项目实施（设计、供货、安装）方案及进度计划</w:t>
      </w:r>
    </w:p>
    <w:p w14:paraId="3563F25D">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2、</w:t>
      </w:r>
      <w:r>
        <w:rPr>
          <w:rFonts w:hint="eastAsia" w:hAnsi="宋体" w:cs="宋体"/>
          <w:color w:val="auto"/>
          <w:spacing w:val="2"/>
          <w:szCs w:val="21"/>
          <w:highlight w:val="none"/>
        </w:rPr>
        <w:t>产品性能</w:t>
      </w:r>
    </w:p>
    <w:p w14:paraId="48062A06">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lang w:bidi="ar"/>
        </w:rPr>
        <w:t>质量保证措施</w:t>
      </w:r>
    </w:p>
    <w:p w14:paraId="5D6FDED3">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4、</w:t>
      </w:r>
      <w:r>
        <w:rPr>
          <w:rFonts w:hint="eastAsia" w:hAnsi="宋体" w:cs="宋体"/>
          <w:color w:val="auto"/>
          <w:spacing w:val="2"/>
          <w:szCs w:val="21"/>
          <w:highlight w:val="none"/>
        </w:rPr>
        <w:t>售后服务</w:t>
      </w:r>
    </w:p>
    <w:p w14:paraId="63249E4E">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t>5、投标人认为对投标有利的其他资料</w:t>
      </w:r>
    </w:p>
    <w:p w14:paraId="4B1512DA">
      <w:pPr>
        <w:ind w:left="718" w:leftChars="200" w:hanging="298" w:hangingChars="142"/>
        <w:rPr>
          <w:rFonts w:hint="eastAsia" w:ascii="宋体" w:hAnsi="宋体" w:cs="Times New Roman"/>
          <w:color w:val="auto"/>
          <w:szCs w:val="21"/>
          <w:highlight w:val="none"/>
        </w:rPr>
      </w:pPr>
      <w:r>
        <w:rPr>
          <w:rFonts w:hint="eastAsia" w:ascii="宋体" w:hAnsi="宋体"/>
          <w:color w:val="auto"/>
          <w:szCs w:val="21"/>
          <w:highlight w:val="none"/>
          <w:lang w:eastAsia="zh-CN"/>
        </w:rPr>
        <w:t>（由投标人自行编写）</w:t>
      </w:r>
      <w:r>
        <w:rPr>
          <w:rFonts w:hint="eastAsia" w:ascii="宋体" w:hAnsi="宋体"/>
          <w:color w:val="auto"/>
          <w:szCs w:val="21"/>
          <w:highlight w:val="none"/>
        </w:rPr>
        <w:t>。</w:t>
      </w:r>
    </w:p>
    <w:p w14:paraId="02F01FA7">
      <w:pPr>
        <w:ind w:left="718" w:leftChars="200" w:hanging="298" w:hangingChars="142"/>
        <w:rPr>
          <w:rFonts w:hint="eastAsia" w:ascii="宋体" w:hAnsi="宋体"/>
          <w:color w:val="auto"/>
          <w:szCs w:val="21"/>
          <w:highlight w:val="none"/>
        </w:rPr>
      </w:pPr>
    </w:p>
    <w:p w14:paraId="4E89EB0C">
      <w:pPr>
        <w:ind w:left="718" w:leftChars="200" w:hanging="298" w:hangingChars="142"/>
        <w:rPr>
          <w:rFonts w:hint="eastAsia" w:ascii="宋体" w:hAnsi="宋体"/>
          <w:color w:val="auto"/>
          <w:szCs w:val="21"/>
          <w:highlight w:val="none"/>
        </w:rPr>
      </w:pPr>
    </w:p>
    <w:p w14:paraId="09AB6E0B">
      <w:pPr>
        <w:ind w:left="718" w:leftChars="200" w:hanging="298" w:hangingChars="142"/>
        <w:rPr>
          <w:rFonts w:hint="eastAsia" w:ascii="宋体" w:hAnsi="宋体"/>
          <w:color w:val="auto"/>
          <w:szCs w:val="21"/>
          <w:highlight w:val="none"/>
        </w:rPr>
      </w:pPr>
      <w:r>
        <w:rPr>
          <w:rFonts w:hint="eastAsia" w:ascii="宋体" w:hAnsi="宋体"/>
          <w:color w:val="auto"/>
          <w:szCs w:val="21"/>
          <w:highlight w:val="none"/>
        </w:rPr>
        <w:br w:type="page"/>
      </w:r>
    </w:p>
    <w:p w14:paraId="007A3E45">
      <w:pPr>
        <w:jc w:val="center"/>
        <w:outlineLvl w:val="1"/>
        <w:rPr>
          <w:rFonts w:eastAsia="黑体"/>
          <w:color w:val="auto"/>
          <w:sz w:val="72"/>
          <w:szCs w:val="72"/>
          <w:highlight w:val="none"/>
        </w:rPr>
      </w:pPr>
      <w:bookmarkStart w:id="177" w:name="_Toc182308054"/>
      <w:r>
        <w:rPr>
          <w:rFonts w:hint="eastAsia" w:eastAsia="黑体"/>
          <w:color w:val="auto"/>
          <w:sz w:val="72"/>
          <w:szCs w:val="72"/>
          <w:highlight w:val="none"/>
        </w:rPr>
        <w:t>唱标信封</w:t>
      </w:r>
      <w:bookmarkEnd w:id="177"/>
    </w:p>
    <w:p w14:paraId="3EB0D17B">
      <w:pPr>
        <w:jc w:val="center"/>
        <w:rPr>
          <w:rFonts w:ascii="黑体" w:eastAsia="黑体"/>
          <w:color w:val="auto"/>
          <w:sz w:val="52"/>
          <w:szCs w:val="52"/>
          <w:highlight w:val="none"/>
        </w:rPr>
      </w:pPr>
      <w:r>
        <w:rPr>
          <w:rFonts w:hint="eastAsia" w:ascii="黑体" w:eastAsia="黑体"/>
          <w:color w:val="auto"/>
          <w:sz w:val="52"/>
          <w:szCs w:val="52"/>
          <w:highlight w:val="none"/>
        </w:rPr>
        <w:t>（单独装订成册，单独封装）</w:t>
      </w:r>
    </w:p>
    <w:p w14:paraId="30A8C3DF">
      <w:pPr>
        <w:rPr>
          <w:color w:val="auto"/>
          <w:highlight w:val="none"/>
        </w:rPr>
      </w:pPr>
    </w:p>
    <w:p w14:paraId="26D1D23F">
      <w:pPr>
        <w:pStyle w:val="13"/>
        <w:rPr>
          <w:rFonts w:hint="eastAsia"/>
          <w:color w:val="auto"/>
          <w:highlight w:val="none"/>
        </w:rPr>
      </w:pPr>
    </w:p>
    <w:p w14:paraId="0C709A81">
      <w:pPr>
        <w:ind w:firstLine="240"/>
        <w:rPr>
          <w:color w:val="auto"/>
          <w:highlight w:val="none"/>
        </w:rPr>
      </w:pPr>
    </w:p>
    <w:p w14:paraId="0115AFAA">
      <w:pPr>
        <w:ind w:firstLine="240"/>
        <w:rPr>
          <w:color w:val="auto"/>
          <w:highlight w:val="none"/>
        </w:rPr>
      </w:pPr>
    </w:p>
    <w:p w14:paraId="67C0DAD8">
      <w:pPr>
        <w:rPr>
          <w:rFonts w:hint="eastAsia" w:ascii="宋体" w:hAnsi="宋体" w:cs="宋体"/>
          <w:b/>
          <w:color w:val="auto"/>
          <w:spacing w:val="-6"/>
          <w:sz w:val="32"/>
          <w:szCs w:val="32"/>
          <w:highlight w:val="none"/>
        </w:rPr>
      </w:pPr>
      <w:r>
        <w:rPr>
          <w:rFonts w:hint="eastAsia" w:ascii="宋体" w:hAnsi="宋体" w:cs="宋体"/>
          <w:b/>
          <w:color w:val="auto"/>
          <w:spacing w:val="106"/>
          <w:sz w:val="32"/>
          <w:szCs w:val="32"/>
          <w:highlight w:val="none"/>
        </w:rPr>
        <w:t>项目名</w:t>
      </w:r>
      <w:r>
        <w:rPr>
          <w:rFonts w:hint="eastAsia" w:ascii="宋体" w:hAnsi="宋体" w:cs="宋体"/>
          <w:b/>
          <w:color w:val="auto"/>
          <w:spacing w:val="2"/>
          <w:sz w:val="32"/>
          <w:szCs w:val="32"/>
          <w:highlight w:val="none"/>
        </w:rPr>
        <w:t>称</w:t>
      </w:r>
      <w:r>
        <w:rPr>
          <w:rFonts w:hint="eastAsia" w:ascii="宋体" w:hAnsi="宋体" w:cs="宋体"/>
          <w:b/>
          <w:color w:val="auto"/>
          <w:spacing w:val="-6"/>
          <w:sz w:val="32"/>
          <w:szCs w:val="32"/>
          <w:highlight w:val="none"/>
        </w:rPr>
        <w:t>：</w:t>
      </w:r>
    </w:p>
    <w:p w14:paraId="1C503415">
      <w:pPr>
        <w:rPr>
          <w:rFonts w:hint="eastAsia" w:ascii="宋体" w:hAnsi="宋体" w:cs="宋体"/>
          <w:b/>
          <w:color w:val="auto"/>
          <w:sz w:val="32"/>
          <w:szCs w:val="32"/>
          <w:highlight w:val="none"/>
        </w:rPr>
      </w:pPr>
      <w:r>
        <w:rPr>
          <w:rFonts w:hint="eastAsia" w:ascii="宋体" w:hAnsi="宋体" w:cs="宋体"/>
          <w:b/>
          <w:color w:val="auto"/>
          <w:spacing w:val="106"/>
          <w:sz w:val="32"/>
          <w:szCs w:val="32"/>
          <w:highlight w:val="none"/>
        </w:rPr>
        <w:t>项目编</w:t>
      </w:r>
      <w:r>
        <w:rPr>
          <w:rFonts w:hint="eastAsia" w:ascii="宋体" w:hAnsi="宋体" w:cs="宋体"/>
          <w:b/>
          <w:color w:val="auto"/>
          <w:spacing w:val="2"/>
          <w:sz w:val="32"/>
          <w:szCs w:val="32"/>
          <w:highlight w:val="none"/>
        </w:rPr>
        <w:t>号</w:t>
      </w:r>
      <w:r>
        <w:rPr>
          <w:rFonts w:hint="eastAsia" w:ascii="宋体" w:hAnsi="宋体" w:cs="宋体"/>
          <w:b/>
          <w:color w:val="auto"/>
          <w:sz w:val="32"/>
          <w:szCs w:val="32"/>
          <w:highlight w:val="none"/>
        </w:rPr>
        <w:t>：</w:t>
      </w:r>
    </w:p>
    <w:p w14:paraId="23265060">
      <w:pPr>
        <w:pStyle w:val="13"/>
        <w:ind w:left="0"/>
        <w:rPr>
          <w:rFonts w:hint="eastAsia"/>
          <w:b/>
          <w:color w:val="auto"/>
          <w:spacing w:val="106"/>
          <w:sz w:val="32"/>
          <w:szCs w:val="32"/>
          <w:highlight w:val="none"/>
          <w:lang w:val="en-US" w:bidi="ar-SA"/>
        </w:rPr>
      </w:pPr>
      <w:r>
        <w:rPr>
          <w:rFonts w:hint="eastAsia"/>
          <w:b/>
          <w:color w:val="auto"/>
          <w:spacing w:val="106"/>
          <w:sz w:val="32"/>
          <w:szCs w:val="32"/>
          <w:highlight w:val="none"/>
          <w:lang w:val="en-US" w:bidi="ar-SA"/>
        </w:rPr>
        <w:t>包组号（如有）：</w:t>
      </w:r>
    </w:p>
    <w:p w14:paraId="686090E6">
      <w:pPr>
        <w:rPr>
          <w:rFonts w:hint="eastAsia" w:ascii="宋体" w:hAnsi="宋体" w:cs="宋体"/>
          <w:b/>
          <w:color w:val="auto"/>
          <w:sz w:val="32"/>
          <w:szCs w:val="32"/>
          <w:highlight w:val="none"/>
        </w:rPr>
      </w:pPr>
      <w:r>
        <w:rPr>
          <w:rFonts w:hint="eastAsia" w:ascii="宋体" w:hAnsi="宋体" w:cs="宋体"/>
          <w:b/>
          <w:color w:val="auto"/>
          <w:sz w:val="32"/>
          <w:szCs w:val="32"/>
          <w:highlight w:val="none"/>
        </w:rPr>
        <w:t>投标人名称：</w:t>
      </w:r>
    </w:p>
    <w:p w14:paraId="74F44E1E">
      <w:pPr>
        <w:rPr>
          <w:rFonts w:hint="eastAsia" w:ascii="宋体" w:hAnsi="宋体" w:cs="宋体"/>
          <w:b/>
          <w:color w:val="auto"/>
          <w:sz w:val="32"/>
          <w:szCs w:val="32"/>
          <w:highlight w:val="none"/>
        </w:rPr>
      </w:pPr>
      <w:r>
        <w:rPr>
          <w:rFonts w:hint="eastAsia" w:ascii="宋体" w:hAnsi="宋体" w:cs="宋体"/>
          <w:b/>
          <w:color w:val="auto"/>
          <w:spacing w:val="64"/>
          <w:sz w:val="32"/>
          <w:szCs w:val="32"/>
          <w:highlight w:val="none"/>
        </w:rPr>
        <w:t xml:space="preserve">日    </w:t>
      </w:r>
      <w:r>
        <w:rPr>
          <w:rFonts w:hint="eastAsia" w:ascii="宋体" w:hAnsi="宋体" w:cs="宋体"/>
          <w:b/>
          <w:color w:val="auto"/>
          <w:sz w:val="32"/>
          <w:szCs w:val="32"/>
          <w:highlight w:val="none"/>
        </w:rPr>
        <w:t>期：  年  月  日</w:t>
      </w:r>
    </w:p>
    <w:p w14:paraId="3A8ADE03">
      <w:pPr>
        <w:rPr>
          <w:rFonts w:hint="eastAsia" w:ascii="宋体" w:hAnsi="宋体"/>
          <w:color w:val="auto"/>
          <w:szCs w:val="21"/>
          <w:highlight w:val="none"/>
        </w:rPr>
      </w:pPr>
      <w:r>
        <w:rPr>
          <w:rFonts w:hint="eastAsia" w:ascii="宋体" w:hAnsi="宋体"/>
          <w:color w:val="auto"/>
          <w:szCs w:val="21"/>
          <w:highlight w:val="none"/>
        </w:rPr>
        <w:br w:type="page"/>
      </w:r>
    </w:p>
    <w:p w14:paraId="77A90F4F">
      <w:pPr>
        <w:pStyle w:val="8"/>
        <w:numPr>
          <w:ilvl w:val="255"/>
          <w:numId w:val="0"/>
        </w:numPr>
        <w:tabs>
          <w:tab w:val="left" w:pos="720"/>
          <w:tab w:val="left" w:pos="3840"/>
        </w:tabs>
        <w:ind w:left="283"/>
        <w:jc w:val="both"/>
        <w:rPr>
          <w:rFonts w:hint="eastAsia" w:ascii="宋体" w:hAnsi="宋体"/>
          <w:color w:val="auto"/>
          <w:sz w:val="21"/>
          <w:szCs w:val="21"/>
          <w:highlight w:val="none"/>
        </w:rPr>
      </w:pPr>
      <w:bookmarkStart w:id="178" w:name="_Toc182308055"/>
      <w:r>
        <w:rPr>
          <w:rFonts w:hint="eastAsia" w:ascii="宋体" w:hAnsi="宋体"/>
          <w:color w:val="auto"/>
          <w:sz w:val="21"/>
          <w:szCs w:val="21"/>
          <w:highlight w:val="none"/>
        </w:rPr>
        <w:t>附件1.开标一览表（按价格文件要求编制）</w:t>
      </w:r>
      <w:bookmarkEnd w:id="178"/>
    </w:p>
    <w:p w14:paraId="498766CB">
      <w:pPr>
        <w:pStyle w:val="8"/>
        <w:numPr>
          <w:ilvl w:val="255"/>
          <w:numId w:val="0"/>
        </w:numPr>
        <w:tabs>
          <w:tab w:val="left" w:pos="720"/>
          <w:tab w:val="left" w:pos="3840"/>
        </w:tabs>
        <w:ind w:left="283"/>
        <w:jc w:val="both"/>
        <w:rPr>
          <w:rFonts w:hint="eastAsia" w:ascii="宋体" w:hAnsi="宋体"/>
          <w:color w:val="auto"/>
          <w:sz w:val="21"/>
          <w:szCs w:val="21"/>
          <w:highlight w:val="none"/>
        </w:rPr>
      </w:pPr>
      <w:bookmarkStart w:id="179" w:name="_Toc182308056"/>
      <w:r>
        <w:rPr>
          <w:rFonts w:hint="eastAsia" w:ascii="宋体" w:hAnsi="宋体"/>
          <w:color w:val="auto"/>
          <w:sz w:val="21"/>
          <w:szCs w:val="21"/>
          <w:highlight w:val="none"/>
        </w:rPr>
        <w:t>附件2.法定代表人证明书（按商务文件要求编制）</w:t>
      </w:r>
      <w:bookmarkEnd w:id="179"/>
    </w:p>
    <w:p w14:paraId="62DA8E27">
      <w:pPr>
        <w:pStyle w:val="8"/>
        <w:numPr>
          <w:ilvl w:val="255"/>
          <w:numId w:val="0"/>
        </w:numPr>
        <w:tabs>
          <w:tab w:val="left" w:pos="720"/>
          <w:tab w:val="left" w:pos="3840"/>
        </w:tabs>
        <w:ind w:left="283"/>
        <w:jc w:val="both"/>
        <w:rPr>
          <w:rFonts w:hint="eastAsia" w:ascii="宋体" w:hAnsi="宋体"/>
          <w:color w:val="auto"/>
          <w:sz w:val="21"/>
          <w:szCs w:val="21"/>
          <w:highlight w:val="none"/>
        </w:rPr>
      </w:pPr>
      <w:bookmarkStart w:id="180" w:name="_Toc182308057"/>
      <w:r>
        <w:rPr>
          <w:rFonts w:hint="eastAsia" w:ascii="宋体" w:hAnsi="宋体"/>
          <w:color w:val="auto"/>
          <w:sz w:val="21"/>
          <w:szCs w:val="21"/>
          <w:highlight w:val="none"/>
        </w:rPr>
        <w:t>附件3.法定代表人授权委托书加盖公章（按商务文件要求编制）</w:t>
      </w:r>
      <w:bookmarkEnd w:id="180"/>
    </w:p>
    <w:p w14:paraId="7B0836CE">
      <w:pPr>
        <w:adjustRightInd/>
        <w:snapToGrid/>
        <w:spacing w:line="240" w:lineRule="auto"/>
        <w:rPr>
          <w:rFonts w:hint="eastAsia" w:ascii="宋体" w:hAnsi="宋体" w:cstheme="majorBidi"/>
          <w:b/>
          <w:bCs/>
          <w:color w:val="auto"/>
          <w:szCs w:val="21"/>
          <w:highlight w:val="none"/>
        </w:rPr>
      </w:pPr>
      <w:r>
        <w:rPr>
          <w:rFonts w:hint="eastAsia" w:ascii="宋体" w:hAnsi="宋体"/>
          <w:color w:val="auto"/>
          <w:szCs w:val="21"/>
          <w:highlight w:val="none"/>
        </w:rPr>
        <w:br w:type="page"/>
      </w:r>
    </w:p>
    <w:p w14:paraId="6A1D6FF5">
      <w:pPr>
        <w:pStyle w:val="8"/>
        <w:numPr>
          <w:ilvl w:val="255"/>
          <w:numId w:val="0"/>
        </w:numPr>
        <w:tabs>
          <w:tab w:val="left" w:pos="720"/>
          <w:tab w:val="left" w:pos="3840"/>
        </w:tabs>
        <w:ind w:left="283"/>
        <w:jc w:val="both"/>
        <w:rPr>
          <w:rFonts w:hint="eastAsia" w:ascii="宋体" w:hAnsi="宋体"/>
          <w:color w:val="auto"/>
          <w:sz w:val="21"/>
          <w:szCs w:val="21"/>
          <w:highlight w:val="none"/>
        </w:rPr>
      </w:pPr>
      <w:bookmarkStart w:id="181" w:name="_Toc182308058"/>
      <w:r>
        <w:rPr>
          <w:rFonts w:hint="eastAsia" w:ascii="宋体" w:hAnsi="宋体"/>
          <w:color w:val="auto"/>
          <w:sz w:val="21"/>
          <w:szCs w:val="21"/>
          <w:highlight w:val="none"/>
        </w:rPr>
        <w:t>附件4.投标保证金汇入情况说明（含银行汇款凭证）</w:t>
      </w:r>
      <w:bookmarkEnd w:id="181"/>
    </w:p>
    <w:p w14:paraId="2CD8B806">
      <w:pPr>
        <w:jc w:val="center"/>
        <w:rPr>
          <w:rFonts w:ascii="黑体" w:eastAsia="黑体"/>
          <w:color w:val="auto"/>
          <w:sz w:val="28"/>
          <w:szCs w:val="28"/>
          <w:highlight w:val="none"/>
        </w:rPr>
      </w:pPr>
      <w:r>
        <w:rPr>
          <w:rFonts w:hint="eastAsia" w:ascii="黑体" w:eastAsia="黑体"/>
          <w:color w:val="auto"/>
          <w:sz w:val="28"/>
          <w:szCs w:val="28"/>
          <w:highlight w:val="none"/>
        </w:rPr>
        <w:t>投标保证金汇入情况说明</w:t>
      </w:r>
    </w:p>
    <w:p w14:paraId="36F0267F">
      <w:pPr>
        <w:spacing w:line="480" w:lineRule="auto"/>
        <w:rPr>
          <w:rFonts w:hint="eastAsia"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lang w:eastAsia="zh-CN"/>
        </w:rPr>
        <w:t>广西同泽工程项目管理股份有限公司</w:t>
      </w:r>
      <w:r>
        <w:rPr>
          <w:rFonts w:hint="eastAsia" w:ascii="宋体" w:hAnsi="宋体"/>
          <w:color w:val="auto"/>
          <w:szCs w:val="21"/>
          <w:highlight w:val="none"/>
        </w:rPr>
        <w:t>：</w:t>
      </w:r>
    </w:p>
    <w:p w14:paraId="2F7FD5B0">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本单位已按</w:t>
      </w:r>
      <w:r>
        <w:rPr>
          <w:rFonts w:hint="eastAsia" w:ascii="宋体" w:hAnsi="宋体"/>
          <w:color w:val="auto"/>
          <w:szCs w:val="21"/>
          <w:highlight w:val="none"/>
          <w:u w:val="single"/>
        </w:rPr>
        <w:t xml:space="preserve">         </w:t>
      </w:r>
      <w:r>
        <w:rPr>
          <w:rFonts w:hint="eastAsia" w:ascii="宋体" w:hAnsi="宋体"/>
          <w:color w:val="auto"/>
          <w:szCs w:val="21"/>
          <w:highlight w:val="none"/>
        </w:rPr>
        <w:t>项目（采购项目编号：）的采购文件要求，于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日前以</w:t>
      </w:r>
      <w:r>
        <w:rPr>
          <w:rFonts w:hint="eastAsia" w:ascii="宋体" w:hAnsi="宋体"/>
          <w:color w:val="auto"/>
          <w:szCs w:val="21"/>
          <w:highlight w:val="none"/>
          <w:u w:val="single"/>
        </w:rPr>
        <w:t xml:space="preserve">           （付款形式）</w:t>
      </w:r>
      <w:r>
        <w:rPr>
          <w:rFonts w:hint="eastAsia" w:ascii="宋体" w:hAnsi="宋体"/>
          <w:color w:val="auto"/>
          <w:szCs w:val="21"/>
          <w:highlight w:val="none"/>
        </w:rPr>
        <w:t>方式汇入指定账户（账户名称：</w:t>
      </w:r>
      <w:r>
        <w:rPr>
          <w:rFonts w:hint="eastAsia" w:ascii="宋体" w:hAnsi="宋体"/>
          <w:color w:val="auto"/>
          <w:szCs w:val="21"/>
          <w:highlight w:val="none"/>
          <w:u w:val="single"/>
        </w:rPr>
        <w:t xml:space="preserve">       </w:t>
      </w:r>
      <w:r>
        <w:rPr>
          <w:rFonts w:hint="eastAsia" w:ascii="宋体" w:hAnsi="宋体"/>
          <w:color w:val="auto"/>
          <w:szCs w:val="21"/>
          <w:highlight w:val="none"/>
        </w:rPr>
        <w:t>，账号：</w:t>
      </w:r>
      <w:r>
        <w:rPr>
          <w:rFonts w:hint="eastAsia" w:ascii="宋体" w:hAnsi="宋体"/>
          <w:color w:val="auto"/>
          <w:szCs w:val="21"/>
          <w:highlight w:val="none"/>
          <w:u w:val="single"/>
        </w:rPr>
        <w:t xml:space="preserve">       ，</w:t>
      </w: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16267E77">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本单位投标保证金的汇款情况：（详见附件－投标保证金进账单）</w:t>
      </w:r>
    </w:p>
    <w:p w14:paraId="5EC96ED8">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汇出时间：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4FA5075F">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汇款金额：（大写）人民币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元（小写：¥</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14:paraId="046F5785">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汇款账户名称：</w:t>
      </w:r>
      <w:r>
        <w:rPr>
          <w:rFonts w:hint="eastAsia" w:ascii="宋体" w:hAnsi="宋体"/>
          <w:color w:val="auto"/>
          <w:szCs w:val="21"/>
          <w:highlight w:val="none"/>
          <w:u w:val="single"/>
        </w:rPr>
        <w:t xml:space="preserve">  （必须是投标时使用的账户名）   </w:t>
      </w:r>
    </w:p>
    <w:p w14:paraId="6182C80F">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帐        号：</w:t>
      </w:r>
      <w:r>
        <w:rPr>
          <w:rFonts w:hint="eastAsia" w:ascii="宋体" w:hAnsi="宋体"/>
          <w:color w:val="auto"/>
          <w:szCs w:val="21"/>
          <w:highlight w:val="none"/>
          <w:u w:val="single"/>
        </w:rPr>
        <w:t xml:space="preserve">  （必须是投标时使用的账号）        </w:t>
      </w:r>
    </w:p>
    <w:p w14:paraId="5BC955E2">
      <w:pPr>
        <w:spacing w:line="480" w:lineRule="auto"/>
        <w:ind w:firstLine="420" w:firstLineChars="200"/>
        <w:rPr>
          <w:rFonts w:hint="eastAsia" w:ascii="宋体" w:hAnsi="宋体"/>
          <w:color w:val="auto"/>
          <w:szCs w:val="21"/>
          <w:highlight w:val="none"/>
          <w:u w:val="single"/>
        </w:rPr>
      </w:pPr>
      <w:r>
        <w:rPr>
          <w:rFonts w:hint="eastAsia" w:ascii="宋体" w:hAnsi="宋体"/>
          <w:color w:val="auto"/>
          <w:szCs w:val="21"/>
          <w:highlight w:val="none"/>
        </w:rPr>
        <w:t>开 户  银 行：</w:t>
      </w:r>
      <w:r>
        <w:rPr>
          <w:rFonts w:hint="eastAsia" w:ascii="宋体" w:hAnsi="宋体"/>
          <w:color w:val="auto"/>
          <w:szCs w:val="21"/>
          <w:highlight w:val="none"/>
          <w:u w:val="single"/>
        </w:rPr>
        <w:t xml:space="preserve">  （  XX 银行 XX 分行 XX 支行   ）</w:t>
      </w:r>
    </w:p>
    <w:p w14:paraId="37CC2E87">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本单位谨承诺上述资料是正确、真实的，如因上述证明与事实不符导致的一切损失，本单位保证承担赔偿等一切法律责任。</w:t>
      </w:r>
    </w:p>
    <w:p w14:paraId="2A04B3A1">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投标保证金退回时，请按上述资料退回。</w:t>
      </w:r>
    </w:p>
    <w:p w14:paraId="2153A4E5">
      <w:pPr>
        <w:spacing w:line="480" w:lineRule="auto"/>
        <w:ind w:right="844" w:rightChars="402"/>
        <w:jc w:val="right"/>
        <w:rPr>
          <w:rFonts w:hint="eastAsia" w:ascii="宋体" w:hAnsi="宋体"/>
          <w:color w:val="auto"/>
          <w:szCs w:val="21"/>
          <w:highlight w:val="none"/>
        </w:rPr>
      </w:pPr>
      <w:r>
        <w:rPr>
          <w:rFonts w:hint="eastAsia" w:ascii="宋体" w:hAnsi="宋体"/>
          <w:color w:val="auto"/>
          <w:szCs w:val="21"/>
          <w:highlight w:val="none"/>
        </w:rPr>
        <w:t>（单位公章）</w:t>
      </w:r>
    </w:p>
    <w:p w14:paraId="08C03F43">
      <w:pPr>
        <w:spacing w:line="480" w:lineRule="auto"/>
        <w:ind w:right="628" w:rightChars="299"/>
        <w:jc w:val="right"/>
        <w:rPr>
          <w:rFonts w:hint="eastAsia" w:ascii="宋体" w:hAnsi="宋体"/>
          <w:color w:val="auto"/>
          <w:szCs w:val="21"/>
          <w:highlight w:val="none"/>
        </w:rPr>
      </w:pPr>
      <w:r>
        <w:rPr>
          <w:rFonts w:hint="eastAsia" w:ascii="宋体" w:hAnsi="宋体"/>
          <w:color w:val="auto"/>
          <w:szCs w:val="21"/>
          <w:highlight w:val="none"/>
        </w:rPr>
        <w:t>年  月  日</w:t>
      </w:r>
    </w:p>
    <w:p w14:paraId="4E83E195">
      <w:pPr>
        <w:spacing w:line="480" w:lineRule="auto"/>
        <w:rPr>
          <w:rFonts w:hint="eastAsia" w:ascii="宋体" w:hAnsi="宋体"/>
          <w:color w:val="auto"/>
          <w:szCs w:val="21"/>
          <w:highlight w:val="none"/>
        </w:rPr>
      </w:pPr>
      <w:r>
        <w:rPr>
          <w:rFonts w:hint="eastAsia" w:ascii="宋体" w:hAnsi="宋体"/>
          <w:color w:val="auto"/>
          <w:szCs w:val="21"/>
          <w:highlight w:val="none"/>
        </w:rPr>
        <w:t>单位名称：</w:t>
      </w:r>
    </w:p>
    <w:p w14:paraId="16D2C2D2">
      <w:pPr>
        <w:spacing w:line="480" w:lineRule="auto"/>
        <w:rPr>
          <w:rFonts w:hint="eastAsia" w:ascii="宋体" w:hAnsi="宋体"/>
          <w:color w:val="auto"/>
          <w:szCs w:val="21"/>
          <w:highlight w:val="none"/>
        </w:rPr>
      </w:pPr>
      <w:r>
        <w:rPr>
          <w:rFonts w:hint="eastAsia" w:ascii="宋体" w:hAnsi="宋体"/>
          <w:color w:val="auto"/>
          <w:szCs w:val="21"/>
          <w:highlight w:val="none"/>
        </w:rPr>
        <w:t>单位地址：</w:t>
      </w:r>
    </w:p>
    <w:p w14:paraId="6B8745E9">
      <w:pPr>
        <w:spacing w:line="480" w:lineRule="auto"/>
        <w:rPr>
          <w:rFonts w:hint="eastAsia" w:ascii="宋体" w:hAnsi="宋体"/>
          <w:color w:val="auto"/>
          <w:szCs w:val="21"/>
          <w:highlight w:val="none"/>
        </w:rPr>
      </w:pPr>
      <w:r>
        <w:rPr>
          <w:rFonts w:hint="eastAsia" w:ascii="宋体" w:hAnsi="宋体"/>
          <w:color w:val="auto"/>
          <w:szCs w:val="21"/>
          <w:highlight w:val="none"/>
        </w:rPr>
        <w:t>联系人：</w:t>
      </w:r>
    </w:p>
    <w:p w14:paraId="341B5390">
      <w:pPr>
        <w:spacing w:line="480" w:lineRule="auto"/>
        <w:rPr>
          <w:rFonts w:hint="eastAsia" w:ascii="宋体" w:hAnsi="宋体"/>
          <w:color w:val="auto"/>
          <w:szCs w:val="21"/>
          <w:highlight w:val="none"/>
        </w:rPr>
      </w:pPr>
      <w:r>
        <w:rPr>
          <w:rFonts w:hint="eastAsia" w:ascii="宋体" w:hAnsi="宋体"/>
          <w:color w:val="auto"/>
          <w:szCs w:val="21"/>
          <w:highlight w:val="none"/>
        </w:rPr>
        <w:t xml:space="preserve">单位电话： </w:t>
      </w:r>
    </w:p>
    <w:p w14:paraId="28ED0B17">
      <w:pPr>
        <w:spacing w:line="480" w:lineRule="auto"/>
        <w:rPr>
          <w:rFonts w:hint="eastAsia" w:ascii="宋体" w:hAnsi="宋体"/>
          <w:color w:val="auto"/>
          <w:szCs w:val="21"/>
          <w:highlight w:val="none"/>
        </w:rPr>
      </w:pPr>
      <w:r>
        <w:rPr>
          <w:rFonts w:hint="eastAsia" w:ascii="宋体" w:hAnsi="宋体"/>
          <w:color w:val="auto"/>
          <w:szCs w:val="21"/>
          <w:highlight w:val="none"/>
        </w:rPr>
        <w:t>联系人手机：</w:t>
      </w:r>
    </w:p>
    <w:p w14:paraId="3148C538">
      <w:pPr>
        <w:rPr>
          <w:rFonts w:hint="eastAsia" w:ascii="宋体" w:hAnsi="宋体"/>
          <w:color w:val="auto"/>
          <w:szCs w:val="21"/>
          <w:highlight w:val="none"/>
        </w:rPr>
      </w:pPr>
    </w:p>
    <w:p w14:paraId="4BB3177B">
      <w:pPr>
        <w:spacing w:line="380" w:lineRule="exact"/>
        <w:ind w:firstLine="420" w:firstLineChars="200"/>
        <w:rPr>
          <w:rFonts w:hint="eastAsia" w:ascii="宋体" w:hAnsi="宋体"/>
          <w:color w:val="auto"/>
          <w:szCs w:val="21"/>
          <w:highlight w:val="none"/>
        </w:rPr>
      </w:pPr>
      <w:r>
        <w:rPr>
          <w:rFonts w:hint="eastAsia" w:ascii="宋体" w:hAnsi="宋体"/>
          <w:color w:val="auto"/>
          <w:szCs w:val="21"/>
          <w:highlight w:val="none"/>
        </w:rPr>
        <w:br w:type="page"/>
      </w:r>
    </w:p>
    <w:p w14:paraId="2BCC6793">
      <w:pPr>
        <w:spacing w:line="380" w:lineRule="exact"/>
        <w:ind w:firstLine="420" w:firstLineChars="200"/>
        <w:rPr>
          <w:rFonts w:hint="eastAsia" w:ascii="宋体" w:hAnsi="宋体"/>
          <w:color w:val="auto"/>
          <w:szCs w:val="21"/>
          <w:highlight w:val="none"/>
        </w:rPr>
      </w:pPr>
      <w:r>
        <w:rPr>
          <w:rFonts w:hint="eastAsia" w:ascii="宋体" w:hAnsi="宋体"/>
          <w:color w:val="auto"/>
          <w:szCs w:val="21"/>
          <w:highlight w:val="none"/>
        </w:rPr>
        <w:t>附：我方投标保证金汇款凭证</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70DA1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522" w:type="dxa"/>
            <w:vAlign w:val="center"/>
          </w:tcPr>
          <w:p w14:paraId="48D41BDA">
            <w:pPr>
              <w:tabs>
                <w:tab w:val="left" w:pos="3885"/>
              </w:tabs>
              <w:jc w:val="center"/>
              <w:rPr>
                <w:rFonts w:hint="eastAsia" w:ascii="宋体" w:hAnsi="宋体"/>
                <w:color w:val="auto"/>
                <w:szCs w:val="21"/>
                <w:highlight w:val="none"/>
              </w:rPr>
            </w:pPr>
            <w:r>
              <w:rPr>
                <w:rFonts w:hint="eastAsia" w:ascii="宋体" w:hAnsi="宋体"/>
                <w:color w:val="auto"/>
                <w:szCs w:val="21"/>
                <w:highlight w:val="none"/>
              </w:rPr>
              <w:t>（粘贴汇款单或转账</w:t>
            </w:r>
            <w:r>
              <w:rPr>
                <w:rFonts w:ascii="宋体" w:hAnsi="宋体"/>
                <w:color w:val="auto"/>
                <w:szCs w:val="21"/>
                <w:highlight w:val="none"/>
              </w:rPr>
              <w:t>凭证</w:t>
            </w:r>
            <w:r>
              <w:rPr>
                <w:rFonts w:hint="eastAsia" w:ascii="宋体" w:hAnsi="宋体"/>
                <w:color w:val="auto"/>
                <w:szCs w:val="21"/>
                <w:highlight w:val="none"/>
              </w:rPr>
              <w:t>复印件，并在骑缝上加盖投标人公章，或是直接把转账</w:t>
            </w:r>
            <w:r>
              <w:rPr>
                <w:rFonts w:ascii="宋体" w:hAnsi="宋体"/>
                <w:color w:val="auto"/>
                <w:szCs w:val="21"/>
                <w:highlight w:val="none"/>
              </w:rPr>
              <w:t>凭证</w:t>
            </w:r>
            <w:r>
              <w:rPr>
                <w:rFonts w:hint="eastAsia" w:ascii="宋体" w:hAnsi="宋体"/>
                <w:color w:val="auto"/>
                <w:szCs w:val="21"/>
                <w:highlight w:val="none"/>
              </w:rPr>
              <w:t>复印到此张纸上）</w:t>
            </w:r>
          </w:p>
        </w:tc>
      </w:tr>
    </w:tbl>
    <w:p w14:paraId="7632CEB3">
      <w:pPr>
        <w:spacing w:line="480" w:lineRule="auto"/>
        <w:ind w:firstLine="420" w:firstLineChars="200"/>
        <w:rPr>
          <w:rFonts w:hint="eastAsia" w:ascii="宋体" w:hAnsi="宋体"/>
          <w:color w:val="auto"/>
          <w:szCs w:val="21"/>
          <w:highlight w:val="none"/>
        </w:rPr>
      </w:pPr>
      <w:r>
        <w:rPr>
          <w:rFonts w:hint="eastAsia" w:ascii="宋体" w:hAnsi="宋体"/>
          <w:color w:val="auto"/>
          <w:szCs w:val="21"/>
          <w:highlight w:val="none"/>
        </w:rPr>
        <w:t>注：此表既要装订在投标文件中，又要按投标人须知的规定与开标一览表、投标保证金汇款底单复印件及授权委托书一同密封装入唱标信封，唱标信封单独提交。</w:t>
      </w:r>
    </w:p>
    <w:p w14:paraId="208D3293">
      <w:pPr>
        <w:rPr>
          <w:rFonts w:hint="eastAsia" w:ascii="宋体" w:hAnsi="宋体"/>
          <w:color w:val="auto"/>
          <w:szCs w:val="21"/>
          <w:highlight w:val="none"/>
        </w:rPr>
      </w:pPr>
    </w:p>
    <w:p w14:paraId="4FD813D6">
      <w:pPr>
        <w:rPr>
          <w:rFonts w:hint="eastAsia" w:ascii="宋体" w:hAnsi="宋体"/>
          <w:color w:val="auto"/>
          <w:szCs w:val="21"/>
          <w:highlight w:val="none"/>
        </w:rPr>
      </w:pPr>
    </w:p>
    <w:p w14:paraId="7FA1D08B">
      <w:pPr>
        <w:rPr>
          <w:rFonts w:hint="eastAsia" w:ascii="宋体" w:hAnsi="宋体"/>
          <w:color w:val="auto"/>
          <w:szCs w:val="21"/>
          <w:highlight w:val="none"/>
        </w:rPr>
      </w:pPr>
    </w:p>
    <w:p w14:paraId="1BF750E0">
      <w:pPr>
        <w:rPr>
          <w:rFonts w:hint="eastAsia" w:ascii="宋体" w:hAnsi="宋体"/>
          <w:color w:val="auto"/>
          <w:szCs w:val="21"/>
          <w:highlight w:val="none"/>
        </w:rPr>
      </w:pPr>
    </w:p>
    <w:p w14:paraId="1198E980">
      <w:pPr>
        <w:rPr>
          <w:rFonts w:hint="eastAsia" w:ascii="宋体" w:hAnsi="宋体"/>
          <w:color w:val="auto"/>
          <w:szCs w:val="21"/>
          <w:highlight w:val="none"/>
        </w:rPr>
      </w:pPr>
    </w:p>
    <w:p w14:paraId="63B05FAD">
      <w:pPr>
        <w:rPr>
          <w:rFonts w:hint="eastAsia" w:ascii="宋体" w:hAnsi="宋体"/>
          <w:color w:val="auto"/>
          <w:szCs w:val="21"/>
          <w:highlight w:val="none"/>
        </w:rPr>
      </w:pPr>
    </w:p>
    <w:p w14:paraId="3C89B048">
      <w:pPr>
        <w:rPr>
          <w:rFonts w:hint="eastAsia" w:ascii="宋体" w:hAnsi="宋体"/>
          <w:color w:val="auto"/>
          <w:szCs w:val="21"/>
          <w:highlight w:val="none"/>
        </w:rPr>
      </w:pPr>
      <w:r>
        <w:rPr>
          <w:rFonts w:hint="eastAsia" w:ascii="宋体" w:hAnsi="宋体"/>
          <w:color w:val="auto"/>
          <w:szCs w:val="21"/>
          <w:highlight w:val="none"/>
        </w:rPr>
        <w:br w:type="page"/>
      </w:r>
    </w:p>
    <w:p w14:paraId="2D3B92AD">
      <w:pPr>
        <w:pStyle w:val="8"/>
        <w:numPr>
          <w:ilvl w:val="255"/>
          <w:numId w:val="0"/>
        </w:numPr>
        <w:tabs>
          <w:tab w:val="left" w:pos="720"/>
          <w:tab w:val="left" w:pos="3840"/>
        </w:tabs>
        <w:ind w:left="283"/>
        <w:jc w:val="both"/>
        <w:rPr>
          <w:rFonts w:hint="eastAsia" w:ascii="宋体" w:hAnsi="宋体"/>
          <w:color w:val="auto"/>
          <w:sz w:val="21"/>
          <w:szCs w:val="21"/>
          <w:highlight w:val="none"/>
        </w:rPr>
      </w:pPr>
      <w:bookmarkStart w:id="182" w:name="_Toc182308059"/>
      <w:r>
        <w:rPr>
          <w:rFonts w:hint="eastAsia" w:ascii="宋体" w:hAnsi="宋体"/>
          <w:color w:val="auto"/>
          <w:sz w:val="21"/>
          <w:szCs w:val="21"/>
          <w:highlight w:val="none"/>
        </w:rPr>
        <w:t>附件5.投标文件电子文件（U盘，须含盖章版PDF投标文件和WORD版投标文件各一版，文字采用WORD文档，计算表格采用 EXCEL文档。）</w:t>
      </w:r>
      <w:bookmarkEnd w:id="182"/>
    </w:p>
    <w:p w14:paraId="2ED84DF9">
      <w:pPr>
        <w:rPr>
          <w:color w:val="auto"/>
          <w:highlight w:val="none"/>
        </w:rPr>
      </w:pPr>
    </w:p>
    <w:p w14:paraId="3959AB7C">
      <w:pPr>
        <w:ind w:firstLine="420" w:firstLineChars="200"/>
        <w:rPr>
          <w:rFonts w:hint="eastAsia" w:hAnsi="宋体"/>
          <w:color w:val="auto"/>
          <w:szCs w:val="21"/>
          <w:highlight w:val="none"/>
        </w:rPr>
      </w:pPr>
      <w:r>
        <w:rPr>
          <w:rFonts w:hint="eastAsia" w:hAnsi="宋体"/>
          <w:color w:val="auto"/>
          <w:szCs w:val="21"/>
          <w:highlight w:val="none"/>
        </w:rPr>
        <w:t>一、开标一览表加盖公章；</w:t>
      </w:r>
    </w:p>
    <w:p w14:paraId="4E8AFD7C">
      <w:pPr>
        <w:ind w:firstLine="420" w:firstLineChars="200"/>
        <w:rPr>
          <w:rFonts w:hint="eastAsia" w:hAnsi="宋体"/>
          <w:color w:val="auto"/>
          <w:szCs w:val="21"/>
          <w:highlight w:val="none"/>
        </w:rPr>
      </w:pPr>
      <w:r>
        <w:rPr>
          <w:rFonts w:hint="eastAsia" w:hAnsi="宋体"/>
          <w:color w:val="auto"/>
          <w:szCs w:val="21"/>
          <w:highlight w:val="none"/>
        </w:rPr>
        <w:t>二、法定代表人证明书加盖公章；</w:t>
      </w:r>
    </w:p>
    <w:p w14:paraId="7C827951">
      <w:pPr>
        <w:ind w:firstLine="420" w:firstLineChars="200"/>
        <w:rPr>
          <w:rFonts w:hint="eastAsia" w:hAnsi="宋体"/>
          <w:color w:val="auto"/>
          <w:szCs w:val="21"/>
          <w:highlight w:val="none"/>
        </w:rPr>
      </w:pPr>
      <w:r>
        <w:rPr>
          <w:rFonts w:hint="eastAsia" w:hAnsi="宋体"/>
          <w:color w:val="auto"/>
          <w:szCs w:val="21"/>
          <w:highlight w:val="none"/>
        </w:rPr>
        <w:t>三、法定代表人授权委托书加盖公章（法定代表人投标的除外）；</w:t>
      </w:r>
    </w:p>
    <w:p w14:paraId="0761C4F2">
      <w:pPr>
        <w:ind w:firstLine="420" w:firstLineChars="200"/>
        <w:rPr>
          <w:rFonts w:hint="eastAsia" w:hAnsi="宋体"/>
          <w:color w:val="auto"/>
          <w:szCs w:val="21"/>
          <w:highlight w:val="none"/>
        </w:rPr>
      </w:pPr>
      <w:r>
        <w:rPr>
          <w:rFonts w:hint="eastAsia" w:hAnsi="宋体"/>
          <w:color w:val="auto"/>
          <w:szCs w:val="21"/>
          <w:highlight w:val="none"/>
        </w:rPr>
        <w:t>四、投标保证金汇入情况说明（含银行汇款凭证）或投标保函加盖公章；</w:t>
      </w:r>
    </w:p>
    <w:p w14:paraId="581D99BE">
      <w:pPr>
        <w:ind w:firstLine="420" w:firstLineChars="200"/>
        <w:rPr>
          <w:rFonts w:hint="eastAsia" w:hAnsi="宋体"/>
          <w:color w:val="auto"/>
          <w:szCs w:val="21"/>
          <w:highlight w:val="none"/>
        </w:rPr>
      </w:pPr>
      <w:r>
        <w:rPr>
          <w:rFonts w:hint="eastAsia" w:hAnsi="宋体"/>
          <w:color w:val="auto"/>
          <w:szCs w:val="21"/>
          <w:highlight w:val="none"/>
        </w:rPr>
        <w:t>五、投标文件电子文件（U盘，须含盖章版PDF投标文件和WORD版投标文件各一版，文字采用WORD文档，计算表格采用 EXCEL文档。）</w:t>
      </w:r>
    </w:p>
    <w:p w14:paraId="4D59A374">
      <w:pPr>
        <w:rPr>
          <w:rFonts w:hint="eastAsia" w:ascii="宋体" w:hAnsi="宋体" w:cs="宋体"/>
          <w:color w:val="auto"/>
          <w:szCs w:val="21"/>
          <w:highlight w:val="none"/>
        </w:rPr>
      </w:pPr>
    </w:p>
    <w:sectPr>
      <w:headerReference r:id="rId11" w:type="first"/>
      <w:footerReference r:id="rId13" w:type="first"/>
      <w:headerReference r:id="rId10" w:type="default"/>
      <w:footerReference r:id="rId12" w:type="default"/>
      <w:pgSz w:w="11906" w:h="16838"/>
      <w:pgMar w:top="1440" w:right="1800" w:bottom="1440" w:left="1800" w:header="708" w:footer="708" w:gutter="0"/>
      <w:pgBorders>
        <w:top w:val="none" w:sz="0" w:space="0"/>
        <w:left w:val="none" w:sz="0" w:space="0"/>
        <w:bottom w:val="none" w:sz="0" w:space="0"/>
        <w:right w:val="none" w:sz="0" w:space="0"/>
      </w:pgBorders>
      <w:pgNumType w:fmt="decimal"/>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方正书宋简体">
    <w:altName w:val="宋体"/>
    <w:panose1 w:val="00000000000000000000"/>
    <w:charset w:val="86"/>
    <w:family w:val="auto"/>
    <w:pitch w:val="default"/>
    <w:sig w:usb0="00000000" w:usb1="00000000"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E-F1">
    <w:altName w:val="Malgun Gothic"/>
    <w:panose1 w:val="00000000000000000000"/>
    <w:charset w:val="81"/>
    <w:family w:val="roman"/>
    <w:pitch w:val="default"/>
    <w:sig w:usb0="00000000" w:usb1="00000000"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KSOFF9CBECC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BB344">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0E2C3B">
                          <w:pPr>
                            <w:pStyle w:val="1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95</w:t>
                          </w:r>
                          <w:r>
                            <w:fldChar w:fldCharType="end"/>
                          </w:r>
                          <w:r>
                            <w:rPr>
                              <w:rFonts w:hint="eastAsia"/>
                              <w:lang w:val="en-US" w:eastAsia="zh-CN"/>
                            </w:rPr>
                            <w:t xml:space="preserve"> </w:t>
                          </w:r>
                          <w: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E0E2C3B">
                    <w:pPr>
                      <w:pStyle w:val="1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95</w:t>
                    </w:r>
                    <w:r>
                      <w:fldChar w:fldCharType="end"/>
                    </w:r>
                    <w:r>
                      <w:rPr>
                        <w:rFonts w:hint="eastAsia"/>
                        <w:lang w:val="en-US" w:eastAsia="zh-CN"/>
                      </w:rPr>
                      <w:t xml:space="preserve"> </w:t>
                    </w:r>
                    <w:r>
                      <w:t>页</w:t>
                    </w:r>
                  </w:p>
                </w:txbxContent>
              </v:textbox>
            </v:shape>
          </w:pict>
        </mc:Fallback>
      </mc:AlternateContent>
    </w:r>
    <w:sdt>
      <w:sdtPr>
        <w:rPr>
          <w:rFonts w:ascii="Times New Roman" w:hAnsi="Times New Roman" w:eastAsia="微软雅黑" w:cstheme="minorBidi"/>
          <w:kern w:val="2"/>
          <w:sz w:val="18"/>
          <w:szCs w:val="18"/>
          <w:lang w:val="en-US" w:eastAsia="zh-CN" w:bidi="ar-SA"/>
        </w:rPr>
        <w:id w:val="147478195"/>
        <w:showingPlcHdr/>
      </w:sdtPr>
      <w:sdtEndPr>
        <w:rPr>
          <w:rFonts w:ascii="Times New Roman" w:hAnsi="Times New Roman" w:eastAsia="微软雅黑" w:cstheme="minorBidi"/>
          <w:kern w:val="2"/>
          <w:sz w:val="18"/>
          <w:szCs w:val="18"/>
          <w:lang w:val="en-US" w:eastAsia="zh-CN" w:bidi="ar-SA"/>
        </w:rPr>
      </w:sdtEndPr>
      <w:sdtContent>
        <w:r>
          <w:rPr>
            <w:rFonts w:hint="eastAsia" w:ascii="Times New Roman" w:hAnsi="Times New Roman" w:eastAsia="微软雅黑" w:cstheme="minorBidi"/>
            <w:kern w:val="2"/>
            <w:sz w:val="18"/>
            <w:szCs w:val="18"/>
            <w:lang w:val="en-US" w:eastAsia="zh-CN" w:bidi="ar-SA"/>
          </w:rPr>
          <w:t xml:space="preserve">     </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14CF2A">
    <w:pPr>
      <w:widowControl w:val="0"/>
      <w:tabs>
        <w:tab w:val="center" w:pos="4320"/>
        <w:tab w:val="right" w:pos="8640"/>
      </w:tabs>
      <w:adjustRightInd/>
      <w:snapToGrid w:val="0"/>
      <w:spacing w:after="0"/>
      <w:jc w:val="center"/>
      <w:rPr>
        <w:rFonts w:ascii="Times New Roman" w:hAnsi="Times New Roman" w:eastAsia="微软雅黑" w:cstheme="minorBidi"/>
        <w:kern w:val="2"/>
        <w:sz w:val="18"/>
        <w:szCs w:val="18"/>
        <w:lang w:val="en-US" w:eastAsia="zh-CN" w:bidi="ar-SA"/>
      </w:rPr>
    </w:pPr>
  </w:p>
  <w:p w14:paraId="3F34644B">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8BDE65">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F39962">
                          <w:pPr>
                            <w:pStyle w:val="19"/>
                          </w:pPr>
                          <w:r>
                            <w:t xml:space="preserve">第 </w:t>
                          </w:r>
                          <w:r>
                            <w:fldChar w:fldCharType="begin"/>
                          </w:r>
                          <w:r>
                            <w:instrText xml:space="preserve"> PAGE  \* MERGEFORMAT </w:instrText>
                          </w:r>
                          <w:r>
                            <w:fldChar w:fldCharType="separate"/>
                          </w:r>
                          <w:r>
                            <w:t>47</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4F39962">
                    <w:pPr>
                      <w:pStyle w:val="19"/>
                    </w:pPr>
                    <w:r>
                      <w:t xml:space="preserve">第 </w:t>
                    </w:r>
                    <w:r>
                      <w:fldChar w:fldCharType="begin"/>
                    </w:r>
                    <w:r>
                      <w:instrText xml:space="preserve"> PAGE  \* MERGEFORMAT </w:instrText>
                    </w:r>
                    <w:r>
                      <w:fldChar w:fldCharType="separate"/>
                    </w:r>
                    <w:r>
                      <w:t>47</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v:textbox>
            </v:shape>
          </w:pict>
        </mc:Fallback>
      </mc:AlternateContent>
    </w:r>
    <w:sdt>
      <w:sdtPr>
        <w:rPr>
          <w:rFonts w:ascii="Times New Roman" w:hAnsi="Times New Roman" w:eastAsia="微软雅黑" w:cstheme="minorBidi"/>
          <w:kern w:val="2"/>
          <w:sz w:val="18"/>
          <w:szCs w:val="18"/>
          <w:lang w:val="en-US" w:eastAsia="zh-CN" w:bidi="ar-SA"/>
        </w:rPr>
        <w:id w:val="147483489"/>
      </w:sdtPr>
      <w:sdtEndPr>
        <w:rPr>
          <w:rFonts w:ascii="Times New Roman" w:hAnsi="Times New Roman" w:eastAsia="微软雅黑" w:cstheme="minorBidi"/>
          <w:kern w:val="2"/>
          <w:sz w:val="18"/>
          <w:szCs w:val="18"/>
          <w:lang w:val="en-US" w:eastAsia="zh-CN" w:bidi="ar-SA"/>
        </w:rPr>
      </w:sdtEndPr>
      <w:sdtContent/>
    </w:sdt>
  </w:p>
  <w:p w14:paraId="501F958A">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14271F">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54116D">
                          <w:pPr>
                            <w:pStyle w:val="19"/>
                          </w:pPr>
                          <w:r>
                            <w:t xml:space="preserve">第 </w:t>
                          </w:r>
                          <w:r>
                            <w:fldChar w:fldCharType="begin"/>
                          </w:r>
                          <w:r>
                            <w:instrText xml:space="preserve"> PAGE  \* MERGEFORMAT </w:instrText>
                          </w:r>
                          <w:r>
                            <w:fldChar w:fldCharType="separate"/>
                          </w:r>
                          <w:r>
                            <w:t>56</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A54116D">
                    <w:pPr>
                      <w:pStyle w:val="19"/>
                    </w:pPr>
                    <w:r>
                      <w:t xml:space="preserve">第 </w:t>
                    </w:r>
                    <w:r>
                      <w:fldChar w:fldCharType="begin"/>
                    </w:r>
                    <w:r>
                      <w:instrText xml:space="preserve"> PAGE  \* MERGEFORMAT </w:instrText>
                    </w:r>
                    <w:r>
                      <w:fldChar w:fldCharType="separate"/>
                    </w:r>
                    <w:r>
                      <w:t>56</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v:textbox>
            </v:shape>
          </w:pict>
        </mc:Fallback>
      </mc:AlternateContent>
    </w:r>
    <w:sdt>
      <w:sdtPr>
        <w:rPr>
          <w:rFonts w:ascii="Times New Roman" w:hAnsi="Times New Roman" w:eastAsia="微软雅黑" w:cstheme="minorBidi"/>
          <w:kern w:val="2"/>
          <w:sz w:val="18"/>
          <w:szCs w:val="18"/>
          <w:lang w:val="en-US" w:eastAsia="zh-CN" w:bidi="ar-SA"/>
        </w:rPr>
        <w:id w:val="147476040"/>
      </w:sdtPr>
      <w:sdtEndPr>
        <w:rPr>
          <w:rFonts w:ascii="Times New Roman" w:hAnsi="Times New Roman" w:eastAsia="微软雅黑" w:cstheme="minorBidi"/>
          <w:kern w:val="2"/>
          <w:sz w:val="18"/>
          <w:szCs w:val="18"/>
          <w:lang w:val="en-US" w:eastAsia="zh-CN" w:bidi="ar-SA"/>
        </w:rPr>
      </w:sdtEndPr>
      <w:sdtContent/>
    </w:sdt>
  </w:p>
  <w:p w14:paraId="631B37FE">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5B566F">
    <w:pPr>
      <w:widowControl w:val="0"/>
      <w:tabs>
        <w:tab w:val="center" w:pos="4320"/>
        <w:tab w:val="right" w:pos="8640"/>
      </w:tabs>
      <w:adjustRightInd/>
      <w:snapToGrid w:val="0"/>
      <w:spacing w:after="0"/>
      <w:jc w:val="center"/>
      <w:rPr>
        <w:rFonts w:ascii="Times New Roman" w:hAnsi="Times New Roman" w:eastAsia="微软雅黑" w:cstheme="minorBidi"/>
        <w:kern w:val="2"/>
        <w:sz w:val="18"/>
        <w:szCs w:val="18"/>
        <w:lang w:val="en-US" w:eastAsia="zh-CN" w:bidi="ar-SA"/>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20071D">
                          <w:pPr>
                            <w:pStyle w:val="19"/>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420071D">
                    <w:pPr>
                      <w:pStyle w:val="19"/>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v:textbox>
            </v:shape>
          </w:pict>
        </mc:Fallback>
      </mc:AlternateContent>
    </w:r>
  </w:p>
  <w:p w14:paraId="676ABA4C">
    <w:pPr>
      <w:widowControl w:val="0"/>
      <w:tabs>
        <w:tab w:val="center" w:pos="4320"/>
        <w:tab w:val="right" w:pos="8640"/>
      </w:tabs>
      <w:adjustRightInd/>
      <w:snapToGrid w:val="0"/>
      <w:spacing w:after="0"/>
      <w:rPr>
        <w:rFonts w:ascii="Times New Roman" w:hAnsi="Times New Roman" w:eastAsia="微软雅黑" w:cstheme="minorBidi"/>
        <w:kern w:val="2"/>
        <w:sz w:val="18"/>
        <w:szCs w:val="18"/>
        <w:lang w:val="en-US" w:eastAsia="zh-CN"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53299E">
    <w:pPr>
      <w:pStyle w:val="19"/>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739813">
                          <w:pPr>
                            <w:pStyle w:val="19"/>
                          </w:pPr>
                          <w:r>
                            <w:t xml:space="preserve">第 </w:t>
                          </w:r>
                          <w:r>
                            <w:fldChar w:fldCharType="begin"/>
                          </w:r>
                          <w:r>
                            <w:instrText xml:space="preserve"> PAGE  \* MERGEFORMAT </w:instrText>
                          </w:r>
                          <w:r>
                            <w:fldChar w:fldCharType="separate"/>
                          </w:r>
                          <w:r>
                            <w:t>59</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29739813">
                    <w:pPr>
                      <w:pStyle w:val="19"/>
                    </w:pPr>
                    <w:r>
                      <w:t xml:space="preserve">第 </w:t>
                    </w:r>
                    <w:r>
                      <w:fldChar w:fldCharType="begin"/>
                    </w:r>
                    <w:r>
                      <w:instrText xml:space="preserve"> PAGE  \* MERGEFORMAT </w:instrText>
                    </w:r>
                    <w:r>
                      <w:fldChar w:fldCharType="separate"/>
                    </w:r>
                    <w:r>
                      <w:t>59</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C29EB9">
    <w:pPr>
      <w:pStyle w:val="19"/>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AE3395">
                          <w:pPr>
                            <w:pStyle w:val="19"/>
                          </w:pPr>
                          <w:r>
                            <w:t xml:space="preserve">第 </w:t>
                          </w:r>
                          <w:r>
                            <w:fldChar w:fldCharType="begin"/>
                          </w:r>
                          <w:r>
                            <w:instrText xml:space="preserve"> PAGE  \* MERGEFORMAT </w:instrText>
                          </w:r>
                          <w:r>
                            <w:fldChar w:fldCharType="separate"/>
                          </w:r>
                          <w:r>
                            <w:t>58</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67AE3395">
                    <w:pPr>
                      <w:pStyle w:val="19"/>
                    </w:pPr>
                    <w:r>
                      <w:t xml:space="preserve">第 </w:t>
                    </w:r>
                    <w:r>
                      <w:fldChar w:fldCharType="begin"/>
                    </w:r>
                    <w:r>
                      <w:instrText xml:space="preserve"> PAGE  \* MERGEFORMAT </w:instrText>
                    </w:r>
                    <w:r>
                      <w:fldChar w:fldCharType="separate"/>
                    </w:r>
                    <w:r>
                      <w:t>58</w:t>
                    </w:r>
                    <w:r>
                      <w:fldChar w:fldCharType="end"/>
                    </w:r>
                    <w:r>
                      <w:t xml:space="preserve"> 页 共 </w:t>
                    </w:r>
                    <w:r>
                      <w:fldChar w:fldCharType="begin"/>
                    </w:r>
                    <w:r>
                      <w:instrText xml:space="preserve"> NUMPAGES  \* MERGEFORMAT </w:instrText>
                    </w:r>
                    <w:r>
                      <w:fldChar w:fldCharType="separate"/>
                    </w:r>
                    <w:r>
                      <w:t>95</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65541">
    <w:pPr>
      <w:pStyle w:val="2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070003">
    <w:pPr>
      <w:pStyle w:val="20"/>
      <w:jc w:val="both"/>
      <w:rPr>
        <w:rFonts w:hint="eastAsia" w:eastAsia="宋体"/>
        <w:lang w:eastAsia="zh-CN"/>
      </w:rPr>
    </w:pPr>
    <w:r>
      <w:t xml:space="preserve">             </w:t>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0C88E0"/>
    <w:multiLevelType w:val="singleLevel"/>
    <w:tmpl w:val="9C0C88E0"/>
    <w:lvl w:ilvl="0" w:tentative="0">
      <w:start w:val="1"/>
      <w:numFmt w:val="decimal"/>
      <w:suff w:val="nothing"/>
      <w:lvlText w:val="%1、"/>
      <w:lvlJc w:val="left"/>
    </w:lvl>
  </w:abstractNum>
  <w:abstractNum w:abstractNumId="1">
    <w:nsid w:val="C9555E15"/>
    <w:multiLevelType w:val="singleLevel"/>
    <w:tmpl w:val="C9555E15"/>
    <w:lvl w:ilvl="0" w:tentative="0">
      <w:start w:val="1"/>
      <w:numFmt w:val="decimal"/>
      <w:lvlText w:val="(%1)"/>
      <w:lvlJc w:val="left"/>
      <w:pPr>
        <w:ind w:left="425" w:hanging="425"/>
      </w:pPr>
      <w:rPr>
        <w:rFonts w:hint="default"/>
      </w:rPr>
    </w:lvl>
  </w:abstractNum>
  <w:abstractNum w:abstractNumId="2">
    <w:nsid w:val="CA4B271C"/>
    <w:multiLevelType w:val="singleLevel"/>
    <w:tmpl w:val="CA4B271C"/>
    <w:lvl w:ilvl="0" w:tentative="0">
      <w:start w:val="1"/>
      <w:numFmt w:val="chineseCounting"/>
      <w:suff w:val="nothing"/>
      <w:lvlText w:val="（%1）"/>
      <w:lvlJc w:val="left"/>
      <w:rPr>
        <w:rFonts w:hint="eastAsia"/>
      </w:rPr>
    </w:lvl>
  </w:abstractNum>
  <w:abstractNum w:abstractNumId="3">
    <w:nsid w:val="D0047B7E"/>
    <w:multiLevelType w:val="singleLevel"/>
    <w:tmpl w:val="D0047B7E"/>
    <w:lvl w:ilvl="0" w:tentative="0">
      <w:start w:val="1"/>
      <w:numFmt w:val="decimal"/>
      <w:suff w:val="nothing"/>
      <w:lvlText w:val="%1、"/>
      <w:lvlJc w:val="left"/>
    </w:lvl>
  </w:abstractNum>
  <w:abstractNum w:abstractNumId="4">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20D2348B"/>
    <w:multiLevelType w:val="singleLevel"/>
    <w:tmpl w:val="20D2348B"/>
    <w:lvl w:ilvl="0" w:tentative="0">
      <w:start w:val="1"/>
      <w:numFmt w:val="chineseCounting"/>
      <w:suff w:val="nothing"/>
      <w:lvlText w:val="（%1）"/>
      <w:lvlJc w:val="left"/>
      <w:rPr>
        <w:rFonts w:hint="eastAsia"/>
      </w:rPr>
    </w:lvl>
  </w:abstractNum>
  <w:abstractNum w:abstractNumId="6">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7">
    <w:nsid w:val="3F88662E"/>
    <w:multiLevelType w:val="singleLevel"/>
    <w:tmpl w:val="3F88662E"/>
    <w:lvl w:ilvl="0" w:tentative="0">
      <w:start w:val="1"/>
      <w:numFmt w:val="decimal"/>
      <w:suff w:val="space"/>
      <w:lvlText w:val="%1)"/>
      <w:lvlJc w:val="left"/>
    </w:lvl>
  </w:abstractNum>
  <w:abstractNum w:abstractNumId="8">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8"/>
  </w:num>
  <w:num w:numId="2">
    <w:abstractNumId w:val="6"/>
  </w:num>
  <w:num w:numId="3">
    <w:abstractNumId w:val="10"/>
  </w:num>
  <w:num w:numId="4">
    <w:abstractNumId w:val="7"/>
  </w:num>
  <w:num w:numId="5">
    <w:abstractNumId w:val="1"/>
  </w:num>
  <w:num w:numId="6">
    <w:abstractNumId w:val="2"/>
  </w:num>
  <w:num w:numId="7">
    <w:abstractNumId w:val="0"/>
  </w:num>
  <w:num w:numId="8">
    <w:abstractNumId w:val="4"/>
  </w:num>
  <w:num w:numId="9">
    <w:abstractNumId w:val="5"/>
  </w:num>
  <w:num w:numId="10">
    <w:abstractNumId w:val="3"/>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E5NDZlYWM2ZDg1OGVjMjM0MzI1ZTkzNzNlOTYxYmMifQ=="/>
    <w:docVar w:name="KSO_WPS_MARK_KEY" w:val="22017ea2-d8bb-4714-a5b5-98b16546ae4b"/>
  </w:docVars>
  <w:rsids>
    <w:rsidRoot w:val="00172A27"/>
    <w:rsid w:val="000011FC"/>
    <w:rsid w:val="00001C50"/>
    <w:rsid w:val="00005A66"/>
    <w:rsid w:val="000063F3"/>
    <w:rsid w:val="00006462"/>
    <w:rsid w:val="00013F3F"/>
    <w:rsid w:val="00015A14"/>
    <w:rsid w:val="00016105"/>
    <w:rsid w:val="000271EA"/>
    <w:rsid w:val="000300B9"/>
    <w:rsid w:val="000300E4"/>
    <w:rsid w:val="0003307E"/>
    <w:rsid w:val="000336BA"/>
    <w:rsid w:val="000340CE"/>
    <w:rsid w:val="000359A1"/>
    <w:rsid w:val="000477F2"/>
    <w:rsid w:val="0004788C"/>
    <w:rsid w:val="0005185D"/>
    <w:rsid w:val="0006184E"/>
    <w:rsid w:val="00067748"/>
    <w:rsid w:val="000738C0"/>
    <w:rsid w:val="0007500F"/>
    <w:rsid w:val="0008282E"/>
    <w:rsid w:val="00084F6D"/>
    <w:rsid w:val="00093A13"/>
    <w:rsid w:val="000A1CD8"/>
    <w:rsid w:val="000A363F"/>
    <w:rsid w:val="000A42A8"/>
    <w:rsid w:val="000A5063"/>
    <w:rsid w:val="000A5DBD"/>
    <w:rsid w:val="000A5DF2"/>
    <w:rsid w:val="000C4524"/>
    <w:rsid w:val="000D44A6"/>
    <w:rsid w:val="000E2CB7"/>
    <w:rsid w:val="000F0AA6"/>
    <w:rsid w:val="000F0E98"/>
    <w:rsid w:val="000F19D1"/>
    <w:rsid w:val="001049A5"/>
    <w:rsid w:val="00111D5C"/>
    <w:rsid w:val="001120E0"/>
    <w:rsid w:val="00117245"/>
    <w:rsid w:val="00121ADA"/>
    <w:rsid w:val="001242F3"/>
    <w:rsid w:val="001332BB"/>
    <w:rsid w:val="00134CAD"/>
    <w:rsid w:val="001368B7"/>
    <w:rsid w:val="0013730B"/>
    <w:rsid w:val="00137853"/>
    <w:rsid w:val="00137E1C"/>
    <w:rsid w:val="00145DC4"/>
    <w:rsid w:val="00146E39"/>
    <w:rsid w:val="00147012"/>
    <w:rsid w:val="00156FE1"/>
    <w:rsid w:val="00172A27"/>
    <w:rsid w:val="00173126"/>
    <w:rsid w:val="001731DD"/>
    <w:rsid w:val="00173905"/>
    <w:rsid w:val="00173E04"/>
    <w:rsid w:val="00175D29"/>
    <w:rsid w:val="00181481"/>
    <w:rsid w:val="001833A1"/>
    <w:rsid w:val="001844F4"/>
    <w:rsid w:val="00185039"/>
    <w:rsid w:val="001852D7"/>
    <w:rsid w:val="001915D6"/>
    <w:rsid w:val="001934B1"/>
    <w:rsid w:val="00193CF2"/>
    <w:rsid w:val="001A06D8"/>
    <w:rsid w:val="001A2D42"/>
    <w:rsid w:val="001A2EF7"/>
    <w:rsid w:val="001A7857"/>
    <w:rsid w:val="001B1F14"/>
    <w:rsid w:val="001B41CF"/>
    <w:rsid w:val="001B5860"/>
    <w:rsid w:val="001C1135"/>
    <w:rsid w:val="001C15AE"/>
    <w:rsid w:val="001C1CA7"/>
    <w:rsid w:val="001C42F3"/>
    <w:rsid w:val="001C4661"/>
    <w:rsid w:val="001C5689"/>
    <w:rsid w:val="001C6E4B"/>
    <w:rsid w:val="001D4665"/>
    <w:rsid w:val="001E2389"/>
    <w:rsid w:val="001F0070"/>
    <w:rsid w:val="001F4B02"/>
    <w:rsid w:val="001F6BC7"/>
    <w:rsid w:val="002065A7"/>
    <w:rsid w:val="0020676A"/>
    <w:rsid w:val="00207B08"/>
    <w:rsid w:val="0021149E"/>
    <w:rsid w:val="002117CF"/>
    <w:rsid w:val="00213021"/>
    <w:rsid w:val="00216BE9"/>
    <w:rsid w:val="0022503E"/>
    <w:rsid w:val="00225BB4"/>
    <w:rsid w:val="002261DD"/>
    <w:rsid w:val="00226313"/>
    <w:rsid w:val="002358D2"/>
    <w:rsid w:val="00235934"/>
    <w:rsid w:val="00240F5F"/>
    <w:rsid w:val="00242F3C"/>
    <w:rsid w:val="002437E4"/>
    <w:rsid w:val="00244D10"/>
    <w:rsid w:val="00247224"/>
    <w:rsid w:val="00247AE0"/>
    <w:rsid w:val="00250B3D"/>
    <w:rsid w:val="00260AC1"/>
    <w:rsid w:val="0026312D"/>
    <w:rsid w:val="0027078E"/>
    <w:rsid w:val="00274C7E"/>
    <w:rsid w:val="0027614D"/>
    <w:rsid w:val="0028395F"/>
    <w:rsid w:val="00284156"/>
    <w:rsid w:val="00285643"/>
    <w:rsid w:val="002867A1"/>
    <w:rsid w:val="002901F8"/>
    <w:rsid w:val="002920A4"/>
    <w:rsid w:val="002961E8"/>
    <w:rsid w:val="002B4087"/>
    <w:rsid w:val="002B5F6C"/>
    <w:rsid w:val="002C6C78"/>
    <w:rsid w:val="002D1594"/>
    <w:rsid w:val="002D3F9C"/>
    <w:rsid w:val="002D4A7A"/>
    <w:rsid w:val="002D4DDD"/>
    <w:rsid w:val="002D503C"/>
    <w:rsid w:val="002D6A9D"/>
    <w:rsid w:val="002D7E27"/>
    <w:rsid w:val="002E17E5"/>
    <w:rsid w:val="002E6B7E"/>
    <w:rsid w:val="002F0FC9"/>
    <w:rsid w:val="002F771C"/>
    <w:rsid w:val="0030489A"/>
    <w:rsid w:val="0030669E"/>
    <w:rsid w:val="003101A3"/>
    <w:rsid w:val="00320CEA"/>
    <w:rsid w:val="00323B43"/>
    <w:rsid w:val="0032477C"/>
    <w:rsid w:val="00326831"/>
    <w:rsid w:val="003274CE"/>
    <w:rsid w:val="003361E9"/>
    <w:rsid w:val="00337A77"/>
    <w:rsid w:val="00342E6D"/>
    <w:rsid w:val="003430F6"/>
    <w:rsid w:val="003525CD"/>
    <w:rsid w:val="00353598"/>
    <w:rsid w:val="00353842"/>
    <w:rsid w:val="00353DFB"/>
    <w:rsid w:val="0035595E"/>
    <w:rsid w:val="00356196"/>
    <w:rsid w:val="00360C24"/>
    <w:rsid w:val="003717F5"/>
    <w:rsid w:val="00374369"/>
    <w:rsid w:val="00383FCF"/>
    <w:rsid w:val="0038475D"/>
    <w:rsid w:val="0038564C"/>
    <w:rsid w:val="00387CE4"/>
    <w:rsid w:val="003914A7"/>
    <w:rsid w:val="00393B1D"/>
    <w:rsid w:val="003A1D97"/>
    <w:rsid w:val="003A4407"/>
    <w:rsid w:val="003A661D"/>
    <w:rsid w:val="003B1A8C"/>
    <w:rsid w:val="003C18EB"/>
    <w:rsid w:val="003C1E4E"/>
    <w:rsid w:val="003C32D3"/>
    <w:rsid w:val="003C3B19"/>
    <w:rsid w:val="003C3CF9"/>
    <w:rsid w:val="003C412B"/>
    <w:rsid w:val="003C415C"/>
    <w:rsid w:val="003C5AAE"/>
    <w:rsid w:val="003D18FB"/>
    <w:rsid w:val="003D36FB"/>
    <w:rsid w:val="003D37D8"/>
    <w:rsid w:val="003E0802"/>
    <w:rsid w:val="003E18E7"/>
    <w:rsid w:val="003E2B8C"/>
    <w:rsid w:val="003E5282"/>
    <w:rsid w:val="003E6103"/>
    <w:rsid w:val="003F46B4"/>
    <w:rsid w:val="003F4822"/>
    <w:rsid w:val="0040122E"/>
    <w:rsid w:val="00401C64"/>
    <w:rsid w:val="00401CC0"/>
    <w:rsid w:val="00410AB5"/>
    <w:rsid w:val="00410F11"/>
    <w:rsid w:val="00411067"/>
    <w:rsid w:val="004203B9"/>
    <w:rsid w:val="00426474"/>
    <w:rsid w:val="004322A2"/>
    <w:rsid w:val="004358AB"/>
    <w:rsid w:val="00436CCF"/>
    <w:rsid w:val="00440DDF"/>
    <w:rsid w:val="00442860"/>
    <w:rsid w:val="00451EB4"/>
    <w:rsid w:val="00460B31"/>
    <w:rsid w:val="00462105"/>
    <w:rsid w:val="00462D5B"/>
    <w:rsid w:val="00463ACB"/>
    <w:rsid w:val="00470D85"/>
    <w:rsid w:val="004733E4"/>
    <w:rsid w:val="00473AAA"/>
    <w:rsid w:val="004751F7"/>
    <w:rsid w:val="00475A80"/>
    <w:rsid w:val="00476B88"/>
    <w:rsid w:val="004801B4"/>
    <w:rsid w:val="00490B9E"/>
    <w:rsid w:val="00492F63"/>
    <w:rsid w:val="00497577"/>
    <w:rsid w:val="004A05D7"/>
    <w:rsid w:val="004A154E"/>
    <w:rsid w:val="004A2134"/>
    <w:rsid w:val="004A2B28"/>
    <w:rsid w:val="004A6330"/>
    <w:rsid w:val="004A69F1"/>
    <w:rsid w:val="004B3550"/>
    <w:rsid w:val="004B3F06"/>
    <w:rsid w:val="004B56B9"/>
    <w:rsid w:val="004B7969"/>
    <w:rsid w:val="004C7FD6"/>
    <w:rsid w:val="004D02E5"/>
    <w:rsid w:val="004D08C0"/>
    <w:rsid w:val="004D1669"/>
    <w:rsid w:val="004D22B3"/>
    <w:rsid w:val="004D51A2"/>
    <w:rsid w:val="004D5AFB"/>
    <w:rsid w:val="004E04FD"/>
    <w:rsid w:val="004E11AD"/>
    <w:rsid w:val="004E3E1F"/>
    <w:rsid w:val="004E601B"/>
    <w:rsid w:val="004F1BB7"/>
    <w:rsid w:val="004F6136"/>
    <w:rsid w:val="004F7F21"/>
    <w:rsid w:val="0050188C"/>
    <w:rsid w:val="00503171"/>
    <w:rsid w:val="0050759C"/>
    <w:rsid w:val="00510827"/>
    <w:rsid w:val="0051148C"/>
    <w:rsid w:val="00511DEA"/>
    <w:rsid w:val="00513C8B"/>
    <w:rsid w:val="00514D47"/>
    <w:rsid w:val="00515CED"/>
    <w:rsid w:val="005267F1"/>
    <w:rsid w:val="005269A9"/>
    <w:rsid w:val="00527A2C"/>
    <w:rsid w:val="005319C1"/>
    <w:rsid w:val="00532034"/>
    <w:rsid w:val="005400C9"/>
    <w:rsid w:val="00541668"/>
    <w:rsid w:val="00541A48"/>
    <w:rsid w:val="005439EE"/>
    <w:rsid w:val="00545D9A"/>
    <w:rsid w:val="00546A42"/>
    <w:rsid w:val="00550DD0"/>
    <w:rsid w:val="0055408D"/>
    <w:rsid w:val="005616DC"/>
    <w:rsid w:val="0057492D"/>
    <w:rsid w:val="005756D1"/>
    <w:rsid w:val="00582EC1"/>
    <w:rsid w:val="0058523E"/>
    <w:rsid w:val="00590819"/>
    <w:rsid w:val="00593D68"/>
    <w:rsid w:val="005953F6"/>
    <w:rsid w:val="005A208B"/>
    <w:rsid w:val="005A555E"/>
    <w:rsid w:val="005A7612"/>
    <w:rsid w:val="005B3257"/>
    <w:rsid w:val="005B58A6"/>
    <w:rsid w:val="005C1BF5"/>
    <w:rsid w:val="005C3920"/>
    <w:rsid w:val="005C57E1"/>
    <w:rsid w:val="005C702E"/>
    <w:rsid w:val="005D01B8"/>
    <w:rsid w:val="005D066B"/>
    <w:rsid w:val="005D1D00"/>
    <w:rsid w:val="005D2D85"/>
    <w:rsid w:val="005E1958"/>
    <w:rsid w:val="005F20A4"/>
    <w:rsid w:val="005F4EAE"/>
    <w:rsid w:val="005F573A"/>
    <w:rsid w:val="005F660B"/>
    <w:rsid w:val="005F7EB1"/>
    <w:rsid w:val="00604B81"/>
    <w:rsid w:val="0061246F"/>
    <w:rsid w:val="00613151"/>
    <w:rsid w:val="00613417"/>
    <w:rsid w:val="00613B25"/>
    <w:rsid w:val="00613EFF"/>
    <w:rsid w:val="0061545F"/>
    <w:rsid w:val="006175DE"/>
    <w:rsid w:val="006211FA"/>
    <w:rsid w:val="006215AC"/>
    <w:rsid w:val="00621821"/>
    <w:rsid w:val="00622362"/>
    <w:rsid w:val="00622497"/>
    <w:rsid w:val="0062543D"/>
    <w:rsid w:val="00627555"/>
    <w:rsid w:val="006276AD"/>
    <w:rsid w:val="006319B2"/>
    <w:rsid w:val="006378D4"/>
    <w:rsid w:val="00640D8A"/>
    <w:rsid w:val="00641E8C"/>
    <w:rsid w:val="0064416A"/>
    <w:rsid w:val="00646297"/>
    <w:rsid w:val="006476E3"/>
    <w:rsid w:val="006479F5"/>
    <w:rsid w:val="00650DDC"/>
    <w:rsid w:val="00652983"/>
    <w:rsid w:val="0065365D"/>
    <w:rsid w:val="006546D0"/>
    <w:rsid w:val="00654819"/>
    <w:rsid w:val="006576FD"/>
    <w:rsid w:val="00661E37"/>
    <w:rsid w:val="00664F6B"/>
    <w:rsid w:val="006731D2"/>
    <w:rsid w:val="00680EB0"/>
    <w:rsid w:val="00682986"/>
    <w:rsid w:val="0068501E"/>
    <w:rsid w:val="00691701"/>
    <w:rsid w:val="00691AE0"/>
    <w:rsid w:val="0069491E"/>
    <w:rsid w:val="006A5604"/>
    <w:rsid w:val="006A75B0"/>
    <w:rsid w:val="006B004E"/>
    <w:rsid w:val="006B3E6C"/>
    <w:rsid w:val="006B4832"/>
    <w:rsid w:val="006B565C"/>
    <w:rsid w:val="006B7878"/>
    <w:rsid w:val="006C14BD"/>
    <w:rsid w:val="006C28E5"/>
    <w:rsid w:val="006C2DC4"/>
    <w:rsid w:val="006C3BF8"/>
    <w:rsid w:val="006C67A9"/>
    <w:rsid w:val="006D25EC"/>
    <w:rsid w:val="006D393E"/>
    <w:rsid w:val="006D43C5"/>
    <w:rsid w:val="006D4AD8"/>
    <w:rsid w:val="006D5706"/>
    <w:rsid w:val="006E0B58"/>
    <w:rsid w:val="006E0C4B"/>
    <w:rsid w:val="006E706D"/>
    <w:rsid w:val="006F5E17"/>
    <w:rsid w:val="00704F7B"/>
    <w:rsid w:val="007110BA"/>
    <w:rsid w:val="00711465"/>
    <w:rsid w:val="00715EE5"/>
    <w:rsid w:val="0071640C"/>
    <w:rsid w:val="00716CEB"/>
    <w:rsid w:val="00716E96"/>
    <w:rsid w:val="00723B11"/>
    <w:rsid w:val="00733F52"/>
    <w:rsid w:val="007343A7"/>
    <w:rsid w:val="00734BB2"/>
    <w:rsid w:val="007408E3"/>
    <w:rsid w:val="00741026"/>
    <w:rsid w:val="00741904"/>
    <w:rsid w:val="0075028E"/>
    <w:rsid w:val="007528A6"/>
    <w:rsid w:val="00752F7F"/>
    <w:rsid w:val="007534FC"/>
    <w:rsid w:val="007608B9"/>
    <w:rsid w:val="0076378D"/>
    <w:rsid w:val="00770BFE"/>
    <w:rsid w:val="007724B4"/>
    <w:rsid w:val="0077462B"/>
    <w:rsid w:val="007902ED"/>
    <w:rsid w:val="007916E7"/>
    <w:rsid w:val="00795DE1"/>
    <w:rsid w:val="00797C5D"/>
    <w:rsid w:val="00797D2F"/>
    <w:rsid w:val="007A34B9"/>
    <w:rsid w:val="007A3EF1"/>
    <w:rsid w:val="007A4DB3"/>
    <w:rsid w:val="007A6F47"/>
    <w:rsid w:val="007A7779"/>
    <w:rsid w:val="007C4205"/>
    <w:rsid w:val="007C4F46"/>
    <w:rsid w:val="007C7297"/>
    <w:rsid w:val="007D1B4F"/>
    <w:rsid w:val="007D2F9E"/>
    <w:rsid w:val="007D3175"/>
    <w:rsid w:val="007D3A27"/>
    <w:rsid w:val="007D48BF"/>
    <w:rsid w:val="007D5C45"/>
    <w:rsid w:val="007E2543"/>
    <w:rsid w:val="007E41CC"/>
    <w:rsid w:val="007E4A26"/>
    <w:rsid w:val="007E7A17"/>
    <w:rsid w:val="007F01B0"/>
    <w:rsid w:val="007F19DC"/>
    <w:rsid w:val="007F2CD8"/>
    <w:rsid w:val="007F4341"/>
    <w:rsid w:val="007F4DC5"/>
    <w:rsid w:val="00806380"/>
    <w:rsid w:val="0081104F"/>
    <w:rsid w:val="0081319A"/>
    <w:rsid w:val="00814251"/>
    <w:rsid w:val="008207AE"/>
    <w:rsid w:val="00820A95"/>
    <w:rsid w:val="00822299"/>
    <w:rsid w:val="0083486A"/>
    <w:rsid w:val="00837E35"/>
    <w:rsid w:val="0084043E"/>
    <w:rsid w:val="00841378"/>
    <w:rsid w:val="00842B87"/>
    <w:rsid w:val="00845411"/>
    <w:rsid w:val="00845BEB"/>
    <w:rsid w:val="008472E6"/>
    <w:rsid w:val="008518B4"/>
    <w:rsid w:val="00853463"/>
    <w:rsid w:val="008548BD"/>
    <w:rsid w:val="00857709"/>
    <w:rsid w:val="0086026F"/>
    <w:rsid w:val="00861D87"/>
    <w:rsid w:val="008640F5"/>
    <w:rsid w:val="008644FF"/>
    <w:rsid w:val="0087704E"/>
    <w:rsid w:val="008907DA"/>
    <w:rsid w:val="0089285E"/>
    <w:rsid w:val="00897853"/>
    <w:rsid w:val="008A0587"/>
    <w:rsid w:val="008A7273"/>
    <w:rsid w:val="008A78AF"/>
    <w:rsid w:val="008B55B9"/>
    <w:rsid w:val="008B6F88"/>
    <w:rsid w:val="008B7726"/>
    <w:rsid w:val="008C05BA"/>
    <w:rsid w:val="008D429E"/>
    <w:rsid w:val="008D5A10"/>
    <w:rsid w:val="008E21B1"/>
    <w:rsid w:val="008E319F"/>
    <w:rsid w:val="008E619C"/>
    <w:rsid w:val="008F1CAE"/>
    <w:rsid w:val="008F267C"/>
    <w:rsid w:val="008F6E0E"/>
    <w:rsid w:val="00900DC0"/>
    <w:rsid w:val="00905F66"/>
    <w:rsid w:val="00906F49"/>
    <w:rsid w:val="00907417"/>
    <w:rsid w:val="00914604"/>
    <w:rsid w:val="00916A34"/>
    <w:rsid w:val="0092092D"/>
    <w:rsid w:val="00923533"/>
    <w:rsid w:val="00930A38"/>
    <w:rsid w:val="0093143C"/>
    <w:rsid w:val="009315C8"/>
    <w:rsid w:val="0093301A"/>
    <w:rsid w:val="00933C3A"/>
    <w:rsid w:val="00934170"/>
    <w:rsid w:val="00936751"/>
    <w:rsid w:val="00936F56"/>
    <w:rsid w:val="00940252"/>
    <w:rsid w:val="00940C85"/>
    <w:rsid w:val="00941534"/>
    <w:rsid w:val="00941ABB"/>
    <w:rsid w:val="00942948"/>
    <w:rsid w:val="009474B5"/>
    <w:rsid w:val="00947B52"/>
    <w:rsid w:val="00947FA7"/>
    <w:rsid w:val="00951015"/>
    <w:rsid w:val="00953DA1"/>
    <w:rsid w:val="00953E98"/>
    <w:rsid w:val="00960F22"/>
    <w:rsid w:val="0096385C"/>
    <w:rsid w:val="00972D86"/>
    <w:rsid w:val="009736BF"/>
    <w:rsid w:val="0097392B"/>
    <w:rsid w:val="0097547D"/>
    <w:rsid w:val="00976066"/>
    <w:rsid w:val="009804CC"/>
    <w:rsid w:val="00980A66"/>
    <w:rsid w:val="0098659B"/>
    <w:rsid w:val="009904F7"/>
    <w:rsid w:val="009910F6"/>
    <w:rsid w:val="00996678"/>
    <w:rsid w:val="009A07B1"/>
    <w:rsid w:val="009A1C97"/>
    <w:rsid w:val="009A29C1"/>
    <w:rsid w:val="009A2C96"/>
    <w:rsid w:val="009A41A3"/>
    <w:rsid w:val="009A6B4A"/>
    <w:rsid w:val="009A7058"/>
    <w:rsid w:val="009A76EB"/>
    <w:rsid w:val="009A78D0"/>
    <w:rsid w:val="009B08E6"/>
    <w:rsid w:val="009B5B4C"/>
    <w:rsid w:val="009C19DE"/>
    <w:rsid w:val="009C23A6"/>
    <w:rsid w:val="009C2474"/>
    <w:rsid w:val="009C2A39"/>
    <w:rsid w:val="009C3B2F"/>
    <w:rsid w:val="009C4CC6"/>
    <w:rsid w:val="009C5206"/>
    <w:rsid w:val="009C6AD9"/>
    <w:rsid w:val="009E32D1"/>
    <w:rsid w:val="009E398C"/>
    <w:rsid w:val="009E5CEA"/>
    <w:rsid w:val="009E6F05"/>
    <w:rsid w:val="009F163A"/>
    <w:rsid w:val="009F1D46"/>
    <w:rsid w:val="009F4E50"/>
    <w:rsid w:val="009F644E"/>
    <w:rsid w:val="009F6A05"/>
    <w:rsid w:val="00A01BE2"/>
    <w:rsid w:val="00A030B4"/>
    <w:rsid w:val="00A03A79"/>
    <w:rsid w:val="00A06B26"/>
    <w:rsid w:val="00A10906"/>
    <w:rsid w:val="00A12E66"/>
    <w:rsid w:val="00A13E78"/>
    <w:rsid w:val="00A14EEF"/>
    <w:rsid w:val="00A17650"/>
    <w:rsid w:val="00A21BF4"/>
    <w:rsid w:val="00A23304"/>
    <w:rsid w:val="00A2429B"/>
    <w:rsid w:val="00A25809"/>
    <w:rsid w:val="00A275C2"/>
    <w:rsid w:val="00A318E1"/>
    <w:rsid w:val="00A3295D"/>
    <w:rsid w:val="00A33142"/>
    <w:rsid w:val="00A353F9"/>
    <w:rsid w:val="00A359A5"/>
    <w:rsid w:val="00A4012F"/>
    <w:rsid w:val="00A4190E"/>
    <w:rsid w:val="00A42E91"/>
    <w:rsid w:val="00A473A9"/>
    <w:rsid w:val="00A50383"/>
    <w:rsid w:val="00A50627"/>
    <w:rsid w:val="00A524DC"/>
    <w:rsid w:val="00A52580"/>
    <w:rsid w:val="00A55703"/>
    <w:rsid w:val="00A61230"/>
    <w:rsid w:val="00A62B43"/>
    <w:rsid w:val="00A668C8"/>
    <w:rsid w:val="00A67E9E"/>
    <w:rsid w:val="00A70854"/>
    <w:rsid w:val="00A74ED3"/>
    <w:rsid w:val="00A75C51"/>
    <w:rsid w:val="00A813C5"/>
    <w:rsid w:val="00A824E6"/>
    <w:rsid w:val="00A8568D"/>
    <w:rsid w:val="00A858DC"/>
    <w:rsid w:val="00A94275"/>
    <w:rsid w:val="00A94D14"/>
    <w:rsid w:val="00A965E1"/>
    <w:rsid w:val="00A96ED2"/>
    <w:rsid w:val="00AA0EAD"/>
    <w:rsid w:val="00AB19CE"/>
    <w:rsid w:val="00AB3969"/>
    <w:rsid w:val="00AB70F0"/>
    <w:rsid w:val="00AC0E7A"/>
    <w:rsid w:val="00AC187B"/>
    <w:rsid w:val="00AD7FDE"/>
    <w:rsid w:val="00AE0F34"/>
    <w:rsid w:val="00AE310E"/>
    <w:rsid w:val="00AE4BEB"/>
    <w:rsid w:val="00AE4FC5"/>
    <w:rsid w:val="00AE76FD"/>
    <w:rsid w:val="00AF1B1B"/>
    <w:rsid w:val="00AF2523"/>
    <w:rsid w:val="00AF5F1F"/>
    <w:rsid w:val="00B027A4"/>
    <w:rsid w:val="00B04202"/>
    <w:rsid w:val="00B0452B"/>
    <w:rsid w:val="00B12C79"/>
    <w:rsid w:val="00B15AFB"/>
    <w:rsid w:val="00B236B3"/>
    <w:rsid w:val="00B24797"/>
    <w:rsid w:val="00B26806"/>
    <w:rsid w:val="00B278B2"/>
    <w:rsid w:val="00B31B24"/>
    <w:rsid w:val="00B4287F"/>
    <w:rsid w:val="00B4315F"/>
    <w:rsid w:val="00B43306"/>
    <w:rsid w:val="00B47715"/>
    <w:rsid w:val="00B525DD"/>
    <w:rsid w:val="00B56DD2"/>
    <w:rsid w:val="00B579FE"/>
    <w:rsid w:val="00B60DAB"/>
    <w:rsid w:val="00B60DEE"/>
    <w:rsid w:val="00B61117"/>
    <w:rsid w:val="00B61CB1"/>
    <w:rsid w:val="00B63189"/>
    <w:rsid w:val="00B646A4"/>
    <w:rsid w:val="00B65C92"/>
    <w:rsid w:val="00B668D2"/>
    <w:rsid w:val="00B67B5C"/>
    <w:rsid w:val="00B7194E"/>
    <w:rsid w:val="00B73575"/>
    <w:rsid w:val="00B7380A"/>
    <w:rsid w:val="00B763B0"/>
    <w:rsid w:val="00B81CAF"/>
    <w:rsid w:val="00B87EB1"/>
    <w:rsid w:val="00B91005"/>
    <w:rsid w:val="00B92951"/>
    <w:rsid w:val="00B93045"/>
    <w:rsid w:val="00B93169"/>
    <w:rsid w:val="00B940DD"/>
    <w:rsid w:val="00B950B6"/>
    <w:rsid w:val="00B95D80"/>
    <w:rsid w:val="00B976BD"/>
    <w:rsid w:val="00BA4130"/>
    <w:rsid w:val="00BB2CAF"/>
    <w:rsid w:val="00BB79B5"/>
    <w:rsid w:val="00BC0E6D"/>
    <w:rsid w:val="00BC25D6"/>
    <w:rsid w:val="00BC3C7F"/>
    <w:rsid w:val="00BC3E74"/>
    <w:rsid w:val="00BC5042"/>
    <w:rsid w:val="00BC5DDF"/>
    <w:rsid w:val="00BD25C6"/>
    <w:rsid w:val="00BD5733"/>
    <w:rsid w:val="00BD630F"/>
    <w:rsid w:val="00BD7216"/>
    <w:rsid w:val="00BD7C1B"/>
    <w:rsid w:val="00BE0825"/>
    <w:rsid w:val="00BE2EE6"/>
    <w:rsid w:val="00BF17FD"/>
    <w:rsid w:val="00BF2820"/>
    <w:rsid w:val="00BF41D4"/>
    <w:rsid w:val="00BF5AFB"/>
    <w:rsid w:val="00C007A8"/>
    <w:rsid w:val="00C16734"/>
    <w:rsid w:val="00C17B47"/>
    <w:rsid w:val="00C2046D"/>
    <w:rsid w:val="00C25C77"/>
    <w:rsid w:val="00C303E7"/>
    <w:rsid w:val="00C319C2"/>
    <w:rsid w:val="00C33B06"/>
    <w:rsid w:val="00C34FCA"/>
    <w:rsid w:val="00C40734"/>
    <w:rsid w:val="00C415F9"/>
    <w:rsid w:val="00C44D3B"/>
    <w:rsid w:val="00C450B7"/>
    <w:rsid w:val="00C53CE5"/>
    <w:rsid w:val="00C612F8"/>
    <w:rsid w:val="00C61F22"/>
    <w:rsid w:val="00C62E44"/>
    <w:rsid w:val="00C63BD8"/>
    <w:rsid w:val="00C65954"/>
    <w:rsid w:val="00C7126B"/>
    <w:rsid w:val="00C72289"/>
    <w:rsid w:val="00C72C24"/>
    <w:rsid w:val="00C73468"/>
    <w:rsid w:val="00C74986"/>
    <w:rsid w:val="00C80EC4"/>
    <w:rsid w:val="00C83071"/>
    <w:rsid w:val="00C8568E"/>
    <w:rsid w:val="00C85FCE"/>
    <w:rsid w:val="00C9083D"/>
    <w:rsid w:val="00CA2D67"/>
    <w:rsid w:val="00CA32B5"/>
    <w:rsid w:val="00CA4AF1"/>
    <w:rsid w:val="00CB191A"/>
    <w:rsid w:val="00CB3BAA"/>
    <w:rsid w:val="00CB3BBD"/>
    <w:rsid w:val="00CB57AD"/>
    <w:rsid w:val="00CC009D"/>
    <w:rsid w:val="00CC584A"/>
    <w:rsid w:val="00CC5E4E"/>
    <w:rsid w:val="00CD0EAB"/>
    <w:rsid w:val="00CD7512"/>
    <w:rsid w:val="00CD7E8F"/>
    <w:rsid w:val="00CE2AF3"/>
    <w:rsid w:val="00CE621D"/>
    <w:rsid w:val="00CE66E8"/>
    <w:rsid w:val="00D025CD"/>
    <w:rsid w:val="00D05388"/>
    <w:rsid w:val="00D114CD"/>
    <w:rsid w:val="00D12FD9"/>
    <w:rsid w:val="00D14476"/>
    <w:rsid w:val="00D15253"/>
    <w:rsid w:val="00D232FF"/>
    <w:rsid w:val="00D279AA"/>
    <w:rsid w:val="00D30AFE"/>
    <w:rsid w:val="00D31215"/>
    <w:rsid w:val="00D34544"/>
    <w:rsid w:val="00D34841"/>
    <w:rsid w:val="00D4444E"/>
    <w:rsid w:val="00D44A97"/>
    <w:rsid w:val="00D45C0C"/>
    <w:rsid w:val="00D45DC9"/>
    <w:rsid w:val="00D4687A"/>
    <w:rsid w:val="00D50776"/>
    <w:rsid w:val="00D508A5"/>
    <w:rsid w:val="00D5104B"/>
    <w:rsid w:val="00D555D8"/>
    <w:rsid w:val="00D576F6"/>
    <w:rsid w:val="00D60778"/>
    <w:rsid w:val="00D609A0"/>
    <w:rsid w:val="00D63EB2"/>
    <w:rsid w:val="00D64797"/>
    <w:rsid w:val="00D64D28"/>
    <w:rsid w:val="00D6604D"/>
    <w:rsid w:val="00D67526"/>
    <w:rsid w:val="00D677F1"/>
    <w:rsid w:val="00D70A36"/>
    <w:rsid w:val="00D74601"/>
    <w:rsid w:val="00D768A3"/>
    <w:rsid w:val="00D81CA0"/>
    <w:rsid w:val="00D83E46"/>
    <w:rsid w:val="00D847B6"/>
    <w:rsid w:val="00D90D23"/>
    <w:rsid w:val="00D93958"/>
    <w:rsid w:val="00D93D98"/>
    <w:rsid w:val="00D9423E"/>
    <w:rsid w:val="00D951D3"/>
    <w:rsid w:val="00DA1DB9"/>
    <w:rsid w:val="00DA5A00"/>
    <w:rsid w:val="00DA5ED7"/>
    <w:rsid w:val="00DA6169"/>
    <w:rsid w:val="00DA7B28"/>
    <w:rsid w:val="00DB5480"/>
    <w:rsid w:val="00DB6317"/>
    <w:rsid w:val="00DB7EA3"/>
    <w:rsid w:val="00DC2FC5"/>
    <w:rsid w:val="00DC3687"/>
    <w:rsid w:val="00DC5AD9"/>
    <w:rsid w:val="00DC691F"/>
    <w:rsid w:val="00DD02DE"/>
    <w:rsid w:val="00DD07B7"/>
    <w:rsid w:val="00DD113C"/>
    <w:rsid w:val="00DD324C"/>
    <w:rsid w:val="00DE0BEB"/>
    <w:rsid w:val="00DE1150"/>
    <w:rsid w:val="00DE4856"/>
    <w:rsid w:val="00DF1024"/>
    <w:rsid w:val="00DF485B"/>
    <w:rsid w:val="00DF6877"/>
    <w:rsid w:val="00E0295D"/>
    <w:rsid w:val="00E042BC"/>
    <w:rsid w:val="00E11A04"/>
    <w:rsid w:val="00E126D3"/>
    <w:rsid w:val="00E132FE"/>
    <w:rsid w:val="00E15C88"/>
    <w:rsid w:val="00E21B77"/>
    <w:rsid w:val="00E23352"/>
    <w:rsid w:val="00E26882"/>
    <w:rsid w:val="00E27D5E"/>
    <w:rsid w:val="00E31C2F"/>
    <w:rsid w:val="00E340D8"/>
    <w:rsid w:val="00E34C3B"/>
    <w:rsid w:val="00E40CAD"/>
    <w:rsid w:val="00E40DC7"/>
    <w:rsid w:val="00E4215F"/>
    <w:rsid w:val="00E508BF"/>
    <w:rsid w:val="00E57B81"/>
    <w:rsid w:val="00E61BEC"/>
    <w:rsid w:val="00E61D2E"/>
    <w:rsid w:val="00E62B7F"/>
    <w:rsid w:val="00E6501F"/>
    <w:rsid w:val="00E7066D"/>
    <w:rsid w:val="00E726BC"/>
    <w:rsid w:val="00E72821"/>
    <w:rsid w:val="00E75C82"/>
    <w:rsid w:val="00E81DDC"/>
    <w:rsid w:val="00E81F67"/>
    <w:rsid w:val="00E83400"/>
    <w:rsid w:val="00E83650"/>
    <w:rsid w:val="00E83A31"/>
    <w:rsid w:val="00E83F4A"/>
    <w:rsid w:val="00E84B35"/>
    <w:rsid w:val="00E93BF5"/>
    <w:rsid w:val="00E96E0C"/>
    <w:rsid w:val="00E97CC0"/>
    <w:rsid w:val="00EA22B8"/>
    <w:rsid w:val="00EA2524"/>
    <w:rsid w:val="00EA33E7"/>
    <w:rsid w:val="00EA705D"/>
    <w:rsid w:val="00EC092D"/>
    <w:rsid w:val="00EC0DF8"/>
    <w:rsid w:val="00EC6730"/>
    <w:rsid w:val="00EC76AA"/>
    <w:rsid w:val="00ED378B"/>
    <w:rsid w:val="00ED6D58"/>
    <w:rsid w:val="00ED766C"/>
    <w:rsid w:val="00EE08F9"/>
    <w:rsid w:val="00EE50C3"/>
    <w:rsid w:val="00EE6529"/>
    <w:rsid w:val="00EE70B3"/>
    <w:rsid w:val="00EF10E1"/>
    <w:rsid w:val="00EF24AA"/>
    <w:rsid w:val="00EF6C3E"/>
    <w:rsid w:val="00EF728A"/>
    <w:rsid w:val="00EF7D0D"/>
    <w:rsid w:val="00F00545"/>
    <w:rsid w:val="00F00FF7"/>
    <w:rsid w:val="00F02093"/>
    <w:rsid w:val="00F023C5"/>
    <w:rsid w:val="00F068E3"/>
    <w:rsid w:val="00F079A1"/>
    <w:rsid w:val="00F10776"/>
    <w:rsid w:val="00F10B5F"/>
    <w:rsid w:val="00F204FE"/>
    <w:rsid w:val="00F218C1"/>
    <w:rsid w:val="00F321EB"/>
    <w:rsid w:val="00F32B00"/>
    <w:rsid w:val="00F346CF"/>
    <w:rsid w:val="00F3610C"/>
    <w:rsid w:val="00F36839"/>
    <w:rsid w:val="00F42704"/>
    <w:rsid w:val="00F52A5F"/>
    <w:rsid w:val="00F55954"/>
    <w:rsid w:val="00F57308"/>
    <w:rsid w:val="00F61962"/>
    <w:rsid w:val="00F62865"/>
    <w:rsid w:val="00F62E63"/>
    <w:rsid w:val="00F64022"/>
    <w:rsid w:val="00F64660"/>
    <w:rsid w:val="00F66300"/>
    <w:rsid w:val="00F74FF3"/>
    <w:rsid w:val="00F753BE"/>
    <w:rsid w:val="00F75C79"/>
    <w:rsid w:val="00F80FF5"/>
    <w:rsid w:val="00F86CE3"/>
    <w:rsid w:val="00F96694"/>
    <w:rsid w:val="00F97062"/>
    <w:rsid w:val="00F9745D"/>
    <w:rsid w:val="00FA07A9"/>
    <w:rsid w:val="00FA54B2"/>
    <w:rsid w:val="00FB26FF"/>
    <w:rsid w:val="00FB29A0"/>
    <w:rsid w:val="00FC1C43"/>
    <w:rsid w:val="00FC529F"/>
    <w:rsid w:val="00FC7B53"/>
    <w:rsid w:val="00FD2A1A"/>
    <w:rsid w:val="00FD48CC"/>
    <w:rsid w:val="00FD67AA"/>
    <w:rsid w:val="00FD707B"/>
    <w:rsid w:val="00FD7A5F"/>
    <w:rsid w:val="00FE0C02"/>
    <w:rsid w:val="00FE2476"/>
    <w:rsid w:val="00FE62D1"/>
    <w:rsid w:val="00FE7B94"/>
    <w:rsid w:val="00FF0736"/>
    <w:rsid w:val="00FF2515"/>
    <w:rsid w:val="00FF26BF"/>
    <w:rsid w:val="010908A7"/>
    <w:rsid w:val="013C51B0"/>
    <w:rsid w:val="01525581"/>
    <w:rsid w:val="016412A2"/>
    <w:rsid w:val="016420B7"/>
    <w:rsid w:val="01651C23"/>
    <w:rsid w:val="018023CE"/>
    <w:rsid w:val="01881AD6"/>
    <w:rsid w:val="018F7A36"/>
    <w:rsid w:val="019127B6"/>
    <w:rsid w:val="01B71A01"/>
    <w:rsid w:val="01C54B91"/>
    <w:rsid w:val="01DC03CE"/>
    <w:rsid w:val="01E36F4E"/>
    <w:rsid w:val="020C3478"/>
    <w:rsid w:val="023C5F15"/>
    <w:rsid w:val="023F3FA2"/>
    <w:rsid w:val="028B6D36"/>
    <w:rsid w:val="02985CD5"/>
    <w:rsid w:val="029C6A9B"/>
    <w:rsid w:val="02A741FD"/>
    <w:rsid w:val="02B77F75"/>
    <w:rsid w:val="02C16E5D"/>
    <w:rsid w:val="02D964CF"/>
    <w:rsid w:val="02DE5ECF"/>
    <w:rsid w:val="02E74073"/>
    <w:rsid w:val="02F33C8E"/>
    <w:rsid w:val="02F713C2"/>
    <w:rsid w:val="03080482"/>
    <w:rsid w:val="03522419"/>
    <w:rsid w:val="0367744E"/>
    <w:rsid w:val="03707410"/>
    <w:rsid w:val="039240A3"/>
    <w:rsid w:val="03993379"/>
    <w:rsid w:val="03A0770F"/>
    <w:rsid w:val="03A448B8"/>
    <w:rsid w:val="03AB216E"/>
    <w:rsid w:val="03C01631"/>
    <w:rsid w:val="03C656A9"/>
    <w:rsid w:val="03F33148"/>
    <w:rsid w:val="042F3419"/>
    <w:rsid w:val="044566F3"/>
    <w:rsid w:val="044841D6"/>
    <w:rsid w:val="047B4012"/>
    <w:rsid w:val="047F2DDF"/>
    <w:rsid w:val="04815FBF"/>
    <w:rsid w:val="04822497"/>
    <w:rsid w:val="04974587"/>
    <w:rsid w:val="04DF1036"/>
    <w:rsid w:val="053C7025"/>
    <w:rsid w:val="053F077B"/>
    <w:rsid w:val="0599183C"/>
    <w:rsid w:val="05A97DEC"/>
    <w:rsid w:val="05B23978"/>
    <w:rsid w:val="05C81981"/>
    <w:rsid w:val="060C3203"/>
    <w:rsid w:val="065A6D82"/>
    <w:rsid w:val="066F069C"/>
    <w:rsid w:val="069B4E4A"/>
    <w:rsid w:val="06BC41F2"/>
    <w:rsid w:val="06F415CC"/>
    <w:rsid w:val="06F573AB"/>
    <w:rsid w:val="070E26CD"/>
    <w:rsid w:val="07197D08"/>
    <w:rsid w:val="071E5C55"/>
    <w:rsid w:val="075C1FE5"/>
    <w:rsid w:val="076B4CB0"/>
    <w:rsid w:val="077005AB"/>
    <w:rsid w:val="078F4581"/>
    <w:rsid w:val="079529C6"/>
    <w:rsid w:val="07BF027F"/>
    <w:rsid w:val="07D8337E"/>
    <w:rsid w:val="08031A31"/>
    <w:rsid w:val="08307C7E"/>
    <w:rsid w:val="08420CAE"/>
    <w:rsid w:val="08574B3D"/>
    <w:rsid w:val="08653F81"/>
    <w:rsid w:val="08E0126D"/>
    <w:rsid w:val="08E352B9"/>
    <w:rsid w:val="08E4551C"/>
    <w:rsid w:val="09061A75"/>
    <w:rsid w:val="09182241"/>
    <w:rsid w:val="09224F65"/>
    <w:rsid w:val="095F1030"/>
    <w:rsid w:val="09611CF3"/>
    <w:rsid w:val="09855177"/>
    <w:rsid w:val="09C24747"/>
    <w:rsid w:val="09EE5125"/>
    <w:rsid w:val="0A2522FD"/>
    <w:rsid w:val="0A327478"/>
    <w:rsid w:val="0A462748"/>
    <w:rsid w:val="0A4D0C81"/>
    <w:rsid w:val="0A5B0621"/>
    <w:rsid w:val="0A723E95"/>
    <w:rsid w:val="0A733243"/>
    <w:rsid w:val="0A846743"/>
    <w:rsid w:val="0A873F23"/>
    <w:rsid w:val="0AA534D5"/>
    <w:rsid w:val="0AA650EB"/>
    <w:rsid w:val="0AA7129C"/>
    <w:rsid w:val="0ADD4CBE"/>
    <w:rsid w:val="0AE26205"/>
    <w:rsid w:val="0AF328EF"/>
    <w:rsid w:val="0AF47339"/>
    <w:rsid w:val="0B14133A"/>
    <w:rsid w:val="0B22594B"/>
    <w:rsid w:val="0B27506F"/>
    <w:rsid w:val="0B7C0EF6"/>
    <w:rsid w:val="0B9610F4"/>
    <w:rsid w:val="0B99757D"/>
    <w:rsid w:val="0BBF77A4"/>
    <w:rsid w:val="0BD16C8D"/>
    <w:rsid w:val="0BDF26F7"/>
    <w:rsid w:val="0C027DB2"/>
    <w:rsid w:val="0C2B4952"/>
    <w:rsid w:val="0C322F8A"/>
    <w:rsid w:val="0C385AC6"/>
    <w:rsid w:val="0C4607E5"/>
    <w:rsid w:val="0C516C55"/>
    <w:rsid w:val="0C682C18"/>
    <w:rsid w:val="0C7B2220"/>
    <w:rsid w:val="0C963B11"/>
    <w:rsid w:val="0CB67D83"/>
    <w:rsid w:val="0CD20599"/>
    <w:rsid w:val="0CE53018"/>
    <w:rsid w:val="0CE82B67"/>
    <w:rsid w:val="0D0B5B12"/>
    <w:rsid w:val="0D133046"/>
    <w:rsid w:val="0D1501F6"/>
    <w:rsid w:val="0D153F28"/>
    <w:rsid w:val="0D1C792E"/>
    <w:rsid w:val="0D3A0F98"/>
    <w:rsid w:val="0D5D49D6"/>
    <w:rsid w:val="0D6A4502"/>
    <w:rsid w:val="0D7415CA"/>
    <w:rsid w:val="0D890E47"/>
    <w:rsid w:val="0DC64A00"/>
    <w:rsid w:val="0DD861D1"/>
    <w:rsid w:val="0DEB5FFA"/>
    <w:rsid w:val="0DF67134"/>
    <w:rsid w:val="0DF75C46"/>
    <w:rsid w:val="0DFC60BA"/>
    <w:rsid w:val="0E1C06B2"/>
    <w:rsid w:val="0E49624C"/>
    <w:rsid w:val="0E5B5DCC"/>
    <w:rsid w:val="0E6275C7"/>
    <w:rsid w:val="0E69691B"/>
    <w:rsid w:val="0EBB5484"/>
    <w:rsid w:val="0EBD5AA3"/>
    <w:rsid w:val="0F133DCD"/>
    <w:rsid w:val="0F145C97"/>
    <w:rsid w:val="0F407E8F"/>
    <w:rsid w:val="0F5723EF"/>
    <w:rsid w:val="0F5F5360"/>
    <w:rsid w:val="0F6228F1"/>
    <w:rsid w:val="0F7C5FF6"/>
    <w:rsid w:val="0F7D04FC"/>
    <w:rsid w:val="0FC63FBD"/>
    <w:rsid w:val="0FD20E09"/>
    <w:rsid w:val="0FDD003F"/>
    <w:rsid w:val="0FF87EA4"/>
    <w:rsid w:val="0FFF7484"/>
    <w:rsid w:val="10066939"/>
    <w:rsid w:val="100B77ED"/>
    <w:rsid w:val="101D47AD"/>
    <w:rsid w:val="10252BB6"/>
    <w:rsid w:val="10305890"/>
    <w:rsid w:val="103D5A1A"/>
    <w:rsid w:val="105847E5"/>
    <w:rsid w:val="106C564D"/>
    <w:rsid w:val="106E0AED"/>
    <w:rsid w:val="107B7B8F"/>
    <w:rsid w:val="107C67CE"/>
    <w:rsid w:val="10912D03"/>
    <w:rsid w:val="109333B7"/>
    <w:rsid w:val="109D68CB"/>
    <w:rsid w:val="10A949B8"/>
    <w:rsid w:val="10AB5D61"/>
    <w:rsid w:val="11144AFE"/>
    <w:rsid w:val="11200D07"/>
    <w:rsid w:val="113558CF"/>
    <w:rsid w:val="11386CE9"/>
    <w:rsid w:val="115E03E3"/>
    <w:rsid w:val="11786AB5"/>
    <w:rsid w:val="118049D4"/>
    <w:rsid w:val="118561F8"/>
    <w:rsid w:val="11942D84"/>
    <w:rsid w:val="1197736A"/>
    <w:rsid w:val="11B21219"/>
    <w:rsid w:val="11D250CD"/>
    <w:rsid w:val="11DA73AF"/>
    <w:rsid w:val="11FC1ECD"/>
    <w:rsid w:val="124D097B"/>
    <w:rsid w:val="12511265"/>
    <w:rsid w:val="126856A4"/>
    <w:rsid w:val="126D4818"/>
    <w:rsid w:val="12824D20"/>
    <w:rsid w:val="1283614B"/>
    <w:rsid w:val="12856FF3"/>
    <w:rsid w:val="129671FB"/>
    <w:rsid w:val="12A576FF"/>
    <w:rsid w:val="12C535FB"/>
    <w:rsid w:val="12C60D80"/>
    <w:rsid w:val="12DD6E38"/>
    <w:rsid w:val="130523B3"/>
    <w:rsid w:val="130D3C66"/>
    <w:rsid w:val="131F7A3A"/>
    <w:rsid w:val="132645D0"/>
    <w:rsid w:val="133D4061"/>
    <w:rsid w:val="13455ABC"/>
    <w:rsid w:val="1370322B"/>
    <w:rsid w:val="13715421"/>
    <w:rsid w:val="13BA0460"/>
    <w:rsid w:val="13BB41AE"/>
    <w:rsid w:val="13C24F9B"/>
    <w:rsid w:val="13C45A18"/>
    <w:rsid w:val="13C9247B"/>
    <w:rsid w:val="13D6515C"/>
    <w:rsid w:val="13F13CC6"/>
    <w:rsid w:val="143B2E0B"/>
    <w:rsid w:val="144962A8"/>
    <w:rsid w:val="14725BB3"/>
    <w:rsid w:val="14725FF6"/>
    <w:rsid w:val="147C1943"/>
    <w:rsid w:val="148054E9"/>
    <w:rsid w:val="14892735"/>
    <w:rsid w:val="1490034C"/>
    <w:rsid w:val="149E755D"/>
    <w:rsid w:val="14CC4CA5"/>
    <w:rsid w:val="14CC769D"/>
    <w:rsid w:val="14D764D5"/>
    <w:rsid w:val="14EF61BF"/>
    <w:rsid w:val="14F43330"/>
    <w:rsid w:val="15081C6A"/>
    <w:rsid w:val="150F7FEC"/>
    <w:rsid w:val="15436F05"/>
    <w:rsid w:val="15691FE3"/>
    <w:rsid w:val="158B5DDD"/>
    <w:rsid w:val="15B11221"/>
    <w:rsid w:val="15C03C67"/>
    <w:rsid w:val="15C16EB3"/>
    <w:rsid w:val="15CB76C9"/>
    <w:rsid w:val="15D359D7"/>
    <w:rsid w:val="160E7A2C"/>
    <w:rsid w:val="16317A1A"/>
    <w:rsid w:val="163C77BE"/>
    <w:rsid w:val="164A3F23"/>
    <w:rsid w:val="164B49DB"/>
    <w:rsid w:val="164B4D9F"/>
    <w:rsid w:val="16573587"/>
    <w:rsid w:val="165C5C7C"/>
    <w:rsid w:val="1679588C"/>
    <w:rsid w:val="168C2855"/>
    <w:rsid w:val="16994962"/>
    <w:rsid w:val="16A233CF"/>
    <w:rsid w:val="16A71041"/>
    <w:rsid w:val="16AA24BF"/>
    <w:rsid w:val="16F871DC"/>
    <w:rsid w:val="1702234F"/>
    <w:rsid w:val="17110A80"/>
    <w:rsid w:val="171D3FE1"/>
    <w:rsid w:val="17680CAB"/>
    <w:rsid w:val="176E4128"/>
    <w:rsid w:val="17725CE9"/>
    <w:rsid w:val="1783371F"/>
    <w:rsid w:val="178E48DA"/>
    <w:rsid w:val="17947A32"/>
    <w:rsid w:val="17C93012"/>
    <w:rsid w:val="17D67AA4"/>
    <w:rsid w:val="17E62B67"/>
    <w:rsid w:val="180F4499"/>
    <w:rsid w:val="182201B4"/>
    <w:rsid w:val="18221ECE"/>
    <w:rsid w:val="183C3D90"/>
    <w:rsid w:val="1859036F"/>
    <w:rsid w:val="18681814"/>
    <w:rsid w:val="18B0649B"/>
    <w:rsid w:val="18D418FC"/>
    <w:rsid w:val="18E5143F"/>
    <w:rsid w:val="18E83469"/>
    <w:rsid w:val="18F47C3A"/>
    <w:rsid w:val="18FC7745"/>
    <w:rsid w:val="19117D89"/>
    <w:rsid w:val="192F3B7C"/>
    <w:rsid w:val="19353F17"/>
    <w:rsid w:val="19696807"/>
    <w:rsid w:val="19864975"/>
    <w:rsid w:val="19864EEB"/>
    <w:rsid w:val="19AE35ED"/>
    <w:rsid w:val="19B4534D"/>
    <w:rsid w:val="19D1065C"/>
    <w:rsid w:val="19D11004"/>
    <w:rsid w:val="19DD405E"/>
    <w:rsid w:val="1A121864"/>
    <w:rsid w:val="1A460CF5"/>
    <w:rsid w:val="1A670502"/>
    <w:rsid w:val="1A7F297D"/>
    <w:rsid w:val="1A9212A7"/>
    <w:rsid w:val="1A9D6244"/>
    <w:rsid w:val="1AB16AC1"/>
    <w:rsid w:val="1ABF1CEA"/>
    <w:rsid w:val="1AC647CE"/>
    <w:rsid w:val="1B014DDE"/>
    <w:rsid w:val="1B0320FB"/>
    <w:rsid w:val="1B034A52"/>
    <w:rsid w:val="1B2640F6"/>
    <w:rsid w:val="1B45344E"/>
    <w:rsid w:val="1B5C1D6D"/>
    <w:rsid w:val="1B5D76FB"/>
    <w:rsid w:val="1B683578"/>
    <w:rsid w:val="1B8C0040"/>
    <w:rsid w:val="1BDE2F66"/>
    <w:rsid w:val="1C1B28DD"/>
    <w:rsid w:val="1C750ECE"/>
    <w:rsid w:val="1C951971"/>
    <w:rsid w:val="1CA56AF4"/>
    <w:rsid w:val="1CCB7000"/>
    <w:rsid w:val="1CD0733A"/>
    <w:rsid w:val="1CD667CB"/>
    <w:rsid w:val="1D196139"/>
    <w:rsid w:val="1D372585"/>
    <w:rsid w:val="1D4D683F"/>
    <w:rsid w:val="1D5208D4"/>
    <w:rsid w:val="1D5C49B8"/>
    <w:rsid w:val="1D5E02D1"/>
    <w:rsid w:val="1D7F0ED0"/>
    <w:rsid w:val="1D921938"/>
    <w:rsid w:val="1DBB6100"/>
    <w:rsid w:val="1DBE6816"/>
    <w:rsid w:val="1DCB4FF1"/>
    <w:rsid w:val="1DF20D7E"/>
    <w:rsid w:val="1E010AF7"/>
    <w:rsid w:val="1E100235"/>
    <w:rsid w:val="1E1C405A"/>
    <w:rsid w:val="1E2E29E0"/>
    <w:rsid w:val="1E301173"/>
    <w:rsid w:val="1E884D18"/>
    <w:rsid w:val="1E931436"/>
    <w:rsid w:val="1ED8781E"/>
    <w:rsid w:val="1ED97130"/>
    <w:rsid w:val="1EDD3235"/>
    <w:rsid w:val="1F1102B0"/>
    <w:rsid w:val="1F2F1047"/>
    <w:rsid w:val="1F2F2B69"/>
    <w:rsid w:val="1F43381C"/>
    <w:rsid w:val="1F647A06"/>
    <w:rsid w:val="1F656BC4"/>
    <w:rsid w:val="1F781224"/>
    <w:rsid w:val="1FA4148D"/>
    <w:rsid w:val="1FBB4C72"/>
    <w:rsid w:val="1FC10FAB"/>
    <w:rsid w:val="1FC65577"/>
    <w:rsid w:val="1FD82385"/>
    <w:rsid w:val="1FDF1C0C"/>
    <w:rsid w:val="1FF274ED"/>
    <w:rsid w:val="20121621"/>
    <w:rsid w:val="20147D79"/>
    <w:rsid w:val="201636E2"/>
    <w:rsid w:val="202E3F6D"/>
    <w:rsid w:val="20325F7E"/>
    <w:rsid w:val="204E554F"/>
    <w:rsid w:val="20590035"/>
    <w:rsid w:val="208C4560"/>
    <w:rsid w:val="209033C5"/>
    <w:rsid w:val="20E5011E"/>
    <w:rsid w:val="20FC799E"/>
    <w:rsid w:val="21101BAA"/>
    <w:rsid w:val="21286DA7"/>
    <w:rsid w:val="2134683B"/>
    <w:rsid w:val="21545CAE"/>
    <w:rsid w:val="219068BB"/>
    <w:rsid w:val="21C82E72"/>
    <w:rsid w:val="21DE0801"/>
    <w:rsid w:val="21DE339D"/>
    <w:rsid w:val="21E33562"/>
    <w:rsid w:val="2203115E"/>
    <w:rsid w:val="22154DDD"/>
    <w:rsid w:val="22336873"/>
    <w:rsid w:val="22396826"/>
    <w:rsid w:val="22412CD8"/>
    <w:rsid w:val="225471A3"/>
    <w:rsid w:val="225E34DC"/>
    <w:rsid w:val="227D1295"/>
    <w:rsid w:val="22AB3B7D"/>
    <w:rsid w:val="22AF3A08"/>
    <w:rsid w:val="22F92F75"/>
    <w:rsid w:val="22FB5017"/>
    <w:rsid w:val="23172FFC"/>
    <w:rsid w:val="233050F4"/>
    <w:rsid w:val="237F064A"/>
    <w:rsid w:val="23BB4E7D"/>
    <w:rsid w:val="23C172D6"/>
    <w:rsid w:val="23D77537"/>
    <w:rsid w:val="23DB2F62"/>
    <w:rsid w:val="23E6195D"/>
    <w:rsid w:val="23F04F64"/>
    <w:rsid w:val="24364576"/>
    <w:rsid w:val="244B09BD"/>
    <w:rsid w:val="24814CBE"/>
    <w:rsid w:val="24AC168B"/>
    <w:rsid w:val="24BB6664"/>
    <w:rsid w:val="24BD406A"/>
    <w:rsid w:val="24D23A61"/>
    <w:rsid w:val="24FE57B6"/>
    <w:rsid w:val="250E1318"/>
    <w:rsid w:val="25467247"/>
    <w:rsid w:val="254D0389"/>
    <w:rsid w:val="25884C5D"/>
    <w:rsid w:val="258C3BEC"/>
    <w:rsid w:val="25A03144"/>
    <w:rsid w:val="25B13028"/>
    <w:rsid w:val="25B2479F"/>
    <w:rsid w:val="25C15C5D"/>
    <w:rsid w:val="25D329B9"/>
    <w:rsid w:val="25E5427A"/>
    <w:rsid w:val="25F461CA"/>
    <w:rsid w:val="26276A31"/>
    <w:rsid w:val="26366F9D"/>
    <w:rsid w:val="263B1230"/>
    <w:rsid w:val="2642752B"/>
    <w:rsid w:val="26485508"/>
    <w:rsid w:val="26554808"/>
    <w:rsid w:val="26607D95"/>
    <w:rsid w:val="26700955"/>
    <w:rsid w:val="268166B9"/>
    <w:rsid w:val="269F6BFE"/>
    <w:rsid w:val="26A16AE9"/>
    <w:rsid w:val="26A605D9"/>
    <w:rsid w:val="26AD0500"/>
    <w:rsid w:val="26B121A3"/>
    <w:rsid w:val="26F34269"/>
    <w:rsid w:val="27125B3E"/>
    <w:rsid w:val="27285583"/>
    <w:rsid w:val="272E3097"/>
    <w:rsid w:val="272E6F74"/>
    <w:rsid w:val="27572C6B"/>
    <w:rsid w:val="277E6655"/>
    <w:rsid w:val="27933DEA"/>
    <w:rsid w:val="27AF30E6"/>
    <w:rsid w:val="27B36A67"/>
    <w:rsid w:val="27BE6794"/>
    <w:rsid w:val="27C87BEE"/>
    <w:rsid w:val="2802346F"/>
    <w:rsid w:val="281E404F"/>
    <w:rsid w:val="282C1F78"/>
    <w:rsid w:val="28302479"/>
    <w:rsid w:val="2846581F"/>
    <w:rsid w:val="284A5CA4"/>
    <w:rsid w:val="286602C8"/>
    <w:rsid w:val="28665C95"/>
    <w:rsid w:val="28716D1C"/>
    <w:rsid w:val="28736F5F"/>
    <w:rsid w:val="28833BE9"/>
    <w:rsid w:val="28851EB4"/>
    <w:rsid w:val="28A82963"/>
    <w:rsid w:val="28B01D1E"/>
    <w:rsid w:val="28C2628C"/>
    <w:rsid w:val="28CC3373"/>
    <w:rsid w:val="28F579BA"/>
    <w:rsid w:val="290B3EB9"/>
    <w:rsid w:val="292728C1"/>
    <w:rsid w:val="292C7FA1"/>
    <w:rsid w:val="293950B1"/>
    <w:rsid w:val="2940493E"/>
    <w:rsid w:val="2950768C"/>
    <w:rsid w:val="297A5FC4"/>
    <w:rsid w:val="29B41DA5"/>
    <w:rsid w:val="29E14657"/>
    <w:rsid w:val="29E474B8"/>
    <w:rsid w:val="29ED574B"/>
    <w:rsid w:val="29FA2D3E"/>
    <w:rsid w:val="29FE5CE6"/>
    <w:rsid w:val="2A005376"/>
    <w:rsid w:val="2A1D5BE0"/>
    <w:rsid w:val="2A600C13"/>
    <w:rsid w:val="2A633B90"/>
    <w:rsid w:val="2A6774EE"/>
    <w:rsid w:val="2A68500A"/>
    <w:rsid w:val="2A743AE8"/>
    <w:rsid w:val="2A8D4F8F"/>
    <w:rsid w:val="2A901BEE"/>
    <w:rsid w:val="2A917B34"/>
    <w:rsid w:val="2A9308A8"/>
    <w:rsid w:val="2A9475FF"/>
    <w:rsid w:val="2A9F5AB8"/>
    <w:rsid w:val="2AAA0AA2"/>
    <w:rsid w:val="2AD74E8C"/>
    <w:rsid w:val="2AE3766F"/>
    <w:rsid w:val="2AEC612E"/>
    <w:rsid w:val="2B0E56AB"/>
    <w:rsid w:val="2B276305"/>
    <w:rsid w:val="2B54704F"/>
    <w:rsid w:val="2B590601"/>
    <w:rsid w:val="2B5C0A63"/>
    <w:rsid w:val="2B7E4054"/>
    <w:rsid w:val="2BA45A85"/>
    <w:rsid w:val="2BA47C57"/>
    <w:rsid w:val="2BB12905"/>
    <w:rsid w:val="2BBA6A76"/>
    <w:rsid w:val="2BCC03D1"/>
    <w:rsid w:val="2BE664C3"/>
    <w:rsid w:val="2C0C6D59"/>
    <w:rsid w:val="2C671380"/>
    <w:rsid w:val="2C787BAC"/>
    <w:rsid w:val="2C8903AA"/>
    <w:rsid w:val="2C8E776E"/>
    <w:rsid w:val="2C8E7BB8"/>
    <w:rsid w:val="2C987C56"/>
    <w:rsid w:val="2CA07E8E"/>
    <w:rsid w:val="2CA156F3"/>
    <w:rsid w:val="2CC11460"/>
    <w:rsid w:val="2CC15BAA"/>
    <w:rsid w:val="2CDC3153"/>
    <w:rsid w:val="2CDF621C"/>
    <w:rsid w:val="2CE136D7"/>
    <w:rsid w:val="2CFE7A11"/>
    <w:rsid w:val="2CFF149A"/>
    <w:rsid w:val="2D137721"/>
    <w:rsid w:val="2D201865"/>
    <w:rsid w:val="2D2F67DA"/>
    <w:rsid w:val="2D4B5CEA"/>
    <w:rsid w:val="2D4C5B4C"/>
    <w:rsid w:val="2D4C6B07"/>
    <w:rsid w:val="2D514661"/>
    <w:rsid w:val="2D652658"/>
    <w:rsid w:val="2D692518"/>
    <w:rsid w:val="2D742C3D"/>
    <w:rsid w:val="2D964A56"/>
    <w:rsid w:val="2DC16E0A"/>
    <w:rsid w:val="2DC80C49"/>
    <w:rsid w:val="2DCA6355"/>
    <w:rsid w:val="2DD85F0E"/>
    <w:rsid w:val="2E166748"/>
    <w:rsid w:val="2E1B5291"/>
    <w:rsid w:val="2E2054A0"/>
    <w:rsid w:val="2E482374"/>
    <w:rsid w:val="2E556F01"/>
    <w:rsid w:val="2E7D1028"/>
    <w:rsid w:val="2E8345A7"/>
    <w:rsid w:val="2E8E20B4"/>
    <w:rsid w:val="2E924DF5"/>
    <w:rsid w:val="2EAA7BAE"/>
    <w:rsid w:val="2EAF5EBE"/>
    <w:rsid w:val="2EB2312B"/>
    <w:rsid w:val="2EC0235F"/>
    <w:rsid w:val="2EC1207D"/>
    <w:rsid w:val="2ED06066"/>
    <w:rsid w:val="2ED1223D"/>
    <w:rsid w:val="2EDD3B3D"/>
    <w:rsid w:val="2F000139"/>
    <w:rsid w:val="2F1B303D"/>
    <w:rsid w:val="2F3925CB"/>
    <w:rsid w:val="2F65799D"/>
    <w:rsid w:val="2F6A7056"/>
    <w:rsid w:val="2F9F42DC"/>
    <w:rsid w:val="2FAC3772"/>
    <w:rsid w:val="2FAD50B2"/>
    <w:rsid w:val="2FBC2844"/>
    <w:rsid w:val="2FC32F68"/>
    <w:rsid w:val="2FF37AB3"/>
    <w:rsid w:val="30210B8A"/>
    <w:rsid w:val="30224DC7"/>
    <w:rsid w:val="303265F2"/>
    <w:rsid w:val="303B4C3F"/>
    <w:rsid w:val="30476D7A"/>
    <w:rsid w:val="3073310C"/>
    <w:rsid w:val="309D6BE6"/>
    <w:rsid w:val="30AA1790"/>
    <w:rsid w:val="30EE385E"/>
    <w:rsid w:val="30F85AFE"/>
    <w:rsid w:val="31170995"/>
    <w:rsid w:val="31264A30"/>
    <w:rsid w:val="312651F8"/>
    <w:rsid w:val="314774D9"/>
    <w:rsid w:val="31884E67"/>
    <w:rsid w:val="31A0275E"/>
    <w:rsid w:val="31A67308"/>
    <w:rsid w:val="31B91526"/>
    <w:rsid w:val="31EF0041"/>
    <w:rsid w:val="31F42F6F"/>
    <w:rsid w:val="320107F5"/>
    <w:rsid w:val="32081216"/>
    <w:rsid w:val="32090C24"/>
    <w:rsid w:val="32224419"/>
    <w:rsid w:val="32254574"/>
    <w:rsid w:val="326A0524"/>
    <w:rsid w:val="327458DC"/>
    <w:rsid w:val="32986C45"/>
    <w:rsid w:val="32AB70C5"/>
    <w:rsid w:val="32F50547"/>
    <w:rsid w:val="33247607"/>
    <w:rsid w:val="33487C23"/>
    <w:rsid w:val="335D0AF5"/>
    <w:rsid w:val="33640309"/>
    <w:rsid w:val="3370088C"/>
    <w:rsid w:val="33735C77"/>
    <w:rsid w:val="339427F0"/>
    <w:rsid w:val="339A687B"/>
    <w:rsid w:val="33C14594"/>
    <w:rsid w:val="33D35A04"/>
    <w:rsid w:val="33DC2F78"/>
    <w:rsid w:val="341B3FDD"/>
    <w:rsid w:val="3428227C"/>
    <w:rsid w:val="342844A1"/>
    <w:rsid w:val="343230D5"/>
    <w:rsid w:val="3439428E"/>
    <w:rsid w:val="347918A5"/>
    <w:rsid w:val="349D37D5"/>
    <w:rsid w:val="34A61BDE"/>
    <w:rsid w:val="3522586C"/>
    <w:rsid w:val="35572473"/>
    <w:rsid w:val="35602226"/>
    <w:rsid w:val="356B72E7"/>
    <w:rsid w:val="356D2AC8"/>
    <w:rsid w:val="3572424F"/>
    <w:rsid w:val="35866014"/>
    <w:rsid w:val="359E5CE0"/>
    <w:rsid w:val="35A3178F"/>
    <w:rsid w:val="360001E3"/>
    <w:rsid w:val="3611259C"/>
    <w:rsid w:val="36115473"/>
    <w:rsid w:val="362B215D"/>
    <w:rsid w:val="363E0D05"/>
    <w:rsid w:val="366854D4"/>
    <w:rsid w:val="367801A9"/>
    <w:rsid w:val="367D4887"/>
    <w:rsid w:val="36AD519D"/>
    <w:rsid w:val="36B57705"/>
    <w:rsid w:val="36CB08C5"/>
    <w:rsid w:val="36DC1DD3"/>
    <w:rsid w:val="36EC01EB"/>
    <w:rsid w:val="37090CD6"/>
    <w:rsid w:val="37103EE5"/>
    <w:rsid w:val="37122320"/>
    <w:rsid w:val="372F6E95"/>
    <w:rsid w:val="373E6129"/>
    <w:rsid w:val="3754697A"/>
    <w:rsid w:val="37636A21"/>
    <w:rsid w:val="37883E50"/>
    <w:rsid w:val="37A103ED"/>
    <w:rsid w:val="37A367C3"/>
    <w:rsid w:val="37BD33EE"/>
    <w:rsid w:val="37C24FF3"/>
    <w:rsid w:val="37E02B23"/>
    <w:rsid w:val="37E345A6"/>
    <w:rsid w:val="37EA5E6E"/>
    <w:rsid w:val="37FF016F"/>
    <w:rsid w:val="382A6E2D"/>
    <w:rsid w:val="38534B1D"/>
    <w:rsid w:val="386E4145"/>
    <w:rsid w:val="387C5ABE"/>
    <w:rsid w:val="38AF46DD"/>
    <w:rsid w:val="38B66D0C"/>
    <w:rsid w:val="38CA7E13"/>
    <w:rsid w:val="38EB6119"/>
    <w:rsid w:val="38ED3021"/>
    <w:rsid w:val="38FD3E94"/>
    <w:rsid w:val="392D500E"/>
    <w:rsid w:val="396678D9"/>
    <w:rsid w:val="39736669"/>
    <w:rsid w:val="397A0ADB"/>
    <w:rsid w:val="39954B2B"/>
    <w:rsid w:val="3998390E"/>
    <w:rsid w:val="39DA2245"/>
    <w:rsid w:val="39E66E3B"/>
    <w:rsid w:val="39FD4CC2"/>
    <w:rsid w:val="3A0B0650"/>
    <w:rsid w:val="3A2434F2"/>
    <w:rsid w:val="3A3A7721"/>
    <w:rsid w:val="3A51228C"/>
    <w:rsid w:val="3A545E48"/>
    <w:rsid w:val="3A552E60"/>
    <w:rsid w:val="3A5D642F"/>
    <w:rsid w:val="3A744447"/>
    <w:rsid w:val="3A78219D"/>
    <w:rsid w:val="3A995C5C"/>
    <w:rsid w:val="3AB210FC"/>
    <w:rsid w:val="3AE8099C"/>
    <w:rsid w:val="3B043A1D"/>
    <w:rsid w:val="3B212C76"/>
    <w:rsid w:val="3B292514"/>
    <w:rsid w:val="3B793A48"/>
    <w:rsid w:val="3B85393E"/>
    <w:rsid w:val="3BCA4B8A"/>
    <w:rsid w:val="3BCD72F7"/>
    <w:rsid w:val="3BF4153E"/>
    <w:rsid w:val="3C37146A"/>
    <w:rsid w:val="3C3D3625"/>
    <w:rsid w:val="3C414142"/>
    <w:rsid w:val="3C5B725E"/>
    <w:rsid w:val="3C5C1637"/>
    <w:rsid w:val="3C871F64"/>
    <w:rsid w:val="3C88055A"/>
    <w:rsid w:val="3C965E86"/>
    <w:rsid w:val="3CAF79B9"/>
    <w:rsid w:val="3CB35097"/>
    <w:rsid w:val="3CDE58E9"/>
    <w:rsid w:val="3CE65842"/>
    <w:rsid w:val="3CF737A2"/>
    <w:rsid w:val="3D10295A"/>
    <w:rsid w:val="3D184041"/>
    <w:rsid w:val="3D36729B"/>
    <w:rsid w:val="3D370C2A"/>
    <w:rsid w:val="3D414FC0"/>
    <w:rsid w:val="3D4E5DE3"/>
    <w:rsid w:val="3D7D049C"/>
    <w:rsid w:val="3DC4250E"/>
    <w:rsid w:val="3DE20EAE"/>
    <w:rsid w:val="3DEC2E9F"/>
    <w:rsid w:val="3DEF3701"/>
    <w:rsid w:val="3DF83E38"/>
    <w:rsid w:val="3E0572FD"/>
    <w:rsid w:val="3E0720FE"/>
    <w:rsid w:val="3E2819F6"/>
    <w:rsid w:val="3E287A22"/>
    <w:rsid w:val="3E2F55C7"/>
    <w:rsid w:val="3E415531"/>
    <w:rsid w:val="3E5A7FE7"/>
    <w:rsid w:val="3E6C158B"/>
    <w:rsid w:val="3E955A6A"/>
    <w:rsid w:val="3E964D81"/>
    <w:rsid w:val="3EAD43CC"/>
    <w:rsid w:val="3EBA1F32"/>
    <w:rsid w:val="3EEF43D0"/>
    <w:rsid w:val="3EEF6FFF"/>
    <w:rsid w:val="3EF66B2E"/>
    <w:rsid w:val="3EF908D7"/>
    <w:rsid w:val="3F217914"/>
    <w:rsid w:val="3F5D44A8"/>
    <w:rsid w:val="3FD70BB0"/>
    <w:rsid w:val="3FF1740C"/>
    <w:rsid w:val="3FF542A0"/>
    <w:rsid w:val="3FF830E9"/>
    <w:rsid w:val="3FFB55AC"/>
    <w:rsid w:val="40017152"/>
    <w:rsid w:val="400A057C"/>
    <w:rsid w:val="401C2D01"/>
    <w:rsid w:val="401C5F9D"/>
    <w:rsid w:val="401C690C"/>
    <w:rsid w:val="401D7195"/>
    <w:rsid w:val="402D6138"/>
    <w:rsid w:val="40467186"/>
    <w:rsid w:val="4057049F"/>
    <w:rsid w:val="405C1C05"/>
    <w:rsid w:val="407339F4"/>
    <w:rsid w:val="407A652F"/>
    <w:rsid w:val="40825D97"/>
    <w:rsid w:val="409928E7"/>
    <w:rsid w:val="40997CFE"/>
    <w:rsid w:val="409C35A8"/>
    <w:rsid w:val="40A06CB8"/>
    <w:rsid w:val="40C45B55"/>
    <w:rsid w:val="40CE3DC0"/>
    <w:rsid w:val="40D64035"/>
    <w:rsid w:val="40D7455A"/>
    <w:rsid w:val="40E743E5"/>
    <w:rsid w:val="40EB4012"/>
    <w:rsid w:val="40F74B72"/>
    <w:rsid w:val="410A1661"/>
    <w:rsid w:val="41246142"/>
    <w:rsid w:val="412D5EA0"/>
    <w:rsid w:val="41324CB9"/>
    <w:rsid w:val="414375DB"/>
    <w:rsid w:val="415F13B8"/>
    <w:rsid w:val="416D78C7"/>
    <w:rsid w:val="41734CBA"/>
    <w:rsid w:val="417F4E1A"/>
    <w:rsid w:val="41A82190"/>
    <w:rsid w:val="41D83797"/>
    <w:rsid w:val="41DE5999"/>
    <w:rsid w:val="41E1181A"/>
    <w:rsid w:val="41E32A20"/>
    <w:rsid w:val="41FA3241"/>
    <w:rsid w:val="420F7A65"/>
    <w:rsid w:val="4216611A"/>
    <w:rsid w:val="423E300F"/>
    <w:rsid w:val="425656C8"/>
    <w:rsid w:val="4257273C"/>
    <w:rsid w:val="4259696B"/>
    <w:rsid w:val="425B08F6"/>
    <w:rsid w:val="42687ACE"/>
    <w:rsid w:val="4285733F"/>
    <w:rsid w:val="429E6041"/>
    <w:rsid w:val="42BF4B02"/>
    <w:rsid w:val="42C84B75"/>
    <w:rsid w:val="42FD694D"/>
    <w:rsid w:val="43525542"/>
    <w:rsid w:val="437D6687"/>
    <w:rsid w:val="438351F5"/>
    <w:rsid w:val="438D35EA"/>
    <w:rsid w:val="43A4382E"/>
    <w:rsid w:val="43BC1E57"/>
    <w:rsid w:val="43CC3FD9"/>
    <w:rsid w:val="43D23F8D"/>
    <w:rsid w:val="43D43F1D"/>
    <w:rsid w:val="43E8070C"/>
    <w:rsid w:val="43FA5777"/>
    <w:rsid w:val="44023422"/>
    <w:rsid w:val="44184A2D"/>
    <w:rsid w:val="441C1611"/>
    <w:rsid w:val="443C440B"/>
    <w:rsid w:val="44506DE3"/>
    <w:rsid w:val="44514F52"/>
    <w:rsid w:val="44761C8F"/>
    <w:rsid w:val="4490658A"/>
    <w:rsid w:val="449722E3"/>
    <w:rsid w:val="449D7B09"/>
    <w:rsid w:val="44AE3FD4"/>
    <w:rsid w:val="44D0586F"/>
    <w:rsid w:val="44FA2D53"/>
    <w:rsid w:val="4504751B"/>
    <w:rsid w:val="4517434D"/>
    <w:rsid w:val="453C4912"/>
    <w:rsid w:val="45627191"/>
    <w:rsid w:val="45687813"/>
    <w:rsid w:val="456E7B7D"/>
    <w:rsid w:val="4571374F"/>
    <w:rsid w:val="458B1BB0"/>
    <w:rsid w:val="45AD31D6"/>
    <w:rsid w:val="45B93426"/>
    <w:rsid w:val="464C6420"/>
    <w:rsid w:val="46552F9B"/>
    <w:rsid w:val="465D5A09"/>
    <w:rsid w:val="46606730"/>
    <w:rsid w:val="467A0297"/>
    <w:rsid w:val="468B7125"/>
    <w:rsid w:val="4698331F"/>
    <w:rsid w:val="46B506EF"/>
    <w:rsid w:val="46BC1F6E"/>
    <w:rsid w:val="46C4691F"/>
    <w:rsid w:val="46CB53EF"/>
    <w:rsid w:val="46CE645F"/>
    <w:rsid w:val="46DE70D4"/>
    <w:rsid w:val="470F5A71"/>
    <w:rsid w:val="47615D53"/>
    <w:rsid w:val="47685427"/>
    <w:rsid w:val="4779499C"/>
    <w:rsid w:val="479C6284"/>
    <w:rsid w:val="479D1D34"/>
    <w:rsid w:val="47B609C0"/>
    <w:rsid w:val="47EC3B04"/>
    <w:rsid w:val="47EC6277"/>
    <w:rsid w:val="481A219B"/>
    <w:rsid w:val="482D31EA"/>
    <w:rsid w:val="48482422"/>
    <w:rsid w:val="48594C7C"/>
    <w:rsid w:val="485970A0"/>
    <w:rsid w:val="48667F79"/>
    <w:rsid w:val="486A6E89"/>
    <w:rsid w:val="48702E73"/>
    <w:rsid w:val="48823516"/>
    <w:rsid w:val="48877686"/>
    <w:rsid w:val="48B176C2"/>
    <w:rsid w:val="48B65C71"/>
    <w:rsid w:val="48FB1909"/>
    <w:rsid w:val="48FC1BAD"/>
    <w:rsid w:val="491574F4"/>
    <w:rsid w:val="491F266E"/>
    <w:rsid w:val="492E6A57"/>
    <w:rsid w:val="49384887"/>
    <w:rsid w:val="495839AA"/>
    <w:rsid w:val="49771AFE"/>
    <w:rsid w:val="49802948"/>
    <w:rsid w:val="4986089F"/>
    <w:rsid w:val="498B5309"/>
    <w:rsid w:val="499E6DEB"/>
    <w:rsid w:val="499F0AAB"/>
    <w:rsid w:val="49C33FF5"/>
    <w:rsid w:val="49C63D13"/>
    <w:rsid w:val="49DB11EC"/>
    <w:rsid w:val="49E22068"/>
    <w:rsid w:val="49E31DD1"/>
    <w:rsid w:val="49E64E2B"/>
    <w:rsid w:val="49E82ED4"/>
    <w:rsid w:val="4A0030EE"/>
    <w:rsid w:val="4A0568D6"/>
    <w:rsid w:val="4A0C4F3C"/>
    <w:rsid w:val="4A345F75"/>
    <w:rsid w:val="4A484D41"/>
    <w:rsid w:val="4A591590"/>
    <w:rsid w:val="4A6D15F8"/>
    <w:rsid w:val="4A8C4FB8"/>
    <w:rsid w:val="4A9A25BD"/>
    <w:rsid w:val="4A9E0551"/>
    <w:rsid w:val="4AA03D78"/>
    <w:rsid w:val="4AAB17DF"/>
    <w:rsid w:val="4AB542AE"/>
    <w:rsid w:val="4ABA7AB3"/>
    <w:rsid w:val="4AF72FEA"/>
    <w:rsid w:val="4B243D9D"/>
    <w:rsid w:val="4B403E05"/>
    <w:rsid w:val="4B5B54F0"/>
    <w:rsid w:val="4B645524"/>
    <w:rsid w:val="4B6B51D0"/>
    <w:rsid w:val="4B8C2DEB"/>
    <w:rsid w:val="4BA460A8"/>
    <w:rsid w:val="4BC423D3"/>
    <w:rsid w:val="4BFA3C9F"/>
    <w:rsid w:val="4C042674"/>
    <w:rsid w:val="4C107F48"/>
    <w:rsid w:val="4C3277BC"/>
    <w:rsid w:val="4C4641B5"/>
    <w:rsid w:val="4C5C442D"/>
    <w:rsid w:val="4C6D42A9"/>
    <w:rsid w:val="4C716A38"/>
    <w:rsid w:val="4CC0351C"/>
    <w:rsid w:val="4CC353EB"/>
    <w:rsid w:val="4CE64E14"/>
    <w:rsid w:val="4CF1712D"/>
    <w:rsid w:val="4CF36F3C"/>
    <w:rsid w:val="4CFA2645"/>
    <w:rsid w:val="4D00189F"/>
    <w:rsid w:val="4D007BC8"/>
    <w:rsid w:val="4D1470BD"/>
    <w:rsid w:val="4D154882"/>
    <w:rsid w:val="4D1C3C50"/>
    <w:rsid w:val="4D3010B2"/>
    <w:rsid w:val="4D547FED"/>
    <w:rsid w:val="4D603399"/>
    <w:rsid w:val="4D664F64"/>
    <w:rsid w:val="4D6A7284"/>
    <w:rsid w:val="4D867EE1"/>
    <w:rsid w:val="4DB07591"/>
    <w:rsid w:val="4DBC4C65"/>
    <w:rsid w:val="4DE2009B"/>
    <w:rsid w:val="4E0E2C9E"/>
    <w:rsid w:val="4E0F235E"/>
    <w:rsid w:val="4E157689"/>
    <w:rsid w:val="4E533FA5"/>
    <w:rsid w:val="4E550010"/>
    <w:rsid w:val="4E5964E9"/>
    <w:rsid w:val="4E5F14CB"/>
    <w:rsid w:val="4E6808B0"/>
    <w:rsid w:val="4EB27F29"/>
    <w:rsid w:val="4EC00DDD"/>
    <w:rsid w:val="4EE334F2"/>
    <w:rsid w:val="4EF265BE"/>
    <w:rsid w:val="4EFB1C45"/>
    <w:rsid w:val="4F0C2A48"/>
    <w:rsid w:val="4F26273B"/>
    <w:rsid w:val="4F2D3A8A"/>
    <w:rsid w:val="4F32478A"/>
    <w:rsid w:val="4F3705F8"/>
    <w:rsid w:val="4F785B69"/>
    <w:rsid w:val="4F9714A0"/>
    <w:rsid w:val="4FAC3540"/>
    <w:rsid w:val="4FC56ABD"/>
    <w:rsid w:val="4FC97CE0"/>
    <w:rsid w:val="4FCF1583"/>
    <w:rsid w:val="4FD23E66"/>
    <w:rsid w:val="4FD44D1B"/>
    <w:rsid w:val="4FDC066D"/>
    <w:rsid w:val="4FE70DC0"/>
    <w:rsid w:val="4FFA7625"/>
    <w:rsid w:val="500E3395"/>
    <w:rsid w:val="500F5F58"/>
    <w:rsid w:val="50453E7E"/>
    <w:rsid w:val="50485BA4"/>
    <w:rsid w:val="507D2599"/>
    <w:rsid w:val="508B3CD9"/>
    <w:rsid w:val="508F08E7"/>
    <w:rsid w:val="5096229D"/>
    <w:rsid w:val="509E157D"/>
    <w:rsid w:val="50BF7E3C"/>
    <w:rsid w:val="50CC5D92"/>
    <w:rsid w:val="50D17F23"/>
    <w:rsid w:val="50D36CAA"/>
    <w:rsid w:val="50DA3350"/>
    <w:rsid w:val="50DC4184"/>
    <w:rsid w:val="50E7551B"/>
    <w:rsid w:val="50FB6146"/>
    <w:rsid w:val="512B5479"/>
    <w:rsid w:val="512F4CA0"/>
    <w:rsid w:val="51323DB9"/>
    <w:rsid w:val="51361FFF"/>
    <w:rsid w:val="513723D1"/>
    <w:rsid w:val="514C3EA7"/>
    <w:rsid w:val="51551AFE"/>
    <w:rsid w:val="51704DAC"/>
    <w:rsid w:val="51B90929"/>
    <w:rsid w:val="51BB6CF0"/>
    <w:rsid w:val="51FF3C99"/>
    <w:rsid w:val="521C62D8"/>
    <w:rsid w:val="52363D4D"/>
    <w:rsid w:val="523C29F9"/>
    <w:rsid w:val="52521A20"/>
    <w:rsid w:val="52AC4ABC"/>
    <w:rsid w:val="52C201B9"/>
    <w:rsid w:val="52C945ED"/>
    <w:rsid w:val="52E57A12"/>
    <w:rsid w:val="52F20B62"/>
    <w:rsid w:val="5355471E"/>
    <w:rsid w:val="538152F3"/>
    <w:rsid w:val="53827E49"/>
    <w:rsid w:val="538A6BB9"/>
    <w:rsid w:val="539964FD"/>
    <w:rsid w:val="539C1B81"/>
    <w:rsid w:val="53A447B1"/>
    <w:rsid w:val="53AE750F"/>
    <w:rsid w:val="53BB2A61"/>
    <w:rsid w:val="53D00C67"/>
    <w:rsid w:val="53D224B3"/>
    <w:rsid w:val="53DF06D8"/>
    <w:rsid w:val="53F81D96"/>
    <w:rsid w:val="544B5214"/>
    <w:rsid w:val="546927C6"/>
    <w:rsid w:val="546B0405"/>
    <w:rsid w:val="549A6BFA"/>
    <w:rsid w:val="54B36A7C"/>
    <w:rsid w:val="54D933CD"/>
    <w:rsid w:val="55244D7F"/>
    <w:rsid w:val="553404C4"/>
    <w:rsid w:val="55362287"/>
    <w:rsid w:val="55432F3C"/>
    <w:rsid w:val="555016D2"/>
    <w:rsid w:val="556D2820"/>
    <w:rsid w:val="55C3227E"/>
    <w:rsid w:val="55E53A0C"/>
    <w:rsid w:val="55FA2961"/>
    <w:rsid w:val="5602250F"/>
    <w:rsid w:val="564220BA"/>
    <w:rsid w:val="565E7F4F"/>
    <w:rsid w:val="565F3DA6"/>
    <w:rsid w:val="56914056"/>
    <w:rsid w:val="56B41CA7"/>
    <w:rsid w:val="56C36589"/>
    <w:rsid w:val="570D55B0"/>
    <w:rsid w:val="5723570C"/>
    <w:rsid w:val="57293C95"/>
    <w:rsid w:val="572A6381"/>
    <w:rsid w:val="572B41B4"/>
    <w:rsid w:val="572E079D"/>
    <w:rsid w:val="573028B6"/>
    <w:rsid w:val="57365868"/>
    <w:rsid w:val="573C1959"/>
    <w:rsid w:val="579B712B"/>
    <w:rsid w:val="57CD25D7"/>
    <w:rsid w:val="57F12ED6"/>
    <w:rsid w:val="57F65317"/>
    <w:rsid w:val="57FC2169"/>
    <w:rsid w:val="58024015"/>
    <w:rsid w:val="58096275"/>
    <w:rsid w:val="5819544F"/>
    <w:rsid w:val="582809D1"/>
    <w:rsid w:val="582E6EF7"/>
    <w:rsid w:val="583E34E4"/>
    <w:rsid w:val="584E30E6"/>
    <w:rsid w:val="58546EFD"/>
    <w:rsid w:val="58A20D92"/>
    <w:rsid w:val="58E26731"/>
    <w:rsid w:val="590E4A97"/>
    <w:rsid w:val="591250FF"/>
    <w:rsid w:val="5920012C"/>
    <w:rsid w:val="592B1244"/>
    <w:rsid w:val="594714AD"/>
    <w:rsid w:val="594C608F"/>
    <w:rsid w:val="595578DE"/>
    <w:rsid w:val="59667148"/>
    <w:rsid w:val="597B384D"/>
    <w:rsid w:val="59996DA8"/>
    <w:rsid w:val="599C05DE"/>
    <w:rsid w:val="59C30F1B"/>
    <w:rsid w:val="5A6F3361"/>
    <w:rsid w:val="5A8C20D0"/>
    <w:rsid w:val="5AC7121C"/>
    <w:rsid w:val="5AD90B8D"/>
    <w:rsid w:val="5AE12927"/>
    <w:rsid w:val="5AE35472"/>
    <w:rsid w:val="5AF41CF3"/>
    <w:rsid w:val="5AF87CC9"/>
    <w:rsid w:val="5B19477F"/>
    <w:rsid w:val="5B387A4D"/>
    <w:rsid w:val="5B4E1A44"/>
    <w:rsid w:val="5B5773E8"/>
    <w:rsid w:val="5B774ED6"/>
    <w:rsid w:val="5B873201"/>
    <w:rsid w:val="5B967767"/>
    <w:rsid w:val="5B9D1624"/>
    <w:rsid w:val="5BA37F62"/>
    <w:rsid w:val="5C0C2FF6"/>
    <w:rsid w:val="5C1241CC"/>
    <w:rsid w:val="5C286807"/>
    <w:rsid w:val="5C370E72"/>
    <w:rsid w:val="5C414DE8"/>
    <w:rsid w:val="5C446BC8"/>
    <w:rsid w:val="5C4529E1"/>
    <w:rsid w:val="5C4B56E1"/>
    <w:rsid w:val="5C7146B1"/>
    <w:rsid w:val="5C7C2768"/>
    <w:rsid w:val="5CB23AE6"/>
    <w:rsid w:val="5CDC0A42"/>
    <w:rsid w:val="5CED5863"/>
    <w:rsid w:val="5D0D6DF5"/>
    <w:rsid w:val="5D580A8A"/>
    <w:rsid w:val="5D893B14"/>
    <w:rsid w:val="5DB42C29"/>
    <w:rsid w:val="5E291636"/>
    <w:rsid w:val="5E5221C3"/>
    <w:rsid w:val="5E6F64A1"/>
    <w:rsid w:val="5E784CD0"/>
    <w:rsid w:val="5E7E7421"/>
    <w:rsid w:val="5E8B0770"/>
    <w:rsid w:val="5EA06921"/>
    <w:rsid w:val="5EA902B4"/>
    <w:rsid w:val="5EBA259F"/>
    <w:rsid w:val="5EE97BB4"/>
    <w:rsid w:val="5F085DDA"/>
    <w:rsid w:val="5F1C681A"/>
    <w:rsid w:val="5F2E2D52"/>
    <w:rsid w:val="5F54198B"/>
    <w:rsid w:val="5F546D2C"/>
    <w:rsid w:val="5F9D1350"/>
    <w:rsid w:val="5FBE370A"/>
    <w:rsid w:val="5FC83407"/>
    <w:rsid w:val="5FD56E87"/>
    <w:rsid w:val="5FF0558C"/>
    <w:rsid w:val="601A27F4"/>
    <w:rsid w:val="60292845"/>
    <w:rsid w:val="604D2644"/>
    <w:rsid w:val="605238CF"/>
    <w:rsid w:val="6053694F"/>
    <w:rsid w:val="607921FE"/>
    <w:rsid w:val="608F62AE"/>
    <w:rsid w:val="60B9251B"/>
    <w:rsid w:val="60E236C1"/>
    <w:rsid w:val="60F560A0"/>
    <w:rsid w:val="611911B1"/>
    <w:rsid w:val="611D2E3C"/>
    <w:rsid w:val="61260B6B"/>
    <w:rsid w:val="61263A34"/>
    <w:rsid w:val="612B3ABB"/>
    <w:rsid w:val="612E1A5D"/>
    <w:rsid w:val="614E5D7E"/>
    <w:rsid w:val="61560892"/>
    <w:rsid w:val="61770BF8"/>
    <w:rsid w:val="61816046"/>
    <w:rsid w:val="618F2A1B"/>
    <w:rsid w:val="619919DC"/>
    <w:rsid w:val="61AE54CE"/>
    <w:rsid w:val="61C81AB1"/>
    <w:rsid w:val="61D417B9"/>
    <w:rsid w:val="620B0059"/>
    <w:rsid w:val="62391564"/>
    <w:rsid w:val="623F0B7F"/>
    <w:rsid w:val="624A22BE"/>
    <w:rsid w:val="625E5672"/>
    <w:rsid w:val="626E235A"/>
    <w:rsid w:val="626F60D5"/>
    <w:rsid w:val="62816669"/>
    <w:rsid w:val="6282086D"/>
    <w:rsid w:val="62B36CD7"/>
    <w:rsid w:val="62BA0953"/>
    <w:rsid w:val="62D03A7C"/>
    <w:rsid w:val="62D8790F"/>
    <w:rsid w:val="62E10F9B"/>
    <w:rsid w:val="62F42FAE"/>
    <w:rsid w:val="62F648FE"/>
    <w:rsid w:val="62FC75D3"/>
    <w:rsid w:val="63167A4F"/>
    <w:rsid w:val="631D2BD6"/>
    <w:rsid w:val="632217E6"/>
    <w:rsid w:val="634E4B12"/>
    <w:rsid w:val="635356F3"/>
    <w:rsid w:val="635D6064"/>
    <w:rsid w:val="637D5B70"/>
    <w:rsid w:val="63825E77"/>
    <w:rsid w:val="63A10995"/>
    <w:rsid w:val="63C23EFA"/>
    <w:rsid w:val="63C24F39"/>
    <w:rsid w:val="63D255DA"/>
    <w:rsid w:val="64076B79"/>
    <w:rsid w:val="640B7654"/>
    <w:rsid w:val="643A070A"/>
    <w:rsid w:val="643F227C"/>
    <w:rsid w:val="64402337"/>
    <w:rsid w:val="64410A96"/>
    <w:rsid w:val="644C573D"/>
    <w:rsid w:val="64507EFB"/>
    <w:rsid w:val="64B97A50"/>
    <w:rsid w:val="64C4255D"/>
    <w:rsid w:val="65032F85"/>
    <w:rsid w:val="65123E81"/>
    <w:rsid w:val="651304A7"/>
    <w:rsid w:val="65136B50"/>
    <w:rsid w:val="652470FF"/>
    <w:rsid w:val="656512C1"/>
    <w:rsid w:val="657E2A35"/>
    <w:rsid w:val="65A94E9D"/>
    <w:rsid w:val="65B96B3F"/>
    <w:rsid w:val="65BE1071"/>
    <w:rsid w:val="65C60A92"/>
    <w:rsid w:val="65D35142"/>
    <w:rsid w:val="65E174B2"/>
    <w:rsid w:val="65F1774C"/>
    <w:rsid w:val="660451CE"/>
    <w:rsid w:val="660B02F6"/>
    <w:rsid w:val="665346B7"/>
    <w:rsid w:val="66705A4E"/>
    <w:rsid w:val="667C7CCE"/>
    <w:rsid w:val="669C56BF"/>
    <w:rsid w:val="66A12460"/>
    <w:rsid w:val="66A20C1E"/>
    <w:rsid w:val="66BE2423"/>
    <w:rsid w:val="66DD6702"/>
    <w:rsid w:val="671B1623"/>
    <w:rsid w:val="671E6EBA"/>
    <w:rsid w:val="672C0ACD"/>
    <w:rsid w:val="672E0B77"/>
    <w:rsid w:val="673D2E92"/>
    <w:rsid w:val="675352AA"/>
    <w:rsid w:val="6759400B"/>
    <w:rsid w:val="675E528D"/>
    <w:rsid w:val="676C598C"/>
    <w:rsid w:val="67962635"/>
    <w:rsid w:val="67966EFB"/>
    <w:rsid w:val="679E7FA1"/>
    <w:rsid w:val="67A32389"/>
    <w:rsid w:val="67B005BB"/>
    <w:rsid w:val="67B768D0"/>
    <w:rsid w:val="67C779FD"/>
    <w:rsid w:val="68011C0C"/>
    <w:rsid w:val="682A2352"/>
    <w:rsid w:val="682E7AFD"/>
    <w:rsid w:val="68435865"/>
    <w:rsid w:val="68707071"/>
    <w:rsid w:val="687A4379"/>
    <w:rsid w:val="687B015C"/>
    <w:rsid w:val="687E3889"/>
    <w:rsid w:val="6884222C"/>
    <w:rsid w:val="6889198F"/>
    <w:rsid w:val="68AD17BB"/>
    <w:rsid w:val="68B305D5"/>
    <w:rsid w:val="68D94D22"/>
    <w:rsid w:val="692B2E4A"/>
    <w:rsid w:val="696A0B34"/>
    <w:rsid w:val="69821807"/>
    <w:rsid w:val="698D6A17"/>
    <w:rsid w:val="699D5FD4"/>
    <w:rsid w:val="69A72A46"/>
    <w:rsid w:val="69B935B3"/>
    <w:rsid w:val="69D37590"/>
    <w:rsid w:val="69D62568"/>
    <w:rsid w:val="69D84EE9"/>
    <w:rsid w:val="69F954C1"/>
    <w:rsid w:val="69FA2750"/>
    <w:rsid w:val="6A1E1E73"/>
    <w:rsid w:val="6A2031B6"/>
    <w:rsid w:val="6A26299B"/>
    <w:rsid w:val="6A276275"/>
    <w:rsid w:val="6A2F57D7"/>
    <w:rsid w:val="6A3C1D40"/>
    <w:rsid w:val="6A4A069B"/>
    <w:rsid w:val="6A4B221F"/>
    <w:rsid w:val="6A5E7136"/>
    <w:rsid w:val="6A6432E1"/>
    <w:rsid w:val="6A6A5005"/>
    <w:rsid w:val="6A8D5833"/>
    <w:rsid w:val="6AA23DFF"/>
    <w:rsid w:val="6AC61F6F"/>
    <w:rsid w:val="6AD34E53"/>
    <w:rsid w:val="6AD83EA1"/>
    <w:rsid w:val="6ADE74F0"/>
    <w:rsid w:val="6AE3182F"/>
    <w:rsid w:val="6B1D62E8"/>
    <w:rsid w:val="6B723594"/>
    <w:rsid w:val="6B805156"/>
    <w:rsid w:val="6B92775B"/>
    <w:rsid w:val="6B945E48"/>
    <w:rsid w:val="6BAD56EA"/>
    <w:rsid w:val="6BD50977"/>
    <w:rsid w:val="6BE126B1"/>
    <w:rsid w:val="6BE450D3"/>
    <w:rsid w:val="6BE60C84"/>
    <w:rsid w:val="6C587C0E"/>
    <w:rsid w:val="6C6C32E1"/>
    <w:rsid w:val="6C6E3E15"/>
    <w:rsid w:val="6C8B1F5D"/>
    <w:rsid w:val="6CAA3931"/>
    <w:rsid w:val="6CCF3BFB"/>
    <w:rsid w:val="6D2046B7"/>
    <w:rsid w:val="6D325918"/>
    <w:rsid w:val="6D370B82"/>
    <w:rsid w:val="6D3933CA"/>
    <w:rsid w:val="6D3C6CAD"/>
    <w:rsid w:val="6D6261FE"/>
    <w:rsid w:val="6D633D96"/>
    <w:rsid w:val="6D7B61EC"/>
    <w:rsid w:val="6D8E03AA"/>
    <w:rsid w:val="6DBB089F"/>
    <w:rsid w:val="6DC63038"/>
    <w:rsid w:val="6DE30DE0"/>
    <w:rsid w:val="6DE6130A"/>
    <w:rsid w:val="6DE839B9"/>
    <w:rsid w:val="6DFB65EB"/>
    <w:rsid w:val="6DFE102E"/>
    <w:rsid w:val="6E09491E"/>
    <w:rsid w:val="6E0D3655"/>
    <w:rsid w:val="6E1206A1"/>
    <w:rsid w:val="6E1A0886"/>
    <w:rsid w:val="6E1A437E"/>
    <w:rsid w:val="6E2B14A0"/>
    <w:rsid w:val="6E3A144E"/>
    <w:rsid w:val="6E53498E"/>
    <w:rsid w:val="6E5F4465"/>
    <w:rsid w:val="6E8B1663"/>
    <w:rsid w:val="6E8C54DA"/>
    <w:rsid w:val="6EF11E03"/>
    <w:rsid w:val="6EF1241D"/>
    <w:rsid w:val="6EF82916"/>
    <w:rsid w:val="6F0B2DE7"/>
    <w:rsid w:val="6F111C62"/>
    <w:rsid w:val="6F1D68C2"/>
    <w:rsid w:val="6F2176E5"/>
    <w:rsid w:val="6F2D79CC"/>
    <w:rsid w:val="6F3A2A5F"/>
    <w:rsid w:val="6F4F7F03"/>
    <w:rsid w:val="6F592303"/>
    <w:rsid w:val="6F5F5B74"/>
    <w:rsid w:val="6F8B3646"/>
    <w:rsid w:val="6F98032D"/>
    <w:rsid w:val="6F9B1C65"/>
    <w:rsid w:val="6FA44937"/>
    <w:rsid w:val="6FE82C9C"/>
    <w:rsid w:val="6FFB146E"/>
    <w:rsid w:val="6FFC3AA6"/>
    <w:rsid w:val="6FFF3B63"/>
    <w:rsid w:val="7006721D"/>
    <w:rsid w:val="70160742"/>
    <w:rsid w:val="7030610F"/>
    <w:rsid w:val="70612DB4"/>
    <w:rsid w:val="706516C3"/>
    <w:rsid w:val="70896E68"/>
    <w:rsid w:val="708A4844"/>
    <w:rsid w:val="70D84CBF"/>
    <w:rsid w:val="70E05E9D"/>
    <w:rsid w:val="71073061"/>
    <w:rsid w:val="711A201F"/>
    <w:rsid w:val="71396ACC"/>
    <w:rsid w:val="715B60E9"/>
    <w:rsid w:val="716F0EE9"/>
    <w:rsid w:val="718552E9"/>
    <w:rsid w:val="718F7D0C"/>
    <w:rsid w:val="7196674D"/>
    <w:rsid w:val="71BB3492"/>
    <w:rsid w:val="71CD6D08"/>
    <w:rsid w:val="71EA1FED"/>
    <w:rsid w:val="71FB73F5"/>
    <w:rsid w:val="71FE4239"/>
    <w:rsid w:val="720505B6"/>
    <w:rsid w:val="72165C6B"/>
    <w:rsid w:val="722021E3"/>
    <w:rsid w:val="722C6DDA"/>
    <w:rsid w:val="722E0369"/>
    <w:rsid w:val="72345748"/>
    <w:rsid w:val="72517CEA"/>
    <w:rsid w:val="72802089"/>
    <w:rsid w:val="72E661B1"/>
    <w:rsid w:val="72F90C18"/>
    <w:rsid w:val="730313F6"/>
    <w:rsid w:val="730E4732"/>
    <w:rsid w:val="731E5F29"/>
    <w:rsid w:val="732A6AD8"/>
    <w:rsid w:val="73370D24"/>
    <w:rsid w:val="733E6DC5"/>
    <w:rsid w:val="73472C84"/>
    <w:rsid w:val="7359268C"/>
    <w:rsid w:val="7366631C"/>
    <w:rsid w:val="736C263C"/>
    <w:rsid w:val="736E19E4"/>
    <w:rsid w:val="73723640"/>
    <w:rsid w:val="737311F5"/>
    <w:rsid w:val="73761585"/>
    <w:rsid w:val="739503EB"/>
    <w:rsid w:val="73A05B28"/>
    <w:rsid w:val="73C07D69"/>
    <w:rsid w:val="73DC335B"/>
    <w:rsid w:val="740B60EC"/>
    <w:rsid w:val="744C4A5B"/>
    <w:rsid w:val="74717AE5"/>
    <w:rsid w:val="74881E39"/>
    <w:rsid w:val="748B21CA"/>
    <w:rsid w:val="749E16A8"/>
    <w:rsid w:val="74A50A4B"/>
    <w:rsid w:val="74B42AE4"/>
    <w:rsid w:val="74C54993"/>
    <w:rsid w:val="750A429D"/>
    <w:rsid w:val="754400F8"/>
    <w:rsid w:val="75474B47"/>
    <w:rsid w:val="755D3A23"/>
    <w:rsid w:val="755E2214"/>
    <w:rsid w:val="75614792"/>
    <w:rsid w:val="75761866"/>
    <w:rsid w:val="75784473"/>
    <w:rsid w:val="7582466D"/>
    <w:rsid w:val="75B161B3"/>
    <w:rsid w:val="75C055BD"/>
    <w:rsid w:val="75C46B63"/>
    <w:rsid w:val="75DC6C44"/>
    <w:rsid w:val="762770AC"/>
    <w:rsid w:val="762F6A19"/>
    <w:rsid w:val="76341B33"/>
    <w:rsid w:val="76736B32"/>
    <w:rsid w:val="768811B6"/>
    <w:rsid w:val="76AF35EE"/>
    <w:rsid w:val="76C27A74"/>
    <w:rsid w:val="76D432B7"/>
    <w:rsid w:val="76E3765E"/>
    <w:rsid w:val="76EA03A1"/>
    <w:rsid w:val="76EC20A9"/>
    <w:rsid w:val="76FC2AFA"/>
    <w:rsid w:val="770B4AEB"/>
    <w:rsid w:val="774B4E00"/>
    <w:rsid w:val="77527424"/>
    <w:rsid w:val="77653671"/>
    <w:rsid w:val="778546CC"/>
    <w:rsid w:val="778B6B46"/>
    <w:rsid w:val="77A96931"/>
    <w:rsid w:val="77B105D5"/>
    <w:rsid w:val="77B551B3"/>
    <w:rsid w:val="77B56730"/>
    <w:rsid w:val="77B92EBE"/>
    <w:rsid w:val="77BF1E80"/>
    <w:rsid w:val="77C04A8B"/>
    <w:rsid w:val="77D85DB3"/>
    <w:rsid w:val="77EB1B74"/>
    <w:rsid w:val="782A3EA3"/>
    <w:rsid w:val="787A567D"/>
    <w:rsid w:val="78A50513"/>
    <w:rsid w:val="78D37FAF"/>
    <w:rsid w:val="78EF7AB5"/>
    <w:rsid w:val="790A4A06"/>
    <w:rsid w:val="790D6849"/>
    <w:rsid w:val="79252148"/>
    <w:rsid w:val="79356FA9"/>
    <w:rsid w:val="795767E3"/>
    <w:rsid w:val="79586707"/>
    <w:rsid w:val="796518DD"/>
    <w:rsid w:val="79724BEF"/>
    <w:rsid w:val="797264AC"/>
    <w:rsid w:val="799008E5"/>
    <w:rsid w:val="79AA0532"/>
    <w:rsid w:val="79AB2CDA"/>
    <w:rsid w:val="79C370A4"/>
    <w:rsid w:val="79D23A3D"/>
    <w:rsid w:val="79FE1DDD"/>
    <w:rsid w:val="7A075767"/>
    <w:rsid w:val="7A0C15B3"/>
    <w:rsid w:val="7A212062"/>
    <w:rsid w:val="7A2522C9"/>
    <w:rsid w:val="7A282A11"/>
    <w:rsid w:val="7A3A59B8"/>
    <w:rsid w:val="7A566842"/>
    <w:rsid w:val="7A5D0F75"/>
    <w:rsid w:val="7A715CD2"/>
    <w:rsid w:val="7A921E9A"/>
    <w:rsid w:val="7AAA09A9"/>
    <w:rsid w:val="7ABF2475"/>
    <w:rsid w:val="7AC21562"/>
    <w:rsid w:val="7AD474A4"/>
    <w:rsid w:val="7AF55544"/>
    <w:rsid w:val="7AFC38DE"/>
    <w:rsid w:val="7B165244"/>
    <w:rsid w:val="7B217A1E"/>
    <w:rsid w:val="7B2965AD"/>
    <w:rsid w:val="7B303E8C"/>
    <w:rsid w:val="7B39121D"/>
    <w:rsid w:val="7B5A3E7E"/>
    <w:rsid w:val="7B865D50"/>
    <w:rsid w:val="7B87547C"/>
    <w:rsid w:val="7B8D34C3"/>
    <w:rsid w:val="7B971D84"/>
    <w:rsid w:val="7BAB0CB7"/>
    <w:rsid w:val="7BB4028F"/>
    <w:rsid w:val="7BD6383B"/>
    <w:rsid w:val="7BE031FB"/>
    <w:rsid w:val="7BE85BAB"/>
    <w:rsid w:val="7BF32F03"/>
    <w:rsid w:val="7BF50D2C"/>
    <w:rsid w:val="7C066F4E"/>
    <w:rsid w:val="7C1724A5"/>
    <w:rsid w:val="7C273CFF"/>
    <w:rsid w:val="7C2D63F8"/>
    <w:rsid w:val="7CA54112"/>
    <w:rsid w:val="7CA553D9"/>
    <w:rsid w:val="7CAB27F5"/>
    <w:rsid w:val="7CAF438A"/>
    <w:rsid w:val="7CCE726D"/>
    <w:rsid w:val="7CD71EA3"/>
    <w:rsid w:val="7CE50CE4"/>
    <w:rsid w:val="7CF877E9"/>
    <w:rsid w:val="7CFD1A9F"/>
    <w:rsid w:val="7D134762"/>
    <w:rsid w:val="7D2E5ABF"/>
    <w:rsid w:val="7D4A45B8"/>
    <w:rsid w:val="7E007625"/>
    <w:rsid w:val="7E044786"/>
    <w:rsid w:val="7E0737C8"/>
    <w:rsid w:val="7E131C51"/>
    <w:rsid w:val="7E176B90"/>
    <w:rsid w:val="7E2142A2"/>
    <w:rsid w:val="7E240411"/>
    <w:rsid w:val="7E5148A6"/>
    <w:rsid w:val="7E6A046F"/>
    <w:rsid w:val="7E797DE5"/>
    <w:rsid w:val="7E7B0BF2"/>
    <w:rsid w:val="7E8D75B6"/>
    <w:rsid w:val="7E8E672B"/>
    <w:rsid w:val="7EB16167"/>
    <w:rsid w:val="7EF760EE"/>
    <w:rsid w:val="7F193E37"/>
    <w:rsid w:val="7F2536B5"/>
    <w:rsid w:val="7F383117"/>
    <w:rsid w:val="7F485E64"/>
    <w:rsid w:val="7F5A01CA"/>
    <w:rsid w:val="7F5B0B7E"/>
    <w:rsid w:val="7F691199"/>
    <w:rsid w:val="7F7726AD"/>
    <w:rsid w:val="7FA01732"/>
    <w:rsid w:val="7FDA275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5">
    <w:name w:val="heading 1"/>
    <w:basedOn w:val="1"/>
    <w:next w:val="1"/>
    <w:link w:val="77"/>
    <w:qFormat/>
    <w:uiPriority w:val="9"/>
    <w:pPr>
      <w:keepNext/>
      <w:keepLines/>
      <w:spacing w:before="340" w:after="330" w:line="576" w:lineRule="auto"/>
      <w:outlineLvl w:val="0"/>
    </w:pPr>
    <w:rPr>
      <w:b/>
      <w:kern w:val="44"/>
      <w:sz w:val="44"/>
    </w:rPr>
  </w:style>
  <w:style w:type="paragraph" w:styleId="6">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7">
    <w:name w:val="heading 3"/>
    <w:basedOn w:val="1"/>
    <w:next w:val="1"/>
    <w:link w:val="44"/>
    <w:unhideWhenUsed/>
    <w:qFormat/>
    <w:uiPriority w:val="9"/>
    <w:pPr>
      <w:keepNext/>
      <w:keepLines/>
      <w:spacing w:before="260" w:after="260" w:line="416" w:lineRule="auto"/>
      <w:outlineLvl w:val="2"/>
    </w:pPr>
    <w:rPr>
      <w:b/>
      <w:bCs/>
      <w:sz w:val="32"/>
      <w:szCs w:val="32"/>
    </w:rPr>
  </w:style>
  <w:style w:type="paragraph" w:styleId="8">
    <w:name w:val="heading 4"/>
    <w:basedOn w:val="1"/>
    <w:next w:val="1"/>
    <w:link w:val="46"/>
    <w:unhideWhenUsed/>
    <w:qFormat/>
    <w:uiPriority w:val="9"/>
    <w:pPr>
      <w:keepNext/>
      <w:keepLines/>
      <w:outlineLvl w:val="3"/>
    </w:pPr>
    <w:rPr>
      <w:rFonts w:asciiTheme="majorHAnsi" w:hAnsiTheme="majorHAnsi" w:cstheme="majorBidi"/>
      <w:b/>
      <w:bCs/>
      <w:sz w:val="24"/>
      <w:szCs w:val="28"/>
    </w:rPr>
  </w:style>
  <w:style w:type="paragraph" w:styleId="9">
    <w:name w:val="heading 5"/>
    <w:basedOn w:val="1"/>
    <w:next w:val="1"/>
    <w:link w:val="76"/>
    <w:semiHidden/>
    <w:unhideWhenUsed/>
    <w:qFormat/>
    <w:uiPriority w:val="9"/>
    <w:pPr>
      <w:keepNext/>
      <w:keepLines/>
      <w:spacing w:before="280" w:after="290" w:line="372" w:lineRule="auto"/>
      <w:outlineLvl w:val="4"/>
    </w:pPr>
    <w:rPr>
      <w:b/>
      <w:sz w:val="28"/>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left="0" w:leftChars="0" w:firstLine="420" w:firstLineChars="200"/>
    </w:pPr>
    <w:rPr>
      <w:rFonts w:ascii="Tahoma" w:hAnsi="Tahoma"/>
      <w:sz w:val="28"/>
    </w:rPr>
  </w:style>
  <w:style w:type="paragraph" w:styleId="3">
    <w:name w:val="Body Text Indent"/>
    <w:basedOn w:val="4"/>
    <w:qFormat/>
    <w:uiPriority w:val="0"/>
    <w:pPr>
      <w:ind w:left="359" w:leftChars="171" w:firstLine="179" w:firstLineChars="85"/>
    </w:pPr>
    <w:rPr>
      <w:rFonts w:ascii="宋体" w:hAnsi="宋体"/>
      <w:b/>
      <w:bCs/>
      <w:szCs w:val="26"/>
    </w:rPr>
  </w:style>
  <w:style w:type="paragraph" w:customStyle="1" w:styleId="4">
    <w:name w:val="Normal_7_0"/>
    <w:qFormat/>
    <w:uiPriority w:val="0"/>
    <w:pPr>
      <w:widowControl w:val="0"/>
      <w:jc w:val="both"/>
    </w:pPr>
    <w:rPr>
      <w:rFonts w:ascii="宋体" w:hAnsi="宋体" w:eastAsia="宋体" w:cs="宋体"/>
      <w:lang w:val="en-US" w:eastAsia="zh-CN" w:bidi="ar-SA"/>
    </w:rPr>
  </w:style>
  <w:style w:type="paragraph" w:styleId="10">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11">
    <w:name w:val="caption"/>
    <w:basedOn w:val="1"/>
    <w:next w:val="1"/>
    <w:qFormat/>
    <w:uiPriority w:val="0"/>
    <w:rPr>
      <w:rFonts w:ascii="Arial" w:hAnsi="Arial" w:eastAsia="黑体" w:cs="Arial"/>
      <w:sz w:val="20"/>
      <w:szCs w:val="20"/>
    </w:rPr>
  </w:style>
  <w:style w:type="paragraph" w:styleId="12">
    <w:name w:val="annotation text"/>
    <w:basedOn w:val="1"/>
    <w:link w:val="65"/>
    <w:unhideWhenUsed/>
    <w:qFormat/>
    <w:uiPriority w:val="99"/>
  </w:style>
  <w:style w:type="paragraph" w:styleId="13">
    <w:name w:val="Body Text"/>
    <w:basedOn w:val="1"/>
    <w:next w:val="1"/>
    <w:link w:val="68"/>
    <w:qFormat/>
    <w:uiPriority w:val="0"/>
    <w:pPr>
      <w:spacing w:before="161"/>
      <w:ind w:left="120"/>
    </w:pPr>
    <w:rPr>
      <w:rFonts w:ascii="宋体" w:hAnsi="宋体" w:cs="宋体"/>
      <w:sz w:val="24"/>
      <w:lang w:val="zh-CN" w:bidi="zh-CN"/>
    </w:rPr>
  </w:style>
  <w:style w:type="paragraph" w:styleId="14">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5">
    <w:name w:val="toc 3"/>
    <w:basedOn w:val="1"/>
    <w:next w:val="1"/>
    <w:unhideWhenUsed/>
    <w:qFormat/>
    <w:uiPriority w:val="39"/>
    <w:pPr>
      <w:tabs>
        <w:tab w:val="right" w:leader="dot" w:pos="8296"/>
      </w:tabs>
      <w:ind w:left="838" w:leftChars="381"/>
    </w:pPr>
    <w:rPr>
      <w:szCs w:val="21"/>
    </w:rPr>
  </w:style>
  <w:style w:type="paragraph" w:styleId="16">
    <w:name w:val="Plain Text"/>
    <w:basedOn w:val="1"/>
    <w:link w:val="57"/>
    <w:qFormat/>
    <w:uiPriority w:val="0"/>
    <w:pPr>
      <w:widowControl w:val="0"/>
      <w:adjustRightInd/>
      <w:snapToGrid/>
      <w:jc w:val="both"/>
    </w:pPr>
    <w:rPr>
      <w:rFonts w:ascii="宋体" w:hAnsi="Courier New" w:cs="Times New Roman"/>
      <w:b/>
      <w:kern w:val="2"/>
      <w:szCs w:val="20"/>
    </w:rPr>
  </w:style>
  <w:style w:type="paragraph" w:styleId="17">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8">
    <w:name w:val="Balloon Text"/>
    <w:basedOn w:val="1"/>
    <w:link w:val="60"/>
    <w:semiHidden/>
    <w:unhideWhenUsed/>
    <w:qFormat/>
    <w:uiPriority w:val="99"/>
    <w:rPr>
      <w:sz w:val="18"/>
      <w:szCs w:val="18"/>
    </w:rPr>
  </w:style>
  <w:style w:type="paragraph" w:styleId="19">
    <w:name w:val="footer"/>
    <w:basedOn w:val="1"/>
    <w:link w:val="59"/>
    <w:unhideWhenUsed/>
    <w:qFormat/>
    <w:uiPriority w:val="0"/>
    <w:pPr>
      <w:tabs>
        <w:tab w:val="center" w:pos="4153"/>
        <w:tab w:val="right" w:pos="8306"/>
      </w:tabs>
    </w:pPr>
    <w:rPr>
      <w:sz w:val="18"/>
      <w:szCs w:val="18"/>
    </w:rPr>
  </w:style>
  <w:style w:type="paragraph" w:styleId="20">
    <w:name w:val="header"/>
    <w:basedOn w:val="1"/>
    <w:link w:val="58"/>
    <w:unhideWhenUsed/>
    <w:qFormat/>
    <w:uiPriority w:val="0"/>
    <w:pPr>
      <w:pBdr>
        <w:bottom w:val="single" w:color="auto" w:sz="6" w:space="1"/>
      </w:pBdr>
      <w:tabs>
        <w:tab w:val="center" w:pos="4153"/>
        <w:tab w:val="right" w:pos="8306"/>
      </w:tabs>
      <w:jc w:val="center"/>
    </w:pPr>
    <w:rPr>
      <w:sz w:val="18"/>
      <w:szCs w:val="18"/>
    </w:rPr>
  </w:style>
  <w:style w:type="paragraph" w:styleId="21">
    <w:name w:val="toc 1"/>
    <w:basedOn w:val="1"/>
    <w:next w:val="1"/>
    <w:unhideWhenUsed/>
    <w:qFormat/>
    <w:uiPriority w:val="39"/>
  </w:style>
  <w:style w:type="paragraph" w:styleId="22">
    <w:name w:val="toc 4"/>
    <w:basedOn w:val="1"/>
    <w:next w:val="1"/>
    <w:unhideWhenUsed/>
    <w:qFormat/>
    <w:uiPriority w:val="39"/>
    <w:pPr>
      <w:tabs>
        <w:tab w:val="right" w:leader="dot" w:pos="8296"/>
      </w:tabs>
      <w:spacing w:after="120"/>
      <w:ind w:left="1320" w:leftChars="600"/>
    </w:pPr>
  </w:style>
  <w:style w:type="paragraph" w:styleId="23">
    <w:name w:val="footnote text"/>
    <w:basedOn w:val="1"/>
    <w:semiHidden/>
    <w:unhideWhenUsed/>
    <w:qFormat/>
    <w:uiPriority w:val="99"/>
    <w:rPr>
      <w:sz w:val="18"/>
    </w:rPr>
  </w:style>
  <w:style w:type="paragraph" w:styleId="24">
    <w:name w:val="toc 6"/>
    <w:basedOn w:val="1"/>
    <w:next w:val="1"/>
    <w:qFormat/>
    <w:uiPriority w:val="39"/>
    <w:pPr>
      <w:ind w:left="1200"/>
    </w:pPr>
    <w:rPr>
      <w:rFonts w:ascii="Calibri" w:cs="Calibri"/>
      <w:sz w:val="18"/>
      <w:szCs w:val="18"/>
    </w:rPr>
  </w:style>
  <w:style w:type="paragraph" w:styleId="25">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6">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7">
    <w:name w:val="Normal (Web)"/>
    <w:basedOn w:val="1"/>
    <w:link w:val="62"/>
    <w:qFormat/>
    <w:uiPriority w:val="0"/>
    <w:pPr>
      <w:widowControl w:val="0"/>
      <w:adjustRightInd/>
      <w:snapToGrid/>
      <w:jc w:val="both"/>
    </w:pPr>
    <w:rPr>
      <w:rFonts w:asciiTheme="minorHAnsi" w:hAnsiTheme="minorHAnsi"/>
      <w:kern w:val="2"/>
      <w:sz w:val="24"/>
      <w:szCs w:val="24"/>
    </w:rPr>
  </w:style>
  <w:style w:type="paragraph" w:styleId="28">
    <w:name w:val="annotation subject"/>
    <w:basedOn w:val="12"/>
    <w:next w:val="12"/>
    <w:link w:val="66"/>
    <w:semiHidden/>
    <w:unhideWhenUsed/>
    <w:qFormat/>
    <w:uiPriority w:val="99"/>
    <w:rPr>
      <w:b/>
      <w:bCs/>
    </w:rPr>
  </w:style>
  <w:style w:type="table" w:styleId="30">
    <w:name w:val="Table Grid"/>
    <w:basedOn w:val="2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basedOn w:val="31"/>
    <w:qFormat/>
    <w:uiPriority w:val="22"/>
    <w:rPr>
      <w:b/>
    </w:rPr>
  </w:style>
  <w:style w:type="character" w:styleId="33">
    <w:name w:val="page number"/>
    <w:basedOn w:val="31"/>
    <w:qFormat/>
    <w:uiPriority w:val="0"/>
  </w:style>
  <w:style w:type="character" w:styleId="34">
    <w:name w:val="Emphasis"/>
    <w:basedOn w:val="31"/>
    <w:qFormat/>
    <w:uiPriority w:val="20"/>
    <w:rPr>
      <w:i/>
      <w:iCs/>
    </w:rPr>
  </w:style>
  <w:style w:type="character" w:styleId="35">
    <w:name w:val="Hyperlink"/>
    <w:qFormat/>
    <w:uiPriority w:val="99"/>
    <w:rPr>
      <w:rFonts w:hint="eastAsia" w:ascii="宋体" w:hAnsi="宋体" w:eastAsia="宋体" w:cs="宋体"/>
      <w:b/>
      <w:color w:val="0031C1"/>
      <w:kern w:val="0"/>
      <w:sz w:val="18"/>
      <w:szCs w:val="18"/>
      <w:u w:val="none"/>
      <w:lang w:eastAsia="en-US"/>
    </w:rPr>
  </w:style>
  <w:style w:type="character" w:styleId="36">
    <w:name w:val="annotation reference"/>
    <w:basedOn w:val="31"/>
    <w:semiHidden/>
    <w:unhideWhenUsed/>
    <w:qFormat/>
    <w:uiPriority w:val="99"/>
    <w:rPr>
      <w:sz w:val="21"/>
      <w:szCs w:val="21"/>
    </w:rPr>
  </w:style>
  <w:style w:type="character" w:styleId="37">
    <w:name w:val="footnote reference"/>
    <w:basedOn w:val="31"/>
    <w:semiHidden/>
    <w:unhideWhenUsed/>
    <w:qFormat/>
    <w:uiPriority w:val="99"/>
    <w:rPr>
      <w:vertAlign w:val="superscript"/>
    </w:rPr>
  </w:style>
  <w:style w:type="paragraph" w:customStyle="1" w:styleId="38">
    <w:name w:val="Body Text First Indent"/>
    <w:next w:val="1"/>
    <w:qFormat/>
    <w:uiPriority w:val="0"/>
    <w:pPr>
      <w:widowControl w:val="0"/>
      <w:spacing w:beforeLines="50" w:line="360" w:lineRule="auto"/>
      <w:ind w:firstLine="200" w:firstLineChars="200"/>
      <w:jc w:val="both"/>
    </w:pPr>
    <w:rPr>
      <w:rFonts w:hint="default" w:ascii="Times New Roman" w:hAnsi="Times New Roman" w:eastAsia="宋体" w:cs="Times New Roman"/>
      <w:kern w:val="2"/>
      <w:sz w:val="24"/>
      <w:szCs w:val="24"/>
      <w:lang w:val="en-US" w:eastAsia="zh-CN" w:bidi="ar-SA"/>
    </w:rPr>
  </w:style>
  <w:style w:type="paragraph" w:customStyle="1" w:styleId="39">
    <w:name w:val="正文文本首行缩进1"/>
    <w:next w:val="1"/>
    <w:qFormat/>
    <w:uiPriority w:val="0"/>
    <w:pPr>
      <w:widowControl w:val="0"/>
      <w:spacing w:beforeLines="50"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40">
    <w:name w:val="Body Text First Indent1"/>
    <w:next w:val="1"/>
    <w:qFormat/>
    <w:uiPriority w:val="0"/>
    <w:pPr>
      <w:widowControl w:val="0"/>
      <w:spacing w:beforeLines="50"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41">
    <w:name w:val="样式 正文首行缩进 + 首行缩进:  1 字符"/>
    <w:basedOn w:val="1"/>
    <w:next w:val="1"/>
    <w:qFormat/>
    <w:uiPriority w:val="0"/>
    <w:pPr>
      <w:ind w:firstLine="200" w:firstLineChars="200"/>
    </w:pPr>
    <w:rPr>
      <w:rFonts w:cs="宋体"/>
      <w:szCs w:val="20"/>
    </w:rPr>
  </w:style>
  <w:style w:type="paragraph" w:customStyle="1" w:styleId="42">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43">
    <w:name w:val="标题 2 字符"/>
    <w:basedOn w:val="31"/>
    <w:link w:val="6"/>
    <w:qFormat/>
    <w:uiPriority w:val="9"/>
    <w:rPr>
      <w:rFonts w:asciiTheme="majorHAnsi" w:hAnsiTheme="majorHAnsi" w:eastAsiaTheme="majorEastAsia" w:cstheme="majorBidi"/>
      <w:b/>
      <w:bCs/>
      <w:sz w:val="32"/>
      <w:szCs w:val="32"/>
    </w:rPr>
  </w:style>
  <w:style w:type="character" w:customStyle="1" w:styleId="44">
    <w:name w:val="标题 3 字符"/>
    <w:basedOn w:val="31"/>
    <w:link w:val="7"/>
    <w:qFormat/>
    <w:uiPriority w:val="9"/>
    <w:rPr>
      <w:rFonts w:ascii="Tahoma" w:hAnsi="Tahoma"/>
      <w:b/>
      <w:bCs/>
      <w:sz w:val="32"/>
      <w:szCs w:val="32"/>
    </w:rPr>
  </w:style>
  <w:style w:type="paragraph" w:styleId="45">
    <w:name w:val="List Paragraph"/>
    <w:basedOn w:val="1"/>
    <w:link w:val="67"/>
    <w:qFormat/>
    <w:uiPriority w:val="0"/>
    <w:pPr>
      <w:ind w:firstLine="420" w:firstLineChars="200"/>
    </w:pPr>
  </w:style>
  <w:style w:type="character" w:customStyle="1" w:styleId="46">
    <w:name w:val="标题 4 字符"/>
    <w:basedOn w:val="31"/>
    <w:link w:val="8"/>
    <w:qFormat/>
    <w:uiPriority w:val="9"/>
    <w:rPr>
      <w:rFonts w:eastAsia="宋体" w:asciiTheme="majorHAnsi" w:hAnsiTheme="majorHAnsi" w:cstheme="majorBidi"/>
      <w:b/>
      <w:bCs/>
      <w:sz w:val="24"/>
      <w:szCs w:val="28"/>
    </w:rPr>
  </w:style>
  <w:style w:type="character" w:customStyle="1" w:styleId="47">
    <w:name w:val="正文缩进2格 Char"/>
    <w:link w:val="48"/>
    <w:qFormat/>
    <w:uiPriority w:val="0"/>
    <w:rPr>
      <w:rFonts w:ascii="仿宋_GB2312" w:hAnsi="宋体" w:eastAsia="仿宋_GB2312"/>
      <w:kern w:val="2"/>
      <w:sz w:val="31"/>
    </w:rPr>
  </w:style>
  <w:style w:type="paragraph" w:customStyle="1" w:styleId="48">
    <w:name w:val="正文缩进2格"/>
    <w:basedOn w:val="1"/>
    <w:link w:val="47"/>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 w:type="paragraph" w:customStyle="1" w:styleId="49">
    <w:name w:val="正文缩进4格"/>
    <w:basedOn w:val="48"/>
    <w:qFormat/>
    <w:uiPriority w:val="0"/>
    <w:pPr>
      <w:ind w:left="2" w:firstLine="538" w:firstLineChars="192"/>
    </w:pPr>
    <w:rPr>
      <w:color w:val="0000FF"/>
      <w:sz w:val="28"/>
    </w:rPr>
  </w:style>
  <w:style w:type="character" w:customStyle="1" w:styleId="50">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51">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52">
    <w:name w:val="标题1"/>
    <w:qFormat/>
    <w:uiPriority w:val="0"/>
    <w:rPr>
      <w:rFonts w:ascii="Times New Roman" w:hAnsi="Times New Roman" w:eastAsia="宋体" w:cs="Times New Roman"/>
      <w:b/>
      <w:kern w:val="0"/>
      <w:sz w:val="24"/>
      <w:szCs w:val="20"/>
      <w:lang w:eastAsia="en-US"/>
    </w:rPr>
  </w:style>
  <w:style w:type="character" w:customStyle="1" w:styleId="53">
    <w:name w:val="标题 3.1 Char"/>
    <w:link w:val="54"/>
    <w:qFormat/>
    <w:uiPriority w:val="0"/>
    <w:rPr>
      <w:rFonts w:ascii="宋体" w:hAnsi="宋体" w:eastAsia="宋体"/>
      <w:b/>
      <w:color w:val="FF0000"/>
      <w:kern w:val="2"/>
      <w:sz w:val="32"/>
    </w:rPr>
  </w:style>
  <w:style w:type="paragraph" w:customStyle="1" w:styleId="54">
    <w:name w:val="标题 3.1"/>
    <w:basedOn w:val="7"/>
    <w:link w:val="53"/>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5">
    <w:name w:val="样式 楷体_GB2312 小四"/>
    <w:qFormat/>
    <w:uiPriority w:val="0"/>
    <w:rPr>
      <w:rFonts w:ascii="楷体_GB2312" w:hAnsi="楷体_GB2312" w:eastAsia="仿宋_GB2312"/>
      <w:sz w:val="24"/>
    </w:rPr>
  </w:style>
  <w:style w:type="character" w:customStyle="1" w:styleId="56">
    <w:name w:val="纯文本 Char"/>
    <w:qFormat/>
    <w:uiPriority w:val="0"/>
    <w:rPr>
      <w:rFonts w:ascii="宋体" w:hAnsi="Courier New" w:eastAsia="宋体" w:cs="Times New Roman"/>
      <w:b/>
      <w:kern w:val="2"/>
      <w:sz w:val="21"/>
      <w:szCs w:val="20"/>
    </w:rPr>
  </w:style>
  <w:style w:type="character" w:customStyle="1" w:styleId="57">
    <w:name w:val="纯文本 字符"/>
    <w:basedOn w:val="31"/>
    <w:link w:val="16"/>
    <w:semiHidden/>
    <w:qFormat/>
    <w:uiPriority w:val="99"/>
    <w:rPr>
      <w:rFonts w:ascii="宋体" w:hAnsi="Courier New" w:eastAsia="宋体" w:cs="Courier New"/>
      <w:sz w:val="21"/>
      <w:szCs w:val="21"/>
    </w:rPr>
  </w:style>
  <w:style w:type="character" w:customStyle="1" w:styleId="58">
    <w:name w:val="页眉 字符"/>
    <w:basedOn w:val="31"/>
    <w:link w:val="20"/>
    <w:qFormat/>
    <w:uiPriority w:val="99"/>
    <w:rPr>
      <w:rFonts w:ascii="Tahoma" w:hAnsi="Tahoma"/>
      <w:sz w:val="18"/>
      <w:szCs w:val="18"/>
    </w:rPr>
  </w:style>
  <w:style w:type="character" w:customStyle="1" w:styleId="59">
    <w:name w:val="页脚 字符"/>
    <w:basedOn w:val="31"/>
    <w:link w:val="19"/>
    <w:qFormat/>
    <w:uiPriority w:val="99"/>
    <w:rPr>
      <w:rFonts w:ascii="Tahoma" w:hAnsi="Tahoma"/>
      <w:sz w:val="18"/>
      <w:szCs w:val="18"/>
    </w:rPr>
  </w:style>
  <w:style w:type="character" w:customStyle="1" w:styleId="60">
    <w:name w:val="批注框文本 字符"/>
    <w:basedOn w:val="31"/>
    <w:link w:val="18"/>
    <w:semiHidden/>
    <w:qFormat/>
    <w:uiPriority w:val="99"/>
    <w:rPr>
      <w:rFonts w:ascii="Tahoma" w:hAnsi="Tahoma"/>
      <w:sz w:val="18"/>
      <w:szCs w:val="18"/>
    </w:rPr>
  </w:style>
  <w:style w:type="paragraph" w:customStyle="1" w:styleId="61">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62">
    <w:name w:val="普通(网站) 字符"/>
    <w:link w:val="27"/>
    <w:qFormat/>
    <w:uiPriority w:val="0"/>
    <w:rPr>
      <w:rFonts w:eastAsia="宋体"/>
      <w:kern w:val="2"/>
      <w:sz w:val="24"/>
      <w:szCs w:val="24"/>
    </w:rPr>
  </w:style>
  <w:style w:type="paragraph" w:customStyle="1" w:styleId="63">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4">
    <w:name w:val="p141"/>
    <w:qFormat/>
    <w:uiPriority w:val="0"/>
    <w:rPr>
      <w:sz w:val="21"/>
      <w:szCs w:val="21"/>
    </w:rPr>
  </w:style>
  <w:style w:type="character" w:customStyle="1" w:styleId="65">
    <w:name w:val="批注文字 字符"/>
    <w:basedOn w:val="31"/>
    <w:link w:val="12"/>
    <w:qFormat/>
    <w:uiPriority w:val="99"/>
    <w:rPr>
      <w:rFonts w:ascii="Tahoma" w:hAnsi="Tahoma" w:eastAsia="微软雅黑" w:cstheme="minorBidi"/>
      <w:sz w:val="22"/>
      <w:szCs w:val="22"/>
    </w:rPr>
  </w:style>
  <w:style w:type="character" w:customStyle="1" w:styleId="66">
    <w:name w:val="批注主题 字符"/>
    <w:basedOn w:val="65"/>
    <w:link w:val="28"/>
    <w:semiHidden/>
    <w:qFormat/>
    <w:uiPriority w:val="99"/>
    <w:rPr>
      <w:rFonts w:ascii="Tahoma" w:hAnsi="Tahoma" w:eastAsia="微软雅黑" w:cstheme="minorBidi"/>
      <w:b/>
      <w:bCs/>
      <w:sz w:val="22"/>
      <w:szCs w:val="22"/>
    </w:rPr>
  </w:style>
  <w:style w:type="character" w:customStyle="1" w:styleId="67">
    <w:name w:val="列表段落 字符"/>
    <w:link w:val="45"/>
    <w:qFormat/>
    <w:uiPriority w:val="0"/>
    <w:rPr>
      <w:rFonts w:ascii="Tahoma" w:hAnsi="Tahoma" w:eastAsia="微软雅黑" w:cstheme="minorBidi"/>
      <w:sz w:val="22"/>
      <w:szCs w:val="22"/>
    </w:rPr>
  </w:style>
  <w:style w:type="character" w:customStyle="1" w:styleId="68">
    <w:name w:val="正文文本 字符"/>
    <w:basedOn w:val="31"/>
    <w:link w:val="13"/>
    <w:qFormat/>
    <w:uiPriority w:val="1"/>
    <w:rPr>
      <w:rFonts w:ascii="宋体" w:hAnsi="宋体" w:cs="宋体"/>
      <w:sz w:val="24"/>
      <w:szCs w:val="22"/>
      <w:lang w:val="zh-CN" w:bidi="zh-CN"/>
    </w:rPr>
  </w:style>
  <w:style w:type="paragraph" w:customStyle="1" w:styleId="6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0">
    <w:name w:val="_Style 1"/>
    <w:basedOn w:val="1"/>
    <w:qFormat/>
    <w:uiPriority w:val="0"/>
    <w:pPr>
      <w:ind w:firstLine="420" w:firstLineChars="200"/>
    </w:pPr>
  </w:style>
  <w:style w:type="paragraph" w:customStyle="1" w:styleId="71">
    <w:name w:val="列出段落2"/>
    <w:basedOn w:val="1"/>
    <w:qFormat/>
    <w:uiPriority w:val="0"/>
    <w:pPr>
      <w:ind w:firstLine="420" w:firstLineChars="200"/>
    </w:pPr>
  </w:style>
  <w:style w:type="paragraph" w:customStyle="1" w:styleId="72">
    <w:name w:val="p0"/>
    <w:basedOn w:val="1"/>
    <w:qFormat/>
    <w:uiPriority w:val="0"/>
    <w:rPr>
      <w:szCs w:val="21"/>
    </w:rPr>
  </w:style>
  <w:style w:type="paragraph" w:customStyle="1" w:styleId="73">
    <w:name w:val="正文文本缩进 21"/>
    <w:basedOn w:val="1"/>
    <w:qFormat/>
    <w:uiPriority w:val="0"/>
    <w:pPr>
      <w:spacing w:line="480" w:lineRule="auto"/>
      <w:ind w:firstLine="540"/>
    </w:pPr>
    <w:rPr>
      <w:rFonts w:ascii="Calibri" w:hAnsi="Calibri"/>
      <w:sz w:val="20"/>
      <w:szCs w:val="20"/>
    </w:rPr>
  </w:style>
  <w:style w:type="paragraph" w:customStyle="1" w:styleId="74">
    <w:name w:val="_Style 2"/>
    <w:basedOn w:val="1"/>
    <w:qFormat/>
    <w:uiPriority w:val="0"/>
    <w:pPr>
      <w:ind w:firstLine="420" w:firstLineChars="200"/>
    </w:pPr>
  </w:style>
  <w:style w:type="paragraph" w:customStyle="1" w:styleId="75">
    <w:name w:val="msolistparagraph"/>
    <w:basedOn w:val="1"/>
    <w:qFormat/>
    <w:uiPriority w:val="0"/>
    <w:pPr>
      <w:ind w:firstLine="420" w:firstLineChars="200"/>
    </w:pPr>
    <w:rPr>
      <w:rFonts w:hint="eastAsia" w:hAnsi="宋体"/>
    </w:rPr>
  </w:style>
  <w:style w:type="character" w:customStyle="1" w:styleId="76">
    <w:name w:val="标题 5 字符"/>
    <w:link w:val="9"/>
    <w:qFormat/>
    <w:uiPriority w:val="0"/>
    <w:rPr>
      <w:b/>
      <w:sz w:val="28"/>
    </w:rPr>
  </w:style>
  <w:style w:type="character" w:customStyle="1" w:styleId="77">
    <w:name w:val="标题 1 字符"/>
    <w:link w:val="5"/>
    <w:qFormat/>
    <w:uiPriority w:val="9"/>
    <w:rPr>
      <w:b/>
      <w:kern w:val="44"/>
      <w:sz w:val="44"/>
    </w:rPr>
  </w:style>
  <w:style w:type="paragraph" w:customStyle="1" w:styleId="78">
    <w:name w:val="修订1"/>
    <w:hidden/>
    <w:semiHidden/>
    <w:qFormat/>
    <w:uiPriority w:val="99"/>
    <w:rPr>
      <w:rFonts w:ascii="Tahoma" w:hAnsi="Tahoma" w:eastAsia="宋体" w:cstheme="minorBidi"/>
      <w:sz w:val="21"/>
      <w:szCs w:val="22"/>
      <w:lang w:val="en-US" w:eastAsia="zh-CN" w:bidi="ar-SA"/>
    </w:rPr>
  </w:style>
  <w:style w:type="paragraph" w:customStyle="1" w:styleId="79">
    <w:name w:val="表格文字"/>
    <w:basedOn w:val="1"/>
    <w:qFormat/>
    <w:uiPriority w:val="0"/>
    <w:pPr>
      <w:adjustRightInd/>
      <w:spacing w:before="25" w:after="25"/>
    </w:pPr>
    <w:rPr>
      <w:rFonts w:ascii="Times New Roman"/>
      <w:bCs/>
      <w:spacing w:val="10"/>
      <w:szCs w:val="20"/>
    </w:rPr>
  </w:style>
  <w:style w:type="paragraph" w:customStyle="1" w:styleId="80">
    <w:name w:val="纯文本1"/>
    <w:basedOn w:val="81"/>
    <w:qFormat/>
    <w:uiPriority w:val="0"/>
    <w:rPr>
      <w:rFonts w:ascii="宋体" w:hAnsi="Courier New"/>
      <w:szCs w:val="20"/>
    </w:rPr>
  </w:style>
  <w:style w:type="paragraph" w:customStyle="1" w:styleId="81">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82">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83">
    <w:name w:val="Table Normal"/>
    <w:unhideWhenUsed/>
    <w:qFormat/>
    <w:uiPriority w:val="2"/>
    <w:tblPr>
      <w:tblCellMar>
        <w:top w:w="0" w:type="dxa"/>
        <w:left w:w="0" w:type="dxa"/>
        <w:bottom w:w="0" w:type="dxa"/>
        <w:right w:w="0" w:type="dxa"/>
      </w:tblCellMar>
    </w:tblPr>
  </w:style>
  <w:style w:type="paragraph" w:customStyle="1" w:styleId="84">
    <w:name w:val="Table Paragraph"/>
    <w:basedOn w:val="1"/>
    <w:qFormat/>
    <w:uiPriority w:val="1"/>
  </w:style>
  <w:style w:type="paragraph" w:customStyle="1" w:styleId="85">
    <w:name w:val="正文文本缩进1"/>
    <w:basedOn w:val="81"/>
    <w:qFormat/>
    <w:uiPriority w:val="0"/>
    <w:pPr>
      <w:spacing w:after="120"/>
      <w:ind w:left="420" w:leftChars="200"/>
    </w:pPr>
  </w:style>
  <w:style w:type="paragraph" w:customStyle="1" w:styleId="86">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7">
    <w:name w:val="纯文本2"/>
    <w:basedOn w:val="81"/>
    <w:qFormat/>
    <w:uiPriority w:val="0"/>
    <w:rPr>
      <w:rFonts w:ascii="宋体" w:hAnsi="Courier New"/>
      <w:szCs w:val="20"/>
    </w:rPr>
  </w:style>
  <w:style w:type="character" w:customStyle="1" w:styleId="88">
    <w:name w:val="font141"/>
    <w:qFormat/>
    <w:uiPriority w:val="0"/>
    <w:rPr>
      <w:rFonts w:hint="default" w:ascii="Times New Roman" w:hAnsi="Times New Roman" w:cs="Times New Roman"/>
      <w:color w:val="000000"/>
      <w:sz w:val="18"/>
      <w:szCs w:val="18"/>
      <w:u w:val="none"/>
    </w:rPr>
  </w:style>
  <w:style w:type="character" w:customStyle="1" w:styleId="89">
    <w:name w:val="font71"/>
    <w:qFormat/>
    <w:uiPriority w:val="0"/>
    <w:rPr>
      <w:rFonts w:hint="eastAsia" w:ascii="宋体" w:hAnsi="宋体" w:eastAsia="宋体" w:cs="宋体"/>
      <w:color w:val="000000"/>
      <w:sz w:val="18"/>
      <w:szCs w:val="18"/>
      <w:u w:val="none"/>
    </w:rPr>
  </w:style>
  <w:style w:type="paragraph" w:customStyle="1" w:styleId="90">
    <w:name w:val="table"/>
    <w:qFormat/>
    <w:uiPriority w:val="0"/>
    <w:pPr>
      <w:adjustRightInd w:val="0"/>
      <w:snapToGrid w:val="0"/>
    </w:pPr>
    <w:rPr>
      <w:rFonts w:ascii="宋体" w:hAnsi="Calibri" w:eastAsia="宋体" w:cs="Times New Roman"/>
      <w:kern w:val="2"/>
      <w:sz w:val="24"/>
      <w:szCs w:val="22"/>
      <w:lang w:val="en-US" w:eastAsia="zh-CN" w:bidi="ar-SA"/>
    </w:rPr>
  </w:style>
  <w:style w:type="paragraph" w:customStyle="1" w:styleId="91">
    <w:name w:val="修订2"/>
    <w:hidden/>
    <w:unhideWhenUsed/>
    <w:qFormat/>
    <w:uiPriority w:val="99"/>
    <w:rPr>
      <w:rFonts w:ascii="Tahoma" w:hAnsi="Tahoma" w:eastAsia="宋体" w:cstheme="minorBidi"/>
      <w:sz w:val="21"/>
      <w:szCs w:val="22"/>
      <w:lang w:val="en-US" w:eastAsia="zh-CN" w:bidi="ar-SA"/>
    </w:rPr>
  </w:style>
  <w:style w:type="paragraph" w:customStyle="1" w:styleId="92">
    <w:name w:val="修订3"/>
    <w:hidden/>
    <w:unhideWhenUsed/>
    <w:qFormat/>
    <w:uiPriority w:val="99"/>
    <w:rPr>
      <w:rFonts w:ascii="Tahoma" w:hAnsi="Tahoma" w:eastAsia="宋体" w:cstheme="minorBidi"/>
      <w:sz w:val="21"/>
      <w:szCs w:val="22"/>
      <w:lang w:val="en-US" w:eastAsia="zh-CN" w:bidi="ar-SA"/>
    </w:rPr>
  </w:style>
  <w:style w:type="paragraph" w:customStyle="1" w:styleId="93">
    <w:name w:val="修订4"/>
    <w:hidden/>
    <w:unhideWhenUsed/>
    <w:qFormat/>
    <w:uiPriority w:val="99"/>
    <w:rPr>
      <w:rFonts w:ascii="Tahoma" w:hAnsi="Tahoma" w:eastAsia="宋体" w:cstheme="minorBidi"/>
      <w:sz w:val="21"/>
      <w:szCs w:val="22"/>
      <w:lang w:val="en-US" w:eastAsia="zh-CN" w:bidi="ar-SA"/>
    </w:rPr>
  </w:style>
  <w:style w:type="character" w:customStyle="1" w:styleId="94">
    <w:name w:val="未处理的提及1"/>
    <w:basedOn w:val="31"/>
    <w:semiHidden/>
    <w:unhideWhenUsed/>
    <w:qFormat/>
    <w:uiPriority w:val="99"/>
    <w:rPr>
      <w:color w:val="605E5C"/>
      <w:shd w:val="clear" w:color="auto" w:fill="E1DFDD"/>
    </w:rPr>
  </w:style>
  <w:style w:type="character" w:styleId="95">
    <w:name w:val="Placeholder Text"/>
    <w:basedOn w:val="31"/>
    <w:unhideWhenUsed/>
    <w:qFormat/>
    <w:uiPriority w:val="99"/>
    <w:rPr>
      <w:color w:val="666666"/>
    </w:rPr>
  </w:style>
  <w:style w:type="character" w:customStyle="1" w:styleId="96">
    <w:name w:val="Unresolved Mention"/>
    <w:basedOn w:val="31"/>
    <w:semiHidden/>
    <w:unhideWhenUsed/>
    <w:qFormat/>
    <w:uiPriority w:val="99"/>
    <w:rPr>
      <w:color w:val="605E5C"/>
      <w:shd w:val="clear" w:color="auto" w:fill="E1DFDD"/>
    </w:rPr>
  </w:style>
  <w:style w:type="paragraph" w:customStyle="1" w:styleId="97">
    <w:name w:val="Revision"/>
    <w:hidden/>
    <w:unhideWhenUsed/>
    <w:qFormat/>
    <w:uiPriority w:val="99"/>
    <w:rPr>
      <w:rFonts w:ascii="Tahoma" w:hAnsi="Tahoma" w:eastAsia="宋体" w:cstheme="minorBidi"/>
      <w:sz w:val="21"/>
      <w:szCs w:val="22"/>
      <w:lang w:val="en-US" w:eastAsia="zh-CN" w:bidi="ar-SA"/>
    </w:rPr>
  </w:style>
  <w:style w:type="paragraph" w:customStyle="1" w:styleId="98">
    <w:name w:val="正文文本首行缩进2"/>
    <w:next w:val="1"/>
    <w:qFormat/>
    <w:uiPriority w:val="0"/>
    <w:pPr>
      <w:widowControl w:val="0"/>
      <w:spacing w:beforeLines="50"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99">
    <w:name w:val="B"/>
    <w:basedOn w:val="100"/>
    <w:qFormat/>
    <w:uiPriority w:val="0"/>
    <w:pPr>
      <w:widowControl w:val="0"/>
      <w:tabs>
        <w:tab w:val="center" w:pos="4706"/>
        <w:tab w:val="right" w:pos="9044"/>
      </w:tabs>
      <w:topLinePunct/>
      <w:spacing w:before="160" w:after="60" w:line="312" w:lineRule="exact"/>
    </w:pPr>
    <w:rPr>
      <w:rFonts w:ascii="E-F1"/>
      <w:kern w:val="2"/>
    </w:rPr>
  </w:style>
  <w:style w:type="paragraph" w:customStyle="1" w:styleId="100">
    <w:name w:val="表头"/>
    <w:basedOn w:val="11"/>
    <w:qFormat/>
    <w:uiPriority w:val="0"/>
    <w:pPr>
      <w:keepNext/>
      <w:keepLines/>
      <w:spacing w:before="120" w:after="120" w:line="300" w:lineRule="auto"/>
      <w:jc w:val="center"/>
      <w:textAlignment w:val="baseline"/>
    </w:pPr>
    <w:rPr>
      <w:rFonts w:cs="Times New Roman"/>
      <w:sz w:val="21"/>
    </w:rPr>
  </w:style>
  <w:style w:type="paragraph" w:customStyle="1" w:styleId="101">
    <w:name w:val="段"/>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character" w:customStyle="1" w:styleId="102">
    <w:name w:val="D2 Char Char"/>
    <w:link w:val="103"/>
    <w:qFormat/>
    <w:uiPriority w:val="0"/>
    <w:rPr>
      <w:sz w:val="20"/>
      <w:szCs w:val="20"/>
    </w:rPr>
  </w:style>
  <w:style w:type="paragraph" w:customStyle="1" w:styleId="103">
    <w:name w:val="D2"/>
    <w:basedOn w:val="1"/>
    <w:link w:val="102"/>
    <w:qFormat/>
    <w:uiPriority w:val="0"/>
    <w:pPr>
      <w:widowControl w:val="0"/>
      <w:spacing w:line="312" w:lineRule="exact"/>
      <w:jc w:val="both"/>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emf"/><Relationship Id="rId17" Type="http://schemas.openxmlformats.org/officeDocument/2006/relationships/oleObject" Target="embeddings/oleObject1.bin"/><Relationship Id="rId16" Type="http://schemas.openxmlformats.org/officeDocument/2006/relationships/image" Target="media/image2.jpeg"/><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2.xml"/><Relationship Id="rId10" Type="http://schemas.openxmlformats.org/officeDocument/2006/relationships/header" Target="header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94</Pages>
  <Words>1121</Words>
  <Characters>1340</Characters>
  <Lines>1</Lines>
  <Paragraphs>1</Paragraphs>
  <TotalTime>3</TotalTime>
  <ScaleCrop>false</ScaleCrop>
  <LinksUpToDate>false</LinksUpToDate>
  <CharactersWithSpaces>1441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2024-10-24T06:40:00Z</dcterms:created>
  <dc:creator>MyPC</dc:creator>
  <cp:lastModifiedBy>Icecream</cp:lastModifiedBy>
  <cp:lastPrinted>2022-12-01T06:09:00Z</cp:lastPrinted>
  <dcterms:modified xsi:type="dcterms:W3CDTF">2026-01-05T07:24:08Z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0678424DF3B2470AADF07AC5AC283BCD_13</vt:lpwstr>
  </property>
  <property fmtid="{D5CDD505-2E9C-101B-9397-08002B2CF9AE}" pid="4" name="KSOTemplateDocerSaveRecord">
    <vt:lpwstr>eyJoZGlkIjoiMmFiMDU3Y2U1Zjg3MjM0NTQwZTA0MDhjZjU3NDlkYWIiLCJ1c2VySWQiOiIxMTM0Mjg2OTExIn0=</vt:lpwstr>
  </property>
</Properties>
</file>