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ABB24">
      <w:pPr>
        <w:jc w:val="right"/>
        <w:rPr>
          <w:rFonts w:hint="eastAsia" w:ascii="宋体" w:hAnsi="宋体" w:eastAsia="宋体" w:cs="宋体"/>
          <w:color w:val="auto"/>
          <w:szCs w:val="21"/>
          <w:highlight w:val="none"/>
        </w:rPr>
      </w:pPr>
    </w:p>
    <w:p w14:paraId="5C6BD730">
      <w:pPr>
        <w:pStyle w:val="41"/>
        <w:ind w:firstLine="400"/>
        <w:rPr>
          <w:rFonts w:hint="eastAsia" w:ascii="宋体" w:hAnsi="宋体" w:eastAsia="宋体" w:cs="宋体"/>
          <w:color w:val="auto"/>
          <w:highlight w:val="none"/>
        </w:rPr>
      </w:pPr>
    </w:p>
    <w:p w14:paraId="47101DAA">
      <w:pPr>
        <w:rPr>
          <w:rFonts w:hint="eastAsia" w:ascii="宋体" w:hAnsi="宋体" w:eastAsia="宋体" w:cs="宋体"/>
          <w:color w:val="auto"/>
          <w:highlight w:val="none"/>
        </w:rPr>
      </w:pPr>
    </w:p>
    <w:p w14:paraId="30C67244">
      <w:pPr>
        <w:rPr>
          <w:rFonts w:hint="eastAsia" w:ascii="宋体" w:hAnsi="宋体" w:eastAsia="宋体" w:cs="宋体"/>
          <w:color w:val="auto"/>
          <w:highlight w:val="none"/>
        </w:rPr>
      </w:pPr>
    </w:p>
    <w:p w14:paraId="6B2B0D02">
      <w:pPr>
        <w:rPr>
          <w:rFonts w:hint="eastAsia" w:ascii="宋体" w:hAnsi="宋体" w:eastAsia="宋体" w:cs="宋体"/>
          <w:color w:val="auto"/>
          <w:highlight w:val="none"/>
        </w:rPr>
      </w:pPr>
    </w:p>
    <w:p w14:paraId="5727CD97">
      <w:pPr>
        <w:ind w:right="-28"/>
        <w:jc w:val="center"/>
        <w:textAlignment w:val="bottom"/>
        <w:rPr>
          <w:rFonts w:hint="eastAsia" w:ascii="宋体" w:hAnsi="宋体" w:eastAsia="宋体" w:cs="宋体"/>
          <w:bCs/>
          <w:color w:val="auto"/>
          <w:spacing w:val="57"/>
          <w:sz w:val="96"/>
          <w:szCs w:val="96"/>
          <w:highlight w:val="none"/>
        </w:rPr>
      </w:pPr>
      <w:r>
        <w:rPr>
          <w:rFonts w:hint="eastAsia" w:ascii="宋体" w:hAnsi="宋体" w:eastAsia="宋体" w:cs="宋体"/>
          <w:bCs/>
          <w:color w:val="auto"/>
          <w:spacing w:val="57"/>
          <w:sz w:val="96"/>
          <w:szCs w:val="96"/>
          <w:highlight w:val="none"/>
        </w:rPr>
        <w:t>公开采购文件</w:t>
      </w:r>
    </w:p>
    <w:p w14:paraId="42A2E6C0">
      <w:pPr>
        <w:rPr>
          <w:rFonts w:hint="eastAsia" w:ascii="宋体" w:hAnsi="宋体" w:eastAsia="宋体" w:cs="宋体"/>
          <w:color w:val="auto"/>
          <w:highlight w:val="none"/>
        </w:rPr>
      </w:pPr>
    </w:p>
    <w:p w14:paraId="446533CC">
      <w:pPr>
        <w:pStyle w:val="9"/>
        <w:rPr>
          <w:rFonts w:hint="eastAsia" w:ascii="宋体" w:hAnsi="宋体" w:eastAsia="宋体" w:cs="宋体"/>
          <w:color w:val="auto"/>
          <w:highlight w:val="none"/>
        </w:rPr>
      </w:pPr>
    </w:p>
    <w:tbl>
      <w:tblPr>
        <w:tblStyle w:val="31"/>
        <w:tblW w:w="8816" w:type="dxa"/>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7F37A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14:paraId="448A18F4">
            <w:pPr>
              <w:spacing w:before="200"/>
              <w:jc w:val="both"/>
              <w:rPr>
                <w:rFonts w:hint="eastAsia" w:ascii="宋体" w:hAnsi="宋体" w:eastAsia="宋体" w:cs="宋体"/>
                <w:bCs/>
                <w:color w:val="auto"/>
                <w:sz w:val="32"/>
                <w:szCs w:val="24"/>
                <w:highlight w:val="none"/>
              </w:rPr>
            </w:pPr>
            <w:r>
              <w:rPr>
                <w:rFonts w:hint="eastAsia" w:ascii="宋体" w:hAnsi="宋体" w:eastAsia="宋体" w:cs="宋体"/>
                <w:bCs/>
                <w:color w:val="auto"/>
                <w:sz w:val="32"/>
                <w:szCs w:val="24"/>
                <w:highlight w:val="none"/>
              </w:rPr>
              <w:t>项目名称：</w:t>
            </w:r>
          </w:p>
        </w:tc>
        <w:tc>
          <w:tcPr>
            <w:tcW w:w="6203" w:type="dxa"/>
            <w:noWrap/>
            <w:vAlign w:val="center"/>
          </w:tcPr>
          <w:p w14:paraId="20D6B994">
            <w:pPr>
              <w:spacing w:before="200"/>
              <w:jc w:val="both"/>
              <w:rPr>
                <w:rFonts w:hint="eastAsia" w:ascii="宋体" w:hAnsi="宋体" w:eastAsia="宋体" w:cs="宋体"/>
                <w:bCs/>
                <w:color w:val="auto"/>
                <w:sz w:val="32"/>
                <w:szCs w:val="24"/>
                <w:highlight w:val="none"/>
                <w:lang w:eastAsia="zh-CN"/>
              </w:rPr>
            </w:pPr>
            <w:r>
              <w:rPr>
                <w:rFonts w:hint="eastAsia" w:ascii="宋体" w:hAnsi="宋体" w:cs="宋体"/>
                <w:bCs/>
                <w:color w:val="auto"/>
                <w:sz w:val="32"/>
                <w:szCs w:val="24"/>
                <w:highlight w:val="none"/>
                <w:lang w:eastAsia="zh-CN"/>
              </w:rPr>
              <w:t>东莞迎宾馆食堂全品类食材、部分客用食材2026-2027年度协议供货采购项目</w:t>
            </w:r>
          </w:p>
        </w:tc>
      </w:tr>
      <w:tr w14:paraId="567C8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14:paraId="04786F1E">
            <w:pPr>
              <w:spacing w:before="200"/>
              <w:jc w:val="both"/>
              <w:rPr>
                <w:rFonts w:hint="eastAsia" w:ascii="宋体" w:hAnsi="宋体" w:eastAsia="宋体" w:cs="宋体"/>
                <w:bCs/>
                <w:color w:val="auto"/>
                <w:sz w:val="32"/>
                <w:szCs w:val="24"/>
                <w:highlight w:val="none"/>
              </w:rPr>
            </w:pPr>
            <w:r>
              <w:rPr>
                <w:rFonts w:hint="eastAsia" w:ascii="宋体" w:hAnsi="宋体" w:eastAsia="宋体" w:cs="宋体"/>
                <w:bCs/>
                <w:color w:val="auto"/>
                <w:sz w:val="32"/>
                <w:szCs w:val="24"/>
                <w:highlight w:val="none"/>
              </w:rPr>
              <w:t>项目采购编号：</w:t>
            </w:r>
          </w:p>
        </w:tc>
        <w:tc>
          <w:tcPr>
            <w:tcW w:w="6203" w:type="dxa"/>
            <w:noWrap/>
            <w:vAlign w:val="center"/>
          </w:tcPr>
          <w:p w14:paraId="3949753C">
            <w:pPr>
              <w:spacing w:before="200"/>
              <w:jc w:val="both"/>
              <w:rPr>
                <w:rFonts w:hint="eastAsia" w:ascii="宋体" w:hAnsi="宋体" w:eastAsia="宋体" w:cs="宋体"/>
                <w:bCs/>
                <w:color w:val="auto"/>
                <w:sz w:val="32"/>
                <w:szCs w:val="24"/>
                <w:highlight w:val="none"/>
                <w:lang w:eastAsia="zh-CN"/>
              </w:rPr>
            </w:pPr>
            <w:r>
              <w:rPr>
                <w:rFonts w:hint="eastAsia" w:ascii="宋体" w:hAnsi="宋体" w:eastAsia="宋体" w:cs="宋体"/>
                <w:bCs/>
                <w:color w:val="auto"/>
                <w:sz w:val="32"/>
                <w:szCs w:val="24"/>
                <w:highlight w:val="none"/>
              </w:rPr>
              <w:t>GYBG-SC-02-01-004（2025）</w:t>
            </w:r>
          </w:p>
        </w:tc>
      </w:tr>
      <w:tr w14:paraId="7A333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4D64D147">
            <w:pPr>
              <w:spacing w:before="200"/>
              <w:jc w:val="both"/>
              <w:rPr>
                <w:rFonts w:hint="eastAsia" w:ascii="宋体" w:hAnsi="宋体" w:eastAsia="宋体" w:cs="宋体"/>
                <w:bCs/>
                <w:color w:val="auto"/>
                <w:sz w:val="32"/>
                <w:szCs w:val="24"/>
                <w:highlight w:val="none"/>
              </w:rPr>
            </w:pPr>
            <w:r>
              <w:rPr>
                <w:rFonts w:hint="eastAsia" w:ascii="宋体" w:hAnsi="宋体" w:eastAsia="宋体" w:cs="宋体"/>
                <w:bCs/>
                <w:color w:val="auto"/>
                <w:sz w:val="32"/>
                <w:szCs w:val="24"/>
                <w:highlight w:val="none"/>
              </w:rPr>
              <w:t>采购人：</w:t>
            </w:r>
          </w:p>
        </w:tc>
        <w:tc>
          <w:tcPr>
            <w:tcW w:w="6203" w:type="dxa"/>
            <w:noWrap/>
            <w:vAlign w:val="center"/>
          </w:tcPr>
          <w:p w14:paraId="251FBD5C">
            <w:pPr>
              <w:spacing w:before="200"/>
              <w:jc w:val="both"/>
              <w:rPr>
                <w:rFonts w:hint="eastAsia" w:ascii="宋体" w:hAnsi="宋体" w:eastAsia="宋体" w:cs="宋体"/>
                <w:bCs/>
                <w:color w:val="auto"/>
                <w:sz w:val="32"/>
                <w:szCs w:val="24"/>
                <w:highlight w:val="none"/>
                <w:lang w:eastAsia="zh-CN"/>
              </w:rPr>
            </w:pPr>
            <w:r>
              <w:rPr>
                <w:rFonts w:hint="eastAsia" w:ascii="宋体" w:hAnsi="宋体" w:cs="宋体"/>
                <w:bCs/>
                <w:color w:val="auto"/>
                <w:sz w:val="32"/>
                <w:szCs w:val="24"/>
                <w:highlight w:val="none"/>
                <w:lang w:eastAsia="zh-CN"/>
              </w:rPr>
              <w:t>东莞迎宾馆酒店有限公司</w:t>
            </w:r>
          </w:p>
        </w:tc>
      </w:tr>
      <w:tr w14:paraId="215B5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12F78A3F">
            <w:pPr>
              <w:spacing w:before="200"/>
              <w:jc w:val="both"/>
              <w:rPr>
                <w:rFonts w:hint="eastAsia" w:ascii="宋体" w:hAnsi="宋体" w:eastAsia="宋体" w:cs="宋体"/>
                <w:bCs/>
                <w:color w:val="auto"/>
                <w:sz w:val="32"/>
                <w:szCs w:val="24"/>
                <w:highlight w:val="none"/>
              </w:rPr>
            </w:pPr>
            <w:r>
              <w:rPr>
                <w:rFonts w:hint="eastAsia" w:ascii="宋体" w:hAnsi="宋体" w:eastAsia="宋体" w:cs="宋体"/>
                <w:bCs/>
                <w:color w:val="auto"/>
                <w:sz w:val="32"/>
                <w:szCs w:val="24"/>
                <w:highlight w:val="none"/>
              </w:rPr>
              <w:t>采购代理：</w:t>
            </w:r>
          </w:p>
        </w:tc>
        <w:tc>
          <w:tcPr>
            <w:tcW w:w="6203" w:type="dxa"/>
            <w:noWrap/>
            <w:vAlign w:val="center"/>
          </w:tcPr>
          <w:p w14:paraId="708F684C">
            <w:pPr>
              <w:spacing w:before="200"/>
              <w:jc w:val="both"/>
              <w:rPr>
                <w:rFonts w:hint="eastAsia" w:ascii="宋体" w:hAnsi="宋体" w:eastAsia="宋体" w:cs="宋体"/>
                <w:bCs/>
                <w:color w:val="auto"/>
                <w:sz w:val="32"/>
                <w:szCs w:val="24"/>
                <w:highlight w:val="none"/>
                <w:lang w:val="en-US" w:eastAsia="zh-CN"/>
              </w:rPr>
            </w:pPr>
            <w:r>
              <w:rPr>
                <w:rFonts w:hint="eastAsia" w:ascii="宋体" w:hAnsi="宋体" w:cs="宋体"/>
                <w:bCs/>
                <w:color w:val="auto"/>
                <w:sz w:val="32"/>
                <w:szCs w:val="24"/>
                <w:highlight w:val="none"/>
                <w:lang w:val="en-US" w:eastAsia="zh-CN"/>
              </w:rPr>
              <w:t>中天项目咨询（东莞）有限公司</w:t>
            </w:r>
          </w:p>
        </w:tc>
      </w:tr>
    </w:tbl>
    <w:p w14:paraId="577E773A">
      <w:pPr>
        <w:jc w:val="center"/>
        <w:rPr>
          <w:rFonts w:hint="eastAsia" w:ascii="宋体" w:hAnsi="宋体" w:eastAsia="宋体" w:cs="宋体"/>
          <w:color w:val="auto"/>
          <w:szCs w:val="21"/>
          <w:highlight w:val="none"/>
        </w:rPr>
      </w:pPr>
    </w:p>
    <w:p w14:paraId="52C12B4A">
      <w:pPr>
        <w:jc w:val="center"/>
        <w:rPr>
          <w:rFonts w:hint="eastAsia" w:ascii="宋体" w:hAnsi="宋体" w:eastAsia="宋体" w:cs="宋体"/>
          <w:color w:val="auto"/>
          <w:szCs w:val="21"/>
          <w:highlight w:val="none"/>
        </w:rPr>
      </w:pPr>
    </w:p>
    <w:p w14:paraId="672070AF">
      <w:pPr>
        <w:jc w:val="center"/>
        <w:rPr>
          <w:rFonts w:hint="eastAsia" w:ascii="宋体" w:hAnsi="宋体" w:eastAsia="宋体" w:cs="宋体"/>
          <w:color w:val="auto"/>
          <w:szCs w:val="21"/>
          <w:highlight w:val="none"/>
        </w:rPr>
      </w:pPr>
    </w:p>
    <w:p w14:paraId="634AED0F">
      <w:pPr>
        <w:pStyle w:val="41"/>
        <w:ind w:firstLine="400"/>
        <w:rPr>
          <w:rFonts w:hint="eastAsia" w:ascii="宋体" w:hAnsi="宋体" w:eastAsia="宋体" w:cs="宋体"/>
          <w:color w:val="auto"/>
          <w:highlight w:val="none"/>
        </w:rPr>
      </w:pPr>
    </w:p>
    <w:p w14:paraId="25EAFA6B">
      <w:pPr>
        <w:jc w:val="center"/>
        <w:rPr>
          <w:rFonts w:hint="eastAsia" w:ascii="宋体" w:hAnsi="宋体" w:eastAsia="宋体" w:cs="宋体"/>
          <w:color w:val="auto"/>
          <w:szCs w:val="21"/>
          <w:highlight w:val="none"/>
        </w:rPr>
      </w:pPr>
    </w:p>
    <w:p w14:paraId="6D47D4A4">
      <w:pPr>
        <w:jc w:val="center"/>
        <w:rPr>
          <w:rFonts w:hint="eastAsia" w:ascii="宋体" w:hAnsi="宋体" w:eastAsia="宋体" w:cs="宋体"/>
          <w:color w:val="auto"/>
          <w:szCs w:val="21"/>
          <w:highlight w:val="none"/>
        </w:rPr>
      </w:pPr>
    </w:p>
    <w:p w14:paraId="6ACA61FF">
      <w:pPr>
        <w:spacing w:before="200"/>
        <w:jc w:val="center"/>
        <w:rPr>
          <w:rFonts w:hint="eastAsia" w:ascii="宋体" w:hAnsi="宋体" w:eastAsia="宋体" w:cs="宋体"/>
          <w:bCs/>
          <w:color w:val="auto"/>
          <w:sz w:val="32"/>
          <w:szCs w:val="24"/>
          <w:highlight w:val="none"/>
        </w:rPr>
      </w:pPr>
      <w:r>
        <w:rPr>
          <w:rFonts w:hint="eastAsia" w:ascii="宋体" w:hAnsi="宋体" w:eastAsia="宋体" w:cs="宋体"/>
          <w:bCs/>
          <w:color w:val="auto"/>
          <w:sz w:val="32"/>
          <w:szCs w:val="24"/>
          <w:highlight w:val="none"/>
        </w:rPr>
        <w:t>20</w:t>
      </w:r>
      <w:r>
        <w:rPr>
          <w:rFonts w:hint="eastAsia" w:ascii="宋体" w:hAnsi="宋体" w:eastAsia="宋体" w:cs="宋体"/>
          <w:bCs/>
          <w:color w:val="auto"/>
          <w:sz w:val="32"/>
          <w:szCs w:val="24"/>
          <w:highlight w:val="none"/>
          <w:lang w:val="en-US" w:eastAsia="zh-CN"/>
        </w:rPr>
        <w:t>25</w:t>
      </w:r>
      <w:bookmarkStart w:id="211" w:name="_GoBack"/>
      <w:bookmarkEnd w:id="211"/>
      <w:r>
        <w:rPr>
          <w:rFonts w:hint="eastAsia" w:ascii="宋体" w:hAnsi="宋体" w:eastAsia="宋体" w:cs="宋体"/>
          <w:bCs/>
          <w:color w:val="auto"/>
          <w:sz w:val="32"/>
          <w:szCs w:val="24"/>
          <w:highlight w:val="none"/>
        </w:rPr>
        <w:t>年</w:t>
      </w:r>
      <w:r>
        <w:rPr>
          <w:rFonts w:hint="eastAsia" w:ascii="宋体" w:hAnsi="宋体" w:cs="宋体"/>
          <w:bCs/>
          <w:color w:val="auto"/>
          <w:sz w:val="32"/>
          <w:szCs w:val="24"/>
          <w:highlight w:val="none"/>
          <w:lang w:val="en-US" w:eastAsia="zh-CN"/>
        </w:rPr>
        <w:t>12</w:t>
      </w:r>
      <w:r>
        <w:rPr>
          <w:rFonts w:hint="eastAsia" w:ascii="宋体" w:hAnsi="宋体" w:eastAsia="宋体" w:cs="宋体"/>
          <w:bCs/>
          <w:color w:val="auto"/>
          <w:sz w:val="32"/>
          <w:szCs w:val="24"/>
          <w:highlight w:val="none"/>
        </w:rPr>
        <w:t>月</w:t>
      </w:r>
    </w:p>
    <w:p w14:paraId="3EBF5630">
      <w:pPr>
        <w:rPr>
          <w:rFonts w:hint="eastAsia" w:ascii="宋体" w:hAnsi="宋体" w:eastAsia="宋体" w:cs="宋体"/>
          <w:color w:val="auto"/>
          <w:highlight w:val="none"/>
        </w:rPr>
        <w:sectPr>
          <w:footerReference r:id="rId8" w:type="first"/>
          <w:footerReference r:id="rId6" w:type="default"/>
          <w:headerReference r:id="rId5" w:type="even"/>
          <w:footerReference r:id="rId7" w:type="even"/>
          <w:pgSz w:w="11906" w:h="16838"/>
          <w:pgMar w:top="1440" w:right="1800" w:bottom="1440" w:left="1800" w:header="708" w:footer="708" w:gutter="0"/>
          <w:pgNumType w:start="1"/>
          <w:cols w:space="708" w:num="1"/>
          <w:titlePg/>
          <w:docGrid w:type="lines" w:linePitch="360" w:charSpace="0"/>
        </w:sectPr>
      </w:pPr>
    </w:p>
    <w:p w14:paraId="356EA5C2">
      <w:pPr>
        <w:pStyle w:val="24"/>
        <w:keepNext w:val="0"/>
        <w:keepLines w:val="0"/>
        <w:pageBreakBefore w:val="0"/>
        <w:widowControl/>
        <w:kinsoku/>
        <w:wordWrap/>
        <w:overflowPunct/>
        <w:topLinePunct w:val="0"/>
        <w:autoSpaceDE/>
        <w:autoSpaceDN/>
        <w:bidi w:val="0"/>
        <w:adjustRightInd w:val="0"/>
        <w:snapToGrid w:val="0"/>
        <w:ind w:left="0" w:leftChars="0"/>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目录</w:t>
      </w:r>
    </w:p>
    <w:p w14:paraId="6D49929C">
      <w:pPr>
        <w:pStyle w:val="2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TOC \o "1-4" \h \z \u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_Toc11854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第一部分投标邀请</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_Toc11854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E1E250B">
      <w:pPr>
        <w:pStyle w:val="1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_Toc25684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投标邀请书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_Toc25684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A953ACA">
      <w:pPr>
        <w:pStyle w:val="2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_Toc18500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第二部分相关资料表格</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_Toc18500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879D62A">
      <w:pPr>
        <w:pStyle w:val="1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_Toc9432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附表一：投标资料表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_Toc9432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CC8EDA9">
      <w:pPr>
        <w:pStyle w:val="1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_Toc26271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附表二：商务技术评分及价格权重表（满分100分）</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_Toc26271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E3C7571">
      <w:pPr>
        <w:pStyle w:val="2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_Toc2228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第三部分用户需求书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_Toc2228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B96986B">
      <w:pPr>
        <w:pStyle w:val="1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_Toc25197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第一章 商务需求书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_Toc25197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DF2C417">
      <w:pPr>
        <w:pStyle w:val="1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_Toc29383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第二章 技术需求书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_Toc29383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5247DF2">
      <w:pPr>
        <w:pStyle w:val="2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_Toc4311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第四部分投标人须知</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_Toc4311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EB4EF47">
      <w:pPr>
        <w:pStyle w:val="1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_Toc4670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一、 说明</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_Toc4670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49B12CC">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_Toc24689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 适用范围</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_Toc24689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F638CAE">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_Toc3852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 定义</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_Toc3852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0DB5520">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_Toc18000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 货物和服务</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_Toc18000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5CB3FD2">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_Toc27448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 投标费用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_Toc27448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36AE768">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_Toc8341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 知识产权</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_Toc8341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694A160">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_Toc18349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 关于联合体投标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_Toc18349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20F53BE">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_Toc8845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 关于分支机构投标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_Toc8845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359B06E">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_Toc28775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 踏勘现场</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_Toc28775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613C687">
      <w:pPr>
        <w:pStyle w:val="1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_Toc16024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二、 采购文件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_Toc16024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C071688">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_Toc29495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9. 采购文件的组成</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_Toc29495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FE668CF">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_Toc25712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 采购文件的澄清或修改</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_Toc25712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5FB630C">
      <w:pPr>
        <w:pStyle w:val="1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_Toc23924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三、 投标文件的编制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_Toc23924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D08EA8B">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_Toc24204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 投标文件的语言及度量衡单位</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_Toc24204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2D20D99">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_Toc24651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 投标文件的组成</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_Toc24651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2F92CBD">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_Toc12205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13. 投标文件编制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_Toc12205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14D1157">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_Toc22677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14. 投标报价说明</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_Toc22677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227F2FE">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_Toc6628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15. 投标人所提供的服务或货物的证明文件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_Toc6628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1D41245">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_Toc24153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16. 投标有效期</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_Toc24153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2DDA40B">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_Toc639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17. 投标保证金</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_Toc639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A95AA6C">
      <w:pPr>
        <w:pStyle w:val="1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_Toc24937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四、 投标文件的递交</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_Toc24937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D6E1369">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_Toc17101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18. 投标文件的装订，签署，密封和标记</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_Toc17101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45AE58E">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_Toc17324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19. 迟交的投标文件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_Toc17324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F0DD529">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_Toc13210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20. 投标样品（如需提交）</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_Toc13210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1417994">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_Toc10019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21. 投标截止期</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_Toc10019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E198608">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_Toc29122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22. 投标文件的补充、修改与撤回</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_Toc29122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B4132F2">
      <w:pPr>
        <w:pStyle w:val="1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_Toc5287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五、 开标与评标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_Toc5287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79BE9EE">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_Toc3168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23. 开标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_Toc3168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8C186BF">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_Toc2538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24. 评标委员会及评标方法</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_Toc2538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4B69515">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_Toc4442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25. 评审原则及评标过程的保密</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_Toc4442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90866F8">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_Toc12366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26. 评标程序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_Toc12366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8363A74">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_Toc21335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27. 商务、技术、价格评审（具体评审项目详见投标资料表）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_Toc21335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12DD656">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_Toc19328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28. 纪律和保密事项</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_Toc19328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5770FED">
      <w:pPr>
        <w:pStyle w:val="1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_Toc23653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六、 授予合同</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_Toc23653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8C5FD5F">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_Toc9736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29. 合同授予标准</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_Toc9736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5CED851">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_Toc23259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30. 发布中标结果</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_Toc23259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D6FD4C5">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_Toc13090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31. 资格后审</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_Toc13090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D35CD0B">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_Toc568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32. 合同的签订与履行</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_Toc568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05DF154">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_Toc6306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33. 履约担保</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_Toc6306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AD285D1">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_Toc26640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34. 预付款保函（适用于预付款支付）</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_Toc26640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92CBCF1">
      <w:pPr>
        <w:pStyle w:val="1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_Toc10416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七、 异议</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_Toc10416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8C50A50">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_Toc25925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35. 异议</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_Toc25925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A075146">
      <w:pPr>
        <w:pStyle w:val="1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_Toc21144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八、 其他</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_Toc21144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113A2A8">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_Toc1563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36. 采购文件的解释权</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_Toc1563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F2473B3">
      <w:pPr>
        <w:pStyle w:val="2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_Toc2830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第五部分  合同条款格式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_Toc2830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2BDD3C5">
      <w:pPr>
        <w:pStyle w:val="1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_Toc10223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合同格式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_Toc10223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87BD8F0">
      <w:pPr>
        <w:pStyle w:val="2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_Toc28560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第六部分附件－投标文件格式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_Toc28560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13CC0A6">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_Toc6546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投标文件目录</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_Toc6546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02D8C63">
      <w:pPr>
        <w:pStyle w:val="2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_Toc17866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价格文件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_Toc17866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5D2797B">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_Toc31644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.开标一览表格式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_Toc31644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C495CDC">
      <w:pPr>
        <w:pStyle w:val="2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_Toc16168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商务文件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_Toc16168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7EA41F6">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_Toc18480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.投标文件商务部分索引表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_Toc18480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DA27B96">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_Toc27135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.投标书格式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_Toc27135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6663EAB">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_Toc26123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.法定代表人证明书格式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_Toc26123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EEDDC96">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_Toc17649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.法定代表人授权书格式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_Toc17649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C2701E5">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_Toc2254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.资格申明</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_Toc2254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BAEF010">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_Toc20089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.营业执照</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_Toc20089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5AB6C63">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_Toc28904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.相关资质证明文件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_Toc28904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EB7BEA5">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_Toc31163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.在经营活动中没有重大违法记录的书面声明格式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_Toc31163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E9C5AF1">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_Toc28558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.承诺书格式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_Toc28558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9295D18">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_Toc31513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.商务需求条款偏离表格式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_Toc31513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16639EC">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_Toc30621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.业绩表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_Toc30621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BD7AE30">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_Toc12820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.联合体协议书（如有）</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_Toc12820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CADA957">
      <w:pPr>
        <w:pStyle w:val="2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_Toc2650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技术文件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_Toc2650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D75D1BA">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_Toc25467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.技术规格偏离表格式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_Toc25467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917D059">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_Toc1900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.项目实施方案格式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_Toc1900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04FD5CB">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_Toc19979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.实施本项目的有关人员资料表格式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_Toc19979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B7879A3">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_Toc24973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.投标保证金汇入情况说明格式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_Toc24973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8EC1406">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_Toc13527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18</w:t>
      </w:r>
      <w:r>
        <w:rPr>
          <w:rFonts w:hint="eastAsia" w:ascii="宋体" w:hAnsi="宋体" w:eastAsia="宋体" w:cs="宋体"/>
          <w:color w:val="auto"/>
          <w:sz w:val="21"/>
          <w:szCs w:val="21"/>
          <w:highlight w:val="none"/>
        </w:rPr>
        <w:t>.不可撤销履约保函</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_Toc13527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0B911E5">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_Toc1466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19</w:t>
      </w:r>
      <w:r>
        <w:rPr>
          <w:rFonts w:hint="eastAsia" w:ascii="宋体" w:hAnsi="宋体" w:eastAsia="宋体" w:cs="宋体"/>
          <w:color w:val="auto"/>
          <w:sz w:val="21"/>
          <w:szCs w:val="21"/>
          <w:highlight w:val="none"/>
        </w:rPr>
        <w:t>.预付款保函（适用于预付款支付）</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_Toc1466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130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90DA57B">
      <w:pPr>
        <w:pStyle w:val="24"/>
        <w:keepNext w:val="0"/>
        <w:keepLines w:val="0"/>
        <w:pageBreakBefore w:val="0"/>
        <w:widowControl/>
        <w:tabs>
          <w:tab w:val="right" w:leader="dot" w:pos="8306"/>
          <w:tab w:val="clear" w:pos="8296"/>
        </w:tabs>
        <w:kinsoku/>
        <w:wordWrap/>
        <w:overflowPunct/>
        <w:topLinePunct w:val="0"/>
        <w:autoSpaceDE/>
        <w:autoSpaceDN/>
        <w:bidi w:val="0"/>
        <w:adjustRightInd w:val="0"/>
        <w:snapToGrid w:val="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_Toc5690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唱标信封</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_Toc5690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131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2813E3B">
      <w:pPr>
        <w:pStyle w:val="21"/>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_Toc28911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附件2</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.唱标信封内装（内容务必与投标文件正本一致）</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_Toc28911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132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72113BD">
      <w:pPr>
        <w:pStyle w:val="24"/>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end"/>
      </w:r>
    </w:p>
    <w:p w14:paraId="708671C5">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79CDD635">
      <w:pPr>
        <w:pStyle w:val="3"/>
        <w:spacing w:before="0" w:after="0" w:line="240" w:lineRule="auto"/>
        <w:rPr>
          <w:rFonts w:hint="eastAsia" w:ascii="宋体" w:hAnsi="宋体" w:eastAsia="宋体" w:cs="宋体"/>
          <w:color w:val="auto"/>
          <w:sz w:val="28"/>
          <w:szCs w:val="28"/>
          <w:highlight w:val="none"/>
        </w:rPr>
      </w:pPr>
      <w:bookmarkStart w:id="0" w:name="_Toc11854"/>
      <w:r>
        <w:rPr>
          <w:rFonts w:hint="eastAsia" w:ascii="宋体" w:hAnsi="宋体" w:eastAsia="宋体" w:cs="宋体"/>
          <w:color w:val="auto"/>
          <w:sz w:val="28"/>
          <w:szCs w:val="28"/>
          <w:highlight w:val="none"/>
        </w:rPr>
        <w:t>第一部分投标邀请</w:t>
      </w:r>
      <w:bookmarkEnd w:id="0"/>
    </w:p>
    <w:p w14:paraId="76F9CFFB">
      <w:pPr>
        <w:pStyle w:val="4"/>
        <w:spacing w:before="0" w:after="0" w:line="360" w:lineRule="auto"/>
        <w:jc w:val="center"/>
        <w:rPr>
          <w:rFonts w:hint="eastAsia" w:ascii="宋体" w:hAnsi="宋体" w:eastAsia="宋体" w:cs="宋体"/>
          <w:color w:val="auto"/>
          <w:highlight w:val="none"/>
        </w:rPr>
      </w:pPr>
      <w:bookmarkStart w:id="1" w:name="_Toc25684"/>
      <w:r>
        <w:rPr>
          <w:rFonts w:hint="eastAsia" w:ascii="宋体" w:hAnsi="宋体" w:eastAsia="宋体" w:cs="宋体"/>
          <w:color w:val="auto"/>
          <w:highlight w:val="none"/>
        </w:rPr>
        <w:t>投标邀请书</w:t>
      </w:r>
      <w:bookmarkEnd w:id="1"/>
    </w:p>
    <w:p w14:paraId="5AFE52D6">
      <w:pPr>
        <w:ind w:firstLine="422" w:firstLineChars="200"/>
        <w:rPr>
          <w:rFonts w:hint="eastAsia" w:ascii="宋体" w:hAnsi="宋体" w:eastAsia="宋体" w:cs="宋体"/>
          <w:color w:val="auto"/>
          <w:szCs w:val="21"/>
          <w:highlight w:val="none"/>
        </w:rPr>
      </w:pPr>
      <w:r>
        <w:rPr>
          <w:rFonts w:hint="eastAsia" w:ascii="宋体" w:hAnsi="宋体" w:cs="宋体"/>
          <w:b/>
          <w:bCs/>
          <w:color w:val="auto"/>
          <w:szCs w:val="21"/>
          <w:highlight w:val="none"/>
          <w:lang w:eastAsia="zh-CN"/>
        </w:rPr>
        <w:t>中天项目咨询（东莞）有限公司</w:t>
      </w:r>
      <w:r>
        <w:rPr>
          <w:rFonts w:hint="eastAsia" w:ascii="宋体" w:hAnsi="宋体" w:eastAsia="宋体" w:cs="宋体"/>
          <w:color w:val="auto"/>
          <w:szCs w:val="21"/>
          <w:highlight w:val="none"/>
        </w:rPr>
        <w:t>（以下简称“采购代理机构”）受</w:t>
      </w:r>
      <w:r>
        <w:rPr>
          <w:rFonts w:hint="eastAsia" w:ascii="宋体" w:hAnsi="宋体" w:cs="宋体"/>
          <w:b/>
          <w:bCs/>
          <w:color w:val="auto"/>
          <w:szCs w:val="21"/>
          <w:highlight w:val="none"/>
          <w:lang w:eastAsia="zh-CN"/>
        </w:rPr>
        <w:t>东莞迎宾馆酒店有限公司</w:t>
      </w:r>
      <w:r>
        <w:rPr>
          <w:rFonts w:hint="eastAsia" w:ascii="宋体" w:hAnsi="宋体" w:eastAsia="宋体" w:cs="宋体"/>
          <w:color w:val="auto"/>
          <w:szCs w:val="21"/>
          <w:highlight w:val="none"/>
        </w:rPr>
        <w:t>（以下简称“采购人”）委托，现就</w:t>
      </w:r>
      <w:r>
        <w:rPr>
          <w:rFonts w:hint="eastAsia" w:ascii="宋体" w:hAnsi="宋体" w:cs="宋体"/>
          <w:b/>
          <w:bCs/>
          <w:color w:val="auto"/>
          <w:szCs w:val="21"/>
          <w:highlight w:val="none"/>
          <w:lang w:eastAsia="zh-CN"/>
        </w:rPr>
        <w:t>东莞迎宾馆食堂全品类食材、部分客用食材2026-2027年度协议供货采购项目</w:t>
      </w:r>
      <w:r>
        <w:rPr>
          <w:rFonts w:hint="eastAsia" w:ascii="宋体" w:hAnsi="宋体" w:eastAsia="宋体" w:cs="宋体"/>
          <w:color w:val="auto"/>
          <w:szCs w:val="21"/>
          <w:highlight w:val="none"/>
        </w:rPr>
        <w:t>（项目编号：</w:t>
      </w:r>
      <w:r>
        <w:rPr>
          <w:rFonts w:hint="eastAsia" w:ascii="宋体" w:hAnsi="宋体" w:cs="宋体"/>
          <w:color w:val="auto"/>
          <w:szCs w:val="21"/>
          <w:highlight w:val="none"/>
          <w:lang w:val="en-US" w:eastAsia="zh-CN"/>
        </w:rPr>
        <w:t>GYBG-SC-02-01-004（2025）</w:t>
      </w:r>
      <w:r>
        <w:rPr>
          <w:rFonts w:hint="eastAsia" w:ascii="宋体" w:hAnsi="宋体" w:eastAsia="宋体" w:cs="宋体"/>
          <w:color w:val="auto"/>
          <w:szCs w:val="21"/>
          <w:highlight w:val="none"/>
        </w:rPr>
        <w:t>）进行国内公开采购，欢迎符合采购文件要求的国内投标人参加投标。有关事项如下：</w:t>
      </w:r>
    </w:p>
    <w:p w14:paraId="3D00E484">
      <w:pPr>
        <w:ind w:firstLine="413" w:firstLineChars="196"/>
        <w:rPr>
          <w:rFonts w:hint="eastAsia" w:ascii="宋体" w:hAnsi="宋体" w:eastAsia="宋体" w:cs="宋体"/>
          <w:b/>
          <w:color w:val="auto"/>
          <w:szCs w:val="21"/>
          <w:highlight w:val="none"/>
        </w:rPr>
      </w:pPr>
    </w:p>
    <w:p w14:paraId="6E81398C">
      <w:pPr>
        <w:ind w:firstLine="413"/>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一、采购项目概况</w:t>
      </w:r>
    </w:p>
    <w:p w14:paraId="753CB26E">
      <w:pPr>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1、采购项目名称：</w:t>
      </w:r>
      <w:r>
        <w:rPr>
          <w:rFonts w:hint="eastAsia" w:ascii="宋体" w:hAnsi="宋体" w:cs="宋体"/>
          <w:color w:val="auto"/>
          <w:szCs w:val="21"/>
          <w:highlight w:val="none"/>
          <w:lang w:eastAsia="zh-CN"/>
        </w:rPr>
        <w:t>东莞迎宾馆食堂全品类食材、部分客用食材2026-2027年度协议供货采购项目</w:t>
      </w:r>
    </w:p>
    <w:p w14:paraId="13CED3DE">
      <w:pPr>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2、预算金额（元）：</w:t>
      </w:r>
      <w:r>
        <w:rPr>
          <w:rFonts w:hint="eastAsia" w:ascii="宋体" w:hAnsi="宋体" w:eastAsia="宋体" w:cs="宋体"/>
          <w:color w:val="auto"/>
          <w:szCs w:val="21"/>
          <w:highlight w:val="none"/>
          <w:u w:val="single"/>
        </w:rPr>
        <w:t>¥</w:t>
      </w:r>
      <w:r>
        <w:rPr>
          <w:rFonts w:hint="eastAsia" w:ascii="宋体" w:hAnsi="宋体" w:cs="宋体"/>
          <w:color w:val="auto"/>
          <w:szCs w:val="21"/>
          <w:highlight w:val="none"/>
          <w:u w:val="single"/>
          <w:lang w:val="en-US" w:eastAsia="zh-CN"/>
        </w:rPr>
        <w:t>23,490</w:t>
      </w:r>
      <w:r>
        <w:rPr>
          <w:rFonts w:hint="eastAsia" w:ascii="宋体" w:hAnsi="宋体" w:eastAsia="宋体" w:cs="宋体"/>
          <w:color w:val="auto"/>
          <w:szCs w:val="21"/>
          <w:highlight w:val="none"/>
          <w:u w:val="single"/>
          <w:lang w:val="en-US" w:eastAsia="zh-CN"/>
        </w:rPr>
        <w:t>,000.00</w:t>
      </w:r>
      <w:r>
        <w:rPr>
          <w:rFonts w:hint="eastAsia" w:ascii="宋体" w:hAnsi="宋体" w:eastAsia="宋体" w:cs="宋体"/>
          <w:color w:val="auto"/>
          <w:szCs w:val="21"/>
          <w:highlight w:val="none"/>
          <w:u w:val="single"/>
        </w:rPr>
        <w:t>元</w:t>
      </w:r>
    </w:p>
    <w:p w14:paraId="2168038D">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、项目内容</w:t>
      </w:r>
    </w:p>
    <w:tbl>
      <w:tblPr>
        <w:tblStyle w:val="30"/>
        <w:tblW w:w="88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2230"/>
        <w:gridCol w:w="1035"/>
        <w:gridCol w:w="2409"/>
        <w:gridCol w:w="2102"/>
      </w:tblGrid>
      <w:tr w14:paraId="5CA35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041" w:type="dxa"/>
            <w:vAlign w:val="center"/>
          </w:tcPr>
          <w:p w14:paraId="7657040C">
            <w:pPr>
              <w:spacing w:line="240" w:lineRule="auto"/>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采购包号</w:t>
            </w:r>
          </w:p>
        </w:tc>
        <w:tc>
          <w:tcPr>
            <w:tcW w:w="2230" w:type="dxa"/>
            <w:vAlign w:val="center"/>
          </w:tcPr>
          <w:p w14:paraId="4F45B59A">
            <w:pPr>
              <w:spacing w:line="240" w:lineRule="auto"/>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项目内容</w:t>
            </w:r>
          </w:p>
        </w:tc>
        <w:tc>
          <w:tcPr>
            <w:tcW w:w="1035" w:type="dxa"/>
            <w:vAlign w:val="center"/>
          </w:tcPr>
          <w:p w14:paraId="5BA1C19D">
            <w:pPr>
              <w:spacing w:line="240" w:lineRule="auto"/>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采购服务单位数量</w:t>
            </w:r>
          </w:p>
        </w:tc>
        <w:tc>
          <w:tcPr>
            <w:tcW w:w="2409" w:type="dxa"/>
            <w:vAlign w:val="center"/>
          </w:tcPr>
          <w:p w14:paraId="299724EE">
            <w:pPr>
              <w:spacing w:line="240" w:lineRule="auto"/>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服务期</w:t>
            </w:r>
          </w:p>
        </w:tc>
        <w:tc>
          <w:tcPr>
            <w:tcW w:w="2102" w:type="dxa"/>
            <w:vAlign w:val="center"/>
          </w:tcPr>
          <w:p w14:paraId="601F60EC">
            <w:pPr>
              <w:spacing w:line="240" w:lineRule="auto"/>
              <w:jc w:val="center"/>
              <w:rPr>
                <w:rFonts w:hint="default" w:ascii="宋体" w:hAnsi="宋体" w:eastAsia="宋体" w:cs="宋体"/>
                <w:color w:val="auto"/>
                <w:kern w:val="28"/>
                <w:szCs w:val="21"/>
                <w:highlight w:val="none"/>
                <w:lang w:val="en-US" w:eastAsia="zh-CN"/>
              </w:rPr>
            </w:pPr>
            <w:r>
              <w:rPr>
                <w:rFonts w:hint="eastAsia" w:ascii="宋体" w:hAnsi="宋体" w:cs="宋体"/>
                <w:color w:val="auto"/>
                <w:kern w:val="28"/>
                <w:szCs w:val="21"/>
                <w:highlight w:val="none"/>
                <w:lang w:val="en-US" w:eastAsia="zh-CN"/>
              </w:rPr>
              <w:t>包组预算（元）</w:t>
            </w:r>
          </w:p>
        </w:tc>
      </w:tr>
      <w:tr w14:paraId="4E2C2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041" w:type="dxa"/>
            <w:vAlign w:val="center"/>
          </w:tcPr>
          <w:p w14:paraId="0C15181B">
            <w:pPr>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A</w:t>
            </w:r>
          </w:p>
        </w:tc>
        <w:tc>
          <w:tcPr>
            <w:tcW w:w="2230" w:type="dxa"/>
            <w:vAlign w:val="center"/>
          </w:tcPr>
          <w:p w14:paraId="50171CEF">
            <w:pPr>
              <w:spacing w:line="24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东莞迎宾馆</w:t>
            </w:r>
            <w:r>
              <w:rPr>
                <w:rFonts w:hint="eastAsia" w:ascii="宋体" w:hAnsi="宋体" w:cs="宋体"/>
                <w:color w:val="auto"/>
                <w:szCs w:val="21"/>
                <w:highlight w:val="none"/>
                <w:lang w:val="en-US" w:eastAsia="zh-CN"/>
              </w:rPr>
              <w:t>食堂全品类食材</w:t>
            </w:r>
            <w:r>
              <w:rPr>
                <w:rFonts w:hint="eastAsia" w:ascii="宋体" w:hAnsi="宋体" w:cs="宋体"/>
                <w:color w:val="auto"/>
                <w:szCs w:val="21"/>
                <w:highlight w:val="none"/>
                <w:lang w:eastAsia="zh-CN"/>
              </w:rPr>
              <w:t>2026-2027年度配送服务采购项目</w:t>
            </w:r>
          </w:p>
        </w:tc>
        <w:tc>
          <w:tcPr>
            <w:tcW w:w="1035" w:type="dxa"/>
            <w:vAlign w:val="center"/>
          </w:tcPr>
          <w:p w14:paraId="268DED32">
            <w:pPr>
              <w:spacing w:line="24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2409" w:type="dxa"/>
            <w:vAlign w:val="center"/>
          </w:tcPr>
          <w:p w14:paraId="6D209813">
            <w:pPr>
              <w:spacing w:line="24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24个月（本项目按实际发生量结算，</w:t>
            </w:r>
            <w:r>
              <w:rPr>
                <w:rFonts w:hint="eastAsia" w:ascii="宋体" w:hAnsi="宋体" w:cs="宋体"/>
                <w:color w:val="auto"/>
                <w:szCs w:val="21"/>
                <w:highlight w:val="none"/>
                <w:lang w:val="en-US" w:eastAsia="zh-CN"/>
              </w:rPr>
              <w:t>若</w:t>
            </w:r>
            <w:r>
              <w:rPr>
                <w:rFonts w:hint="eastAsia" w:ascii="宋体" w:hAnsi="宋体" w:cs="宋体"/>
                <w:color w:val="auto"/>
                <w:szCs w:val="21"/>
                <w:highlight w:val="none"/>
              </w:rPr>
              <w:t>合同期</w:t>
            </w:r>
            <w:r>
              <w:rPr>
                <w:rFonts w:hint="eastAsia" w:ascii="宋体" w:hAnsi="宋体" w:cs="宋体"/>
                <w:color w:val="auto"/>
                <w:szCs w:val="21"/>
                <w:highlight w:val="none"/>
                <w:lang w:val="en-US" w:eastAsia="zh-CN"/>
              </w:rPr>
              <w:t>内</w:t>
            </w:r>
            <w:r>
              <w:rPr>
                <w:rFonts w:hint="eastAsia" w:ascii="宋体" w:hAnsi="宋体" w:cs="宋体"/>
                <w:color w:val="auto"/>
                <w:szCs w:val="21"/>
                <w:highlight w:val="none"/>
              </w:rPr>
              <w:t>结算金额达到</w:t>
            </w:r>
            <w:r>
              <w:rPr>
                <w:rFonts w:hint="eastAsia" w:ascii="宋体" w:hAnsi="宋体" w:cs="宋体"/>
                <w:color w:val="auto"/>
                <w:szCs w:val="21"/>
                <w:highlight w:val="none"/>
                <w:lang w:val="en-US" w:eastAsia="zh-CN"/>
              </w:rPr>
              <w:t>合同总额</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则</w:t>
            </w:r>
            <w:r>
              <w:rPr>
                <w:rFonts w:hint="eastAsia" w:ascii="宋体" w:hAnsi="宋体" w:cs="宋体"/>
                <w:color w:val="auto"/>
                <w:szCs w:val="21"/>
                <w:highlight w:val="none"/>
              </w:rPr>
              <w:t>本项目合同终止。）</w:t>
            </w:r>
          </w:p>
        </w:tc>
        <w:tc>
          <w:tcPr>
            <w:tcW w:w="2102" w:type="dxa"/>
            <w:vAlign w:val="center"/>
          </w:tcPr>
          <w:p w14:paraId="23A7C526">
            <w:pPr>
              <w:spacing w:line="240" w:lineRule="auto"/>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14,190,000.00</w:t>
            </w:r>
          </w:p>
        </w:tc>
      </w:tr>
      <w:tr w14:paraId="05E54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041" w:type="dxa"/>
            <w:vAlign w:val="center"/>
          </w:tcPr>
          <w:p w14:paraId="5F945AEE">
            <w:pPr>
              <w:spacing w:line="24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B</w:t>
            </w:r>
          </w:p>
        </w:tc>
        <w:tc>
          <w:tcPr>
            <w:tcW w:w="2230" w:type="dxa"/>
            <w:vAlign w:val="center"/>
          </w:tcPr>
          <w:p w14:paraId="6D0A608E">
            <w:pPr>
              <w:spacing w:line="240" w:lineRule="auto"/>
              <w:jc w:val="center"/>
              <w:rPr>
                <w:rFonts w:hint="eastAsia" w:ascii="宋体" w:hAnsi="宋体" w:cs="宋体"/>
                <w:color w:val="auto"/>
                <w:szCs w:val="21"/>
                <w:highlight w:val="none"/>
                <w:lang w:eastAsia="zh-CN"/>
              </w:rPr>
            </w:pPr>
            <w:r>
              <w:rPr>
                <w:rFonts w:hint="eastAsia" w:ascii="宋体" w:hAnsi="宋体" w:cs="宋体"/>
                <w:color w:val="auto"/>
                <w:szCs w:val="21"/>
                <w:highlight w:val="none"/>
                <w:lang w:eastAsia="zh-CN"/>
              </w:rPr>
              <w:t>东莞迎宾馆</w:t>
            </w:r>
            <w:r>
              <w:rPr>
                <w:rFonts w:hint="eastAsia" w:ascii="宋体" w:hAnsi="宋体" w:cs="宋体"/>
                <w:color w:val="auto"/>
                <w:szCs w:val="21"/>
                <w:highlight w:val="none"/>
                <w:lang w:val="en-US" w:eastAsia="zh-CN"/>
              </w:rPr>
              <w:t>部分客用食材</w:t>
            </w:r>
            <w:r>
              <w:rPr>
                <w:rFonts w:hint="eastAsia" w:ascii="宋体" w:hAnsi="宋体" w:cs="宋体"/>
                <w:color w:val="auto"/>
                <w:szCs w:val="21"/>
                <w:highlight w:val="none"/>
                <w:lang w:eastAsia="zh-CN"/>
              </w:rPr>
              <w:t>2026-2027年度配送服务采购项目</w:t>
            </w:r>
          </w:p>
        </w:tc>
        <w:tc>
          <w:tcPr>
            <w:tcW w:w="1035" w:type="dxa"/>
            <w:vAlign w:val="center"/>
          </w:tcPr>
          <w:p w14:paraId="38ED5AA0">
            <w:pPr>
              <w:spacing w:line="24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w:t>
            </w:r>
          </w:p>
        </w:tc>
        <w:tc>
          <w:tcPr>
            <w:tcW w:w="2409" w:type="dxa"/>
            <w:vAlign w:val="center"/>
          </w:tcPr>
          <w:p w14:paraId="6C53A46B">
            <w:pPr>
              <w:spacing w:line="24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24个月（本项目按实际发生量结算，</w:t>
            </w:r>
            <w:r>
              <w:rPr>
                <w:rFonts w:hint="eastAsia" w:ascii="宋体" w:hAnsi="宋体" w:cs="宋体"/>
                <w:color w:val="auto"/>
                <w:szCs w:val="21"/>
                <w:highlight w:val="none"/>
                <w:lang w:val="en-US" w:eastAsia="zh-CN"/>
              </w:rPr>
              <w:t>若</w:t>
            </w:r>
            <w:r>
              <w:rPr>
                <w:rFonts w:hint="eastAsia" w:ascii="宋体" w:hAnsi="宋体" w:cs="宋体"/>
                <w:color w:val="auto"/>
                <w:szCs w:val="21"/>
                <w:highlight w:val="none"/>
              </w:rPr>
              <w:t>合同期</w:t>
            </w:r>
            <w:r>
              <w:rPr>
                <w:rFonts w:hint="eastAsia" w:ascii="宋体" w:hAnsi="宋体" w:cs="宋体"/>
                <w:color w:val="auto"/>
                <w:szCs w:val="21"/>
                <w:highlight w:val="none"/>
                <w:lang w:val="en-US" w:eastAsia="zh-CN"/>
              </w:rPr>
              <w:t>内</w:t>
            </w:r>
            <w:r>
              <w:rPr>
                <w:rFonts w:hint="eastAsia" w:ascii="宋体" w:hAnsi="宋体" w:cs="宋体"/>
                <w:color w:val="auto"/>
                <w:szCs w:val="21"/>
                <w:highlight w:val="none"/>
              </w:rPr>
              <w:t>结算金额达到</w:t>
            </w:r>
            <w:r>
              <w:rPr>
                <w:rFonts w:hint="eastAsia" w:ascii="宋体" w:hAnsi="宋体" w:cs="宋体"/>
                <w:color w:val="auto"/>
                <w:szCs w:val="21"/>
                <w:highlight w:val="none"/>
                <w:lang w:val="en-US" w:eastAsia="zh-CN"/>
              </w:rPr>
              <w:t>合同总额</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则</w:t>
            </w:r>
            <w:r>
              <w:rPr>
                <w:rFonts w:hint="eastAsia" w:ascii="宋体" w:hAnsi="宋体" w:cs="宋体"/>
                <w:color w:val="auto"/>
                <w:szCs w:val="21"/>
                <w:highlight w:val="none"/>
              </w:rPr>
              <w:t>本项目合同终止。）</w:t>
            </w:r>
          </w:p>
        </w:tc>
        <w:tc>
          <w:tcPr>
            <w:tcW w:w="2102" w:type="dxa"/>
            <w:vAlign w:val="center"/>
          </w:tcPr>
          <w:p w14:paraId="44C092FA">
            <w:pPr>
              <w:spacing w:line="240" w:lineRule="auto"/>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9,300,000.00</w:t>
            </w:r>
          </w:p>
        </w:tc>
      </w:tr>
    </w:tbl>
    <w:p w14:paraId="72BF8D41">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、项目需求</w:t>
      </w:r>
    </w:p>
    <w:p w14:paraId="1E6F3153">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详细内容请参阅采购文件第三部分《用户需求书》。</w:t>
      </w:r>
    </w:p>
    <w:p w14:paraId="6A38247D">
      <w:pPr>
        <w:ind w:firstLine="413" w:firstLineChars="196"/>
        <w:rPr>
          <w:rFonts w:hint="eastAsia" w:ascii="宋体" w:hAnsi="宋体" w:eastAsia="宋体" w:cs="宋体"/>
          <w:b/>
          <w:color w:val="auto"/>
          <w:szCs w:val="21"/>
          <w:highlight w:val="none"/>
        </w:rPr>
      </w:pPr>
    </w:p>
    <w:p w14:paraId="7955B171">
      <w:pPr>
        <w:ind w:firstLine="413" w:firstLineChars="196"/>
        <w:rPr>
          <w:rFonts w:hint="eastAsia" w:ascii="宋体" w:hAnsi="宋体" w:eastAsia="宋体" w:cs="宋体"/>
          <w:b/>
          <w:color w:val="auto"/>
          <w:szCs w:val="21"/>
          <w:highlight w:val="none"/>
          <w:lang w:eastAsia="zh-CN"/>
        </w:rPr>
      </w:pPr>
      <w:r>
        <w:rPr>
          <w:rFonts w:hint="eastAsia" w:ascii="宋体" w:hAnsi="宋体" w:eastAsia="宋体" w:cs="宋体"/>
          <w:b/>
          <w:color w:val="auto"/>
          <w:szCs w:val="21"/>
          <w:highlight w:val="none"/>
        </w:rPr>
        <w:t>二、投标人资格要求</w:t>
      </w:r>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适用各子包</w:t>
      </w:r>
      <w:r>
        <w:rPr>
          <w:rFonts w:hint="eastAsia" w:ascii="宋体" w:hAnsi="宋体" w:cs="宋体"/>
          <w:b/>
          <w:color w:val="auto"/>
          <w:szCs w:val="21"/>
          <w:highlight w:val="none"/>
          <w:lang w:eastAsia="zh-CN"/>
        </w:rPr>
        <w:t>）</w:t>
      </w:r>
    </w:p>
    <w:p w14:paraId="7F084BBB">
      <w:pPr>
        <w:ind w:firstLine="411" w:firstLineChars="196"/>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1、一般要求：</w:t>
      </w:r>
    </w:p>
    <w:p w14:paraId="2D209395">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14:paraId="6999EA35">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6F2E5633">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（3）投标人的单位负责人为同一人或者存在直接控股、管理关系的不同投标人，不得参加同一合同项下的采购活动。</w:t>
      </w:r>
    </w:p>
    <w:p w14:paraId="7198B9B5">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（4）未被列入“信用中国”网站(www.creditchina.gov.cn )“记录失信被执行人或</w:t>
      </w:r>
      <w:r>
        <w:rPr>
          <w:rFonts w:hint="eastAsia" w:ascii="宋体" w:hAnsi="宋体" w:eastAsia="宋体" w:cs="宋体"/>
          <w:color w:val="auto"/>
          <w:highlight w:val="none"/>
        </w:rPr>
        <w:t>重大税收违法失信主体</w:t>
      </w:r>
      <w:r>
        <w:rPr>
          <w:rFonts w:hint="eastAsia" w:ascii="宋体" w:hAnsi="宋体" w:eastAsia="宋体" w:cs="宋体"/>
          <w:color w:val="auto"/>
          <w:szCs w:val="21"/>
          <w:highlight w:val="none"/>
        </w:rPr>
        <w:t>或政府采购严重违法失信行为”记录名单。以代理机构于投标截止日当天在“信用中国”网站查询结果为准，如相关失信记录已失效，投标人需提供相关证明资料。</w:t>
      </w:r>
    </w:p>
    <w:p w14:paraId="6D54A727">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（5）未被列入东实集团及下属企业相关领域黑名单。【以</w:t>
      </w:r>
      <w:r>
        <w:rPr>
          <w:rFonts w:hint="eastAsia" w:ascii="宋体" w:hAnsi="宋体" w:eastAsia="宋体" w:cs="宋体"/>
          <w:color w:val="auto"/>
          <w:kern w:val="2"/>
          <w:szCs w:val="21"/>
          <w:highlight w:val="none"/>
          <w:lang w:val="zh-CN"/>
        </w:rPr>
        <w:t>东莞实业投资控股集团有限公司</w:t>
      </w:r>
      <w:r>
        <w:rPr>
          <w:rFonts w:hint="eastAsia" w:ascii="宋体" w:hAnsi="宋体" w:eastAsia="宋体" w:cs="宋体"/>
          <w:color w:val="auto"/>
          <w:szCs w:val="21"/>
          <w:highlight w:val="none"/>
        </w:rPr>
        <w:t>发文（东实通〔2021〕44号）、（东实通〔2021〕98号）、（东实通〔2022〕75号）、（东实通〔2023〕37号）</w:t>
      </w:r>
      <w:r>
        <w:rPr>
          <w:rFonts w:hint="eastAsia" w:ascii="宋体" w:hAnsi="宋体" w:cs="宋体"/>
          <w:color w:val="auto"/>
          <w:szCs w:val="21"/>
          <w:highlight w:val="none"/>
          <w:lang w:eastAsia="zh-CN"/>
        </w:rPr>
        <w:t>、（东实通〔2024〕163号）、（东实通〔2024〕195号）</w:t>
      </w:r>
      <w:r>
        <w:rPr>
          <w:rFonts w:hint="eastAsia" w:ascii="宋体" w:hAnsi="宋体" w:eastAsia="宋体" w:cs="宋体"/>
          <w:color w:val="auto"/>
          <w:szCs w:val="21"/>
          <w:highlight w:val="none"/>
          <w:lang w:eastAsia="zh-CN"/>
        </w:rPr>
        <w:t>及下属企业发文</w:t>
      </w:r>
      <w:r>
        <w:rPr>
          <w:rFonts w:hint="eastAsia" w:ascii="宋体" w:hAnsi="宋体" w:eastAsia="宋体" w:cs="宋体"/>
          <w:color w:val="auto"/>
          <w:szCs w:val="21"/>
          <w:highlight w:val="none"/>
        </w:rPr>
        <w:t>为准，如有最新发文通知，按最新文件执行。】</w:t>
      </w:r>
    </w:p>
    <w:p w14:paraId="27B51CEA">
      <w:pPr>
        <w:ind w:firstLine="420" w:firstLineChars="200"/>
        <w:rPr>
          <w:rFonts w:hint="eastAsia" w:ascii="宋体" w:hAnsi="宋体" w:cs="宋体"/>
          <w:color w:val="auto"/>
          <w:szCs w:val="21"/>
          <w:highlight w:val="none"/>
          <w:lang w:eastAsia="zh-CN"/>
        </w:rPr>
      </w:pPr>
      <w:r>
        <w:rPr>
          <w:rFonts w:hint="eastAsia" w:ascii="宋体" w:hAnsi="宋体" w:eastAsia="宋体" w:cs="宋体"/>
          <w:color w:val="auto"/>
          <w:szCs w:val="21"/>
          <w:highlight w:val="none"/>
        </w:rPr>
        <w:t>2、其他要求</w:t>
      </w:r>
      <w:r>
        <w:rPr>
          <w:rFonts w:hint="eastAsia" w:ascii="宋体" w:hAnsi="宋体" w:cs="宋体"/>
          <w:color w:val="auto"/>
          <w:szCs w:val="21"/>
          <w:highlight w:val="none"/>
          <w:lang w:eastAsia="zh-CN"/>
        </w:rPr>
        <w:t>：</w:t>
      </w:r>
    </w:p>
    <w:p w14:paraId="552A3A35">
      <w:pPr>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投标人必须具备行政主管部门颁发的，在有效期内的《食品生产许可证》或《食品经营许可证》。【须提供相关证书复印件或扫描件】（如已归入“一照通行”营业执照的，须提供相关证明材料，如国家另有规定的，则从其规定）。</w:t>
      </w:r>
    </w:p>
    <w:p w14:paraId="359B16EE">
      <w:pPr>
        <w:ind w:firstLine="420" w:firstLineChars="2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3、本项目不接受联合体投标。</w:t>
      </w:r>
    </w:p>
    <w:p w14:paraId="6FCE005D">
      <w:pPr>
        <w:ind w:firstLine="413" w:firstLineChars="196"/>
        <w:rPr>
          <w:rFonts w:hint="eastAsia" w:ascii="宋体" w:hAnsi="宋体" w:eastAsia="宋体" w:cs="宋体"/>
          <w:b/>
          <w:color w:val="auto"/>
          <w:szCs w:val="21"/>
          <w:highlight w:val="none"/>
        </w:rPr>
      </w:pPr>
    </w:p>
    <w:p w14:paraId="15273B7A">
      <w:pPr>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三、获取采购文件方式及要求：</w:t>
      </w:r>
    </w:p>
    <w:p w14:paraId="3123E5F3">
      <w:pPr>
        <w:ind w:firstLine="411" w:firstLineChars="196"/>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本项目不进行实名登记报名，拟参加投标的投标人可于投标截止时间前自行网上下载采购文件。采购文件下载地址：中国招标投标公共服务平台（http://www.cebpubservice.com/）、东莞实业投资控股集团有限公司-招标采购栏目（http://www.dgsy.com.cn/）、广东省公共资源交易平台（https://ygp.gdzwfw.gov.cn/）中天项目咨询（东莞）有限公司网站（http://www.ztxmzx.com/）。</w:t>
      </w:r>
    </w:p>
    <w:p w14:paraId="4D6EB8D2">
      <w:pPr>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四、投标文件的递交</w:t>
      </w:r>
    </w:p>
    <w:p w14:paraId="668BF539">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1、递交投标文件时间：20</w:t>
      </w:r>
      <w:r>
        <w:rPr>
          <w:rFonts w:hint="eastAsia" w:ascii="宋体" w:hAnsi="宋体" w:eastAsia="宋体" w:cs="宋体"/>
          <w:color w:val="auto"/>
          <w:szCs w:val="21"/>
          <w:highlight w:val="none"/>
          <w:lang w:val="en-US" w:eastAsia="zh-CN"/>
        </w:rPr>
        <w:t>2</w:t>
      </w: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rPr>
        <w:t>年</w:t>
      </w:r>
      <w:r>
        <w:rPr>
          <w:rFonts w:hint="eastAsia" w:ascii="宋体" w:hAnsi="宋体" w:cs="宋体"/>
          <w:color w:val="auto"/>
          <w:szCs w:val="21"/>
          <w:highlight w:val="none"/>
          <w:u w:val="single"/>
          <w:lang w:val="en-US" w:eastAsia="zh-CN"/>
        </w:rPr>
        <w:t>01</w:t>
      </w:r>
      <w:r>
        <w:rPr>
          <w:rFonts w:hint="eastAsia" w:ascii="宋体" w:hAnsi="宋体" w:eastAsia="宋体" w:cs="宋体"/>
          <w:color w:val="auto"/>
          <w:szCs w:val="21"/>
          <w:highlight w:val="none"/>
        </w:rPr>
        <w:t>月</w:t>
      </w:r>
      <w:r>
        <w:rPr>
          <w:rFonts w:hint="eastAsia" w:ascii="宋体" w:hAnsi="宋体" w:cs="宋体"/>
          <w:color w:val="auto"/>
          <w:szCs w:val="21"/>
          <w:highlight w:val="none"/>
          <w:u w:val="single"/>
          <w:lang w:val="en-US" w:eastAsia="zh-CN"/>
        </w:rPr>
        <w:t>21</w:t>
      </w:r>
      <w:r>
        <w:rPr>
          <w:rFonts w:hint="eastAsia" w:ascii="宋体" w:hAnsi="宋体" w:eastAsia="宋体" w:cs="宋体"/>
          <w:color w:val="auto"/>
          <w:szCs w:val="21"/>
          <w:highlight w:val="none"/>
        </w:rPr>
        <w:t>日（北京时间）</w:t>
      </w:r>
      <w:r>
        <w:rPr>
          <w:rFonts w:hint="eastAsia" w:ascii="宋体" w:hAnsi="宋体" w:cs="宋体"/>
          <w:color w:val="auto"/>
          <w:szCs w:val="21"/>
          <w:highlight w:val="none"/>
          <w:lang w:val="en-US" w:eastAsia="zh-CN"/>
        </w:rPr>
        <w:t>09</w:t>
      </w:r>
      <w:r>
        <w:rPr>
          <w:rFonts w:hint="eastAsia" w:ascii="宋体" w:hAnsi="宋体" w:eastAsia="宋体" w:cs="宋体"/>
          <w:color w:val="auto"/>
          <w:szCs w:val="21"/>
          <w:highlight w:val="none"/>
          <w:u w:val="none"/>
        </w:rPr>
        <w:t>:</w:t>
      </w:r>
      <w:r>
        <w:rPr>
          <w:rFonts w:hint="eastAsia" w:ascii="宋体" w:hAnsi="宋体" w:cs="宋体"/>
          <w:color w:val="auto"/>
          <w:szCs w:val="21"/>
          <w:highlight w:val="none"/>
          <w:u w:val="none"/>
          <w:lang w:val="en-US" w:eastAsia="zh-CN"/>
        </w:rPr>
        <w:t>00</w:t>
      </w:r>
      <w:r>
        <w:rPr>
          <w:rFonts w:hint="eastAsia" w:ascii="宋体" w:hAnsi="宋体" w:eastAsia="宋体" w:cs="宋体"/>
          <w:color w:val="auto"/>
          <w:szCs w:val="21"/>
          <w:highlight w:val="none"/>
          <w:u w:val="none"/>
        </w:rPr>
        <w:t>-</w:t>
      </w:r>
      <w:r>
        <w:rPr>
          <w:rFonts w:hint="eastAsia" w:ascii="宋体" w:hAnsi="宋体" w:cs="宋体"/>
          <w:color w:val="auto"/>
          <w:szCs w:val="21"/>
          <w:highlight w:val="none"/>
          <w:u w:val="none"/>
          <w:lang w:val="en-US" w:eastAsia="zh-CN"/>
        </w:rPr>
        <w:t>09</w:t>
      </w:r>
      <w:r>
        <w:rPr>
          <w:rFonts w:hint="eastAsia" w:ascii="宋体" w:hAnsi="宋体" w:eastAsia="宋体" w:cs="宋体"/>
          <w:color w:val="auto"/>
          <w:szCs w:val="21"/>
          <w:highlight w:val="none"/>
          <w:u w:val="none"/>
        </w:rPr>
        <w:t>:</w:t>
      </w:r>
      <w:r>
        <w:rPr>
          <w:rFonts w:hint="eastAsia" w:ascii="宋体" w:hAnsi="宋体" w:cs="宋体"/>
          <w:color w:val="auto"/>
          <w:szCs w:val="21"/>
          <w:highlight w:val="none"/>
          <w:u w:val="none"/>
          <w:lang w:val="en-US" w:eastAsia="zh-CN"/>
        </w:rPr>
        <w:t>30</w:t>
      </w:r>
      <w:r>
        <w:rPr>
          <w:rFonts w:hint="eastAsia" w:ascii="宋体" w:hAnsi="宋体" w:eastAsia="宋体" w:cs="宋体"/>
          <w:color w:val="auto"/>
          <w:szCs w:val="21"/>
          <w:highlight w:val="none"/>
        </w:rPr>
        <w:t>。</w:t>
      </w:r>
    </w:p>
    <w:p w14:paraId="688E3881">
      <w:pPr>
        <w:ind w:firstLine="420" w:firstLineChars="200"/>
        <w:rPr>
          <w:rFonts w:hint="eastAsia" w:ascii="宋体" w:hAnsi="宋体" w:eastAsia="宋体" w:cs="宋体"/>
          <w:b/>
          <w:color w:val="auto"/>
          <w:szCs w:val="21"/>
          <w:highlight w:val="none"/>
        </w:rPr>
      </w:pPr>
      <w:r>
        <w:rPr>
          <w:rFonts w:hint="eastAsia" w:ascii="宋体" w:hAnsi="宋体" w:eastAsia="宋体" w:cs="宋体"/>
          <w:color w:val="auto"/>
          <w:szCs w:val="21"/>
          <w:highlight w:val="none"/>
        </w:rPr>
        <w:t>2、递交投标文件截止及开标时间：20</w:t>
      </w:r>
      <w:r>
        <w:rPr>
          <w:rFonts w:hint="eastAsia" w:ascii="宋体" w:hAnsi="宋体" w:eastAsia="宋体" w:cs="宋体"/>
          <w:color w:val="auto"/>
          <w:szCs w:val="21"/>
          <w:highlight w:val="none"/>
          <w:lang w:val="en-US" w:eastAsia="zh-CN"/>
        </w:rPr>
        <w:t>2</w:t>
      </w: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rPr>
        <w:t>年</w:t>
      </w:r>
      <w:r>
        <w:rPr>
          <w:rFonts w:hint="eastAsia" w:ascii="宋体" w:hAnsi="宋体" w:cs="宋体"/>
          <w:color w:val="auto"/>
          <w:szCs w:val="21"/>
          <w:highlight w:val="none"/>
          <w:u w:val="single"/>
          <w:lang w:val="en-US" w:eastAsia="zh-CN"/>
        </w:rPr>
        <w:t>01</w:t>
      </w:r>
      <w:r>
        <w:rPr>
          <w:rFonts w:hint="eastAsia" w:ascii="宋体" w:hAnsi="宋体" w:eastAsia="宋体" w:cs="宋体"/>
          <w:color w:val="auto"/>
          <w:szCs w:val="21"/>
          <w:highlight w:val="none"/>
        </w:rPr>
        <w:t>月</w:t>
      </w:r>
      <w:r>
        <w:rPr>
          <w:rFonts w:hint="eastAsia" w:ascii="宋体" w:hAnsi="宋体" w:cs="宋体"/>
          <w:color w:val="auto"/>
          <w:szCs w:val="21"/>
          <w:highlight w:val="none"/>
          <w:u w:val="single"/>
          <w:lang w:val="en-US" w:eastAsia="zh-CN"/>
        </w:rPr>
        <w:t>21</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日</w:t>
      </w:r>
      <w:r>
        <w:rPr>
          <w:rFonts w:hint="eastAsia" w:ascii="宋体" w:hAnsi="宋体" w:cs="宋体"/>
          <w:color w:val="auto"/>
          <w:szCs w:val="21"/>
          <w:highlight w:val="none"/>
          <w:lang w:val="en-US" w:eastAsia="zh-CN"/>
        </w:rPr>
        <w:t>09</w:t>
      </w:r>
      <w:r>
        <w:rPr>
          <w:rFonts w:hint="eastAsia" w:ascii="宋体" w:hAnsi="宋体" w:eastAsia="宋体" w:cs="宋体"/>
          <w:color w:val="auto"/>
          <w:szCs w:val="21"/>
          <w:highlight w:val="none"/>
          <w:u w:val="none"/>
        </w:rPr>
        <w:t>:</w:t>
      </w:r>
      <w:r>
        <w:rPr>
          <w:rFonts w:hint="eastAsia" w:ascii="宋体" w:hAnsi="宋体" w:cs="宋体"/>
          <w:color w:val="auto"/>
          <w:szCs w:val="21"/>
          <w:highlight w:val="none"/>
          <w:u w:val="none"/>
          <w:lang w:val="en-US" w:eastAsia="zh-CN"/>
        </w:rPr>
        <w:t>30</w:t>
      </w:r>
      <w:r>
        <w:rPr>
          <w:rFonts w:hint="eastAsia" w:ascii="宋体" w:hAnsi="宋体" w:eastAsia="宋体" w:cs="宋体"/>
          <w:color w:val="auto"/>
          <w:szCs w:val="21"/>
          <w:highlight w:val="none"/>
        </w:rPr>
        <w:t>（北京时间），所有投标文件应于截止时间之前递交，迟交或以电报、传真形式的投标文件将拒绝接收。</w:t>
      </w:r>
    </w:p>
    <w:p w14:paraId="6660B81C">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3、开标地点：</w:t>
      </w:r>
      <w:r>
        <w:rPr>
          <w:rFonts w:hint="eastAsia" w:ascii="宋体" w:hAnsi="宋体" w:eastAsia="宋体" w:cs="宋体"/>
          <w:color w:val="auto"/>
          <w:szCs w:val="21"/>
          <w:highlight w:val="none"/>
          <w:u w:val="single"/>
        </w:rPr>
        <w:t xml:space="preserve"> 广东省东莞市南城街道鸿福路102号汇成大厦1栋406室。</w:t>
      </w:r>
    </w:p>
    <w:p w14:paraId="0BA938F9">
      <w:pPr>
        <w:ind w:firstLine="411" w:firstLineChars="196"/>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4、开标事宜：</w:t>
      </w:r>
      <w:r>
        <w:rPr>
          <w:rFonts w:hint="eastAsia" w:ascii="宋体" w:hAnsi="宋体" w:eastAsia="宋体" w:cs="宋体"/>
          <w:b/>
          <w:bCs/>
          <w:color w:val="auto"/>
          <w:szCs w:val="21"/>
          <w:highlight w:val="none"/>
        </w:rPr>
        <w:t>届时请投标人的法定代表人或其授权代表务必携带有效身份证明出席开标会</w:t>
      </w:r>
      <w:r>
        <w:rPr>
          <w:rFonts w:hint="eastAsia" w:ascii="宋体" w:hAnsi="宋体" w:eastAsia="宋体" w:cs="宋体"/>
          <w:bCs/>
          <w:color w:val="auto"/>
          <w:szCs w:val="21"/>
          <w:highlight w:val="none"/>
        </w:rPr>
        <w:t>。</w:t>
      </w:r>
    </w:p>
    <w:p w14:paraId="180D2B23">
      <w:pPr>
        <w:pStyle w:val="41"/>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5、出现以下情形时，采购代理机构不予接收投标（响应）文件：</w:t>
      </w:r>
    </w:p>
    <w:p w14:paraId="217D6CD6">
      <w:pPr>
        <w:pStyle w:val="41"/>
        <w:spacing w:line="360" w:lineRule="auto"/>
        <w:rPr>
          <w:rFonts w:hint="eastAsia" w:ascii="宋体" w:hAnsi="宋体" w:eastAsia="宋体" w:cs="宋体"/>
          <w:color w:val="auto"/>
          <w:sz w:val="21"/>
          <w:szCs w:val="21"/>
          <w:highlight w:val="none"/>
          <w:u w:val="none"/>
        </w:rPr>
      </w:pPr>
      <w:r>
        <w:rPr>
          <w:rFonts w:hint="eastAsia" w:ascii="宋体" w:hAnsi="宋体" w:eastAsia="宋体" w:cs="宋体"/>
          <w:b w:val="0"/>
          <w:bCs w:val="0"/>
          <w:color w:val="auto"/>
          <w:sz w:val="21"/>
          <w:szCs w:val="21"/>
          <w:highlight w:val="none"/>
          <w:u w:val="none"/>
          <w:lang w:eastAsia="zh-CN"/>
        </w:rPr>
        <w:t>（</w:t>
      </w:r>
      <w:r>
        <w:rPr>
          <w:rFonts w:hint="eastAsia" w:ascii="宋体" w:hAnsi="宋体" w:eastAsia="宋体" w:cs="宋体"/>
          <w:b w:val="0"/>
          <w:bCs w:val="0"/>
          <w:color w:val="auto"/>
          <w:sz w:val="21"/>
          <w:szCs w:val="21"/>
          <w:highlight w:val="none"/>
          <w:u w:val="none"/>
          <w:lang w:val="en-US" w:eastAsia="zh-CN"/>
        </w:rPr>
        <w:t>1</w:t>
      </w:r>
      <w:r>
        <w:rPr>
          <w:rFonts w:hint="eastAsia" w:ascii="宋体" w:hAnsi="宋体" w:eastAsia="宋体" w:cs="宋体"/>
          <w:b w:val="0"/>
          <w:bCs w:val="0"/>
          <w:color w:val="auto"/>
          <w:sz w:val="21"/>
          <w:szCs w:val="21"/>
          <w:highlight w:val="none"/>
          <w:u w:val="none"/>
          <w:lang w:eastAsia="zh-CN"/>
        </w:rPr>
        <w:t>）</w:t>
      </w:r>
      <w:r>
        <w:rPr>
          <w:rFonts w:hint="eastAsia" w:ascii="宋体" w:hAnsi="宋体" w:eastAsia="宋体" w:cs="宋体"/>
          <w:b w:val="0"/>
          <w:bCs w:val="0"/>
          <w:color w:val="auto"/>
          <w:sz w:val="21"/>
          <w:szCs w:val="21"/>
          <w:highlight w:val="none"/>
          <w:u w:val="none"/>
        </w:rPr>
        <w:t>逾期送</w:t>
      </w:r>
      <w:r>
        <w:rPr>
          <w:rFonts w:hint="eastAsia" w:ascii="宋体" w:hAnsi="宋体" w:eastAsia="宋体" w:cs="宋体"/>
          <w:color w:val="auto"/>
          <w:sz w:val="21"/>
          <w:szCs w:val="21"/>
          <w:highlight w:val="none"/>
          <w:u w:val="none"/>
        </w:rPr>
        <w:t>达或者未送达指定地点的；</w:t>
      </w:r>
    </w:p>
    <w:p w14:paraId="7D16EFDE">
      <w:pPr>
        <w:pStyle w:val="41"/>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lang w:eastAsia="zh-CN"/>
        </w:rPr>
        <w:t>（</w:t>
      </w:r>
      <w:r>
        <w:rPr>
          <w:rFonts w:hint="eastAsia" w:ascii="宋体" w:hAnsi="宋体" w:eastAsia="宋体" w:cs="宋体"/>
          <w:color w:val="auto"/>
          <w:sz w:val="21"/>
          <w:szCs w:val="21"/>
          <w:highlight w:val="none"/>
          <w:u w:val="none"/>
          <w:lang w:val="en-US" w:eastAsia="zh-CN"/>
        </w:rPr>
        <w:t>2</w:t>
      </w:r>
      <w:r>
        <w:rPr>
          <w:rFonts w:hint="eastAsia" w:ascii="宋体" w:hAnsi="宋体" w:eastAsia="宋体" w:cs="宋体"/>
          <w:color w:val="auto"/>
          <w:sz w:val="21"/>
          <w:szCs w:val="21"/>
          <w:highlight w:val="none"/>
          <w:u w:val="none"/>
          <w:lang w:eastAsia="zh-CN"/>
        </w:rPr>
        <w:t>）</w:t>
      </w:r>
      <w:r>
        <w:rPr>
          <w:rFonts w:hint="eastAsia" w:ascii="宋体" w:hAnsi="宋体" w:eastAsia="宋体" w:cs="宋体"/>
          <w:color w:val="auto"/>
          <w:sz w:val="21"/>
          <w:szCs w:val="21"/>
          <w:highlight w:val="none"/>
          <w:u w:val="none"/>
        </w:rPr>
        <w:t>未按采购文件要求密封的。</w:t>
      </w:r>
    </w:p>
    <w:p w14:paraId="75C8B364">
      <w:pPr>
        <w:pStyle w:val="41"/>
        <w:spacing w:line="360" w:lineRule="auto"/>
        <w:ind w:left="0" w:leftChars="0" w:firstLine="0" w:firstLineChars="0"/>
        <w:rPr>
          <w:rFonts w:hint="eastAsia" w:ascii="宋体" w:hAnsi="宋体" w:eastAsia="宋体" w:cs="宋体"/>
          <w:bCs/>
          <w:color w:val="auto"/>
          <w:sz w:val="21"/>
          <w:szCs w:val="21"/>
          <w:highlight w:val="none"/>
        </w:rPr>
      </w:pPr>
    </w:p>
    <w:p w14:paraId="34482BB6">
      <w:pPr>
        <w:ind w:firstLine="413" w:firstLineChars="196"/>
        <w:rPr>
          <w:rFonts w:hint="eastAsia" w:ascii="宋体" w:hAnsi="宋体" w:eastAsia="宋体" w:cs="宋体"/>
          <w:bCs/>
          <w:color w:val="auto"/>
          <w:szCs w:val="21"/>
          <w:highlight w:val="none"/>
        </w:rPr>
      </w:pPr>
      <w:r>
        <w:rPr>
          <w:rFonts w:hint="eastAsia" w:ascii="宋体" w:hAnsi="宋体" w:cs="宋体"/>
          <w:b/>
          <w:color w:val="auto"/>
          <w:szCs w:val="21"/>
          <w:highlight w:val="none"/>
          <w:lang w:val="en-US" w:eastAsia="zh-CN"/>
        </w:rPr>
        <w:t>五</w:t>
      </w:r>
      <w:r>
        <w:rPr>
          <w:rFonts w:hint="eastAsia" w:ascii="宋体" w:hAnsi="宋体" w:eastAsia="宋体" w:cs="宋体"/>
          <w:b/>
          <w:color w:val="auto"/>
          <w:szCs w:val="21"/>
          <w:highlight w:val="none"/>
        </w:rPr>
        <w:t>、采购人及采购代理机构的名称、地址和联系方法：</w:t>
      </w:r>
    </w:p>
    <w:p w14:paraId="7FE096D3">
      <w:pPr>
        <w:ind w:firstLine="420" w:firstLineChars="200"/>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rPr>
        <w:t>采购人名称：</w:t>
      </w:r>
      <w:r>
        <w:rPr>
          <w:rFonts w:hint="eastAsia" w:ascii="宋体" w:hAnsi="宋体" w:cs="宋体"/>
          <w:bCs/>
          <w:color w:val="auto"/>
          <w:szCs w:val="21"/>
          <w:highlight w:val="none"/>
          <w:lang w:eastAsia="zh-CN"/>
        </w:rPr>
        <w:t>东莞迎宾馆酒店有限公司</w:t>
      </w:r>
    </w:p>
    <w:p w14:paraId="327D7C98">
      <w:pPr>
        <w:ind w:firstLine="420" w:firstLineChars="200"/>
        <w:rPr>
          <w:rFonts w:hint="default"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rPr>
        <w:t>采购人联系人：</w:t>
      </w:r>
      <w:r>
        <w:rPr>
          <w:rFonts w:hint="eastAsia" w:ascii="宋体" w:hAnsi="宋体" w:cs="宋体"/>
          <w:bCs/>
          <w:color w:val="auto"/>
          <w:szCs w:val="21"/>
          <w:highlight w:val="none"/>
          <w:lang w:val="en-US" w:eastAsia="zh-CN"/>
        </w:rPr>
        <w:t>梁工</w:t>
      </w:r>
    </w:p>
    <w:p w14:paraId="1DBE978B">
      <w:pPr>
        <w:ind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采购人地址：东莞市桃源路1号</w:t>
      </w:r>
    </w:p>
    <w:p w14:paraId="7A5F65A7">
      <w:pPr>
        <w:ind w:firstLine="420" w:firstLineChars="200"/>
        <w:rPr>
          <w:rFonts w:hint="default" w:ascii="宋体" w:hAnsi="宋体" w:eastAsia="宋体" w:cs="宋体"/>
          <w:bCs/>
          <w:color w:val="auto"/>
          <w:szCs w:val="21"/>
          <w:highlight w:val="none"/>
          <w:lang w:val="en-US"/>
        </w:rPr>
      </w:pPr>
      <w:r>
        <w:rPr>
          <w:rFonts w:hint="eastAsia" w:ascii="宋体" w:hAnsi="宋体" w:eastAsia="宋体" w:cs="宋体"/>
          <w:bCs/>
          <w:color w:val="auto"/>
          <w:szCs w:val="21"/>
          <w:highlight w:val="none"/>
        </w:rPr>
        <w:t>采购人联系电话：0769</w:t>
      </w:r>
      <w:r>
        <w:rPr>
          <w:rFonts w:hint="eastAsia" w:ascii="宋体" w:hAnsi="宋体" w:eastAsia="宋体" w:cs="宋体"/>
          <w:bCs/>
          <w:color w:val="auto"/>
          <w:szCs w:val="21"/>
          <w:highlight w:val="none"/>
          <w:lang w:val="en-US" w:eastAsia="zh-CN"/>
        </w:rPr>
        <w:t>-</w:t>
      </w:r>
      <w:r>
        <w:rPr>
          <w:rFonts w:hint="eastAsia" w:ascii="宋体" w:hAnsi="宋体" w:cs="宋体"/>
          <w:bCs/>
          <w:color w:val="auto"/>
          <w:szCs w:val="21"/>
          <w:highlight w:val="none"/>
          <w:lang w:val="en-US" w:eastAsia="zh-CN"/>
        </w:rPr>
        <w:t>38883999</w:t>
      </w:r>
    </w:p>
    <w:p w14:paraId="77BFFCD4">
      <w:pPr>
        <w:outlineLvl w:val="9"/>
        <w:rPr>
          <w:rFonts w:hint="eastAsia" w:ascii="宋体" w:hAnsi="宋体" w:eastAsia="宋体" w:cs="宋体"/>
          <w:color w:val="auto"/>
          <w:highlight w:val="none"/>
        </w:rPr>
      </w:pPr>
    </w:p>
    <w:p w14:paraId="785F117E">
      <w:pPr>
        <w:shd w:val="clear"/>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采购代理机构名称：</w:t>
      </w:r>
      <w:r>
        <w:rPr>
          <w:rFonts w:hint="eastAsia" w:ascii="宋体" w:hAnsi="宋体" w:cs="宋体"/>
          <w:color w:val="auto"/>
          <w:szCs w:val="21"/>
          <w:highlight w:val="none"/>
          <w:lang w:eastAsia="zh-CN"/>
        </w:rPr>
        <w:t>中天项目咨询（东莞）有限公司</w:t>
      </w:r>
    </w:p>
    <w:p w14:paraId="3F130149">
      <w:pPr>
        <w:ind w:firstLine="420" w:firstLineChars="200"/>
        <w:rPr>
          <w:rFonts w:ascii="宋体" w:hAnsi="宋体"/>
          <w:color w:val="auto"/>
          <w:szCs w:val="21"/>
          <w:highlight w:val="none"/>
        </w:rPr>
      </w:pPr>
      <w:r>
        <w:rPr>
          <w:rFonts w:hint="eastAsia" w:ascii="宋体" w:hAnsi="宋体"/>
          <w:color w:val="auto"/>
          <w:szCs w:val="21"/>
          <w:highlight w:val="none"/>
        </w:rPr>
        <w:t>采购代理机构地址：广东省东莞市南城街道鸿福路102号汇成大厦1栋406室</w:t>
      </w:r>
    </w:p>
    <w:p w14:paraId="5CB196C1">
      <w:pPr>
        <w:ind w:firstLine="420" w:firstLineChars="200"/>
        <w:rPr>
          <w:rFonts w:hint="default" w:ascii="宋体" w:hAnsi="宋体" w:eastAsia="宋体"/>
          <w:color w:val="auto"/>
          <w:szCs w:val="21"/>
          <w:highlight w:val="none"/>
          <w:lang w:val="en-US" w:eastAsia="zh-CN"/>
        </w:rPr>
      </w:pPr>
      <w:r>
        <w:rPr>
          <w:rFonts w:hint="eastAsia" w:ascii="宋体" w:hAnsi="宋体"/>
          <w:color w:val="auto"/>
          <w:szCs w:val="21"/>
          <w:highlight w:val="none"/>
        </w:rPr>
        <w:t>采购代理机构联系人：</w:t>
      </w:r>
      <w:r>
        <w:rPr>
          <w:rFonts w:hint="eastAsia" w:ascii="宋体" w:hAnsi="宋体"/>
          <w:color w:val="auto"/>
          <w:szCs w:val="21"/>
          <w:highlight w:val="none"/>
          <w:lang w:val="en-US" w:eastAsia="zh-CN"/>
        </w:rPr>
        <w:t>江小姐</w:t>
      </w:r>
    </w:p>
    <w:p w14:paraId="35FEFFB9">
      <w:pPr>
        <w:ind w:firstLine="420" w:firstLineChars="200"/>
        <w:rPr>
          <w:rFonts w:hint="default" w:ascii="宋体" w:hAnsi="宋体" w:eastAsia="宋体"/>
          <w:color w:val="auto"/>
          <w:szCs w:val="21"/>
          <w:highlight w:val="none"/>
          <w:lang w:val="en-US" w:eastAsia="zh-CN"/>
        </w:rPr>
      </w:pPr>
      <w:r>
        <w:rPr>
          <w:rFonts w:hint="eastAsia" w:ascii="宋体" w:hAnsi="宋体"/>
          <w:color w:val="auto"/>
          <w:szCs w:val="21"/>
          <w:highlight w:val="none"/>
        </w:rPr>
        <w:t>采购代理机构联系电话：</w:t>
      </w:r>
      <w:r>
        <w:rPr>
          <w:rFonts w:hint="eastAsia" w:ascii="宋体" w:hAnsi="宋体"/>
          <w:color w:val="auto"/>
          <w:szCs w:val="21"/>
          <w:highlight w:val="none"/>
          <w:lang w:val="en-US" w:eastAsia="zh-CN"/>
        </w:rPr>
        <w:t>0769-22086988</w:t>
      </w:r>
    </w:p>
    <w:p w14:paraId="229C0929">
      <w:pPr>
        <w:shd w:val="clear"/>
        <w:ind w:firstLine="420" w:firstLineChars="200"/>
        <w:rPr>
          <w:rFonts w:hint="eastAsia" w:ascii="宋体" w:hAnsi="宋体" w:eastAsia="宋体" w:cs="宋体"/>
          <w:color w:val="auto"/>
          <w:highlight w:val="none"/>
        </w:rPr>
      </w:pPr>
      <w:r>
        <w:rPr>
          <w:rFonts w:hint="eastAsia" w:ascii="宋体" w:hAnsi="宋体"/>
          <w:color w:val="auto"/>
          <w:szCs w:val="21"/>
          <w:highlight w:val="none"/>
        </w:rPr>
        <w:t>采购代理机构邮箱：</w:t>
      </w:r>
      <w:r>
        <w:rPr>
          <w:rFonts w:hint="eastAsia" w:ascii="宋体" w:hAnsi="宋体"/>
          <w:color w:val="auto"/>
          <w:szCs w:val="21"/>
          <w:highlight w:val="none"/>
          <w:lang w:val="en-US" w:eastAsia="zh-CN"/>
        </w:rPr>
        <w:t>ztxmzx@126.com</w:t>
      </w:r>
    </w:p>
    <w:p w14:paraId="07D77DE4">
      <w:pPr>
        <w:ind w:firstLine="420" w:firstLineChars="200"/>
        <w:rPr>
          <w:rFonts w:hint="eastAsia" w:ascii="宋体" w:hAnsi="宋体" w:eastAsia="宋体" w:cs="宋体"/>
          <w:color w:val="auto"/>
          <w:highlight w:val="none"/>
        </w:rPr>
      </w:pPr>
    </w:p>
    <w:p w14:paraId="7BD02600">
      <w:pPr>
        <w:ind w:right="752" w:rightChars="358"/>
        <w:jc w:val="right"/>
        <w:rPr>
          <w:rFonts w:hint="eastAsia" w:ascii="宋体" w:hAnsi="宋体" w:eastAsia="宋体" w:cs="宋体"/>
          <w:color w:val="auto"/>
          <w:highlight w:val="none"/>
        </w:rPr>
      </w:pPr>
    </w:p>
    <w:p w14:paraId="6BA9413C">
      <w:pPr>
        <w:ind w:right="752" w:rightChars="358"/>
        <w:jc w:val="right"/>
        <w:rPr>
          <w:rFonts w:hint="eastAsia" w:ascii="宋体" w:hAnsi="宋体" w:eastAsia="宋体" w:cs="宋体"/>
          <w:color w:val="auto"/>
          <w:szCs w:val="21"/>
          <w:highlight w:val="none"/>
        </w:rPr>
      </w:pPr>
      <w:r>
        <w:rPr>
          <w:rFonts w:hint="eastAsia" w:ascii="宋体" w:hAnsi="宋体" w:cs="宋体"/>
          <w:color w:val="auto"/>
          <w:szCs w:val="21"/>
          <w:highlight w:val="none"/>
          <w:lang w:eastAsia="zh-CN"/>
        </w:rPr>
        <w:t>中天项目咨询（东莞）有限公司</w:t>
      </w:r>
    </w:p>
    <w:p w14:paraId="0DDC9200">
      <w:pPr>
        <w:ind w:right="752" w:rightChars="358"/>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20</w:t>
      </w:r>
      <w:r>
        <w:rPr>
          <w:rFonts w:hint="eastAsia" w:ascii="宋体" w:hAnsi="宋体" w:eastAsia="宋体" w:cs="宋体"/>
          <w:color w:val="auto"/>
          <w:szCs w:val="21"/>
          <w:highlight w:val="none"/>
          <w:lang w:val="en-US" w:eastAsia="zh-CN"/>
        </w:rPr>
        <w:t>25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12</w:t>
      </w:r>
      <w:r>
        <w:rPr>
          <w:rFonts w:hint="eastAsia" w:ascii="宋体" w:hAnsi="宋体" w:eastAsia="宋体" w:cs="宋体"/>
          <w:color w:val="auto"/>
          <w:szCs w:val="21"/>
          <w:highlight w:val="none"/>
        </w:rPr>
        <w:t xml:space="preserve">月 </w:t>
      </w:r>
    </w:p>
    <w:p w14:paraId="2FDB16A4">
      <w:pPr>
        <w:ind w:left="6205" w:leftChars="2755" w:hanging="420" w:hangingChars="200"/>
        <w:rPr>
          <w:rFonts w:hint="eastAsia" w:ascii="宋体" w:hAnsi="宋体" w:eastAsia="宋体" w:cs="宋体"/>
          <w:color w:val="auto"/>
          <w:highlight w:val="none"/>
        </w:rPr>
      </w:pPr>
      <w:r>
        <w:rPr>
          <w:rFonts w:hint="eastAsia" w:ascii="宋体" w:hAnsi="宋体" w:eastAsia="宋体" w:cs="宋体"/>
          <w:color w:val="auto"/>
          <w:szCs w:val="21"/>
          <w:highlight w:val="none"/>
        </w:rPr>
        <w:br w:type="page"/>
      </w:r>
    </w:p>
    <w:p w14:paraId="4A4FBA3D">
      <w:pPr>
        <w:pStyle w:val="3"/>
        <w:spacing w:before="0" w:after="0" w:line="240" w:lineRule="auto"/>
        <w:rPr>
          <w:rFonts w:hint="eastAsia" w:ascii="宋体" w:hAnsi="宋体" w:eastAsia="宋体" w:cs="宋体"/>
          <w:color w:val="auto"/>
          <w:sz w:val="28"/>
          <w:szCs w:val="28"/>
          <w:highlight w:val="none"/>
        </w:rPr>
      </w:pPr>
      <w:bookmarkStart w:id="2" w:name="_Toc18500"/>
      <w:r>
        <w:rPr>
          <w:rFonts w:hint="eastAsia" w:ascii="宋体" w:hAnsi="宋体" w:eastAsia="宋体" w:cs="宋体"/>
          <w:color w:val="auto"/>
          <w:sz w:val="28"/>
          <w:szCs w:val="28"/>
          <w:highlight w:val="none"/>
        </w:rPr>
        <w:t>第二部分相关资料表格</w:t>
      </w:r>
      <w:bookmarkEnd w:id="2"/>
    </w:p>
    <w:p w14:paraId="539451DA">
      <w:pPr>
        <w:pStyle w:val="4"/>
        <w:spacing w:before="0" w:after="0" w:line="240" w:lineRule="auto"/>
        <w:jc w:val="center"/>
        <w:rPr>
          <w:rFonts w:hint="eastAsia" w:ascii="宋体" w:hAnsi="宋体" w:eastAsia="宋体" w:cs="宋体"/>
          <w:color w:val="auto"/>
          <w:sz w:val="24"/>
          <w:szCs w:val="24"/>
          <w:highlight w:val="none"/>
          <w:lang w:eastAsia="zh-CN"/>
        </w:rPr>
      </w:pPr>
      <w:bookmarkStart w:id="3" w:name="_Toc9432"/>
      <w:r>
        <w:rPr>
          <w:rFonts w:hint="eastAsia" w:ascii="宋体" w:hAnsi="宋体" w:eastAsia="宋体" w:cs="宋体"/>
          <w:color w:val="auto"/>
          <w:sz w:val="24"/>
          <w:szCs w:val="24"/>
          <w:highlight w:val="none"/>
        </w:rPr>
        <w:t>附表一：投标资料表</w:t>
      </w:r>
      <w:bookmarkEnd w:id="3"/>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无特殊说明，适用各子包</w:t>
      </w:r>
      <w:r>
        <w:rPr>
          <w:rFonts w:hint="eastAsia" w:ascii="宋体" w:hAnsi="宋体" w:cs="宋体"/>
          <w:color w:val="auto"/>
          <w:sz w:val="24"/>
          <w:szCs w:val="24"/>
          <w:highlight w:val="none"/>
          <w:lang w:eastAsia="zh-CN"/>
        </w:rPr>
        <w:t>）</w:t>
      </w:r>
    </w:p>
    <w:tbl>
      <w:tblPr>
        <w:tblStyle w:val="30"/>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43"/>
        <w:gridCol w:w="2598"/>
        <w:gridCol w:w="5269"/>
      </w:tblGrid>
      <w:tr w14:paraId="302D07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543" w:type="dxa"/>
            <w:tcBorders>
              <w:tl2br w:val="nil"/>
              <w:tr2bl w:val="nil"/>
            </w:tcBorders>
            <w:vAlign w:val="center"/>
          </w:tcPr>
          <w:p w14:paraId="0D01391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7867" w:type="dxa"/>
            <w:gridSpan w:val="2"/>
            <w:tcBorders>
              <w:tl2br w:val="nil"/>
              <w:tr2bl w:val="nil"/>
            </w:tcBorders>
            <w:vAlign w:val="center"/>
          </w:tcPr>
          <w:p w14:paraId="5CEC10FC">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r>
      <w:tr w14:paraId="08B8ED6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6A9DF7E2">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一、说明</w:t>
            </w:r>
          </w:p>
        </w:tc>
      </w:tr>
      <w:tr w14:paraId="064E05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543" w:type="dxa"/>
            <w:vMerge w:val="restart"/>
            <w:tcBorders>
              <w:tl2br w:val="nil"/>
              <w:tr2bl w:val="nil"/>
            </w:tcBorders>
            <w:vAlign w:val="center"/>
          </w:tcPr>
          <w:p w14:paraId="02814BAD">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7867" w:type="dxa"/>
            <w:gridSpan w:val="2"/>
            <w:tcBorders>
              <w:tl2br w:val="nil"/>
              <w:tr2bl w:val="nil"/>
            </w:tcBorders>
            <w:vAlign w:val="center"/>
          </w:tcPr>
          <w:p w14:paraId="546629DE">
            <w:pP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项目最高限价（</w:t>
            </w:r>
            <w:r>
              <w:rPr>
                <w:rFonts w:hint="eastAsia" w:ascii="宋体" w:hAnsi="宋体" w:eastAsia="宋体" w:cs="宋体"/>
                <w:b/>
                <w:bCs/>
                <w:color w:val="auto"/>
                <w:szCs w:val="21"/>
                <w:highlight w:val="none"/>
                <w:u w:val="single"/>
              </w:rPr>
              <w:t>单位：元</w:t>
            </w:r>
            <w:r>
              <w:rPr>
                <w:rFonts w:hint="eastAsia" w:ascii="宋体" w:hAnsi="宋体" w:eastAsia="宋体" w:cs="宋体"/>
                <w:b/>
                <w:bCs/>
                <w:color w:val="auto"/>
                <w:szCs w:val="21"/>
                <w:highlight w:val="none"/>
              </w:rPr>
              <w:t>）</w:t>
            </w:r>
          </w:p>
        </w:tc>
      </w:tr>
      <w:tr w14:paraId="0095FB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continue"/>
            <w:tcBorders>
              <w:tl2br w:val="nil"/>
              <w:tr2bl w:val="nil"/>
            </w:tcBorders>
            <w:vAlign w:val="center"/>
          </w:tcPr>
          <w:p w14:paraId="4D5221B0">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3D1FF8FF">
            <w:pPr>
              <w:rPr>
                <w:rFonts w:hint="eastAsia" w:ascii="宋体" w:hAnsi="宋体" w:eastAsia="宋体" w:cs="宋体"/>
                <w:b/>
                <w:bCs/>
                <w:color w:val="auto"/>
                <w:szCs w:val="21"/>
                <w:highlight w:val="none"/>
                <w:lang w:eastAsia="zh-CN"/>
              </w:rPr>
            </w:pPr>
            <w:r>
              <w:rPr>
                <w:rFonts w:hint="eastAsia" w:ascii="宋体" w:hAnsi="宋体" w:cs="宋体"/>
                <w:b w:val="0"/>
                <w:bCs w:val="0"/>
                <w:color w:val="auto"/>
                <w:szCs w:val="21"/>
                <w:highlight w:val="none"/>
                <w:lang w:val="en-US" w:eastAsia="zh-CN"/>
              </w:rPr>
              <w:t>包A：</w:t>
            </w:r>
            <w:r>
              <w:rPr>
                <w:rFonts w:hint="eastAsia" w:ascii="宋体" w:hAnsi="宋体" w:eastAsia="宋体" w:cs="宋体"/>
                <w:b w:val="0"/>
                <w:bCs w:val="0"/>
                <w:color w:val="auto"/>
                <w:szCs w:val="21"/>
                <w:highlight w:val="none"/>
              </w:rPr>
              <w:t>¥</w:t>
            </w:r>
            <w:r>
              <w:rPr>
                <w:rFonts w:hint="eastAsia" w:ascii="宋体" w:hAnsi="宋体" w:cs="宋体"/>
                <w:b w:val="0"/>
                <w:bCs w:val="0"/>
                <w:color w:val="auto"/>
                <w:szCs w:val="21"/>
                <w:highlight w:val="none"/>
                <w:lang w:val="en-US" w:eastAsia="zh-CN"/>
              </w:rPr>
              <w:t>14,190,000.00</w:t>
            </w:r>
            <w:r>
              <w:rPr>
                <w:rFonts w:hint="eastAsia" w:ascii="宋体" w:hAnsi="宋体" w:eastAsia="宋体" w:cs="宋体"/>
                <w:b w:val="0"/>
                <w:bCs w:val="0"/>
                <w:color w:val="auto"/>
                <w:szCs w:val="21"/>
                <w:highlight w:val="none"/>
              </w:rPr>
              <w:t>元</w:t>
            </w:r>
          </w:p>
        </w:tc>
      </w:tr>
      <w:tr w14:paraId="6333D8E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continue"/>
            <w:tcBorders>
              <w:tl2br w:val="nil"/>
              <w:tr2bl w:val="nil"/>
            </w:tcBorders>
            <w:vAlign w:val="center"/>
          </w:tcPr>
          <w:p w14:paraId="3946FB93">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790A862F">
            <w:pPr>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包B：</w:t>
            </w:r>
            <w:r>
              <w:rPr>
                <w:rFonts w:hint="eastAsia" w:ascii="宋体" w:hAnsi="宋体" w:eastAsia="宋体" w:cs="宋体"/>
                <w:b w:val="0"/>
                <w:bCs w:val="0"/>
                <w:color w:val="auto"/>
                <w:szCs w:val="21"/>
                <w:highlight w:val="none"/>
              </w:rPr>
              <w:t>¥</w:t>
            </w:r>
            <w:r>
              <w:rPr>
                <w:rFonts w:hint="eastAsia" w:ascii="宋体" w:hAnsi="宋体" w:cs="宋体"/>
                <w:b w:val="0"/>
                <w:bCs w:val="0"/>
                <w:color w:val="auto"/>
                <w:szCs w:val="21"/>
                <w:highlight w:val="none"/>
                <w:lang w:val="en-US" w:eastAsia="zh-CN"/>
              </w:rPr>
              <w:t>9,300,000.00</w:t>
            </w:r>
            <w:r>
              <w:rPr>
                <w:rFonts w:hint="eastAsia" w:ascii="宋体" w:hAnsi="宋体" w:eastAsia="宋体" w:cs="宋体"/>
                <w:b w:val="0"/>
                <w:bCs w:val="0"/>
                <w:color w:val="auto"/>
                <w:szCs w:val="21"/>
                <w:highlight w:val="none"/>
              </w:rPr>
              <w:t>元</w:t>
            </w:r>
          </w:p>
        </w:tc>
      </w:tr>
      <w:tr w14:paraId="5B7152F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restart"/>
            <w:tcBorders>
              <w:tl2br w:val="nil"/>
              <w:tr2bl w:val="nil"/>
            </w:tcBorders>
            <w:vAlign w:val="center"/>
          </w:tcPr>
          <w:p w14:paraId="5BBCA37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7867" w:type="dxa"/>
            <w:gridSpan w:val="2"/>
            <w:tcBorders>
              <w:tl2br w:val="nil"/>
              <w:tr2bl w:val="nil"/>
            </w:tcBorders>
            <w:vAlign w:val="center"/>
          </w:tcPr>
          <w:p w14:paraId="110FB06F">
            <w:pP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发包方式</w:t>
            </w:r>
          </w:p>
        </w:tc>
      </w:tr>
      <w:tr w14:paraId="70FCA33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continue"/>
            <w:tcBorders>
              <w:tl2br w:val="nil"/>
              <w:tr2bl w:val="nil"/>
            </w:tcBorders>
            <w:vAlign w:val="center"/>
          </w:tcPr>
          <w:p w14:paraId="5CA07E97">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092EF9BB">
            <w:pPr>
              <w:rPr>
                <w:rFonts w:hint="eastAsia" w:ascii="宋体" w:hAnsi="宋体" w:cs="宋体"/>
                <w:b/>
                <w:bCs/>
                <w:color w:val="auto"/>
                <w:szCs w:val="21"/>
                <w:highlight w:val="none"/>
                <w:lang w:val="en-US" w:eastAsia="zh-CN"/>
              </w:rPr>
            </w:pPr>
            <w:r>
              <w:rPr>
                <w:rFonts w:hint="eastAsia" w:ascii="宋体" w:hAnsi="宋体" w:cs="宋体"/>
                <w:b/>
                <w:bCs/>
                <w:color w:val="auto"/>
                <w:szCs w:val="21"/>
                <w:highlight w:val="none"/>
                <w:lang w:val="en-US" w:eastAsia="zh-CN"/>
              </w:rPr>
              <w:t>包A：</w:t>
            </w:r>
          </w:p>
          <w:p w14:paraId="488DE9DE">
            <w:pP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sym w:font="Wingdings" w:char="00A8"/>
            </w:r>
            <w:r>
              <w:rPr>
                <w:rFonts w:hint="eastAsia" w:ascii="宋体" w:hAnsi="宋体" w:eastAsia="宋体" w:cs="宋体"/>
                <w:b/>
                <w:bCs/>
                <w:color w:val="auto"/>
                <w:szCs w:val="21"/>
                <w:highlight w:val="none"/>
              </w:rPr>
              <w:t>固定总价包干；</w:t>
            </w:r>
          </w:p>
          <w:p w14:paraId="31D6D96F">
            <w:pP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sym w:font="Wingdings" w:char="00A8"/>
            </w:r>
            <w:r>
              <w:rPr>
                <w:rFonts w:hint="eastAsia" w:ascii="宋体" w:hAnsi="宋体" w:eastAsia="宋体" w:cs="宋体"/>
                <w:b/>
                <w:bCs/>
                <w:color w:val="auto"/>
                <w:szCs w:val="21"/>
                <w:highlight w:val="none"/>
              </w:rPr>
              <w:t>固定单价暂定总价包干；</w:t>
            </w:r>
          </w:p>
          <w:p w14:paraId="252B3789">
            <w:pPr>
              <w:rPr>
                <w:rFonts w:hint="eastAsia" w:ascii="宋体" w:hAnsi="宋体" w:eastAsia="宋体" w:cs="宋体"/>
                <w:b/>
                <w:bCs/>
                <w:color w:val="auto"/>
                <w:szCs w:val="21"/>
                <w:highlight w:val="none"/>
                <w:u w:val="single"/>
              </w:rPr>
            </w:pPr>
            <w:r>
              <w:rPr>
                <w:rFonts w:hint="eastAsia" w:ascii="宋体" w:hAnsi="宋体" w:eastAsia="宋体" w:cs="宋体"/>
                <w:b/>
                <w:bCs/>
                <w:color w:val="auto"/>
                <w:szCs w:val="21"/>
                <w:highlight w:val="none"/>
              </w:rPr>
              <w:sym w:font="Wingdings" w:char="00A8"/>
            </w:r>
            <w:r>
              <w:rPr>
                <w:rFonts w:hint="eastAsia" w:ascii="宋体" w:hAnsi="宋体" w:eastAsia="宋体" w:cs="宋体"/>
                <w:b/>
                <w:bCs/>
                <w:color w:val="auto"/>
                <w:szCs w:val="21"/>
                <w:highlight w:val="none"/>
              </w:rPr>
              <w:t>费率</w:t>
            </w:r>
            <w:r>
              <w:rPr>
                <w:rFonts w:hint="eastAsia" w:ascii="宋体" w:hAnsi="宋体" w:eastAsia="宋体" w:cs="宋体"/>
                <w:b/>
                <w:bCs/>
                <w:color w:val="auto"/>
                <w:szCs w:val="21"/>
                <w:highlight w:val="none"/>
                <w:u w:val="single"/>
              </w:rPr>
              <w:t xml:space="preserve">         ；</w:t>
            </w:r>
          </w:p>
          <w:p w14:paraId="6FDB1150">
            <w:pP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sym w:font="Wingdings" w:char="00FE"/>
            </w:r>
            <w:r>
              <w:rPr>
                <w:rFonts w:hint="eastAsia" w:ascii="宋体" w:hAnsi="宋体" w:eastAsia="宋体" w:cs="宋体"/>
                <w:b/>
                <w:bCs/>
                <w:color w:val="auto"/>
                <w:szCs w:val="21"/>
                <w:highlight w:val="none"/>
              </w:rPr>
              <w:t>其他</w:t>
            </w:r>
            <w:r>
              <w:rPr>
                <w:rFonts w:hint="eastAsia" w:ascii="宋体" w:hAnsi="宋体" w:eastAsia="宋体" w:cs="宋体"/>
                <w:b/>
                <w:bCs/>
                <w:color w:val="auto"/>
                <w:szCs w:val="21"/>
                <w:highlight w:val="none"/>
                <w:u w:val="single"/>
              </w:rPr>
              <w:t xml:space="preserve">  </w:t>
            </w:r>
            <w:r>
              <w:rPr>
                <w:rFonts w:hint="eastAsia" w:ascii="宋体" w:hAnsi="宋体" w:cs="宋体"/>
                <w:b/>
                <w:bCs/>
                <w:color w:val="auto"/>
                <w:szCs w:val="21"/>
                <w:highlight w:val="none"/>
                <w:u w:val="single"/>
                <w:lang w:val="en-US" w:eastAsia="zh-CN"/>
              </w:rPr>
              <w:t>不含税</w:t>
            </w:r>
            <w:r>
              <w:rPr>
                <w:rFonts w:hint="eastAsia" w:ascii="宋体" w:hAnsi="宋体" w:eastAsia="宋体" w:cs="宋体"/>
                <w:b/>
                <w:bCs/>
                <w:color w:val="auto"/>
                <w:szCs w:val="21"/>
                <w:highlight w:val="none"/>
                <w:u w:val="single"/>
                <w:lang w:val="en-US" w:eastAsia="zh-CN"/>
              </w:rPr>
              <w:t>下浮率</w:t>
            </w:r>
            <w:r>
              <w:rPr>
                <w:rFonts w:hint="eastAsia" w:ascii="宋体" w:hAnsi="宋体" w:eastAsia="宋体" w:cs="宋体"/>
                <w:b/>
                <w:bCs/>
                <w:color w:val="auto"/>
                <w:szCs w:val="21"/>
                <w:highlight w:val="none"/>
                <w:u w:val="single"/>
              </w:rPr>
              <w:t xml:space="preserve">  </w:t>
            </w:r>
            <w:r>
              <w:rPr>
                <w:rFonts w:hint="eastAsia" w:ascii="宋体" w:hAnsi="宋体" w:eastAsia="宋体" w:cs="宋体"/>
                <w:b/>
                <w:bCs/>
                <w:color w:val="auto"/>
                <w:szCs w:val="21"/>
                <w:highlight w:val="none"/>
              </w:rPr>
              <w:t>；</w:t>
            </w:r>
          </w:p>
        </w:tc>
      </w:tr>
      <w:tr w14:paraId="1442C0B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continue"/>
            <w:tcBorders>
              <w:tl2br w:val="nil"/>
              <w:tr2bl w:val="nil"/>
            </w:tcBorders>
            <w:vAlign w:val="center"/>
          </w:tcPr>
          <w:p w14:paraId="50B90F2A">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1CCD9B03">
            <w:pPr>
              <w:rPr>
                <w:rFonts w:hint="eastAsia" w:ascii="宋体" w:hAnsi="宋体" w:cs="宋体"/>
                <w:b/>
                <w:bCs/>
                <w:color w:val="auto"/>
                <w:szCs w:val="21"/>
                <w:highlight w:val="none"/>
                <w:lang w:val="en-US" w:eastAsia="zh-CN"/>
              </w:rPr>
            </w:pPr>
            <w:r>
              <w:rPr>
                <w:rFonts w:hint="eastAsia" w:ascii="宋体" w:hAnsi="宋体" w:cs="宋体"/>
                <w:b/>
                <w:bCs/>
                <w:color w:val="auto"/>
                <w:szCs w:val="21"/>
                <w:highlight w:val="none"/>
                <w:lang w:val="en-US" w:eastAsia="zh-CN"/>
              </w:rPr>
              <w:t>包B：</w:t>
            </w:r>
          </w:p>
          <w:p w14:paraId="46642FB2">
            <w:pP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sym w:font="Wingdings" w:char="00A8"/>
            </w:r>
            <w:r>
              <w:rPr>
                <w:rFonts w:hint="eastAsia" w:ascii="宋体" w:hAnsi="宋体" w:eastAsia="宋体" w:cs="宋体"/>
                <w:b/>
                <w:bCs/>
                <w:color w:val="auto"/>
                <w:szCs w:val="21"/>
                <w:highlight w:val="none"/>
              </w:rPr>
              <w:t>固定总价包干；</w:t>
            </w:r>
          </w:p>
          <w:p w14:paraId="5E5903FF">
            <w:pP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sym w:font="Wingdings" w:char="00FE"/>
            </w:r>
            <w:r>
              <w:rPr>
                <w:rFonts w:hint="eastAsia" w:ascii="宋体" w:hAnsi="宋体" w:cs="宋体"/>
                <w:b/>
                <w:bCs/>
                <w:color w:val="auto"/>
                <w:szCs w:val="21"/>
                <w:highlight w:val="none"/>
              </w:rPr>
              <w:t>固定不含税单价，暂定总价</w:t>
            </w:r>
            <w:r>
              <w:rPr>
                <w:rFonts w:hint="eastAsia" w:ascii="宋体" w:hAnsi="宋体" w:eastAsia="宋体" w:cs="宋体"/>
                <w:b/>
                <w:bCs/>
                <w:color w:val="auto"/>
                <w:szCs w:val="21"/>
                <w:highlight w:val="none"/>
              </w:rPr>
              <w:t>；</w:t>
            </w:r>
          </w:p>
          <w:p w14:paraId="0326DB2D">
            <w:pPr>
              <w:rPr>
                <w:rFonts w:hint="eastAsia" w:ascii="宋体" w:hAnsi="宋体" w:eastAsia="宋体" w:cs="宋体"/>
                <w:b/>
                <w:bCs/>
                <w:color w:val="auto"/>
                <w:szCs w:val="21"/>
                <w:highlight w:val="none"/>
                <w:u w:val="single"/>
              </w:rPr>
            </w:pPr>
            <w:r>
              <w:rPr>
                <w:rFonts w:hint="eastAsia" w:ascii="宋体" w:hAnsi="宋体" w:eastAsia="宋体" w:cs="宋体"/>
                <w:b/>
                <w:bCs/>
                <w:color w:val="auto"/>
                <w:szCs w:val="21"/>
                <w:highlight w:val="none"/>
              </w:rPr>
              <w:sym w:font="Wingdings" w:char="00A8"/>
            </w:r>
            <w:r>
              <w:rPr>
                <w:rFonts w:hint="eastAsia" w:ascii="宋体" w:hAnsi="宋体" w:eastAsia="宋体" w:cs="宋体"/>
                <w:b/>
                <w:bCs/>
                <w:color w:val="auto"/>
                <w:szCs w:val="21"/>
                <w:highlight w:val="none"/>
              </w:rPr>
              <w:t>费率</w:t>
            </w:r>
            <w:r>
              <w:rPr>
                <w:rFonts w:hint="eastAsia" w:ascii="宋体" w:hAnsi="宋体" w:eastAsia="宋体" w:cs="宋体"/>
                <w:b/>
                <w:bCs/>
                <w:color w:val="auto"/>
                <w:szCs w:val="21"/>
                <w:highlight w:val="none"/>
                <w:u w:val="single"/>
              </w:rPr>
              <w:t xml:space="preserve">         ；</w:t>
            </w:r>
          </w:p>
          <w:p w14:paraId="404B8E29">
            <w:pP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sym w:font="Wingdings" w:char="00A8"/>
            </w:r>
            <w:r>
              <w:rPr>
                <w:rFonts w:hint="eastAsia" w:ascii="宋体" w:hAnsi="宋体" w:eastAsia="宋体" w:cs="宋体"/>
                <w:b/>
                <w:bCs/>
                <w:color w:val="auto"/>
                <w:szCs w:val="21"/>
                <w:highlight w:val="none"/>
              </w:rPr>
              <w:t>其他</w:t>
            </w:r>
            <w:r>
              <w:rPr>
                <w:rFonts w:hint="eastAsia" w:ascii="宋体" w:hAnsi="宋体" w:eastAsia="宋体" w:cs="宋体"/>
                <w:b/>
                <w:bCs/>
                <w:color w:val="auto"/>
                <w:szCs w:val="21"/>
                <w:highlight w:val="none"/>
                <w:u w:val="single"/>
              </w:rPr>
              <w:t xml:space="preserve">    </w:t>
            </w:r>
            <w:r>
              <w:rPr>
                <w:rFonts w:hint="eastAsia" w:ascii="宋体" w:hAnsi="宋体" w:eastAsia="宋体" w:cs="宋体"/>
                <w:b/>
                <w:bCs/>
                <w:color w:val="auto"/>
                <w:szCs w:val="21"/>
                <w:highlight w:val="none"/>
              </w:rPr>
              <w:t>；</w:t>
            </w:r>
          </w:p>
        </w:tc>
      </w:tr>
      <w:tr w14:paraId="59FFD8E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restart"/>
            <w:tcBorders>
              <w:tl2br w:val="nil"/>
              <w:tr2bl w:val="nil"/>
            </w:tcBorders>
            <w:vAlign w:val="center"/>
          </w:tcPr>
          <w:p w14:paraId="3D2E72F8">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7867" w:type="dxa"/>
            <w:gridSpan w:val="2"/>
            <w:tcBorders>
              <w:tl2br w:val="nil"/>
              <w:tr2bl w:val="nil"/>
            </w:tcBorders>
            <w:vAlign w:val="center"/>
          </w:tcPr>
          <w:p w14:paraId="25D12B47">
            <w:pP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是否接受联合体投标</w:t>
            </w:r>
          </w:p>
        </w:tc>
      </w:tr>
      <w:tr w14:paraId="515B07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continue"/>
            <w:tcBorders>
              <w:tl2br w:val="nil"/>
              <w:tr2bl w:val="nil"/>
            </w:tcBorders>
            <w:vAlign w:val="center"/>
          </w:tcPr>
          <w:p w14:paraId="0D7EBB93">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5EB918FB">
            <w:pPr>
              <w:pStyle w:val="44"/>
              <w:ind w:firstLine="0" w:firstLineChars="0"/>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sym w:font="Wingdings" w:char="00A8"/>
            </w:r>
            <w:r>
              <w:rPr>
                <w:rFonts w:hint="eastAsia" w:ascii="宋体" w:hAnsi="宋体" w:eastAsia="宋体" w:cs="宋体"/>
                <w:color w:val="auto"/>
                <w:szCs w:val="21"/>
                <w:highlight w:val="none"/>
              </w:rPr>
              <w:t>是，联合体投标的，应满足下列要求：</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p>
          <w:p w14:paraId="7A949308">
            <w:pP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sym w:font="Wingdings" w:char="00FE"/>
            </w:r>
            <w:r>
              <w:rPr>
                <w:rFonts w:hint="eastAsia" w:ascii="宋体" w:hAnsi="宋体" w:eastAsia="宋体" w:cs="宋体"/>
                <w:color w:val="auto"/>
                <w:szCs w:val="21"/>
                <w:highlight w:val="none"/>
              </w:rPr>
              <w:t>否；</w:t>
            </w:r>
          </w:p>
        </w:tc>
      </w:tr>
      <w:tr w14:paraId="6E0108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543" w:type="dxa"/>
            <w:vMerge w:val="restart"/>
            <w:tcBorders>
              <w:tl2br w:val="nil"/>
              <w:tr2bl w:val="nil"/>
            </w:tcBorders>
            <w:vAlign w:val="center"/>
          </w:tcPr>
          <w:p w14:paraId="6CDAD38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7867" w:type="dxa"/>
            <w:gridSpan w:val="2"/>
            <w:tcBorders>
              <w:tl2br w:val="nil"/>
              <w:tr2bl w:val="nil"/>
            </w:tcBorders>
            <w:vAlign w:val="center"/>
          </w:tcPr>
          <w:p w14:paraId="720D5E95">
            <w:pP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资金来源</w:t>
            </w:r>
          </w:p>
        </w:tc>
      </w:tr>
      <w:tr w14:paraId="6175B9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continue"/>
            <w:tcBorders>
              <w:tl2br w:val="nil"/>
              <w:tr2bl w:val="nil"/>
            </w:tcBorders>
            <w:vAlign w:val="center"/>
          </w:tcPr>
          <w:p w14:paraId="39A49005">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62B51FA0">
            <w:pPr>
              <w:rPr>
                <w:rFonts w:hint="eastAsia" w:ascii="宋体" w:hAnsi="宋体" w:eastAsia="宋体" w:cs="宋体"/>
                <w:b/>
                <w:bCs/>
                <w:color w:val="auto"/>
                <w:szCs w:val="21"/>
                <w:highlight w:val="none"/>
              </w:rPr>
            </w:pPr>
            <w:r>
              <w:rPr>
                <w:rFonts w:hint="eastAsia" w:ascii="宋体" w:hAnsi="宋体" w:eastAsia="宋体" w:cs="宋体"/>
                <w:color w:val="auto"/>
                <w:szCs w:val="21"/>
                <w:highlight w:val="none"/>
                <w:u w:val="single"/>
              </w:rPr>
              <w:t>自筹资金。</w:t>
            </w:r>
          </w:p>
        </w:tc>
      </w:tr>
      <w:tr w14:paraId="70903B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543" w:type="dxa"/>
            <w:vMerge w:val="restart"/>
            <w:tcBorders>
              <w:tl2br w:val="nil"/>
              <w:tr2bl w:val="nil"/>
            </w:tcBorders>
            <w:vAlign w:val="center"/>
          </w:tcPr>
          <w:p w14:paraId="34EEFCAC">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7867" w:type="dxa"/>
            <w:gridSpan w:val="2"/>
            <w:tcBorders>
              <w:tl2br w:val="nil"/>
              <w:tr2bl w:val="nil"/>
            </w:tcBorders>
            <w:vAlign w:val="center"/>
          </w:tcPr>
          <w:p w14:paraId="66E8B354">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踏勘现场</w:t>
            </w:r>
          </w:p>
        </w:tc>
      </w:tr>
      <w:tr w14:paraId="639B7D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continue"/>
            <w:tcBorders>
              <w:tl2br w:val="nil"/>
              <w:tr2bl w:val="nil"/>
            </w:tcBorders>
            <w:vAlign w:val="center"/>
          </w:tcPr>
          <w:p w14:paraId="40B641F0">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4BEF04D0">
            <w:pPr>
              <w:rPr>
                <w:rFonts w:hint="eastAsia" w:ascii="宋体" w:hAnsi="宋体" w:eastAsia="宋体" w:cs="宋体"/>
                <w:bCs/>
                <w:color w:val="auto"/>
                <w:szCs w:val="21"/>
                <w:highlight w:val="none"/>
              </w:rPr>
            </w:pPr>
            <w:r>
              <w:rPr>
                <w:rFonts w:hint="eastAsia" w:ascii="宋体" w:hAnsi="宋体" w:eastAsia="宋体" w:cs="宋体"/>
                <w:b/>
                <w:bCs/>
                <w:color w:val="auto"/>
                <w:szCs w:val="21"/>
                <w:highlight w:val="none"/>
              </w:rPr>
              <w:sym w:font="Wingdings" w:char="00FE"/>
            </w:r>
            <w:r>
              <w:rPr>
                <w:rFonts w:hint="eastAsia" w:ascii="宋体" w:hAnsi="宋体" w:eastAsia="宋体" w:cs="宋体"/>
                <w:bCs/>
                <w:color w:val="auto"/>
                <w:szCs w:val="21"/>
                <w:highlight w:val="none"/>
              </w:rPr>
              <w:t>不组织 。</w:t>
            </w:r>
          </w:p>
          <w:p w14:paraId="53FA38CA">
            <w:pPr>
              <w:rPr>
                <w:rFonts w:hint="eastAsia" w:ascii="宋体" w:hAnsi="宋体" w:eastAsia="宋体" w:cs="宋体"/>
                <w:bCs/>
                <w:color w:val="auto"/>
                <w:szCs w:val="21"/>
                <w:highlight w:val="none"/>
              </w:rPr>
            </w:pPr>
            <w:r>
              <w:rPr>
                <w:rFonts w:hint="eastAsia" w:ascii="宋体" w:hAnsi="宋体" w:eastAsia="宋体" w:cs="宋体"/>
                <w:b/>
                <w:bCs/>
                <w:color w:val="auto"/>
                <w:szCs w:val="21"/>
                <w:highlight w:val="none"/>
              </w:rPr>
              <w:sym w:font="Wingdings" w:char="00A8"/>
            </w:r>
            <w:r>
              <w:rPr>
                <w:rFonts w:hint="eastAsia" w:ascii="宋体" w:hAnsi="宋体" w:eastAsia="宋体" w:cs="宋体"/>
                <w:bCs/>
                <w:color w:val="auto"/>
                <w:szCs w:val="21"/>
                <w:highlight w:val="none"/>
              </w:rPr>
              <w:t>组织，踏勘现场时间、地点：</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 xml:space="preserve">。 </w:t>
            </w:r>
          </w:p>
        </w:tc>
      </w:tr>
      <w:tr w14:paraId="066D84D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5DE695CC">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二、投标文件的编制</w:t>
            </w:r>
          </w:p>
        </w:tc>
      </w:tr>
      <w:tr w14:paraId="4615E9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543" w:type="dxa"/>
            <w:vMerge w:val="restart"/>
            <w:tcBorders>
              <w:tl2br w:val="nil"/>
              <w:tr2bl w:val="nil"/>
            </w:tcBorders>
            <w:vAlign w:val="center"/>
          </w:tcPr>
          <w:p w14:paraId="2A2C318E">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7867" w:type="dxa"/>
            <w:gridSpan w:val="2"/>
            <w:tcBorders>
              <w:tl2br w:val="nil"/>
              <w:tr2bl w:val="nil"/>
            </w:tcBorders>
            <w:vAlign w:val="center"/>
          </w:tcPr>
          <w:p w14:paraId="747BD0E1">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投标语言</w:t>
            </w:r>
          </w:p>
        </w:tc>
      </w:tr>
      <w:tr w14:paraId="79B036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continue"/>
            <w:tcBorders>
              <w:tl2br w:val="nil"/>
              <w:tr2bl w:val="nil"/>
            </w:tcBorders>
            <w:vAlign w:val="center"/>
          </w:tcPr>
          <w:p w14:paraId="2AF340C2">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46028FC2">
            <w:pPr>
              <w:rPr>
                <w:rFonts w:hint="eastAsia" w:ascii="宋体" w:hAnsi="宋体" w:eastAsia="宋体" w:cs="宋体"/>
                <w:b/>
                <w:color w:val="auto"/>
                <w:szCs w:val="21"/>
                <w:highlight w:val="none"/>
              </w:rPr>
            </w:pPr>
            <w:r>
              <w:rPr>
                <w:rFonts w:hint="eastAsia" w:ascii="宋体" w:hAnsi="宋体" w:eastAsia="宋体" w:cs="宋体"/>
                <w:color w:val="auto"/>
                <w:szCs w:val="21"/>
                <w:highlight w:val="none"/>
              </w:rPr>
              <w:t>中文。</w:t>
            </w:r>
          </w:p>
        </w:tc>
      </w:tr>
      <w:tr w14:paraId="5F4482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543" w:type="dxa"/>
            <w:vMerge w:val="restart"/>
            <w:tcBorders>
              <w:tl2br w:val="nil"/>
              <w:tr2bl w:val="nil"/>
            </w:tcBorders>
            <w:vAlign w:val="center"/>
          </w:tcPr>
          <w:p w14:paraId="50697CE3">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p>
        </w:tc>
        <w:tc>
          <w:tcPr>
            <w:tcW w:w="7867" w:type="dxa"/>
            <w:gridSpan w:val="2"/>
            <w:tcBorders>
              <w:tl2br w:val="nil"/>
              <w:tr2bl w:val="nil"/>
            </w:tcBorders>
            <w:vAlign w:val="center"/>
          </w:tcPr>
          <w:p w14:paraId="5B5D6F98">
            <w:pPr>
              <w:jc w:val="both"/>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投标报价</w:t>
            </w:r>
          </w:p>
        </w:tc>
      </w:tr>
      <w:tr w14:paraId="2B3B1E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continue"/>
            <w:tcBorders>
              <w:tl2br w:val="nil"/>
              <w:tr2bl w:val="nil"/>
            </w:tcBorders>
            <w:vAlign w:val="center"/>
          </w:tcPr>
          <w:p w14:paraId="07EE67C3">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318F60C9">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详见投标人须知。</w:t>
            </w:r>
          </w:p>
        </w:tc>
      </w:tr>
      <w:tr w14:paraId="000209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543" w:type="dxa"/>
            <w:vMerge w:val="restart"/>
            <w:tcBorders>
              <w:tl2br w:val="nil"/>
              <w:tr2bl w:val="nil"/>
            </w:tcBorders>
            <w:vAlign w:val="center"/>
          </w:tcPr>
          <w:p w14:paraId="47042813">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8</w:t>
            </w:r>
          </w:p>
        </w:tc>
        <w:tc>
          <w:tcPr>
            <w:tcW w:w="7867" w:type="dxa"/>
            <w:gridSpan w:val="2"/>
            <w:tcBorders>
              <w:tl2br w:val="nil"/>
              <w:tr2bl w:val="nil"/>
            </w:tcBorders>
            <w:vAlign w:val="center"/>
          </w:tcPr>
          <w:p w14:paraId="2285BB7A">
            <w:pPr>
              <w:jc w:val="both"/>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投标保证金</w:t>
            </w:r>
          </w:p>
        </w:tc>
      </w:tr>
      <w:tr w14:paraId="4428F2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543" w:type="dxa"/>
            <w:vMerge w:val="continue"/>
            <w:tcBorders>
              <w:tl2br w:val="nil"/>
              <w:tr2bl w:val="nil"/>
            </w:tcBorders>
            <w:vAlign w:val="center"/>
          </w:tcPr>
          <w:p w14:paraId="1AA907CE">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3D2DDDF5">
            <w:pPr>
              <w:jc w:val="left"/>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（1）包A：</w:t>
            </w:r>
            <w:r>
              <w:rPr>
                <w:rFonts w:hint="eastAsia" w:ascii="宋体" w:hAnsi="宋体" w:eastAsia="宋体" w:cs="宋体"/>
                <w:color w:val="auto"/>
                <w:szCs w:val="21"/>
                <w:highlight w:val="none"/>
              </w:rPr>
              <w:t>投标保证金金额：人民币</w:t>
            </w:r>
            <w:r>
              <w:rPr>
                <w:rFonts w:hint="eastAsia" w:ascii="宋体" w:hAnsi="宋体" w:eastAsia="宋体" w:cs="宋体"/>
                <w:b/>
                <w:color w:val="auto"/>
                <w:szCs w:val="21"/>
                <w:highlight w:val="none"/>
              </w:rPr>
              <w:t>（大写）</w:t>
            </w:r>
            <w:r>
              <w:rPr>
                <w:rFonts w:hint="eastAsia" w:ascii="宋体" w:hAnsi="宋体" w:cs="宋体"/>
                <w:b/>
                <w:color w:val="auto"/>
                <w:szCs w:val="21"/>
                <w:highlight w:val="none"/>
                <w:u w:val="single"/>
                <w:lang w:val="en-US" w:eastAsia="zh-CN"/>
              </w:rPr>
              <w:t>壹拾伍万元</w:t>
            </w:r>
            <w:r>
              <w:rPr>
                <w:rFonts w:hint="eastAsia" w:ascii="宋体" w:hAnsi="宋体" w:eastAsia="宋体" w:cs="宋体"/>
                <w:b/>
                <w:color w:val="auto"/>
                <w:szCs w:val="21"/>
                <w:highlight w:val="none"/>
                <w:u w:val="single"/>
                <w:lang w:val="en-US" w:eastAsia="zh-CN"/>
              </w:rPr>
              <w:t xml:space="preserve">整 </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w:t>
            </w:r>
            <w:r>
              <w:rPr>
                <w:rFonts w:hint="eastAsia" w:ascii="宋体" w:hAnsi="宋体" w:cs="宋体"/>
                <w:b/>
                <w:color w:val="auto"/>
                <w:szCs w:val="21"/>
                <w:highlight w:val="none"/>
                <w:u w:val="single"/>
                <w:lang w:val="en-US" w:eastAsia="zh-CN"/>
              </w:rPr>
              <w:t>150</w:t>
            </w:r>
            <w:r>
              <w:rPr>
                <w:rFonts w:hint="eastAsia" w:ascii="宋体" w:hAnsi="宋体" w:eastAsia="宋体" w:cs="宋体"/>
                <w:b/>
                <w:color w:val="auto"/>
                <w:szCs w:val="21"/>
                <w:highlight w:val="none"/>
                <w:u w:val="single"/>
                <w:lang w:val="en-US" w:eastAsia="zh-CN"/>
              </w:rPr>
              <w:t>,</w:t>
            </w:r>
            <w:r>
              <w:rPr>
                <w:rFonts w:hint="eastAsia" w:ascii="宋体" w:hAnsi="宋体" w:cs="宋体"/>
                <w:b/>
                <w:color w:val="auto"/>
                <w:szCs w:val="21"/>
                <w:highlight w:val="none"/>
                <w:u w:val="single"/>
                <w:lang w:val="en-US" w:eastAsia="zh-CN"/>
              </w:rPr>
              <w:t>0</w:t>
            </w:r>
            <w:r>
              <w:rPr>
                <w:rFonts w:hint="eastAsia" w:ascii="宋体" w:hAnsi="宋体" w:eastAsia="宋体" w:cs="宋体"/>
                <w:b/>
                <w:color w:val="auto"/>
                <w:szCs w:val="21"/>
                <w:highlight w:val="none"/>
                <w:u w:val="single"/>
                <w:lang w:val="en-US" w:eastAsia="zh-CN"/>
              </w:rPr>
              <w:t xml:space="preserve">00.00  </w:t>
            </w:r>
            <w:r>
              <w:rPr>
                <w:rFonts w:hint="eastAsia" w:ascii="宋体" w:hAnsi="宋体" w:eastAsia="宋体" w:cs="宋体"/>
                <w:color w:val="auto"/>
                <w:szCs w:val="21"/>
                <w:highlight w:val="none"/>
              </w:rPr>
              <w:t>）。</w:t>
            </w:r>
          </w:p>
        </w:tc>
      </w:tr>
      <w:tr w14:paraId="64818FB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543" w:type="dxa"/>
            <w:vMerge w:val="continue"/>
            <w:tcBorders>
              <w:tl2br w:val="nil"/>
              <w:tr2bl w:val="nil"/>
            </w:tcBorders>
            <w:vAlign w:val="center"/>
          </w:tcPr>
          <w:p w14:paraId="447085B9">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0A46B332">
            <w:pPr>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包B：</w:t>
            </w:r>
            <w:r>
              <w:rPr>
                <w:rFonts w:hint="eastAsia" w:ascii="宋体" w:hAnsi="宋体" w:eastAsia="宋体" w:cs="宋体"/>
                <w:color w:val="auto"/>
                <w:szCs w:val="21"/>
                <w:highlight w:val="none"/>
              </w:rPr>
              <w:t>投标保证金金额：人民币</w:t>
            </w:r>
            <w:r>
              <w:rPr>
                <w:rFonts w:hint="eastAsia" w:ascii="宋体" w:hAnsi="宋体" w:eastAsia="宋体" w:cs="宋体"/>
                <w:b/>
                <w:color w:val="auto"/>
                <w:szCs w:val="21"/>
                <w:highlight w:val="none"/>
              </w:rPr>
              <w:t>（大写）</w:t>
            </w:r>
            <w:r>
              <w:rPr>
                <w:rFonts w:hint="eastAsia" w:ascii="宋体" w:hAnsi="宋体" w:cs="宋体"/>
                <w:b/>
                <w:color w:val="auto"/>
                <w:szCs w:val="21"/>
                <w:highlight w:val="none"/>
                <w:u w:val="single"/>
                <w:lang w:val="en-US" w:eastAsia="zh-CN"/>
              </w:rPr>
              <w:t>壹拾万元</w:t>
            </w:r>
            <w:r>
              <w:rPr>
                <w:rFonts w:hint="eastAsia" w:ascii="宋体" w:hAnsi="宋体" w:eastAsia="宋体" w:cs="宋体"/>
                <w:b/>
                <w:color w:val="auto"/>
                <w:szCs w:val="21"/>
                <w:highlight w:val="none"/>
                <w:u w:val="single"/>
                <w:lang w:val="en-US" w:eastAsia="zh-CN"/>
              </w:rPr>
              <w:t xml:space="preserve">整 </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w:t>
            </w:r>
            <w:r>
              <w:rPr>
                <w:rFonts w:hint="eastAsia" w:ascii="宋体" w:hAnsi="宋体" w:eastAsia="宋体" w:cs="宋体"/>
                <w:b/>
                <w:color w:val="auto"/>
                <w:szCs w:val="21"/>
                <w:highlight w:val="none"/>
                <w:u w:val="single"/>
              </w:rPr>
              <w:t xml:space="preserve"> </w:t>
            </w:r>
            <w:r>
              <w:rPr>
                <w:rFonts w:hint="eastAsia" w:ascii="宋体" w:hAnsi="宋体" w:cs="宋体"/>
                <w:b/>
                <w:color w:val="auto"/>
                <w:szCs w:val="21"/>
                <w:highlight w:val="none"/>
                <w:u w:val="single"/>
                <w:lang w:val="en-US" w:eastAsia="zh-CN"/>
              </w:rPr>
              <w:t>100</w:t>
            </w:r>
            <w:r>
              <w:rPr>
                <w:rFonts w:hint="eastAsia" w:ascii="宋体" w:hAnsi="宋体" w:eastAsia="宋体" w:cs="宋体"/>
                <w:b/>
                <w:color w:val="auto"/>
                <w:szCs w:val="21"/>
                <w:highlight w:val="none"/>
                <w:u w:val="single"/>
                <w:lang w:val="en-US" w:eastAsia="zh-CN"/>
              </w:rPr>
              <w:t>,</w:t>
            </w:r>
            <w:r>
              <w:rPr>
                <w:rFonts w:hint="eastAsia" w:ascii="宋体" w:hAnsi="宋体" w:cs="宋体"/>
                <w:b/>
                <w:color w:val="auto"/>
                <w:szCs w:val="21"/>
                <w:highlight w:val="none"/>
                <w:u w:val="single"/>
                <w:lang w:val="en-US" w:eastAsia="zh-CN"/>
              </w:rPr>
              <w:t>0</w:t>
            </w:r>
            <w:r>
              <w:rPr>
                <w:rFonts w:hint="eastAsia" w:ascii="宋体" w:hAnsi="宋体" w:eastAsia="宋体" w:cs="宋体"/>
                <w:b/>
                <w:color w:val="auto"/>
                <w:szCs w:val="21"/>
                <w:highlight w:val="none"/>
                <w:u w:val="single"/>
                <w:lang w:val="en-US" w:eastAsia="zh-CN"/>
              </w:rPr>
              <w:t xml:space="preserve">00.00  </w:t>
            </w:r>
            <w:r>
              <w:rPr>
                <w:rFonts w:hint="eastAsia" w:ascii="宋体" w:hAnsi="宋体" w:eastAsia="宋体" w:cs="宋体"/>
                <w:color w:val="auto"/>
                <w:szCs w:val="21"/>
                <w:highlight w:val="none"/>
              </w:rPr>
              <w:t>）。</w:t>
            </w:r>
          </w:p>
        </w:tc>
      </w:tr>
      <w:tr w14:paraId="2D16639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543" w:type="dxa"/>
            <w:vMerge w:val="continue"/>
            <w:tcBorders>
              <w:tl2br w:val="nil"/>
              <w:tr2bl w:val="nil"/>
            </w:tcBorders>
            <w:vAlign w:val="center"/>
          </w:tcPr>
          <w:p w14:paraId="2F24249A">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751C9163">
            <w:pPr>
              <w:tabs>
                <w:tab w:val="left" w:pos="567"/>
              </w:tabs>
              <w:jc w:val="both"/>
              <w:rPr>
                <w:rFonts w:hint="eastAsia" w:ascii="宋体" w:hAnsi="宋体" w:eastAsia="宋体" w:cs="宋体"/>
                <w:color w:val="auto"/>
                <w:kern w:val="2"/>
                <w:szCs w:val="21"/>
                <w:highlight w:val="none"/>
                <w:lang w:val="zh-CN"/>
              </w:rPr>
            </w:pP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w:t>
            </w:r>
            <w:r>
              <w:rPr>
                <w:rFonts w:hint="eastAsia" w:ascii="宋体" w:hAnsi="宋体" w:eastAsia="宋体" w:cs="宋体"/>
                <w:color w:val="auto"/>
                <w:kern w:val="2"/>
                <w:szCs w:val="21"/>
                <w:highlight w:val="none"/>
                <w:lang w:val="zh-CN"/>
              </w:rPr>
              <w:t>投标保证金采用转</w:t>
            </w:r>
            <w:r>
              <w:rPr>
                <w:rFonts w:hint="eastAsia" w:ascii="宋体" w:hAnsi="宋体" w:eastAsia="宋体" w:cs="宋体"/>
                <w:color w:val="auto"/>
                <w:kern w:val="2"/>
                <w:szCs w:val="21"/>
                <w:highlight w:val="none"/>
                <w:lang w:val="en-US" w:eastAsia="zh-CN"/>
              </w:rPr>
              <w:t>账</w:t>
            </w:r>
            <w:r>
              <w:rPr>
                <w:rFonts w:hint="eastAsia" w:ascii="宋体" w:hAnsi="宋体" w:eastAsia="宋体" w:cs="宋体"/>
                <w:color w:val="auto"/>
                <w:kern w:val="2"/>
                <w:szCs w:val="21"/>
                <w:highlight w:val="none"/>
                <w:lang w:val="zh-CN"/>
              </w:rPr>
              <w:t>、电汇方式提交，应符合以下要求：采用银行转账、电汇方式提交的，保证金汇入以下投标保证金专用账户，不接收由以投标人分支机构、私人</w:t>
            </w:r>
            <w:r>
              <w:rPr>
                <w:rFonts w:hint="eastAsia" w:ascii="宋体" w:hAnsi="宋体" w:eastAsia="宋体" w:cs="宋体"/>
                <w:color w:val="auto"/>
                <w:kern w:val="2"/>
                <w:szCs w:val="21"/>
                <w:highlight w:val="none"/>
                <w:lang w:val="en-US" w:eastAsia="zh-CN"/>
              </w:rPr>
              <w:t>账</w:t>
            </w:r>
            <w:r>
              <w:rPr>
                <w:rFonts w:hint="eastAsia" w:ascii="宋体" w:hAnsi="宋体" w:eastAsia="宋体" w:cs="宋体"/>
                <w:color w:val="auto"/>
                <w:kern w:val="2"/>
                <w:szCs w:val="21"/>
                <w:highlight w:val="none"/>
                <w:lang w:val="zh-CN"/>
              </w:rPr>
              <w:t>户和其他单位转入的保证金。投标保证金必须在投标文件递交截止前到账，投标保证金未按规定时间到达指定账户或提交金额不足的，将被视为无效投标。且在备注或用途中注明本项目的项目编号。</w:t>
            </w:r>
          </w:p>
          <w:p w14:paraId="6406325F">
            <w:pPr>
              <w:tabs>
                <w:tab w:val="left" w:pos="567"/>
              </w:tabs>
              <w:ind w:left="567" w:hanging="567"/>
              <w:jc w:val="both"/>
              <w:rPr>
                <w:rFonts w:hint="eastAsia" w:ascii="宋体" w:hAnsi="宋体" w:eastAsia="宋体" w:cs="宋体"/>
                <w:color w:val="auto"/>
                <w:kern w:val="2"/>
                <w:szCs w:val="21"/>
                <w:highlight w:val="none"/>
                <w:lang w:val="zh-CN"/>
              </w:rPr>
            </w:pPr>
            <w:r>
              <w:rPr>
                <w:rFonts w:hint="eastAsia" w:ascii="宋体" w:hAnsi="宋体" w:eastAsia="宋体" w:cs="宋体"/>
                <w:color w:val="auto"/>
                <w:kern w:val="2"/>
                <w:szCs w:val="21"/>
                <w:highlight w:val="none"/>
                <w:lang w:val="zh-CN"/>
              </w:rPr>
              <w:t>投标保证金专用账户如下：</w:t>
            </w:r>
          </w:p>
          <w:p w14:paraId="62F22B67">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en-US" w:eastAsia="zh-CN"/>
              </w:rPr>
              <w:t>账</w:t>
            </w:r>
            <w:r>
              <w:rPr>
                <w:rFonts w:hint="eastAsia" w:hAnsi="宋体" w:cs="宋体"/>
                <w:color w:val="auto"/>
                <w:kern w:val="2"/>
                <w:szCs w:val="21"/>
                <w:highlight w:val="none"/>
                <w:lang w:val="zh-CN"/>
              </w:rPr>
              <w:t xml:space="preserve">户名称： </w:t>
            </w:r>
            <w:r>
              <w:rPr>
                <w:rFonts w:hint="eastAsia" w:hAnsi="宋体" w:cs="宋体"/>
                <w:color w:val="auto"/>
                <w:kern w:val="2"/>
                <w:szCs w:val="21"/>
                <w:highlight w:val="none"/>
                <w:u w:val="single"/>
              </w:rPr>
              <w:t xml:space="preserve"> 东莞迎宾馆酒店有限公司 </w:t>
            </w:r>
            <w:r>
              <w:rPr>
                <w:rFonts w:hint="eastAsia" w:hAnsi="宋体" w:cs="宋体"/>
                <w:color w:val="auto"/>
                <w:kern w:val="2"/>
                <w:szCs w:val="21"/>
                <w:highlight w:val="none"/>
                <w:lang w:val="zh-CN"/>
              </w:rPr>
              <w:t>；</w:t>
            </w:r>
          </w:p>
          <w:p w14:paraId="36C14D58">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 xml:space="preserve">开户银行： </w:t>
            </w:r>
            <w:r>
              <w:rPr>
                <w:rFonts w:hint="eastAsia" w:hAnsi="宋体" w:cs="宋体"/>
                <w:color w:val="auto"/>
                <w:kern w:val="2"/>
                <w:szCs w:val="21"/>
                <w:highlight w:val="none"/>
                <w:u w:val="single"/>
              </w:rPr>
              <w:t xml:space="preserve"> 东莞银行东莞分行营业部   </w:t>
            </w:r>
            <w:r>
              <w:rPr>
                <w:rFonts w:hint="eastAsia" w:hAnsi="宋体" w:cs="宋体"/>
                <w:color w:val="auto"/>
                <w:kern w:val="2"/>
                <w:szCs w:val="21"/>
                <w:highlight w:val="none"/>
                <w:lang w:val="zh-CN"/>
              </w:rPr>
              <w:t>；</w:t>
            </w:r>
          </w:p>
          <w:p w14:paraId="2A1340E3">
            <w:pPr>
              <w:tabs>
                <w:tab w:val="left" w:pos="567"/>
              </w:tabs>
              <w:ind w:firstLine="420" w:firstLineChars="200"/>
              <w:jc w:val="both"/>
              <w:rPr>
                <w:rFonts w:hint="eastAsia" w:hAnsi="宋体" w:eastAsia="宋体" w:cs="宋体"/>
                <w:color w:val="auto"/>
                <w:kern w:val="2"/>
                <w:szCs w:val="21"/>
                <w:highlight w:val="none"/>
                <w:lang w:val="zh-CN" w:eastAsia="zh-CN"/>
              </w:rPr>
            </w:pPr>
            <w:r>
              <w:rPr>
                <w:rFonts w:hint="eastAsia" w:hAnsi="宋体" w:cs="宋体"/>
                <w:color w:val="auto"/>
                <w:kern w:val="2"/>
                <w:szCs w:val="21"/>
                <w:highlight w:val="none"/>
                <w:lang w:val="zh-CN"/>
              </w:rPr>
              <w:t>银行</w:t>
            </w:r>
            <w:r>
              <w:rPr>
                <w:rFonts w:hint="eastAsia" w:hAnsi="宋体" w:cs="宋体"/>
                <w:color w:val="auto"/>
                <w:kern w:val="2"/>
                <w:szCs w:val="21"/>
                <w:highlight w:val="none"/>
                <w:lang w:val="en-US" w:eastAsia="zh-CN"/>
              </w:rPr>
              <w:t>账</w:t>
            </w:r>
            <w:r>
              <w:rPr>
                <w:rFonts w:hint="eastAsia" w:hAnsi="宋体" w:cs="宋体"/>
                <w:color w:val="auto"/>
                <w:kern w:val="2"/>
                <w:szCs w:val="21"/>
                <w:highlight w:val="none"/>
                <w:lang w:val="zh-CN"/>
              </w:rPr>
              <w:t xml:space="preserve">号： </w:t>
            </w:r>
            <w:r>
              <w:rPr>
                <w:rFonts w:hint="eastAsia" w:hAnsi="宋体" w:cs="宋体"/>
                <w:color w:val="auto"/>
                <w:kern w:val="2"/>
                <w:szCs w:val="21"/>
                <w:highlight w:val="none"/>
                <w:u w:val="single"/>
              </w:rPr>
              <w:t xml:space="preserve"> </w:t>
            </w:r>
            <w:r>
              <w:rPr>
                <w:rFonts w:hint="eastAsia" w:ascii="宋体" w:hAnsi="宋体" w:eastAsia="宋体" w:cs="宋体"/>
                <w:color w:val="auto"/>
                <w:kern w:val="2"/>
                <w:szCs w:val="21"/>
                <w:highlight w:val="none"/>
                <w:u w:val="single"/>
              </w:rPr>
              <w:t>540008801001488</w:t>
            </w:r>
            <w:r>
              <w:rPr>
                <w:rFonts w:hint="eastAsia" w:ascii="宋体" w:hAnsi="宋体" w:cs="宋体"/>
                <w:color w:val="auto"/>
                <w:kern w:val="2"/>
                <w:szCs w:val="21"/>
                <w:highlight w:val="none"/>
                <w:u w:val="single"/>
                <w:lang w:val="en-US" w:eastAsia="zh-CN"/>
              </w:rPr>
              <w:t xml:space="preserve"> </w:t>
            </w:r>
            <w:r>
              <w:rPr>
                <w:rFonts w:hint="eastAsia" w:ascii="宋体" w:hAnsi="宋体" w:eastAsia="宋体" w:cs="宋体"/>
                <w:color w:val="auto"/>
                <w:kern w:val="2"/>
                <w:szCs w:val="21"/>
                <w:highlight w:val="none"/>
                <w:u w:val="single"/>
              </w:rPr>
              <w:t xml:space="preserve"> </w:t>
            </w:r>
            <w:r>
              <w:rPr>
                <w:rFonts w:hint="eastAsia" w:hAnsi="宋体" w:cs="宋体"/>
                <w:color w:val="auto"/>
                <w:kern w:val="2"/>
                <w:szCs w:val="21"/>
                <w:highlight w:val="none"/>
                <w:u w:val="single"/>
                <w:lang w:eastAsia="zh-CN"/>
              </w:rPr>
              <w:t>。</w:t>
            </w:r>
          </w:p>
          <w:p w14:paraId="0BDF1D62">
            <w:pPr>
              <w:tabs>
                <w:tab w:val="left" w:pos="567"/>
              </w:tabs>
              <w:ind w:firstLine="422" w:firstLineChars="200"/>
              <w:jc w:val="both"/>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（注</w:t>
            </w:r>
            <w:r>
              <w:rPr>
                <w:rFonts w:hint="eastAsia" w:ascii="宋体" w:hAnsi="宋体" w:eastAsia="宋体" w:cs="宋体"/>
                <w:b/>
                <w:bCs w:val="0"/>
                <w:color w:val="auto"/>
                <w:szCs w:val="21"/>
                <w:highlight w:val="none"/>
              </w:rPr>
              <w:t>：各投标人在转</w:t>
            </w:r>
            <w:r>
              <w:rPr>
                <w:rFonts w:hint="eastAsia" w:ascii="宋体" w:hAnsi="宋体" w:eastAsia="宋体" w:cs="宋体"/>
                <w:b/>
                <w:bCs w:val="0"/>
                <w:color w:val="auto"/>
                <w:kern w:val="2"/>
                <w:szCs w:val="21"/>
                <w:highlight w:val="none"/>
                <w:lang w:val="en-US" w:eastAsia="zh-CN"/>
              </w:rPr>
              <w:t>账</w:t>
            </w:r>
            <w:r>
              <w:rPr>
                <w:rFonts w:hint="eastAsia" w:ascii="宋体" w:hAnsi="宋体" w:eastAsia="宋体" w:cs="宋体"/>
                <w:b/>
                <w:bCs w:val="0"/>
                <w:color w:val="auto"/>
                <w:szCs w:val="21"/>
                <w:highlight w:val="none"/>
              </w:rPr>
              <w:t>或电汇时须在用途栏上备注项目编号，及</w:t>
            </w:r>
            <w:r>
              <w:rPr>
                <w:rFonts w:hint="eastAsia" w:ascii="宋体" w:hAnsi="宋体" w:cs="宋体"/>
                <w:b/>
                <w:bCs w:val="0"/>
                <w:color w:val="auto"/>
                <w:szCs w:val="21"/>
                <w:highlight w:val="none"/>
                <w:lang w:val="en-US" w:eastAsia="zh-CN"/>
              </w:rPr>
              <w:t>包号</w:t>
            </w:r>
            <w:r>
              <w:rPr>
                <w:rFonts w:hint="eastAsia" w:ascii="宋体" w:hAnsi="宋体" w:eastAsia="宋体" w:cs="宋体"/>
                <w:b/>
                <w:bCs w:val="0"/>
                <w:color w:val="auto"/>
                <w:szCs w:val="21"/>
                <w:highlight w:val="none"/>
              </w:rPr>
              <w:t>，如有字数限制项目名称可简写。）</w:t>
            </w:r>
          </w:p>
        </w:tc>
      </w:tr>
      <w:tr w14:paraId="4207603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543" w:type="dxa"/>
            <w:vMerge w:val="restart"/>
            <w:tcBorders>
              <w:tl2br w:val="nil"/>
              <w:tr2bl w:val="nil"/>
            </w:tcBorders>
            <w:vAlign w:val="center"/>
          </w:tcPr>
          <w:p w14:paraId="11BBAA5B">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9</w:t>
            </w:r>
          </w:p>
        </w:tc>
        <w:tc>
          <w:tcPr>
            <w:tcW w:w="7867" w:type="dxa"/>
            <w:gridSpan w:val="2"/>
            <w:tcBorders>
              <w:tl2br w:val="nil"/>
              <w:tr2bl w:val="nil"/>
            </w:tcBorders>
            <w:vAlign w:val="center"/>
          </w:tcPr>
          <w:p w14:paraId="717D6B90">
            <w:pPr>
              <w:jc w:val="both"/>
              <w:rPr>
                <w:rFonts w:hint="eastAsia" w:ascii="宋体" w:hAnsi="宋体" w:eastAsia="宋体" w:cs="宋体"/>
                <w:b/>
                <w:bCs/>
                <w:color w:val="auto"/>
                <w:szCs w:val="21"/>
                <w:highlight w:val="none"/>
                <w:lang w:val="zh-CN"/>
              </w:rPr>
            </w:pPr>
            <w:r>
              <w:rPr>
                <w:rFonts w:hint="eastAsia" w:ascii="宋体" w:hAnsi="宋体" w:eastAsia="宋体" w:cs="宋体"/>
                <w:b/>
                <w:bCs/>
                <w:color w:val="auto"/>
                <w:szCs w:val="21"/>
                <w:highlight w:val="none"/>
                <w:lang w:val="zh-CN"/>
              </w:rPr>
              <w:t>投标保证金退还</w:t>
            </w:r>
          </w:p>
        </w:tc>
      </w:tr>
      <w:tr w14:paraId="5ADA49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535" w:hRule="atLeast"/>
        </w:trPr>
        <w:tc>
          <w:tcPr>
            <w:tcW w:w="543" w:type="dxa"/>
            <w:vMerge w:val="continue"/>
            <w:tcBorders>
              <w:tl2br w:val="nil"/>
              <w:tr2bl w:val="nil"/>
            </w:tcBorders>
            <w:vAlign w:val="center"/>
          </w:tcPr>
          <w:p w14:paraId="2B06C8C2">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090EC15E">
            <w:pPr>
              <w:jc w:val="both"/>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）未中标的投标人的保证金应当在中标通知书发出后退还，中标</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lang w:val="zh-CN"/>
              </w:rPr>
              <w:t>投标人的保证金应当在采购合同签订</w:t>
            </w:r>
            <w:r>
              <w:rPr>
                <w:rFonts w:hint="eastAsia" w:ascii="宋体" w:hAnsi="宋体" w:eastAsia="宋体" w:cs="宋体"/>
                <w:color w:val="auto"/>
                <w:szCs w:val="21"/>
                <w:highlight w:val="none"/>
              </w:rPr>
              <w:t>并缴纳履约保证金</w:t>
            </w:r>
            <w:r>
              <w:rPr>
                <w:rFonts w:hint="eastAsia" w:ascii="宋体" w:hAnsi="宋体" w:eastAsia="宋体" w:cs="宋体"/>
                <w:color w:val="auto"/>
                <w:szCs w:val="21"/>
                <w:highlight w:val="none"/>
                <w:lang w:val="zh-CN"/>
              </w:rPr>
              <w:t>后退还。</w:t>
            </w:r>
          </w:p>
          <w:p w14:paraId="641AF726">
            <w:pPr>
              <w:jc w:val="both"/>
              <w:rPr>
                <w:rFonts w:hint="eastAsia" w:ascii="宋体" w:hAnsi="宋体" w:eastAsia="宋体" w:cs="宋体"/>
                <w:color w:val="auto"/>
                <w:highlight w:val="none"/>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）为方便退还未中标的投标人的保证金，投标人应制作《投标保证金汇入情况说明》随唱标信封一并递交。</w:t>
            </w:r>
          </w:p>
        </w:tc>
      </w:tr>
      <w:tr w14:paraId="5421BB5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543" w:type="dxa"/>
            <w:vMerge w:val="restart"/>
            <w:tcBorders>
              <w:tl2br w:val="nil"/>
              <w:tr2bl w:val="nil"/>
            </w:tcBorders>
            <w:vAlign w:val="center"/>
          </w:tcPr>
          <w:p w14:paraId="7DF91D1E">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7867" w:type="dxa"/>
            <w:gridSpan w:val="2"/>
            <w:tcBorders>
              <w:tl2br w:val="nil"/>
              <w:tr2bl w:val="nil"/>
            </w:tcBorders>
            <w:vAlign w:val="center"/>
          </w:tcPr>
          <w:p w14:paraId="6231B09A">
            <w:pPr>
              <w:jc w:val="both"/>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投标有效期</w:t>
            </w:r>
          </w:p>
        </w:tc>
      </w:tr>
      <w:tr w14:paraId="0E77E8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continue"/>
            <w:tcBorders>
              <w:tl2br w:val="nil"/>
              <w:tr2bl w:val="nil"/>
            </w:tcBorders>
            <w:vAlign w:val="center"/>
          </w:tcPr>
          <w:p w14:paraId="367E2A58">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1236ADE7">
            <w:pPr>
              <w:jc w:val="both"/>
              <w:rPr>
                <w:rFonts w:hint="eastAsia" w:ascii="宋体" w:hAnsi="宋体" w:eastAsia="宋体" w:cs="宋体"/>
                <w:b/>
                <w:color w:val="auto"/>
                <w:szCs w:val="21"/>
                <w:highlight w:val="none"/>
              </w:rPr>
            </w:pPr>
            <w:r>
              <w:rPr>
                <w:rFonts w:hint="eastAsia" w:ascii="宋体" w:hAnsi="宋体" w:eastAsia="宋体" w:cs="宋体"/>
                <w:color w:val="auto"/>
                <w:szCs w:val="21"/>
                <w:highlight w:val="none"/>
              </w:rPr>
              <w:t>九十天。</w:t>
            </w:r>
          </w:p>
        </w:tc>
      </w:tr>
      <w:tr w14:paraId="77FA536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543" w:type="dxa"/>
            <w:vMerge w:val="restart"/>
            <w:tcBorders>
              <w:tl2br w:val="nil"/>
              <w:tr2bl w:val="nil"/>
            </w:tcBorders>
            <w:vAlign w:val="center"/>
          </w:tcPr>
          <w:p w14:paraId="6E9E2123">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w:t>
            </w:r>
          </w:p>
        </w:tc>
        <w:tc>
          <w:tcPr>
            <w:tcW w:w="7867" w:type="dxa"/>
            <w:gridSpan w:val="2"/>
            <w:tcBorders>
              <w:tl2br w:val="nil"/>
              <w:tr2bl w:val="nil"/>
            </w:tcBorders>
            <w:vAlign w:val="center"/>
          </w:tcPr>
          <w:p w14:paraId="6730F985">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2BCD25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543" w:type="dxa"/>
            <w:vMerge w:val="continue"/>
            <w:tcBorders>
              <w:tl2br w:val="nil"/>
              <w:tr2bl w:val="nil"/>
            </w:tcBorders>
            <w:vAlign w:val="center"/>
          </w:tcPr>
          <w:p w14:paraId="5E71E853">
            <w:pPr>
              <w:jc w:val="center"/>
              <w:rPr>
                <w:rFonts w:hint="eastAsia" w:ascii="宋体" w:hAnsi="宋体" w:eastAsia="宋体" w:cs="宋体"/>
                <w:color w:val="auto"/>
                <w:szCs w:val="21"/>
                <w:highlight w:val="none"/>
              </w:rPr>
            </w:pPr>
          </w:p>
        </w:tc>
        <w:tc>
          <w:tcPr>
            <w:tcW w:w="2598" w:type="dxa"/>
            <w:tcBorders>
              <w:tl2br w:val="nil"/>
              <w:tr2bl w:val="nil"/>
            </w:tcBorders>
            <w:vAlign w:val="center"/>
          </w:tcPr>
          <w:p w14:paraId="166FA7AC">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投标文件类型</w:t>
            </w:r>
          </w:p>
        </w:tc>
        <w:tc>
          <w:tcPr>
            <w:tcW w:w="5269" w:type="dxa"/>
            <w:tcBorders>
              <w:tl2br w:val="nil"/>
              <w:tr2bl w:val="nil"/>
            </w:tcBorders>
            <w:vAlign w:val="center"/>
          </w:tcPr>
          <w:p w14:paraId="50C7BA15">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份数</w:t>
            </w:r>
          </w:p>
        </w:tc>
      </w:tr>
      <w:tr w14:paraId="045C1C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543" w:type="dxa"/>
            <w:vMerge w:val="continue"/>
            <w:tcBorders>
              <w:tl2br w:val="nil"/>
              <w:tr2bl w:val="nil"/>
            </w:tcBorders>
            <w:vAlign w:val="center"/>
          </w:tcPr>
          <w:p w14:paraId="1536E590">
            <w:pPr>
              <w:jc w:val="center"/>
              <w:rPr>
                <w:rFonts w:hint="eastAsia" w:ascii="宋体" w:hAnsi="宋体" w:eastAsia="宋体" w:cs="宋体"/>
                <w:color w:val="auto"/>
                <w:szCs w:val="21"/>
                <w:highlight w:val="none"/>
              </w:rPr>
            </w:pPr>
          </w:p>
        </w:tc>
        <w:tc>
          <w:tcPr>
            <w:tcW w:w="2598" w:type="dxa"/>
            <w:tcBorders>
              <w:tl2br w:val="nil"/>
              <w:tr2bl w:val="nil"/>
            </w:tcBorders>
            <w:vAlign w:val="center"/>
          </w:tcPr>
          <w:p w14:paraId="1F5AE700">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唱标信封</w:t>
            </w:r>
          </w:p>
        </w:tc>
        <w:tc>
          <w:tcPr>
            <w:tcW w:w="5269" w:type="dxa"/>
            <w:tcBorders>
              <w:tl2br w:val="nil"/>
              <w:tr2bl w:val="nil"/>
            </w:tcBorders>
            <w:vAlign w:val="center"/>
          </w:tcPr>
          <w:p w14:paraId="52411269">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w:t>
            </w:r>
          </w:p>
        </w:tc>
      </w:tr>
      <w:tr w14:paraId="139581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543" w:type="dxa"/>
            <w:vMerge w:val="continue"/>
            <w:tcBorders>
              <w:tl2br w:val="nil"/>
              <w:tr2bl w:val="nil"/>
            </w:tcBorders>
            <w:vAlign w:val="center"/>
          </w:tcPr>
          <w:p w14:paraId="12778FED">
            <w:pPr>
              <w:jc w:val="center"/>
              <w:rPr>
                <w:rFonts w:hint="eastAsia" w:ascii="宋体" w:hAnsi="宋体" w:eastAsia="宋体" w:cs="宋体"/>
                <w:color w:val="auto"/>
                <w:szCs w:val="21"/>
                <w:highlight w:val="none"/>
              </w:rPr>
            </w:pPr>
          </w:p>
        </w:tc>
        <w:tc>
          <w:tcPr>
            <w:tcW w:w="2598" w:type="dxa"/>
            <w:tcBorders>
              <w:tl2br w:val="nil"/>
              <w:tr2bl w:val="nil"/>
            </w:tcBorders>
            <w:vAlign w:val="center"/>
          </w:tcPr>
          <w:p w14:paraId="40A22A3F">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投标文件正本</w:t>
            </w:r>
          </w:p>
        </w:tc>
        <w:tc>
          <w:tcPr>
            <w:tcW w:w="5269" w:type="dxa"/>
            <w:tcBorders>
              <w:tl2br w:val="nil"/>
              <w:tr2bl w:val="nil"/>
            </w:tcBorders>
            <w:vAlign w:val="center"/>
          </w:tcPr>
          <w:p w14:paraId="2B95167C">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w:t>
            </w:r>
          </w:p>
        </w:tc>
      </w:tr>
      <w:tr w14:paraId="3D074C7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543" w:type="dxa"/>
            <w:vMerge w:val="continue"/>
            <w:tcBorders>
              <w:tl2br w:val="nil"/>
              <w:tr2bl w:val="nil"/>
            </w:tcBorders>
            <w:vAlign w:val="center"/>
          </w:tcPr>
          <w:p w14:paraId="1B33A7D4">
            <w:pPr>
              <w:jc w:val="center"/>
              <w:rPr>
                <w:rFonts w:hint="eastAsia" w:ascii="宋体" w:hAnsi="宋体" w:eastAsia="宋体" w:cs="宋体"/>
                <w:color w:val="auto"/>
                <w:szCs w:val="21"/>
                <w:highlight w:val="none"/>
              </w:rPr>
            </w:pPr>
          </w:p>
        </w:tc>
        <w:tc>
          <w:tcPr>
            <w:tcW w:w="2598" w:type="dxa"/>
            <w:tcBorders>
              <w:tl2br w:val="nil"/>
              <w:tr2bl w:val="nil"/>
            </w:tcBorders>
            <w:vAlign w:val="center"/>
          </w:tcPr>
          <w:p w14:paraId="7D2EE12C">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投标文件副本</w:t>
            </w:r>
          </w:p>
        </w:tc>
        <w:tc>
          <w:tcPr>
            <w:tcW w:w="5269" w:type="dxa"/>
            <w:tcBorders>
              <w:tl2br w:val="nil"/>
              <w:tr2bl w:val="nil"/>
            </w:tcBorders>
            <w:vAlign w:val="center"/>
          </w:tcPr>
          <w:p w14:paraId="30398D0F">
            <w:pPr>
              <w:jc w:val="center"/>
              <w:rPr>
                <w:rFonts w:hint="eastAsia" w:ascii="宋体" w:hAnsi="宋体" w:eastAsia="宋体" w:cs="宋体"/>
                <w:b/>
                <w:color w:val="auto"/>
                <w:szCs w:val="21"/>
                <w:highlight w:val="none"/>
              </w:rPr>
            </w:pPr>
            <w:r>
              <w:rPr>
                <w:rFonts w:hint="eastAsia" w:ascii="宋体" w:hAnsi="宋体" w:eastAsia="宋体" w:cs="宋体"/>
                <w:b/>
                <w:bCs/>
                <w:color w:val="auto"/>
                <w:szCs w:val="21"/>
                <w:highlight w:val="none"/>
              </w:rPr>
              <w:sym w:font="Wingdings" w:char="00A8"/>
            </w:r>
            <w:r>
              <w:rPr>
                <w:rFonts w:hint="eastAsia" w:ascii="宋体" w:hAnsi="宋体" w:eastAsia="宋体" w:cs="宋体"/>
                <w:b/>
                <w:color w:val="auto"/>
                <w:szCs w:val="21"/>
                <w:highlight w:val="none"/>
              </w:rPr>
              <w:t xml:space="preserve">5  </w:t>
            </w:r>
            <w:r>
              <w:rPr>
                <w:rFonts w:hint="eastAsia" w:ascii="宋体" w:hAnsi="宋体" w:eastAsia="宋体" w:cs="宋体"/>
                <w:b/>
                <w:bCs/>
                <w:color w:val="auto"/>
                <w:szCs w:val="21"/>
                <w:highlight w:val="none"/>
              </w:rPr>
              <w:sym w:font="Wingdings" w:char="00FE"/>
            </w:r>
            <w:r>
              <w:rPr>
                <w:rFonts w:hint="eastAsia" w:ascii="宋体" w:hAnsi="宋体" w:eastAsia="宋体" w:cs="宋体"/>
                <w:b/>
                <w:color w:val="auto"/>
                <w:szCs w:val="21"/>
                <w:highlight w:val="none"/>
              </w:rPr>
              <w:t>7</w:t>
            </w:r>
          </w:p>
        </w:tc>
      </w:tr>
      <w:tr w14:paraId="08529F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543" w:type="dxa"/>
            <w:vMerge w:val="continue"/>
            <w:tcBorders>
              <w:tl2br w:val="nil"/>
              <w:tr2bl w:val="nil"/>
            </w:tcBorders>
            <w:vAlign w:val="center"/>
          </w:tcPr>
          <w:p w14:paraId="1DD1759E">
            <w:pPr>
              <w:jc w:val="center"/>
              <w:rPr>
                <w:rFonts w:hint="eastAsia" w:ascii="宋体" w:hAnsi="宋体" w:eastAsia="宋体" w:cs="宋体"/>
                <w:color w:val="auto"/>
                <w:szCs w:val="21"/>
                <w:highlight w:val="none"/>
              </w:rPr>
            </w:pPr>
          </w:p>
        </w:tc>
        <w:tc>
          <w:tcPr>
            <w:tcW w:w="2598" w:type="dxa"/>
            <w:vMerge w:val="restart"/>
            <w:tcBorders>
              <w:tl2br w:val="nil"/>
              <w:tr2bl w:val="nil"/>
            </w:tcBorders>
            <w:vAlign w:val="center"/>
          </w:tcPr>
          <w:p w14:paraId="4C9754BA">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电子文档</w:t>
            </w:r>
          </w:p>
        </w:tc>
        <w:tc>
          <w:tcPr>
            <w:tcW w:w="5269" w:type="dxa"/>
            <w:tcBorders>
              <w:tl2br w:val="nil"/>
              <w:tr2bl w:val="nil"/>
            </w:tcBorders>
            <w:vAlign w:val="center"/>
          </w:tcPr>
          <w:p w14:paraId="4C0CDCA3">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w:t>
            </w:r>
          </w:p>
        </w:tc>
      </w:tr>
      <w:tr w14:paraId="477C557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543" w:type="dxa"/>
            <w:vMerge w:val="continue"/>
            <w:tcBorders>
              <w:tl2br w:val="nil"/>
              <w:tr2bl w:val="nil"/>
            </w:tcBorders>
            <w:vAlign w:val="center"/>
          </w:tcPr>
          <w:p w14:paraId="15C806C3">
            <w:pPr>
              <w:jc w:val="center"/>
              <w:rPr>
                <w:rFonts w:hint="eastAsia" w:ascii="宋体" w:hAnsi="宋体" w:eastAsia="宋体" w:cs="宋体"/>
                <w:color w:val="auto"/>
                <w:szCs w:val="21"/>
                <w:highlight w:val="none"/>
              </w:rPr>
            </w:pPr>
          </w:p>
        </w:tc>
        <w:tc>
          <w:tcPr>
            <w:tcW w:w="2598" w:type="dxa"/>
            <w:vMerge w:val="continue"/>
            <w:tcBorders>
              <w:tl2br w:val="nil"/>
              <w:tr2bl w:val="nil"/>
            </w:tcBorders>
            <w:vAlign w:val="center"/>
          </w:tcPr>
          <w:p w14:paraId="33BE9C31">
            <w:pPr>
              <w:jc w:val="center"/>
              <w:rPr>
                <w:rFonts w:hint="eastAsia" w:ascii="宋体" w:hAnsi="宋体" w:eastAsia="宋体" w:cs="宋体"/>
                <w:b/>
                <w:color w:val="auto"/>
                <w:szCs w:val="21"/>
                <w:highlight w:val="none"/>
              </w:rPr>
            </w:pPr>
          </w:p>
        </w:tc>
        <w:tc>
          <w:tcPr>
            <w:tcW w:w="5269" w:type="dxa"/>
            <w:tcBorders>
              <w:tl2br w:val="nil"/>
              <w:tr2bl w:val="nil"/>
            </w:tcBorders>
            <w:vAlign w:val="center"/>
          </w:tcPr>
          <w:p w14:paraId="29EFCB51">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U盘，须含盖章版PDF投标文件和WORD版投标文件各一版，文字采用WORD文档，计算表格采用 EXCEL文档。</w:t>
            </w:r>
          </w:p>
        </w:tc>
      </w:tr>
      <w:tr w14:paraId="499B18B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1941AE3E">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三、开标与评标</w:t>
            </w:r>
          </w:p>
        </w:tc>
      </w:tr>
      <w:tr w14:paraId="14E451F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543" w:type="dxa"/>
            <w:vMerge w:val="restart"/>
            <w:tcBorders>
              <w:tl2br w:val="nil"/>
              <w:tr2bl w:val="nil"/>
            </w:tcBorders>
            <w:vAlign w:val="center"/>
          </w:tcPr>
          <w:p w14:paraId="3C6C5CDA">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12</w:t>
            </w:r>
          </w:p>
        </w:tc>
        <w:tc>
          <w:tcPr>
            <w:tcW w:w="7867" w:type="dxa"/>
            <w:gridSpan w:val="2"/>
            <w:tcBorders>
              <w:tl2br w:val="nil"/>
              <w:tr2bl w:val="nil"/>
            </w:tcBorders>
            <w:vAlign w:val="center"/>
          </w:tcPr>
          <w:p w14:paraId="18757B5B">
            <w:pPr>
              <w:jc w:val="both"/>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本项目评标方法</w:t>
            </w:r>
          </w:p>
        </w:tc>
      </w:tr>
      <w:tr w14:paraId="0128B7F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continue"/>
            <w:tcBorders>
              <w:tl2br w:val="nil"/>
              <w:tr2bl w:val="nil"/>
            </w:tcBorders>
            <w:vAlign w:val="center"/>
          </w:tcPr>
          <w:p w14:paraId="486165F5">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71BBFA2C">
            <w:pPr>
              <w:jc w:val="both"/>
              <w:rPr>
                <w:rFonts w:hint="eastAsia" w:ascii="宋体" w:hAnsi="宋体" w:eastAsia="宋体" w:cs="宋体"/>
                <w:b/>
                <w:color w:val="auto"/>
                <w:szCs w:val="21"/>
                <w:highlight w:val="none"/>
              </w:rPr>
            </w:pPr>
            <w:r>
              <w:rPr>
                <w:rFonts w:hint="eastAsia" w:ascii="宋体" w:hAnsi="宋体" w:eastAsia="宋体" w:cs="宋体"/>
                <w:color w:val="auto"/>
                <w:szCs w:val="21"/>
                <w:highlight w:val="none"/>
              </w:rPr>
              <w:t>综合评分法。</w:t>
            </w:r>
          </w:p>
        </w:tc>
      </w:tr>
      <w:tr w14:paraId="78B2CD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543" w:type="dxa"/>
            <w:vMerge w:val="restart"/>
            <w:tcBorders>
              <w:tl2br w:val="nil"/>
              <w:tr2bl w:val="nil"/>
            </w:tcBorders>
            <w:vAlign w:val="center"/>
          </w:tcPr>
          <w:p w14:paraId="6BA120D4">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13</w:t>
            </w:r>
          </w:p>
        </w:tc>
        <w:tc>
          <w:tcPr>
            <w:tcW w:w="7867" w:type="dxa"/>
            <w:gridSpan w:val="2"/>
            <w:tcBorders>
              <w:tl2br w:val="nil"/>
              <w:tr2bl w:val="nil"/>
            </w:tcBorders>
            <w:vAlign w:val="center"/>
          </w:tcPr>
          <w:p w14:paraId="40564F52">
            <w:pPr>
              <w:jc w:val="both"/>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综合评分法评分因素和权重分值</w:t>
            </w:r>
          </w:p>
        </w:tc>
      </w:tr>
      <w:tr w14:paraId="0C86EA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continue"/>
            <w:tcBorders>
              <w:tl2br w:val="nil"/>
              <w:tr2bl w:val="nil"/>
            </w:tcBorders>
            <w:vAlign w:val="center"/>
          </w:tcPr>
          <w:p w14:paraId="37E0CD4D">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66D71D15">
            <w:pPr>
              <w:jc w:val="both"/>
              <w:rPr>
                <w:rFonts w:hint="eastAsia" w:ascii="宋体" w:hAnsi="宋体" w:eastAsia="宋体" w:cs="宋体"/>
                <w:b/>
                <w:color w:val="auto"/>
                <w:szCs w:val="21"/>
                <w:highlight w:val="none"/>
              </w:rPr>
            </w:pPr>
            <w:r>
              <w:rPr>
                <w:rFonts w:hint="eastAsia" w:ascii="宋体" w:hAnsi="宋体" w:eastAsia="宋体" w:cs="宋体"/>
                <w:color w:val="auto"/>
                <w:szCs w:val="21"/>
                <w:highlight w:val="none"/>
              </w:rPr>
              <w:t>见附表二。</w:t>
            </w:r>
          </w:p>
        </w:tc>
      </w:tr>
      <w:tr w14:paraId="514138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restart"/>
            <w:tcBorders>
              <w:tl2br w:val="nil"/>
              <w:tr2bl w:val="nil"/>
            </w:tcBorders>
            <w:vAlign w:val="center"/>
          </w:tcPr>
          <w:p w14:paraId="2129F39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14</w:t>
            </w:r>
          </w:p>
        </w:tc>
        <w:tc>
          <w:tcPr>
            <w:tcW w:w="7867" w:type="dxa"/>
            <w:gridSpan w:val="2"/>
            <w:tcBorders>
              <w:tl2br w:val="nil"/>
              <w:tr2bl w:val="nil"/>
            </w:tcBorders>
            <w:vAlign w:val="center"/>
          </w:tcPr>
          <w:p w14:paraId="2468C389">
            <w:pPr>
              <w:jc w:val="both"/>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评标委员会</w:t>
            </w:r>
          </w:p>
        </w:tc>
      </w:tr>
      <w:tr w14:paraId="654760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543" w:type="dxa"/>
            <w:vMerge w:val="continue"/>
            <w:tcBorders>
              <w:tl2br w:val="nil"/>
              <w:tr2bl w:val="nil"/>
            </w:tcBorders>
            <w:vAlign w:val="center"/>
          </w:tcPr>
          <w:p w14:paraId="16255D07">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6B626A8A">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评标委员会成员共</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七</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人：</w:t>
            </w:r>
            <w:r>
              <w:rPr>
                <w:rFonts w:hint="eastAsia" w:ascii="宋体" w:hAnsi="宋体" w:eastAsia="宋体" w:cs="宋体"/>
                <w:color w:val="auto"/>
                <w:szCs w:val="21"/>
                <w:highlight w:val="none"/>
                <w:lang w:val="zh-CN"/>
              </w:rPr>
              <w:t>评标委员会由采购人</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lang w:val="zh-CN"/>
              </w:rPr>
              <w:t>代表和</w:t>
            </w:r>
            <w:r>
              <w:rPr>
                <w:rFonts w:hint="eastAsia" w:ascii="宋体" w:hAnsi="宋体" w:eastAsia="宋体" w:cs="宋体"/>
                <w:color w:val="auto"/>
                <w:szCs w:val="21"/>
                <w:highlight w:val="none"/>
              </w:rPr>
              <w:t>有关方面的</w:t>
            </w:r>
            <w:r>
              <w:rPr>
                <w:rFonts w:hint="eastAsia" w:ascii="宋体" w:hAnsi="宋体" w:eastAsia="宋体" w:cs="宋体"/>
                <w:color w:val="auto"/>
                <w:szCs w:val="21"/>
                <w:highlight w:val="none"/>
                <w:lang w:val="zh-CN"/>
              </w:rPr>
              <w:t>专家组成，</w:t>
            </w:r>
            <w:r>
              <w:rPr>
                <w:rFonts w:hint="eastAsia" w:ascii="宋体" w:hAnsi="宋体" w:eastAsia="宋体" w:cs="宋体"/>
                <w:color w:val="auto"/>
                <w:szCs w:val="21"/>
                <w:highlight w:val="none"/>
              </w:rPr>
              <w:t>成员人数为</w:t>
            </w:r>
            <w:r>
              <w:rPr>
                <w:rFonts w:hint="eastAsia" w:ascii="宋体" w:hAnsi="宋体" w:cs="宋体"/>
                <w:color w:val="auto"/>
                <w:szCs w:val="21"/>
                <w:highlight w:val="none"/>
                <w:lang w:val="en-US" w:eastAsia="zh-CN"/>
              </w:rPr>
              <w:t>七</w:t>
            </w:r>
            <w:r>
              <w:rPr>
                <w:rFonts w:hint="eastAsia" w:ascii="宋体" w:hAnsi="宋体" w:eastAsia="宋体" w:cs="宋体"/>
                <w:color w:val="auto"/>
                <w:szCs w:val="21"/>
                <w:highlight w:val="none"/>
              </w:rPr>
              <w:t>人或</w:t>
            </w:r>
            <w:r>
              <w:rPr>
                <w:rFonts w:hint="eastAsia" w:ascii="宋体" w:hAnsi="宋体" w:cs="宋体"/>
                <w:color w:val="auto"/>
                <w:szCs w:val="21"/>
                <w:highlight w:val="none"/>
                <w:lang w:val="en-US" w:eastAsia="zh-CN"/>
              </w:rPr>
              <w:t>七</w:t>
            </w:r>
            <w:r>
              <w:rPr>
                <w:rFonts w:hint="eastAsia" w:ascii="宋体" w:hAnsi="宋体" w:eastAsia="宋体" w:cs="宋体"/>
                <w:color w:val="auto"/>
                <w:szCs w:val="21"/>
                <w:highlight w:val="none"/>
              </w:rPr>
              <w:t>人以上单数</w:t>
            </w:r>
            <w:r>
              <w:rPr>
                <w:rFonts w:hint="eastAsia" w:ascii="宋体" w:hAnsi="宋体" w:eastAsia="宋体" w:cs="宋体"/>
                <w:color w:val="auto"/>
                <w:szCs w:val="21"/>
                <w:highlight w:val="none"/>
                <w:lang w:val="zh-CN"/>
              </w:rPr>
              <w:t>，其中专家不得少于成员总数的三分之二。</w:t>
            </w:r>
          </w:p>
        </w:tc>
      </w:tr>
      <w:tr w14:paraId="16B2A9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415FC0B2">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四、授予合同</w:t>
            </w:r>
          </w:p>
        </w:tc>
      </w:tr>
      <w:tr w14:paraId="19F205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543" w:type="dxa"/>
            <w:vMerge w:val="restart"/>
            <w:tcBorders>
              <w:tl2br w:val="nil"/>
              <w:tr2bl w:val="nil"/>
            </w:tcBorders>
            <w:vAlign w:val="center"/>
          </w:tcPr>
          <w:p w14:paraId="02606EDB">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15</w:t>
            </w:r>
          </w:p>
        </w:tc>
        <w:tc>
          <w:tcPr>
            <w:tcW w:w="7867" w:type="dxa"/>
            <w:gridSpan w:val="2"/>
            <w:tcBorders>
              <w:tl2br w:val="nil"/>
              <w:tr2bl w:val="nil"/>
            </w:tcBorders>
            <w:shd w:val="clear" w:color="auto" w:fill="auto"/>
            <w:vAlign w:val="center"/>
          </w:tcPr>
          <w:p w14:paraId="0D6073D7">
            <w:pPr>
              <w:jc w:val="both"/>
              <w:rPr>
                <w:rFonts w:hint="eastAsia" w:ascii="宋体" w:hAnsi="宋体" w:eastAsia="宋体" w:cs="宋体"/>
                <w:b/>
                <w:color w:val="auto"/>
                <w:szCs w:val="21"/>
                <w:highlight w:val="none"/>
                <w:lang w:eastAsia="zh-CN"/>
              </w:rPr>
            </w:pPr>
            <w:r>
              <w:rPr>
                <w:rFonts w:hint="eastAsia" w:ascii="宋体" w:hAnsi="宋体" w:eastAsia="宋体" w:cs="宋体"/>
                <w:b/>
                <w:color w:val="auto"/>
                <w:szCs w:val="21"/>
                <w:highlight w:val="none"/>
              </w:rPr>
              <w:t>履约担保</w:t>
            </w:r>
          </w:p>
        </w:tc>
      </w:tr>
      <w:tr w14:paraId="345F4E4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543" w:type="dxa"/>
            <w:vMerge w:val="continue"/>
            <w:tcBorders>
              <w:tl2br w:val="nil"/>
              <w:tr2bl w:val="nil"/>
            </w:tcBorders>
            <w:vAlign w:val="center"/>
          </w:tcPr>
          <w:p w14:paraId="1ED7BF5C">
            <w:pPr>
              <w:jc w:val="center"/>
              <w:rPr>
                <w:rFonts w:hint="eastAsia" w:ascii="宋体" w:hAnsi="宋体" w:eastAsia="宋体" w:cs="宋体"/>
                <w:color w:val="auto"/>
                <w:szCs w:val="21"/>
                <w:highlight w:val="none"/>
              </w:rPr>
            </w:pPr>
          </w:p>
        </w:tc>
        <w:tc>
          <w:tcPr>
            <w:tcW w:w="7867" w:type="dxa"/>
            <w:gridSpan w:val="2"/>
            <w:tcBorders>
              <w:tl2br w:val="nil"/>
              <w:tr2bl w:val="nil"/>
            </w:tcBorders>
            <w:shd w:val="clear" w:color="auto" w:fill="auto"/>
            <w:vAlign w:val="center"/>
          </w:tcPr>
          <w:p w14:paraId="49A30177">
            <w:pPr>
              <w:jc w:val="both"/>
              <w:rPr>
                <w:rFonts w:hint="eastAsia" w:ascii="宋体" w:hAnsi="宋体" w:eastAsia="宋体" w:cs="宋体"/>
                <w:b/>
                <w:bCs/>
                <w:color w:val="auto"/>
                <w:szCs w:val="21"/>
                <w:highlight w:val="none"/>
                <w:u w:val="single"/>
              </w:rPr>
            </w:pPr>
            <w:r>
              <w:rPr>
                <w:rFonts w:hint="eastAsia" w:ascii="宋体" w:hAnsi="宋体" w:eastAsia="宋体" w:cs="宋体"/>
                <w:color w:val="auto"/>
                <w:szCs w:val="21"/>
                <w:highlight w:val="none"/>
              </w:rPr>
              <w:t>1.履约担保金额为：</w:t>
            </w:r>
            <w:r>
              <w:rPr>
                <w:rFonts w:hint="eastAsia" w:ascii="宋体" w:hAnsi="宋体" w:eastAsia="宋体" w:cs="宋体"/>
                <w:color w:val="auto"/>
                <w:szCs w:val="21"/>
                <w:highlight w:val="none"/>
                <w:u w:val="single"/>
              </w:rPr>
              <w:t xml:space="preserve">  合同金额的</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u w:val="single"/>
              </w:rPr>
              <w:t>% 。</w:t>
            </w:r>
          </w:p>
          <w:p w14:paraId="4E605F6B">
            <w:pPr>
              <w:jc w:val="both"/>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2.履约保证金账户信息：</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中标后采购人提供账号信息</w:t>
            </w:r>
            <w:r>
              <w:rPr>
                <w:rFonts w:hint="eastAsia" w:ascii="宋体" w:hAnsi="宋体" w:eastAsia="宋体" w:cs="宋体"/>
                <w:color w:val="auto"/>
                <w:szCs w:val="21"/>
                <w:highlight w:val="none"/>
                <w:lang w:eastAsia="zh-CN"/>
              </w:rPr>
              <w:t>）</w:t>
            </w:r>
          </w:p>
          <w:p w14:paraId="6083D7AC">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3.中标人在采购（合同签署）时提交履约担保，履约担保金额</w:t>
            </w:r>
            <w:r>
              <w:rPr>
                <w:rFonts w:hint="eastAsia" w:ascii="宋体" w:hAnsi="宋体" w:cs="宋体"/>
                <w:color w:val="auto"/>
                <w:szCs w:val="21"/>
                <w:highlight w:val="none"/>
                <w:lang w:val="en-US" w:eastAsia="zh-CN"/>
              </w:rPr>
              <w:t>为中标</w:t>
            </w:r>
            <w:r>
              <w:rPr>
                <w:rFonts w:hint="eastAsia" w:ascii="宋体" w:hAnsi="宋体" w:eastAsia="宋体" w:cs="宋体"/>
                <w:color w:val="auto"/>
                <w:szCs w:val="21"/>
                <w:highlight w:val="none"/>
              </w:rPr>
              <w:t>合同金额的</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w:t>
            </w:r>
            <w:r>
              <w:rPr>
                <w:rFonts w:hint="eastAsia" w:ascii="宋体" w:hAnsi="宋体" w:eastAsia="宋体" w:cs="宋体"/>
                <w:color w:val="auto"/>
                <w:szCs w:val="21"/>
                <w:highlight w:val="none"/>
                <w:lang w:val="en-US" w:eastAsia="zh-CN"/>
              </w:rPr>
              <w:t>账</w:t>
            </w:r>
            <w:r>
              <w:rPr>
                <w:rFonts w:hint="eastAsia" w:ascii="宋体" w:hAnsi="宋体" w:eastAsia="宋体" w:cs="宋体"/>
                <w:color w:val="auto"/>
                <w:szCs w:val="21"/>
                <w:highlight w:val="none"/>
              </w:rPr>
              <w:t>户。</w:t>
            </w:r>
          </w:p>
          <w:p w14:paraId="72760EFA">
            <w:pPr>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4.履约担保期限从合同签订之日起至项目服务期结束验收合格并结算完毕后，经双方签字7天内保持有效。</w:t>
            </w:r>
          </w:p>
          <w:p w14:paraId="02BCDDFC">
            <w:pPr>
              <w:jc w:val="both"/>
              <w:rPr>
                <w:rFonts w:hint="eastAsia" w:ascii="宋体" w:hAnsi="宋体" w:cs="宋体"/>
                <w:color w:val="auto"/>
                <w:szCs w:val="21"/>
                <w:highlight w:val="none"/>
                <w:lang w:eastAsia="zh-CN"/>
              </w:rPr>
            </w:pP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履约担保可以采用下列任何一种形式：</w:t>
            </w:r>
          </w:p>
          <w:p w14:paraId="77186011">
            <w:pPr>
              <w:jc w:val="both"/>
              <w:rPr>
                <w:rFonts w:hint="eastAsia" w:ascii="宋体" w:hAnsi="宋体" w:cs="宋体"/>
                <w:color w:val="auto"/>
                <w:szCs w:val="21"/>
                <w:highlight w:val="none"/>
                <w:lang w:eastAsia="zh-CN"/>
              </w:rPr>
            </w:pPr>
            <w:r>
              <w:rPr>
                <w:rFonts w:hint="eastAsia" w:ascii="宋体" w:hAnsi="宋体" w:cs="宋体"/>
                <w:color w:val="auto"/>
                <w:szCs w:val="21"/>
                <w:highlight w:val="none"/>
                <w:lang w:eastAsia="zh-CN"/>
              </w:rPr>
              <w:t>（1）履约保函。如果中标人的履约担保是以银行保函形式提供的，则该银行保函应：</w:t>
            </w:r>
          </w:p>
          <w:p w14:paraId="66860E6F">
            <w:pPr>
              <w:jc w:val="both"/>
              <w:rPr>
                <w:rFonts w:hint="eastAsia" w:ascii="宋体" w:hAnsi="宋体" w:cs="宋体"/>
                <w:color w:val="auto"/>
                <w:szCs w:val="21"/>
                <w:highlight w:val="none"/>
                <w:lang w:eastAsia="zh-CN"/>
              </w:rPr>
            </w:pPr>
            <w:r>
              <w:rPr>
                <w:rFonts w:hint="eastAsia" w:ascii="宋体" w:hAnsi="宋体" w:cs="宋体"/>
                <w:color w:val="auto"/>
                <w:szCs w:val="21"/>
                <w:highlight w:val="none"/>
                <w:lang w:eastAsia="zh-CN"/>
              </w:rPr>
              <w:t>①保函应由银行支行或以上银行机构开具。</w:t>
            </w:r>
          </w:p>
          <w:p w14:paraId="4B33EF9A">
            <w:pPr>
              <w:jc w:val="both"/>
              <w:rPr>
                <w:rFonts w:hint="eastAsia" w:ascii="宋体" w:hAnsi="宋体" w:cs="宋体"/>
                <w:color w:val="auto"/>
                <w:szCs w:val="21"/>
                <w:highlight w:val="none"/>
                <w:lang w:eastAsia="zh-CN"/>
              </w:rPr>
            </w:pPr>
            <w:r>
              <w:rPr>
                <w:rFonts w:hint="eastAsia" w:ascii="宋体" w:hAnsi="宋体" w:cs="宋体"/>
                <w:color w:val="auto"/>
                <w:szCs w:val="21"/>
                <w:highlight w:val="none"/>
                <w:lang w:eastAsia="zh-CN"/>
              </w:rPr>
              <w:t>②保函的格式参考投标文件附件中提供的</w:t>
            </w:r>
            <w:r>
              <w:rPr>
                <w:rFonts w:hint="eastAsia" w:ascii="宋体" w:hAnsi="宋体" w:cs="宋体"/>
                <w:color w:val="auto"/>
                <w:szCs w:val="21"/>
                <w:highlight w:val="none"/>
                <w:lang w:val="en-US" w:eastAsia="zh-CN"/>
              </w:rPr>
              <w:t>无条件、</w:t>
            </w:r>
            <w:r>
              <w:rPr>
                <w:rFonts w:hint="eastAsia" w:ascii="宋体" w:hAnsi="宋体" w:cs="宋体"/>
                <w:color w:val="auto"/>
                <w:szCs w:val="21"/>
                <w:highlight w:val="none"/>
                <w:lang w:eastAsia="zh-CN"/>
              </w:rPr>
              <w:t>不可撤销履约保函格式，保函担保期内若项目</w:t>
            </w:r>
            <w:r>
              <w:rPr>
                <w:rFonts w:hint="eastAsia" w:ascii="宋体" w:hAnsi="宋体" w:cs="宋体"/>
                <w:color w:val="auto"/>
                <w:szCs w:val="21"/>
                <w:highlight w:val="none"/>
                <w:lang w:val="en-US" w:eastAsia="zh-CN"/>
              </w:rPr>
              <w:t>延期</w:t>
            </w:r>
            <w:r>
              <w:rPr>
                <w:rFonts w:hint="eastAsia" w:ascii="宋体" w:hAnsi="宋体" w:cs="宋体"/>
                <w:color w:val="auto"/>
                <w:szCs w:val="21"/>
                <w:highlight w:val="none"/>
                <w:lang w:eastAsia="zh-CN"/>
              </w:rPr>
              <w:t>，保函必须延期，办理延期手续时在银行方面所产生费用由中标人负责。</w:t>
            </w:r>
          </w:p>
          <w:p w14:paraId="6822E455">
            <w:pPr>
              <w:jc w:val="both"/>
              <w:rPr>
                <w:rFonts w:hint="eastAsia" w:ascii="宋体" w:hAnsi="宋体" w:cs="宋体"/>
                <w:color w:val="auto"/>
                <w:szCs w:val="21"/>
                <w:highlight w:val="none"/>
                <w:lang w:eastAsia="zh-CN"/>
              </w:rPr>
            </w:pPr>
            <w:r>
              <w:rPr>
                <w:rFonts w:hint="eastAsia" w:ascii="宋体" w:hAnsi="宋体" w:cs="宋体"/>
                <w:color w:val="auto"/>
                <w:szCs w:val="21"/>
                <w:highlight w:val="none"/>
                <w:lang w:eastAsia="zh-CN"/>
              </w:rPr>
              <w:t>③履约保函必须打印，手写、涂改无效。</w:t>
            </w:r>
          </w:p>
          <w:p w14:paraId="2BB19824">
            <w:pPr>
              <w:numPr>
                <w:ilvl w:val="0"/>
                <w:numId w:val="0"/>
              </w:numPr>
              <w:jc w:val="both"/>
              <w:rPr>
                <w:rFonts w:hint="eastAsia" w:ascii="宋体" w:hAnsi="宋体" w:cs="宋体"/>
                <w:color w:val="auto"/>
                <w:szCs w:val="21"/>
                <w:highlight w:val="none"/>
                <w:lang w:eastAsia="zh-CN"/>
              </w:rPr>
            </w:pPr>
            <w:r>
              <w:rPr>
                <w:rFonts w:hint="eastAsia" w:ascii="宋体" w:hAnsi="宋体" w:eastAsia="宋体" w:cs="宋体"/>
                <w:color w:val="auto"/>
                <w:sz w:val="21"/>
                <w:szCs w:val="21"/>
                <w:highlight w:val="none"/>
                <w:lang w:val="en-US" w:eastAsia="zh-CN" w:bidi="ar-SA"/>
              </w:rPr>
              <w:t>（2）</w:t>
            </w:r>
            <w:r>
              <w:rPr>
                <w:rFonts w:hint="eastAsia" w:ascii="宋体" w:hAnsi="宋体" w:cs="宋体"/>
                <w:color w:val="auto"/>
                <w:szCs w:val="21"/>
                <w:highlight w:val="none"/>
                <w:lang w:eastAsia="zh-CN"/>
              </w:rPr>
              <w:t>履约保证金。可采用电汇、银行汇票等银行转账方式提交，但不可以采用现金方式提交。</w:t>
            </w:r>
          </w:p>
          <w:p w14:paraId="3100E76C">
            <w:pPr>
              <w:jc w:val="both"/>
              <w:rPr>
                <w:rFonts w:hint="eastAsia" w:ascii="宋体" w:hAnsi="宋体" w:cs="宋体"/>
                <w:color w:val="auto"/>
                <w:szCs w:val="21"/>
                <w:highlight w:val="none"/>
                <w:lang w:eastAsia="zh-CN"/>
              </w:rPr>
            </w:pPr>
            <w:r>
              <w:rPr>
                <w:rFonts w:hint="eastAsia" w:ascii="宋体" w:hAnsi="宋体" w:cs="宋体"/>
                <w:color w:val="auto"/>
                <w:szCs w:val="21"/>
                <w:highlight w:val="none"/>
                <w:lang w:val="en-US" w:eastAsia="zh-CN"/>
              </w:rPr>
              <w:t>①</w:t>
            </w:r>
            <w:r>
              <w:rPr>
                <w:rFonts w:hint="eastAsia" w:ascii="宋体" w:hAnsi="宋体" w:cs="宋体"/>
                <w:color w:val="auto"/>
                <w:szCs w:val="21"/>
                <w:highlight w:val="none"/>
                <w:lang w:eastAsia="zh-CN"/>
              </w:rPr>
              <w:t>若中标人不能按本采购文件（</w:t>
            </w:r>
            <w:r>
              <w:rPr>
                <w:rFonts w:hint="eastAsia" w:ascii="宋体" w:hAnsi="宋体" w:cs="宋体"/>
                <w:color w:val="auto"/>
                <w:szCs w:val="21"/>
                <w:highlight w:val="none"/>
                <w:lang w:val="en-US" w:eastAsia="zh-CN"/>
              </w:rPr>
              <w:t>履约担保形式中第（1）点和第（2）点</w:t>
            </w:r>
            <w:r>
              <w:rPr>
                <w:rFonts w:hint="eastAsia" w:ascii="宋体" w:hAnsi="宋体" w:cs="宋体"/>
                <w:color w:val="auto"/>
                <w:szCs w:val="21"/>
                <w:highlight w:val="none"/>
                <w:lang w:eastAsia="zh-CN"/>
              </w:rPr>
              <w:t>）的规定提交履约</w:t>
            </w:r>
            <w:r>
              <w:rPr>
                <w:rFonts w:hint="eastAsia" w:ascii="宋体" w:hAnsi="宋体" w:cs="宋体"/>
                <w:color w:val="auto"/>
                <w:szCs w:val="21"/>
                <w:highlight w:val="none"/>
                <w:lang w:val="en-US" w:eastAsia="zh-CN"/>
              </w:rPr>
              <w:t>担保</w:t>
            </w:r>
            <w:r>
              <w:rPr>
                <w:rFonts w:hint="eastAsia" w:ascii="宋体" w:hAnsi="宋体" w:cs="宋体"/>
                <w:color w:val="auto"/>
                <w:szCs w:val="21"/>
                <w:highlight w:val="none"/>
                <w:lang w:eastAsia="zh-CN"/>
              </w:rPr>
              <w:t>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79D7B399">
            <w:pPr>
              <w:jc w:val="both"/>
              <w:rPr>
                <w:rFonts w:hint="eastAsia" w:ascii="宋体" w:hAnsi="宋体" w:cs="宋体"/>
                <w:color w:val="auto"/>
                <w:szCs w:val="21"/>
                <w:highlight w:val="none"/>
                <w:lang w:eastAsia="zh-CN"/>
              </w:rPr>
            </w:pPr>
            <w:r>
              <w:rPr>
                <w:rFonts w:hint="eastAsia" w:ascii="宋体" w:hAnsi="宋体" w:cs="宋体"/>
                <w:color w:val="auto"/>
                <w:szCs w:val="21"/>
                <w:highlight w:val="none"/>
                <w:lang w:val="en-US" w:eastAsia="zh-CN"/>
              </w:rPr>
              <w:t>6.</w:t>
            </w:r>
            <w:r>
              <w:rPr>
                <w:rFonts w:hint="eastAsia" w:ascii="宋体" w:hAnsi="宋体" w:cs="宋体"/>
                <w:color w:val="auto"/>
                <w:szCs w:val="21"/>
                <w:highlight w:val="none"/>
                <w:lang w:eastAsia="zh-CN"/>
              </w:rPr>
              <w:t>为取得履约担保所需的费用，由中标人承担；若服务期延</w:t>
            </w:r>
            <w:r>
              <w:rPr>
                <w:rFonts w:hint="eastAsia" w:ascii="宋体" w:hAnsi="宋体" w:cs="宋体"/>
                <w:color w:val="auto"/>
                <w:szCs w:val="21"/>
                <w:highlight w:val="none"/>
                <w:lang w:val="en-US" w:eastAsia="zh-CN"/>
              </w:rPr>
              <w:t>长</w:t>
            </w:r>
            <w:r>
              <w:rPr>
                <w:rFonts w:hint="eastAsia" w:ascii="宋体" w:hAnsi="宋体" w:cs="宋体"/>
                <w:color w:val="auto"/>
                <w:szCs w:val="21"/>
                <w:highlight w:val="none"/>
                <w:lang w:eastAsia="zh-CN"/>
              </w:rPr>
              <w:t>，履约担保时间延长，延长费用由中标人承担。</w:t>
            </w:r>
          </w:p>
          <w:p w14:paraId="66609924">
            <w:pPr>
              <w:jc w:val="both"/>
              <w:rPr>
                <w:rFonts w:hint="eastAsia" w:ascii="宋体" w:hAnsi="宋体" w:cs="宋体"/>
                <w:color w:val="auto"/>
                <w:szCs w:val="21"/>
                <w:highlight w:val="none"/>
                <w:lang w:eastAsia="zh-CN"/>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lang w:eastAsia="zh-CN"/>
              </w:rPr>
              <w:t>若中标人在合同履行过程中出现</w:t>
            </w:r>
            <w:r>
              <w:rPr>
                <w:rFonts w:hint="eastAsia" w:ascii="宋体" w:hAnsi="宋体" w:cs="宋体"/>
                <w:color w:val="auto"/>
                <w:szCs w:val="21"/>
                <w:highlight w:val="none"/>
                <w:lang w:val="en-US" w:eastAsia="zh-CN"/>
              </w:rPr>
              <w:t>食品安全事件、违约</w:t>
            </w:r>
            <w:r>
              <w:rPr>
                <w:rFonts w:hint="eastAsia" w:ascii="宋体" w:hAnsi="宋体" w:cs="宋体"/>
                <w:color w:val="auto"/>
                <w:szCs w:val="21"/>
                <w:highlight w:val="none"/>
                <w:lang w:eastAsia="zh-CN"/>
              </w:rPr>
              <w:t>等情况，采购人在经核查属实后，有权将履约保函金额转为现金存入履约保证金账户；中标人造成采购人损失的，采购人有权立即没收其履约担保，若造成损失超过履约担保的，还应当对超过部分予以赔偿。</w:t>
            </w:r>
          </w:p>
          <w:p w14:paraId="60255035">
            <w:pPr>
              <w:jc w:val="both"/>
              <w:rPr>
                <w:rFonts w:hint="eastAsia" w:ascii="宋体" w:hAnsi="宋体" w:cs="宋体"/>
                <w:color w:val="auto"/>
                <w:szCs w:val="21"/>
                <w:highlight w:val="none"/>
                <w:lang w:eastAsia="zh-CN"/>
              </w:rPr>
            </w:pPr>
            <w:r>
              <w:rPr>
                <w:rFonts w:hint="eastAsia" w:ascii="宋体" w:hAnsi="宋体" w:cs="宋体"/>
                <w:color w:val="auto"/>
                <w:szCs w:val="21"/>
                <w:highlight w:val="none"/>
                <w:lang w:val="en-US" w:eastAsia="zh-CN"/>
              </w:rPr>
              <w:t>8.</w:t>
            </w:r>
            <w:r>
              <w:rPr>
                <w:rFonts w:hint="eastAsia" w:ascii="宋体" w:hAnsi="宋体" w:cs="宋体"/>
                <w:color w:val="auto"/>
                <w:szCs w:val="21"/>
                <w:highlight w:val="none"/>
                <w:lang w:eastAsia="zh-CN"/>
              </w:rPr>
              <w:t>下列任何情况发生时，采购人有权行使享有的担保权利：</w:t>
            </w:r>
          </w:p>
          <w:p w14:paraId="36F5EC7A">
            <w:pPr>
              <w:jc w:val="both"/>
              <w:rPr>
                <w:rFonts w:hint="eastAsia" w:ascii="宋体" w:hAnsi="宋体" w:cs="宋体"/>
                <w:color w:val="auto"/>
                <w:szCs w:val="21"/>
                <w:highlight w:val="none"/>
                <w:lang w:eastAsia="zh-CN"/>
              </w:rPr>
            </w:pPr>
            <w:r>
              <w:rPr>
                <w:rFonts w:hint="eastAsia" w:ascii="宋体" w:hAnsi="宋体" w:cs="宋体"/>
                <w:color w:val="auto"/>
                <w:szCs w:val="21"/>
                <w:highlight w:val="none"/>
                <w:lang w:eastAsia="zh-CN"/>
              </w:rPr>
              <w:t>（1）中标人将本项目转让给他人，或者在投标文件中未说明，且未经采购人同意，将中标项目分包给他人的；</w:t>
            </w:r>
          </w:p>
          <w:p w14:paraId="31EB8905">
            <w:pPr>
              <w:jc w:val="both"/>
              <w:rPr>
                <w:rFonts w:hint="eastAsia" w:ascii="宋体" w:hAnsi="宋体" w:cs="宋体"/>
                <w:color w:val="auto"/>
                <w:szCs w:val="21"/>
                <w:highlight w:val="none"/>
                <w:lang w:eastAsia="zh-CN"/>
              </w:rPr>
            </w:pPr>
            <w:r>
              <w:rPr>
                <w:rFonts w:hint="eastAsia" w:ascii="宋体" w:hAnsi="宋体" w:cs="宋体"/>
                <w:color w:val="auto"/>
                <w:szCs w:val="21"/>
                <w:highlight w:val="none"/>
                <w:lang w:eastAsia="zh-CN"/>
              </w:rPr>
              <w:t>（2）中标人在履行合同期间，违反有关法律法规的规定</w:t>
            </w:r>
            <w:r>
              <w:rPr>
                <w:rFonts w:hint="eastAsia" w:ascii="宋体" w:hAnsi="宋体" w:cs="宋体"/>
                <w:color w:val="auto"/>
                <w:szCs w:val="21"/>
                <w:highlight w:val="none"/>
                <w:lang w:val="en-US" w:eastAsia="zh-CN"/>
              </w:rPr>
              <w:t>或</w:t>
            </w:r>
            <w:r>
              <w:rPr>
                <w:rFonts w:hint="eastAsia" w:ascii="宋体" w:hAnsi="宋体" w:cs="宋体"/>
                <w:color w:val="auto"/>
                <w:szCs w:val="21"/>
                <w:highlight w:val="none"/>
                <w:lang w:eastAsia="zh-CN"/>
              </w:rPr>
              <w:t>合同约定。</w:t>
            </w:r>
          </w:p>
          <w:p w14:paraId="43BA508A">
            <w:pPr>
              <w:jc w:val="both"/>
              <w:rPr>
                <w:rFonts w:hint="eastAsia" w:ascii="宋体" w:hAnsi="宋体" w:eastAsia="宋体" w:cs="宋体"/>
                <w:b/>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lang w:eastAsia="zh-CN"/>
              </w:rPr>
              <w:t>在整个项目</w:t>
            </w:r>
            <w:r>
              <w:rPr>
                <w:rFonts w:hint="eastAsia" w:ascii="宋体" w:hAnsi="宋体" w:cs="宋体"/>
                <w:color w:val="auto"/>
                <w:szCs w:val="21"/>
                <w:highlight w:val="none"/>
                <w:lang w:val="en-US" w:eastAsia="zh-CN"/>
              </w:rPr>
              <w:t>服务期结束</w:t>
            </w:r>
            <w:r>
              <w:rPr>
                <w:rFonts w:hint="eastAsia" w:ascii="宋体" w:hAnsi="宋体" w:cs="宋体"/>
                <w:color w:val="auto"/>
                <w:szCs w:val="21"/>
                <w:highlight w:val="none"/>
                <w:lang w:eastAsia="zh-CN"/>
              </w:rPr>
              <w:t>后，中标人向采购人提交退回履约担保的申请，采购人办理履约担保退还手续。</w:t>
            </w:r>
          </w:p>
        </w:tc>
      </w:tr>
      <w:tr w14:paraId="5F4C92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543" w:type="dxa"/>
            <w:vMerge w:val="restart"/>
            <w:tcBorders>
              <w:tl2br w:val="nil"/>
              <w:tr2bl w:val="nil"/>
            </w:tcBorders>
            <w:vAlign w:val="center"/>
          </w:tcPr>
          <w:p w14:paraId="1B3AF78C">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16</w:t>
            </w:r>
          </w:p>
        </w:tc>
        <w:tc>
          <w:tcPr>
            <w:tcW w:w="7867" w:type="dxa"/>
            <w:gridSpan w:val="2"/>
            <w:tcBorders>
              <w:tl2br w:val="nil"/>
              <w:tr2bl w:val="nil"/>
            </w:tcBorders>
            <w:vAlign w:val="center"/>
          </w:tcPr>
          <w:p w14:paraId="2D35D086">
            <w:pPr>
              <w:jc w:val="both"/>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中标服务费</w:t>
            </w:r>
          </w:p>
        </w:tc>
      </w:tr>
      <w:tr w14:paraId="1C981F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43" w:type="dxa"/>
            <w:vMerge w:val="continue"/>
            <w:tcBorders>
              <w:tl2br w:val="nil"/>
              <w:tr2bl w:val="nil"/>
            </w:tcBorders>
            <w:vAlign w:val="center"/>
          </w:tcPr>
          <w:p w14:paraId="17ABE7D9">
            <w:pPr>
              <w:jc w:val="center"/>
              <w:rPr>
                <w:rFonts w:hint="eastAsia" w:ascii="宋体" w:hAnsi="宋体" w:eastAsia="宋体" w:cs="宋体"/>
                <w:color w:val="auto"/>
                <w:szCs w:val="21"/>
                <w:highlight w:val="none"/>
              </w:rPr>
            </w:pPr>
          </w:p>
        </w:tc>
        <w:tc>
          <w:tcPr>
            <w:tcW w:w="7867" w:type="dxa"/>
            <w:gridSpan w:val="2"/>
            <w:tcBorders>
              <w:tl2br w:val="nil"/>
              <w:tr2bl w:val="nil"/>
            </w:tcBorders>
            <w:vAlign w:val="center"/>
          </w:tcPr>
          <w:p w14:paraId="4656894B">
            <w:pPr>
              <w:widowControl/>
              <w:adjustRightInd/>
              <w:snapToGrid/>
              <w:spacing w:line="240" w:lineRule="auto"/>
              <w:jc w:val="both"/>
              <w:rPr>
                <w:rFonts w:hint="eastAsia" w:ascii="宋体" w:hAnsi="宋体" w:eastAsia="宋体" w:cs="宋体"/>
                <w:color w:val="auto"/>
                <w:szCs w:val="21"/>
                <w:highlight w:val="none"/>
              </w:rPr>
            </w:pPr>
            <w:r>
              <w:rPr>
                <w:rFonts w:hint="eastAsia" w:ascii="宋体" w:hAnsi="宋体"/>
                <w:color w:val="auto"/>
                <w:szCs w:val="21"/>
                <w:highlight w:val="none"/>
              </w:rPr>
              <w:t>本项目</w:t>
            </w:r>
            <w:r>
              <w:rPr>
                <w:rFonts w:hint="eastAsia" w:ascii="宋体" w:hAnsi="宋体"/>
                <w:color w:val="auto"/>
                <w:szCs w:val="21"/>
                <w:highlight w:val="none"/>
                <w:lang w:val="en-US" w:eastAsia="zh-CN"/>
              </w:rPr>
              <w:t>中标</w:t>
            </w:r>
            <w:r>
              <w:rPr>
                <w:rFonts w:hint="eastAsia" w:ascii="宋体" w:hAnsi="宋体"/>
                <w:color w:val="auto"/>
                <w:szCs w:val="21"/>
                <w:highlight w:val="none"/>
              </w:rPr>
              <w:t>服务费由项目</w:t>
            </w:r>
            <w:r>
              <w:rPr>
                <w:rFonts w:hint="eastAsia" w:ascii="宋体" w:hAnsi="宋体"/>
                <w:color w:val="auto"/>
                <w:szCs w:val="21"/>
                <w:highlight w:val="none"/>
                <w:lang w:val="en-US" w:eastAsia="zh-CN"/>
              </w:rPr>
              <w:t>采购人</w:t>
            </w:r>
            <w:r>
              <w:rPr>
                <w:rFonts w:hint="eastAsia" w:ascii="宋体" w:hAnsi="宋体"/>
                <w:color w:val="auto"/>
                <w:szCs w:val="21"/>
                <w:highlight w:val="none"/>
              </w:rPr>
              <w:t>支付。</w:t>
            </w:r>
          </w:p>
        </w:tc>
      </w:tr>
      <w:tr w14:paraId="5CA7486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trPr>
        <w:tc>
          <w:tcPr>
            <w:tcW w:w="8410" w:type="dxa"/>
            <w:gridSpan w:val="3"/>
            <w:tcBorders>
              <w:tl2br w:val="nil"/>
              <w:tr2bl w:val="nil"/>
            </w:tcBorders>
            <w:vAlign w:val="center"/>
          </w:tcPr>
          <w:p w14:paraId="49FAE330">
            <w:pPr>
              <w:widowControl w:val="0"/>
              <w:tabs>
                <w:tab w:val="left" w:pos="907"/>
              </w:tabs>
              <w:adjustRightInd/>
              <w:snapToGrid/>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注：本表关于要采购项目的具体资料，是对投标人须知的具体补充和修改，如有矛盾，应以本资料表为准。不满足采购文件中 “★”条款的投标文件将作无效投标处理。</w:t>
            </w:r>
          </w:p>
        </w:tc>
      </w:tr>
    </w:tbl>
    <w:p w14:paraId="469F2F43">
      <w:pPr>
        <w:jc w:val="cente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36F3C72D">
      <w:pPr>
        <w:pStyle w:val="4"/>
        <w:spacing w:before="0" w:after="0" w:line="240" w:lineRule="auto"/>
        <w:jc w:val="center"/>
        <w:rPr>
          <w:rFonts w:hint="eastAsia" w:ascii="宋体" w:hAnsi="宋体" w:eastAsia="宋体" w:cs="宋体"/>
          <w:color w:val="auto"/>
          <w:sz w:val="24"/>
          <w:szCs w:val="24"/>
          <w:highlight w:val="none"/>
        </w:rPr>
      </w:pPr>
      <w:bookmarkStart w:id="4" w:name="_Toc26271"/>
      <w:r>
        <w:rPr>
          <w:rFonts w:hint="eastAsia" w:ascii="宋体" w:hAnsi="宋体" w:eastAsia="宋体" w:cs="宋体"/>
          <w:color w:val="auto"/>
          <w:sz w:val="24"/>
          <w:szCs w:val="24"/>
          <w:highlight w:val="none"/>
        </w:rPr>
        <w:t>附表二：商务技术评分及价格权重表（满分100分）</w:t>
      </w:r>
      <w:bookmarkEnd w:id="4"/>
    </w:p>
    <w:p w14:paraId="292B17F2">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eastAsia="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以下适用包A</w:t>
      </w:r>
    </w:p>
    <w:tbl>
      <w:tblPr>
        <w:tblStyle w:val="3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127"/>
        <w:gridCol w:w="826"/>
        <w:gridCol w:w="5879"/>
      </w:tblGrid>
      <w:tr w14:paraId="17413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B9E6F80">
            <w:pPr>
              <w:pStyle w:val="47"/>
              <w:spacing w:line="360" w:lineRule="auto"/>
              <w:ind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序号</w:t>
            </w:r>
          </w:p>
        </w:tc>
        <w:tc>
          <w:tcPr>
            <w:tcW w:w="1127" w:type="dxa"/>
            <w:tcBorders>
              <w:top w:val="single" w:color="auto" w:sz="4" w:space="0"/>
              <w:left w:val="single" w:color="auto" w:sz="4" w:space="0"/>
              <w:bottom w:val="single" w:color="auto" w:sz="4" w:space="0"/>
              <w:right w:val="single" w:color="auto" w:sz="4" w:space="0"/>
            </w:tcBorders>
            <w:vAlign w:val="center"/>
          </w:tcPr>
          <w:p w14:paraId="18C6CC01">
            <w:pPr>
              <w:pStyle w:val="47"/>
              <w:spacing w:line="360" w:lineRule="auto"/>
              <w:ind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评审项目</w:t>
            </w:r>
          </w:p>
        </w:tc>
        <w:tc>
          <w:tcPr>
            <w:tcW w:w="826" w:type="dxa"/>
            <w:tcBorders>
              <w:top w:val="single" w:color="auto" w:sz="4" w:space="0"/>
              <w:left w:val="single" w:color="auto" w:sz="4" w:space="0"/>
              <w:bottom w:val="single" w:color="auto" w:sz="4" w:space="0"/>
              <w:right w:val="single" w:color="auto" w:sz="4" w:space="0"/>
            </w:tcBorders>
            <w:vAlign w:val="center"/>
          </w:tcPr>
          <w:p w14:paraId="0DCBA968">
            <w:pPr>
              <w:pStyle w:val="47"/>
              <w:spacing w:line="360" w:lineRule="auto"/>
              <w:ind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分值</w:t>
            </w:r>
          </w:p>
        </w:tc>
        <w:tc>
          <w:tcPr>
            <w:tcW w:w="5879" w:type="dxa"/>
            <w:tcBorders>
              <w:top w:val="single" w:color="auto" w:sz="4" w:space="0"/>
              <w:left w:val="single" w:color="auto" w:sz="4" w:space="0"/>
              <w:bottom w:val="single" w:color="auto" w:sz="4" w:space="0"/>
              <w:right w:val="single" w:color="auto" w:sz="4" w:space="0"/>
            </w:tcBorders>
            <w:vAlign w:val="center"/>
          </w:tcPr>
          <w:p w14:paraId="45AFE4D1">
            <w:pPr>
              <w:pStyle w:val="47"/>
              <w:spacing w:line="360" w:lineRule="auto"/>
              <w:ind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评审细则</w:t>
            </w:r>
          </w:p>
        </w:tc>
      </w:tr>
      <w:tr w14:paraId="235D1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117E6E37">
            <w:pPr>
              <w:pStyle w:val="47"/>
              <w:spacing w:line="360" w:lineRule="auto"/>
              <w:ind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商务评审（</w:t>
            </w:r>
            <w:r>
              <w:rPr>
                <w:rFonts w:hint="eastAsia" w:ascii="宋体" w:hAnsi="宋体" w:eastAsia="宋体" w:cs="宋体"/>
                <w:b/>
                <w:bCs/>
                <w:color w:val="auto"/>
                <w:sz w:val="22"/>
                <w:szCs w:val="22"/>
                <w:highlight w:val="none"/>
                <w:lang w:val="en-US" w:eastAsia="zh-CN"/>
              </w:rPr>
              <w:t>5</w:t>
            </w:r>
            <w:r>
              <w:rPr>
                <w:rFonts w:hint="eastAsia" w:ascii="宋体" w:eastAsia="宋体" w:cs="宋体"/>
                <w:b/>
                <w:bCs/>
                <w:color w:val="auto"/>
                <w:sz w:val="22"/>
                <w:szCs w:val="22"/>
                <w:highlight w:val="none"/>
                <w:lang w:val="en-US" w:eastAsia="zh-CN"/>
              </w:rPr>
              <w:t>4</w:t>
            </w:r>
            <w:r>
              <w:rPr>
                <w:rFonts w:hint="eastAsia" w:ascii="宋体" w:hAnsi="宋体" w:eastAsia="宋体" w:cs="宋体"/>
                <w:b/>
                <w:bCs/>
                <w:color w:val="auto"/>
                <w:sz w:val="22"/>
                <w:szCs w:val="22"/>
                <w:highlight w:val="none"/>
              </w:rPr>
              <w:t>分）</w:t>
            </w:r>
          </w:p>
        </w:tc>
      </w:tr>
      <w:tr w14:paraId="2C1A4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5" w:hRule="atLeast"/>
          <w:jc w:val="center"/>
        </w:trPr>
        <w:tc>
          <w:tcPr>
            <w:tcW w:w="690" w:type="dxa"/>
            <w:vMerge w:val="restart"/>
            <w:tcBorders>
              <w:top w:val="single" w:color="auto" w:sz="4" w:space="0"/>
              <w:left w:val="single" w:color="auto" w:sz="4" w:space="0"/>
              <w:right w:val="single" w:color="auto" w:sz="4" w:space="0"/>
            </w:tcBorders>
            <w:vAlign w:val="center"/>
          </w:tcPr>
          <w:p w14:paraId="5CDE81B1">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p>
        </w:tc>
        <w:tc>
          <w:tcPr>
            <w:tcW w:w="1127" w:type="dxa"/>
            <w:vMerge w:val="restart"/>
            <w:tcBorders>
              <w:top w:val="single" w:color="auto" w:sz="4" w:space="0"/>
              <w:left w:val="single" w:color="auto" w:sz="4" w:space="0"/>
              <w:right w:val="single" w:color="auto" w:sz="4" w:space="0"/>
            </w:tcBorders>
            <w:vAlign w:val="center"/>
          </w:tcPr>
          <w:p w14:paraId="218BC9F0">
            <w:pPr>
              <w:pStyle w:val="90"/>
              <w:keepNext w:val="0"/>
              <w:keepLines w:val="0"/>
              <w:pageBreakBefore w:val="0"/>
              <w:widowControl/>
              <w:kinsoku/>
              <w:wordWrap/>
              <w:overflowPunct/>
              <w:topLinePunct w:val="0"/>
              <w:autoSpaceDE/>
              <w:autoSpaceDN/>
              <w:bidi w:val="0"/>
              <w:spacing w:after="0" w:afterLines="0" w:line="440" w:lineRule="exact"/>
              <w:ind w:firstLine="0" w:firstLineChars="0"/>
              <w:jc w:val="center"/>
              <w:textAlignment w:val="auto"/>
              <w:rPr>
                <w:rFonts w:hint="eastAsia" w:ascii="宋体" w:hAnsi="宋体" w:eastAsia="宋体" w:cs="宋体"/>
                <w:color w:val="auto"/>
                <w:sz w:val="22"/>
                <w:szCs w:val="22"/>
                <w:highlight w:val="none"/>
                <w:u w:val="single"/>
                <w:lang w:eastAsia="zh-CN"/>
              </w:rPr>
            </w:pPr>
            <w:r>
              <w:rPr>
                <w:rFonts w:hint="eastAsia" w:ascii="宋体" w:hAnsi="宋体" w:eastAsia="宋体" w:cs="宋体"/>
                <w:color w:val="auto"/>
                <w:sz w:val="22"/>
                <w:szCs w:val="22"/>
                <w:highlight w:val="none"/>
                <w:lang w:eastAsia="zh-CN"/>
              </w:rPr>
              <w:t>公司实力</w:t>
            </w:r>
          </w:p>
        </w:tc>
        <w:tc>
          <w:tcPr>
            <w:tcW w:w="826" w:type="dxa"/>
            <w:vMerge w:val="restart"/>
            <w:tcBorders>
              <w:top w:val="single" w:color="auto" w:sz="4" w:space="0"/>
              <w:left w:val="single" w:color="auto" w:sz="4" w:space="0"/>
              <w:right w:val="single" w:color="auto" w:sz="4" w:space="0"/>
            </w:tcBorders>
            <w:vAlign w:val="center"/>
          </w:tcPr>
          <w:p w14:paraId="26EE1A2A">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eastAsia="宋体" w:cs="宋体"/>
                <w:color w:val="auto"/>
                <w:sz w:val="22"/>
                <w:szCs w:val="22"/>
                <w:highlight w:val="none"/>
                <w:u w:val="single"/>
                <w:lang w:val="en-US" w:eastAsia="zh-CN"/>
              </w:rPr>
            </w:pPr>
            <w:r>
              <w:rPr>
                <w:rFonts w:hint="eastAsia" w:ascii="宋体" w:hAnsi="宋体" w:cs="宋体"/>
                <w:color w:val="auto"/>
                <w:sz w:val="22"/>
                <w:szCs w:val="22"/>
                <w:highlight w:val="none"/>
                <w:u w:val="none"/>
                <w:lang w:val="en-US" w:eastAsia="zh-CN"/>
              </w:rPr>
              <w:t>4</w:t>
            </w:r>
            <w:r>
              <w:rPr>
                <w:rFonts w:hint="eastAsia" w:ascii="宋体" w:hAnsi="宋体" w:eastAsia="宋体" w:cs="宋体"/>
                <w:color w:val="auto"/>
                <w:sz w:val="22"/>
                <w:szCs w:val="22"/>
                <w:highlight w:val="none"/>
                <w:u w:val="none"/>
                <w:lang w:val="en-US" w:eastAsia="zh-CN"/>
              </w:rPr>
              <w:t>分</w:t>
            </w:r>
          </w:p>
        </w:tc>
        <w:tc>
          <w:tcPr>
            <w:tcW w:w="5879" w:type="dxa"/>
            <w:tcBorders>
              <w:top w:val="single" w:color="auto" w:sz="4" w:space="0"/>
              <w:left w:val="single" w:color="auto" w:sz="4" w:space="0"/>
              <w:bottom w:val="single" w:color="auto" w:sz="4" w:space="0"/>
              <w:right w:val="single" w:color="auto" w:sz="4" w:space="0"/>
            </w:tcBorders>
            <w:vAlign w:val="center"/>
          </w:tcPr>
          <w:p w14:paraId="4D4FB577">
            <w:pPr>
              <w:keepNext w:val="0"/>
              <w:keepLines w:val="0"/>
              <w:pageBreakBefore w:val="0"/>
              <w:widowControl/>
              <w:numPr>
                <w:ilvl w:val="0"/>
                <w:numId w:val="0"/>
              </w:numPr>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bidi="ar-SA"/>
              </w:rPr>
              <w:t>1、</w:t>
            </w:r>
            <w:r>
              <w:rPr>
                <w:rFonts w:hint="eastAsia" w:ascii="宋体" w:hAnsi="宋体" w:eastAsia="宋体" w:cs="宋体"/>
                <w:color w:val="auto"/>
                <w:sz w:val="22"/>
                <w:szCs w:val="22"/>
                <w:highlight w:val="none"/>
                <w:lang w:val="en-US" w:eastAsia="zh-CN"/>
              </w:rPr>
              <w:t>纳税信用状况:投标人提供2022年、2023年、2024年的纳税信用等级，纳税信用等级连续三年为</w:t>
            </w:r>
            <w:r>
              <w:rPr>
                <w:rFonts w:hint="eastAsia" w:ascii="宋体" w:hAnsi="宋体" w:cs="宋体"/>
                <w:color w:val="auto"/>
                <w:sz w:val="22"/>
                <w:szCs w:val="22"/>
                <w:highlight w:val="none"/>
                <w:lang w:val="en-US" w:eastAsia="zh-CN"/>
              </w:rPr>
              <w:t>A</w:t>
            </w:r>
            <w:r>
              <w:rPr>
                <w:rFonts w:hint="eastAsia" w:ascii="宋体" w:hAnsi="宋体" w:eastAsia="宋体" w:cs="宋体"/>
                <w:color w:val="auto"/>
                <w:sz w:val="22"/>
                <w:szCs w:val="22"/>
                <w:highlight w:val="none"/>
                <w:lang w:val="en-US" w:eastAsia="zh-CN"/>
              </w:rPr>
              <w:t>级(含)以上的得</w:t>
            </w:r>
            <w:r>
              <w:rPr>
                <w:rFonts w:hint="eastAsia" w:ascii="宋体" w:hAnsi="宋体" w:cs="宋体"/>
                <w:color w:val="auto"/>
                <w:sz w:val="22"/>
                <w:szCs w:val="22"/>
                <w:highlight w:val="none"/>
                <w:lang w:val="en-US" w:eastAsia="zh-CN"/>
              </w:rPr>
              <w:t>1.5</w:t>
            </w:r>
            <w:r>
              <w:rPr>
                <w:rFonts w:hint="eastAsia" w:ascii="宋体" w:hAnsi="宋体" w:eastAsia="宋体" w:cs="宋体"/>
                <w:color w:val="auto"/>
                <w:sz w:val="22"/>
                <w:szCs w:val="22"/>
                <w:highlight w:val="none"/>
                <w:lang w:val="en-US" w:eastAsia="zh-CN"/>
              </w:rPr>
              <w:t>分，有两年为</w:t>
            </w:r>
            <w:r>
              <w:rPr>
                <w:rFonts w:hint="eastAsia" w:ascii="宋体" w:hAnsi="宋体" w:cs="宋体"/>
                <w:color w:val="auto"/>
                <w:sz w:val="22"/>
                <w:szCs w:val="22"/>
                <w:highlight w:val="none"/>
                <w:lang w:val="en-US" w:eastAsia="zh-CN"/>
              </w:rPr>
              <w:t>A</w:t>
            </w:r>
            <w:r>
              <w:rPr>
                <w:rFonts w:hint="eastAsia" w:ascii="宋体" w:hAnsi="宋体" w:eastAsia="宋体" w:cs="宋体"/>
                <w:color w:val="auto"/>
                <w:sz w:val="22"/>
                <w:szCs w:val="22"/>
                <w:highlight w:val="none"/>
                <w:lang w:val="en-US" w:eastAsia="zh-CN"/>
              </w:rPr>
              <w:t>级(含)以上的得</w:t>
            </w:r>
            <w:r>
              <w:rPr>
                <w:rFonts w:hint="eastAsia" w:ascii="宋体" w:hAnsi="宋体" w:cs="宋体"/>
                <w:color w:val="auto"/>
                <w:sz w:val="22"/>
                <w:szCs w:val="22"/>
                <w:highlight w:val="none"/>
                <w:lang w:val="en-US" w:eastAsia="zh-CN"/>
              </w:rPr>
              <w:t>0.5</w:t>
            </w:r>
            <w:r>
              <w:rPr>
                <w:rFonts w:hint="eastAsia" w:ascii="宋体" w:hAnsi="宋体" w:eastAsia="宋体" w:cs="宋体"/>
                <w:color w:val="auto"/>
                <w:sz w:val="22"/>
                <w:szCs w:val="22"/>
                <w:highlight w:val="none"/>
                <w:lang w:val="en-US" w:eastAsia="zh-CN"/>
              </w:rPr>
              <w:t>分，其它情况不得分。</w:t>
            </w:r>
          </w:p>
          <w:p w14:paraId="326CF524">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bCs/>
                <w:color w:val="auto"/>
                <w:sz w:val="22"/>
                <w:szCs w:val="22"/>
                <w:highlight w:val="none"/>
                <w:u w:val="single"/>
                <w:lang w:val="zh-CN"/>
              </w:rPr>
            </w:pPr>
            <w:r>
              <w:rPr>
                <w:rFonts w:hint="eastAsia" w:ascii="宋体" w:hAnsi="宋体" w:eastAsia="宋体" w:cs="宋体"/>
                <w:b/>
                <w:color w:val="auto"/>
                <w:sz w:val="22"/>
                <w:szCs w:val="22"/>
                <w:highlight w:val="none"/>
                <w:lang w:val="en-US" w:eastAsia="zh-CN"/>
              </w:rPr>
              <w:t>注：须提供纳税信用等级证书复印件加盖投标人公章</w:t>
            </w:r>
          </w:p>
        </w:tc>
      </w:tr>
      <w:tr w14:paraId="5979E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5" w:hRule="atLeast"/>
          <w:jc w:val="center"/>
        </w:trPr>
        <w:tc>
          <w:tcPr>
            <w:tcW w:w="690" w:type="dxa"/>
            <w:vMerge w:val="continue"/>
            <w:tcBorders>
              <w:left w:val="single" w:color="auto" w:sz="4" w:space="0"/>
              <w:right w:val="single" w:color="auto" w:sz="4" w:space="0"/>
            </w:tcBorders>
            <w:vAlign w:val="center"/>
          </w:tcPr>
          <w:p w14:paraId="0C0B8EA6">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highlight w:val="none"/>
              </w:rPr>
            </w:pPr>
          </w:p>
        </w:tc>
        <w:tc>
          <w:tcPr>
            <w:tcW w:w="1127" w:type="dxa"/>
            <w:vMerge w:val="continue"/>
            <w:tcBorders>
              <w:left w:val="single" w:color="auto" w:sz="4" w:space="0"/>
              <w:right w:val="single" w:color="auto" w:sz="4" w:space="0"/>
            </w:tcBorders>
            <w:vAlign w:val="center"/>
          </w:tcPr>
          <w:p w14:paraId="49ABFF1C">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highlight w:val="none"/>
              </w:rPr>
            </w:pPr>
          </w:p>
        </w:tc>
        <w:tc>
          <w:tcPr>
            <w:tcW w:w="826" w:type="dxa"/>
            <w:vMerge w:val="continue"/>
            <w:tcBorders>
              <w:left w:val="single" w:color="auto" w:sz="4" w:space="0"/>
              <w:bottom w:val="single" w:color="auto" w:sz="4" w:space="0"/>
              <w:right w:val="single" w:color="auto" w:sz="4" w:space="0"/>
            </w:tcBorders>
            <w:vAlign w:val="center"/>
          </w:tcPr>
          <w:p w14:paraId="55B6C83C">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highlight w:val="none"/>
              </w:rPr>
            </w:pPr>
          </w:p>
        </w:tc>
        <w:tc>
          <w:tcPr>
            <w:tcW w:w="5879" w:type="dxa"/>
            <w:tcBorders>
              <w:top w:val="single" w:color="auto" w:sz="4" w:space="0"/>
              <w:left w:val="single" w:color="auto" w:sz="4" w:space="0"/>
              <w:bottom w:val="single" w:color="auto" w:sz="4" w:space="0"/>
              <w:right w:val="single" w:color="auto" w:sz="4" w:space="0"/>
            </w:tcBorders>
            <w:vAlign w:val="center"/>
          </w:tcPr>
          <w:p w14:paraId="4BA3C95A">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投标人具有由国家认证认可监督管理部门批准设立的认证机构颁发并有效的认证证书，每提供一个证书得</w:t>
            </w:r>
            <w:r>
              <w:rPr>
                <w:rFonts w:hint="eastAsia" w:ascii="宋体" w:hAnsi="宋体" w:cs="宋体"/>
                <w:color w:val="auto"/>
                <w:sz w:val="22"/>
                <w:szCs w:val="22"/>
                <w:highlight w:val="none"/>
                <w:lang w:val="en-US" w:eastAsia="zh-CN"/>
              </w:rPr>
              <w:t>0.5</w:t>
            </w:r>
            <w:r>
              <w:rPr>
                <w:rFonts w:hint="eastAsia" w:ascii="宋体" w:hAnsi="宋体" w:eastAsia="宋体" w:cs="宋体"/>
                <w:color w:val="auto"/>
                <w:sz w:val="22"/>
                <w:szCs w:val="22"/>
                <w:highlight w:val="none"/>
              </w:rPr>
              <w:t>分，最高得</w:t>
            </w:r>
            <w:r>
              <w:rPr>
                <w:rFonts w:hint="eastAsia" w:ascii="宋体" w:hAnsi="宋体" w:cs="宋体"/>
                <w:color w:val="auto"/>
                <w:sz w:val="22"/>
                <w:szCs w:val="22"/>
                <w:highlight w:val="none"/>
                <w:lang w:val="en-US" w:eastAsia="zh-CN"/>
              </w:rPr>
              <w:t>2.5</w:t>
            </w:r>
            <w:r>
              <w:rPr>
                <w:rFonts w:hint="eastAsia" w:ascii="宋体" w:hAnsi="宋体" w:eastAsia="宋体" w:cs="宋体"/>
                <w:color w:val="auto"/>
                <w:sz w:val="22"/>
                <w:szCs w:val="22"/>
                <w:highlight w:val="none"/>
              </w:rPr>
              <w:t>分：</w:t>
            </w:r>
          </w:p>
          <w:p w14:paraId="6973483C">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（1）质量管理体系认证证书；</w:t>
            </w:r>
          </w:p>
          <w:p w14:paraId="12D5CD9D">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（2）环境管理体系认证证书；</w:t>
            </w:r>
          </w:p>
          <w:p w14:paraId="455C1F08">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（3）职业健康安全管理体系认证证书；</w:t>
            </w:r>
          </w:p>
          <w:p w14:paraId="799414FD">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（4）食品安全管理体系认证证书；</w:t>
            </w:r>
          </w:p>
          <w:p w14:paraId="79E3A04F">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lang w:eastAsia="zh-CN"/>
              </w:rPr>
            </w:pP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lang w:val="en-US" w:eastAsia="zh-CN"/>
              </w:rPr>
              <w:t>5</w:t>
            </w:r>
            <w:r>
              <w:rPr>
                <w:rFonts w:hint="eastAsia" w:ascii="宋体" w:hAnsi="宋体" w:cs="宋体"/>
                <w:color w:val="auto"/>
                <w:sz w:val="22"/>
                <w:szCs w:val="22"/>
                <w:highlight w:val="none"/>
                <w:lang w:eastAsia="zh-CN"/>
              </w:rPr>
              <w:t>）</w:t>
            </w:r>
            <w:r>
              <w:rPr>
                <w:rFonts w:hint="eastAsia" w:ascii="宋体" w:hAnsi="宋体" w:cs="宋体"/>
                <w:color w:val="auto"/>
                <w:sz w:val="22"/>
                <w:highlight w:val="none"/>
              </w:rPr>
              <w:t>ISO28000供应链安全管理体系证书</w:t>
            </w:r>
            <w:r>
              <w:rPr>
                <w:rFonts w:hint="eastAsia" w:ascii="宋体" w:hAnsi="宋体" w:cs="宋体"/>
                <w:color w:val="auto"/>
                <w:sz w:val="22"/>
                <w:highlight w:val="none"/>
                <w:lang w:eastAsia="zh-CN"/>
              </w:rPr>
              <w:t>；</w:t>
            </w:r>
          </w:p>
          <w:p w14:paraId="531CDFFA">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注：须提供在有效期内的证书及证书在全国认证认可信息公共服务平台（https://www.cnca.gov.cn/）有效信息</w:t>
            </w:r>
            <w:r>
              <w:rPr>
                <w:rFonts w:hint="eastAsia" w:ascii="宋体" w:hAnsi="宋体" w:eastAsia="宋体" w:cs="宋体"/>
                <w:b/>
                <w:color w:val="auto"/>
                <w:sz w:val="22"/>
                <w:szCs w:val="22"/>
                <w:highlight w:val="none"/>
                <w:lang w:val="en-US" w:eastAsia="zh-CN"/>
              </w:rPr>
              <w:t>的</w:t>
            </w:r>
            <w:r>
              <w:rPr>
                <w:rFonts w:hint="eastAsia" w:ascii="宋体" w:hAnsi="宋体" w:eastAsia="宋体" w:cs="宋体"/>
                <w:b/>
                <w:color w:val="auto"/>
                <w:sz w:val="22"/>
                <w:szCs w:val="22"/>
                <w:highlight w:val="none"/>
              </w:rPr>
              <w:t>查询截图，以上复印件加盖章投标人公章。</w:t>
            </w:r>
          </w:p>
        </w:tc>
      </w:tr>
      <w:tr w14:paraId="25E3E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2F87DE2">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2</w:t>
            </w:r>
          </w:p>
        </w:tc>
        <w:tc>
          <w:tcPr>
            <w:tcW w:w="1127" w:type="dxa"/>
            <w:tcBorders>
              <w:top w:val="single" w:color="auto" w:sz="4" w:space="0"/>
              <w:left w:val="single" w:color="auto" w:sz="4" w:space="0"/>
              <w:bottom w:val="single" w:color="auto" w:sz="4" w:space="0"/>
              <w:right w:val="single" w:color="auto" w:sz="4" w:space="0"/>
            </w:tcBorders>
            <w:vAlign w:val="center"/>
          </w:tcPr>
          <w:p w14:paraId="60AC599C">
            <w:pPr>
              <w:pStyle w:val="90"/>
              <w:keepNext w:val="0"/>
              <w:keepLines w:val="0"/>
              <w:pageBreakBefore w:val="0"/>
              <w:widowControl/>
              <w:kinsoku/>
              <w:wordWrap/>
              <w:overflowPunct/>
              <w:topLinePunct w:val="0"/>
              <w:autoSpaceDE/>
              <w:autoSpaceDN/>
              <w:bidi w:val="0"/>
              <w:spacing w:after="0" w:afterLines="0" w:line="440" w:lineRule="exact"/>
              <w:ind w:firstLine="0" w:firstLineChars="0"/>
              <w:jc w:val="center"/>
              <w:textAlignment w:val="auto"/>
              <w:rPr>
                <w:rFonts w:hint="eastAsia" w:ascii="宋体" w:hAnsi="宋体" w:eastAsia="宋体" w:cs="宋体"/>
                <w:color w:val="auto"/>
                <w:sz w:val="22"/>
                <w:szCs w:val="22"/>
                <w:highlight w:val="none"/>
                <w:u w:val="single"/>
                <w:lang w:val="en-US" w:eastAsia="zh-CN"/>
              </w:rPr>
            </w:pPr>
            <w:r>
              <w:rPr>
                <w:rFonts w:hint="eastAsia" w:ascii="宋体" w:hAnsi="宋体" w:eastAsia="宋体" w:cs="宋体"/>
                <w:color w:val="auto"/>
                <w:sz w:val="22"/>
                <w:szCs w:val="22"/>
                <w:highlight w:val="none"/>
                <w:lang w:val="en-US" w:eastAsia="zh-CN"/>
              </w:rPr>
              <w:t>投标人业绩情况</w:t>
            </w:r>
          </w:p>
        </w:tc>
        <w:tc>
          <w:tcPr>
            <w:tcW w:w="826" w:type="dxa"/>
            <w:tcBorders>
              <w:top w:val="single" w:color="auto" w:sz="4" w:space="0"/>
              <w:left w:val="single" w:color="auto" w:sz="4" w:space="0"/>
              <w:bottom w:val="single" w:color="auto" w:sz="4" w:space="0"/>
              <w:right w:val="single" w:color="auto" w:sz="4" w:space="0"/>
            </w:tcBorders>
            <w:vAlign w:val="center"/>
          </w:tcPr>
          <w:p w14:paraId="0D0A9ACF">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eastAsia="宋体" w:cs="宋体"/>
                <w:color w:val="auto"/>
                <w:sz w:val="22"/>
                <w:szCs w:val="22"/>
                <w:highlight w:val="none"/>
                <w:u w:val="single"/>
                <w:lang w:val="en-US" w:eastAsia="zh-CN"/>
              </w:rPr>
            </w:pPr>
            <w:r>
              <w:rPr>
                <w:rFonts w:hint="eastAsia" w:ascii="宋体" w:hAnsi="宋体" w:cs="宋体"/>
                <w:color w:val="auto"/>
                <w:sz w:val="22"/>
                <w:szCs w:val="22"/>
                <w:highlight w:val="none"/>
                <w:u w:val="none"/>
                <w:lang w:val="en-US" w:eastAsia="zh-CN"/>
              </w:rPr>
              <w:t>8</w:t>
            </w:r>
            <w:r>
              <w:rPr>
                <w:rFonts w:hint="eastAsia" w:ascii="宋体" w:hAnsi="宋体" w:eastAsia="宋体" w:cs="宋体"/>
                <w:color w:val="auto"/>
                <w:sz w:val="22"/>
                <w:szCs w:val="22"/>
                <w:highlight w:val="none"/>
                <w:u w:val="none"/>
                <w:lang w:val="en-US" w:eastAsia="zh-CN"/>
              </w:rPr>
              <w:t>分</w:t>
            </w:r>
          </w:p>
        </w:tc>
        <w:tc>
          <w:tcPr>
            <w:tcW w:w="5879" w:type="dxa"/>
            <w:tcBorders>
              <w:top w:val="single" w:color="auto" w:sz="4" w:space="0"/>
              <w:left w:val="single" w:color="auto" w:sz="4" w:space="0"/>
              <w:bottom w:val="single" w:color="auto" w:sz="4" w:space="0"/>
              <w:right w:val="single" w:color="auto" w:sz="4" w:space="0"/>
            </w:tcBorders>
            <w:vAlign w:val="center"/>
          </w:tcPr>
          <w:p w14:paraId="48C3C4C0">
            <w:pPr>
              <w:pStyle w:val="15"/>
              <w:keepNext w:val="0"/>
              <w:keepLines w:val="0"/>
              <w:pageBreakBefore w:val="0"/>
              <w:widowControl/>
              <w:kinsoku/>
              <w:wordWrap/>
              <w:overflowPunct/>
              <w:topLinePunct w:val="0"/>
              <w:autoSpaceDE/>
              <w:autoSpaceDN/>
              <w:bidi w:val="0"/>
              <w:snapToGrid w:val="0"/>
              <w:spacing w:line="440" w:lineRule="exact"/>
              <w:textAlignment w:val="auto"/>
              <w:rPr>
                <w:rFonts w:hint="eastAsia" w:ascii="宋体" w:hAnsi="宋体" w:eastAsia="宋体" w:cs="宋体"/>
                <w:color w:val="auto"/>
                <w:sz w:val="22"/>
                <w:szCs w:val="22"/>
                <w:highlight w:val="none"/>
                <w:lang w:val="pt-BR"/>
              </w:rPr>
            </w:pPr>
            <w:r>
              <w:rPr>
                <w:rFonts w:hint="eastAsia" w:ascii="宋体" w:hAnsi="宋体" w:eastAsia="宋体" w:cs="宋体"/>
                <w:color w:val="auto"/>
                <w:sz w:val="22"/>
                <w:szCs w:val="22"/>
                <w:highlight w:val="none"/>
              </w:rPr>
              <w:t>投标人自</w:t>
            </w:r>
            <w:r>
              <w:rPr>
                <w:rFonts w:hint="eastAsia" w:ascii="宋体" w:hAnsi="宋体" w:eastAsia="宋体" w:cs="宋体"/>
                <w:color w:val="auto"/>
                <w:sz w:val="22"/>
                <w:szCs w:val="22"/>
                <w:highlight w:val="none"/>
                <w:lang w:val="en-US" w:eastAsia="zh-CN"/>
              </w:rPr>
              <w:t>2022</w:t>
            </w:r>
            <w:r>
              <w:rPr>
                <w:rFonts w:hint="eastAsia" w:ascii="宋体" w:hAnsi="宋体" w:eastAsia="宋体" w:cs="宋体"/>
                <w:color w:val="auto"/>
                <w:sz w:val="22"/>
                <w:szCs w:val="22"/>
                <w:highlight w:val="none"/>
              </w:rPr>
              <w:t>年1月1日（以合同签订的时间为准）</w:t>
            </w:r>
            <w:r>
              <w:rPr>
                <w:rFonts w:hint="eastAsia" w:ascii="宋体" w:hAnsi="宋体" w:eastAsia="宋体" w:cs="宋体"/>
                <w:color w:val="auto"/>
                <w:sz w:val="22"/>
                <w:szCs w:val="22"/>
                <w:highlight w:val="none"/>
                <w:lang w:val="pt-BR"/>
              </w:rPr>
              <w:t>至今已完成或正在服务的饭堂</w:t>
            </w:r>
            <w:r>
              <w:rPr>
                <w:rFonts w:hint="eastAsia" w:ascii="宋体" w:hAnsi="宋体" w:eastAsia="宋体" w:cs="宋体"/>
                <w:color w:val="auto"/>
                <w:sz w:val="22"/>
                <w:szCs w:val="22"/>
                <w:highlight w:val="none"/>
                <w:lang w:val="pt-BR" w:eastAsia="zh-CN"/>
              </w:rPr>
              <w:t>（</w:t>
            </w:r>
            <w:r>
              <w:rPr>
                <w:rFonts w:hint="eastAsia" w:ascii="宋体" w:hAnsi="宋体" w:eastAsia="宋体" w:cs="宋体"/>
                <w:color w:val="auto"/>
                <w:sz w:val="22"/>
                <w:szCs w:val="22"/>
                <w:highlight w:val="none"/>
                <w:lang w:val="en-US" w:eastAsia="zh-CN"/>
              </w:rPr>
              <w:t>或</w:t>
            </w:r>
            <w:r>
              <w:rPr>
                <w:rFonts w:hint="eastAsia" w:ascii="宋体" w:hAnsi="宋体" w:eastAsia="宋体" w:cs="宋体"/>
                <w:color w:val="auto"/>
                <w:sz w:val="22"/>
                <w:szCs w:val="22"/>
                <w:highlight w:val="none"/>
                <w:lang w:val="pt-BR"/>
              </w:rPr>
              <w:t>食堂</w:t>
            </w:r>
            <w:r>
              <w:rPr>
                <w:rFonts w:hint="eastAsia" w:ascii="宋体" w:hAnsi="宋体" w:eastAsia="宋体" w:cs="宋体"/>
                <w:color w:val="auto"/>
                <w:sz w:val="22"/>
                <w:szCs w:val="22"/>
                <w:highlight w:val="none"/>
                <w:lang w:val="pt-BR" w:eastAsia="zh-CN"/>
              </w:rPr>
              <w:t>）</w:t>
            </w:r>
            <w:r>
              <w:rPr>
                <w:rFonts w:hint="eastAsia" w:hAnsi="宋体" w:cs="宋体"/>
                <w:b/>
                <w:bCs/>
                <w:color w:val="auto"/>
                <w:sz w:val="22"/>
                <w:szCs w:val="22"/>
                <w:highlight w:val="none"/>
                <w:lang w:eastAsia="zh-CN"/>
              </w:rPr>
              <w:t>、</w:t>
            </w:r>
            <w:r>
              <w:rPr>
                <w:rFonts w:hint="eastAsia" w:hAnsi="宋体" w:cs="宋体"/>
                <w:b/>
                <w:bCs/>
                <w:color w:val="auto"/>
                <w:sz w:val="22"/>
                <w:szCs w:val="22"/>
                <w:highlight w:val="none"/>
                <w:lang w:val="en-US" w:eastAsia="zh-CN"/>
              </w:rPr>
              <w:t>社会餐饮、大型宴会</w:t>
            </w:r>
            <w:r>
              <w:rPr>
                <w:rFonts w:hint="eastAsia" w:ascii="宋体" w:hAnsi="宋体" w:eastAsia="宋体" w:cs="宋体"/>
                <w:color w:val="auto"/>
                <w:sz w:val="22"/>
                <w:szCs w:val="22"/>
                <w:highlight w:val="none"/>
                <w:lang w:val="pt-BR"/>
              </w:rPr>
              <w:t>食品或者食材配送服务项目业绩，按下列情况评分，满分</w:t>
            </w:r>
            <w:r>
              <w:rPr>
                <w:rFonts w:hint="eastAsia" w:hAnsi="宋体" w:cs="宋体"/>
                <w:color w:val="auto"/>
                <w:sz w:val="22"/>
                <w:szCs w:val="22"/>
                <w:highlight w:val="none"/>
                <w:lang w:val="en-US" w:eastAsia="zh-CN"/>
              </w:rPr>
              <w:t>8</w:t>
            </w:r>
            <w:r>
              <w:rPr>
                <w:rFonts w:hint="eastAsia" w:ascii="宋体" w:hAnsi="宋体" w:eastAsia="宋体" w:cs="宋体"/>
                <w:color w:val="auto"/>
                <w:sz w:val="22"/>
                <w:szCs w:val="22"/>
                <w:highlight w:val="none"/>
                <w:lang w:val="pt-BR"/>
              </w:rPr>
              <w:t>分：</w:t>
            </w:r>
          </w:p>
          <w:p w14:paraId="3B5A6056">
            <w:pPr>
              <w:pStyle w:val="91"/>
              <w:keepNext w:val="0"/>
              <w:keepLines w:val="0"/>
              <w:pageBreakBefore w:val="0"/>
              <w:widowControl/>
              <w:numPr>
                <w:ilvl w:val="0"/>
                <w:numId w:val="0"/>
              </w:numPr>
              <w:kinsoku/>
              <w:wordWrap/>
              <w:overflowPunct/>
              <w:topLinePunct w:val="0"/>
              <w:autoSpaceDE/>
              <w:autoSpaceDN/>
              <w:bidi w:val="0"/>
              <w:spacing w:line="440" w:lineRule="exact"/>
              <w:jc w:val="both"/>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kern w:val="2"/>
                <w:sz w:val="22"/>
                <w:szCs w:val="22"/>
                <w:highlight w:val="none"/>
                <w:lang w:val="en-US" w:eastAsia="zh-CN" w:bidi="ar-SA"/>
              </w:rPr>
              <w:t>（1）单个</w:t>
            </w:r>
            <w:r>
              <w:rPr>
                <w:rFonts w:hint="eastAsia" w:ascii="宋体" w:hAnsi="宋体" w:eastAsia="宋体" w:cs="宋体"/>
                <w:color w:val="auto"/>
                <w:sz w:val="22"/>
                <w:szCs w:val="22"/>
                <w:highlight w:val="none"/>
                <w:lang w:val="en-US" w:eastAsia="zh-CN"/>
              </w:rPr>
              <w:t>年度</w:t>
            </w:r>
            <w:r>
              <w:rPr>
                <w:rFonts w:hint="eastAsia" w:ascii="宋体" w:hAnsi="宋体" w:eastAsia="宋体" w:cs="宋体"/>
                <w:color w:val="auto"/>
                <w:sz w:val="22"/>
                <w:szCs w:val="22"/>
                <w:highlight w:val="none"/>
                <w:lang w:val="pt-BR"/>
              </w:rPr>
              <w:t>配送服务金额≥</w:t>
            </w:r>
            <w:r>
              <w:rPr>
                <w:rFonts w:hint="eastAsia" w:ascii="宋体" w:hAnsi="宋体" w:eastAsia="宋体" w:cs="宋体"/>
                <w:color w:val="auto"/>
                <w:sz w:val="22"/>
                <w:szCs w:val="22"/>
                <w:highlight w:val="none"/>
                <w:lang w:val="en-US" w:eastAsia="zh-CN"/>
              </w:rPr>
              <w:t>468</w:t>
            </w:r>
            <w:r>
              <w:rPr>
                <w:rFonts w:hint="eastAsia" w:ascii="宋体" w:hAnsi="宋体" w:eastAsia="宋体" w:cs="宋体"/>
                <w:color w:val="auto"/>
                <w:sz w:val="22"/>
                <w:szCs w:val="22"/>
                <w:highlight w:val="none"/>
                <w:lang w:val="pt-BR"/>
              </w:rPr>
              <w:t>万元的前述业绩，每项得</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lang w:val="pt-BR"/>
              </w:rPr>
              <w:t>分</w:t>
            </w:r>
            <w:r>
              <w:rPr>
                <w:rFonts w:hint="eastAsia" w:ascii="宋体" w:hAnsi="宋体" w:eastAsia="宋体" w:cs="宋体"/>
                <w:color w:val="auto"/>
                <w:sz w:val="22"/>
                <w:szCs w:val="22"/>
                <w:highlight w:val="none"/>
                <w:lang w:val="pt-BR" w:eastAsia="zh-CN"/>
              </w:rPr>
              <w:t>，</w:t>
            </w:r>
            <w:r>
              <w:rPr>
                <w:rFonts w:hint="eastAsia" w:ascii="宋体" w:hAnsi="宋体" w:eastAsia="宋体" w:cs="宋体"/>
                <w:color w:val="auto"/>
                <w:sz w:val="22"/>
                <w:szCs w:val="22"/>
                <w:highlight w:val="none"/>
                <w:lang w:val="en-US" w:eastAsia="zh-CN"/>
              </w:rPr>
              <w:t>满分8分。</w:t>
            </w:r>
          </w:p>
          <w:p w14:paraId="69E383B6">
            <w:pPr>
              <w:pStyle w:val="91"/>
              <w:keepNext w:val="0"/>
              <w:keepLines w:val="0"/>
              <w:pageBreakBefore w:val="0"/>
              <w:widowControl/>
              <w:kinsoku/>
              <w:wordWrap/>
              <w:overflowPunct/>
              <w:topLinePunct w:val="0"/>
              <w:autoSpaceDE/>
              <w:autoSpaceDN/>
              <w:bidi w:val="0"/>
              <w:spacing w:line="440" w:lineRule="exact"/>
              <w:jc w:val="both"/>
              <w:textAlignment w:val="auto"/>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注：</w:t>
            </w:r>
            <w:r>
              <w:rPr>
                <w:rFonts w:hint="eastAsia" w:ascii="宋体" w:hAnsi="宋体" w:eastAsia="宋体" w:cs="宋体"/>
                <w:b/>
                <w:color w:val="auto"/>
                <w:sz w:val="22"/>
                <w:szCs w:val="22"/>
                <w:highlight w:val="none"/>
                <w:lang w:val="pt-BR"/>
              </w:rPr>
              <w:t>①</w:t>
            </w:r>
            <w:r>
              <w:rPr>
                <w:rFonts w:hint="eastAsia" w:ascii="宋体" w:hAnsi="宋体" w:eastAsia="宋体" w:cs="宋体"/>
                <w:b/>
                <w:color w:val="auto"/>
                <w:sz w:val="22"/>
                <w:szCs w:val="22"/>
                <w:highlight w:val="none"/>
              </w:rPr>
              <w:t>业</w:t>
            </w:r>
            <w:r>
              <w:rPr>
                <w:rFonts w:hint="eastAsia" w:ascii="宋体" w:hAnsi="宋体" w:eastAsia="宋体" w:cs="宋体"/>
                <w:b/>
                <w:bCs/>
                <w:color w:val="auto"/>
                <w:sz w:val="22"/>
                <w:szCs w:val="22"/>
                <w:highlight w:val="none"/>
              </w:rPr>
              <w:t>绩须附合同复印件</w:t>
            </w:r>
            <w:r>
              <w:rPr>
                <w:rFonts w:hint="eastAsia" w:ascii="宋体" w:hAnsi="宋体" w:eastAsia="宋体" w:cs="宋体"/>
                <w:b/>
                <w:color w:val="auto"/>
                <w:sz w:val="22"/>
                <w:szCs w:val="22"/>
                <w:highlight w:val="none"/>
              </w:rPr>
              <w:t>加盖投标人公章</w:t>
            </w:r>
            <w:r>
              <w:rPr>
                <w:rFonts w:hint="eastAsia" w:ascii="宋体" w:hAnsi="宋体" w:eastAsia="宋体" w:cs="宋体"/>
                <w:b/>
                <w:color w:val="auto"/>
                <w:sz w:val="22"/>
                <w:szCs w:val="22"/>
                <w:highlight w:val="none"/>
                <w:lang w:eastAsia="zh-CN"/>
              </w:rPr>
              <w:t>；</w:t>
            </w:r>
          </w:p>
          <w:p w14:paraId="7E9D425F">
            <w:pPr>
              <w:pStyle w:val="15"/>
              <w:keepNext w:val="0"/>
              <w:keepLines w:val="0"/>
              <w:pageBreakBefore w:val="0"/>
              <w:widowControl/>
              <w:kinsoku/>
              <w:wordWrap/>
              <w:overflowPunct/>
              <w:topLinePunct w:val="0"/>
              <w:autoSpaceDE/>
              <w:autoSpaceDN/>
              <w:bidi w:val="0"/>
              <w:snapToGrid w:val="0"/>
              <w:spacing w:line="440" w:lineRule="exact"/>
              <w:ind w:firstLine="442" w:firstLineChars="200"/>
              <w:textAlignment w:val="auto"/>
              <w:rPr>
                <w:rFonts w:hint="eastAsia" w:ascii="宋体" w:hAnsi="宋体" w:eastAsia="宋体" w:cs="宋体"/>
                <w:b/>
                <w:bCs/>
                <w:color w:val="auto"/>
                <w:sz w:val="22"/>
                <w:szCs w:val="22"/>
                <w:highlight w:val="none"/>
              </w:rPr>
            </w:pPr>
            <w:r>
              <w:rPr>
                <w:rFonts w:hint="eastAsia" w:ascii="宋体" w:hAnsi="宋体" w:eastAsia="宋体" w:cs="宋体"/>
                <w:b/>
                <w:color w:val="auto"/>
                <w:sz w:val="22"/>
                <w:szCs w:val="22"/>
                <w:highlight w:val="none"/>
                <w:lang w:val="pt-BR"/>
              </w:rPr>
              <w:t>②</w:t>
            </w:r>
            <w:r>
              <w:rPr>
                <w:rFonts w:hint="eastAsia" w:ascii="宋体" w:hAnsi="宋体" w:eastAsia="宋体" w:cs="宋体"/>
                <w:b/>
                <w:bCs/>
                <w:color w:val="auto"/>
                <w:sz w:val="22"/>
                <w:szCs w:val="22"/>
                <w:highlight w:val="none"/>
              </w:rPr>
              <w:t>合同必须能反映评分条件（合同签订日期为</w:t>
            </w:r>
            <w:r>
              <w:rPr>
                <w:rFonts w:hint="eastAsia" w:ascii="宋体" w:hAnsi="宋体" w:eastAsia="宋体" w:cs="宋体"/>
                <w:b/>
                <w:bCs/>
                <w:color w:val="auto"/>
                <w:sz w:val="22"/>
                <w:szCs w:val="22"/>
                <w:highlight w:val="none"/>
                <w:lang w:val="en-US" w:eastAsia="zh-CN"/>
              </w:rPr>
              <w:t>2022</w:t>
            </w:r>
            <w:r>
              <w:rPr>
                <w:rFonts w:hint="eastAsia" w:ascii="宋体" w:hAnsi="宋体" w:eastAsia="宋体" w:cs="宋体"/>
                <w:b/>
                <w:bCs/>
                <w:color w:val="auto"/>
                <w:sz w:val="22"/>
                <w:szCs w:val="22"/>
                <w:highlight w:val="none"/>
              </w:rPr>
              <w:t>年1月1日或以后，合同服务内容必须为饭堂（或食堂）</w:t>
            </w:r>
            <w:r>
              <w:rPr>
                <w:rFonts w:hint="eastAsia" w:hAnsi="宋体" w:cs="宋体"/>
                <w:b/>
                <w:bCs/>
                <w:color w:val="auto"/>
                <w:sz w:val="22"/>
                <w:szCs w:val="22"/>
                <w:highlight w:val="none"/>
                <w:lang w:eastAsia="zh-CN"/>
              </w:rPr>
              <w:t>、</w:t>
            </w:r>
            <w:r>
              <w:rPr>
                <w:rFonts w:hint="eastAsia" w:hAnsi="宋体" w:cs="宋体"/>
                <w:b/>
                <w:bCs/>
                <w:color w:val="auto"/>
                <w:sz w:val="22"/>
                <w:szCs w:val="22"/>
                <w:highlight w:val="none"/>
                <w:lang w:val="en-US" w:eastAsia="zh-CN"/>
              </w:rPr>
              <w:t>社会餐饮、大型宴会</w:t>
            </w:r>
            <w:r>
              <w:rPr>
                <w:rFonts w:hint="eastAsia" w:ascii="宋体" w:hAnsi="宋体" w:eastAsia="宋体" w:cs="宋体"/>
                <w:b/>
                <w:bCs/>
                <w:color w:val="auto"/>
                <w:sz w:val="22"/>
                <w:szCs w:val="22"/>
                <w:highlight w:val="none"/>
                <w:lang w:val="en-US" w:eastAsia="zh-CN"/>
              </w:rPr>
              <w:t>食品或者</w:t>
            </w:r>
            <w:r>
              <w:rPr>
                <w:rFonts w:hint="eastAsia" w:ascii="宋体" w:hAnsi="宋体" w:eastAsia="宋体" w:cs="宋体"/>
                <w:b/>
                <w:bCs/>
                <w:color w:val="auto"/>
                <w:sz w:val="22"/>
                <w:szCs w:val="22"/>
                <w:highlight w:val="none"/>
              </w:rPr>
              <w:t>食材配送服务，</w:t>
            </w:r>
            <w:r>
              <w:rPr>
                <w:rFonts w:hint="eastAsia" w:hAnsi="宋体" w:cs="宋体"/>
                <w:b/>
                <w:bCs/>
                <w:color w:val="auto"/>
                <w:sz w:val="22"/>
                <w:szCs w:val="22"/>
                <w:highlight w:val="none"/>
                <w:lang w:val="en-US" w:eastAsia="zh-CN"/>
              </w:rPr>
              <w:t>年度</w:t>
            </w:r>
            <w:r>
              <w:rPr>
                <w:rFonts w:hint="eastAsia" w:ascii="宋体" w:hAnsi="宋体" w:eastAsia="宋体" w:cs="宋体"/>
                <w:b/>
                <w:bCs/>
                <w:color w:val="auto"/>
                <w:sz w:val="22"/>
                <w:szCs w:val="22"/>
                <w:highlight w:val="none"/>
              </w:rPr>
              <w:t>合同金额）</w:t>
            </w:r>
            <w:r>
              <w:rPr>
                <w:rFonts w:hint="eastAsia" w:hAnsi="宋体" w:cs="宋体"/>
                <w:b/>
                <w:bCs/>
                <w:color w:val="auto"/>
                <w:sz w:val="22"/>
                <w:szCs w:val="22"/>
                <w:highlight w:val="none"/>
                <w:lang w:eastAsia="zh-CN"/>
              </w:rPr>
              <w:t>。</w:t>
            </w:r>
            <w:r>
              <w:rPr>
                <w:rFonts w:hint="eastAsia" w:hAnsi="宋体" w:cs="宋体"/>
                <w:b/>
                <w:bCs/>
                <w:color w:val="auto"/>
                <w:sz w:val="22"/>
                <w:szCs w:val="22"/>
                <w:highlight w:val="none"/>
                <w:lang w:val="en-US" w:eastAsia="zh-CN"/>
              </w:rPr>
              <w:t>若合同中未明确年度金额则</w:t>
            </w:r>
            <w:r>
              <w:rPr>
                <w:rFonts w:hint="eastAsia" w:ascii="宋体" w:hAnsi="宋体" w:eastAsia="宋体" w:cs="宋体"/>
                <w:b/>
                <w:bCs/>
                <w:color w:val="auto"/>
                <w:sz w:val="22"/>
                <w:szCs w:val="22"/>
                <w:highlight w:val="none"/>
                <w:lang w:val="en-US"/>
              </w:rPr>
              <w:t>需</w:t>
            </w:r>
            <w:r>
              <w:rPr>
                <w:rFonts w:hint="eastAsia" w:ascii="宋体" w:hAnsi="宋体" w:eastAsia="宋体" w:cs="宋体"/>
                <w:b/>
                <w:bCs/>
                <w:color w:val="auto"/>
                <w:sz w:val="22"/>
                <w:szCs w:val="22"/>
                <w:highlight w:val="none"/>
              </w:rPr>
              <w:t>同时提供</w:t>
            </w:r>
            <w:r>
              <w:rPr>
                <w:rFonts w:hint="eastAsia" w:hAnsi="宋体" w:cs="宋体"/>
                <w:b/>
                <w:bCs/>
                <w:color w:val="auto"/>
                <w:sz w:val="22"/>
                <w:szCs w:val="22"/>
                <w:highlight w:val="none"/>
                <w:lang w:val="en-US" w:eastAsia="zh-CN"/>
              </w:rPr>
              <w:t>合同年度</w:t>
            </w:r>
            <w:r>
              <w:rPr>
                <w:rFonts w:hint="eastAsia" w:ascii="宋体" w:hAnsi="宋体" w:eastAsia="宋体" w:cs="宋体"/>
                <w:b/>
                <w:bCs/>
                <w:color w:val="auto"/>
                <w:sz w:val="22"/>
                <w:szCs w:val="22"/>
                <w:highlight w:val="none"/>
              </w:rPr>
              <w:t>金额的发票或服务购</w:t>
            </w:r>
            <w:r>
              <w:rPr>
                <w:rFonts w:hint="eastAsia" w:ascii="宋体" w:hAnsi="宋体" w:eastAsia="宋体" w:cs="宋体"/>
                <w:b/>
                <w:bCs/>
                <w:color w:val="auto"/>
                <w:sz w:val="22"/>
                <w:szCs w:val="22"/>
                <w:highlight w:val="none"/>
                <w:lang w:val="en-US" w:eastAsia="zh-CN"/>
              </w:rPr>
              <w:t>买方</w:t>
            </w:r>
            <w:r>
              <w:rPr>
                <w:rFonts w:hint="eastAsia" w:ascii="宋体" w:hAnsi="宋体" w:eastAsia="宋体" w:cs="宋体"/>
                <w:b/>
                <w:bCs/>
                <w:color w:val="auto"/>
                <w:sz w:val="22"/>
                <w:szCs w:val="22"/>
                <w:highlight w:val="none"/>
              </w:rPr>
              <w:t>出具的书面补充说明文件</w:t>
            </w:r>
            <w:r>
              <w:rPr>
                <w:rFonts w:hint="eastAsia" w:hAnsi="宋体" w:cs="宋体"/>
                <w:b/>
                <w:bCs/>
                <w:color w:val="auto"/>
                <w:sz w:val="22"/>
                <w:szCs w:val="22"/>
                <w:highlight w:val="none"/>
                <w:lang w:eastAsia="zh-CN"/>
              </w:rPr>
              <w:t>（</w:t>
            </w:r>
            <w:r>
              <w:rPr>
                <w:rFonts w:hint="eastAsia" w:hAnsi="宋体" w:cs="宋体"/>
                <w:b/>
                <w:bCs/>
                <w:color w:val="auto"/>
                <w:sz w:val="22"/>
                <w:szCs w:val="22"/>
                <w:highlight w:val="none"/>
                <w:lang w:val="en-US" w:eastAsia="zh-CN"/>
              </w:rPr>
              <w:t>加盖服务购买方公章</w:t>
            </w:r>
            <w:r>
              <w:rPr>
                <w:rFonts w:hint="eastAsia" w:hAnsi="宋体" w:cs="宋体"/>
                <w:b/>
                <w:bCs/>
                <w:color w:val="auto"/>
                <w:sz w:val="22"/>
                <w:szCs w:val="22"/>
                <w:highlight w:val="none"/>
                <w:lang w:eastAsia="zh-CN"/>
              </w:rPr>
              <w:t>）</w:t>
            </w:r>
            <w:r>
              <w:rPr>
                <w:rFonts w:hint="eastAsia" w:hAnsi="宋体" w:cs="宋体"/>
                <w:b/>
                <w:bCs/>
                <w:color w:val="auto"/>
                <w:sz w:val="22"/>
                <w:szCs w:val="22"/>
                <w:highlight w:val="none"/>
                <w:lang w:val="en-US" w:eastAsia="zh-CN"/>
              </w:rPr>
              <w:t>等</w:t>
            </w:r>
            <w:r>
              <w:rPr>
                <w:rFonts w:hint="eastAsia" w:ascii="宋体" w:hAnsi="宋体" w:eastAsia="宋体" w:cs="宋体"/>
                <w:b/>
                <w:bCs/>
                <w:color w:val="auto"/>
                <w:sz w:val="22"/>
                <w:szCs w:val="22"/>
                <w:highlight w:val="none"/>
              </w:rPr>
              <w:t>作为辅助证明；</w:t>
            </w:r>
          </w:p>
          <w:p w14:paraId="7A24FA14">
            <w:pPr>
              <w:pStyle w:val="15"/>
              <w:keepNext w:val="0"/>
              <w:keepLines w:val="0"/>
              <w:pageBreakBefore w:val="0"/>
              <w:widowControl/>
              <w:kinsoku/>
              <w:wordWrap/>
              <w:overflowPunct/>
              <w:topLinePunct w:val="0"/>
              <w:autoSpaceDE/>
              <w:autoSpaceDN/>
              <w:bidi w:val="0"/>
              <w:snapToGrid w:val="0"/>
              <w:spacing w:line="440" w:lineRule="exact"/>
              <w:ind w:firstLine="442" w:firstLineChars="200"/>
              <w:textAlignment w:val="auto"/>
              <w:rPr>
                <w:rFonts w:hint="default" w:ascii="宋体" w:hAnsi="宋体" w:eastAsia="宋体" w:cs="宋体"/>
                <w:b/>
                <w:color w:val="auto"/>
                <w:sz w:val="22"/>
                <w:szCs w:val="22"/>
                <w:highlight w:val="none"/>
                <w:lang w:val="en-US" w:eastAsia="zh-CN"/>
              </w:rPr>
            </w:pPr>
            <w:r>
              <w:rPr>
                <w:rFonts w:hint="eastAsia" w:ascii="宋体" w:hAnsi="宋体" w:eastAsia="宋体" w:cs="宋体"/>
                <w:b/>
                <w:color w:val="auto"/>
                <w:sz w:val="22"/>
                <w:szCs w:val="22"/>
                <w:highlight w:val="none"/>
                <w:lang w:val="pt-BR"/>
              </w:rPr>
              <w:t>③</w:t>
            </w:r>
            <w:r>
              <w:rPr>
                <w:rFonts w:hint="eastAsia" w:ascii="宋体" w:hAnsi="宋体" w:eastAsia="宋体" w:cs="宋体"/>
                <w:b/>
                <w:bCs/>
                <w:color w:val="auto"/>
                <w:sz w:val="22"/>
                <w:szCs w:val="22"/>
                <w:highlight w:val="none"/>
              </w:rPr>
              <w:t>若业绩为框架式协议或资格入围无明确金额的合同，必须同时提供</w:t>
            </w:r>
            <w:r>
              <w:rPr>
                <w:rFonts w:hint="eastAsia" w:hAnsi="宋体" w:cs="宋体"/>
                <w:b/>
                <w:bCs/>
                <w:color w:val="auto"/>
                <w:sz w:val="22"/>
                <w:szCs w:val="22"/>
                <w:highlight w:val="none"/>
                <w:lang w:val="en-US" w:eastAsia="zh-CN"/>
              </w:rPr>
              <w:t>合同年度内发生</w:t>
            </w:r>
            <w:r>
              <w:rPr>
                <w:rFonts w:hint="eastAsia" w:ascii="宋体" w:hAnsi="宋体" w:eastAsia="宋体" w:cs="宋体"/>
                <w:b/>
                <w:bCs/>
                <w:color w:val="auto"/>
                <w:sz w:val="22"/>
                <w:szCs w:val="22"/>
                <w:highlight w:val="none"/>
              </w:rPr>
              <w:t>金额的发票或服务购</w:t>
            </w:r>
            <w:r>
              <w:rPr>
                <w:rFonts w:hint="eastAsia" w:ascii="宋体" w:hAnsi="宋体" w:eastAsia="宋体" w:cs="宋体"/>
                <w:b/>
                <w:bCs/>
                <w:color w:val="auto"/>
                <w:sz w:val="22"/>
                <w:szCs w:val="22"/>
                <w:highlight w:val="none"/>
                <w:lang w:val="en-US" w:eastAsia="zh-CN"/>
              </w:rPr>
              <w:t>买方</w:t>
            </w:r>
            <w:r>
              <w:rPr>
                <w:rFonts w:hint="eastAsia" w:ascii="宋体" w:hAnsi="宋体" w:eastAsia="宋体" w:cs="宋体"/>
                <w:b/>
                <w:bCs/>
                <w:color w:val="auto"/>
                <w:sz w:val="22"/>
                <w:szCs w:val="22"/>
                <w:highlight w:val="none"/>
              </w:rPr>
              <w:t>出具的书面补充说明文件</w:t>
            </w:r>
            <w:r>
              <w:rPr>
                <w:rFonts w:hint="eastAsia" w:hAnsi="宋体" w:cs="宋体"/>
                <w:b/>
                <w:bCs/>
                <w:color w:val="auto"/>
                <w:sz w:val="22"/>
                <w:szCs w:val="22"/>
                <w:highlight w:val="none"/>
                <w:lang w:eastAsia="zh-CN"/>
              </w:rPr>
              <w:t>（</w:t>
            </w:r>
            <w:r>
              <w:rPr>
                <w:rFonts w:hint="eastAsia" w:hAnsi="宋体" w:cs="宋体"/>
                <w:b/>
                <w:bCs/>
                <w:color w:val="auto"/>
                <w:sz w:val="22"/>
                <w:szCs w:val="22"/>
                <w:highlight w:val="none"/>
                <w:lang w:val="en-US" w:eastAsia="zh-CN"/>
              </w:rPr>
              <w:t>加盖服务购买方公章</w:t>
            </w:r>
            <w:r>
              <w:rPr>
                <w:rFonts w:hint="eastAsia" w:hAnsi="宋体" w:cs="宋体"/>
                <w:b/>
                <w:bCs/>
                <w:color w:val="auto"/>
                <w:sz w:val="22"/>
                <w:szCs w:val="22"/>
                <w:highlight w:val="none"/>
                <w:lang w:eastAsia="zh-CN"/>
              </w:rPr>
              <w:t>）</w:t>
            </w:r>
            <w:r>
              <w:rPr>
                <w:rFonts w:hint="eastAsia" w:hAnsi="宋体" w:cs="宋体"/>
                <w:b/>
                <w:bCs/>
                <w:color w:val="auto"/>
                <w:sz w:val="22"/>
                <w:szCs w:val="22"/>
                <w:highlight w:val="none"/>
                <w:lang w:val="en-US" w:eastAsia="zh-CN"/>
              </w:rPr>
              <w:t>等</w:t>
            </w:r>
            <w:r>
              <w:rPr>
                <w:rFonts w:hint="eastAsia" w:ascii="宋体" w:hAnsi="宋体" w:eastAsia="宋体" w:cs="宋体"/>
                <w:b/>
                <w:bCs/>
                <w:color w:val="auto"/>
                <w:sz w:val="22"/>
                <w:szCs w:val="22"/>
                <w:highlight w:val="none"/>
              </w:rPr>
              <w:t>作为</w:t>
            </w:r>
            <w:r>
              <w:rPr>
                <w:rFonts w:hint="eastAsia" w:hAnsi="宋体" w:cs="宋体"/>
                <w:b/>
                <w:bCs/>
                <w:color w:val="auto"/>
                <w:sz w:val="22"/>
                <w:szCs w:val="22"/>
                <w:highlight w:val="none"/>
                <w:lang w:val="en-US" w:eastAsia="zh-CN"/>
              </w:rPr>
              <w:t>合同年度金额的</w:t>
            </w:r>
            <w:r>
              <w:rPr>
                <w:rFonts w:hint="eastAsia" w:ascii="宋体" w:hAnsi="宋体" w:eastAsia="宋体" w:cs="宋体"/>
                <w:b/>
                <w:bCs/>
                <w:color w:val="auto"/>
                <w:sz w:val="22"/>
                <w:szCs w:val="22"/>
                <w:highlight w:val="none"/>
              </w:rPr>
              <w:t>辅助证明</w:t>
            </w:r>
            <w:r>
              <w:rPr>
                <w:rFonts w:hint="eastAsia" w:hAnsi="宋体" w:cs="宋体"/>
                <w:b/>
                <w:bCs/>
                <w:color w:val="auto"/>
                <w:sz w:val="22"/>
                <w:szCs w:val="22"/>
                <w:highlight w:val="none"/>
                <w:lang w:val="en-US" w:eastAsia="zh-CN"/>
              </w:rPr>
              <w:t>；</w:t>
            </w:r>
          </w:p>
          <w:p w14:paraId="41E30ABB">
            <w:pPr>
              <w:pStyle w:val="47"/>
              <w:keepNext w:val="0"/>
              <w:keepLines w:val="0"/>
              <w:pageBreakBefore w:val="0"/>
              <w:widowControl/>
              <w:kinsoku/>
              <w:wordWrap/>
              <w:overflowPunct/>
              <w:topLinePunct w:val="0"/>
              <w:autoSpaceDE/>
              <w:autoSpaceDN/>
              <w:bidi w:val="0"/>
              <w:spacing w:line="440" w:lineRule="exact"/>
              <w:ind w:left="0" w:leftChars="0" w:firstLine="442" w:firstLineChars="200"/>
              <w:textAlignment w:val="auto"/>
              <w:rPr>
                <w:rFonts w:hint="eastAsia" w:ascii="宋体" w:hAnsi="宋体" w:eastAsia="宋体" w:cs="宋体"/>
                <w:bCs/>
                <w:color w:val="auto"/>
                <w:sz w:val="22"/>
                <w:szCs w:val="22"/>
                <w:highlight w:val="none"/>
                <w:u w:val="single"/>
                <w:lang w:val="zh-CN"/>
              </w:rPr>
            </w:pPr>
            <w:r>
              <w:rPr>
                <w:rFonts w:hint="eastAsia" w:ascii="宋体" w:hAnsi="宋体" w:eastAsia="宋体" w:cs="宋体"/>
                <w:b/>
                <w:bCs/>
                <w:color w:val="auto"/>
                <w:sz w:val="22"/>
                <w:szCs w:val="22"/>
                <w:highlight w:val="none"/>
                <w:lang w:val="en-US" w:eastAsia="zh-CN"/>
              </w:rPr>
              <w:t>④</w:t>
            </w:r>
            <w:r>
              <w:rPr>
                <w:rFonts w:hint="eastAsia" w:ascii="宋体" w:hAnsi="宋体" w:eastAsia="宋体" w:cs="宋体"/>
                <w:b/>
                <w:bCs/>
                <w:color w:val="auto"/>
                <w:sz w:val="22"/>
                <w:szCs w:val="22"/>
                <w:highlight w:val="none"/>
              </w:rPr>
              <w:t>未按上述要求提供证明材料的业绩，或所附材料无法证明填报项目符合本项评分要求的业绩，在评标时将不予考虑。</w:t>
            </w:r>
          </w:p>
        </w:tc>
      </w:tr>
      <w:tr w14:paraId="568A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7"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B83F963">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w:t>
            </w:r>
          </w:p>
        </w:tc>
        <w:tc>
          <w:tcPr>
            <w:tcW w:w="1127" w:type="dxa"/>
            <w:tcBorders>
              <w:top w:val="single" w:color="auto" w:sz="4" w:space="0"/>
              <w:left w:val="single" w:color="auto" w:sz="4" w:space="0"/>
              <w:bottom w:val="single" w:color="auto" w:sz="4" w:space="0"/>
              <w:right w:val="single" w:color="auto" w:sz="4" w:space="0"/>
            </w:tcBorders>
            <w:vAlign w:val="center"/>
          </w:tcPr>
          <w:p w14:paraId="6C2D448B">
            <w:pPr>
              <w:pStyle w:val="90"/>
              <w:keepNext w:val="0"/>
              <w:keepLines w:val="0"/>
              <w:pageBreakBefore w:val="0"/>
              <w:widowControl/>
              <w:kinsoku/>
              <w:wordWrap/>
              <w:overflowPunct/>
              <w:topLinePunct w:val="0"/>
              <w:autoSpaceDE/>
              <w:autoSpaceDN/>
              <w:bidi w:val="0"/>
              <w:spacing w:after="0" w:afterLines="0" w:line="440" w:lineRule="exact"/>
              <w:ind w:firstLine="0" w:firstLineChars="0"/>
              <w:jc w:val="center"/>
              <w:textAlignment w:val="auto"/>
              <w:rPr>
                <w:rFonts w:hint="eastAsia" w:ascii="宋体" w:hAnsi="宋体" w:eastAsia="宋体" w:cs="宋体"/>
                <w:color w:val="auto"/>
                <w:sz w:val="22"/>
                <w:szCs w:val="22"/>
                <w:highlight w:val="none"/>
                <w:u w:val="single"/>
              </w:rPr>
            </w:pPr>
            <w:r>
              <w:rPr>
                <w:rFonts w:hint="eastAsia" w:ascii="宋体" w:hAnsi="宋体" w:eastAsia="宋体" w:cs="宋体"/>
                <w:color w:val="auto"/>
                <w:sz w:val="22"/>
                <w:szCs w:val="22"/>
                <w:highlight w:val="none"/>
              </w:rPr>
              <w:t>配送仓储情况</w:t>
            </w:r>
          </w:p>
        </w:tc>
        <w:tc>
          <w:tcPr>
            <w:tcW w:w="826" w:type="dxa"/>
            <w:tcBorders>
              <w:top w:val="single" w:color="auto" w:sz="4" w:space="0"/>
              <w:left w:val="single" w:color="auto" w:sz="4" w:space="0"/>
              <w:bottom w:val="single" w:color="auto" w:sz="4" w:space="0"/>
              <w:right w:val="single" w:color="auto" w:sz="4" w:space="0"/>
            </w:tcBorders>
            <w:vAlign w:val="center"/>
          </w:tcPr>
          <w:p w14:paraId="7DCB6AA0">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u w:val="none"/>
                <w:lang w:val="en-US" w:eastAsia="zh-CN"/>
              </w:rPr>
              <w:t>7</w:t>
            </w:r>
            <w:r>
              <w:rPr>
                <w:rFonts w:hint="eastAsia" w:ascii="宋体" w:hAnsi="宋体" w:eastAsia="宋体" w:cs="宋体"/>
                <w:color w:val="auto"/>
                <w:sz w:val="22"/>
                <w:szCs w:val="22"/>
                <w:highlight w:val="none"/>
                <w:u w:val="none"/>
                <w:lang w:val="en-US" w:eastAsia="zh-CN"/>
              </w:rPr>
              <w:t>分</w:t>
            </w:r>
          </w:p>
        </w:tc>
        <w:tc>
          <w:tcPr>
            <w:tcW w:w="5879" w:type="dxa"/>
            <w:tcBorders>
              <w:top w:val="single" w:color="auto" w:sz="4" w:space="0"/>
              <w:left w:val="single" w:color="auto" w:sz="4" w:space="0"/>
              <w:bottom w:val="single" w:color="auto" w:sz="4" w:space="0"/>
              <w:right w:val="single" w:color="auto" w:sz="4" w:space="0"/>
            </w:tcBorders>
            <w:vAlign w:val="center"/>
          </w:tcPr>
          <w:p w14:paraId="35F463F5">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投标人拟投入本项目的配送场所(</w:t>
            </w:r>
            <w:r>
              <w:rPr>
                <w:rFonts w:hint="eastAsia" w:ascii="宋体" w:hAnsi="宋体" w:eastAsia="宋体" w:cs="宋体"/>
                <w:color w:val="auto"/>
                <w:sz w:val="22"/>
                <w:szCs w:val="22"/>
                <w:highlight w:val="none"/>
                <w:lang w:val="en-US" w:eastAsia="zh-CN"/>
              </w:rPr>
              <w:t>每个配送场所，</w:t>
            </w:r>
            <w:r>
              <w:rPr>
                <w:rFonts w:hint="eastAsia" w:ascii="宋体" w:hAnsi="宋体" w:eastAsia="宋体" w:cs="宋体"/>
                <w:color w:val="auto"/>
                <w:sz w:val="22"/>
                <w:szCs w:val="22"/>
                <w:highlight w:val="none"/>
              </w:rPr>
              <w:t>仅计算</w:t>
            </w:r>
            <w:r>
              <w:rPr>
                <w:rFonts w:hint="eastAsia" w:ascii="宋体" w:hAnsi="宋体" w:eastAsia="宋体" w:cs="宋体"/>
                <w:color w:val="auto"/>
                <w:sz w:val="22"/>
                <w:szCs w:val="22"/>
                <w:highlight w:val="none"/>
                <w:lang w:val="en-US" w:eastAsia="zh-CN"/>
              </w:rPr>
              <w:t>一次</w:t>
            </w:r>
            <w:r>
              <w:rPr>
                <w:rFonts w:hint="eastAsia" w:ascii="宋体" w:hAnsi="宋体" w:eastAsia="宋体" w:cs="宋体"/>
                <w:color w:val="auto"/>
                <w:sz w:val="22"/>
                <w:szCs w:val="22"/>
                <w:highlight w:val="none"/>
              </w:rPr>
              <w:t>得分)</w:t>
            </w: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lang w:val="en-US" w:eastAsia="zh-CN"/>
              </w:rPr>
              <w:t>满分3分</w:t>
            </w:r>
            <w:r>
              <w:rPr>
                <w:rFonts w:hint="eastAsia" w:ascii="宋体" w:hAnsi="宋体" w:eastAsia="宋体" w:cs="宋体"/>
                <w:color w:val="auto"/>
                <w:sz w:val="22"/>
                <w:szCs w:val="22"/>
                <w:highlight w:val="none"/>
              </w:rPr>
              <w:t>:</w:t>
            </w:r>
          </w:p>
          <w:p w14:paraId="4FC3F447">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 xml:space="preserve">①配送场所面积≥5000 </w:t>
            </w:r>
            <w:r>
              <w:rPr>
                <w:rFonts w:hint="eastAsia" w:ascii="宋体" w:hAnsi="宋体" w:eastAsia="宋体" w:cs="宋体"/>
                <w:color w:val="auto"/>
                <w:sz w:val="22"/>
                <w:szCs w:val="22"/>
                <w:highlight w:val="none"/>
                <w:lang w:val="en-US" w:eastAsia="zh-CN"/>
              </w:rPr>
              <w:t>㎡</w:t>
            </w:r>
            <w:r>
              <w:rPr>
                <w:rFonts w:hint="eastAsia" w:ascii="宋体" w:hAnsi="宋体" w:cs="宋体"/>
                <w:color w:val="auto"/>
                <w:sz w:val="22"/>
                <w:szCs w:val="22"/>
                <w:highlight w:val="none"/>
                <w:lang w:val="en-US" w:eastAsia="zh-CN"/>
              </w:rPr>
              <w:t>3</w:t>
            </w:r>
            <w:r>
              <w:rPr>
                <w:rFonts w:hint="eastAsia" w:ascii="宋体" w:hAnsi="宋体" w:eastAsia="宋体" w:cs="宋体"/>
                <w:color w:val="auto"/>
                <w:sz w:val="22"/>
                <w:szCs w:val="22"/>
                <w:highlight w:val="none"/>
              </w:rPr>
              <w:t>分</w:t>
            </w:r>
            <w:r>
              <w:rPr>
                <w:rFonts w:hint="eastAsia" w:ascii="宋体" w:hAnsi="宋体" w:eastAsia="宋体" w:cs="宋体"/>
                <w:color w:val="auto"/>
                <w:sz w:val="22"/>
                <w:szCs w:val="22"/>
                <w:highlight w:val="none"/>
                <w:lang w:eastAsia="zh-CN"/>
              </w:rPr>
              <w:t>；</w:t>
            </w:r>
          </w:p>
          <w:p w14:paraId="42D5F2F9">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②5000</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rPr>
              <w:t>&gt;配送场所面积≥3000</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rPr>
              <w:t>得</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rPr>
              <w:t>分</w:t>
            </w:r>
            <w:r>
              <w:rPr>
                <w:rFonts w:hint="eastAsia" w:ascii="宋体" w:hAnsi="宋体" w:eastAsia="宋体" w:cs="宋体"/>
                <w:color w:val="auto"/>
                <w:sz w:val="22"/>
                <w:szCs w:val="22"/>
                <w:highlight w:val="none"/>
                <w:lang w:eastAsia="zh-CN"/>
              </w:rPr>
              <w:t>；</w:t>
            </w:r>
          </w:p>
          <w:p w14:paraId="12B7AE2C">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③3000</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rPr>
              <w:t>&gt;配送场所面积≥</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rPr>
              <w:t>000</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rPr>
              <w:t>得</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分</w:t>
            </w:r>
            <w:r>
              <w:rPr>
                <w:rFonts w:hint="eastAsia" w:ascii="宋体" w:hAnsi="宋体" w:eastAsia="宋体" w:cs="宋体"/>
                <w:color w:val="auto"/>
                <w:sz w:val="22"/>
                <w:szCs w:val="22"/>
                <w:highlight w:val="none"/>
                <w:lang w:eastAsia="zh-CN"/>
              </w:rPr>
              <w:t>；</w:t>
            </w:r>
          </w:p>
          <w:p w14:paraId="089AF316">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④其它情况得0分。</w:t>
            </w:r>
          </w:p>
          <w:p w14:paraId="5A2F5D33">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rPr>
              <w:t>评分依据：(1)自有场所要求提供产权证明文件作为得分依据；(2)非自有场所的提供有效期内的租赁合同</w:t>
            </w:r>
            <w:r>
              <w:rPr>
                <w:rFonts w:hint="eastAsia" w:ascii="宋体" w:hAnsi="宋体" w:eastAsia="宋体" w:cs="宋体"/>
                <w:b/>
                <w:bCs/>
                <w:color w:val="auto"/>
                <w:sz w:val="22"/>
                <w:szCs w:val="22"/>
                <w:highlight w:val="none"/>
                <w:lang w:eastAsia="zh-CN"/>
              </w:rPr>
              <w:t>（</w:t>
            </w:r>
            <w:r>
              <w:rPr>
                <w:rFonts w:hint="eastAsia" w:ascii="宋体" w:hAnsi="宋体" w:eastAsia="宋体" w:cs="宋体"/>
                <w:b/>
                <w:bCs/>
                <w:color w:val="auto"/>
                <w:sz w:val="22"/>
                <w:szCs w:val="22"/>
                <w:highlight w:val="none"/>
                <w:lang w:val="en-US" w:eastAsia="zh-CN"/>
              </w:rPr>
              <w:t>租赁期至少涵盖本项目服务期两年</w:t>
            </w:r>
            <w:r>
              <w:rPr>
                <w:rFonts w:hint="eastAsia" w:ascii="宋体" w:hAnsi="宋体" w:cs="宋体"/>
                <w:b/>
                <w:bCs/>
                <w:color w:val="auto"/>
                <w:sz w:val="22"/>
                <w:szCs w:val="22"/>
                <w:highlight w:val="none"/>
                <w:lang w:val="en-US" w:eastAsia="zh-CN"/>
              </w:rPr>
              <w:t>，</w:t>
            </w:r>
            <w:r>
              <w:rPr>
                <w:rFonts w:hint="eastAsia" w:ascii="宋体" w:hAnsi="宋体" w:cs="宋体"/>
                <w:b/>
                <w:bCs/>
                <w:color w:val="auto"/>
                <w:sz w:val="22"/>
                <w:highlight w:val="none"/>
              </w:rPr>
              <w:t>需提供近一年内任意时间段的租金发票</w:t>
            </w:r>
            <w:r>
              <w:rPr>
                <w:rFonts w:hint="eastAsia" w:ascii="宋体" w:hAnsi="宋体" w:cs="宋体"/>
                <w:b/>
                <w:bCs/>
                <w:color w:val="auto"/>
                <w:sz w:val="22"/>
                <w:highlight w:val="none"/>
                <w:lang w:val="en-US" w:eastAsia="zh-CN"/>
              </w:rPr>
              <w:t>或租金付款记录</w:t>
            </w:r>
            <w:r>
              <w:rPr>
                <w:rFonts w:hint="eastAsia" w:ascii="宋体" w:hAnsi="宋体" w:eastAsia="宋体" w:cs="宋体"/>
                <w:b/>
                <w:bCs/>
                <w:color w:val="auto"/>
                <w:sz w:val="22"/>
                <w:szCs w:val="22"/>
                <w:highlight w:val="none"/>
                <w:lang w:eastAsia="zh-CN"/>
              </w:rPr>
              <w:t>）</w:t>
            </w:r>
            <w:r>
              <w:rPr>
                <w:rFonts w:hint="eastAsia" w:ascii="宋体" w:hAnsi="宋体" w:eastAsia="宋体" w:cs="宋体"/>
                <w:b/>
                <w:bCs/>
                <w:color w:val="auto"/>
                <w:sz w:val="22"/>
                <w:szCs w:val="22"/>
                <w:highlight w:val="none"/>
              </w:rPr>
              <w:t>，作为得分依据；(3)提供上述证明文件扫描件加盖投标人公章，原件备查，未提供或提供不清晰导致无法判断的不得分。</w:t>
            </w:r>
          </w:p>
          <w:p w14:paraId="4243AE17">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2、投标人在拟投入本项目的配送场所内配置的食品冷藏库(</w:t>
            </w:r>
            <w:r>
              <w:rPr>
                <w:rFonts w:hint="eastAsia" w:ascii="宋体" w:hAnsi="宋体" w:eastAsia="宋体" w:cs="宋体"/>
                <w:color w:val="auto"/>
                <w:sz w:val="22"/>
                <w:szCs w:val="22"/>
                <w:highlight w:val="none"/>
                <w:lang w:val="en-US" w:eastAsia="zh-CN"/>
              </w:rPr>
              <w:t>每个</w:t>
            </w:r>
            <w:r>
              <w:rPr>
                <w:rFonts w:hint="eastAsia" w:ascii="宋体" w:hAnsi="宋体" w:eastAsia="宋体" w:cs="宋体"/>
                <w:color w:val="auto"/>
                <w:sz w:val="22"/>
                <w:szCs w:val="22"/>
                <w:highlight w:val="none"/>
              </w:rPr>
              <w:t>冷藏库</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rPr>
              <w:t>仅计算</w:t>
            </w:r>
            <w:r>
              <w:rPr>
                <w:rFonts w:hint="eastAsia" w:ascii="宋体" w:hAnsi="宋体" w:eastAsia="宋体" w:cs="宋体"/>
                <w:color w:val="auto"/>
                <w:sz w:val="22"/>
                <w:szCs w:val="22"/>
                <w:highlight w:val="none"/>
                <w:lang w:val="en-US" w:eastAsia="zh-CN"/>
              </w:rPr>
              <w:t>一次</w:t>
            </w:r>
            <w:r>
              <w:rPr>
                <w:rFonts w:hint="eastAsia" w:ascii="宋体" w:hAnsi="宋体" w:eastAsia="宋体" w:cs="宋体"/>
                <w:color w:val="auto"/>
                <w:sz w:val="22"/>
                <w:szCs w:val="22"/>
                <w:highlight w:val="none"/>
              </w:rPr>
              <w:t>得分)</w:t>
            </w: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lang w:val="en-US" w:eastAsia="zh-CN"/>
              </w:rPr>
              <w:t>满分2分</w:t>
            </w:r>
            <w:r>
              <w:rPr>
                <w:rFonts w:hint="eastAsia" w:ascii="宋体" w:hAnsi="宋体" w:eastAsia="宋体" w:cs="宋体"/>
                <w:color w:val="auto"/>
                <w:sz w:val="22"/>
                <w:szCs w:val="22"/>
                <w:highlight w:val="none"/>
              </w:rPr>
              <w:t>:</w:t>
            </w:r>
          </w:p>
          <w:p w14:paraId="619C4B23">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①</w:t>
            </w:r>
            <w:r>
              <w:rPr>
                <w:rFonts w:hint="eastAsia" w:ascii="宋体" w:hAnsi="宋体" w:eastAsia="宋体" w:cs="宋体"/>
                <w:color w:val="auto"/>
                <w:sz w:val="22"/>
                <w:szCs w:val="22"/>
                <w:highlight w:val="none"/>
                <w:lang w:val="en-US" w:eastAsia="zh-CN"/>
              </w:rPr>
              <w:t>面</w:t>
            </w:r>
            <w:r>
              <w:rPr>
                <w:rFonts w:hint="eastAsia" w:ascii="宋体" w:hAnsi="宋体" w:eastAsia="宋体" w:cs="宋体"/>
                <w:color w:val="auto"/>
                <w:sz w:val="22"/>
                <w:szCs w:val="22"/>
                <w:highlight w:val="none"/>
              </w:rPr>
              <w:t>积≥</w:t>
            </w:r>
            <w:r>
              <w:rPr>
                <w:rFonts w:hint="eastAsia" w:ascii="宋体" w:hAnsi="宋体" w:cs="宋体"/>
                <w:color w:val="auto"/>
                <w:sz w:val="22"/>
                <w:szCs w:val="22"/>
                <w:highlight w:val="none"/>
                <w:lang w:val="en-US" w:eastAsia="zh-CN"/>
              </w:rPr>
              <w:t>5</w:t>
            </w:r>
            <w:r>
              <w:rPr>
                <w:rFonts w:hint="eastAsia" w:ascii="宋体" w:hAnsi="宋体" w:eastAsia="宋体" w:cs="宋体"/>
                <w:color w:val="auto"/>
                <w:sz w:val="22"/>
                <w:szCs w:val="22"/>
                <w:highlight w:val="none"/>
              </w:rPr>
              <w:t>00</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rPr>
              <w:t>得</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rPr>
              <w:t>分</w:t>
            </w:r>
            <w:r>
              <w:rPr>
                <w:rFonts w:hint="eastAsia" w:ascii="宋体" w:hAnsi="宋体" w:eastAsia="宋体" w:cs="宋体"/>
                <w:color w:val="auto"/>
                <w:sz w:val="22"/>
                <w:szCs w:val="22"/>
                <w:highlight w:val="none"/>
                <w:lang w:eastAsia="zh-CN"/>
              </w:rPr>
              <w:t>；</w:t>
            </w:r>
          </w:p>
          <w:p w14:paraId="1218CE49">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②</w:t>
            </w:r>
            <w:r>
              <w:rPr>
                <w:rFonts w:hint="eastAsia" w:ascii="宋体" w:hAnsi="宋体" w:cs="宋体"/>
                <w:color w:val="auto"/>
                <w:sz w:val="22"/>
                <w:szCs w:val="22"/>
                <w:highlight w:val="none"/>
                <w:lang w:val="en-US" w:eastAsia="zh-CN"/>
              </w:rPr>
              <w:t>5</w:t>
            </w:r>
            <w:r>
              <w:rPr>
                <w:rFonts w:hint="eastAsia" w:ascii="宋体" w:hAnsi="宋体" w:eastAsia="宋体" w:cs="宋体"/>
                <w:color w:val="auto"/>
                <w:sz w:val="22"/>
                <w:szCs w:val="22"/>
                <w:highlight w:val="none"/>
              </w:rPr>
              <w:t>00</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rPr>
              <w:t>&gt;面积≥</w:t>
            </w:r>
            <w:r>
              <w:rPr>
                <w:rFonts w:hint="eastAsia" w:ascii="宋体" w:hAnsi="宋体" w:cs="宋体"/>
                <w:color w:val="auto"/>
                <w:sz w:val="22"/>
                <w:szCs w:val="22"/>
                <w:highlight w:val="none"/>
                <w:lang w:val="en-US" w:eastAsia="zh-CN"/>
              </w:rPr>
              <w:t>3</w:t>
            </w:r>
            <w:r>
              <w:rPr>
                <w:rFonts w:hint="eastAsia" w:ascii="宋体" w:hAnsi="宋体" w:eastAsia="宋体" w:cs="宋体"/>
                <w:color w:val="auto"/>
                <w:sz w:val="22"/>
                <w:szCs w:val="22"/>
                <w:highlight w:val="none"/>
              </w:rPr>
              <w:t>00</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rPr>
              <w:t>得</w:t>
            </w:r>
            <w:r>
              <w:rPr>
                <w:rFonts w:hint="eastAsia" w:ascii="宋体" w:hAnsi="宋体" w:cs="宋体"/>
                <w:color w:val="auto"/>
                <w:sz w:val="22"/>
                <w:szCs w:val="22"/>
                <w:highlight w:val="none"/>
                <w:lang w:val="en-US" w:eastAsia="zh-CN"/>
              </w:rPr>
              <w:t>1</w:t>
            </w:r>
            <w:r>
              <w:rPr>
                <w:rFonts w:hint="eastAsia" w:ascii="宋体" w:hAnsi="宋体" w:eastAsia="宋体" w:cs="宋体"/>
                <w:color w:val="auto"/>
                <w:sz w:val="22"/>
                <w:szCs w:val="22"/>
                <w:highlight w:val="none"/>
              </w:rPr>
              <w:t>分</w:t>
            </w:r>
            <w:r>
              <w:rPr>
                <w:rFonts w:hint="eastAsia" w:ascii="宋体" w:hAnsi="宋体" w:eastAsia="宋体" w:cs="宋体"/>
                <w:color w:val="auto"/>
                <w:sz w:val="22"/>
                <w:szCs w:val="22"/>
                <w:highlight w:val="none"/>
                <w:lang w:eastAsia="zh-CN"/>
              </w:rPr>
              <w:t>；</w:t>
            </w:r>
          </w:p>
          <w:p w14:paraId="5EDB5D39">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③其它情况得0分。</w:t>
            </w:r>
          </w:p>
          <w:p w14:paraId="09F11FD5">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评份依据：自有的提供自有证明（如施工合同、买卖合同等）、冷库正门及内景照片，租赁的提供租赁合同关键页</w:t>
            </w:r>
            <w:r>
              <w:rPr>
                <w:rFonts w:hint="eastAsia" w:ascii="宋体" w:hAnsi="宋体" w:eastAsia="宋体" w:cs="宋体"/>
                <w:b/>
                <w:bCs/>
                <w:color w:val="auto"/>
                <w:sz w:val="22"/>
                <w:szCs w:val="22"/>
                <w:highlight w:val="none"/>
                <w:lang w:eastAsia="zh-CN"/>
              </w:rPr>
              <w:t>（</w:t>
            </w:r>
            <w:r>
              <w:rPr>
                <w:rFonts w:hint="eastAsia" w:ascii="宋体" w:hAnsi="宋体" w:eastAsia="宋体" w:cs="宋体"/>
                <w:b/>
                <w:bCs/>
                <w:color w:val="auto"/>
                <w:sz w:val="22"/>
                <w:szCs w:val="22"/>
                <w:highlight w:val="none"/>
                <w:lang w:val="en-US" w:eastAsia="zh-CN"/>
              </w:rPr>
              <w:t>租赁期至少涵盖本项目服务期两年</w:t>
            </w:r>
            <w:r>
              <w:rPr>
                <w:rFonts w:hint="eastAsia" w:ascii="宋体" w:hAnsi="宋体" w:eastAsia="宋体" w:cs="宋体"/>
                <w:b/>
                <w:bCs/>
                <w:color w:val="auto"/>
                <w:sz w:val="22"/>
                <w:szCs w:val="22"/>
                <w:highlight w:val="none"/>
                <w:lang w:eastAsia="zh-CN"/>
              </w:rPr>
              <w:t>）</w:t>
            </w:r>
            <w:r>
              <w:rPr>
                <w:rFonts w:hint="eastAsia" w:ascii="宋体" w:hAnsi="宋体" w:eastAsia="宋体" w:cs="宋体"/>
                <w:b/>
                <w:bCs/>
                <w:color w:val="auto"/>
                <w:sz w:val="22"/>
                <w:szCs w:val="22"/>
                <w:highlight w:val="none"/>
                <w:lang w:val="en-US" w:eastAsia="zh-CN"/>
              </w:rPr>
              <w:t>、冷库正门及内景照片</w:t>
            </w:r>
            <w:r>
              <w:rPr>
                <w:rFonts w:hint="eastAsia" w:ascii="宋体" w:hAnsi="宋体" w:cs="宋体"/>
                <w:b/>
                <w:bCs/>
                <w:color w:val="auto"/>
                <w:sz w:val="22"/>
                <w:szCs w:val="22"/>
                <w:highlight w:val="none"/>
                <w:lang w:val="en-US" w:eastAsia="zh-CN"/>
              </w:rPr>
              <w:t>、</w:t>
            </w:r>
            <w:r>
              <w:rPr>
                <w:rFonts w:hint="eastAsia" w:ascii="宋体" w:hAnsi="宋体" w:cs="宋体"/>
                <w:b/>
                <w:bCs/>
                <w:color w:val="auto"/>
                <w:sz w:val="22"/>
                <w:highlight w:val="none"/>
              </w:rPr>
              <w:t>近一年内任意时间段的租金发票</w:t>
            </w:r>
            <w:r>
              <w:rPr>
                <w:rFonts w:hint="eastAsia" w:ascii="宋体" w:hAnsi="宋体" w:cs="宋体"/>
                <w:b/>
                <w:bCs/>
                <w:color w:val="auto"/>
                <w:sz w:val="22"/>
                <w:highlight w:val="none"/>
                <w:lang w:val="en-US" w:eastAsia="zh-CN"/>
              </w:rPr>
              <w:t>或租金付款记录</w:t>
            </w:r>
            <w:r>
              <w:rPr>
                <w:rFonts w:hint="eastAsia" w:ascii="宋体" w:hAnsi="宋体" w:eastAsia="宋体" w:cs="宋体"/>
                <w:b/>
                <w:bCs/>
                <w:color w:val="auto"/>
                <w:sz w:val="22"/>
                <w:szCs w:val="22"/>
                <w:highlight w:val="none"/>
                <w:lang w:val="en-US" w:eastAsia="zh-CN"/>
              </w:rPr>
              <w:t>；提供上述扫描件加盖投标人公章，原件备查。未按要求提供相关材料扫描件或提供不清晰导致无法判断的不得分。</w:t>
            </w:r>
          </w:p>
          <w:p w14:paraId="434C32F7">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b w:val="0"/>
                <w:bCs w:val="0"/>
                <w:color w:val="auto"/>
                <w:sz w:val="22"/>
                <w:highlight w:val="none"/>
              </w:rPr>
            </w:pPr>
            <w:r>
              <w:rPr>
                <w:rFonts w:hint="eastAsia" w:ascii="宋体" w:hAnsi="宋体" w:cs="宋体"/>
                <w:b w:val="0"/>
                <w:bCs w:val="0"/>
                <w:color w:val="auto"/>
                <w:sz w:val="22"/>
                <w:highlight w:val="none"/>
                <w:lang w:val="en-US" w:eastAsia="zh-CN"/>
              </w:rPr>
              <w:t>3、</w:t>
            </w:r>
            <w:r>
              <w:rPr>
                <w:rFonts w:hint="eastAsia" w:ascii="宋体" w:hAnsi="宋体" w:cs="宋体"/>
                <w:b w:val="0"/>
                <w:bCs w:val="0"/>
                <w:color w:val="auto"/>
                <w:sz w:val="22"/>
                <w:highlight w:val="none"/>
              </w:rPr>
              <w:t>投标人</w:t>
            </w:r>
            <w:r>
              <w:rPr>
                <w:rFonts w:hint="eastAsia" w:ascii="宋体" w:hAnsi="宋体" w:cs="宋体"/>
                <w:b w:val="0"/>
                <w:bCs w:val="0"/>
                <w:color w:val="auto"/>
                <w:sz w:val="22"/>
                <w:highlight w:val="none"/>
                <w:lang w:val="en-US" w:eastAsia="zh-CN"/>
              </w:rPr>
              <w:t>拟投入本项目的配送场所到达</w:t>
            </w:r>
            <w:r>
              <w:rPr>
                <w:rFonts w:hint="eastAsia" w:ascii="宋体" w:hAnsi="宋体" w:cs="宋体"/>
                <w:b w:val="0"/>
                <w:bCs w:val="0"/>
                <w:color w:val="auto"/>
                <w:sz w:val="22"/>
                <w:highlight w:val="none"/>
              </w:rPr>
              <w:t>东莞市迎宾馆员工餐厅（地址：东莞市桃源路）；东实道滘数智园（地址：广东省东莞市道滘镇创意东路8号）；东实塘厦创智园（地址：广东省东莞市塘厦镇康庄路27号）的直线距离（用“百度地图”</w:t>
            </w:r>
            <w:r>
              <w:rPr>
                <w:rFonts w:hint="eastAsia" w:ascii="宋体" w:hAnsi="宋体" w:cs="宋体"/>
                <w:b w:val="0"/>
                <w:bCs w:val="0"/>
                <w:color w:val="auto"/>
                <w:sz w:val="22"/>
                <w:highlight w:val="none"/>
                <w:lang w:val="en-US" w:eastAsia="zh-CN"/>
              </w:rPr>
              <w:t>或“高德地图”</w:t>
            </w:r>
            <w:r>
              <w:rPr>
                <w:rFonts w:hint="eastAsia" w:ascii="宋体" w:hAnsi="宋体" w:cs="宋体"/>
                <w:b w:val="0"/>
                <w:bCs w:val="0"/>
                <w:color w:val="auto"/>
                <w:sz w:val="22"/>
                <w:highlight w:val="none"/>
              </w:rPr>
              <w:t>测距，并提供截图）均达到：在30 公里以内的加</w:t>
            </w:r>
            <w:r>
              <w:rPr>
                <w:rFonts w:hint="eastAsia" w:ascii="宋体" w:hAnsi="宋体" w:cs="宋体"/>
                <w:b w:val="0"/>
                <w:bCs w:val="0"/>
                <w:color w:val="auto"/>
                <w:sz w:val="22"/>
                <w:highlight w:val="none"/>
                <w:lang w:val="en-US" w:eastAsia="zh-CN"/>
              </w:rPr>
              <w:t>1</w:t>
            </w:r>
            <w:r>
              <w:rPr>
                <w:rFonts w:hint="eastAsia" w:ascii="宋体" w:hAnsi="宋体" w:cs="宋体"/>
                <w:b w:val="0"/>
                <w:bCs w:val="0"/>
                <w:color w:val="auto"/>
                <w:sz w:val="22"/>
                <w:highlight w:val="none"/>
              </w:rPr>
              <w:t>分，在</w:t>
            </w:r>
            <w:r>
              <w:rPr>
                <w:rFonts w:hint="eastAsia" w:ascii="宋体" w:hAnsi="宋体" w:cs="宋体"/>
                <w:b w:val="0"/>
                <w:bCs w:val="0"/>
                <w:color w:val="auto"/>
                <w:sz w:val="22"/>
                <w:highlight w:val="none"/>
                <w:lang w:val="en-US" w:eastAsia="zh-CN"/>
              </w:rPr>
              <w:t>8</w:t>
            </w:r>
            <w:r>
              <w:rPr>
                <w:rFonts w:hint="eastAsia" w:ascii="宋体" w:hAnsi="宋体" w:cs="宋体"/>
                <w:b w:val="0"/>
                <w:bCs w:val="0"/>
                <w:color w:val="auto"/>
                <w:sz w:val="22"/>
                <w:highlight w:val="none"/>
              </w:rPr>
              <w:t>0公里以内的加</w:t>
            </w:r>
            <w:r>
              <w:rPr>
                <w:rFonts w:hint="eastAsia" w:ascii="宋体" w:hAnsi="宋体" w:cs="宋体"/>
                <w:b w:val="0"/>
                <w:bCs w:val="0"/>
                <w:color w:val="auto"/>
                <w:sz w:val="22"/>
                <w:highlight w:val="none"/>
                <w:lang w:val="en-US" w:eastAsia="zh-CN"/>
              </w:rPr>
              <w:t>0.5</w:t>
            </w:r>
            <w:r>
              <w:rPr>
                <w:rFonts w:hint="eastAsia" w:ascii="宋体" w:hAnsi="宋体" w:cs="宋体"/>
                <w:b w:val="0"/>
                <w:bCs w:val="0"/>
                <w:color w:val="auto"/>
                <w:sz w:val="22"/>
                <w:highlight w:val="none"/>
              </w:rPr>
              <w:t>分，其他不得分。</w:t>
            </w:r>
          </w:p>
          <w:p w14:paraId="30F85191">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b w:val="0"/>
                <w:bCs w:val="0"/>
                <w:color w:val="auto"/>
                <w:sz w:val="22"/>
                <w:highlight w:val="none"/>
              </w:rPr>
            </w:pPr>
            <w:r>
              <w:rPr>
                <w:rFonts w:hint="eastAsia" w:ascii="宋体" w:hAnsi="宋体" w:cs="宋体"/>
                <w:b w:val="0"/>
                <w:bCs w:val="0"/>
                <w:color w:val="auto"/>
                <w:sz w:val="22"/>
                <w:highlight w:val="none"/>
              </w:rPr>
              <w:t>【需提供相关证明材料并加盖投标人公章，如</w:t>
            </w:r>
            <w:r>
              <w:rPr>
                <w:rFonts w:hint="eastAsia" w:ascii="宋体" w:hAnsi="宋体" w:cs="宋体"/>
                <w:b w:val="0"/>
                <w:bCs w:val="0"/>
                <w:color w:val="auto"/>
                <w:sz w:val="22"/>
                <w:highlight w:val="none"/>
                <w:lang w:val="en-US" w:eastAsia="zh-CN"/>
              </w:rPr>
              <w:t>距离截图】</w:t>
            </w:r>
          </w:p>
          <w:p w14:paraId="3AB45D44">
            <w:pPr>
              <w:keepNext w:val="0"/>
              <w:keepLines w:val="0"/>
              <w:pageBreakBefore w:val="0"/>
              <w:widowControl/>
              <w:numPr>
                <w:ilvl w:val="0"/>
                <w:numId w:val="0"/>
              </w:numPr>
              <w:kinsoku/>
              <w:wordWrap/>
              <w:overflowPunct/>
              <w:topLinePunct w:val="0"/>
              <w:autoSpaceDE/>
              <w:autoSpaceDN/>
              <w:bidi w:val="0"/>
              <w:spacing w:line="440" w:lineRule="exact"/>
              <w:textAlignment w:val="auto"/>
              <w:rPr>
                <w:rFonts w:hint="eastAsia" w:ascii="宋体" w:hAnsi="宋体" w:cs="宋体"/>
                <w:b w:val="0"/>
                <w:bCs w:val="0"/>
                <w:color w:val="auto"/>
                <w:sz w:val="22"/>
                <w:highlight w:val="none"/>
              </w:rPr>
            </w:pPr>
            <w:r>
              <w:rPr>
                <w:rFonts w:hint="eastAsia" w:ascii="宋体" w:hAnsi="宋体" w:cs="宋体"/>
                <w:b w:val="0"/>
                <w:bCs w:val="0"/>
                <w:color w:val="auto"/>
                <w:sz w:val="22"/>
                <w:highlight w:val="none"/>
                <w:lang w:val="en-US" w:eastAsia="zh-CN"/>
              </w:rPr>
              <w:t>4</w:t>
            </w:r>
            <w:r>
              <w:rPr>
                <w:rFonts w:hint="eastAsia" w:ascii="宋体" w:hAnsi="宋体" w:cs="宋体"/>
                <w:b w:val="0"/>
                <w:bCs w:val="0"/>
                <w:color w:val="auto"/>
                <w:sz w:val="22"/>
                <w:highlight w:val="none"/>
              </w:rPr>
              <w:t>、加工场地：</w:t>
            </w:r>
          </w:p>
          <w:p w14:paraId="31AFFD46">
            <w:pPr>
              <w:keepNext w:val="0"/>
              <w:keepLines w:val="0"/>
              <w:pageBreakBefore w:val="0"/>
              <w:widowControl/>
              <w:numPr>
                <w:ilvl w:val="0"/>
                <w:numId w:val="0"/>
              </w:numPr>
              <w:kinsoku/>
              <w:wordWrap/>
              <w:overflowPunct/>
              <w:topLinePunct w:val="0"/>
              <w:autoSpaceDE/>
              <w:autoSpaceDN/>
              <w:bidi w:val="0"/>
              <w:spacing w:line="440" w:lineRule="exact"/>
              <w:textAlignment w:val="auto"/>
              <w:rPr>
                <w:rFonts w:hint="eastAsia" w:ascii="宋体" w:hAnsi="宋体" w:cs="宋体"/>
                <w:b w:val="0"/>
                <w:bCs w:val="0"/>
                <w:color w:val="auto"/>
                <w:sz w:val="22"/>
                <w:highlight w:val="none"/>
              </w:rPr>
            </w:pPr>
            <w:r>
              <w:rPr>
                <w:rFonts w:hint="eastAsia" w:ascii="宋体" w:hAnsi="宋体" w:cs="宋体"/>
                <w:b w:val="0"/>
                <w:bCs w:val="0"/>
                <w:color w:val="auto"/>
                <w:sz w:val="22"/>
                <w:highlight w:val="none"/>
              </w:rPr>
              <w:t>投标人有专用食品加工场地（净面积≥500㎡），且具备蔬果清洗、分切、包装等初加工能力，并提供相应设备清单及现场照片的，得</w:t>
            </w:r>
            <w:r>
              <w:rPr>
                <w:rFonts w:hint="eastAsia" w:ascii="宋体" w:hAnsi="宋体" w:cs="宋体"/>
                <w:b w:val="0"/>
                <w:bCs w:val="0"/>
                <w:color w:val="auto"/>
                <w:sz w:val="22"/>
                <w:highlight w:val="none"/>
                <w:lang w:val="en-US" w:eastAsia="zh-CN"/>
              </w:rPr>
              <w:t>1</w:t>
            </w:r>
            <w:r>
              <w:rPr>
                <w:rFonts w:hint="eastAsia" w:ascii="宋体" w:hAnsi="宋体" w:cs="宋体"/>
                <w:b w:val="0"/>
                <w:bCs w:val="0"/>
                <w:color w:val="auto"/>
                <w:sz w:val="22"/>
                <w:highlight w:val="none"/>
              </w:rPr>
              <w:t>分；</w:t>
            </w:r>
          </w:p>
          <w:p w14:paraId="365BC181">
            <w:pPr>
              <w:keepNext w:val="0"/>
              <w:keepLines w:val="0"/>
              <w:pageBreakBefore w:val="0"/>
              <w:widowControl/>
              <w:numPr>
                <w:ilvl w:val="0"/>
                <w:numId w:val="0"/>
              </w:numPr>
              <w:kinsoku/>
              <w:wordWrap/>
              <w:overflowPunct/>
              <w:topLinePunct w:val="0"/>
              <w:autoSpaceDE/>
              <w:autoSpaceDN/>
              <w:bidi w:val="0"/>
              <w:spacing w:line="440" w:lineRule="exact"/>
              <w:textAlignment w:val="auto"/>
              <w:rPr>
                <w:rFonts w:hint="default" w:ascii="宋体" w:hAnsi="宋体" w:cs="宋体"/>
                <w:b/>
                <w:bCs/>
                <w:color w:val="auto"/>
                <w:sz w:val="22"/>
                <w:szCs w:val="22"/>
                <w:highlight w:val="none"/>
                <w:lang w:val="en-US" w:eastAsia="zh-CN"/>
              </w:rPr>
            </w:pPr>
            <w:r>
              <w:rPr>
                <w:rFonts w:hint="eastAsia" w:ascii="宋体" w:hAnsi="宋体" w:eastAsia="宋体" w:cs="宋体"/>
                <w:b w:val="0"/>
                <w:bCs w:val="0"/>
                <w:color w:val="auto"/>
                <w:sz w:val="22"/>
                <w:szCs w:val="22"/>
                <w:highlight w:val="none"/>
                <w:lang w:val="en-US" w:eastAsia="zh-CN"/>
              </w:rPr>
              <w:t>评份依据：</w:t>
            </w:r>
            <w:r>
              <w:rPr>
                <w:rFonts w:hint="eastAsia" w:ascii="宋体" w:hAnsi="宋体" w:cs="宋体"/>
                <w:b w:val="0"/>
                <w:bCs w:val="0"/>
                <w:color w:val="auto"/>
                <w:sz w:val="22"/>
                <w:highlight w:val="none"/>
              </w:rPr>
              <w:t>(1)自有场所要求提供产权证明文件</w:t>
            </w:r>
            <w:r>
              <w:rPr>
                <w:rFonts w:hint="eastAsia" w:ascii="宋体" w:hAnsi="宋体" w:cs="宋体"/>
                <w:b w:val="0"/>
                <w:bCs w:val="0"/>
                <w:color w:val="auto"/>
                <w:sz w:val="22"/>
                <w:highlight w:val="none"/>
                <w:lang w:eastAsia="zh-CN"/>
              </w:rPr>
              <w:t>、</w:t>
            </w:r>
            <w:r>
              <w:rPr>
                <w:rFonts w:hint="eastAsia" w:ascii="宋体" w:hAnsi="宋体" w:cs="宋体"/>
                <w:b w:val="0"/>
                <w:bCs w:val="0"/>
                <w:color w:val="auto"/>
                <w:sz w:val="22"/>
                <w:highlight w:val="none"/>
              </w:rPr>
              <w:t>设备清单</w:t>
            </w:r>
            <w:r>
              <w:rPr>
                <w:rFonts w:hint="eastAsia" w:ascii="宋体" w:hAnsi="宋体" w:cs="宋体"/>
                <w:b w:val="0"/>
                <w:bCs w:val="0"/>
                <w:color w:val="auto"/>
                <w:sz w:val="22"/>
                <w:highlight w:val="none"/>
                <w:lang w:val="en-US" w:eastAsia="zh-CN"/>
              </w:rPr>
              <w:t>及</w:t>
            </w:r>
            <w:r>
              <w:rPr>
                <w:rFonts w:hint="eastAsia" w:ascii="宋体" w:hAnsi="宋体" w:cs="宋体"/>
                <w:b w:val="0"/>
                <w:bCs w:val="0"/>
                <w:color w:val="auto"/>
                <w:sz w:val="22"/>
                <w:highlight w:val="none"/>
              </w:rPr>
              <w:t>照片作为得分依据；(2)非自有场所的提供有效期内的租赁合同（租赁期至少涵盖本项目服务期两年，需提供近一年内任意时间段的租金发票或租金付款记录）</w:t>
            </w:r>
            <w:r>
              <w:rPr>
                <w:rFonts w:hint="eastAsia" w:ascii="宋体" w:hAnsi="宋体" w:cs="宋体"/>
                <w:b w:val="0"/>
                <w:bCs w:val="0"/>
                <w:color w:val="auto"/>
                <w:sz w:val="22"/>
                <w:highlight w:val="none"/>
                <w:lang w:eastAsia="zh-CN"/>
              </w:rPr>
              <w:t>、</w:t>
            </w:r>
            <w:r>
              <w:rPr>
                <w:rFonts w:hint="eastAsia" w:ascii="宋体" w:hAnsi="宋体" w:cs="宋体"/>
                <w:b w:val="0"/>
                <w:bCs w:val="0"/>
                <w:color w:val="auto"/>
                <w:sz w:val="22"/>
                <w:highlight w:val="none"/>
              </w:rPr>
              <w:t>设备清单</w:t>
            </w:r>
            <w:r>
              <w:rPr>
                <w:rFonts w:hint="eastAsia" w:ascii="宋体" w:hAnsi="宋体" w:cs="宋体"/>
                <w:b w:val="0"/>
                <w:bCs w:val="0"/>
                <w:color w:val="auto"/>
                <w:sz w:val="22"/>
                <w:highlight w:val="none"/>
                <w:lang w:val="en-US" w:eastAsia="zh-CN"/>
              </w:rPr>
              <w:t>及</w:t>
            </w:r>
            <w:r>
              <w:rPr>
                <w:rFonts w:hint="eastAsia" w:ascii="宋体" w:hAnsi="宋体" w:cs="宋体"/>
                <w:b w:val="0"/>
                <w:bCs w:val="0"/>
                <w:color w:val="auto"/>
                <w:sz w:val="22"/>
                <w:highlight w:val="none"/>
              </w:rPr>
              <w:t>照片，作为得分依据；(3)提供上述证明文件扫描件加盖投标人公章，原件备查，未提供或提供不清晰导致无法判断的不得分。</w:t>
            </w:r>
          </w:p>
        </w:tc>
      </w:tr>
      <w:tr w14:paraId="24860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EE82587">
            <w:pPr>
              <w:keepNext w:val="0"/>
              <w:keepLines w:val="0"/>
              <w:pageBreakBefore w:val="0"/>
              <w:widowControl/>
              <w:kinsoku/>
              <w:wordWrap/>
              <w:overflowPunct/>
              <w:topLinePunct w:val="0"/>
              <w:autoSpaceDE/>
              <w:autoSpaceDN/>
              <w:bidi w:val="0"/>
              <w:spacing w:line="440" w:lineRule="exact"/>
              <w:jc w:val="center"/>
              <w:textAlignment w:val="auto"/>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4</w:t>
            </w:r>
          </w:p>
        </w:tc>
        <w:tc>
          <w:tcPr>
            <w:tcW w:w="1127" w:type="dxa"/>
            <w:tcBorders>
              <w:top w:val="single" w:color="auto" w:sz="4" w:space="0"/>
              <w:left w:val="single" w:color="auto" w:sz="4" w:space="0"/>
              <w:bottom w:val="single" w:color="auto" w:sz="4" w:space="0"/>
              <w:right w:val="single" w:color="auto" w:sz="4" w:space="0"/>
            </w:tcBorders>
            <w:vAlign w:val="center"/>
          </w:tcPr>
          <w:p w14:paraId="291076B4">
            <w:pPr>
              <w:pStyle w:val="90"/>
              <w:keepNext w:val="0"/>
              <w:keepLines w:val="0"/>
              <w:pageBreakBefore w:val="0"/>
              <w:widowControl/>
              <w:kinsoku/>
              <w:wordWrap/>
              <w:overflowPunct/>
              <w:topLinePunct w:val="0"/>
              <w:autoSpaceDE/>
              <w:autoSpaceDN/>
              <w:bidi w:val="0"/>
              <w:spacing w:after="0" w:afterLines="0" w:line="440" w:lineRule="exact"/>
              <w:ind w:firstLine="0" w:firstLineChars="0"/>
              <w:jc w:val="center"/>
              <w:textAlignment w:val="auto"/>
              <w:rPr>
                <w:rFonts w:hint="eastAsia" w:ascii="宋体" w:hAnsi="宋体" w:cs="宋体"/>
                <w:color w:val="auto"/>
                <w:sz w:val="22"/>
                <w:highlight w:val="none"/>
              </w:rPr>
            </w:pPr>
            <w:r>
              <w:rPr>
                <w:rFonts w:hint="eastAsia" w:ascii="宋体" w:hAnsi="宋体" w:cs="宋体"/>
                <w:color w:val="auto"/>
                <w:sz w:val="22"/>
                <w:highlight w:val="none"/>
              </w:rPr>
              <w:t>拟供应货</w:t>
            </w:r>
          </w:p>
          <w:p w14:paraId="7E22011A">
            <w:pPr>
              <w:pStyle w:val="90"/>
              <w:keepNext w:val="0"/>
              <w:keepLines w:val="0"/>
              <w:pageBreakBefore w:val="0"/>
              <w:widowControl/>
              <w:kinsoku/>
              <w:wordWrap/>
              <w:overflowPunct/>
              <w:topLinePunct w:val="0"/>
              <w:autoSpaceDE/>
              <w:autoSpaceDN/>
              <w:bidi w:val="0"/>
              <w:spacing w:after="0" w:afterLines="0" w:line="440" w:lineRule="exact"/>
              <w:ind w:firstLine="0" w:firstLineChars="0"/>
              <w:jc w:val="center"/>
              <w:textAlignment w:val="auto"/>
              <w:rPr>
                <w:rFonts w:hint="eastAsia" w:ascii="宋体" w:hAnsi="宋体" w:eastAsia="宋体" w:cs="宋体"/>
                <w:color w:val="auto"/>
                <w:sz w:val="22"/>
                <w:szCs w:val="22"/>
                <w:highlight w:val="none"/>
              </w:rPr>
            </w:pPr>
            <w:r>
              <w:rPr>
                <w:rFonts w:hint="eastAsia" w:ascii="宋体" w:hAnsi="宋体" w:cs="宋体"/>
                <w:color w:val="auto"/>
                <w:sz w:val="22"/>
                <w:highlight w:val="none"/>
              </w:rPr>
              <w:t>品来源情况</w:t>
            </w:r>
          </w:p>
        </w:tc>
        <w:tc>
          <w:tcPr>
            <w:tcW w:w="826" w:type="dxa"/>
            <w:tcBorders>
              <w:top w:val="single" w:color="auto" w:sz="4" w:space="0"/>
              <w:left w:val="single" w:color="auto" w:sz="4" w:space="0"/>
              <w:bottom w:val="single" w:color="auto" w:sz="4" w:space="0"/>
              <w:right w:val="single" w:color="auto" w:sz="4" w:space="0"/>
            </w:tcBorders>
            <w:vAlign w:val="center"/>
          </w:tcPr>
          <w:p w14:paraId="657A8837">
            <w:pPr>
              <w:keepNext w:val="0"/>
              <w:keepLines w:val="0"/>
              <w:pageBreakBefore w:val="0"/>
              <w:widowControl/>
              <w:kinsoku/>
              <w:wordWrap/>
              <w:overflowPunct/>
              <w:topLinePunct w:val="0"/>
              <w:autoSpaceDE/>
              <w:autoSpaceDN/>
              <w:bidi w:val="0"/>
              <w:spacing w:line="440" w:lineRule="exact"/>
              <w:jc w:val="center"/>
              <w:textAlignment w:val="auto"/>
              <w:rPr>
                <w:rFonts w:hint="default" w:ascii="宋体" w:hAnsi="宋体" w:eastAsia="宋体" w:cs="宋体"/>
                <w:color w:val="auto"/>
                <w:sz w:val="22"/>
                <w:szCs w:val="22"/>
                <w:highlight w:val="none"/>
                <w:u w:val="none"/>
                <w:lang w:val="en-US" w:eastAsia="zh-CN"/>
              </w:rPr>
            </w:pPr>
            <w:r>
              <w:rPr>
                <w:rFonts w:hint="eastAsia" w:ascii="宋体" w:hAnsi="宋体" w:cs="宋体"/>
                <w:color w:val="auto"/>
                <w:sz w:val="22"/>
                <w:szCs w:val="22"/>
                <w:highlight w:val="none"/>
                <w:u w:val="none"/>
                <w:lang w:val="en-US" w:eastAsia="zh-CN"/>
              </w:rPr>
              <w:t>12分</w:t>
            </w:r>
          </w:p>
        </w:tc>
        <w:tc>
          <w:tcPr>
            <w:tcW w:w="5879" w:type="dxa"/>
            <w:tcBorders>
              <w:top w:val="single" w:color="auto" w:sz="4" w:space="0"/>
              <w:left w:val="single" w:color="auto" w:sz="4" w:space="0"/>
              <w:bottom w:val="single" w:color="auto" w:sz="4" w:space="0"/>
              <w:right w:val="single" w:color="auto" w:sz="4" w:space="0"/>
            </w:tcBorders>
            <w:vAlign w:val="center"/>
          </w:tcPr>
          <w:p w14:paraId="7D0CAF10">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b w:val="0"/>
                <w:bCs w:val="0"/>
                <w:color w:val="auto"/>
                <w:sz w:val="22"/>
                <w:highlight w:val="none"/>
              </w:rPr>
            </w:pPr>
            <w:r>
              <w:rPr>
                <w:rFonts w:hint="eastAsia" w:ascii="宋体" w:hAnsi="宋体" w:cs="宋体"/>
                <w:b w:val="0"/>
                <w:bCs w:val="0"/>
                <w:color w:val="auto"/>
                <w:sz w:val="22"/>
                <w:highlight w:val="none"/>
              </w:rPr>
              <w:t>1、基地管理（满分</w:t>
            </w:r>
            <w:r>
              <w:rPr>
                <w:rFonts w:hint="eastAsia" w:ascii="宋体" w:hAnsi="宋体" w:cs="宋体"/>
                <w:b w:val="0"/>
                <w:bCs w:val="0"/>
                <w:color w:val="auto"/>
                <w:sz w:val="22"/>
                <w:highlight w:val="none"/>
                <w:lang w:val="en-US" w:eastAsia="zh-CN"/>
              </w:rPr>
              <w:t>4</w:t>
            </w:r>
            <w:r>
              <w:rPr>
                <w:rFonts w:hint="eastAsia" w:ascii="宋体" w:hAnsi="宋体" w:cs="宋体"/>
                <w:b w:val="0"/>
                <w:bCs w:val="0"/>
                <w:color w:val="auto"/>
                <w:sz w:val="22"/>
                <w:highlight w:val="none"/>
              </w:rPr>
              <w:t>分）：</w:t>
            </w:r>
          </w:p>
          <w:p w14:paraId="6FB02D6C">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b w:val="0"/>
                <w:bCs w:val="0"/>
                <w:color w:val="auto"/>
                <w:sz w:val="22"/>
                <w:highlight w:val="none"/>
              </w:rPr>
            </w:pPr>
            <w:r>
              <w:rPr>
                <w:rFonts w:hint="eastAsia" w:ascii="宋体" w:hAnsi="宋体" w:cs="宋体"/>
                <w:b w:val="0"/>
                <w:bCs w:val="0"/>
                <w:color w:val="auto"/>
                <w:sz w:val="22"/>
                <w:highlight w:val="none"/>
              </w:rPr>
              <w:t>1）投标人具有蔬菜种植基地（面积 200 亩或以上）：自营的得</w:t>
            </w:r>
            <w:r>
              <w:rPr>
                <w:rFonts w:hint="eastAsia" w:ascii="宋体" w:hAnsi="宋体" w:cs="宋体"/>
                <w:b w:val="0"/>
                <w:bCs w:val="0"/>
                <w:color w:val="auto"/>
                <w:sz w:val="22"/>
                <w:highlight w:val="none"/>
                <w:lang w:val="en-US" w:eastAsia="zh-CN"/>
              </w:rPr>
              <w:t>2</w:t>
            </w:r>
            <w:r>
              <w:rPr>
                <w:rFonts w:hint="eastAsia" w:ascii="宋体" w:hAnsi="宋体" w:cs="宋体"/>
                <w:b w:val="0"/>
                <w:bCs w:val="0"/>
                <w:color w:val="auto"/>
                <w:sz w:val="22"/>
                <w:highlight w:val="none"/>
              </w:rPr>
              <w:t>分，合作的得1分；</w:t>
            </w:r>
          </w:p>
          <w:p w14:paraId="6105C1BA">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b w:val="0"/>
                <w:bCs w:val="0"/>
                <w:color w:val="auto"/>
                <w:sz w:val="22"/>
                <w:highlight w:val="none"/>
              </w:rPr>
            </w:pPr>
            <w:r>
              <w:rPr>
                <w:rFonts w:hint="eastAsia" w:ascii="宋体" w:hAnsi="宋体" w:cs="宋体"/>
                <w:b w:val="0"/>
                <w:bCs w:val="0"/>
                <w:color w:val="auto"/>
                <w:sz w:val="22"/>
                <w:highlight w:val="none"/>
              </w:rPr>
              <w:t>2）投标人具有禽畜水产养殖基地（面积 200 亩或以上）：自营的得</w:t>
            </w:r>
            <w:r>
              <w:rPr>
                <w:rFonts w:hint="eastAsia" w:ascii="宋体" w:hAnsi="宋体" w:cs="宋体"/>
                <w:b w:val="0"/>
                <w:bCs w:val="0"/>
                <w:color w:val="auto"/>
                <w:sz w:val="22"/>
                <w:highlight w:val="none"/>
                <w:lang w:val="en-US" w:eastAsia="zh-CN"/>
              </w:rPr>
              <w:t>2</w:t>
            </w:r>
            <w:r>
              <w:rPr>
                <w:rFonts w:hint="eastAsia" w:ascii="宋体" w:hAnsi="宋体" w:cs="宋体"/>
                <w:b w:val="0"/>
                <w:bCs w:val="0"/>
                <w:color w:val="auto"/>
                <w:sz w:val="22"/>
                <w:highlight w:val="none"/>
              </w:rPr>
              <w:t>分，合作的得1分；</w:t>
            </w:r>
          </w:p>
          <w:p w14:paraId="4098EAD2">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b w:val="0"/>
                <w:bCs w:val="0"/>
                <w:color w:val="auto"/>
                <w:sz w:val="22"/>
                <w:highlight w:val="none"/>
              </w:rPr>
            </w:pPr>
            <w:r>
              <w:rPr>
                <w:rFonts w:hint="eastAsia" w:ascii="宋体" w:hAnsi="宋体" w:cs="宋体"/>
                <w:b w:val="0"/>
                <w:bCs w:val="0"/>
                <w:color w:val="auto"/>
                <w:sz w:val="22"/>
                <w:highlight w:val="none"/>
              </w:rPr>
              <w:t>【需提供相关证明材料并加盖投标人公章，如自营的需提供产权证明或租赁合同（</w:t>
            </w:r>
            <w:r>
              <w:rPr>
                <w:rFonts w:hint="eastAsia" w:ascii="宋体" w:hAnsi="宋体" w:eastAsia="宋体" w:cs="宋体"/>
                <w:b w:val="0"/>
                <w:bCs w:val="0"/>
                <w:color w:val="auto"/>
                <w:sz w:val="22"/>
                <w:szCs w:val="22"/>
                <w:highlight w:val="none"/>
                <w:lang w:val="en-US" w:eastAsia="zh-CN"/>
              </w:rPr>
              <w:t>租赁期至少涵盖本项目服务期两年</w:t>
            </w:r>
            <w:r>
              <w:rPr>
                <w:rFonts w:hint="eastAsia" w:ascii="宋体" w:hAnsi="宋体" w:cs="宋体"/>
                <w:b w:val="0"/>
                <w:bCs w:val="0"/>
                <w:color w:val="auto"/>
                <w:sz w:val="22"/>
                <w:highlight w:val="none"/>
              </w:rPr>
              <w:t>）</w:t>
            </w:r>
            <w:r>
              <w:rPr>
                <w:rFonts w:hint="eastAsia" w:ascii="宋体" w:hAnsi="宋体" w:cs="宋体"/>
                <w:b w:val="0"/>
                <w:bCs w:val="0"/>
                <w:color w:val="auto"/>
                <w:sz w:val="22"/>
                <w:highlight w:val="none"/>
                <w:lang w:eastAsia="zh-CN"/>
              </w:rPr>
              <w:t>、</w:t>
            </w:r>
            <w:r>
              <w:rPr>
                <w:rFonts w:hint="eastAsia" w:ascii="宋体" w:hAnsi="宋体" w:cs="宋体"/>
                <w:b w:val="0"/>
                <w:bCs w:val="0"/>
                <w:color w:val="auto"/>
                <w:sz w:val="22"/>
                <w:highlight w:val="none"/>
              </w:rPr>
              <w:t>相关生产资料，如合作的需提供合作协议、合作单位的营业执照、相关生产资料，蔬菜种植基地除以上资料外还需提供国家认可的第三方权威机构出具的土壤及水质检测报告，水产养殖基地除以上资料外还需提供国家认可的第三方权威机构出具的水质检测报告。】</w:t>
            </w:r>
          </w:p>
          <w:p w14:paraId="27DE8415">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b w:val="0"/>
                <w:bCs w:val="0"/>
                <w:color w:val="auto"/>
                <w:sz w:val="22"/>
                <w:highlight w:val="none"/>
              </w:rPr>
            </w:pPr>
            <w:r>
              <w:rPr>
                <w:rFonts w:hint="eastAsia" w:ascii="宋体" w:hAnsi="宋体" w:cs="宋体"/>
                <w:b w:val="0"/>
                <w:bCs w:val="0"/>
                <w:color w:val="auto"/>
                <w:sz w:val="22"/>
                <w:highlight w:val="none"/>
              </w:rPr>
              <w:t>2、采购管理（满分</w:t>
            </w:r>
            <w:r>
              <w:rPr>
                <w:rFonts w:hint="eastAsia" w:ascii="宋体" w:hAnsi="宋体" w:cs="宋体"/>
                <w:b w:val="0"/>
                <w:bCs w:val="0"/>
                <w:color w:val="auto"/>
                <w:sz w:val="22"/>
                <w:highlight w:val="none"/>
                <w:lang w:val="en-US" w:eastAsia="zh-CN"/>
              </w:rPr>
              <w:t>8</w:t>
            </w:r>
            <w:r>
              <w:rPr>
                <w:rFonts w:hint="eastAsia" w:ascii="宋体" w:hAnsi="宋体" w:cs="宋体"/>
                <w:b w:val="0"/>
                <w:bCs w:val="0"/>
                <w:color w:val="auto"/>
                <w:sz w:val="22"/>
                <w:highlight w:val="none"/>
              </w:rPr>
              <w:t>分）：</w:t>
            </w:r>
          </w:p>
          <w:p w14:paraId="2D665862">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b w:val="0"/>
                <w:bCs w:val="0"/>
                <w:color w:val="auto"/>
                <w:sz w:val="22"/>
                <w:highlight w:val="none"/>
              </w:rPr>
            </w:pPr>
            <w:r>
              <w:rPr>
                <w:rFonts w:hint="eastAsia" w:ascii="宋体" w:hAnsi="宋体" w:cs="宋体"/>
                <w:b w:val="0"/>
                <w:bCs w:val="0"/>
                <w:color w:val="auto"/>
                <w:sz w:val="22"/>
                <w:highlight w:val="none"/>
              </w:rPr>
              <w:t>1）肉类（猪肉、牛肉、鸡肉、鸭肉等），投标人需提供</w:t>
            </w:r>
            <w:r>
              <w:rPr>
                <w:rFonts w:hint="eastAsia" w:ascii="宋体" w:hAnsi="宋体" w:cs="宋体"/>
                <w:b w:val="0"/>
                <w:bCs w:val="0"/>
                <w:color w:val="auto"/>
                <w:sz w:val="22"/>
                <w:highlight w:val="none"/>
                <w:lang w:val="en-US" w:eastAsia="zh-CN"/>
              </w:rPr>
              <w:t>自有或</w:t>
            </w:r>
            <w:r>
              <w:rPr>
                <w:rFonts w:hint="eastAsia" w:ascii="宋体" w:hAnsi="宋体" w:cs="宋体"/>
                <w:b w:val="0"/>
                <w:bCs w:val="0"/>
                <w:color w:val="auto"/>
                <w:sz w:val="22"/>
                <w:highlight w:val="none"/>
              </w:rPr>
              <w:t>生产企业（或经销商）的</w:t>
            </w:r>
            <w:r>
              <w:rPr>
                <w:rFonts w:hint="eastAsia" w:ascii="宋体" w:hAnsi="宋体" w:cs="宋体"/>
                <w:b w:val="0"/>
                <w:bCs w:val="0"/>
                <w:color w:val="auto"/>
                <w:sz w:val="22"/>
                <w:highlight w:val="none"/>
                <w:lang w:val="en-US" w:eastAsia="zh-CN"/>
              </w:rPr>
              <w:t>合作协议、</w:t>
            </w:r>
            <w:r>
              <w:rPr>
                <w:rFonts w:hint="eastAsia" w:ascii="宋体" w:hAnsi="宋体" w:cs="宋体"/>
                <w:b w:val="0"/>
                <w:bCs w:val="0"/>
                <w:color w:val="auto"/>
                <w:sz w:val="22"/>
                <w:highlight w:val="none"/>
              </w:rPr>
              <w:t>法人营业执照、生产许可证（或经营许可证）、动物防疫合格证复印件，得</w:t>
            </w:r>
            <w:r>
              <w:rPr>
                <w:rFonts w:hint="default" w:ascii="宋体" w:hAnsi="宋体" w:cs="宋体"/>
                <w:b w:val="0"/>
                <w:bCs w:val="0"/>
                <w:color w:val="auto"/>
                <w:sz w:val="22"/>
                <w:highlight w:val="none"/>
                <w:lang w:val="en-US" w:eastAsia="zh-CN"/>
              </w:rPr>
              <w:t>2</w:t>
            </w:r>
            <w:r>
              <w:rPr>
                <w:rFonts w:hint="eastAsia" w:ascii="宋体" w:hAnsi="宋体" w:cs="宋体"/>
                <w:b w:val="0"/>
                <w:bCs w:val="0"/>
                <w:color w:val="auto"/>
                <w:sz w:val="22"/>
                <w:highlight w:val="none"/>
              </w:rPr>
              <w:t>分，否则不得分；</w:t>
            </w:r>
          </w:p>
          <w:p w14:paraId="38AE15A5">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b w:val="0"/>
                <w:bCs w:val="0"/>
                <w:color w:val="auto"/>
                <w:sz w:val="22"/>
                <w:highlight w:val="none"/>
              </w:rPr>
            </w:pPr>
            <w:r>
              <w:rPr>
                <w:rFonts w:hint="eastAsia" w:ascii="宋体" w:hAnsi="宋体" w:cs="宋体"/>
                <w:b w:val="0"/>
                <w:bCs w:val="0"/>
                <w:color w:val="auto"/>
                <w:sz w:val="22"/>
                <w:highlight w:val="none"/>
              </w:rPr>
              <w:t>2）豆制品生产企业需符合国家《发酵性豆制品卫生标准》和《非发酵性豆制品及面筋卫生标准》等相关国家标准，投标人需提供</w:t>
            </w:r>
            <w:r>
              <w:rPr>
                <w:rFonts w:hint="eastAsia" w:ascii="宋体" w:hAnsi="宋体" w:cs="宋体"/>
                <w:b w:val="0"/>
                <w:bCs w:val="0"/>
                <w:color w:val="auto"/>
                <w:sz w:val="22"/>
                <w:highlight w:val="none"/>
                <w:lang w:val="en-US" w:eastAsia="zh-CN"/>
              </w:rPr>
              <w:t>自有或</w:t>
            </w:r>
            <w:r>
              <w:rPr>
                <w:rFonts w:hint="eastAsia" w:ascii="宋体" w:hAnsi="宋体" w:cs="宋体"/>
                <w:b w:val="0"/>
                <w:bCs w:val="0"/>
                <w:color w:val="auto"/>
                <w:sz w:val="22"/>
                <w:highlight w:val="none"/>
              </w:rPr>
              <w:t>生产企业（或经销商）的</w:t>
            </w:r>
            <w:r>
              <w:rPr>
                <w:rFonts w:hint="eastAsia" w:ascii="宋体" w:hAnsi="宋体" w:cs="宋体"/>
                <w:b w:val="0"/>
                <w:bCs w:val="0"/>
                <w:color w:val="auto"/>
                <w:sz w:val="22"/>
                <w:highlight w:val="none"/>
                <w:lang w:val="en-US" w:eastAsia="zh-CN"/>
              </w:rPr>
              <w:t>合作协议</w:t>
            </w:r>
            <w:r>
              <w:rPr>
                <w:rFonts w:hint="eastAsia" w:ascii="宋体" w:hAnsi="宋体" w:cs="宋体"/>
                <w:b w:val="0"/>
                <w:bCs w:val="0"/>
                <w:color w:val="auto"/>
                <w:sz w:val="22"/>
                <w:highlight w:val="none"/>
              </w:rPr>
              <w:t>法人营业执照、生产许可证（或经营许可证），得</w:t>
            </w:r>
            <w:r>
              <w:rPr>
                <w:rFonts w:hint="eastAsia" w:ascii="宋体" w:hAnsi="宋体" w:cs="宋体"/>
                <w:b w:val="0"/>
                <w:bCs w:val="0"/>
                <w:color w:val="auto"/>
                <w:sz w:val="22"/>
                <w:highlight w:val="none"/>
                <w:lang w:val="en-US" w:eastAsia="zh-CN"/>
              </w:rPr>
              <w:t>2</w:t>
            </w:r>
            <w:r>
              <w:rPr>
                <w:rFonts w:hint="eastAsia" w:ascii="宋体" w:hAnsi="宋体" w:cs="宋体"/>
                <w:b w:val="0"/>
                <w:bCs w:val="0"/>
                <w:color w:val="auto"/>
                <w:sz w:val="22"/>
                <w:highlight w:val="none"/>
              </w:rPr>
              <w:t>分，否则不得分；</w:t>
            </w:r>
          </w:p>
          <w:p w14:paraId="2B75E656">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3）蔬菜类采购来源具有可追溯体系，提供与合作基地或供应商的采购协议、基地认证（如GAP、无公害、绿色、有机等）或第三方检测报告（农残、重金属等），得</w:t>
            </w:r>
            <w:r>
              <w:rPr>
                <w:rFonts w:hint="eastAsia" w:ascii="宋体" w:hAnsi="宋体" w:cs="宋体"/>
                <w:color w:val="auto"/>
                <w:sz w:val="22"/>
                <w:highlight w:val="none"/>
                <w:lang w:val="en-US" w:eastAsia="zh-CN"/>
              </w:rPr>
              <w:t>2</w:t>
            </w:r>
            <w:r>
              <w:rPr>
                <w:rFonts w:hint="eastAsia" w:ascii="宋体" w:hAnsi="宋体" w:cs="宋体"/>
                <w:color w:val="auto"/>
                <w:sz w:val="22"/>
                <w:highlight w:val="none"/>
              </w:rPr>
              <w:t>分，否则不得分；</w:t>
            </w:r>
          </w:p>
          <w:p w14:paraId="410148E2">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b/>
                <w:bCs/>
                <w:color w:val="auto"/>
                <w:sz w:val="22"/>
                <w:szCs w:val="22"/>
                <w:highlight w:val="none"/>
                <w:lang w:val="en-US" w:eastAsia="zh-CN"/>
              </w:rPr>
            </w:pPr>
            <w:r>
              <w:rPr>
                <w:rFonts w:hint="eastAsia" w:ascii="宋体" w:hAnsi="宋体" w:cs="宋体"/>
                <w:color w:val="auto"/>
                <w:sz w:val="22"/>
                <w:highlight w:val="none"/>
              </w:rPr>
              <w:t>4）水产类采购来源具有检验检疫证明、产地证明或合作协议，并提供近期第三方检测报告（兽残、微生物等），得</w:t>
            </w:r>
            <w:r>
              <w:rPr>
                <w:rFonts w:hint="eastAsia" w:ascii="宋体" w:hAnsi="宋体" w:cs="宋体"/>
                <w:color w:val="auto"/>
                <w:sz w:val="22"/>
                <w:highlight w:val="none"/>
                <w:lang w:val="en-US" w:eastAsia="zh-CN"/>
              </w:rPr>
              <w:t>2</w:t>
            </w:r>
            <w:r>
              <w:rPr>
                <w:rFonts w:hint="eastAsia" w:ascii="宋体" w:hAnsi="宋体" w:cs="宋体"/>
                <w:color w:val="auto"/>
                <w:sz w:val="22"/>
                <w:highlight w:val="none"/>
              </w:rPr>
              <w:t>分，否则不得分。</w:t>
            </w:r>
          </w:p>
        </w:tc>
      </w:tr>
      <w:tr w14:paraId="2174E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3B99A8A">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eastAsia="宋体" w:cs="宋体"/>
                <w:color w:val="auto"/>
                <w:sz w:val="22"/>
                <w:szCs w:val="22"/>
                <w:highlight w:val="none"/>
              </w:rPr>
            </w:pPr>
            <w:r>
              <w:rPr>
                <w:rFonts w:hint="eastAsia" w:ascii="宋体" w:hAnsi="宋体" w:cs="宋体"/>
                <w:color w:val="auto"/>
                <w:sz w:val="22"/>
                <w:szCs w:val="22"/>
                <w:highlight w:val="none"/>
                <w:lang w:val="en-US" w:eastAsia="zh-CN"/>
              </w:rPr>
              <w:t>5</w:t>
            </w:r>
          </w:p>
        </w:tc>
        <w:tc>
          <w:tcPr>
            <w:tcW w:w="1127" w:type="dxa"/>
            <w:tcBorders>
              <w:top w:val="single" w:color="auto" w:sz="4" w:space="0"/>
              <w:left w:val="single" w:color="auto" w:sz="4" w:space="0"/>
              <w:bottom w:val="single" w:color="auto" w:sz="4" w:space="0"/>
              <w:right w:val="single" w:color="auto" w:sz="4" w:space="0"/>
            </w:tcBorders>
            <w:vAlign w:val="center"/>
          </w:tcPr>
          <w:p w14:paraId="1D7270C5">
            <w:pPr>
              <w:pStyle w:val="90"/>
              <w:keepNext w:val="0"/>
              <w:keepLines w:val="0"/>
              <w:pageBreakBefore w:val="0"/>
              <w:widowControl/>
              <w:kinsoku/>
              <w:wordWrap/>
              <w:overflowPunct/>
              <w:topLinePunct w:val="0"/>
              <w:autoSpaceDE/>
              <w:autoSpaceDN/>
              <w:bidi w:val="0"/>
              <w:spacing w:after="0" w:afterLines="0" w:line="440" w:lineRule="exact"/>
              <w:ind w:firstLine="0" w:firstLineChars="0"/>
              <w:jc w:val="center"/>
              <w:textAlignment w:val="auto"/>
              <w:rPr>
                <w:rFonts w:hint="eastAsia" w:ascii="宋体" w:hAnsi="宋体" w:eastAsia="宋体" w:cs="宋体"/>
                <w:color w:val="auto"/>
                <w:sz w:val="22"/>
                <w:szCs w:val="22"/>
                <w:highlight w:val="none"/>
                <w:u w:val="single"/>
                <w:lang w:val="en-US" w:eastAsia="zh-CN"/>
              </w:rPr>
            </w:pPr>
            <w:r>
              <w:rPr>
                <w:rFonts w:hint="eastAsia" w:ascii="宋体" w:hAnsi="宋体" w:eastAsia="宋体" w:cs="宋体"/>
                <w:color w:val="auto"/>
                <w:sz w:val="22"/>
                <w:szCs w:val="22"/>
                <w:highlight w:val="none"/>
              </w:rPr>
              <w:t>保险保障</w:t>
            </w:r>
          </w:p>
        </w:tc>
        <w:tc>
          <w:tcPr>
            <w:tcW w:w="826" w:type="dxa"/>
            <w:tcBorders>
              <w:top w:val="single" w:color="auto" w:sz="4" w:space="0"/>
              <w:left w:val="single" w:color="auto" w:sz="4" w:space="0"/>
              <w:bottom w:val="single" w:color="auto" w:sz="4" w:space="0"/>
              <w:right w:val="single" w:color="auto" w:sz="4" w:space="0"/>
            </w:tcBorders>
            <w:vAlign w:val="center"/>
          </w:tcPr>
          <w:p w14:paraId="79B4E1D6">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eastAsia="宋体" w:cs="宋体"/>
                <w:color w:val="auto"/>
                <w:sz w:val="22"/>
                <w:szCs w:val="22"/>
                <w:highlight w:val="none"/>
                <w:lang w:val="en-US"/>
              </w:rPr>
            </w:pPr>
            <w:r>
              <w:rPr>
                <w:rFonts w:hint="eastAsia" w:ascii="宋体" w:hAnsi="宋体" w:cs="宋体"/>
                <w:color w:val="auto"/>
                <w:sz w:val="22"/>
                <w:szCs w:val="22"/>
                <w:highlight w:val="none"/>
                <w:u w:val="none"/>
                <w:lang w:val="en-US" w:eastAsia="zh-CN"/>
              </w:rPr>
              <w:t>5</w:t>
            </w:r>
            <w:r>
              <w:rPr>
                <w:rFonts w:hint="eastAsia" w:ascii="宋体" w:hAnsi="宋体" w:eastAsia="宋体" w:cs="宋体"/>
                <w:color w:val="auto"/>
                <w:sz w:val="22"/>
                <w:szCs w:val="22"/>
                <w:highlight w:val="none"/>
                <w:u w:val="none"/>
                <w:lang w:val="en-US" w:eastAsia="zh-CN"/>
              </w:rPr>
              <w:t>分</w:t>
            </w:r>
          </w:p>
        </w:tc>
        <w:tc>
          <w:tcPr>
            <w:tcW w:w="5879" w:type="dxa"/>
            <w:tcBorders>
              <w:top w:val="single" w:color="auto" w:sz="4" w:space="0"/>
              <w:left w:val="single" w:color="auto" w:sz="4" w:space="0"/>
              <w:bottom w:val="single" w:color="auto" w:sz="4" w:space="0"/>
              <w:right w:val="single" w:color="auto" w:sz="4" w:space="0"/>
            </w:tcBorders>
            <w:vAlign w:val="center"/>
          </w:tcPr>
          <w:p w14:paraId="30DA5518">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1.投标人</w:t>
            </w:r>
            <w:r>
              <w:rPr>
                <w:rFonts w:hint="eastAsia" w:ascii="宋体" w:hAnsi="宋体" w:eastAsia="宋体" w:cs="宋体"/>
                <w:color w:val="auto"/>
                <w:sz w:val="22"/>
                <w:szCs w:val="22"/>
                <w:highlight w:val="none"/>
                <w:lang w:val="en-US" w:eastAsia="zh-CN"/>
              </w:rPr>
              <w:t>需承诺：</w:t>
            </w:r>
            <w:r>
              <w:rPr>
                <w:rFonts w:hint="eastAsia" w:ascii="宋体" w:hAnsi="宋体" w:eastAsia="宋体" w:cs="宋体"/>
                <w:color w:val="auto"/>
                <w:sz w:val="22"/>
                <w:highlight w:val="none"/>
              </w:rPr>
              <w:t>中标后</w:t>
            </w:r>
            <w:r>
              <w:rPr>
                <w:rFonts w:hint="eastAsia" w:ascii="宋体" w:hAnsi="宋体" w:eastAsia="宋体" w:cs="宋体"/>
                <w:color w:val="auto"/>
                <w:sz w:val="22"/>
                <w:highlight w:val="none"/>
                <w:lang w:val="en-US" w:eastAsia="zh-CN"/>
              </w:rPr>
              <w:t>两</w:t>
            </w:r>
            <w:r>
              <w:rPr>
                <w:rFonts w:hint="eastAsia" w:ascii="宋体" w:hAnsi="宋体" w:eastAsia="宋体" w:cs="宋体"/>
                <w:color w:val="auto"/>
                <w:sz w:val="22"/>
                <w:highlight w:val="none"/>
              </w:rPr>
              <w:t>年服务期内，购买保险金额不低于原有标准的食品安全责任险</w:t>
            </w:r>
            <w:r>
              <w:rPr>
                <w:rFonts w:hint="eastAsia" w:ascii="宋体" w:hAnsi="宋体" w:eastAsia="宋体" w:cs="宋体"/>
                <w:color w:val="auto"/>
                <w:sz w:val="22"/>
                <w:highlight w:val="none"/>
                <w:lang w:val="en-US" w:eastAsia="zh-CN"/>
              </w:rPr>
              <w:t>且</w:t>
            </w:r>
            <w:r>
              <w:rPr>
                <w:rFonts w:hint="eastAsia" w:ascii="宋体" w:hAnsi="宋体" w:eastAsia="宋体" w:cs="宋体"/>
                <w:color w:val="auto"/>
                <w:sz w:val="22"/>
                <w:szCs w:val="22"/>
                <w:highlight w:val="none"/>
              </w:rPr>
              <w:t>具有购买的且至投标截止日有效的食品安全责任险：</w:t>
            </w:r>
          </w:p>
          <w:p w14:paraId="4AB7B565">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（1）保险金额≥</w:t>
            </w:r>
            <w:r>
              <w:rPr>
                <w:rFonts w:hint="eastAsia" w:ascii="宋体" w:hAnsi="宋体" w:eastAsia="宋体" w:cs="宋体"/>
                <w:color w:val="auto"/>
                <w:sz w:val="22"/>
                <w:szCs w:val="22"/>
                <w:highlight w:val="none"/>
                <w:lang w:val="en-US" w:eastAsia="zh-CN"/>
              </w:rPr>
              <w:t>2000万元</w:t>
            </w:r>
            <w:r>
              <w:rPr>
                <w:rFonts w:hint="eastAsia" w:ascii="宋体" w:hAnsi="宋体" w:eastAsia="宋体" w:cs="宋体"/>
                <w:color w:val="auto"/>
                <w:sz w:val="22"/>
                <w:szCs w:val="22"/>
                <w:highlight w:val="none"/>
              </w:rPr>
              <w:t>得</w:t>
            </w:r>
            <w:r>
              <w:rPr>
                <w:rFonts w:hint="eastAsia" w:ascii="宋体" w:hAnsi="宋体" w:cs="宋体"/>
                <w:color w:val="auto"/>
                <w:sz w:val="22"/>
                <w:szCs w:val="22"/>
                <w:highlight w:val="none"/>
                <w:lang w:val="en-US" w:eastAsia="zh-CN"/>
              </w:rPr>
              <w:t>3</w:t>
            </w:r>
            <w:r>
              <w:rPr>
                <w:rFonts w:hint="eastAsia" w:ascii="宋体" w:hAnsi="宋体" w:eastAsia="宋体" w:cs="宋体"/>
                <w:color w:val="auto"/>
                <w:sz w:val="22"/>
                <w:szCs w:val="22"/>
                <w:highlight w:val="none"/>
              </w:rPr>
              <w:t>分</w:t>
            </w:r>
            <w:r>
              <w:rPr>
                <w:rFonts w:hint="eastAsia" w:ascii="宋体" w:hAnsi="宋体" w:eastAsia="宋体" w:cs="宋体"/>
                <w:color w:val="auto"/>
                <w:sz w:val="22"/>
                <w:szCs w:val="22"/>
                <w:highlight w:val="none"/>
                <w:lang w:eastAsia="zh-CN"/>
              </w:rPr>
              <w:t>；</w:t>
            </w:r>
          </w:p>
          <w:p w14:paraId="6D30DF37">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2000万元</w:t>
            </w:r>
            <w:r>
              <w:rPr>
                <w:rFonts w:hint="eastAsia" w:ascii="宋体" w:hAnsi="宋体" w:eastAsia="宋体" w:cs="宋体"/>
                <w:color w:val="auto"/>
                <w:sz w:val="22"/>
                <w:szCs w:val="22"/>
                <w:highlight w:val="none"/>
              </w:rPr>
              <w:t>&gt;保险金额≥</w:t>
            </w:r>
            <w:r>
              <w:rPr>
                <w:rFonts w:hint="eastAsia" w:ascii="宋体" w:hAnsi="宋体" w:eastAsia="宋体" w:cs="宋体"/>
                <w:color w:val="auto"/>
                <w:sz w:val="22"/>
                <w:szCs w:val="22"/>
                <w:highlight w:val="none"/>
                <w:lang w:val="en-US" w:eastAsia="zh-CN"/>
              </w:rPr>
              <w:t>1000</w:t>
            </w:r>
            <w:r>
              <w:rPr>
                <w:rFonts w:hint="eastAsia" w:ascii="宋体" w:hAnsi="宋体" w:eastAsia="宋体" w:cs="宋体"/>
                <w:color w:val="auto"/>
                <w:sz w:val="22"/>
                <w:szCs w:val="22"/>
                <w:highlight w:val="none"/>
              </w:rPr>
              <w:t>万元得</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rPr>
              <w:t>分</w:t>
            </w:r>
            <w:r>
              <w:rPr>
                <w:rFonts w:hint="eastAsia" w:ascii="宋体" w:hAnsi="宋体" w:eastAsia="宋体" w:cs="宋体"/>
                <w:color w:val="auto"/>
                <w:sz w:val="22"/>
                <w:szCs w:val="22"/>
                <w:highlight w:val="none"/>
                <w:lang w:eastAsia="zh-CN"/>
              </w:rPr>
              <w:t>；</w:t>
            </w:r>
          </w:p>
          <w:p w14:paraId="22880327">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1000</w:t>
            </w:r>
            <w:r>
              <w:rPr>
                <w:rFonts w:hint="eastAsia" w:ascii="宋体" w:hAnsi="宋体" w:eastAsia="宋体" w:cs="宋体"/>
                <w:color w:val="auto"/>
                <w:sz w:val="22"/>
                <w:szCs w:val="22"/>
                <w:highlight w:val="none"/>
              </w:rPr>
              <w:t>万元&gt;保险金额≥</w:t>
            </w:r>
            <w:r>
              <w:rPr>
                <w:rFonts w:hint="eastAsia" w:ascii="宋体" w:hAnsi="宋体" w:eastAsia="宋体" w:cs="宋体"/>
                <w:color w:val="auto"/>
                <w:sz w:val="22"/>
                <w:szCs w:val="22"/>
                <w:highlight w:val="none"/>
                <w:lang w:val="en-US" w:eastAsia="zh-CN"/>
              </w:rPr>
              <w:t>500万元</w:t>
            </w:r>
            <w:r>
              <w:rPr>
                <w:rFonts w:hint="eastAsia" w:ascii="宋体" w:hAnsi="宋体" w:eastAsia="宋体" w:cs="宋体"/>
                <w:color w:val="auto"/>
                <w:sz w:val="22"/>
                <w:szCs w:val="22"/>
                <w:highlight w:val="none"/>
              </w:rPr>
              <w:t>得</w:t>
            </w:r>
            <w:r>
              <w:rPr>
                <w:rFonts w:hint="default"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分</w:t>
            </w:r>
            <w:r>
              <w:rPr>
                <w:rFonts w:hint="eastAsia" w:ascii="宋体" w:hAnsi="宋体" w:eastAsia="宋体" w:cs="宋体"/>
                <w:color w:val="auto"/>
                <w:sz w:val="22"/>
                <w:szCs w:val="22"/>
                <w:highlight w:val="none"/>
                <w:lang w:eastAsia="zh-CN"/>
              </w:rPr>
              <w:t>；</w:t>
            </w:r>
          </w:p>
          <w:p w14:paraId="19C1B9DB">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4</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保险金额&lt;500万元的不得分。</w:t>
            </w:r>
          </w:p>
          <w:p w14:paraId="425B9581">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2.投标人</w:t>
            </w:r>
            <w:r>
              <w:rPr>
                <w:rFonts w:hint="eastAsia" w:ascii="宋体" w:hAnsi="宋体" w:eastAsia="宋体" w:cs="宋体"/>
                <w:color w:val="auto"/>
                <w:sz w:val="22"/>
                <w:szCs w:val="22"/>
                <w:highlight w:val="none"/>
                <w:lang w:val="en-US" w:eastAsia="zh-CN"/>
              </w:rPr>
              <w:t>需承诺：</w:t>
            </w:r>
            <w:r>
              <w:rPr>
                <w:rFonts w:hint="eastAsia" w:ascii="宋体" w:hAnsi="宋体" w:eastAsia="宋体" w:cs="宋体"/>
                <w:color w:val="auto"/>
                <w:sz w:val="22"/>
                <w:highlight w:val="none"/>
              </w:rPr>
              <w:t>中标后</w:t>
            </w:r>
            <w:r>
              <w:rPr>
                <w:rFonts w:hint="eastAsia" w:ascii="宋体" w:hAnsi="宋体" w:eastAsia="宋体" w:cs="宋体"/>
                <w:color w:val="auto"/>
                <w:sz w:val="22"/>
                <w:highlight w:val="none"/>
                <w:lang w:val="en-US" w:eastAsia="zh-CN"/>
              </w:rPr>
              <w:t>两</w:t>
            </w:r>
            <w:r>
              <w:rPr>
                <w:rFonts w:hint="eastAsia" w:ascii="宋体" w:hAnsi="宋体" w:eastAsia="宋体" w:cs="宋体"/>
                <w:color w:val="auto"/>
                <w:sz w:val="22"/>
                <w:highlight w:val="none"/>
              </w:rPr>
              <w:t>年服务期内，购买保险金额不低于原有标准的</w:t>
            </w:r>
            <w:r>
              <w:rPr>
                <w:rFonts w:hint="eastAsia" w:ascii="宋体" w:hAnsi="宋体" w:eastAsia="宋体" w:cs="宋体"/>
                <w:color w:val="auto"/>
                <w:sz w:val="22"/>
                <w:szCs w:val="22"/>
                <w:highlight w:val="none"/>
              </w:rPr>
              <w:t>商业综合责任险</w:t>
            </w:r>
            <w:r>
              <w:rPr>
                <w:rFonts w:hint="eastAsia" w:ascii="宋体" w:hAnsi="宋体" w:eastAsia="宋体" w:cs="宋体"/>
                <w:color w:val="auto"/>
                <w:sz w:val="22"/>
                <w:highlight w:val="none"/>
                <w:lang w:val="en-US" w:eastAsia="zh-CN"/>
              </w:rPr>
              <w:t>且</w:t>
            </w:r>
            <w:r>
              <w:rPr>
                <w:rFonts w:hint="eastAsia" w:ascii="宋体" w:hAnsi="宋体" w:eastAsia="宋体" w:cs="宋体"/>
                <w:color w:val="auto"/>
                <w:sz w:val="22"/>
                <w:szCs w:val="22"/>
                <w:highlight w:val="none"/>
              </w:rPr>
              <w:t>具有购买的且至投标截止日有效的商业综合责任险：</w:t>
            </w:r>
          </w:p>
          <w:p w14:paraId="6ED3FB99">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（1）保险金额≥</w:t>
            </w:r>
            <w:r>
              <w:rPr>
                <w:rFonts w:hint="eastAsia" w:ascii="宋体" w:hAnsi="宋体" w:eastAsia="宋体" w:cs="宋体"/>
                <w:color w:val="auto"/>
                <w:sz w:val="22"/>
                <w:szCs w:val="22"/>
                <w:highlight w:val="none"/>
                <w:lang w:val="en-US" w:eastAsia="zh-CN"/>
              </w:rPr>
              <w:t>1000</w:t>
            </w:r>
            <w:r>
              <w:rPr>
                <w:rFonts w:hint="eastAsia" w:ascii="宋体" w:hAnsi="宋体" w:eastAsia="宋体" w:cs="宋体"/>
                <w:color w:val="auto"/>
                <w:sz w:val="22"/>
                <w:szCs w:val="22"/>
                <w:highlight w:val="none"/>
              </w:rPr>
              <w:t>万元的，得</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rPr>
              <w:t>分；</w:t>
            </w:r>
          </w:p>
          <w:p w14:paraId="105A1BB7">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1000万元</w:t>
            </w:r>
            <w:r>
              <w:rPr>
                <w:rFonts w:hint="eastAsia" w:ascii="宋体" w:hAnsi="宋体" w:eastAsia="宋体" w:cs="宋体"/>
                <w:color w:val="auto"/>
                <w:sz w:val="22"/>
                <w:szCs w:val="22"/>
                <w:highlight w:val="none"/>
              </w:rPr>
              <w:t>&gt;保险金额≥</w:t>
            </w:r>
            <w:r>
              <w:rPr>
                <w:rFonts w:hint="eastAsia" w:ascii="宋体" w:hAnsi="宋体" w:eastAsia="宋体" w:cs="宋体"/>
                <w:color w:val="auto"/>
                <w:sz w:val="22"/>
                <w:szCs w:val="22"/>
                <w:highlight w:val="none"/>
                <w:lang w:val="en-US" w:eastAsia="zh-CN"/>
              </w:rPr>
              <w:t>500</w:t>
            </w:r>
            <w:r>
              <w:rPr>
                <w:rFonts w:hint="eastAsia" w:ascii="宋体" w:hAnsi="宋体" w:eastAsia="宋体" w:cs="宋体"/>
                <w:color w:val="auto"/>
                <w:sz w:val="22"/>
                <w:szCs w:val="22"/>
                <w:highlight w:val="none"/>
              </w:rPr>
              <w:t>万元</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得</w:t>
            </w:r>
            <w:r>
              <w:rPr>
                <w:rFonts w:hint="eastAsia" w:ascii="宋体" w:hAnsi="宋体" w:cs="宋体"/>
                <w:color w:val="auto"/>
                <w:sz w:val="22"/>
                <w:szCs w:val="22"/>
                <w:highlight w:val="none"/>
                <w:lang w:val="en-US" w:eastAsia="zh-CN"/>
              </w:rPr>
              <w:t>1</w:t>
            </w:r>
            <w:r>
              <w:rPr>
                <w:rFonts w:hint="eastAsia" w:ascii="宋体" w:hAnsi="宋体" w:eastAsia="宋体" w:cs="宋体"/>
                <w:color w:val="auto"/>
                <w:sz w:val="22"/>
                <w:szCs w:val="22"/>
                <w:highlight w:val="none"/>
              </w:rPr>
              <w:t>分</w:t>
            </w:r>
            <w:r>
              <w:rPr>
                <w:rFonts w:hint="eastAsia" w:ascii="宋体" w:hAnsi="宋体" w:eastAsia="宋体" w:cs="宋体"/>
                <w:color w:val="auto"/>
                <w:sz w:val="22"/>
                <w:szCs w:val="22"/>
                <w:highlight w:val="none"/>
                <w:lang w:eastAsia="zh-CN"/>
              </w:rPr>
              <w:t>；</w:t>
            </w:r>
          </w:p>
          <w:p w14:paraId="4611D0DF">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）保险金额&lt;500万元的不得分。</w:t>
            </w:r>
          </w:p>
          <w:p w14:paraId="19E76BB2">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bCs/>
                <w:color w:val="auto"/>
                <w:sz w:val="22"/>
                <w:szCs w:val="22"/>
                <w:highlight w:val="none"/>
                <w:u w:val="single"/>
                <w:lang w:val="zh-CN" w:eastAsia="zh-CN"/>
              </w:rPr>
            </w:pPr>
            <w:r>
              <w:rPr>
                <w:rFonts w:hint="eastAsia" w:ascii="宋体" w:hAnsi="宋体" w:eastAsia="宋体" w:cs="宋体"/>
                <w:color w:val="auto"/>
                <w:sz w:val="22"/>
                <w:szCs w:val="22"/>
                <w:highlight w:val="none"/>
              </w:rPr>
              <w:t>评分依据：提供</w:t>
            </w:r>
            <w:r>
              <w:rPr>
                <w:rFonts w:hint="eastAsia" w:ascii="宋体" w:hAnsi="宋体" w:eastAsia="宋体" w:cs="宋体"/>
                <w:color w:val="auto"/>
                <w:sz w:val="22"/>
                <w:szCs w:val="22"/>
                <w:highlight w:val="none"/>
                <w:lang w:val="en-US" w:eastAsia="zh-CN"/>
              </w:rPr>
              <w:t>承诺函、</w:t>
            </w:r>
            <w:r>
              <w:rPr>
                <w:rFonts w:hint="eastAsia" w:ascii="宋体" w:hAnsi="宋体" w:eastAsia="宋体" w:cs="宋体"/>
                <w:color w:val="auto"/>
                <w:sz w:val="22"/>
                <w:szCs w:val="22"/>
                <w:highlight w:val="none"/>
              </w:rPr>
              <w:t>保险合同、发票扫描件加盖投标人公章，原件备查。未提供或提供不清晰导致无法判断的不得分。</w:t>
            </w:r>
          </w:p>
        </w:tc>
      </w:tr>
      <w:tr w14:paraId="4C5CB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8C7F90B">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6</w:t>
            </w:r>
          </w:p>
        </w:tc>
        <w:tc>
          <w:tcPr>
            <w:tcW w:w="1127" w:type="dxa"/>
            <w:tcBorders>
              <w:top w:val="single" w:color="auto" w:sz="4" w:space="0"/>
              <w:left w:val="single" w:color="auto" w:sz="4" w:space="0"/>
              <w:bottom w:val="single" w:color="auto" w:sz="4" w:space="0"/>
              <w:right w:val="single" w:color="auto" w:sz="4" w:space="0"/>
            </w:tcBorders>
            <w:vAlign w:val="center"/>
          </w:tcPr>
          <w:p w14:paraId="1DA426D9">
            <w:pPr>
              <w:pStyle w:val="90"/>
              <w:keepNext w:val="0"/>
              <w:keepLines w:val="0"/>
              <w:pageBreakBefore w:val="0"/>
              <w:widowControl/>
              <w:kinsoku/>
              <w:wordWrap/>
              <w:overflowPunct/>
              <w:topLinePunct w:val="0"/>
              <w:autoSpaceDE/>
              <w:autoSpaceDN/>
              <w:bidi w:val="0"/>
              <w:spacing w:after="0" w:afterLines="0" w:line="440" w:lineRule="exact"/>
              <w:ind w:firstLine="0" w:firstLineChars="0"/>
              <w:jc w:val="center"/>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bidi="ar-SA"/>
              </w:rPr>
              <w:t>第三方检验检测报告</w:t>
            </w:r>
          </w:p>
        </w:tc>
        <w:tc>
          <w:tcPr>
            <w:tcW w:w="826" w:type="dxa"/>
            <w:tcBorders>
              <w:top w:val="single" w:color="auto" w:sz="4" w:space="0"/>
              <w:left w:val="single" w:color="auto" w:sz="4" w:space="0"/>
              <w:bottom w:val="single" w:color="auto" w:sz="4" w:space="0"/>
              <w:right w:val="single" w:color="auto" w:sz="4" w:space="0"/>
            </w:tcBorders>
            <w:vAlign w:val="center"/>
          </w:tcPr>
          <w:p w14:paraId="1112CFFF">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eastAsia="宋体" w:cs="宋体"/>
                <w:color w:val="auto"/>
                <w:sz w:val="22"/>
                <w:szCs w:val="22"/>
                <w:highlight w:val="none"/>
                <w:u w:val="none"/>
                <w:lang w:val="en-US" w:eastAsia="zh-CN"/>
              </w:rPr>
            </w:pPr>
            <w:r>
              <w:rPr>
                <w:rFonts w:hint="eastAsia" w:ascii="宋体" w:hAnsi="宋体" w:cs="宋体"/>
                <w:color w:val="auto"/>
                <w:sz w:val="22"/>
                <w:szCs w:val="22"/>
                <w:highlight w:val="none"/>
                <w:u w:val="none"/>
                <w:lang w:val="en-US" w:eastAsia="zh-CN"/>
              </w:rPr>
              <w:t>8</w:t>
            </w:r>
            <w:r>
              <w:rPr>
                <w:rFonts w:hint="eastAsia" w:ascii="宋体" w:hAnsi="宋体" w:eastAsia="宋体" w:cs="宋体"/>
                <w:color w:val="auto"/>
                <w:sz w:val="22"/>
                <w:szCs w:val="22"/>
                <w:highlight w:val="none"/>
                <w:u w:val="none"/>
                <w:lang w:val="en-US" w:eastAsia="zh-CN"/>
              </w:rPr>
              <w:t>分</w:t>
            </w:r>
          </w:p>
        </w:tc>
        <w:tc>
          <w:tcPr>
            <w:tcW w:w="5879" w:type="dxa"/>
            <w:tcBorders>
              <w:top w:val="single" w:color="auto" w:sz="4" w:space="0"/>
              <w:left w:val="single" w:color="auto" w:sz="4" w:space="0"/>
              <w:bottom w:val="single" w:color="auto" w:sz="4" w:space="0"/>
              <w:right w:val="single" w:color="auto" w:sz="4" w:space="0"/>
            </w:tcBorders>
            <w:vAlign w:val="center"/>
          </w:tcPr>
          <w:p w14:paraId="01AB257E">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cs="宋体"/>
                <w:color w:val="auto"/>
                <w:sz w:val="22"/>
                <w:szCs w:val="22"/>
                <w:highlight w:val="none"/>
                <w:lang w:val="en-US" w:eastAsia="zh-CN"/>
              </w:rPr>
              <w:t>1、</w:t>
            </w:r>
            <w:r>
              <w:rPr>
                <w:rFonts w:hint="eastAsia" w:ascii="宋体" w:hAnsi="宋体" w:eastAsia="宋体" w:cs="宋体"/>
                <w:color w:val="auto"/>
                <w:sz w:val="22"/>
                <w:szCs w:val="22"/>
                <w:highlight w:val="none"/>
              </w:rPr>
              <w:t>提供2024年度</w:t>
            </w:r>
            <w:r>
              <w:rPr>
                <w:rFonts w:hint="eastAsia" w:ascii="宋体" w:hAnsi="宋体" w:eastAsia="宋体" w:cs="宋体"/>
                <w:color w:val="auto"/>
                <w:sz w:val="22"/>
                <w:szCs w:val="22"/>
                <w:highlight w:val="none"/>
                <w:lang w:val="en-US" w:eastAsia="zh-CN"/>
              </w:rPr>
              <w:t>至今</w:t>
            </w:r>
            <w:r>
              <w:rPr>
                <w:rFonts w:hint="eastAsia" w:ascii="宋体" w:hAnsi="宋体" w:eastAsia="宋体" w:cs="宋体"/>
                <w:color w:val="auto"/>
                <w:sz w:val="22"/>
                <w:szCs w:val="22"/>
                <w:highlight w:val="none"/>
              </w:rPr>
              <w:t>由具备</w:t>
            </w:r>
            <w:bookmarkStart w:id="5" w:name="OLE_LINK1"/>
            <w:r>
              <w:rPr>
                <w:rFonts w:hint="eastAsia" w:ascii="宋体" w:hAnsi="宋体" w:eastAsia="宋体" w:cs="宋体"/>
                <w:color w:val="auto"/>
                <w:sz w:val="22"/>
                <w:szCs w:val="22"/>
                <w:highlight w:val="none"/>
              </w:rPr>
              <w:t>CMA</w:t>
            </w:r>
            <w:bookmarkEnd w:id="5"/>
            <w:r>
              <w:rPr>
                <w:rFonts w:hint="eastAsia" w:ascii="宋体" w:hAnsi="宋体" w:eastAsia="宋体" w:cs="宋体"/>
                <w:color w:val="auto"/>
                <w:sz w:val="22"/>
                <w:szCs w:val="22"/>
                <w:highlight w:val="none"/>
              </w:rPr>
              <w:t>和CNAS认证资质的第三方检测公司出具的</w:t>
            </w:r>
            <w:r>
              <w:rPr>
                <w:rFonts w:hint="eastAsia" w:ascii="宋体" w:hAnsi="宋体" w:eastAsia="宋体" w:cs="宋体"/>
                <w:color w:val="auto"/>
                <w:kern w:val="0"/>
                <w:sz w:val="22"/>
                <w:szCs w:val="22"/>
                <w:highlight w:val="none"/>
              </w:rPr>
              <w:t>印有CMA和CNAS印章的</w:t>
            </w:r>
            <w:r>
              <w:rPr>
                <w:rFonts w:hint="eastAsia" w:ascii="宋体" w:hAnsi="宋体" w:eastAsia="宋体" w:cs="宋体"/>
                <w:color w:val="auto"/>
                <w:sz w:val="22"/>
                <w:szCs w:val="22"/>
                <w:highlight w:val="none"/>
              </w:rPr>
              <w:t>检测报告（检测报告的委托单位需为投标人）：</w:t>
            </w:r>
          </w:p>
          <w:p w14:paraId="646C6136">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bidi="ar-SA"/>
              </w:rPr>
              <w:t>第三方检验检测报告包括</w:t>
            </w:r>
            <w:r>
              <w:rPr>
                <w:rFonts w:hint="eastAsia" w:ascii="宋体" w:hAnsi="宋体" w:cs="宋体"/>
                <w:color w:val="auto"/>
                <w:sz w:val="22"/>
                <w:highlight w:val="none"/>
              </w:rPr>
              <w:t>农药残留、兽药残留、重金属、污染物、卫生学指标（微生物）五类</w:t>
            </w:r>
            <w:r>
              <w:rPr>
                <w:rFonts w:hint="eastAsia" w:ascii="宋体" w:hAnsi="宋体" w:eastAsia="宋体" w:cs="宋体"/>
                <w:color w:val="auto"/>
                <w:sz w:val="22"/>
                <w:szCs w:val="22"/>
                <w:highlight w:val="none"/>
                <w:lang w:val="en-US" w:eastAsia="zh-CN"/>
              </w:rPr>
              <w:t>等，每提供其中一类食品相关检测报告得</w:t>
            </w:r>
            <w:r>
              <w:rPr>
                <w:rFonts w:hint="eastAsia" w:ascii="宋体" w:hAnsi="宋体" w:cs="宋体"/>
                <w:color w:val="auto"/>
                <w:sz w:val="22"/>
                <w:szCs w:val="22"/>
                <w:highlight w:val="none"/>
                <w:lang w:val="en-US" w:eastAsia="zh-CN"/>
              </w:rPr>
              <w:t>1</w:t>
            </w:r>
            <w:r>
              <w:rPr>
                <w:rFonts w:hint="eastAsia" w:ascii="宋体" w:hAnsi="宋体" w:eastAsia="宋体" w:cs="宋体"/>
                <w:color w:val="auto"/>
                <w:sz w:val="22"/>
                <w:szCs w:val="22"/>
                <w:highlight w:val="none"/>
                <w:lang w:val="en-US" w:eastAsia="zh-CN"/>
              </w:rPr>
              <w:t>分，最高分为</w:t>
            </w:r>
            <w:r>
              <w:rPr>
                <w:rFonts w:hint="eastAsia" w:ascii="宋体" w:hAnsi="宋体" w:cs="宋体"/>
                <w:color w:val="auto"/>
                <w:sz w:val="22"/>
                <w:szCs w:val="22"/>
                <w:highlight w:val="none"/>
                <w:lang w:val="en-US" w:eastAsia="zh-CN"/>
              </w:rPr>
              <w:t>5</w:t>
            </w:r>
            <w:r>
              <w:rPr>
                <w:rFonts w:hint="eastAsia" w:ascii="宋体" w:hAnsi="宋体" w:eastAsia="宋体" w:cs="宋体"/>
                <w:color w:val="auto"/>
                <w:sz w:val="22"/>
                <w:szCs w:val="22"/>
                <w:highlight w:val="none"/>
                <w:lang w:val="en-US" w:eastAsia="zh-CN"/>
              </w:rPr>
              <w:t>分。</w:t>
            </w:r>
          </w:p>
          <w:p w14:paraId="5878DD59">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评分依据：投标人提供相关检测报告扫描件加盖投标人公章，原件备查。未提供或提供不清晰导致无法判断的不得分</w:t>
            </w:r>
            <w:r>
              <w:rPr>
                <w:rFonts w:hint="eastAsia" w:ascii="宋体" w:hAnsi="宋体" w:eastAsia="宋体" w:cs="宋体"/>
                <w:color w:val="auto"/>
                <w:sz w:val="22"/>
                <w:szCs w:val="22"/>
                <w:highlight w:val="none"/>
                <w:lang w:eastAsia="zh-CN"/>
              </w:rPr>
              <w:t>。</w:t>
            </w:r>
          </w:p>
          <w:p w14:paraId="52276C59">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b/>
                <w:color w:val="auto"/>
                <w:sz w:val="22"/>
                <w:szCs w:val="22"/>
                <w:highlight w:val="none"/>
                <w:lang w:eastAsia="zh-CN"/>
              </w:rPr>
            </w:pPr>
            <w:r>
              <w:rPr>
                <w:rFonts w:hint="eastAsia" w:ascii="宋体" w:hAnsi="宋体" w:cs="宋体"/>
                <w:color w:val="auto"/>
                <w:sz w:val="22"/>
                <w:szCs w:val="22"/>
                <w:highlight w:val="none"/>
                <w:lang w:val="en-US" w:eastAsia="zh-CN"/>
              </w:rPr>
              <w:t>2、</w:t>
            </w:r>
            <w:r>
              <w:rPr>
                <w:rFonts w:hint="eastAsia" w:ascii="宋体" w:hAnsi="宋体" w:cs="宋体"/>
                <w:color w:val="auto"/>
                <w:sz w:val="22"/>
                <w:highlight w:val="none"/>
              </w:rPr>
              <w:t>根据投标人</w:t>
            </w:r>
            <w:r>
              <w:rPr>
                <w:rFonts w:hint="eastAsia" w:ascii="宋体" w:hAnsi="宋体" w:cs="宋体"/>
                <w:color w:val="auto"/>
                <w:sz w:val="22"/>
                <w:highlight w:val="none"/>
                <w:lang w:val="en-US" w:eastAsia="zh-CN"/>
              </w:rPr>
              <w:t>自身具备</w:t>
            </w:r>
            <w:r>
              <w:rPr>
                <w:rFonts w:hint="eastAsia" w:ascii="宋体" w:hAnsi="宋体" w:cs="宋体"/>
                <w:color w:val="auto"/>
                <w:sz w:val="22"/>
                <w:highlight w:val="none"/>
              </w:rPr>
              <w:t>检测能力进行评审，包括农药残留、兽药残留、重金属、污染物、卫生学指标（微生物）五类检测，全部具备得</w:t>
            </w:r>
            <w:r>
              <w:rPr>
                <w:rFonts w:hint="eastAsia" w:ascii="宋体" w:hAnsi="宋体" w:cs="宋体"/>
                <w:color w:val="auto"/>
                <w:sz w:val="22"/>
                <w:highlight w:val="none"/>
                <w:lang w:eastAsia="zh-CN"/>
              </w:rPr>
              <w:t>3</w:t>
            </w:r>
            <w:r>
              <w:rPr>
                <w:rFonts w:hint="eastAsia" w:ascii="宋体" w:hAnsi="宋体" w:cs="宋体"/>
                <w:color w:val="auto"/>
                <w:sz w:val="22"/>
                <w:highlight w:val="none"/>
              </w:rPr>
              <w:t>分，每缺少一类扣</w:t>
            </w:r>
            <w:r>
              <w:rPr>
                <w:rFonts w:hint="eastAsia" w:ascii="宋体" w:hAnsi="宋体" w:cs="宋体"/>
                <w:color w:val="auto"/>
                <w:sz w:val="22"/>
                <w:highlight w:val="none"/>
                <w:lang w:eastAsia="zh-CN"/>
              </w:rPr>
              <w:t>1</w:t>
            </w:r>
            <w:r>
              <w:rPr>
                <w:rFonts w:hint="eastAsia" w:ascii="宋体" w:hAnsi="宋体" w:cs="宋体"/>
                <w:color w:val="auto"/>
                <w:sz w:val="22"/>
                <w:highlight w:val="none"/>
              </w:rPr>
              <w:t>分，扣完为止。（须提供检测设备的购买发票复印件并加盖投标人公章，以及提供上述五类检测的方案，未按上述提供有效资料不得分）</w:t>
            </w:r>
          </w:p>
        </w:tc>
      </w:tr>
      <w:tr w14:paraId="63D18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12A72A0">
            <w:pPr>
              <w:keepNext w:val="0"/>
              <w:keepLines w:val="0"/>
              <w:pageBreakBefore w:val="0"/>
              <w:widowControl/>
              <w:kinsoku/>
              <w:wordWrap/>
              <w:overflowPunct/>
              <w:topLinePunct w:val="0"/>
              <w:autoSpaceDE/>
              <w:autoSpaceDN/>
              <w:bidi w:val="0"/>
              <w:spacing w:line="440" w:lineRule="exact"/>
              <w:jc w:val="center"/>
              <w:textAlignment w:val="auto"/>
              <w:rPr>
                <w:rFonts w:hint="default"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7</w:t>
            </w:r>
          </w:p>
        </w:tc>
        <w:tc>
          <w:tcPr>
            <w:tcW w:w="1127" w:type="dxa"/>
            <w:tcBorders>
              <w:top w:val="single" w:color="auto" w:sz="4" w:space="0"/>
              <w:left w:val="single" w:color="auto" w:sz="4" w:space="0"/>
              <w:bottom w:val="single" w:color="auto" w:sz="4" w:space="0"/>
              <w:right w:val="single" w:color="auto" w:sz="4" w:space="0"/>
            </w:tcBorders>
            <w:vAlign w:val="center"/>
          </w:tcPr>
          <w:p w14:paraId="0379A3B2">
            <w:pPr>
              <w:pStyle w:val="90"/>
              <w:keepNext w:val="0"/>
              <w:keepLines w:val="0"/>
              <w:pageBreakBefore w:val="0"/>
              <w:widowControl/>
              <w:kinsoku/>
              <w:wordWrap/>
              <w:overflowPunct/>
              <w:topLinePunct w:val="0"/>
              <w:autoSpaceDE/>
              <w:autoSpaceDN/>
              <w:bidi w:val="0"/>
              <w:spacing w:after="0" w:afterLines="0" w:line="440" w:lineRule="exact"/>
              <w:ind w:firstLine="0" w:firstLineChars="0"/>
              <w:jc w:val="center"/>
              <w:textAlignment w:val="auto"/>
              <w:rPr>
                <w:rFonts w:hint="eastAsia" w:ascii="宋体" w:hAnsi="宋体" w:eastAsia="宋体" w:cs="宋体"/>
                <w:color w:val="auto"/>
                <w:sz w:val="22"/>
                <w:szCs w:val="22"/>
                <w:highlight w:val="none"/>
                <w:lang w:val="en-US" w:eastAsia="zh-CN" w:bidi="ar-SA"/>
              </w:rPr>
            </w:pPr>
            <w:r>
              <w:rPr>
                <w:rFonts w:hint="eastAsia" w:ascii="宋体" w:hAnsi="宋体" w:cs="宋体"/>
                <w:color w:val="auto"/>
                <w:sz w:val="22"/>
                <w:highlight w:val="none"/>
              </w:rPr>
              <w:t>服务响应</w:t>
            </w:r>
          </w:p>
        </w:tc>
        <w:tc>
          <w:tcPr>
            <w:tcW w:w="826" w:type="dxa"/>
            <w:tcBorders>
              <w:top w:val="single" w:color="auto" w:sz="4" w:space="0"/>
              <w:left w:val="single" w:color="auto" w:sz="4" w:space="0"/>
              <w:bottom w:val="single" w:color="auto" w:sz="4" w:space="0"/>
              <w:right w:val="single" w:color="auto" w:sz="4" w:space="0"/>
            </w:tcBorders>
            <w:vAlign w:val="center"/>
          </w:tcPr>
          <w:p w14:paraId="1EC34880">
            <w:pPr>
              <w:keepNext w:val="0"/>
              <w:keepLines w:val="0"/>
              <w:pageBreakBefore w:val="0"/>
              <w:widowControl/>
              <w:kinsoku/>
              <w:wordWrap/>
              <w:overflowPunct/>
              <w:topLinePunct w:val="0"/>
              <w:autoSpaceDE/>
              <w:autoSpaceDN/>
              <w:bidi w:val="0"/>
              <w:spacing w:line="440" w:lineRule="exact"/>
              <w:jc w:val="center"/>
              <w:textAlignment w:val="auto"/>
              <w:rPr>
                <w:rFonts w:hint="default" w:ascii="宋体" w:hAnsi="宋体" w:eastAsia="宋体" w:cs="宋体"/>
                <w:color w:val="auto"/>
                <w:sz w:val="22"/>
                <w:szCs w:val="22"/>
                <w:highlight w:val="none"/>
                <w:u w:val="none"/>
                <w:lang w:val="en-US" w:eastAsia="zh-CN"/>
              </w:rPr>
            </w:pPr>
            <w:r>
              <w:rPr>
                <w:rFonts w:hint="eastAsia" w:ascii="宋体" w:hAnsi="宋体" w:cs="宋体"/>
                <w:color w:val="auto"/>
                <w:sz w:val="22"/>
                <w:szCs w:val="22"/>
                <w:highlight w:val="none"/>
                <w:u w:val="none"/>
                <w:lang w:val="en-US" w:eastAsia="zh-CN"/>
              </w:rPr>
              <w:t>6分</w:t>
            </w:r>
          </w:p>
        </w:tc>
        <w:tc>
          <w:tcPr>
            <w:tcW w:w="5879" w:type="dxa"/>
            <w:tcBorders>
              <w:top w:val="single" w:color="auto" w:sz="4" w:space="0"/>
              <w:left w:val="single" w:color="auto" w:sz="4" w:space="0"/>
              <w:bottom w:val="single" w:color="auto" w:sz="4" w:space="0"/>
              <w:right w:val="single" w:color="auto" w:sz="4" w:space="0"/>
            </w:tcBorders>
            <w:vAlign w:val="center"/>
          </w:tcPr>
          <w:p w14:paraId="3163CAC7">
            <w:pPr>
              <w:keepNext w:val="0"/>
              <w:keepLines w:val="0"/>
              <w:pageBreakBefore w:val="0"/>
              <w:widowControl/>
              <w:numPr>
                <w:ilvl w:val="0"/>
                <w:numId w:val="0"/>
              </w:numPr>
              <w:kinsoku/>
              <w:wordWrap/>
              <w:overflowPunct/>
              <w:topLinePunct w:val="0"/>
              <w:autoSpaceDE/>
              <w:autoSpaceDN/>
              <w:bidi w:val="0"/>
              <w:spacing w:line="440" w:lineRule="exact"/>
              <w:textAlignment w:val="auto"/>
              <w:rPr>
                <w:rFonts w:hint="eastAsia" w:ascii="宋体" w:hAnsi="宋体" w:eastAsia="宋体" w:cs="宋体"/>
                <w:color w:val="auto"/>
                <w:sz w:val="22"/>
                <w:highlight w:val="none"/>
                <w:lang w:eastAsia="zh-CN"/>
              </w:rPr>
            </w:pPr>
            <w:r>
              <w:rPr>
                <w:rFonts w:hint="eastAsia" w:ascii="宋体" w:hAnsi="宋体" w:eastAsia="宋体" w:cs="宋体"/>
                <w:color w:val="auto"/>
                <w:sz w:val="22"/>
                <w:szCs w:val="22"/>
                <w:highlight w:val="none"/>
                <w:lang w:val="en-US" w:eastAsia="zh-CN" w:bidi="ar-SA"/>
              </w:rPr>
              <w:t>1、</w:t>
            </w:r>
            <w:r>
              <w:rPr>
                <w:rFonts w:hint="eastAsia" w:ascii="宋体" w:hAnsi="宋体" w:cs="宋体"/>
                <w:color w:val="auto"/>
                <w:sz w:val="22"/>
                <w:highlight w:val="none"/>
              </w:rPr>
              <w:t>应急响应机制</w:t>
            </w:r>
            <w:r>
              <w:rPr>
                <w:rFonts w:hint="eastAsia" w:ascii="宋体" w:hAnsi="宋体" w:cs="宋体"/>
                <w:color w:val="auto"/>
                <w:sz w:val="22"/>
                <w:highlight w:val="none"/>
                <w:lang w:eastAsia="zh-CN"/>
              </w:rPr>
              <w:t>（</w:t>
            </w:r>
            <w:r>
              <w:rPr>
                <w:rFonts w:hint="eastAsia" w:ascii="宋体" w:hAnsi="宋体" w:cs="宋体"/>
                <w:color w:val="auto"/>
                <w:sz w:val="22"/>
                <w:highlight w:val="none"/>
                <w:lang w:val="en-US" w:eastAsia="zh-CN"/>
              </w:rPr>
              <w:t>2分</w:t>
            </w:r>
            <w:r>
              <w:rPr>
                <w:rFonts w:hint="eastAsia" w:ascii="宋体" w:hAnsi="宋体" w:cs="宋体"/>
                <w:color w:val="auto"/>
                <w:sz w:val="22"/>
                <w:highlight w:val="none"/>
                <w:lang w:eastAsia="zh-CN"/>
              </w:rPr>
              <w:t>）：</w:t>
            </w:r>
          </w:p>
          <w:p w14:paraId="7FCDEF17">
            <w:pPr>
              <w:keepNext w:val="0"/>
              <w:keepLines w:val="0"/>
              <w:pageBreakBefore w:val="0"/>
              <w:widowControl/>
              <w:numPr>
                <w:ilvl w:val="0"/>
                <w:numId w:val="0"/>
              </w:numPr>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（1）提供针对本项目成立的应急管理机构名单、应急工作队伍名单、应急联系方式（含至少2名专人及24小时联系电话），得1分；</w:t>
            </w:r>
          </w:p>
          <w:p w14:paraId="074A4E50">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（2）提供书面应急处置措施方案，明确承诺在接到采购人应急需求后1小时内完成配送并送达指定地点，且不影响采购人正常工作的，</w:t>
            </w:r>
            <w:r>
              <w:rPr>
                <w:rFonts w:hint="eastAsia" w:ascii="宋体" w:hAnsi="宋体" w:cs="宋体"/>
                <w:color w:val="auto"/>
                <w:sz w:val="22"/>
                <w:highlight w:val="none"/>
                <w:lang w:val="en-US" w:eastAsia="zh-CN"/>
              </w:rPr>
              <w:t>且</w:t>
            </w:r>
            <w:r>
              <w:rPr>
                <w:rFonts w:hint="eastAsia" w:ascii="宋体" w:hAnsi="宋体" w:cs="宋体"/>
                <w:color w:val="auto"/>
                <w:sz w:val="22"/>
                <w:highlight w:val="none"/>
              </w:rPr>
              <w:t>在恶劣天气等特殊情况下仍能保障按时配送</w:t>
            </w:r>
            <w:r>
              <w:rPr>
                <w:rFonts w:hint="eastAsia" w:ascii="宋体" w:hAnsi="宋体" w:cs="宋体"/>
                <w:color w:val="auto"/>
                <w:sz w:val="22"/>
                <w:highlight w:val="none"/>
                <w:lang w:eastAsia="zh-CN"/>
              </w:rPr>
              <w:t>，</w:t>
            </w:r>
            <w:r>
              <w:rPr>
                <w:rFonts w:hint="eastAsia" w:ascii="宋体" w:hAnsi="宋体" w:cs="宋体"/>
                <w:color w:val="auto"/>
                <w:sz w:val="22"/>
                <w:highlight w:val="none"/>
              </w:rPr>
              <w:t>得1分；</w:t>
            </w:r>
          </w:p>
          <w:p w14:paraId="744A0188">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2、售后服务保障（2分）：</w:t>
            </w:r>
          </w:p>
          <w:p w14:paraId="6501C668">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（1）提供专门为本项目配置的售后服务人员名单及职责分工，并承诺实行“三包”服务（包质量、包数量、包调换）的，得1分；</w:t>
            </w:r>
          </w:p>
          <w:p w14:paraId="7FD8F1BD">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（2）提供书面定期满意度回访制度及内部服务考核办法的，得</w:t>
            </w:r>
            <w:r>
              <w:rPr>
                <w:rFonts w:hint="eastAsia" w:ascii="宋体" w:hAnsi="宋体" w:cs="宋体"/>
                <w:color w:val="auto"/>
                <w:sz w:val="22"/>
                <w:highlight w:val="none"/>
                <w:lang w:val="en-US" w:eastAsia="zh-CN"/>
              </w:rPr>
              <w:t>0.5</w:t>
            </w:r>
            <w:r>
              <w:rPr>
                <w:rFonts w:hint="eastAsia" w:ascii="宋体" w:hAnsi="宋体" w:cs="宋体"/>
                <w:color w:val="auto"/>
                <w:sz w:val="22"/>
                <w:highlight w:val="none"/>
              </w:rPr>
              <w:t>分；</w:t>
            </w:r>
          </w:p>
          <w:p w14:paraId="0EC46FAF">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highlight w:val="none"/>
                <w:lang w:eastAsia="zh-CN"/>
              </w:rPr>
            </w:pPr>
            <w:r>
              <w:rPr>
                <w:rFonts w:hint="eastAsia" w:ascii="宋体" w:hAnsi="宋体" w:cs="宋体"/>
                <w:color w:val="auto"/>
                <w:sz w:val="22"/>
                <w:highlight w:val="none"/>
                <w:lang w:eastAsia="zh-CN"/>
              </w:rPr>
              <w:t>（</w:t>
            </w:r>
            <w:r>
              <w:rPr>
                <w:rFonts w:hint="eastAsia" w:ascii="宋体" w:hAnsi="宋体" w:cs="宋体"/>
                <w:color w:val="auto"/>
                <w:sz w:val="22"/>
                <w:highlight w:val="none"/>
                <w:lang w:val="en-US" w:eastAsia="zh-CN"/>
              </w:rPr>
              <w:t>3</w:t>
            </w:r>
            <w:r>
              <w:rPr>
                <w:rFonts w:hint="eastAsia" w:ascii="宋体" w:hAnsi="宋体" w:cs="宋体"/>
                <w:color w:val="auto"/>
                <w:sz w:val="22"/>
                <w:highlight w:val="none"/>
                <w:lang w:eastAsia="zh-CN"/>
              </w:rPr>
              <w:t>）</w:t>
            </w:r>
            <w:r>
              <w:rPr>
                <w:rFonts w:hint="eastAsia" w:ascii="宋体" w:hAnsi="宋体" w:cs="宋体"/>
                <w:color w:val="auto"/>
                <w:sz w:val="22"/>
                <w:highlight w:val="none"/>
              </w:rPr>
              <w:t>承诺在市场价格发生波动时，仍按合同价优先保障供应，确需调价的须事先书面协商</w:t>
            </w:r>
            <w:r>
              <w:rPr>
                <w:rFonts w:hint="eastAsia" w:ascii="宋体" w:hAnsi="宋体" w:cs="宋体"/>
                <w:color w:val="auto"/>
                <w:sz w:val="22"/>
                <w:highlight w:val="none"/>
                <w:lang w:eastAsia="zh-CN"/>
              </w:rPr>
              <w:t>，</w:t>
            </w:r>
            <w:r>
              <w:rPr>
                <w:rFonts w:hint="eastAsia" w:ascii="宋体" w:hAnsi="宋体" w:cs="宋体"/>
                <w:color w:val="auto"/>
                <w:sz w:val="22"/>
                <w:highlight w:val="none"/>
                <w:lang w:val="en-US" w:eastAsia="zh-CN"/>
              </w:rPr>
              <w:t>得0.5分</w:t>
            </w:r>
            <w:r>
              <w:rPr>
                <w:rFonts w:hint="eastAsia" w:ascii="宋体" w:hAnsi="宋体" w:cs="宋体"/>
                <w:color w:val="auto"/>
                <w:sz w:val="22"/>
                <w:highlight w:val="none"/>
              </w:rPr>
              <w:t>；</w:t>
            </w:r>
          </w:p>
          <w:p w14:paraId="6FF29760">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3、安全责任承诺（2分）：</w:t>
            </w:r>
          </w:p>
          <w:p w14:paraId="42440936">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（1）承诺在发生食品安全事故或重大质量问题时，企业主要负责人及相关主管人员必须在2小时内到达现场处理，并提供书面安抚及善后处理方案的，得1分；</w:t>
            </w:r>
          </w:p>
          <w:p w14:paraId="06D4201F">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（2）承诺如因质量问题或配送运输引发安全事故，承担全部法律责任及全部经济损失，并提供相关法律承诺函的，得1分；</w:t>
            </w:r>
          </w:p>
          <w:p w14:paraId="542760D6">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cs="宋体"/>
                <w:color w:val="auto"/>
                <w:sz w:val="22"/>
                <w:highlight w:val="none"/>
              </w:rPr>
              <w:t>注：以上各项均须提供加盖公章的承诺函或</w:t>
            </w:r>
            <w:r>
              <w:rPr>
                <w:rFonts w:hint="eastAsia" w:ascii="宋体" w:hAnsi="宋体" w:cs="宋体"/>
                <w:color w:val="auto"/>
                <w:sz w:val="22"/>
                <w:highlight w:val="none"/>
                <w:lang w:val="en-US" w:eastAsia="zh-CN"/>
              </w:rPr>
              <w:t>证明材料</w:t>
            </w:r>
            <w:r>
              <w:rPr>
                <w:rFonts w:hint="eastAsia" w:ascii="宋体" w:hAnsi="宋体" w:cs="宋体"/>
                <w:color w:val="auto"/>
                <w:sz w:val="22"/>
                <w:highlight w:val="none"/>
              </w:rPr>
              <w:t>扫描件，未提供或内容不全的不得分；</w:t>
            </w:r>
          </w:p>
        </w:tc>
      </w:tr>
      <w:tr w14:paraId="7DC1C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81AC8E0">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8</w:t>
            </w:r>
          </w:p>
        </w:tc>
        <w:tc>
          <w:tcPr>
            <w:tcW w:w="1127" w:type="dxa"/>
            <w:tcBorders>
              <w:top w:val="single" w:color="auto" w:sz="4" w:space="0"/>
              <w:left w:val="single" w:color="auto" w:sz="4" w:space="0"/>
              <w:bottom w:val="single" w:color="auto" w:sz="4" w:space="0"/>
              <w:right w:val="single" w:color="auto" w:sz="4" w:space="0"/>
            </w:tcBorders>
            <w:vAlign w:val="center"/>
          </w:tcPr>
          <w:p w14:paraId="15D37BE3">
            <w:pPr>
              <w:pStyle w:val="90"/>
              <w:keepNext w:val="0"/>
              <w:keepLines w:val="0"/>
              <w:pageBreakBefore w:val="0"/>
              <w:widowControl/>
              <w:kinsoku/>
              <w:wordWrap/>
              <w:overflowPunct/>
              <w:topLinePunct w:val="0"/>
              <w:autoSpaceDE/>
              <w:autoSpaceDN/>
              <w:bidi w:val="0"/>
              <w:adjustRightInd w:val="0"/>
              <w:snapToGrid w:val="0"/>
              <w:spacing w:after="0" w:afterLines="0" w:line="440" w:lineRule="exact"/>
              <w:ind w:firstLine="0" w:firstLineChars="0"/>
              <w:jc w:val="center"/>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企业信誉</w:t>
            </w:r>
          </w:p>
        </w:tc>
        <w:tc>
          <w:tcPr>
            <w:tcW w:w="826" w:type="dxa"/>
            <w:tcBorders>
              <w:top w:val="single" w:color="auto" w:sz="4" w:space="0"/>
              <w:left w:val="single" w:color="auto" w:sz="4" w:space="0"/>
              <w:bottom w:val="single" w:color="auto" w:sz="4" w:space="0"/>
              <w:right w:val="single" w:color="auto" w:sz="4" w:space="0"/>
            </w:tcBorders>
            <w:vAlign w:val="center"/>
          </w:tcPr>
          <w:p w14:paraId="1468F681">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ascii="宋体" w:hAnsi="宋体" w:eastAsia="宋体" w:cs="宋体"/>
                <w:color w:val="auto"/>
                <w:sz w:val="22"/>
                <w:szCs w:val="22"/>
                <w:highlight w:val="none"/>
                <w:u w:val="none"/>
                <w:lang w:val="en-US" w:eastAsia="zh-CN"/>
              </w:rPr>
            </w:pPr>
            <w:r>
              <w:rPr>
                <w:rFonts w:hint="eastAsia" w:ascii="宋体" w:hAnsi="宋体" w:cs="宋体"/>
                <w:color w:val="auto"/>
                <w:sz w:val="22"/>
                <w:szCs w:val="22"/>
                <w:highlight w:val="none"/>
                <w:u w:val="none"/>
                <w:lang w:val="en-US" w:eastAsia="zh-CN"/>
              </w:rPr>
              <w:t>2分</w:t>
            </w:r>
          </w:p>
        </w:tc>
        <w:tc>
          <w:tcPr>
            <w:tcW w:w="5879" w:type="dxa"/>
            <w:tcBorders>
              <w:top w:val="single" w:color="auto" w:sz="4" w:space="0"/>
              <w:left w:val="single" w:color="auto" w:sz="4" w:space="0"/>
              <w:bottom w:val="single" w:color="auto" w:sz="4" w:space="0"/>
              <w:right w:val="single" w:color="auto" w:sz="4" w:space="0"/>
            </w:tcBorders>
            <w:vAlign w:val="center"/>
          </w:tcPr>
          <w:p w14:paraId="508D412E">
            <w:pPr>
              <w:keepNext w:val="0"/>
              <w:keepLines w:val="0"/>
              <w:pageBreakBefore w:val="0"/>
              <w:widowControl/>
              <w:kinsoku/>
              <w:wordWrap/>
              <w:overflowPunct/>
              <w:topLinePunct w:val="0"/>
              <w:autoSpaceDE/>
              <w:autoSpaceDN/>
              <w:bidi w:val="0"/>
              <w:adjustRightInd w:val="0"/>
              <w:snapToGrid w:val="0"/>
              <w:spacing w:line="440" w:lineRule="exact"/>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投标人近三年内（按递交投标文件截止日算）未受到市场管理或食药监部门的行政处罚或整改要求的，得</w:t>
            </w:r>
            <w:r>
              <w:rPr>
                <w:rFonts w:hint="eastAsia" w:ascii="宋体" w:hAnsi="宋体" w:cs="宋体"/>
                <w:color w:val="auto"/>
                <w:sz w:val="22"/>
                <w:szCs w:val="22"/>
                <w:highlight w:val="none"/>
                <w:lang w:eastAsia="zh-CN"/>
              </w:rPr>
              <w:t>2</w:t>
            </w:r>
            <w:r>
              <w:rPr>
                <w:rFonts w:hint="eastAsia" w:ascii="宋体" w:hAnsi="宋体" w:cs="宋体"/>
                <w:color w:val="auto"/>
                <w:sz w:val="22"/>
                <w:szCs w:val="22"/>
                <w:highlight w:val="none"/>
              </w:rPr>
              <w:t>分，否则不得分。</w:t>
            </w:r>
          </w:p>
          <w:p w14:paraId="4D1B3F7D">
            <w:pPr>
              <w:keepNext w:val="0"/>
              <w:keepLines w:val="0"/>
              <w:pageBreakBefore w:val="0"/>
              <w:widowControl/>
              <w:kinsoku/>
              <w:wordWrap/>
              <w:overflowPunct/>
              <w:topLinePunct w:val="0"/>
              <w:autoSpaceDE/>
              <w:autoSpaceDN/>
              <w:bidi w:val="0"/>
              <w:adjustRightInd w:val="0"/>
              <w:snapToGrid w:val="0"/>
              <w:spacing w:line="440" w:lineRule="exact"/>
              <w:textAlignment w:val="auto"/>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（需按招标文件格式提供承诺书，否则不得分）</w:t>
            </w:r>
          </w:p>
        </w:tc>
      </w:tr>
      <w:tr w14:paraId="30CB1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0A146A1">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9</w:t>
            </w:r>
          </w:p>
        </w:tc>
        <w:tc>
          <w:tcPr>
            <w:tcW w:w="1127" w:type="dxa"/>
            <w:tcBorders>
              <w:top w:val="single" w:color="auto" w:sz="4" w:space="0"/>
              <w:left w:val="single" w:color="auto" w:sz="4" w:space="0"/>
              <w:bottom w:val="single" w:color="auto" w:sz="4" w:space="0"/>
              <w:right w:val="single" w:color="auto" w:sz="4" w:space="0"/>
            </w:tcBorders>
            <w:vAlign w:val="center"/>
          </w:tcPr>
          <w:p w14:paraId="5CDA0F6F">
            <w:pPr>
              <w:pStyle w:val="90"/>
              <w:keepNext w:val="0"/>
              <w:keepLines w:val="0"/>
              <w:pageBreakBefore w:val="0"/>
              <w:widowControl/>
              <w:kinsoku/>
              <w:wordWrap/>
              <w:overflowPunct/>
              <w:topLinePunct w:val="0"/>
              <w:autoSpaceDE/>
              <w:autoSpaceDN/>
              <w:bidi w:val="0"/>
              <w:adjustRightInd w:val="0"/>
              <w:snapToGrid w:val="0"/>
              <w:spacing w:after="0" w:afterLines="0" w:line="440" w:lineRule="exact"/>
              <w:ind w:firstLine="0" w:firstLineChars="0"/>
              <w:jc w:val="center"/>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配送保障能力</w:t>
            </w:r>
          </w:p>
        </w:tc>
        <w:tc>
          <w:tcPr>
            <w:tcW w:w="826" w:type="dxa"/>
            <w:tcBorders>
              <w:top w:val="single" w:color="auto" w:sz="4" w:space="0"/>
              <w:left w:val="single" w:color="auto" w:sz="4" w:space="0"/>
              <w:bottom w:val="single" w:color="auto" w:sz="4" w:space="0"/>
              <w:right w:val="single" w:color="auto" w:sz="4" w:space="0"/>
            </w:tcBorders>
            <w:vAlign w:val="center"/>
          </w:tcPr>
          <w:p w14:paraId="6B8E779E">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ascii="宋体" w:hAnsi="宋体" w:eastAsia="宋体" w:cs="宋体"/>
                <w:color w:val="auto"/>
                <w:sz w:val="22"/>
                <w:szCs w:val="22"/>
                <w:highlight w:val="none"/>
                <w:u w:val="none"/>
                <w:lang w:val="en-US" w:eastAsia="zh-CN"/>
              </w:rPr>
            </w:pPr>
            <w:r>
              <w:rPr>
                <w:rFonts w:hint="eastAsia" w:ascii="宋体" w:hAnsi="宋体" w:cs="宋体"/>
                <w:color w:val="auto"/>
                <w:sz w:val="22"/>
                <w:szCs w:val="22"/>
                <w:highlight w:val="none"/>
                <w:u w:val="none"/>
                <w:lang w:val="en-US" w:eastAsia="zh-CN"/>
              </w:rPr>
              <w:t>2分</w:t>
            </w:r>
          </w:p>
        </w:tc>
        <w:tc>
          <w:tcPr>
            <w:tcW w:w="5879" w:type="dxa"/>
            <w:tcBorders>
              <w:top w:val="single" w:color="auto" w:sz="4" w:space="0"/>
              <w:left w:val="single" w:color="auto" w:sz="4" w:space="0"/>
              <w:bottom w:val="single" w:color="auto" w:sz="4" w:space="0"/>
              <w:right w:val="single" w:color="auto" w:sz="4" w:space="0"/>
            </w:tcBorders>
            <w:vAlign w:val="center"/>
          </w:tcPr>
          <w:p w14:paraId="7DBFB0AF">
            <w:pPr>
              <w:keepNext w:val="0"/>
              <w:keepLines w:val="0"/>
              <w:pageBreakBefore w:val="0"/>
              <w:widowControl/>
              <w:kinsoku/>
              <w:wordWrap/>
              <w:overflowPunct/>
              <w:topLinePunct w:val="0"/>
              <w:autoSpaceDE/>
              <w:autoSpaceDN/>
              <w:bidi w:val="0"/>
              <w:adjustRightInd w:val="0"/>
              <w:snapToGrid w:val="0"/>
              <w:spacing w:line="440" w:lineRule="exact"/>
              <w:textAlignment w:val="auto"/>
              <w:rPr>
                <w:rFonts w:hint="eastAsia" w:ascii="宋体" w:hAnsi="宋体" w:eastAsia="宋体" w:cs="宋体"/>
                <w:color w:val="auto"/>
                <w:sz w:val="22"/>
                <w:szCs w:val="22"/>
                <w:highlight w:val="none"/>
                <w:lang w:eastAsia="zh-CN"/>
              </w:rPr>
            </w:pPr>
            <w:r>
              <w:rPr>
                <w:rFonts w:hint="eastAsia" w:ascii="宋体" w:hAnsi="宋体" w:cs="宋体"/>
                <w:color w:val="auto"/>
                <w:sz w:val="22"/>
                <w:szCs w:val="22"/>
                <w:highlight w:val="none"/>
                <w:lang w:val="en-US" w:eastAsia="zh-CN"/>
              </w:rPr>
              <w:t>本项目至少投入三台</w:t>
            </w:r>
            <w:r>
              <w:rPr>
                <w:rFonts w:hint="eastAsia" w:ascii="宋体" w:hAnsi="宋体" w:eastAsia="宋体" w:cs="宋体"/>
                <w:color w:val="auto"/>
                <w:sz w:val="22"/>
                <w:szCs w:val="22"/>
                <w:highlight w:val="none"/>
              </w:rPr>
              <w:t>冷链运输车</w:t>
            </w:r>
            <w:r>
              <w:rPr>
                <w:rFonts w:hint="eastAsia" w:ascii="宋体" w:hAnsi="宋体" w:cs="宋体"/>
                <w:color w:val="auto"/>
                <w:sz w:val="22"/>
                <w:szCs w:val="22"/>
                <w:highlight w:val="none"/>
                <w:lang w:eastAsia="zh-CN"/>
              </w:rPr>
              <w:t>，在此基础上</w:t>
            </w:r>
            <w:r>
              <w:rPr>
                <w:rFonts w:hint="eastAsia" w:ascii="宋体" w:hAnsi="宋体" w:eastAsia="宋体" w:cs="宋体"/>
                <w:color w:val="auto"/>
                <w:sz w:val="22"/>
                <w:szCs w:val="22"/>
                <w:highlight w:val="none"/>
              </w:rPr>
              <w:t>每</w:t>
            </w:r>
            <w:r>
              <w:rPr>
                <w:rFonts w:hint="eastAsia" w:ascii="宋体" w:hAnsi="宋体" w:cs="宋体"/>
                <w:color w:val="auto"/>
                <w:sz w:val="22"/>
                <w:szCs w:val="22"/>
                <w:highlight w:val="none"/>
                <w:lang w:eastAsia="zh-CN"/>
              </w:rPr>
              <w:t>多</w:t>
            </w:r>
            <w:r>
              <w:rPr>
                <w:rFonts w:hint="eastAsia" w:ascii="宋体" w:hAnsi="宋体" w:eastAsia="宋体" w:cs="宋体"/>
                <w:color w:val="auto"/>
                <w:sz w:val="22"/>
                <w:szCs w:val="22"/>
                <w:highlight w:val="none"/>
              </w:rPr>
              <w:t>投入一台冷链运输车的</w:t>
            </w:r>
            <w:r>
              <w:rPr>
                <w:rFonts w:hint="eastAsia" w:ascii="宋体" w:hAnsi="宋体" w:cs="宋体"/>
                <w:color w:val="auto"/>
                <w:sz w:val="22"/>
                <w:szCs w:val="22"/>
                <w:highlight w:val="none"/>
                <w:lang w:eastAsia="zh-CN"/>
              </w:rPr>
              <w:t>可</w:t>
            </w:r>
            <w:r>
              <w:rPr>
                <w:rFonts w:hint="eastAsia" w:ascii="宋体" w:hAnsi="宋体" w:eastAsia="宋体" w:cs="宋体"/>
                <w:color w:val="auto"/>
                <w:sz w:val="22"/>
                <w:szCs w:val="22"/>
                <w:highlight w:val="none"/>
              </w:rPr>
              <w:t>得</w:t>
            </w:r>
            <w:r>
              <w:rPr>
                <w:rFonts w:hint="eastAsia" w:ascii="宋体" w:hAnsi="宋体" w:cs="宋体"/>
                <w:color w:val="auto"/>
                <w:sz w:val="22"/>
                <w:szCs w:val="22"/>
                <w:highlight w:val="none"/>
                <w:lang w:val="en-US" w:eastAsia="zh-CN"/>
              </w:rPr>
              <w:t>1</w:t>
            </w:r>
            <w:r>
              <w:rPr>
                <w:rFonts w:hint="eastAsia" w:ascii="宋体" w:hAnsi="宋体" w:eastAsia="宋体" w:cs="宋体"/>
                <w:color w:val="auto"/>
                <w:sz w:val="22"/>
                <w:szCs w:val="22"/>
                <w:highlight w:val="none"/>
              </w:rPr>
              <w:t>分，最高</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rPr>
              <w:t>分</w:t>
            </w:r>
            <w:r>
              <w:rPr>
                <w:rFonts w:hint="eastAsia" w:ascii="宋体" w:hAnsi="宋体" w:cs="宋体"/>
                <w:color w:val="auto"/>
                <w:sz w:val="22"/>
                <w:szCs w:val="22"/>
                <w:highlight w:val="none"/>
                <w:lang w:eastAsia="zh-CN"/>
              </w:rPr>
              <w:t>；</w:t>
            </w:r>
          </w:p>
          <w:p w14:paraId="1CDDE718">
            <w:pPr>
              <w:keepNext w:val="0"/>
              <w:keepLines w:val="0"/>
              <w:pageBreakBefore w:val="0"/>
              <w:widowControl/>
              <w:kinsoku/>
              <w:wordWrap/>
              <w:overflowPunct/>
              <w:topLinePunct w:val="0"/>
              <w:autoSpaceDE/>
              <w:autoSpaceDN/>
              <w:bidi w:val="0"/>
              <w:adjustRightInd w:val="0"/>
              <w:snapToGrid w:val="0"/>
              <w:spacing w:line="440" w:lineRule="exact"/>
              <w:textAlignment w:val="auto"/>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注：（1）车辆为投标人自有的，须同时提供：①车辆登记证书或车辆行驶证（所有人须为投标人</w:t>
            </w:r>
            <w:r>
              <w:rPr>
                <w:rFonts w:hint="eastAsia" w:ascii="宋体" w:hAnsi="宋体" w:eastAsia="宋体" w:cs="宋体"/>
                <w:b/>
                <w:color w:val="auto"/>
                <w:sz w:val="22"/>
                <w:szCs w:val="22"/>
                <w:highlight w:val="none"/>
                <w:lang w:val="en-US" w:eastAsia="zh-CN"/>
              </w:rPr>
              <w:t>或投标单位法人</w:t>
            </w:r>
            <w:r>
              <w:rPr>
                <w:rFonts w:hint="eastAsia" w:ascii="宋体" w:hAnsi="宋体" w:eastAsia="宋体" w:cs="宋体"/>
                <w:b/>
                <w:color w:val="auto"/>
                <w:sz w:val="22"/>
                <w:szCs w:val="22"/>
                <w:highlight w:val="none"/>
              </w:rPr>
              <w:t>）</w:t>
            </w:r>
            <w:r>
              <w:rPr>
                <w:rFonts w:hint="eastAsia" w:ascii="宋体" w:hAnsi="宋体" w:eastAsia="宋体" w:cs="宋体"/>
                <w:b/>
                <w:color w:val="auto"/>
                <w:sz w:val="22"/>
                <w:szCs w:val="22"/>
                <w:highlight w:val="none"/>
                <w:lang w:eastAsia="zh-CN"/>
              </w:rPr>
              <w:t>；</w:t>
            </w:r>
            <w:r>
              <w:rPr>
                <w:rFonts w:hint="eastAsia" w:ascii="宋体" w:hAnsi="宋体" w:eastAsia="宋体" w:cs="宋体"/>
                <w:b/>
                <w:color w:val="auto"/>
                <w:sz w:val="22"/>
                <w:szCs w:val="22"/>
                <w:highlight w:val="none"/>
              </w:rPr>
              <w:t>②车辆照片（冷链运输车须提供能显示制冷设备的图片）</w:t>
            </w:r>
            <w:r>
              <w:rPr>
                <w:rFonts w:hint="eastAsia" w:ascii="宋体" w:hAnsi="宋体" w:eastAsia="宋体" w:cs="宋体"/>
                <w:b/>
                <w:color w:val="auto"/>
                <w:sz w:val="22"/>
                <w:szCs w:val="22"/>
                <w:highlight w:val="none"/>
                <w:lang w:eastAsia="zh-CN"/>
              </w:rPr>
              <w:t>；</w:t>
            </w:r>
            <w:r>
              <w:rPr>
                <w:rFonts w:hint="eastAsia" w:ascii="宋体" w:hAnsi="宋体" w:eastAsia="宋体" w:cs="宋体"/>
                <w:b/>
                <w:color w:val="auto"/>
                <w:sz w:val="22"/>
                <w:szCs w:val="22"/>
                <w:highlight w:val="none"/>
              </w:rPr>
              <w:t>上述复印件加盖投标人公章。</w:t>
            </w:r>
          </w:p>
          <w:p w14:paraId="0269B91F">
            <w:pPr>
              <w:keepNext w:val="0"/>
              <w:keepLines w:val="0"/>
              <w:pageBreakBefore w:val="0"/>
              <w:widowControl/>
              <w:kinsoku/>
              <w:wordWrap/>
              <w:overflowPunct/>
              <w:topLinePunct w:val="0"/>
              <w:autoSpaceDE/>
              <w:autoSpaceDN/>
              <w:bidi w:val="0"/>
              <w:adjustRightInd w:val="0"/>
              <w:snapToGrid w:val="0"/>
              <w:spacing w:line="440" w:lineRule="exact"/>
              <w:textAlignment w:val="auto"/>
              <w:rPr>
                <w:rFonts w:hint="eastAsia" w:ascii="宋体" w:hAnsi="宋体" w:cs="宋体"/>
                <w:color w:val="auto"/>
                <w:sz w:val="22"/>
                <w:szCs w:val="22"/>
                <w:highlight w:val="none"/>
              </w:rPr>
            </w:pPr>
            <w:r>
              <w:rPr>
                <w:rFonts w:hint="eastAsia" w:ascii="宋体" w:hAnsi="宋体" w:eastAsia="宋体" w:cs="宋体"/>
                <w:b/>
                <w:color w:val="auto"/>
                <w:sz w:val="22"/>
                <w:szCs w:val="22"/>
                <w:highlight w:val="none"/>
              </w:rPr>
              <w:t>（2）车辆为投标人租赁的，须同时提供：①车辆登记证书或车辆行驶证</w:t>
            </w:r>
            <w:r>
              <w:rPr>
                <w:rFonts w:hint="eastAsia" w:ascii="宋体" w:hAnsi="宋体" w:eastAsia="宋体" w:cs="宋体"/>
                <w:b/>
                <w:color w:val="auto"/>
                <w:sz w:val="22"/>
                <w:szCs w:val="22"/>
                <w:highlight w:val="none"/>
                <w:lang w:eastAsia="zh-CN"/>
              </w:rPr>
              <w:t>；</w:t>
            </w:r>
            <w:r>
              <w:rPr>
                <w:rFonts w:hint="eastAsia" w:ascii="宋体" w:hAnsi="宋体" w:eastAsia="宋体" w:cs="宋体"/>
                <w:b/>
                <w:color w:val="auto"/>
                <w:sz w:val="22"/>
                <w:szCs w:val="22"/>
                <w:highlight w:val="none"/>
              </w:rPr>
              <w:t>②车辆照片（冷链运输车须提供能显示制冷设备的图片）</w:t>
            </w:r>
            <w:r>
              <w:rPr>
                <w:rFonts w:hint="eastAsia" w:ascii="宋体" w:hAnsi="宋体" w:eastAsia="宋体" w:cs="宋体"/>
                <w:b/>
                <w:color w:val="auto"/>
                <w:sz w:val="22"/>
                <w:szCs w:val="22"/>
                <w:highlight w:val="none"/>
                <w:lang w:eastAsia="zh-CN"/>
              </w:rPr>
              <w:t>；</w:t>
            </w:r>
            <w:r>
              <w:rPr>
                <w:rFonts w:hint="eastAsia" w:ascii="宋体" w:hAnsi="宋体" w:eastAsia="宋体" w:cs="宋体"/>
                <w:b/>
                <w:color w:val="auto"/>
                <w:sz w:val="22"/>
                <w:szCs w:val="22"/>
                <w:highlight w:val="none"/>
              </w:rPr>
              <w:t>③以投标人名义签订并在有效期内的租赁合同</w:t>
            </w:r>
            <w:r>
              <w:rPr>
                <w:rFonts w:hint="eastAsia" w:ascii="宋体" w:hAnsi="宋体" w:cs="宋体"/>
                <w:b/>
                <w:color w:val="auto"/>
                <w:sz w:val="22"/>
                <w:szCs w:val="22"/>
                <w:highlight w:val="none"/>
                <w:lang w:eastAsia="zh-CN"/>
              </w:rPr>
              <w:t>、</w:t>
            </w:r>
            <w:r>
              <w:rPr>
                <w:rFonts w:hint="eastAsia" w:ascii="宋体" w:hAnsi="宋体" w:cs="宋体"/>
                <w:b/>
                <w:bCs/>
                <w:color w:val="auto"/>
                <w:sz w:val="22"/>
                <w:szCs w:val="22"/>
                <w:highlight w:val="none"/>
              </w:rPr>
              <w:t>近一年内任意时间段的租金发票</w:t>
            </w:r>
            <w:r>
              <w:rPr>
                <w:rFonts w:hint="eastAsia" w:ascii="宋体" w:hAnsi="宋体" w:cs="宋体"/>
                <w:b/>
                <w:bCs/>
                <w:color w:val="auto"/>
                <w:sz w:val="22"/>
                <w:szCs w:val="22"/>
                <w:highlight w:val="none"/>
                <w:lang w:val="en-US" w:eastAsia="zh-CN"/>
              </w:rPr>
              <w:t>或租金付款记录</w:t>
            </w:r>
            <w:r>
              <w:rPr>
                <w:rFonts w:hint="eastAsia" w:ascii="宋体" w:hAnsi="宋体" w:eastAsia="宋体" w:cs="宋体"/>
                <w:b/>
                <w:color w:val="auto"/>
                <w:sz w:val="22"/>
                <w:szCs w:val="22"/>
                <w:highlight w:val="none"/>
              </w:rPr>
              <w:t>，上述复印件加盖投标人公章。</w:t>
            </w:r>
          </w:p>
        </w:tc>
      </w:tr>
      <w:tr w14:paraId="202AB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7F2DA5EE">
            <w:pPr>
              <w:pStyle w:val="47"/>
              <w:spacing w:line="360" w:lineRule="auto"/>
              <w:ind w:firstLine="0" w:firstLineChars="0"/>
              <w:jc w:val="center"/>
              <w:rPr>
                <w:rFonts w:hint="eastAsia" w:ascii="宋体" w:hAnsi="宋体" w:eastAsia="宋体" w:cs="宋体"/>
                <w:color w:val="auto"/>
                <w:sz w:val="22"/>
                <w:szCs w:val="22"/>
                <w:highlight w:val="none"/>
              </w:rPr>
            </w:pPr>
            <w:r>
              <w:rPr>
                <w:rFonts w:hint="eastAsia" w:ascii="宋体" w:hAnsi="宋体" w:eastAsia="宋体" w:cs="宋体"/>
                <w:b/>
                <w:bCs/>
                <w:color w:val="auto"/>
                <w:sz w:val="22"/>
                <w:szCs w:val="22"/>
                <w:highlight w:val="none"/>
              </w:rPr>
              <w:t>技术评审（</w:t>
            </w:r>
            <w:r>
              <w:rPr>
                <w:rFonts w:hint="eastAsia" w:ascii="宋体" w:eastAsia="宋体" w:cs="宋体"/>
                <w:b/>
                <w:bCs/>
                <w:color w:val="auto"/>
                <w:sz w:val="22"/>
                <w:szCs w:val="22"/>
                <w:highlight w:val="none"/>
                <w:lang w:val="en-US" w:eastAsia="zh-CN"/>
              </w:rPr>
              <w:t>16</w:t>
            </w:r>
            <w:r>
              <w:rPr>
                <w:rFonts w:hint="eastAsia" w:ascii="宋体" w:hAnsi="宋体" w:eastAsia="宋体" w:cs="宋体"/>
                <w:b/>
                <w:bCs/>
                <w:color w:val="auto"/>
                <w:sz w:val="22"/>
                <w:szCs w:val="22"/>
                <w:highlight w:val="none"/>
              </w:rPr>
              <w:t>分）</w:t>
            </w:r>
          </w:p>
        </w:tc>
      </w:tr>
      <w:tr w14:paraId="3A0AB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74B1C88">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w:t>
            </w:r>
          </w:p>
        </w:tc>
        <w:tc>
          <w:tcPr>
            <w:tcW w:w="1127" w:type="dxa"/>
            <w:tcBorders>
              <w:top w:val="single" w:color="auto" w:sz="4" w:space="0"/>
              <w:left w:val="single" w:color="auto" w:sz="4" w:space="0"/>
              <w:bottom w:val="single" w:color="auto" w:sz="4" w:space="0"/>
              <w:right w:val="single" w:color="auto" w:sz="4" w:space="0"/>
            </w:tcBorders>
            <w:vAlign w:val="center"/>
          </w:tcPr>
          <w:p w14:paraId="01905B74">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食品安全控制措施方案</w:t>
            </w:r>
          </w:p>
        </w:tc>
        <w:tc>
          <w:tcPr>
            <w:tcW w:w="826" w:type="dxa"/>
            <w:tcBorders>
              <w:top w:val="single" w:color="auto" w:sz="4" w:space="0"/>
              <w:left w:val="single" w:color="auto" w:sz="4" w:space="0"/>
              <w:bottom w:val="single" w:color="auto" w:sz="4" w:space="0"/>
              <w:right w:val="single" w:color="auto" w:sz="4" w:space="0"/>
            </w:tcBorders>
            <w:vAlign w:val="center"/>
          </w:tcPr>
          <w:p w14:paraId="30DF254E">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4</w:t>
            </w:r>
            <w:r>
              <w:rPr>
                <w:rFonts w:hint="eastAsia" w:ascii="宋体" w:hAnsi="宋体" w:eastAsia="宋体" w:cs="宋体"/>
                <w:color w:val="auto"/>
                <w:sz w:val="22"/>
                <w:szCs w:val="22"/>
                <w:highlight w:val="none"/>
                <w:lang w:val="en-US" w:eastAsia="zh-CN"/>
              </w:rPr>
              <w:t>分</w:t>
            </w:r>
          </w:p>
        </w:tc>
        <w:tc>
          <w:tcPr>
            <w:tcW w:w="5879" w:type="dxa"/>
            <w:tcBorders>
              <w:top w:val="single" w:color="auto" w:sz="4" w:space="0"/>
              <w:left w:val="single" w:color="auto" w:sz="4" w:space="0"/>
              <w:bottom w:val="single" w:color="auto" w:sz="4" w:space="0"/>
              <w:right w:val="single" w:color="auto" w:sz="4" w:space="0"/>
            </w:tcBorders>
            <w:vAlign w:val="center"/>
          </w:tcPr>
          <w:p w14:paraId="7A63F19B">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根据投标人的食品安全控制措施方案（包括但不限于供货保障、食材采购、分拣、</w:t>
            </w:r>
            <w:r>
              <w:rPr>
                <w:rFonts w:hint="eastAsia" w:ascii="宋体" w:hAnsi="宋体" w:eastAsia="宋体" w:cs="宋体"/>
                <w:color w:val="auto"/>
                <w:sz w:val="22"/>
                <w:szCs w:val="22"/>
                <w:highlight w:val="none"/>
                <w:lang w:val="en-US" w:eastAsia="zh-CN"/>
              </w:rPr>
              <w:t>配送、</w:t>
            </w:r>
            <w:r>
              <w:rPr>
                <w:rFonts w:hint="eastAsia" w:ascii="宋体" w:hAnsi="宋体" w:eastAsia="宋体" w:cs="宋体"/>
                <w:color w:val="auto"/>
                <w:sz w:val="22"/>
                <w:szCs w:val="22"/>
                <w:highlight w:val="none"/>
              </w:rPr>
              <w:t>粗加工管理流程、</w:t>
            </w:r>
            <w:r>
              <w:rPr>
                <w:rFonts w:hint="eastAsia" w:ascii="宋体" w:hAnsi="宋体" w:eastAsia="宋体" w:cstheme="minorBidi"/>
                <w:snapToGrid w:val="0"/>
                <w:color w:val="auto"/>
                <w:kern w:val="0"/>
                <w:sz w:val="21"/>
                <w:szCs w:val="21"/>
                <w:highlight w:val="none"/>
                <w:lang w:val="en-US" w:eastAsia="zh-CN" w:bidi="ar-SA"/>
              </w:rPr>
              <w:t>散装分装食品的包装材质、标签的方案</w:t>
            </w:r>
            <w:r>
              <w:rPr>
                <w:rFonts w:hint="eastAsia" w:ascii="宋体" w:hAnsi="宋体" w:cstheme="minorBidi"/>
                <w:snapToGrid w:val="0"/>
                <w:color w:val="auto"/>
                <w:kern w:val="0"/>
                <w:sz w:val="21"/>
                <w:szCs w:val="21"/>
                <w:highlight w:val="none"/>
                <w:lang w:val="en-US" w:eastAsia="zh-CN" w:bidi="ar-SA"/>
              </w:rPr>
              <w:t>、</w:t>
            </w:r>
            <w:r>
              <w:rPr>
                <w:rFonts w:hint="eastAsia" w:ascii="宋体" w:hAnsi="宋体" w:eastAsia="宋体" w:cs="宋体"/>
                <w:color w:val="auto"/>
                <w:sz w:val="22"/>
                <w:szCs w:val="22"/>
                <w:highlight w:val="none"/>
              </w:rPr>
              <w:t>食材品质管控措施等）进行综合评审：</w:t>
            </w:r>
          </w:p>
          <w:p w14:paraId="65FF2A1E">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（1）食品安全控制措施方案非常详细完善，流程非常严谨规范，安全控制措施非常科学合理，可行性非常强的，得</w:t>
            </w:r>
            <w:r>
              <w:rPr>
                <w:rFonts w:hint="eastAsia" w:ascii="宋体" w:hAnsi="宋体" w:cs="宋体"/>
                <w:color w:val="auto"/>
                <w:sz w:val="22"/>
                <w:szCs w:val="22"/>
                <w:highlight w:val="none"/>
                <w:lang w:val="en-US" w:eastAsia="zh-CN"/>
              </w:rPr>
              <w:t>4</w:t>
            </w:r>
            <w:r>
              <w:rPr>
                <w:rFonts w:hint="eastAsia" w:ascii="宋体" w:hAnsi="宋体" w:eastAsia="宋体" w:cs="宋体"/>
                <w:color w:val="auto"/>
                <w:sz w:val="22"/>
                <w:szCs w:val="22"/>
                <w:highlight w:val="none"/>
              </w:rPr>
              <w:t>分；</w:t>
            </w:r>
          </w:p>
          <w:p w14:paraId="4B8BE824">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）食品安全控制措施方案</w:t>
            </w:r>
            <w:r>
              <w:rPr>
                <w:rFonts w:hint="eastAsia" w:ascii="宋体" w:hAnsi="宋体" w:eastAsia="宋体" w:cs="宋体"/>
                <w:color w:val="auto"/>
                <w:sz w:val="22"/>
                <w:szCs w:val="22"/>
                <w:highlight w:val="none"/>
                <w:lang w:val="en-US" w:eastAsia="zh-CN"/>
              </w:rPr>
              <w:t>较</w:t>
            </w:r>
            <w:r>
              <w:rPr>
                <w:rFonts w:hint="eastAsia" w:ascii="宋体" w:hAnsi="宋体" w:eastAsia="宋体" w:cs="宋体"/>
                <w:color w:val="auto"/>
                <w:sz w:val="22"/>
                <w:szCs w:val="22"/>
                <w:highlight w:val="none"/>
              </w:rPr>
              <w:t>详细完善，流程严谨规范，安全控制措施</w:t>
            </w:r>
            <w:r>
              <w:rPr>
                <w:rFonts w:hint="eastAsia" w:ascii="宋体" w:hAnsi="宋体" w:eastAsia="宋体" w:cs="宋体"/>
                <w:color w:val="auto"/>
                <w:sz w:val="22"/>
                <w:szCs w:val="22"/>
                <w:highlight w:val="none"/>
                <w:lang w:val="en-US" w:eastAsia="zh-CN"/>
              </w:rPr>
              <w:t>较</w:t>
            </w:r>
            <w:r>
              <w:rPr>
                <w:rFonts w:hint="eastAsia" w:ascii="宋体" w:hAnsi="宋体" w:eastAsia="宋体" w:cs="宋体"/>
                <w:color w:val="auto"/>
                <w:sz w:val="22"/>
                <w:szCs w:val="22"/>
                <w:highlight w:val="none"/>
              </w:rPr>
              <w:t>科学合理，可行性</w:t>
            </w:r>
            <w:r>
              <w:rPr>
                <w:rFonts w:hint="eastAsia" w:ascii="宋体" w:hAnsi="宋体" w:eastAsia="宋体" w:cs="宋体"/>
                <w:color w:val="auto"/>
                <w:sz w:val="22"/>
                <w:szCs w:val="22"/>
                <w:highlight w:val="none"/>
                <w:lang w:val="en-US" w:eastAsia="zh-CN"/>
              </w:rPr>
              <w:t>较</w:t>
            </w:r>
            <w:r>
              <w:rPr>
                <w:rFonts w:hint="eastAsia" w:ascii="宋体" w:hAnsi="宋体" w:eastAsia="宋体" w:cs="宋体"/>
                <w:color w:val="auto"/>
                <w:sz w:val="22"/>
                <w:szCs w:val="22"/>
                <w:highlight w:val="none"/>
              </w:rPr>
              <w:t>强的，得</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rPr>
              <w:t>分；</w:t>
            </w:r>
          </w:p>
          <w:p w14:paraId="28C8D3D9">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）食品安全控制措施方案详细完善度一般，流程严谨规范性一般，安全控制措施科学合理性一般，可行性一般的，得</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分；</w:t>
            </w:r>
          </w:p>
          <w:p w14:paraId="23D177BF">
            <w:pPr>
              <w:spacing w:line="360" w:lineRule="auto"/>
              <w:jc w:val="left"/>
              <w:rPr>
                <w:rFonts w:hint="eastAsia" w:ascii="宋体" w:hAnsi="宋体" w:eastAsia="宋体" w:cs="宋体"/>
                <w:bCs/>
                <w:color w:val="auto"/>
                <w:sz w:val="22"/>
                <w:szCs w:val="22"/>
                <w:highlight w:val="none"/>
                <w:u w:val="single"/>
                <w:lang w:val="zh-CN" w:eastAsia="zh-CN"/>
              </w:rPr>
            </w:pP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val="en-US" w:eastAsia="zh-CN"/>
              </w:rPr>
              <w:t>4</w:t>
            </w:r>
            <w:r>
              <w:rPr>
                <w:rFonts w:hint="eastAsia" w:ascii="宋体" w:hAnsi="宋体" w:eastAsia="宋体" w:cs="宋体"/>
                <w:color w:val="auto"/>
                <w:sz w:val="22"/>
                <w:szCs w:val="22"/>
                <w:highlight w:val="none"/>
              </w:rPr>
              <w:t>）未提供相应方案的不得分。</w:t>
            </w:r>
          </w:p>
        </w:tc>
      </w:tr>
      <w:tr w14:paraId="69E19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2739AC0">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w:t>
            </w:r>
          </w:p>
        </w:tc>
        <w:tc>
          <w:tcPr>
            <w:tcW w:w="1127" w:type="dxa"/>
            <w:tcBorders>
              <w:top w:val="single" w:color="auto" w:sz="4" w:space="0"/>
              <w:left w:val="single" w:color="auto" w:sz="4" w:space="0"/>
              <w:bottom w:val="single" w:color="auto" w:sz="4" w:space="0"/>
              <w:right w:val="single" w:color="auto" w:sz="4" w:space="0"/>
            </w:tcBorders>
            <w:vAlign w:val="center"/>
          </w:tcPr>
          <w:p w14:paraId="1C5AEC2B">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食品溯源管理方案</w:t>
            </w:r>
          </w:p>
        </w:tc>
        <w:tc>
          <w:tcPr>
            <w:tcW w:w="826" w:type="dxa"/>
            <w:tcBorders>
              <w:top w:val="single" w:color="auto" w:sz="4" w:space="0"/>
              <w:left w:val="single" w:color="auto" w:sz="4" w:space="0"/>
              <w:bottom w:val="single" w:color="auto" w:sz="4" w:space="0"/>
              <w:right w:val="single" w:color="auto" w:sz="4" w:space="0"/>
            </w:tcBorders>
            <w:vAlign w:val="center"/>
          </w:tcPr>
          <w:p w14:paraId="5F5968B5">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4</w:t>
            </w:r>
            <w:r>
              <w:rPr>
                <w:rFonts w:hint="eastAsia" w:ascii="宋体" w:hAnsi="宋体" w:eastAsia="宋体" w:cs="宋体"/>
                <w:color w:val="auto"/>
                <w:sz w:val="22"/>
                <w:szCs w:val="22"/>
                <w:highlight w:val="none"/>
                <w:lang w:val="en-US" w:eastAsia="zh-CN"/>
              </w:rPr>
              <w:t>分</w:t>
            </w:r>
          </w:p>
        </w:tc>
        <w:tc>
          <w:tcPr>
            <w:tcW w:w="5879" w:type="dxa"/>
            <w:tcBorders>
              <w:top w:val="single" w:color="auto" w:sz="4" w:space="0"/>
              <w:left w:val="single" w:color="auto" w:sz="4" w:space="0"/>
              <w:bottom w:val="single" w:color="auto" w:sz="4" w:space="0"/>
              <w:right w:val="single" w:color="auto" w:sz="4" w:space="0"/>
            </w:tcBorders>
            <w:vAlign w:val="top"/>
          </w:tcPr>
          <w:p w14:paraId="794F1C47">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根据投标人提供的食品溯源管理方案（包括但不限于食品溯源管理制度、采购渠道、进出货台账、留样检测制度</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售后服务</w:t>
            </w:r>
            <w:r>
              <w:rPr>
                <w:rFonts w:hint="eastAsia" w:ascii="宋体" w:hAnsi="宋体" w:eastAsia="宋体" w:cs="宋体"/>
                <w:color w:val="auto"/>
                <w:sz w:val="22"/>
                <w:szCs w:val="22"/>
                <w:highlight w:val="none"/>
              </w:rPr>
              <w:t>等）进行综合评审：</w:t>
            </w:r>
          </w:p>
          <w:p w14:paraId="3AF46A10">
            <w:pPr>
              <w:spacing w:line="360" w:lineRule="auto"/>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（1）食品溯源管理方案非常详细完善，食品溯源管理制度非常科学严谨、食品溯源管理措施可行性非常强的，得</w:t>
            </w:r>
            <w:r>
              <w:rPr>
                <w:rFonts w:hint="eastAsia" w:ascii="宋体" w:hAnsi="宋体" w:cs="宋体"/>
                <w:color w:val="auto"/>
                <w:sz w:val="22"/>
                <w:szCs w:val="22"/>
                <w:highlight w:val="none"/>
                <w:lang w:val="en-US" w:eastAsia="zh-CN"/>
              </w:rPr>
              <w:t>4</w:t>
            </w:r>
            <w:r>
              <w:rPr>
                <w:rFonts w:hint="eastAsia" w:ascii="宋体" w:hAnsi="宋体" w:eastAsia="宋体" w:cs="宋体"/>
                <w:color w:val="auto"/>
                <w:sz w:val="22"/>
                <w:szCs w:val="22"/>
                <w:highlight w:val="none"/>
              </w:rPr>
              <w:t>分；</w:t>
            </w:r>
          </w:p>
          <w:p w14:paraId="2C8444F3">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）食品溯源管理方案</w:t>
            </w:r>
            <w:r>
              <w:rPr>
                <w:rFonts w:hint="eastAsia" w:ascii="宋体" w:hAnsi="宋体" w:eastAsia="宋体" w:cs="宋体"/>
                <w:color w:val="auto"/>
                <w:sz w:val="22"/>
                <w:szCs w:val="22"/>
                <w:highlight w:val="none"/>
                <w:lang w:val="en-US" w:eastAsia="zh-CN"/>
              </w:rPr>
              <w:t>较</w:t>
            </w:r>
            <w:r>
              <w:rPr>
                <w:rFonts w:hint="eastAsia" w:ascii="宋体" w:hAnsi="宋体" w:eastAsia="宋体" w:cs="宋体"/>
                <w:color w:val="auto"/>
                <w:sz w:val="22"/>
                <w:szCs w:val="22"/>
                <w:highlight w:val="none"/>
              </w:rPr>
              <w:t>详细完善，食品溯源管理制度科学严谨、食品溯源管理措施可行性</w:t>
            </w:r>
            <w:r>
              <w:rPr>
                <w:rFonts w:hint="eastAsia" w:ascii="宋体" w:hAnsi="宋体" w:eastAsia="宋体" w:cs="宋体"/>
                <w:color w:val="auto"/>
                <w:sz w:val="22"/>
                <w:szCs w:val="22"/>
                <w:highlight w:val="none"/>
                <w:lang w:val="en-US" w:eastAsia="zh-CN"/>
              </w:rPr>
              <w:t>较</w:t>
            </w:r>
            <w:r>
              <w:rPr>
                <w:rFonts w:hint="eastAsia" w:ascii="宋体" w:hAnsi="宋体" w:eastAsia="宋体" w:cs="宋体"/>
                <w:color w:val="auto"/>
                <w:sz w:val="22"/>
                <w:szCs w:val="22"/>
                <w:highlight w:val="none"/>
              </w:rPr>
              <w:t>强的，得</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rPr>
              <w:t>分；</w:t>
            </w:r>
          </w:p>
          <w:p w14:paraId="64C6663D">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）食品溯源管理方案详细完善程度一般，食品溯源管理制度科学严谨性一般、食品溯源管理措施可行性一般的，得</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分；</w:t>
            </w:r>
          </w:p>
          <w:p w14:paraId="0AD62121">
            <w:pPr>
              <w:spacing w:line="360" w:lineRule="auto"/>
              <w:jc w:val="left"/>
              <w:rPr>
                <w:rFonts w:hint="eastAsia" w:ascii="宋体" w:hAnsi="宋体" w:eastAsia="宋体" w:cs="宋体"/>
                <w:bCs/>
                <w:color w:val="auto"/>
                <w:sz w:val="22"/>
                <w:szCs w:val="22"/>
                <w:highlight w:val="none"/>
                <w:u w:val="single"/>
                <w:lang w:val="zh-CN" w:eastAsia="zh-CN"/>
              </w:rPr>
            </w:pP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val="en-US" w:eastAsia="zh-CN"/>
              </w:rPr>
              <w:t>4</w:t>
            </w:r>
            <w:r>
              <w:rPr>
                <w:rFonts w:hint="eastAsia" w:ascii="宋体" w:hAnsi="宋体" w:eastAsia="宋体" w:cs="宋体"/>
                <w:color w:val="auto"/>
                <w:sz w:val="22"/>
                <w:szCs w:val="22"/>
                <w:highlight w:val="none"/>
              </w:rPr>
              <w:t>）未提供相应方案的不得分。</w:t>
            </w:r>
          </w:p>
        </w:tc>
      </w:tr>
      <w:tr w14:paraId="2FC43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52DCF42">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w:t>
            </w:r>
          </w:p>
        </w:tc>
        <w:tc>
          <w:tcPr>
            <w:tcW w:w="1127" w:type="dxa"/>
            <w:tcBorders>
              <w:top w:val="single" w:color="auto" w:sz="4" w:space="0"/>
              <w:left w:val="single" w:color="auto" w:sz="4" w:space="0"/>
              <w:bottom w:val="single" w:color="auto" w:sz="4" w:space="0"/>
              <w:right w:val="single" w:color="auto" w:sz="4" w:space="0"/>
            </w:tcBorders>
            <w:vAlign w:val="center"/>
          </w:tcPr>
          <w:p w14:paraId="17DD94F1">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整体配送服务方案</w:t>
            </w:r>
          </w:p>
        </w:tc>
        <w:tc>
          <w:tcPr>
            <w:tcW w:w="826" w:type="dxa"/>
            <w:tcBorders>
              <w:top w:val="single" w:color="auto" w:sz="4" w:space="0"/>
              <w:left w:val="single" w:color="auto" w:sz="4" w:space="0"/>
              <w:bottom w:val="single" w:color="auto" w:sz="4" w:space="0"/>
              <w:right w:val="single" w:color="auto" w:sz="4" w:space="0"/>
            </w:tcBorders>
            <w:vAlign w:val="center"/>
          </w:tcPr>
          <w:p w14:paraId="23AB39A9">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4</w:t>
            </w:r>
            <w:r>
              <w:rPr>
                <w:rFonts w:hint="eastAsia" w:ascii="宋体" w:hAnsi="宋体" w:eastAsia="宋体" w:cs="宋体"/>
                <w:color w:val="auto"/>
                <w:sz w:val="22"/>
                <w:szCs w:val="22"/>
                <w:highlight w:val="none"/>
                <w:lang w:val="en-US" w:eastAsia="zh-CN"/>
              </w:rPr>
              <w:t>分</w:t>
            </w:r>
          </w:p>
        </w:tc>
        <w:tc>
          <w:tcPr>
            <w:tcW w:w="5879" w:type="dxa"/>
            <w:tcBorders>
              <w:top w:val="single" w:color="auto" w:sz="4" w:space="0"/>
              <w:left w:val="single" w:color="auto" w:sz="4" w:space="0"/>
              <w:bottom w:val="single" w:color="auto" w:sz="4" w:space="0"/>
              <w:right w:val="single" w:color="auto" w:sz="4" w:space="0"/>
            </w:tcBorders>
            <w:vAlign w:val="top"/>
          </w:tcPr>
          <w:p w14:paraId="3CA6CFE5">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根据投标人提供的整体服务方案（内容包括但不限于配送车辆安排、各配送人员的具体工作计划安排、配送流程、专人跟踪服务情况、</w:t>
            </w:r>
            <w:r>
              <w:rPr>
                <w:rFonts w:hint="eastAsia" w:ascii="宋体" w:hAnsi="宋体" w:eastAsia="宋体" w:cstheme="minorBidi"/>
                <w:snapToGrid w:val="0"/>
                <w:color w:val="auto"/>
                <w:kern w:val="0"/>
                <w:sz w:val="21"/>
                <w:szCs w:val="21"/>
                <w:highlight w:val="none"/>
                <w:lang w:val="en-US" w:eastAsia="zh-CN" w:bidi="ar-SA"/>
              </w:rPr>
              <w:t>退换货时间安排</w:t>
            </w:r>
            <w:r>
              <w:rPr>
                <w:rFonts w:hint="eastAsia" w:ascii="宋体" w:hAnsi="宋体" w:cstheme="minorBidi"/>
                <w:snapToGrid w:val="0"/>
                <w:color w:val="auto"/>
                <w:kern w:val="0"/>
                <w:sz w:val="21"/>
                <w:szCs w:val="21"/>
                <w:highlight w:val="none"/>
                <w:lang w:val="en-US" w:eastAsia="zh-CN" w:bidi="ar-SA"/>
              </w:rPr>
              <w:t>、</w:t>
            </w:r>
            <w:r>
              <w:rPr>
                <w:rFonts w:hint="eastAsia" w:ascii="宋体" w:hAnsi="宋体" w:eastAsia="宋体" w:cs="宋体"/>
                <w:color w:val="auto"/>
                <w:sz w:val="22"/>
                <w:szCs w:val="22"/>
                <w:highlight w:val="none"/>
              </w:rPr>
              <w:t xml:space="preserve">售后服务方案等）进行评审： </w:t>
            </w:r>
          </w:p>
          <w:p w14:paraId="798E5855">
            <w:pPr>
              <w:numPr>
                <w:ilvl w:val="0"/>
                <w:numId w:val="1"/>
              </w:numPr>
              <w:spacing w:line="360" w:lineRule="auto"/>
              <w:jc w:val="left"/>
              <w:rPr>
                <w:rFonts w:hint="eastAsia" w:ascii="宋体" w:hAnsi="宋体" w:eastAsia="宋体" w:cs="宋体"/>
                <w:color w:val="auto"/>
                <w:sz w:val="22"/>
                <w:highlight w:val="none"/>
              </w:rPr>
            </w:pPr>
            <w:r>
              <w:rPr>
                <w:rFonts w:hint="eastAsia" w:ascii="宋体" w:hAnsi="宋体" w:eastAsia="宋体" w:cs="宋体"/>
                <w:color w:val="auto"/>
                <w:sz w:val="22"/>
                <w:szCs w:val="22"/>
                <w:highlight w:val="none"/>
              </w:rPr>
              <w:t>能提供针对本项目的整体服务方案的，得1分；如未能提供整体服务方案的，以下评分项均不得分。</w:t>
            </w:r>
          </w:p>
          <w:p w14:paraId="2752B182">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2.提供针对本项目的整体服务方案包含上述全部内容的，得1分；未包含其中任意一项不得分，且以下评分项均不得分。</w:t>
            </w:r>
          </w:p>
          <w:p w14:paraId="0A432F6F">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2.1配送方案详细可行，配送流程完善，项目服务过程中配有专人跟踪服务，售后服务方案可行性、针对性很强，完全满足或优于本项目采购人需求的，得</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rPr>
              <w:t xml:space="preserve">分； </w:t>
            </w:r>
          </w:p>
          <w:p w14:paraId="69D6B5C7">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2.2配送方案较为详细可行，配送流程较完善，项目服务过程中配有专人跟踪服务，售后服务方案可行性、针对性强的，较为满足本项目采购人需求的，得</w:t>
            </w:r>
            <w:r>
              <w:rPr>
                <w:rFonts w:hint="eastAsia" w:ascii="宋体" w:hAnsi="宋体" w:cs="宋体"/>
                <w:color w:val="auto"/>
                <w:sz w:val="22"/>
                <w:szCs w:val="22"/>
                <w:highlight w:val="none"/>
                <w:lang w:val="en-US" w:eastAsia="zh-CN"/>
              </w:rPr>
              <w:t>1.5</w:t>
            </w:r>
            <w:r>
              <w:rPr>
                <w:rFonts w:hint="eastAsia" w:ascii="宋体" w:hAnsi="宋体" w:eastAsia="宋体" w:cs="宋体"/>
                <w:color w:val="auto"/>
                <w:sz w:val="22"/>
                <w:szCs w:val="22"/>
                <w:highlight w:val="none"/>
              </w:rPr>
              <w:t xml:space="preserve">分； </w:t>
            </w:r>
          </w:p>
          <w:p w14:paraId="593ED662">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2.3配送方案一般详细可行，配送流程一般完善，项目服务过程中配有专人跟踪服务，售后服务方案可行性、针对性一般，基本满足本项目采购人需求的，得</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 xml:space="preserve">分； </w:t>
            </w:r>
          </w:p>
          <w:p w14:paraId="37AE528F">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2.4配送方案不够详细可行，配送流程不够完善，项目服务过程中配有专人跟踪服务，售后服务方案内容简单、可行性针对性差，不完全满足本项目采购人需求的，得</w:t>
            </w:r>
            <w:r>
              <w:rPr>
                <w:rFonts w:hint="eastAsia" w:ascii="宋体" w:hAnsi="宋体" w:eastAsia="宋体" w:cs="宋体"/>
                <w:color w:val="auto"/>
                <w:sz w:val="22"/>
                <w:szCs w:val="22"/>
                <w:highlight w:val="none"/>
                <w:lang w:val="en-US" w:eastAsia="zh-CN"/>
              </w:rPr>
              <w:t>0.5</w:t>
            </w:r>
            <w:r>
              <w:rPr>
                <w:rFonts w:hint="eastAsia" w:ascii="宋体" w:hAnsi="宋体" w:eastAsia="宋体" w:cs="宋体"/>
                <w:color w:val="auto"/>
                <w:sz w:val="22"/>
                <w:szCs w:val="22"/>
                <w:highlight w:val="none"/>
              </w:rPr>
              <w:t xml:space="preserve">分； </w:t>
            </w:r>
          </w:p>
          <w:p w14:paraId="06EA049B">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2.5未提供或其他情况，得0分。</w:t>
            </w:r>
          </w:p>
        </w:tc>
      </w:tr>
      <w:tr w14:paraId="63070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14D9032">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4</w:t>
            </w:r>
          </w:p>
        </w:tc>
        <w:tc>
          <w:tcPr>
            <w:tcW w:w="1127" w:type="dxa"/>
            <w:tcBorders>
              <w:top w:val="single" w:color="auto" w:sz="4" w:space="0"/>
              <w:left w:val="single" w:color="auto" w:sz="4" w:space="0"/>
              <w:bottom w:val="single" w:color="auto" w:sz="4" w:space="0"/>
              <w:right w:val="single" w:color="auto" w:sz="4" w:space="0"/>
            </w:tcBorders>
            <w:vAlign w:val="center"/>
          </w:tcPr>
          <w:p w14:paraId="06C85192">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应急预案及保障措施</w:t>
            </w:r>
          </w:p>
        </w:tc>
        <w:tc>
          <w:tcPr>
            <w:tcW w:w="826" w:type="dxa"/>
            <w:tcBorders>
              <w:top w:val="single" w:color="auto" w:sz="4" w:space="0"/>
              <w:left w:val="single" w:color="auto" w:sz="4" w:space="0"/>
              <w:bottom w:val="single" w:color="auto" w:sz="4" w:space="0"/>
              <w:right w:val="single" w:color="auto" w:sz="4" w:space="0"/>
            </w:tcBorders>
            <w:vAlign w:val="center"/>
          </w:tcPr>
          <w:p w14:paraId="2B61D477">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4</w:t>
            </w:r>
            <w:r>
              <w:rPr>
                <w:rFonts w:hint="eastAsia" w:ascii="宋体" w:hAnsi="宋体" w:eastAsia="宋体" w:cs="宋体"/>
                <w:color w:val="auto"/>
                <w:sz w:val="22"/>
                <w:szCs w:val="22"/>
                <w:highlight w:val="none"/>
                <w:lang w:val="en-US" w:eastAsia="zh-CN"/>
              </w:rPr>
              <w:t>分</w:t>
            </w:r>
          </w:p>
        </w:tc>
        <w:tc>
          <w:tcPr>
            <w:tcW w:w="5879" w:type="dxa"/>
            <w:tcBorders>
              <w:top w:val="single" w:color="auto" w:sz="4" w:space="0"/>
              <w:left w:val="single" w:color="auto" w:sz="4" w:space="0"/>
              <w:bottom w:val="single" w:color="auto" w:sz="4" w:space="0"/>
              <w:right w:val="single" w:color="auto" w:sz="4" w:space="0"/>
            </w:tcBorders>
            <w:vAlign w:val="top"/>
          </w:tcPr>
          <w:p w14:paraId="00BFFFAF">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根据投标人针对本项目的突发事件应急方案（内容包括不限于①出具</w:t>
            </w:r>
            <w:r>
              <w:rPr>
                <w:rFonts w:hint="eastAsia" w:ascii="宋体" w:hAnsi="宋体" w:eastAsia="宋体" w:cs="宋体"/>
                <w:color w:val="auto"/>
                <w:sz w:val="22"/>
                <w:szCs w:val="22"/>
                <w:highlight w:val="none"/>
                <w:lang w:val="en-US" w:eastAsia="zh-CN"/>
              </w:rPr>
              <w:t>具</w:t>
            </w:r>
            <w:r>
              <w:rPr>
                <w:rFonts w:hint="eastAsia" w:ascii="宋体" w:hAnsi="宋体" w:eastAsia="宋体" w:cs="宋体"/>
                <w:color w:val="auto"/>
                <w:sz w:val="22"/>
                <w:szCs w:val="22"/>
                <w:highlight w:val="none"/>
              </w:rPr>
              <w:t xml:space="preserve">体解决方案②相应响应时间承诺等）进行评审： </w:t>
            </w:r>
          </w:p>
          <w:p w14:paraId="6BB04F7F">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1.能提供针对突发事件应急情况解决方案的，得1分；如未能提供突发事件应急方案的，以下评分项均不得分。 </w:t>
            </w:r>
          </w:p>
          <w:p w14:paraId="062E1256">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2.提供突发事件应急情况解决方案包含上述全部内容的，得1分；未包含其中任意一项不得分，且以下评分项均不得分。</w:t>
            </w:r>
          </w:p>
          <w:p w14:paraId="75AEBD10">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2.1承诺采购人需应急配送时，在1小时（含）内将货物送达采购人配送地点并提供切实可行的方案的，得</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rPr>
              <w:t xml:space="preserve">分； </w:t>
            </w:r>
          </w:p>
          <w:p w14:paraId="549D801E">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2.2承诺采购人需应急配送时，在1小时（含）内将货物送达采购人配送地点但未提供切实可行的方案的或在1小时（不含）-2.5小时（含）内将货物送达采购人配送地点并提供切实可行的的方案的，得</w:t>
            </w:r>
            <w:r>
              <w:rPr>
                <w:rFonts w:hint="eastAsia" w:ascii="宋体" w:hAnsi="宋体" w:cs="宋体"/>
                <w:color w:val="auto"/>
                <w:sz w:val="22"/>
                <w:szCs w:val="22"/>
                <w:highlight w:val="none"/>
                <w:lang w:val="en-US" w:eastAsia="zh-CN"/>
              </w:rPr>
              <w:t>1.5</w:t>
            </w:r>
            <w:r>
              <w:rPr>
                <w:rFonts w:hint="eastAsia" w:ascii="宋体" w:hAnsi="宋体" w:eastAsia="宋体" w:cs="宋体"/>
                <w:color w:val="auto"/>
                <w:sz w:val="22"/>
                <w:szCs w:val="22"/>
                <w:highlight w:val="none"/>
              </w:rPr>
              <w:t xml:space="preserve">分； </w:t>
            </w:r>
          </w:p>
          <w:p w14:paraId="78F51E7D">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2.3承诺采购人需应急配送时，在1小时（不含）-2.5小时（含）内将货物送达采购人配送地点但未提供切实可行的的方案的或在2.5小时（不含）-4小时（含）内将货物送达采购人配送地点并提供切实可行的方案的，得</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 xml:space="preserve">分； </w:t>
            </w:r>
          </w:p>
          <w:p w14:paraId="6FEADA9E">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2.4承诺采购人需应急配送时，送达时间大于4小时，或未承诺应急供应送达时间及切实可行的方案的，得0分。</w:t>
            </w:r>
          </w:p>
        </w:tc>
      </w:tr>
      <w:tr w14:paraId="7ED36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0B713737">
            <w:pPr>
              <w:spacing w:line="360" w:lineRule="auto"/>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注：</w:t>
            </w:r>
          </w:p>
          <w:p w14:paraId="6882ABFE">
            <w:pPr>
              <w:spacing w:line="360" w:lineRule="auto"/>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（1）无特殊说明外，以上评审项，同一证明文件不重复计分。</w:t>
            </w:r>
          </w:p>
          <w:p w14:paraId="00D74840">
            <w:pPr>
              <w:spacing w:line="360" w:lineRule="auto"/>
              <w:rPr>
                <w:rFonts w:hint="eastAsia" w:ascii="宋体" w:hAnsi="宋体" w:eastAsia="宋体" w:cs="宋体"/>
                <w:color w:val="auto"/>
                <w:sz w:val="22"/>
                <w:szCs w:val="22"/>
                <w:highlight w:val="none"/>
              </w:rPr>
            </w:pPr>
            <w:r>
              <w:rPr>
                <w:rFonts w:hint="eastAsia" w:ascii="宋体" w:hAnsi="宋体" w:eastAsia="宋体" w:cs="宋体"/>
                <w:b/>
                <w:color w:val="auto"/>
                <w:sz w:val="22"/>
                <w:szCs w:val="22"/>
                <w:highlight w:val="none"/>
              </w:rPr>
              <w:t>（2）投标人根据以上评分要求提供的投标材料因模糊不清导致评标委员会无法清晰辨认进行评审的，视为无效材料。</w:t>
            </w:r>
          </w:p>
        </w:tc>
      </w:tr>
      <w:tr w14:paraId="582EE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3B641A11">
            <w:pPr>
              <w:pStyle w:val="47"/>
              <w:spacing w:line="360" w:lineRule="auto"/>
              <w:ind w:firstLine="0" w:firstLineChars="0"/>
              <w:jc w:val="center"/>
              <w:rPr>
                <w:rFonts w:hint="default"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none"/>
                <w:u w:val="none"/>
              </w:rPr>
              <w:t>价格评审（</w:t>
            </w:r>
            <w:r>
              <w:rPr>
                <w:rFonts w:hint="eastAsia" w:ascii="宋体" w:hAnsi="宋体" w:eastAsia="宋体" w:cs="宋体"/>
                <w:b/>
                <w:bCs/>
                <w:color w:val="auto"/>
                <w:sz w:val="22"/>
                <w:szCs w:val="22"/>
                <w:highlight w:val="none"/>
                <w:u w:val="none"/>
                <w:lang w:val="en-US" w:eastAsia="zh-CN"/>
              </w:rPr>
              <w:t>30</w:t>
            </w:r>
            <w:r>
              <w:rPr>
                <w:rFonts w:hint="eastAsia" w:ascii="宋体" w:hAnsi="宋体" w:eastAsia="宋体" w:cs="宋体"/>
                <w:b/>
                <w:bCs/>
                <w:color w:val="auto"/>
                <w:sz w:val="22"/>
                <w:szCs w:val="22"/>
                <w:highlight w:val="none"/>
                <w:u w:val="none"/>
              </w:rPr>
              <w:t>分）</w:t>
            </w:r>
          </w:p>
        </w:tc>
      </w:tr>
      <w:tr w14:paraId="32857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00CAB28">
            <w:pPr>
              <w:pStyle w:val="47"/>
              <w:spacing w:line="360" w:lineRule="auto"/>
              <w:ind w:firstLine="0" w:firstLineChars="0"/>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p>
        </w:tc>
        <w:tc>
          <w:tcPr>
            <w:tcW w:w="1127" w:type="dxa"/>
            <w:tcBorders>
              <w:top w:val="single" w:color="auto" w:sz="4" w:space="0"/>
              <w:left w:val="single" w:color="auto" w:sz="4" w:space="0"/>
              <w:bottom w:val="single" w:color="auto" w:sz="4" w:space="0"/>
              <w:right w:val="single" w:color="auto" w:sz="4" w:space="0"/>
            </w:tcBorders>
            <w:vAlign w:val="center"/>
          </w:tcPr>
          <w:p w14:paraId="28B5F41E">
            <w:pPr>
              <w:widowControl w:val="0"/>
              <w:adjustRightInd/>
              <w:snapToGrid/>
              <w:spacing w:line="360" w:lineRule="auto"/>
              <w:jc w:val="center"/>
              <w:rPr>
                <w:rFonts w:hint="default" w:ascii="宋体" w:hAnsi="宋体" w:eastAsia="宋体" w:cs="宋体"/>
                <w:color w:val="auto"/>
                <w:kern w:val="2"/>
                <w:sz w:val="22"/>
                <w:szCs w:val="22"/>
                <w:highlight w:val="none"/>
                <w:lang w:val="en-US" w:eastAsia="zh-CN"/>
              </w:rPr>
            </w:pPr>
            <w:r>
              <w:rPr>
                <w:rFonts w:hint="eastAsia" w:ascii="宋体" w:hAnsi="宋体" w:cs="宋体"/>
                <w:color w:val="auto"/>
                <w:kern w:val="2"/>
                <w:sz w:val="22"/>
                <w:szCs w:val="22"/>
                <w:highlight w:val="none"/>
                <w:lang w:val="en-US" w:eastAsia="zh-CN"/>
              </w:rPr>
              <w:t>价格评分</w:t>
            </w:r>
          </w:p>
        </w:tc>
        <w:tc>
          <w:tcPr>
            <w:tcW w:w="826" w:type="dxa"/>
            <w:tcBorders>
              <w:top w:val="single" w:color="auto" w:sz="4" w:space="0"/>
              <w:left w:val="single" w:color="auto" w:sz="4" w:space="0"/>
              <w:bottom w:val="single" w:color="auto" w:sz="4" w:space="0"/>
              <w:right w:val="single" w:color="auto" w:sz="4" w:space="0"/>
            </w:tcBorders>
            <w:vAlign w:val="center"/>
          </w:tcPr>
          <w:p w14:paraId="29685D09">
            <w:pPr>
              <w:widowControl w:val="0"/>
              <w:adjustRightInd/>
              <w:snapToGrid/>
              <w:spacing w:line="360" w:lineRule="auto"/>
              <w:jc w:val="center"/>
              <w:rPr>
                <w:rFonts w:hint="eastAsia" w:ascii="宋体" w:hAnsi="宋体" w:eastAsia="宋体" w:cs="宋体"/>
                <w:color w:val="auto"/>
                <w:kern w:val="2"/>
                <w:sz w:val="22"/>
                <w:szCs w:val="22"/>
                <w:highlight w:val="none"/>
                <w:lang w:val="en-US" w:eastAsia="zh-CN"/>
              </w:rPr>
            </w:pPr>
            <w:r>
              <w:rPr>
                <w:rFonts w:hint="eastAsia" w:ascii="宋体" w:hAnsi="宋体" w:eastAsia="宋体" w:cs="宋体"/>
                <w:color w:val="auto"/>
                <w:kern w:val="2"/>
                <w:sz w:val="22"/>
                <w:szCs w:val="22"/>
                <w:highlight w:val="none"/>
                <w:lang w:val="en-US" w:eastAsia="zh-CN"/>
              </w:rPr>
              <w:t>30分</w:t>
            </w:r>
          </w:p>
        </w:tc>
        <w:tc>
          <w:tcPr>
            <w:tcW w:w="5879" w:type="dxa"/>
            <w:tcBorders>
              <w:top w:val="single" w:color="auto" w:sz="4" w:space="0"/>
              <w:left w:val="single" w:color="auto" w:sz="4" w:space="0"/>
              <w:bottom w:val="single" w:color="auto" w:sz="4" w:space="0"/>
              <w:right w:val="single" w:color="auto" w:sz="4" w:space="0"/>
            </w:tcBorders>
            <w:vAlign w:val="center"/>
          </w:tcPr>
          <w:p w14:paraId="22DA84B6">
            <w:pPr>
              <w:spacing w:line="360" w:lineRule="auto"/>
              <w:ind w:firstLine="440" w:firstLineChars="200"/>
              <w:jc w:val="left"/>
              <w:rPr>
                <w:rFonts w:hint="eastAsia" w:ascii="宋体" w:hAnsi="宋体" w:eastAsia="宋体" w:cs="宋体"/>
                <w:color w:val="auto"/>
                <w:kern w:val="2"/>
                <w:sz w:val="22"/>
                <w:szCs w:val="22"/>
                <w:highlight w:val="none"/>
              </w:rPr>
            </w:pPr>
            <w:r>
              <w:rPr>
                <w:rFonts w:hint="eastAsia" w:ascii="宋体" w:hAnsi="宋体" w:eastAsia="宋体" w:cs="宋体"/>
                <w:color w:val="auto"/>
                <w:kern w:val="2"/>
                <w:sz w:val="22"/>
                <w:szCs w:val="22"/>
                <w:highlight w:val="none"/>
              </w:rPr>
              <w:t>价格分计算方法：</w:t>
            </w:r>
            <w:r>
              <w:rPr>
                <w:rFonts w:hint="eastAsia" w:ascii="宋体" w:hAnsi="宋体" w:cs="宋体"/>
                <w:color w:val="auto"/>
                <w:kern w:val="2"/>
                <w:sz w:val="22"/>
                <w:highlight w:val="none"/>
              </w:rPr>
              <w:t>以满足招标文件要求且不含税总价最低的投标报价为评标基准价，其价格分为满分。其他供应商的价格分统一按照下列公式计算：</w:t>
            </w:r>
            <w:r>
              <w:rPr>
                <w:rFonts w:hint="eastAsia" w:ascii="宋体" w:hAnsi="宋体" w:eastAsia="宋体" w:cs="宋体"/>
                <w:color w:val="auto"/>
                <w:kern w:val="2"/>
                <w:sz w:val="22"/>
                <w:szCs w:val="22"/>
                <w:highlight w:val="none"/>
              </w:rPr>
              <w:t>其他供应商的价格分统一按照下列公式计算：</w:t>
            </w:r>
          </w:p>
          <w:p w14:paraId="73D73331">
            <w:pPr>
              <w:spacing w:line="360" w:lineRule="auto"/>
              <w:ind w:firstLine="440" w:firstLineChars="200"/>
              <w:jc w:val="left"/>
              <w:rPr>
                <w:rFonts w:hint="eastAsia" w:ascii="宋体" w:hAnsi="宋体" w:eastAsia="宋体" w:cs="宋体"/>
                <w:color w:val="auto"/>
                <w:kern w:val="2"/>
                <w:sz w:val="22"/>
                <w:szCs w:val="22"/>
                <w:highlight w:val="none"/>
              </w:rPr>
            </w:pPr>
            <w:r>
              <w:rPr>
                <w:rFonts w:hint="eastAsia" w:ascii="宋体" w:hAnsi="宋体" w:cs="宋体"/>
                <w:color w:val="auto"/>
                <w:kern w:val="2"/>
                <w:sz w:val="22"/>
                <w:highlight w:val="none"/>
              </w:rPr>
              <w:t xml:space="preserve">投标报价得分 = (评标基准价 / 投标人的不含税总价) </w:t>
            </w:r>
            <w:r>
              <w:rPr>
                <w:rFonts w:hint="eastAsia" w:ascii="宋体" w:hAnsi="宋体" w:eastAsia="宋体" w:cs="宋体"/>
                <w:color w:val="auto"/>
                <w:kern w:val="2"/>
                <w:sz w:val="22"/>
                <w:szCs w:val="22"/>
                <w:highlight w:val="none"/>
              </w:rPr>
              <w:t xml:space="preserve"> ×价格权重</w:t>
            </w:r>
          </w:p>
          <w:p w14:paraId="18C52560">
            <w:pPr>
              <w:spacing w:line="360" w:lineRule="auto"/>
              <w:ind w:firstLine="0" w:firstLineChars="0"/>
              <w:jc w:val="left"/>
              <w:rPr>
                <w:rFonts w:hint="eastAsia" w:ascii="宋体" w:hAnsi="宋体" w:cs="宋体"/>
                <w:color w:val="auto"/>
                <w:kern w:val="2"/>
                <w:sz w:val="22"/>
                <w:highlight w:val="none"/>
              </w:rPr>
            </w:pPr>
            <w:r>
              <w:rPr>
                <w:rFonts w:hint="eastAsia" w:ascii="宋体" w:hAnsi="宋体" w:cs="宋体"/>
                <w:color w:val="auto"/>
                <w:kern w:val="2"/>
                <w:sz w:val="22"/>
                <w:szCs w:val="22"/>
                <w:highlight w:val="none"/>
                <w:lang w:val="en-US" w:eastAsia="zh-CN"/>
              </w:rPr>
              <w:t>注：</w:t>
            </w:r>
            <w:r>
              <w:rPr>
                <w:rFonts w:hint="eastAsia" w:ascii="宋体" w:hAnsi="宋体" w:cs="宋体"/>
                <w:color w:val="auto"/>
                <w:kern w:val="2"/>
                <w:sz w:val="22"/>
                <w:highlight w:val="none"/>
              </w:rPr>
              <w:t>不含税总价= 项目预算总价×(1-投标</w:t>
            </w:r>
            <w:r>
              <w:rPr>
                <w:rFonts w:hint="eastAsia" w:ascii="宋体" w:hAnsi="宋体" w:cs="宋体"/>
                <w:color w:val="auto"/>
                <w:kern w:val="2"/>
                <w:sz w:val="22"/>
                <w:highlight w:val="none"/>
                <w:lang w:val="en-US" w:eastAsia="zh-CN"/>
              </w:rPr>
              <w:t>不含税</w:t>
            </w:r>
            <w:r>
              <w:rPr>
                <w:rFonts w:hint="eastAsia" w:ascii="宋体" w:hAnsi="宋体" w:cs="宋体"/>
                <w:color w:val="auto"/>
                <w:kern w:val="2"/>
                <w:sz w:val="22"/>
                <w:highlight w:val="none"/>
              </w:rPr>
              <w:t>下浮率)÷(1+投标人适用增值税税率)。投标人适用增值税税率由投标人在《开标一览表》中明确填报，并承诺中标后能开具相应税率的合法增值税专用发票。</w:t>
            </w:r>
          </w:p>
          <w:p w14:paraId="75DDE253">
            <w:pPr>
              <w:spacing w:line="360" w:lineRule="auto"/>
              <w:ind w:firstLine="0" w:firstLineChars="0"/>
              <w:jc w:val="left"/>
              <w:rPr>
                <w:rFonts w:hint="eastAsia" w:ascii="宋体" w:hAnsi="宋体" w:eastAsia="宋体" w:cs="宋体"/>
                <w:color w:val="auto"/>
                <w:kern w:val="2"/>
                <w:sz w:val="22"/>
                <w:szCs w:val="22"/>
                <w:highlight w:val="none"/>
                <w:lang w:val="en-US" w:eastAsia="zh-CN"/>
              </w:rPr>
            </w:pPr>
            <w:r>
              <w:rPr>
                <w:rFonts w:hint="eastAsia" w:ascii="宋体" w:hAnsi="宋体" w:cs="宋体"/>
                <w:color w:val="auto"/>
                <w:kern w:val="2"/>
                <w:sz w:val="22"/>
                <w:highlight w:val="none"/>
              </w:rPr>
              <w:t>项目预算总价（含税）为：¥14,190,000.00元。</w:t>
            </w:r>
          </w:p>
        </w:tc>
      </w:tr>
    </w:tbl>
    <w:p w14:paraId="51C79883">
      <w:pPr>
        <w:rPr>
          <w:rFonts w:hint="eastAsia" w:ascii="宋体" w:hAnsi="宋体" w:eastAsia="宋体" w:cs="宋体"/>
          <w:color w:val="auto"/>
          <w:sz w:val="28"/>
          <w:szCs w:val="28"/>
          <w:highlight w:val="none"/>
        </w:rPr>
      </w:pPr>
    </w:p>
    <w:p w14:paraId="4C24409B">
      <w:pPr>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以下内容适用包B</w:t>
      </w:r>
    </w:p>
    <w:tbl>
      <w:tblPr>
        <w:tblStyle w:val="3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127"/>
        <w:gridCol w:w="826"/>
        <w:gridCol w:w="5879"/>
      </w:tblGrid>
      <w:tr w14:paraId="748D1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1A0D6A1">
            <w:pPr>
              <w:pStyle w:val="47"/>
              <w:spacing w:line="360" w:lineRule="auto"/>
              <w:ind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序号</w:t>
            </w:r>
          </w:p>
        </w:tc>
        <w:tc>
          <w:tcPr>
            <w:tcW w:w="1127" w:type="dxa"/>
            <w:tcBorders>
              <w:top w:val="single" w:color="auto" w:sz="4" w:space="0"/>
              <w:left w:val="single" w:color="auto" w:sz="4" w:space="0"/>
              <w:bottom w:val="single" w:color="auto" w:sz="4" w:space="0"/>
              <w:right w:val="single" w:color="auto" w:sz="4" w:space="0"/>
            </w:tcBorders>
            <w:vAlign w:val="center"/>
          </w:tcPr>
          <w:p w14:paraId="7DC4C364">
            <w:pPr>
              <w:pStyle w:val="47"/>
              <w:spacing w:line="360" w:lineRule="auto"/>
              <w:ind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评审项目</w:t>
            </w:r>
          </w:p>
        </w:tc>
        <w:tc>
          <w:tcPr>
            <w:tcW w:w="826" w:type="dxa"/>
            <w:tcBorders>
              <w:top w:val="single" w:color="auto" w:sz="4" w:space="0"/>
              <w:left w:val="single" w:color="auto" w:sz="4" w:space="0"/>
              <w:bottom w:val="single" w:color="auto" w:sz="4" w:space="0"/>
              <w:right w:val="single" w:color="auto" w:sz="4" w:space="0"/>
            </w:tcBorders>
            <w:vAlign w:val="center"/>
          </w:tcPr>
          <w:p w14:paraId="1E6FAB7B">
            <w:pPr>
              <w:pStyle w:val="47"/>
              <w:spacing w:line="360" w:lineRule="auto"/>
              <w:ind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分值</w:t>
            </w:r>
          </w:p>
        </w:tc>
        <w:tc>
          <w:tcPr>
            <w:tcW w:w="5879" w:type="dxa"/>
            <w:tcBorders>
              <w:top w:val="single" w:color="auto" w:sz="4" w:space="0"/>
              <w:left w:val="single" w:color="auto" w:sz="4" w:space="0"/>
              <w:bottom w:val="single" w:color="auto" w:sz="4" w:space="0"/>
              <w:right w:val="single" w:color="auto" w:sz="4" w:space="0"/>
            </w:tcBorders>
            <w:vAlign w:val="center"/>
          </w:tcPr>
          <w:p w14:paraId="424BCA14">
            <w:pPr>
              <w:pStyle w:val="47"/>
              <w:spacing w:line="360" w:lineRule="auto"/>
              <w:ind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评审细则</w:t>
            </w:r>
          </w:p>
        </w:tc>
      </w:tr>
      <w:tr w14:paraId="44D2D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4174A330">
            <w:pPr>
              <w:pStyle w:val="47"/>
              <w:spacing w:line="360" w:lineRule="auto"/>
              <w:ind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商务评审（</w:t>
            </w:r>
            <w:r>
              <w:rPr>
                <w:rFonts w:hint="eastAsia" w:ascii="宋体" w:eastAsia="宋体" w:cs="宋体"/>
                <w:b/>
                <w:bCs/>
                <w:color w:val="auto"/>
                <w:sz w:val="22"/>
                <w:szCs w:val="22"/>
                <w:highlight w:val="none"/>
                <w:lang w:val="en-US" w:eastAsia="zh-CN"/>
              </w:rPr>
              <w:t>2</w:t>
            </w:r>
            <w:r>
              <w:rPr>
                <w:rFonts w:hint="eastAsia" w:ascii="宋体" w:hAnsi="宋体" w:eastAsia="宋体" w:cs="宋体"/>
                <w:b/>
                <w:bCs/>
                <w:color w:val="auto"/>
                <w:sz w:val="22"/>
                <w:szCs w:val="22"/>
                <w:highlight w:val="none"/>
                <w:lang w:val="en-US" w:eastAsia="zh-CN"/>
              </w:rPr>
              <w:t>0</w:t>
            </w:r>
            <w:r>
              <w:rPr>
                <w:rFonts w:hint="eastAsia" w:ascii="宋体" w:hAnsi="宋体" w:eastAsia="宋体" w:cs="宋体"/>
                <w:b/>
                <w:bCs/>
                <w:color w:val="auto"/>
                <w:sz w:val="22"/>
                <w:szCs w:val="22"/>
                <w:highlight w:val="none"/>
              </w:rPr>
              <w:t>分）</w:t>
            </w:r>
          </w:p>
        </w:tc>
      </w:tr>
      <w:tr w14:paraId="4E358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690" w:type="dxa"/>
            <w:vMerge w:val="restart"/>
            <w:tcBorders>
              <w:top w:val="single" w:color="auto" w:sz="4" w:space="0"/>
              <w:left w:val="single" w:color="auto" w:sz="4" w:space="0"/>
              <w:right w:val="single" w:color="auto" w:sz="4" w:space="0"/>
            </w:tcBorders>
            <w:vAlign w:val="center"/>
          </w:tcPr>
          <w:p w14:paraId="2D43F9FE">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p>
        </w:tc>
        <w:tc>
          <w:tcPr>
            <w:tcW w:w="1127" w:type="dxa"/>
            <w:vMerge w:val="restart"/>
            <w:tcBorders>
              <w:top w:val="single" w:color="auto" w:sz="4" w:space="0"/>
              <w:left w:val="single" w:color="auto" w:sz="4" w:space="0"/>
              <w:right w:val="single" w:color="auto" w:sz="4" w:space="0"/>
            </w:tcBorders>
            <w:vAlign w:val="center"/>
          </w:tcPr>
          <w:p w14:paraId="45840978">
            <w:pPr>
              <w:pStyle w:val="90"/>
              <w:keepNext w:val="0"/>
              <w:keepLines w:val="0"/>
              <w:pageBreakBefore w:val="0"/>
              <w:widowControl/>
              <w:kinsoku/>
              <w:wordWrap/>
              <w:overflowPunct/>
              <w:topLinePunct w:val="0"/>
              <w:autoSpaceDE/>
              <w:autoSpaceDN/>
              <w:bidi w:val="0"/>
              <w:spacing w:after="0" w:afterLines="0" w:line="440" w:lineRule="exact"/>
              <w:ind w:firstLine="0" w:firstLineChars="0"/>
              <w:jc w:val="center"/>
              <w:textAlignment w:val="auto"/>
              <w:rPr>
                <w:rFonts w:hint="eastAsia" w:ascii="宋体" w:hAnsi="宋体" w:eastAsia="宋体" w:cs="宋体"/>
                <w:color w:val="auto"/>
                <w:sz w:val="22"/>
                <w:szCs w:val="22"/>
                <w:highlight w:val="none"/>
                <w:u w:val="single"/>
                <w:lang w:eastAsia="zh-CN"/>
              </w:rPr>
            </w:pPr>
            <w:r>
              <w:rPr>
                <w:rFonts w:hint="eastAsia" w:ascii="宋体" w:hAnsi="宋体" w:eastAsia="宋体" w:cs="宋体"/>
                <w:color w:val="auto"/>
                <w:sz w:val="22"/>
                <w:szCs w:val="22"/>
                <w:highlight w:val="none"/>
                <w:lang w:eastAsia="zh-CN"/>
              </w:rPr>
              <w:t>公司实力</w:t>
            </w:r>
          </w:p>
        </w:tc>
        <w:tc>
          <w:tcPr>
            <w:tcW w:w="826" w:type="dxa"/>
            <w:vMerge w:val="restart"/>
            <w:tcBorders>
              <w:top w:val="single" w:color="auto" w:sz="4" w:space="0"/>
              <w:left w:val="single" w:color="auto" w:sz="4" w:space="0"/>
              <w:right w:val="single" w:color="auto" w:sz="4" w:space="0"/>
            </w:tcBorders>
            <w:vAlign w:val="center"/>
          </w:tcPr>
          <w:p w14:paraId="4FF1CB60">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eastAsia="宋体" w:cs="宋体"/>
                <w:color w:val="auto"/>
                <w:sz w:val="22"/>
                <w:szCs w:val="22"/>
                <w:highlight w:val="none"/>
                <w:u w:val="single"/>
                <w:lang w:val="en-US" w:eastAsia="zh-CN"/>
              </w:rPr>
            </w:pPr>
            <w:r>
              <w:rPr>
                <w:rFonts w:hint="eastAsia" w:ascii="宋体" w:hAnsi="宋体" w:cs="宋体"/>
                <w:color w:val="auto"/>
                <w:sz w:val="22"/>
                <w:szCs w:val="22"/>
                <w:highlight w:val="none"/>
                <w:u w:val="none"/>
                <w:lang w:val="en-US" w:eastAsia="zh-CN"/>
              </w:rPr>
              <w:t>4</w:t>
            </w:r>
            <w:r>
              <w:rPr>
                <w:rFonts w:hint="eastAsia" w:ascii="宋体" w:hAnsi="宋体" w:eastAsia="宋体" w:cs="宋体"/>
                <w:color w:val="auto"/>
                <w:sz w:val="22"/>
                <w:szCs w:val="22"/>
                <w:highlight w:val="none"/>
                <w:u w:val="none"/>
                <w:lang w:val="en-US" w:eastAsia="zh-CN"/>
              </w:rPr>
              <w:t>分</w:t>
            </w:r>
          </w:p>
        </w:tc>
        <w:tc>
          <w:tcPr>
            <w:tcW w:w="5879" w:type="dxa"/>
            <w:tcBorders>
              <w:top w:val="single" w:color="auto" w:sz="4" w:space="0"/>
              <w:left w:val="single" w:color="auto" w:sz="4" w:space="0"/>
              <w:bottom w:val="single" w:color="auto" w:sz="4" w:space="0"/>
              <w:right w:val="single" w:color="auto" w:sz="4" w:space="0"/>
            </w:tcBorders>
            <w:vAlign w:val="center"/>
          </w:tcPr>
          <w:p w14:paraId="49EE0B22">
            <w:pPr>
              <w:keepNext w:val="0"/>
              <w:keepLines w:val="0"/>
              <w:pageBreakBefore w:val="0"/>
              <w:widowControl/>
              <w:numPr>
                <w:ilvl w:val="0"/>
                <w:numId w:val="0"/>
              </w:numPr>
              <w:kinsoku/>
              <w:wordWrap/>
              <w:overflowPunct/>
              <w:topLinePunct w:val="0"/>
              <w:autoSpaceDE/>
              <w:autoSpaceDN/>
              <w:bidi w:val="0"/>
              <w:spacing w:line="440" w:lineRule="exact"/>
              <w:textAlignment w:val="auto"/>
              <w:rPr>
                <w:rFonts w:hint="eastAsia" w:ascii="宋体" w:hAnsi="宋体" w:eastAsia="宋体" w:cs="宋体"/>
                <w:bCs/>
                <w:color w:val="auto"/>
                <w:sz w:val="22"/>
                <w:szCs w:val="22"/>
                <w:highlight w:val="none"/>
                <w:u w:val="single"/>
                <w:lang w:val="zh-CN"/>
              </w:rPr>
            </w:pPr>
            <w:r>
              <w:rPr>
                <w:rFonts w:hint="eastAsia" w:ascii="宋体" w:hAnsi="宋体" w:eastAsia="宋体" w:cs="宋体"/>
                <w:color w:val="auto"/>
                <w:sz w:val="22"/>
                <w:szCs w:val="22"/>
                <w:highlight w:val="none"/>
                <w:lang w:val="en-US" w:eastAsia="zh-CN"/>
              </w:rPr>
              <w:t>1、纳税信用状况:投标人提供2022年、2023年、2024年的纳税信用等级，纳税信用等级连续三年为</w:t>
            </w:r>
            <w:r>
              <w:rPr>
                <w:rFonts w:hint="eastAsia" w:ascii="宋体" w:hAnsi="宋体" w:cs="宋体"/>
                <w:color w:val="auto"/>
                <w:sz w:val="22"/>
                <w:szCs w:val="22"/>
                <w:highlight w:val="none"/>
                <w:lang w:val="en-US" w:eastAsia="zh-CN"/>
              </w:rPr>
              <w:t>A</w:t>
            </w:r>
            <w:r>
              <w:rPr>
                <w:rFonts w:hint="eastAsia" w:ascii="宋体" w:hAnsi="宋体" w:eastAsia="宋体" w:cs="宋体"/>
                <w:color w:val="auto"/>
                <w:sz w:val="22"/>
                <w:szCs w:val="22"/>
                <w:highlight w:val="none"/>
                <w:lang w:val="en-US" w:eastAsia="zh-CN"/>
              </w:rPr>
              <w:t>级(含)以上的得</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lang w:val="en-US" w:eastAsia="zh-CN"/>
              </w:rPr>
              <w:t>分，有两年为</w:t>
            </w:r>
            <w:r>
              <w:rPr>
                <w:rFonts w:hint="eastAsia" w:ascii="宋体" w:hAnsi="宋体" w:cs="宋体"/>
                <w:color w:val="auto"/>
                <w:sz w:val="22"/>
                <w:szCs w:val="22"/>
                <w:highlight w:val="none"/>
                <w:lang w:val="en-US" w:eastAsia="zh-CN"/>
              </w:rPr>
              <w:t>A</w:t>
            </w:r>
            <w:r>
              <w:rPr>
                <w:rFonts w:hint="eastAsia" w:ascii="宋体" w:hAnsi="宋体" w:eastAsia="宋体" w:cs="宋体"/>
                <w:color w:val="auto"/>
                <w:sz w:val="22"/>
                <w:szCs w:val="22"/>
                <w:highlight w:val="none"/>
                <w:lang w:val="en-US" w:eastAsia="zh-CN"/>
              </w:rPr>
              <w:t>级(含)以上的得</w:t>
            </w:r>
            <w:r>
              <w:rPr>
                <w:rFonts w:hint="eastAsia" w:ascii="宋体" w:hAnsi="宋体" w:cs="宋体"/>
                <w:color w:val="auto"/>
                <w:sz w:val="22"/>
                <w:szCs w:val="22"/>
                <w:highlight w:val="none"/>
                <w:lang w:val="en-US" w:eastAsia="zh-CN"/>
              </w:rPr>
              <w:t>1</w:t>
            </w:r>
            <w:r>
              <w:rPr>
                <w:rFonts w:hint="eastAsia" w:ascii="宋体" w:hAnsi="宋体" w:eastAsia="宋体" w:cs="宋体"/>
                <w:color w:val="auto"/>
                <w:sz w:val="22"/>
                <w:szCs w:val="22"/>
                <w:highlight w:val="none"/>
                <w:lang w:val="en-US" w:eastAsia="zh-CN"/>
              </w:rPr>
              <w:t>分，其它情况不得分。</w:t>
            </w:r>
          </w:p>
        </w:tc>
      </w:tr>
      <w:tr w14:paraId="1FCB2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690" w:type="dxa"/>
            <w:vMerge w:val="continue"/>
            <w:tcBorders>
              <w:left w:val="single" w:color="auto" w:sz="4" w:space="0"/>
              <w:right w:val="single" w:color="auto" w:sz="4" w:space="0"/>
            </w:tcBorders>
            <w:vAlign w:val="center"/>
          </w:tcPr>
          <w:p w14:paraId="0A9FFCA9">
            <w:pPr>
              <w:keepNext w:val="0"/>
              <w:keepLines w:val="0"/>
              <w:pageBreakBefore w:val="0"/>
              <w:widowControl/>
              <w:kinsoku/>
              <w:wordWrap/>
              <w:overflowPunct/>
              <w:topLinePunct w:val="0"/>
              <w:autoSpaceDE/>
              <w:autoSpaceDN/>
              <w:bidi w:val="0"/>
              <w:spacing w:line="440" w:lineRule="exact"/>
              <w:textAlignment w:val="auto"/>
              <w:rPr>
                <w:color w:val="auto"/>
                <w:highlight w:val="none"/>
              </w:rPr>
            </w:pPr>
          </w:p>
        </w:tc>
        <w:tc>
          <w:tcPr>
            <w:tcW w:w="1127" w:type="dxa"/>
            <w:vMerge w:val="continue"/>
            <w:tcBorders>
              <w:left w:val="single" w:color="auto" w:sz="4" w:space="0"/>
              <w:right w:val="single" w:color="auto" w:sz="4" w:space="0"/>
            </w:tcBorders>
            <w:vAlign w:val="center"/>
          </w:tcPr>
          <w:p w14:paraId="0FD0DAA1">
            <w:pPr>
              <w:keepNext w:val="0"/>
              <w:keepLines w:val="0"/>
              <w:pageBreakBefore w:val="0"/>
              <w:widowControl/>
              <w:kinsoku/>
              <w:wordWrap/>
              <w:overflowPunct/>
              <w:topLinePunct w:val="0"/>
              <w:autoSpaceDE/>
              <w:autoSpaceDN/>
              <w:bidi w:val="0"/>
              <w:spacing w:line="440" w:lineRule="exact"/>
              <w:textAlignment w:val="auto"/>
              <w:rPr>
                <w:color w:val="auto"/>
                <w:highlight w:val="none"/>
              </w:rPr>
            </w:pPr>
          </w:p>
        </w:tc>
        <w:tc>
          <w:tcPr>
            <w:tcW w:w="826" w:type="dxa"/>
            <w:vMerge w:val="continue"/>
            <w:tcBorders>
              <w:left w:val="single" w:color="auto" w:sz="4" w:space="0"/>
              <w:bottom w:val="single" w:color="auto" w:sz="4" w:space="0"/>
              <w:right w:val="single" w:color="auto" w:sz="4" w:space="0"/>
            </w:tcBorders>
            <w:vAlign w:val="center"/>
          </w:tcPr>
          <w:p w14:paraId="3E527C7B">
            <w:pPr>
              <w:keepNext w:val="0"/>
              <w:keepLines w:val="0"/>
              <w:pageBreakBefore w:val="0"/>
              <w:widowControl/>
              <w:kinsoku/>
              <w:wordWrap/>
              <w:overflowPunct/>
              <w:topLinePunct w:val="0"/>
              <w:autoSpaceDE/>
              <w:autoSpaceDN/>
              <w:bidi w:val="0"/>
              <w:spacing w:line="440" w:lineRule="exact"/>
              <w:textAlignment w:val="auto"/>
              <w:rPr>
                <w:color w:val="auto"/>
                <w:highlight w:val="none"/>
              </w:rPr>
            </w:pPr>
          </w:p>
        </w:tc>
        <w:tc>
          <w:tcPr>
            <w:tcW w:w="5879" w:type="dxa"/>
            <w:tcBorders>
              <w:top w:val="single" w:color="auto" w:sz="4" w:space="0"/>
              <w:left w:val="single" w:color="auto" w:sz="4" w:space="0"/>
              <w:bottom w:val="single" w:color="auto" w:sz="4" w:space="0"/>
              <w:right w:val="single" w:color="auto" w:sz="4" w:space="0"/>
            </w:tcBorders>
            <w:vAlign w:val="center"/>
          </w:tcPr>
          <w:p w14:paraId="08263354">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投标人具有由国家认证认可监督管理部门批准设立的认证机构颁发并有效的认证证书，每提供一个证书得</w:t>
            </w:r>
            <w:r>
              <w:rPr>
                <w:rFonts w:hint="eastAsia" w:ascii="宋体" w:hAnsi="宋体" w:cs="宋体"/>
                <w:color w:val="auto"/>
                <w:sz w:val="22"/>
                <w:szCs w:val="22"/>
                <w:highlight w:val="none"/>
                <w:lang w:val="en-US" w:eastAsia="zh-CN"/>
              </w:rPr>
              <w:t>0.5</w:t>
            </w:r>
            <w:r>
              <w:rPr>
                <w:rFonts w:hint="eastAsia" w:ascii="宋体" w:hAnsi="宋体" w:eastAsia="宋体" w:cs="宋体"/>
                <w:color w:val="auto"/>
                <w:sz w:val="22"/>
                <w:szCs w:val="22"/>
                <w:highlight w:val="none"/>
              </w:rPr>
              <w:t>分，最高得</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rPr>
              <w:t>分：</w:t>
            </w:r>
          </w:p>
          <w:p w14:paraId="0A5757F0">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（1）质量管理体系认证证书；</w:t>
            </w:r>
          </w:p>
          <w:p w14:paraId="523A8452">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（2）环境管理体系认证证书；</w:t>
            </w:r>
          </w:p>
          <w:p w14:paraId="48F1461F">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（3）职业健康安全管理体系认证证书；</w:t>
            </w:r>
          </w:p>
          <w:p w14:paraId="5D3AA183">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（4）食品安全管理体系认证证书；</w:t>
            </w:r>
          </w:p>
          <w:p w14:paraId="77988975">
            <w:pPr>
              <w:keepNext w:val="0"/>
              <w:keepLines w:val="0"/>
              <w:pageBreakBefore w:val="0"/>
              <w:widowControl/>
              <w:numPr>
                <w:ilvl w:val="0"/>
                <w:numId w:val="0"/>
              </w:numPr>
              <w:kinsoku/>
              <w:wordWrap/>
              <w:overflowPunct/>
              <w:topLinePunct w:val="0"/>
              <w:autoSpaceDE/>
              <w:autoSpaceDN/>
              <w:bidi w:val="0"/>
              <w:spacing w:line="44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b/>
                <w:color w:val="auto"/>
                <w:sz w:val="22"/>
                <w:szCs w:val="22"/>
                <w:highlight w:val="none"/>
              </w:rPr>
              <w:t>注：须提供在有效期内的证书及证书在全国认证认可信息公共服务平台（https://www.cnca.gov.cn/）有效信息</w:t>
            </w:r>
            <w:r>
              <w:rPr>
                <w:rFonts w:hint="eastAsia" w:ascii="宋体" w:hAnsi="宋体" w:eastAsia="宋体" w:cs="宋体"/>
                <w:b/>
                <w:color w:val="auto"/>
                <w:sz w:val="22"/>
                <w:szCs w:val="22"/>
                <w:highlight w:val="none"/>
                <w:lang w:val="en-US" w:eastAsia="zh-CN"/>
              </w:rPr>
              <w:t>的</w:t>
            </w:r>
            <w:r>
              <w:rPr>
                <w:rFonts w:hint="eastAsia" w:ascii="宋体" w:hAnsi="宋体" w:eastAsia="宋体" w:cs="宋体"/>
                <w:b/>
                <w:color w:val="auto"/>
                <w:sz w:val="22"/>
                <w:szCs w:val="22"/>
                <w:highlight w:val="none"/>
              </w:rPr>
              <w:t>查询截图，以上复印件加盖章投标人公章。</w:t>
            </w:r>
          </w:p>
        </w:tc>
      </w:tr>
      <w:tr w14:paraId="24CB4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1BE7BD6">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2</w:t>
            </w:r>
          </w:p>
        </w:tc>
        <w:tc>
          <w:tcPr>
            <w:tcW w:w="1127" w:type="dxa"/>
            <w:tcBorders>
              <w:top w:val="single" w:color="auto" w:sz="4" w:space="0"/>
              <w:left w:val="single" w:color="auto" w:sz="4" w:space="0"/>
              <w:bottom w:val="single" w:color="auto" w:sz="4" w:space="0"/>
              <w:right w:val="single" w:color="auto" w:sz="4" w:space="0"/>
            </w:tcBorders>
            <w:vAlign w:val="center"/>
          </w:tcPr>
          <w:p w14:paraId="572FACB5">
            <w:pPr>
              <w:pStyle w:val="90"/>
              <w:keepNext w:val="0"/>
              <w:keepLines w:val="0"/>
              <w:pageBreakBefore w:val="0"/>
              <w:widowControl/>
              <w:kinsoku/>
              <w:wordWrap/>
              <w:overflowPunct/>
              <w:topLinePunct w:val="0"/>
              <w:autoSpaceDE/>
              <w:autoSpaceDN/>
              <w:bidi w:val="0"/>
              <w:spacing w:after="0" w:afterLines="0" w:line="440" w:lineRule="exact"/>
              <w:ind w:firstLine="0" w:firstLineChars="0"/>
              <w:jc w:val="center"/>
              <w:textAlignment w:val="auto"/>
              <w:rPr>
                <w:rFonts w:hint="eastAsia" w:ascii="宋体" w:hAnsi="宋体" w:eastAsia="宋体" w:cs="宋体"/>
                <w:color w:val="auto"/>
                <w:sz w:val="22"/>
                <w:szCs w:val="22"/>
                <w:highlight w:val="none"/>
                <w:u w:val="single"/>
                <w:lang w:val="en-US" w:eastAsia="zh-CN"/>
              </w:rPr>
            </w:pPr>
            <w:r>
              <w:rPr>
                <w:rFonts w:hint="eastAsia" w:ascii="宋体" w:hAnsi="宋体" w:eastAsia="宋体" w:cs="宋体"/>
                <w:color w:val="auto"/>
                <w:sz w:val="22"/>
                <w:szCs w:val="22"/>
                <w:highlight w:val="none"/>
                <w:lang w:val="en-US" w:eastAsia="zh-CN"/>
              </w:rPr>
              <w:t>投标人业绩情况及履约评价</w:t>
            </w:r>
          </w:p>
        </w:tc>
        <w:tc>
          <w:tcPr>
            <w:tcW w:w="826" w:type="dxa"/>
            <w:tcBorders>
              <w:top w:val="single" w:color="auto" w:sz="4" w:space="0"/>
              <w:left w:val="single" w:color="auto" w:sz="4" w:space="0"/>
              <w:bottom w:val="single" w:color="auto" w:sz="4" w:space="0"/>
              <w:right w:val="single" w:color="auto" w:sz="4" w:space="0"/>
            </w:tcBorders>
            <w:vAlign w:val="center"/>
          </w:tcPr>
          <w:p w14:paraId="52A56DCC">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eastAsia="宋体" w:cs="宋体"/>
                <w:color w:val="auto"/>
                <w:sz w:val="22"/>
                <w:szCs w:val="22"/>
                <w:highlight w:val="none"/>
                <w:u w:val="single"/>
                <w:lang w:val="en-US" w:eastAsia="zh-CN"/>
              </w:rPr>
            </w:pPr>
            <w:r>
              <w:rPr>
                <w:rFonts w:hint="eastAsia" w:ascii="宋体" w:hAnsi="宋体" w:cs="宋体"/>
                <w:color w:val="auto"/>
                <w:sz w:val="22"/>
                <w:szCs w:val="22"/>
                <w:highlight w:val="none"/>
                <w:u w:val="none"/>
                <w:lang w:val="en-US" w:eastAsia="zh-CN"/>
              </w:rPr>
              <w:t>8</w:t>
            </w:r>
            <w:r>
              <w:rPr>
                <w:rFonts w:hint="eastAsia" w:ascii="宋体" w:hAnsi="宋体" w:eastAsia="宋体" w:cs="宋体"/>
                <w:color w:val="auto"/>
                <w:sz w:val="22"/>
                <w:szCs w:val="22"/>
                <w:highlight w:val="none"/>
                <w:u w:val="none"/>
                <w:lang w:val="en-US" w:eastAsia="zh-CN"/>
              </w:rPr>
              <w:t>分</w:t>
            </w:r>
          </w:p>
        </w:tc>
        <w:tc>
          <w:tcPr>
            <w:tcW w:w="5879" w:type="dxa"/>
            <w:tcBorders>
              <w:top w:val="single" w:color="auto" w:sz="4" w:space="0"/>
              <w:left w:val="single" w:color="auto" w:sz="4" w:space="0"/>
              <w:bottom w:val="single" w:color="auto" w:sz="4" w:space="0"/>
              <w:right w:val="single" w:color="auto" w:sz="4" w:space="0"/>
            </w:tcBorders>
            <w:vAlign w:val="center"/>
          </w:tcPr>
          <w:p w14:paraId="5DA274C9">
            <w:pPr>
              <w:pStyle w:val="15"/>
              <w:keepNext w:val="0"/>
              <w:keepLines w:val="0"/>
              <w:pageBreakBefore w:val="0"/>
              <w:widowControl/>
              <w:kinsoku/>
              <w:wordWrap/>
              <w:overflowPunct/>
              <w:topLinePunct w:val="0"/>
              <w:autoSpaceDE/>
              <w:autoSpaceDN/>
              <w:bidi w:val="0"/>
              <w:snapToGrid w:val="0"/>
              <w:spacing w:line="44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投标人自</w:t>
            </w:r>
            <w:r>
              <w:rPr>
                <w:rFonts w:hint="eastAsia" w:ascii="宋体" w:hAnsi="宋体" w:eastAsia="宋体" w:cs="宋体"/>
                <w:color w:val="auto"/>
                <w:sz w:val="22"/>
                <w:szCs w:val="22"/>
                <w:highlight w:val="none"/>
                <w:lang w:val="en-US" w:eastAsia="zh-CN"/>
              </w:rPr>
              <w:t>2022</w:t>
            </w:r>
            <w:r>
              <w:rPr>
                <w:rFonts w:hint="eastAsia" w:ascii="宋体" w:hAnsi="宋体" w:eastAsia="宋体" w:cs="宋体"/>
                <w:color w:val="auto"/>
                <w:sz w:val="22"/>
                <w:szCs w:val="22"/>
                <w:highlight w:val="none"/>
              </w:rPr>
              <w:t>年1月1日（以合同签订的时间为准）</w:t>
            </w:r>
            <w:r>
              <w:rPr>
                <w:rFonts w:hint="eastAsia" w:ascii="宋体" w:hAnsi="宋体" w:eastAsia="宋体" w:cs="宋体"/>
                <w:color w:val="auto"/>
                <w:sz w:val="22"/>
                <w:szCs w:val="22"/>
                <w:highlight w:val="none"/>
                <w:lang w:val="pt-BR"/>
              </w:rPr>
              <w:t>至今已完成或正在服务的</w:t>
            </w:r>
            <w:r>
              <w:rPr>
                <w:rFonts w:hint="eastAsia" w:ascii="宋体" w:hAnsi="宋体" w:eastAsia="宋体" w:cs="宋体"/>
                <w:strike w:val="0"/>
                <w:dstrike w:val="0"/>
                <w:color w:val="auto"/>
                <w:sz w:val="22"/>
                <w:szCs w:val="22"/>
                <w:highlight w:val="none"/>
                <w:lang w:val="en-US" w:eastAsia="zh-CN"/>
              </w:rPr>
              <w:t>配送合同内容含</w:t>
            </w:r>
            <w:r>
              <w:rPr>
                <w:rFonts w:hint="eastAsia" w:ascii="宋体" w:hAnsi="宋体" w:eastAsia="宋体" w:cs="宋体"/>
                <w:color w:val="auto"/>
                <w:sz w:val="22"/>
                <w:szCs w:val="22"/>
                <w:highlight w:val="none"/>
                <w:lang w:val="en-US" w:eastAsia="zh-CN"/>
              </w:rPr>
              <w:t>（调味品类、米面粮油类、啤酒饮料类）的供货</w:t>
            </w:r>
            <w:r>
              <w:rPr>
                <w:rFonts w:hint="eastAsia" w:ascii="宋体" w:hAnsi="宋体" w:eastAsia="宋体" w:cs="宋体"/>
                <w:color w:val="auto"/>
                <w:sz w:val="22"/>
                <w:szCs w:val="22"/>
                <w:highlight w:val="none"/>
                <w:lang w:val="pt-BR"/>
              </w:rPr>
              <w:t>业绩，按下列情况评分：</w:t>
            </w:r>
          </w:p>
          <w:p w14:paraId="35431A5F">
            <w:pPr>
              <w:pStyle w:val="91"/>
              <w:keepNext w:val="0"/>
              <w:keepLines w:val="0"/>
              <w:pageBreakBefore w:val="0"/>
              <w:widowControl/>
              <w:numPr>
                <w:ilvl w:val="0"/>
                <w:numId w:val="0"/>
              </w:numPr>
              <w:kinsoku/>
              <w:wordWrap/>
              <w:overflowPunct/>
              <w:topLinePunct w:val="0"/>
              <w:autoSpaceDE/>
              <w:autoSpaceDN/>
              <w:bidi w:val="0"/>
              <w:spacing w:line="440" w:lineRule="exact"/>
              <w:jc w:val="both"/>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kern w:val="2"/>
                <w:sz w:val="22"/>
                <w:szCs w:val="22"/>
                <w:highlight w:val="none"/>
                <w:lang w:val="en-US" w:eastAsia="zh-CN" w:bidi="ar-SA"/>
              </w:rPr>
              <w:t>单个</w:t>
            </w:r>
            <w:r>
              <w:rPr>
                <w:rFonts w:hint="eastAsia" w:ascii="宋体" w:hAnsi="宋体" w:eastAsia="宋体" w:cs="宋体"/>
                <w:color w:val="auto"/>
                <w:sz w:val="22"/>
                <w:szCs w:val="22"/>
                <w:highlight w:val="none"/>
                <w:lang w:val="en-US" w:eastAsia="zh-CN"/>
              </w:rPr>
              <w:t>年度合同</w:t>
            </w:r>
            <w:r>
              <w:rPr>
                <w:rFonts w:hint="eastAsia" w:ascii="宋体" w:hAnsi="宋体" w:eastAsia="宋体" w:cs="宋体"/>
                <w:color w:val="auto"/>
                <w:sz w:val="22"/>
                <w:szCs w:val="22"/>
                <w:highlight w:val="none"/>
                <w:lang w:val="pt-BR"/>
              </w:rPr>
              <w:t>配送服务项目</w:t>
            </w:r>
            <w:r>
              <w:rPr>
                <w:rFonts w:hint="eastAsia" w:ascii="宋体" w:hAnsi="宋体" w:eastAsia="宋体" w:cs="宋体"/>
                <w:color w:val="auto"/>
                <w:sz w:val="22"/>
                <w:szCs w:val="22"/>
                <w:highlight w:val="none"/>
                <w:lang w:val="en-US" w:eastAsia="zh-CN"/>
              </w:rPr>
              <w:t>中，调味品类、米面粮油类、啤酒饮料类配送</w:t>
            </w:r>
            <w:r>
              <w:rPr>
                <w:rFonts w:hint="eastAsia" w:ascii="宋体" w:hAnsi="宋体" w:eastAsia="宋体" w:cs="宋体"/>
                <w:color w:val="auto"/>
                <w:sz w:val="22"/>
                <w:szCs w:val="22"/>
                <w:highlight w:val="none"/>
                <w:lang w:val="pt-BR"/>
              </w:rPr>
              <w:t>总金额≥</w:t>
            </w:r>
            <w:r>
              <w:rPr>
                <w:rFonts w:hint="eastAsia" w:ascii="宋体" w:hAnsi="宋体" w:eastAsia="宋体" w:cs="宋体"/>
                <w:color w:val="auto"/>
                <w:sz w:val="22"/>
                <w:szCs w:val="22"/>
                <w:highlight w:val="none"/>
                <w:lang w:val="en-US" w:eastAsia="zh-CN"/>
              </w:rPr>
              <w:t>306</w:t>
            </w:r>
            <w:r>
              <w:rPr>
                <w:rFonts w:hint="eastAsia" w:ascii="宋体" w:hAnsi="宋体" w:eastAsia="宋体" w:cs="宋体"/>
                <w:color w:val="auto"/>
                <w:sz w:val="22"/>
                <w:szCs w:val="22"/>
                <w:highlight w:val="none"/>
                <w:lang w:val="pt-BR"/>
              </w:rPr>
              <w:t>万元的前述业绩的，每项得</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lang w:val="pt-BR"/>
              </w:rPr>
              <w:t>分</w:t>
            </w:r>
            <w:r>
              <w:rPr>
                <w:rFonts w:hint="eastAsia" w:ascii="宋体" w:hAnsi="宋体" w:eastAsia="宋体" w:cs="宋体"/>
                <w:color w:val="auto"/>
                <w:sz w:val="22"/>
                <w:szCs w:val="22"/>
                <w:highlight w:val="none"/>
                <w:lang w:val="pt-BR" w:eastAsia="zh-CN"/>
              </w:rPr>
              <w:t>，</w:t>
            </w:r>
            <w:r>
              <w:rPr>
                <w:rFonts w:hint="eastAsia" w:ascii="宋体" w:hAnsi="宋体" w:eastAsia="宋体" w:cs="宋体"/>
                <w:color w:val="auto"/>
                <w:sz w:val="22"/>
                <w:szCs w:val="22"/>
                <w:highlight w:val="none"/>
                <w:lang w:val="en-US" w:eastAsia="zh-CN"/>
              </w:rPr>
              <w:t>满分8分。</w:t>
            </w:r>
          </w:p>
          <w:p w14:paraId="4939E963">
            <w:pPr>
              <w:pStyle w:val="15"/>
              <w:snapToGrid w:val="0"/>
              <w:spacing w:line="440" w:lineRule="exact"/>
              <w:ind w:firstLine="442" w:firstLineChars="200"/>
              <w:rPr>
                <w:rFonts w:hint="eastAsia" w:ascii="宋体" w:eastAsia="宋体" w:cs="宋体"/>
                <w:b/>
                <w:bCs/>
                <w:color w:val="auto"/>
                <w:sz w:val="22"/>
                <w:highlight w:val="none"/>
              </w:rPr>
            </w:pPr>
            <w:r>
              <w:rPr>
                <w:rFonts w:hint="eastAsia" w:ascii="宋体" w:hAnsi="宋体" w:eastAsia="宋体" w:cs="宋体"/>
                <w:b/>
                <w:bCs/>
                <w:color w:val="auto"/>
                <w:sz w:val="22"/>
                <w:szCs w:val="22"/>
                <w:highlight w:val="none"/>
              </w:rPr>
              <w:t>注：</w:t>
            </w:r>
            <w:r>
              <w:rPr>
                <w:rFonts w:hint="eastAsia" w:ascii="宋体" w:eastAsia="宋体" w:cs="宋体"/>
                <w:b/>
                <w:bCs/>
                <w:color w:val="auto"/>
                <w:sz w:val="22"/>
                <w:highlight w:val="none"/>
              </w:rPr>
              <w:t>①业绩须附合同复印件加盖投标人公章；</w:t>
            </w:r>
          </w:p>
          <w:p w14:paraId="2C98DF10">
            <w:pPr>
              <w:pStyle w:val="47"/>
              <w:keepNext w:val="0"/>
              <w:keepLines w:val="0"/>
              <w:pageBreakBefore w:val="0"/>
              <w:widowControl/>
              <w:kinsoku/>
              <w:wordWrap/>
              <w:overflowPunct/>
              <w:topLinePunct w:val="0"/>
              <w:autoSpaceDE/>
              <w:autoSpaceDN/>
              <w:bidi w:val="0"/>
              <w:spacing w:line="440" w:lineRule="exact"/>
              <w:ind w:left="0" w:leftChars="0" w:firstLine="442" w:firstLineChars="200"/>
              <w:textAlignment w:val="auto"/>
              <w:rPr>
                <w:rFonts w:hint="eastAsia" w:ascii="宋体" w:eastAsia="宋体" w:cs="宋体"/>
                <w:b/>
                <w:bCs/>
                <w:color w:val="auto"/>
                <w:sz w:val="22"/>
                <w:highlight w:val="none"/>
              </w:rPr>
            </w:pPr>
            <w:r>
              <w:rPr>
                <w:rFonts w:hint="eastAsia" w:ascii="宋体" w:eastAsia="宋体" w:cs="宋体"/>
                <w:b/>
                <w:bCs/>
                <w:color w:val="auto"/>
                <w:sz w:val="22"/>
                <w:highlight w:val="none"/>
              </w:rPr>
              <w:t>②合同必须能反映评分条件（合同签订日期为2022年1月1日或以后，合同服务内容必须为配送合同内容（</w:t>
            </w:r>
            <w:bookmarkStart w:id="6" w:name="OLE_LINK2"/>
            <w:r>
              <w:rPr>
                <w:rFonts w:hint="eastAsia" w:ascii="宋体" w:eastAsia="宋体" w:cs="宋体"/>
                <w:b/>
                <w:bCs/>
                <w:color w:val="auto"/>
                <w:sz w:val="22"/>
                <w:highlight w:val="none"/>
              </w:rPr>
              <w:t>调味品类、米面粮油类、啤酒饮料类</w:t>
            </w:r>
            <w:bookmarkEnd w:id="6"/>
            <w:r>
              <w:rPr>
                <w:rFonts w:hint="eastAsia" w:ascii="宋体" w:eastAsia="宋体" w:cs="宋体"/>
                <w:b/>
                <w:bCs/>
                <w:color w:val="auto"/>
                <w:sz w:val="22"/>
                <w:highlight w:val="none"/>
              </w:rPr>
              <w:t>）。若合同中未明确年度金额则需同时提供合同年度金额的发票或服务购买方出具的书面补充说明文件（加盖服务购买方公章）等作为辅助证明；</w:t>
            </w:r>
          </w:p>
          <w:p w14:paraId="610B1149">
            <w:pPr>
              <w:pStyle w:val="47"/>
              <w:keepNext w:val="0"/>
              <w:keepLines w:val="0"/>
              <w:pageBreakBefore w:val="0"/>
              <w:widowControl/>
              <w:kinsoku/>
              <w:wordWrap/>
              <w:overflowPunct/>
              <w:topLinePunct w:val="0"/>
              <w:autoSpaceDE/>
              <w:autoSpaceDN/>
              <w:bidi w:val="0"/>
              <w:spacing w:line="440" w:lineRule="exact"/>
              <w:ind w:left="0" w:leftChars="0" w:firstLine="442" w:firstLineChars="200"/>
              <w:textAlignment w:val="auto"/>
              <w:rPr>
                <w:rFonts w:hint="eastAsia" w:ascii="宋体" w:eastAsia="宋体" w:cs="宋体"/>
                <w:b/>
                <w:bCs/>
                <w:color w:val="auto"/>
                <w:sz w:val="22"/>
                <w:highlight w:val="none"/>
              </w:rPr>
            </w:pPr>
            <w:r>
              <w:rPr>
                <w:rFonts w:hint="eastAsia" w:ascii="宋体" w:eastAsia="宋体" w:cs="宋体"/>
                <w:b/>
                <w:bCs/>
                <w:color w:val="auto"/>
                <w:sz w:val="22"/>
                <w:highlight w:val="none"/>
              </w:rPr>
              <w:t>③若业绩为框架式协议或资格入围无明确金额的合同，必须同时提供合同年度内发生金额的发票或服务购买方出具的书面补充说明文件（加盖服务购买方公章）等作为合同年度金额的辅助证明；</w:t>
            </w:r>
          </w:p>
          <w:p w14:paraId="507A3942">
            <w:pPr>
              <w:pStyle w:val="47"/>
              <w:keepNext w:val="0"/>
              <w:keepLines w:val="0"/>
              <w:pageBreakBefore w:val="0"/>
              <w:widowControl/>
              <w:kinsoku/>
              <w:wordWrap/>
              <w:overflowPunct/>
              <w:topLinePunct w:val="0"/>
              <w:autoSpaceDE/>
              <w:autoSpaceDN/>
              <w:bidi w:val="0"/>
              <w:spacing w:line="440" w:lineRule="exact"/>
              <w:ind w:left="0" w:leftChars="0" w:firstLine="442" w:firstLineChars="200"/>
              <w:textAlignment w:val="auto"/>
              <w:rPr>
                <w:rFonts w:hint="eastAsia" w:ascii="宋体" w:hAnsi="宋体" w:eastAsia="宋体" w:cs="宋体"/>
                <w:bCs/>
                <w:color w:val="auto"/>
                <w:sz w:val="22"/>
                <w:szCs w:val="22"/>
                <w:highlight w:val="none"/>
                <w:u w:val="single"/>
                <w:lang w:val="zh-CN"/>
              </w:rPr>
            </w:pPr>
            <w:r>
              <w:rPr>
                <w:rFonts w:hint="eastAsia" w:ascii="宋体" w:eastAsia="宋体" w:cs="宋体"/>
                <w:b/>
                <w:bCs/>
                <w:color w:val="auto"/>
                <w:sz w:val="22"/>
                <w:highlight w:val="none"/>
              </w:rPr>
              <w:t>④未按上述要求提供证明材料的业绩，或所附材料无法证明填报项目符合本项评分要求的业绩，在评标时将不予考虑。</w:t>
            </w:r>
          </w:p>
        </w:tc>
      </w:tr>
      <w:tr w14:paraId="2DD43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77FF41D">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3</w:t>
            </w:r>
          </w:p>
        </w:tc>
        <w:tc>
          <w:tcPr>
            <w:tcW w:w="1127" w:type="dxa"/>
            <w:tcBorders>
              <w:top w:val="single" w:color="auto" w:sz="4" w:space="0"/>
              <w:left w:val="single" w:color="auto" w:sz="4" w:space="0"/>
              <w:bottom w:val="single" w:color="auto" w:sz="4" w:space="0"/>
              <w:right w:val="single" w:color="auto" w:sz="4" w:space="0"/>
            </w:tcBorders>
            <w:vAlign w:val="center"/>
          </w:tcPr>
          <w:p w14:paraId="22FE747B">
            <w:pPr>
              <w:pStyle w:val="90"/>
              <w:keepNext w:val="0"/>
              <w:keepLines w:val="0"/>
              <w:pageBreakBefore w:val="0"/>
              <w:widowControl/>
              <w:kinsoku/>
              <w:wordWrap/>
              <w:overflowPunct/>
              <w:topLinePunct w:val="0"/>
              <w:autoSpaceDE/>
              <w:autoSpaceDN/>
              <w:bidi w:val="0"/>
              <w:spacing w:after="0" w:afterLines="0" w:line="440" w:lineRule="exact"/>
              <w:ind w:firstLine="0" w:firstLineChars="0"/>
              <w:jc w:val="center"/>
              <w:textAlignment w:val="auto"/>
              <w:rPr>
                <w:rFonts w:hint="eastAsia" w:ascii="宋体" w:hAnsi="宋体" w:eastAsia="宋体" w:cs="宋体"/>
                <w:color w:val="auto"/>
                <w:sz w:val="22"/>
                <w:szCs w:val="22"/>
                <w:highlight w:val="none"/>
                <w:lang w:val="en-US" w:eastAsia="zh-CN"/>
              </w:rPr>
            </w:pPr>
            <w:r>
              <w:rPr>
                <w:rFonts w:hint="eastAsia" w:ascii="宋体" w:hAnsi="宋体" w:cs="宋体"/>
                <w:color w:val="auto"/>
                <w:sz w:val="22"/>
                <w:highlight w:val="none"/>
              </w:rPr>
              <w:t>服务响应</w:t>
            </w:r>
          </w:p>
        </w:tc>
        <w:tc>
          <w:tcPr>
            <w:tcW w:w="826" w:type="dxa"/>
            <w:tcBorders>
              <w:top w:val="single" w:color="auto" w:sz="4" w:space="0"/>
              <w:left w:val="single" w:color="auto" w:sz="4" w:space="0"/>
              <w:bottom w:val="single" w:color="auto" w:sz="4" w:space="0"/>
              <w:right w:val="single" w:color="auto" w:sz="4" w:space="0"/>
            </w:tcBorders>
            <w:vAlign w:val="center"/>
          </w:tcPr>
          <w:p w14:paraId="3502BA19">
            <w:pPr>
              <w:keepNext w:val="0"/>
              <w:keepLines w:val="0"/>
              <w:pageBreakBefore w:val="0"/>
              <w:widowControl/>
              <w:kinsoku/>
              <w:wordWrap/>
              <w:overflowPunct/>
              <w:topLinePunct w:val="0"/>
              <w:autoSpaceDE/>
              <w:autoSpaceDN/>
              <w:bidi w:val="0"/>
              <w:spacing w:line="440" w:lineRule="exact"/>
              <w:jc w:val="center"/>
              <w:textAlignment w:val="auto"/>
              <w:rPr>
                <w:rFonts w:hint="default" w:ascii="宋体" w:hAnsi="宋体" w:eastAsia="宋体" w:cs="宋体"/>
                <w:color w:val="auto"/>
                <w:sz w:val="22"/>
                <w:szCs w:val="22"/>
                <w:highlight w:val="none"/>
                <w:u w:val="none"/>
                <w:lang w:val="en-US" w:eastAsia="zh-CN"/>
              </w:rPr>
            </w:pPr>
            <w:r>
              <w:rPr>
                <w:rFonts w:hint="eastAsia" w:ascii="宋体" w:hAnsi="宋体" w:cs="宋体"/>
                <w:color w:val="auto"/>
                <w:sz w:val="22"/>
                <w:szCs w:val="22"/>
                <w:highlight w:val="none"/>
                <w:u w:val="none"/>
                <w:lang w:val="en-US" w:eastAsia="zh-CN"/>
              </w:rPr>
              <w:t>6分</w:t>
            </w:r>
          </w:p>
        </w:tc>
        <w:tc>
          <w:tcPr>
            <w:tcW w:w="5879" w:type="dxa"/>
            <w:tcBorders>
              <w:top w:val="single" w:color="auto" w:sz="4" w:space="0"/>
              <w:left w:val="single" w:color="auto" w:sz="4" w:space="0"/>
              <w:bottom w:val="single" w:color="auto" w:sz="4" w:space="0"/>
              <w:right w:val="single" w:color="auto" w:sz="4" w:space="0"/>
            </w:tcBorders>
            <w:vAlign w:val="center"/>
          </w:tcPr>
          <w:p w14:paraId="250C6610">
            <w:pPr>
              <w:keepNext w:val="0"/>
              <w:keepLines w:val="0"/>
              <w:pageBreakBefore w:val="0"/>
              <w:widowControl/>
              <w:numPr>
                <w:ilvl w:val="0"/>
                <w:numId w:val="0"/>
              </w:numPr>
              <w:kinsoku/>
              <w:wordWrap/>
              <w:overflowPunct/>
              <w:topLinePunct w:val="0"/>
              <w:autoSpaceDE/>
              <w:autoSpaceDN/>
              <w:bidi w:val="0"/>
              <w:spacing w:line="440" w:lineRule="exact"/>
              <w:textAlignment w:val="auto"/>
              <w:rPr>
                <w:rFonts w:hint="eastAsia" w:ascii="宋体" w:hAnsi="宋体" w:eastAsia="宋体" w:cs="宋体"/>
                <w:color w:val="auto"/>
                <w:sz w:val="22"/>
                <w:highlight w:val="none"/>
                <w:lang w:eastAsia="zh-CN"/>
              </w:rPr>
            </w:pPr>
            <w:r>
              <w:rPr>
                <w:rFonts w:hint="eastAsia" w:ascii="宋体" w:hAnsi="宋体" w:eastAsia="宋体" w:cs="宋体"/>
                <w:color w:val="auto"/>
                <w:sz w:val="22"/>
                <w:szCs w:val="22"/>
                <w:highlight w:val="none"/>
                <w:lang w:val="en-US" w:eastAsia="zh-CN" w:bidi="ar-SA"/>
              </w:rPr>
              <w:t>1、</w:t>
            </w:r>
            <w:r>
              <w:rPr>
                <w:rFonts w:hint="eastAsia" w:ascii="宋体" w:hAnsi="宋体" w:cs="宋体"/>
                <w:color w:val="auto"/>
                <w:sz w:val="22"/>
                <w:highlight w:val="none"/>
              </w:rPr>
              <w:t>应急响应机制</w:t>
            </w:r>
            <w:r>
              <w:rPr>
                <w:rFonts w:hint="eastAsia" w:ascii="宋体" w:hAnsi="宋体" w:cs="宋体"/>
                <w:color w:val="auto"/>
                <w:sz w:val="22"/>
                <w:highlight w:val="none"/>
                <w:lang w:eastAsia="zh-CN"/>
              </w:rPr>
              <w:t>（</w:t>
            </w:r>
            <w:r>
              <w:rPr>
                <w:rFonts w:hint="eastAsia" w:ascii="宋体" w:hAnsi="宋体" w:cs="宋体"/>
                <w:color w:val="auto"/>
                <w:sz w:val="22"/>
                <w:highlight w:val="none"/>
                <w:lang w:val="en-US" w:eastAsia="zh-CN"/>
              </w:rPr>
              <w:t>2分</w:t>
            </w:r>
            <w:r>
              <w:rPr>
                <w:rFonts w:hint="eastAsia" w:ascii="宋体" w:hAnsi="宋体" w:cs="宋体"/>
                <w:color w:val="auto"/>
                <w:sz w:val="22"/>
                <w:highlight w:val="none"/>
                <w:lang w:eastAsia="zh-CN"/>
              </w:rPr>
              <w:t>）：</w:t>
            </w:r>
          </w:p>
          <w:p w14:paraId="66D35AF7">
            <w:pPr>
              <w:keepNext w:val="0"/>
              <w:keepLines w:val="0"/>
              <w:pageBreakBefore w:val="0"/>
              <w:widowControl/>
              <w:numPr>
                <w:ilvl w:val="0"/>
                <w:numId w:val="0"/>
              </w:numPr>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（1）提供针对本项目成立的应急管理机构名单、应急工作队伍名单、应急联系方式（含至少2名专人及24小时联系电话），得</w:t>
            </w:r>
            <w:r>
              <w:rPr>
                <w:rFonts w:hint="eastAsia" w:ascii="宋体" w:hAnsi="宋体" w:cs="宋体"/>
                <w:color w:val="auto"/>
                <w:sz w:val="22"/>
                <w:highlight w:val="none"/>
                <w:lang w:val="en-US" w:eastAsia="zh-CN"/>
              </w:rPr>
              <w:t>2</w:t>
            </w:r>
            <w:r>
              <w:rPr>
                <w:rFonts w:hint="eastAsia" w:ascii="宋体" w:hAnsi="宋体" w:cs="宋体"/>
                <w:color w:val="auto"/>
                <w:sz w:val="22"/>
                <w:highlight w:val="none"/>
              </w:rPr>
              <w:t>分；</w:t>
            </w:r>
          </w:p>
          <w:p w14:paraId="14BD2240">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2、售后服务保障（2分）：</w:t>
            </w:r>
          </w:p>
          <w:p w14:paraId="2A2DE5F7">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（1）提供专门为本项目配置的售后服务人员名单及职责分工，并承诺实行“三包”服务（包质量、包数量、包调换）的，得1分；</w:t>
            </w:r>
          </w:p>
          <w:p w14:paraId="57F7EFE5">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（2）提供书面定期满意度回访制度及内部服务考核办法的，得</w:t>
            </w:r>
            <w:r>
              <w:rPr>
                <w:rFonts w:hint="eastAsia" w:ascii="宋体" w:hAnsi="宋体" w:cs="宋体"/>
                <w:color w:val="auto"/>
                <w:sz w:val="22"/>
                <w:highlight w:val="none"/>
                <w:lang w:val="en-US" w:eastAsia="zh-CN"/>
              </w:rPr>
              <w:t>0.5</w:t>
            </w:r>
            <w:r>
              <w:rPr>
                <w:rFonts w:hint="eastAsia" w:ascii="宋体" w:hAnsi="宋体" w:cs="宋体"/>
                <w:color w:val="auto"/>
                <w:sz w:val="22"/>
                <w:highlight w:val="none"/>
              </w:rPr>
              <w:t>分；</w:t>
            </w:r>
          </w:p>
          <w:p w14:paraId="3269256E">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color w:val="auto"/>
                <w:sz w:val="22"/>
                <w:highlight w:val="none"/>
                <w:lang w:eastAsia="zh-CN"/>
              </w:rPr>
            </w:pPr>
            <w:r>
              <w:rPr>
                <w:rFonts w:hint="eastAsia" w:ascii="宋体" w:hAnsi="宋体" w:cs="宋体"/>
                <w:color w:val="auto"/>
                <w:sz w:val="22"/>
                <w:highlight w:val="none"/>
                <w:lang w:eastAsia="zh-CN"/>
              </w:rPr>
              <w:t>（</w:t>
            </w:r>
            <w:r>
              <w:rPr>
                <w:rFonts w:hint="eastAsia" w:ascii="宋体" w:hAnsi="宋体" w:cs="宋体"/>
                <w:color w:val="auto"/>
                <w:sz w:val="22"/>
                <w:highlight w:val="none"/>
                <w:lang w:val="en-US" w:eastAsia="zh-CN"/>
              </w:rPr>
              <w:t>3</w:t>
            </w:r>
            <w:r>
              <w:rPr>
                <w:rFonts w:hint="eastAsia" w:ascii="宋体" w:hAnsi="宋体" w:cs="宋体"/>
                <w:color w:val="auto"/>
                <w:sz w:val="22"/>
                <w:highlight w:val="none"/>
                <w:lang w:eastAsia="zh-CN"/>
              </w:rPr>
              <w:t>）</w:t>
            </w:r>
            <w:r>
              <w:rPr>
                <w:rFonts w:hint="eastAsia" w:ascii="宋体" w:hAnsi="宋体" w:cs="宋体"/>
                <w:color w:val="auto"/>
                <w:sz w:val="22"/>
                <w:highlight w:val="none"/>
              </w:rPr>
              <w:t>承诺在市场价格发生波动时，仍按合同价优先保障供应，确需调价的须事先书面协商</w:t>
            </w:r>
            <w:r>
              <w:rPr>
                <w:rFonts w:hint="eastAsia" w:ascii="宋体" w:hAnsi="宋体" w:cs="宋体"/>
                <w:color w:val="auto"/>
                <w:sz w:val="22"/>
                <w:highlight w:val="none"/>
                <w:lang w:eastAsia="zh-CN"/>
              </w:rPr>
              <w:t>，</w:t>
            </w:r>
            <w:r>
              <w:rPr>
                <w:rFonts w:hint="eastAsia" w:ascii="宋体" w:hAnsi="宋体" w:cs="宋体"/>
                <w:color w:val="auto"/>
                <w:sz w:val="22"/>
                <w:highlight w:val="none"/>
                <w:lang w:val="en-US" w:eastAsia="zh-CN"/>
              </w:rPr>
              <w:t>得0.5分</w:t>
            </w:r>
            <w:r>
              <w:rPr>
                <w:rFonts w:hint="eastAsia" w:ascii="宋体" w:hAnsi="宋体" w:cs="宋体"/>
                <w:color w:val="auto"/>
                <w:sz w:val="22"/>
                <w:highlight w:val="none"/>
              </w:rPr>
              <w:t>；</w:t>
            </w:r>
          </w:p>
          <w:p w14:paraId="2969A75D">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3、安全责任承诺（2分）：</w:t>
            </w:r>
          </w:p>
          <w:p w14:paraId="0B5D1ED9">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（1）承诺在发生食品安全事故或重大质量问题时，企业主要负责人及相关主管人员必须在2小时内到达现场处理，并提供书面安抚及善后处理方案的，得1分；</w:t>
            </w:r>
          </w:p>
          <w:p w14:paraId="520BE41E">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（2）承诺如因质量问题或配送运输引发安全事故，承担全部法律责任及全部经济损失，并提供相关法律承诺函的，得1分；</w:t>
            </w:r>
          </w:p>
          <w:p w14:paraId="01A41EB4">
            <w:pPr>
              <w:keepNext w:val="0"/>
              <w:keepLines w:val="0"/>
              <w:pageBreakBefore w:val="0"/>
              <w:widowControl/>
              <w:kinsoku/>
              <w:wordWrap/>
              <w:overflowPunct/>
              <w:topLinePunct w:val="0"/>
              <w:autoSpaceDE/>
              <w:autoSpaceDN/>
              <w:bidi w:val="0"/>
              <w:spacing w:line="440" w:lineRule="exact"/>
              <w:textAlignment w:val="auto"/>
              <w:rPr>
                <w:rFonts w:hint="eastAsia" w:ascii="宋体" w:hAnsi="宋体" w:eastAsia="宋体" w:cs="宋体"/>
                <w:b/>
                <w:bCs/>
                <w:color w:val="auto"/>
                <w:sz w:val="22"/>
                <w:szCs w:val="22"/>
                <w:highlight w:val="none"/>
                <w:lang w:val="en-US" w:eastAsia="zh-CN"/>
              </w:rPr>
            </w:pPr>
            <w:r>
              <w:rPr>
                <w:rFonts w:hint="eastAsia" w:ascii="宋体" w:hAnsi="宋体" w:cs="宋体"/>
                <w:color w:val="auto"/>
                <w:sz w:val="22"/>
                <w:highlight w:val="none"/>
              </w:rPr>
              <w:t>注：以上各项均须提供加盖公章的承诺函或</w:t>
            </w:r>
            <w:r>
              <w:rPr>
                <w:rFonts w:hint="eastAsia" w:ascii="宋体" w:hAnsi="宋体" w:cs="宋体"/>
                <w:color w:val="auto"/>
                <w:sz w:val="22"/>
                <w:highlight w:val="none"/>
                <w:lang w:val="en-US" w:eastAsia="zh-CN"/>
              </w:rPr>
              <w:t>证明材料</w:t>
            </w:r>
            <w:r>
              <w:rPr>
                <w:rFonts w:hint="eastAsia" w:ascii="宋体" w:hAnsi="宋体" w:cs="宋体"/>
                <w:color w:val="auto"/>
                <w:sz w:val="22"/>
                <w:highlight w:val="none"/>
              </w:rPr>
              <w:t>扫描件，未提供或内容不全的不得分；</w:t>
            </w:r>
          </w:p>
        </w:tc>
      </w:tr>
      <w:tr w14:paraId="09A86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1CCC33F">
            <w:pPr>
              <w:keepNext w:val="0"/>
              <w:keepLines w:val="0"/>
              <w:pageBreakBefore w:val="0"/>
              <w:widowControl/>
              <w:kinsoku/>
              <w:wordWrap/>
              <w:overflowPunct/>
              <w:topLinePunct w:val="0"/>
              <w:autoSpaceDE/>
              <w:autoSpaceDN/>
              <w:bidi w:val="0"/>
              <w:spacing w:line="440" w:lineRule="exact"/>
              <w:jc w:val="center"/>
              <w:textAlignment w:val="auto"/>
              <w:rPr>
                <w:rFonts w:hint="default"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4</w:t>
            </w:r>
          </w:p>
        </w:tc>
        <w:tc>
          <w:tcPr>
            <w:tcW w:w="1127" w:type="dxa"/>
            <w:tcBorders>
              <w:top w:val="single" w:color="auto" w:sz="4" w:space="0"/>
              <w:left w:val="single" w:color="auto" w:sz="4" w:space="0"/>
              <w:bottom w:val="single" w:color="auto" w:sz="4" w:space="0"/>
              <w:right w:val="single" w:color="auto" w:sz="4" w:space="0"/>
            </w:tcBorders>
            <w:vAlign w:val="center"/>
          </w:tcPr>
          <w:p w14:paraId="57E0DAE8">
            <w:pPr>
              <w:pStyle w:val="90"/>
              <w:keepNext w:val="0"/>
              <w:keepLines w:val="0"/>
              <w:pageBreakBefore w:val="0"/>
              <w:widowControl/>
              <w:kinsoku/>
              <w:wordWrap/>
              <w:overflowPunct/>
              <w:topLinePunct w:val="0"/>
              <w:autoSpaceDE/>
              <w:autoSpaceDN/>
              <w:bidi w:val="0"/>
              <w:spacing w:after="0" w:afterLines="0" w:line="440" w:lineRule="exact"/>
              <w:ind w:firstLine="0" w:firstLineChars="0"/>
              <w:jc w:val="center"/>
              <w:textAlignment w:val="auto"/>
              <w:rPr>
                <w:rFonts w:hint="eastAsia" w:ascii="宋体" w:hAnsi="宋体" w:cs="宋体"/>
                <w:color w:val="auto"/>
                <w:sz w:val="22"/>
                <w:highlight w:val="none"/>
              </w:rPr>
            </w:pPr>
            <w:r>
              <w:rPr>
                <w:rFonts w:hint="eastAsia" w:ascii="宋体" w:hAnsi="宋体" w:cs="宋体"/>
                <w:color w:val="auto"/>
                <w:sz w:val="22"/>
                <w:highlight w:val="none"/>
              </w:rPr>
              <w:t>企业信誉</w:t>
            </w:r>
          </w:p>
        </w:tc>
        <w:tc>
          <w:tcPr>
            <w:tcW w:w="826" w:type="dxa"/>
            <w:tcBorders>
              <w:top w:val="single" w:color="auto" w:sz="4" w:space="0"/>
              <w:left w:val="single" w:color="auto" w:sz="4" w:space="0"/>
              <w:bottom w:val="single" w:color="auto" w:sz="4" w:space="0"/>
              <w:right w:val="single" w:color="auto" w:sz="4" w:space="0"/>
            </w:tcBorders>
            <w:vAlign w:val="center"/>
          </w:tcPr>
          <w:p w14:paraId="37A31212">
            <w:pPr>
              <w:keepNext w:val="0"/>
              <w:keepLines w:val="0"/>
              <w:pageBreakBefore w:val="0"/>
              <w:widowControl/>
              <w:kinsoku/>
              <w:wordWrap/>
              <w:overflowPunct/>
              <w:topLinePunct w:val="0"/>
              <w:autoSpaceDE/>
              <w:autoSpaceDN/>
              <w:bidi w:val="0"/>
              <w:spacing w:line="440" w:lineRule="exact"/>
              <w:jc w:val="center"/>
              <w:textAlignment w:val="auto"/>
              <w:rPr>
                <w:rFonts w:hint="eastAsia" w:ascii="宋体" w:hAnsi="宋体" w:cs="宋体"/>
                <w:color w:val="auto"/>
                <w:sz w:val="22"/>
                <w:szCs w:val="22"/>
                <w:highlight w:val="none"/>
                <w:u w:val="none"/>
                <w:lang w:val="en-US" w:eastAsia="zh-CN"/>
              </w:rPr>
            </w:pPr>
            <w:r>
              <w:rPr>
                <w:rFonts w:hint="eastAsia" w:ascii="宋体" w:hAnsi="宋体" w:cs="宋体"/>
                <w:color w:val="auto"/>
                <w:sz w:val="22"/>
                <w:szCs w:val="22"/>
                <w:highlight w:val="none"/>
                <w:u w:val="none"/>
                <w:lang w:val="en-US" w:eastAsia="zh-CN"/>
              </w:rPr>
              <w:t>2分</w:t>
            </w:r>
          </w:p>
        </w:tc>
        <w:tc>
          <w:tcPr>
            <w:tcW w:w="5879" w:type="dxa"/>
            <w:tcBorders>
              <w:top w:val="single" w:color="auto" w:sz="4" w:space="0"/>
              <w:left w:val="single" w:color="auto" w:sz="4" w:space="0"/>
              <w:bottom w:val="single" w:color="auto" w:sz="4" w:space="0"/>
              <w:right w:val="single" w:color="auto" w:sz="4" w:space="0"/>
            </w:tcBorders>
            <w:vAlign w:val="center"/>
          </w:tcPr>
          <w:p w14:paraId="7326F873">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投标人近三年内（按递交投标文件截止日算）未受到市场管理或食药监部门的行政处罚或整改要求的，得</w:t>
            </w:r>
            <w:r>
              <w:rPr>
                <w:rFonts w:hint="eastAsia" w:ascii="宋体" w:hAnsi="宋体" w:cs="宋体"/>
                <w:color w:val="auto"/>
                <w:sz w:val="22"/>
                <w:highlight w:val="none"/>
                <w:lang w:val="en-US" w:eastAsia="zh-CN"/>
              </w:rPr>
              <w:t>2</w:t>
            </w:r>
            <w:r>
              <w:rPr>
                <w:rFonts w:hint="eastAsia" w:ascii="宋体" w:hAnsi="宋体" w:cs="宋体"/>
                <w:color w:val="auto"/>
                <w:sz w:val="22"/>
                <w:highlight w:val="none"/>
              </w:rPr>
              <w:t>分，否则不得分。</w:t>
            </w:r>
          </w:p>
          <w:p w14:paraId="19C1A636">
            <w:pPr>
              <w:keepNext w:val="0"/>
              <w:keepLines w:val="0"/>
              <w:pageBreakBefore w:val="0"/>
              <w:widowControl/>
              <w:kinsoku/>
              <w:wordWrap/>
              <w:overflowPunct/>
              <w:topLinePunct w:val="0"/>
              <w:autoSpaceDE/>
              <w:autoSpaceDN/>
              <w:bidi w:val="0"/>
              <w:spacing w:line="440" w:lineRule="exact"/>
              <w:textAlignment w:val="auto"/>
              <w:rPr>
                <w:rFonts w:hint="eastAsia" w:ascii="宋体" w:hAnsi="宋体" w:cs="宋体"/>
                <w:color w:val="auto"/>
                <w:sz w:val="22"/>
                <w:highlight w:val="none"/>
              </w:rPr>
            </w:pPr>
            <w:r>
              <w:rPr>
                <w:rFonts w:hint="eastAsia" w:ascii="宋体" w:hAnsi="宋体" w:cs="宋体"/>
                <w:color w:val="auto"/>
                <w:sz w:val="22"/>
                <w:highlight w:val="none"/>
              </w:rPr>
              <w:t>（需按招标文件格式提供承诺书，否则不得分）</w:t>
            </w:r>
          </w:p>
        </w:tc>
      </w:tr>
      <w:tr w14:paraId="1D542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32B80AC7">
            <w:pPr>
              <w:pStyle w:val="47"/>
              <w:spacing w:line="360" w:lineRule="auto"/>
              <w:ind w:firstLine="0" w:firstLineChars="0"/>
              <w:jc w:val="center"/>
              <w:rPr>
                <w:rFonts w:hint="eastAsia" w:ascii="宋体" w:hAnsi="宋体" w:eastAsia="宋体" w:cs="宋体"/>
                <w:color w:val="auto"/>
                <w:sz w:val="22"/>
                <w:szCs w:val="22"/>
                <w:highlight w:val="none"/>
              </w:rPr>
            </w:pPr>
            <w:r>
              <w:rPr>
                <w:rFonts w:hint="eastAsia" w:ascii="宋体" w:hAnsi="宋体" w:eastAsia="宋体" w:cs="宋体"/>
                <w:b/>
                <w:bCs/>
                <w:color w:val="auto"/>
                <w:sz w:val="22"/>
                <w:szCs w:val="22"/>
                <w:highlight w:val="none"/>
              </w:rPr>
              <w:t>技术评审（</w:t>
            </w:r>
            <w:r>
              <w:rPr>
                <w:rFonts w:hint="eastAsia" w:ascii="宋体" w:eastAsia="宋体" w:cs="宋体"/>
                <w:b/>
                <w:bCs/>
                <w:color w:val="auto"/>
                <w:sz w:val="22"/>
                <w:szCs w:val="22"/>
                <w:highlight w:val="none"/>
                <w:lang w:val="en-US" w:eastAsia="zh-CN"/>
              </w:rPr>
              <w:t>3</w:t>
            </w:r>
            <w:r>
              <w:rPr>
                <w:rFonts w:hint="eastAsia" w:ascii="宋体" w:hAnsi="宋体" w:eastAsia="宋体" w:cs="宋体"/>
                <w:b/>
                <w:bCs/>
                <w:color w:val="auto"/>
                <w:sz w:val="22"/>
                <w:szCs w:val="22"/>
                <w:highlight w:val="none"/>
                <w:lang w:val="en-US" w:eastAsia="zh-CN"/>
              </w:rPr>
              <w:t>0</w:t>
            </w:r>
            <w:r>
              <w:rPr>
                <w:rFonts w:hint="eastAsia" w:ascii="宋体" w:hAnsi="宋体" w:eastAsia="宋体" w:cs="宋体"/>
                <w:b/>
                <w:bCs/>
                <w:color w:val="auto"/>
                <w:sz w:val="22"/>
                <w:szCs w:val="22"/>
                <w:highlight w:val="none"/>
              </w:rPr>
              <w:t>分）</w:t>
            </w:r>
          </w:p>
        </w:tc>
      </w:tr>
      <w:tr w14:paraId="23185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6CB0EF9">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w:t>
            </w:r>
          </w:p>
        </w:tc>
        <w:tc>
          <w:tcPr>
            <w:tcW w:w="1127" w:type="dxa"/>
            <w:tcBorders>
              <w:top w:val="single" w:color="auto" w:sz="4" w:space="0"/>
              <w:left w:val="single" w:color="auto" w:sz="4" w:space="0"/>
              <w:bottom w:val="single" w:color="auto" w:sz="4" w:space="0"/>
              <w:right w:val="single" w:color="auto" w:sz="4" w:space="0"/>
            </w:tcBorders>
            <w:vAlign w:val="center"/>
          </w:tcPr>
          <w:p w14:paraId="4538CE07">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配送的产品的质量保证和食品安全保障措施方案</w:t>
            </w:r>
          </w:p>
        </w:tc>
        <w:tc>
          <w:tcPr>
            <w:tcW w:w="826" w:type="dxa"/>
            <w:tcBorders>
              <w:top w:val="single" w:color="auto" w:sz="4" w:space="0"/>
              <w:left w:val="single" w:color="auto" w:sz="4" w:space="0"/>
              <w:bottom w:val="single" w:color="auto" w:sz="4" w:space="0"/>
              <w:right w:val="single" w:color="auto" w:sz="4" w:space="0"/>
            </w:tcBorders>
            <w:vAlign w:val="center"/>
          </w:tcPr>
          <w:p w14:paraId="7EBE44D7">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9</w:t>
            </w:r>
            <w:r>
              <w:rPr>
                <w:rFonts w:hint="eastAsia" w:ascii="宋体" w:hAnsi="宋体" w:eastAsia="宋体" w:cs="宋体"/>
                <w:color w:val="auto"/>
                <w:sz w:val="22"/>
                <w:szCs w:val="22"/>
                <w:highlight w:val="none"/>
                <w:lang w:val="en-US" w:eastAsia="zh-CN"/>
              </w:rPr>
              <w:t>分</w:t>
            </w:r>
          </w:p>
        </w:tc>
        <w:tc>
          <w:tcPr>
            <w:tcW w:w="5879" w:type="dxa"/>
            <w:tcBorders>
              <w:top w:val="single" w:color="auto" w:sz="4" w:space="0"/>
              <w:left w:val="single" w:color="auto" w:sz="4" w:space="0"/>
              <w:bottom w:val="single" w:color="auto" w:sz="4" w:space="0"/>
              <w:right w:val="single" w:color="auto" w:sz="4" w:space="0"/>
            </w:tcBorders>
            <w:vAlign w:val="center"/>
          </w:tcPr>
          <w:p w14:paraId="42933D9C">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根据投标人提供本项目配送的产品的质量保证及食品安全保证措施方案（包括但不限于①配送的产品的来源回溯②加工、包装、保存、运输各环节的质量保证③食品安全保障措施等）进行评分： </w:t>
            </w:r>
          </w:p>
          <w:p w14:paraId="74E31D04">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1.能提供针对本项目配送的产品的质量保证及食品安全保证措施方案的，得</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 xml:space="preserve">分；如未能提供质量及安全保证措施的，以下评分项均不得分。 </w:t>
            </w:r>
          </w:p>
          <w:p w14:paraId="0FE54426">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2.提供的配送的产品的质量保证及食品安全保证措施方案包含上述全部内容的，得</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 xml:space="preserve">分；未包含其中任意一项不得分，且以下评分项均不得分。 </w:t>
            </w:r>
          </w:p>
          <w:p w14:paraId="2351D6D9">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2.1提供的配送的产品的质量保证及食品安全保证措施方案具体、完善，产品来源回溯清晰，得</w:t>
            </w:r>
            <w:r>
              <w:rPr>
                <w:rFonts w:hint="eastAsia" w:ascii="宋体" w:hAnsi="宋体" w:cs="宋体"/>
                <w:color w:val="auto"/>
                <w:sz w:val="22"/>
                <w:szCs w:val="22"/>
                <w:highlight w:val="none"/>
                <w:lang w:val="en-US" w:eastAsia="zh-CN"/>
              </w:rPr>
              <w:t>3</w:t>
            </w:r>
            <w:r>
              <w:rPr>
                <w:rFonts w:hint="eastAsia" w:ascii="宋体" w:hAnsi="宋体" w:eastAsia="宋体" w:cs="宋体"/>
                <w:color w:val="auto"/>
                <w:sz w:val="22"/>
                <w:szCs w:val="22"/>
                <w:highlight w:val="none"/>
              </w:rPr>
              <w:t xml:space="preserve">分； </w:t>
            </w:r>
          </w:p>
          <w:p w14:paraId="3088F8C9">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2.1提供的配送的产品的质量保证及食品安全保证措施方案较具体、较完善，产品来源回溯较清晰，得</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rPr>
              <w:t xml:space="preserve">分； </w:t>
            </w:r>
          </w:p>
          <w:p w14:paraId="698D1962">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2.3提供的配送的产品的质量保证及食品安全保证措施方案不够具体、不够完善，产品来源回溯不够清晰，得</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 xml:space="preserve">分； </w:t>
            </w:r>
          </w:p>
          <w:p w14:paraId="60B36A52">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2.4提供的配送的产品的质量保证及食品安全保证措施方案不具体、不完善，产品来源回溯不清晰，得</w:t>
            </w:r>
            <w:r>
              <w:rPr>
                <w:rFonts w:hint="eastAsia" w:ascii="宋体" w:hAnsi="宋体" w:eastAsia="宋体" w:cs="宋体"/>
                <w:color w:val="auto"/>
                <w:sz w:val="22"/>
                <w:szCs w:val="22"/>
                <w:highlight w:val="none"/>
                <w:lang w:val="en-US" w:eastAsia="zh-CN"/>
              </w:rPr>
              <w:t>0.5</w:t>
            </w:r>
            <w:r>
              <w:rPr>
                <w:rFonts w:hint="eastAsia" w:ascii="宋体" w:hAnsi="宋体" w:eastAsia="宋体" w:cs="宋体"/>
                <w:color w:val="auto"/>
                <w:sz w:val="22"/>
                <w:szCs w:val="22"/>
                <w:highlight w:val="none"/>
              </w:rPr>
              <w:t xml:space="preserve">分； </w:t>
            </w:r>
          </w:p>
          <w:p w14:paraId="38E7AFF3">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2.5未提供或其他情况，得0分。</w:t>
            </w:r>
          </w:p>
          <w:p w14:paraId="27D044A5">
            <w:pPr>
              <w:spacing w:line="360" w:lineRule="auto"/>
              <w:jc w:val="left"/>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3.提供</w:t>
            </w:r>
            <w:r>
              <w:rPr>
                <w:rFonts w:hint="eastAsia" w:ascii="宋体" w:hAnsi="宋体" w:eastAsia="宋体" w:cstheme="minorBidi"/>
                <w:snapToGrid w:val="0"/>
                <w:color w:val="auto"/>
                <w:kern w:val="0"/>
                <w:sz w:val="22"/>
                <w:szCs w:val="22"/>
                <w:highlight w:val="none"/>
                <w:lang w:val="en-US" w:eastAsia="zh-CN" w:bidi="ar-SA"/>
              </w:rPr>
              <w:t>相关品牌代理资质证书</w:t>
            </w:r>
            <w:r>
              <w:rPr>
                <w:rFonts w:hint="eastAsia" w:ascii="宋体" w:hAnsi="宋体" w:cstheme="minorBidi"/>
                <w:snapToGrid w:val="0"/>
                <w:color w:val="auto"/>
                <w:kern w:val="0"/>
                <w:sz w:val="22"/>
                <w:szCs w:val="22"/>
                <w:highlight w:val="none"/>
                <w:lang w:val="en-US" w:eastAsia="zh-CN" w:bidi="ar-SA"/>
              </w:rPr>
              <w:t>，每提供一个代理证书得0.5分，满分2分</w:t>
            </w:r>
            <w:r>
              <w:rPr>
                <w:rFonts w:hint="eastAsia" w:ascii="宋体" w:hAnsi="宋体" w:eastAsia="宋体" w:cstheme="minorBidi"/>
                <w:snapToGrid w:val="0"/>
                <w:color w:val="auto"/>
                <w:kern w:val="0"/>
                <w:sz w:val="22"/>
                <w:szCs w:val="22"/>
                <w:highlight w:val="none"/>
                <w:lang w:val="en-US" w:eastAsia="zh-CN" w:bidi="ar-SA"/>
              </w:rPr>
              <w:t>。</w:t>
            </w:r>
          </w:p>
        </w:tc>
      </w:tr>
      <w:tr w14:paraId="3823F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4D905A5">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w:t>
            </w:r>
          </w:p>
        </w:tc>
        <w:tc>
          <w:tcPr>
            <w:tcW w:w="1127" w:type="dxa"/>
            <w:tcBorders>
              <w:top w:val="single" w:color="auto" w:sz="4" w:space="0"/>
              <w:left w:val="single" w:color="auto" w:sz="4" w:space="0"/>
              <w:bottom w:val="single" w:color="auto" w:sz="4" w:space="0"/>
              <w:right w:val="single" w:color="auto" w:sz="4" w:space="0"/>
            </w:tcBorders>
            <w:vAlign w:val="center"/>
          </w:tcPr>
          <w:p w14:paraId="1E65C275">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出现产品质量问题退换货承诺</w:t>
            </w:r>
          </w:p>
        </w:tc>
        <w:tc>
          <w:tcPr>
            <w:tcW w:w="826" w:type="dxa"/>
            <w:tcBorders>
              <w:top w:val="single" w:color="auto" w:sz="4" w:space="0"/>
              <w:left w:val="single" w:color="auto" w:sz="4" w:space="0"/>
              <w:bottom w:val="single" w:color="auto" w:sz="4" w:space="0"/>
              <w:right w:val="single" w:color="auto" w:sz="4" w:space="0"/>
            </w:tcBorders>
            <w:vAlign w:val="center"/>
          </w:tcPr>
          <w:p w14:paraId="0DF1461C">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7</w:t>
            </w:r>
            <w:r>
              <w:rPr>
                <w:rFonts w:hint="eastAsia" w:ascii="宋体" w:hAnsi="宋体" w:eastAsia="宋体" w:cs="宋体"/>
                <w:color w:val="auto"/>
                <w:sz w:val="22"/>
                <w:szCs w:val="22"/>
                <w:highlight w:val="none"/>
                <w:lang w:val="en-US" w:eastAsia="zh-CN"/>
              </w:rPr>
              <w:t>分</w:t>
            </w:r>
          </w:p>
        </w:tc>
        <w:tc>
          <w:tcPr>
            <w:tcW w:w="5879" w:type="dxa"/>
            <w:tcBorders>
              <w:top w:val="single" w:color="auto" w:sz="4" w:space="0"/>
              <w:left w:val="single" w:color="auto" w:sz="4" w:space="0"/>
              <w:bottom w:val="single" w:color="auto" w:sz="4" w:space="0"/>
              <w:right w:val="single" w:color="auto" w:sz="4" w:space="0"/>
            </w:tcBorders>
            <w:vAlign w:val="top"/>
          </w:tcPr>
          <w:p w14:paraId="06CB2C95">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投标人需提供完整的出现产品质量问题退换货承诺方案（包括但不限于退换流程、退换周期等），进行评分： </w:t>
            </w:r>
          </w:p>
          <w:p w14:paraId="7B6BC8DE">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1.能提供针对本项目的出现产品质量问题退换货承诺方案的，得</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 xml:space="preserve">分；如未能提供出现产品质量问题退换货承诺方案的，以下评分项均不得分。 </w:t>
            </w:r>
          </w:p>
          <w:p w14:paraId="70CD6ACA">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2.提供的出现产品质量问题退换货承诺方案包含上述全部内容的，得</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 xml:space="preserve">分； </w:t>
            </w:r>
          </w:p>
          <w:p w14:paraId="08980215">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2.1提供的出现产品质量问题退换货承诺方案完整全面、详尽具体、流程科学合理、退换周期快速，得</w:t>
            </w:r>
            <w:r>
              <w:rPr>
                <w:rFonts w:hint="eastAsia" w:ascii="宋体" w:hAnsi="宋体" w:cs="宋体"/>
                <w:color w:val="auto"/>
                <w:sz w:val="22"/>
                <w:szCs w:val="22"/>
                <w:highlight w:val="none"/>
                <w:lang w:val="en-US" w:eastAsia="zh-CN"/>
              </w:rPr>
              <w:t>3</w:t>
            </w:r>
            <w:r>
              <w:rPr>
                <w:rFonts w:hint="eastAsia" w:ascii="宋体" w:hAnsi="宋体" w:eastAsia="宋体" w:cs="宋体"/>
                <w:color w:val="auto"/>
                <w:sz w:val="22"/>
                <w:szCs w:val="22"/>
                <w:highlight w:val="none"/>
              </w:rPr>
              <w:t xml:space="preserve">分； </w:t>
            </w:r>
          </w:p>
          <w:p w14:paraId="1D4187D2">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2.2提供的出现产品质量问题退换货承诺方案较为较为全面、流程合理但较详尽、退换周期中等，得</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rPr>
              <w:t xml:space="preserve">分； </w:t>
            </w:r>
          </w:p>
          <w:p w14:paraId="0773FD61">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2.3提供的出现产品质量问题退换货承诺方案较为不够全面、流程合理但不够详尽、退换周期一般，得</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分；</w:t>
            </w:r>
          </w:p>
          <w:p w14:paraId="6847A333">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2.4提供的出现产品质量问题退换货承诺方案一般</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有缺失、流程合理性一般、退换周期较长，得</w:t>
            </w:r>
            <w:r>
              <w:rPr>
                <w:rFonts w:hint="eastAsia" w:ascii="宋体" w:hAnsi="宋体" w:eastAsia="宋体" w:cs="宋体"/>
                <w:color w:val="auto"/>
                <w:sz w:val="22"/>
                <w:szCs w:val="22"/>
                <w:highlight w:val="none"/>
                <w:lang w:val="en-US" w:eastAsia="zh-CN"/>
              </w:rPr>
              <w:t>0.5</w:t>
            </w:r>
            <w:r>
              <w:rPr>
                <w:rFonts w:hint="eastAsia" w:ascii="宋体" w:hAnsi="宋体" w:eastAsia="宋体" w:cs="宋体"/>
                <w:color w:val="auto"/>
                <w:sz w:val="22"/>
                <w:szCs w:val="22"/>
                <w:highlight w:val="none"/>
              </w:rPr>
              <w:t xml:space="preserve">分； </w:t>
            </w:r>
          </w:p>
          <w:p w14:paraId="2000BAA5">
            <w:pPr>
              <w:spacing w:line="360" w:lineRule="auto"/>
              <w:jc w:val="left"/>
              <w:rPr>
                <w:rFonts w:hint="eastAsia" w:ascii="宋体" w:hAnsi="宋体" w:eastAsia="宋体" w:cs="宋体"/>
                <w:bCs/>
                <w:color w:val="auto"/>
                <w:sz w:val="22"/>
                <w:szCs w:val="22"/>
                <w:highlight w:val="none"/>
                <w:u w:val="single"/>
                <w:lang w:val="zh-CN" w:eastAsia="zh-CN"/>
              </w:rPr>
            </w:pPr>
            <w:r>
              <w:rPr>
                <w:rFonts w:hint="eastAsia" w:ascii="宋体" w:hAnsi="宋体" w:eastAsia="宋体" w:cs="宋体"/>
                <w:color w:val="auto"/>
                <w:sz w:val="22"/>
                <w:szCs w:val="22"/>
                <w:highlight w:val="none"/>
              </w:rPr>
              <w:t>2.5未提供或其他情况，得0分。</w:t>
            </w:r>
          </w:p>
        </w:tc>
      </w:tr>
      <w:tr w14:paraId="546F4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1F8FE72">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w:t>
            </w:r>
          </w:p>
        </w:tc>
        <w:tc>
          <w:tcPr>
            <w:tcW w:w="1127" w:type="dxa"/>
            <w:tcBorders>
              <w:top w:val="single" w:color="auto" w:sz="4" w:space="0"/>
              <w:left w:val="single" w:color="auto" w:sz="4" w:space="0"/>
              <w:bottom w:val="single" w:color="auto" w:sz="4" w:space="0"/>
              <w:right w:val="single" w:color="auto" w:sz="4" w:space="0"/>
            </w:tcBorders>
            <w:vAlign w:val="center"/>
          </w:tcPr>
          <w:p w14:paraId="607EE6B1">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整体配送服务方案</w:t>
            </w:r>
          </w:p>
        </w:tc>
        <w:tc>
          <w:tcPr>
            <w:tcW w:w="826" w:type="dxa"/>
            <w:tcBorders>
              <w:top w:val="single" w:color="auto" w:sz="4" w:space="0"/>
              <w:left w:val="single" w:color="auto" w:sz="4" w:space="0"/>
              <w:bottom w:val="single" w:color="auto" w:sz="4" w:space="0"/>
              <w:right w:val="single" w:color="auto" w:sz="4" w:space="0"/>
            </w:tcBorders>
            <w:vAlign w:val="center"/>
          </w:tcPr>
          <w:p w14:paraId="50644F35">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7</w:t>
            </w:r>
            <w:r>
              <w:rPr>
                <w:rFonts w:hint="eastAsia" w:ascii="宋体" w:hAnsi="宋体" w:eastAsia="宋体" w:cs="宋体"/>
                <w:color w:val="auto"/>
                <w:sz w:val="22"/>
                <w:szCs w:val="22"/>
                <w:highlight w:val="none"/>
                <w:lang w:val="en-US" w:eastAsia="zh-CN"/>
              </w:rPr>
              <w:t>分</w:t>
            </w:r>
          </w:p>
        </w:tc>
        <w:tc>
          <w:tcPr>
            <w:tcW w:w="5879" w:type="dxa"/>
            <w:tcBorders>
              <w:top w:val="single" w:color="auto" w:sz="4" w:space="0"/>
              <w:left w:val="single" w:color="auto" w:sz="4" w:space="0"/>
              <w:bottom w:val="single" w:color="auto" w:sz="4" w:space="0"/>
              <w:right w:val="single" w:color="auto" w:sz="4" w:space="0"/>
            </w:tcBorders>
            <w:vAlign w:val="top"/>
          </w:tcPr>
          <w:p w14:paraId="37F50756">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根据投标人提供的整体服务方案（内容包括但不限于配送车辆安排、各配送人员的具体工作计划安排、配送流程、专人跟踪服务情况、售后服务方案等）进行评审： </w:t>
            </w:r>
          </w:p>
          <w:p w14:paraId="2779AB7C">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1.能提供针对本项目的整体服务方案的，得</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 xml:space="preserve">分；如未能提供整体服务方案的，以下评分项均不得分。 </w:t>
            </w:r>
          </w:p>
          <w:p w14:paraId="065FB102">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2.提供针对本项目的整体服务方案的包含上述全部内容的，得</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分；未包含其中任意一项不得分，且以下评分项均不得分。</w:t>
            </w:r>
          </w:p>
          <w:p w14:paraId="1517AA7F">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2.1配送方案详细可行，配送流程完善，项目服务过程中配有专人跟踪服务，售后服务方案可行性、针对性很强，完全满足或优于本项目采购人需求的，得</w:t>
            </w:r>
            <w:r>
              <w:rPr>
                <w:rFonts w:hint="eastAsia" w:ascii="宋体" w:hAnsi="宋体" w:cs="宋体"/>
                <w:color w:val="auto"/>
                <w:sz w:val="22"/>
                <w:szCs w:val="22"/>
                <w:highlight w:val="none"/>
                <w:lang w:val="en-US" w:eastAsia="zh-CN"/>
              </w:rPr>
              <w:t>3</w:t>
            </w:r>
            <w:r>
              <w:rPr>
                <w:rFonts w:hint="eastAsia" w:ascii="宋体" w:hAnsi="宋体" w:eastAsia="宋体" w:cs="宋体"/>
                <w:color w:val="auto"/>
                <w:sz w:val="22"/>
                <w:szCs w:val="22"/>
                <w:highlight w:val="none"/>
              </w:rPr>
              <w:t xml:space="preserve">分； </w:t>
            </w:r>
          </w:p>
          <w:p w14:paraId="7A2ED634">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2.2配送方案较为详细可行，配送流程较完善，项目服务过程中配有专人跟踪服务，售后服务方案可行性、针对性强的，较为满足本项目采购人需求的，得</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rPr>
              <w:t xml:space="preserve">分； </w:t>
            </w:r>
          </w:p>
          <w:p w14:paraId="09357D31">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2.3配送方案一般详细可行，配送流程一般完善，项目服务过程中配有专人跟踪服务，售后服务方案可行性、针对性一般，基本满足本项目采购人需求的，得</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 xml:space="preserve">分； </w:t>
            </w:r>
          </w:p>
          <w:p w14:paraId="16CFD298">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2.4配送方案不够详细可行，配送流程不够完善，项目服务过程中配有专人跟踪服务，售后服务方案内容简单、可行性针对性差，不完全满足本项目采购人需求的，得</w:t>
            </w:r>
            <w:r>
              <w:rPr>
                <w:rFonts w:hint="eastAsia" w:ascii="宋体" w:hAnsi="宋体" w:eastAsia="宋体" w:cs="宋体"/>
                <w:color w:val="auto"/>
                <w:sz w:val="22"/>
                <w:szCs w:val="22"/>
                <w:highlight w:val="none"/>
                <w:lang w:val="en-US" w:eastAsia="zh-CN"/>
              </w:rPr>
              <w:t>0.5</w:t>
            </w:r>
            <w:r>
              <w:rPr>
                <w:rFonts w:hint="eastAsia" w:ascii="宋体" w:hAnsi="宋体" w:eastAsia="宋体" w:cs="宋体"/>
                <w:color w:val="auto"/>
                <w:sz w:val="22"/>
                <w:szCs w:val="22"/>
                <w:highlight w:val="none"/>
              </w:rPr>
              <w:t xml:space="preserve">分； </w:t>
            </w:r>
          </w:p>
          <w:p w14:paraId="5788B5DA">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2.5未提供或其他情况，得0分。</w:t>
            </w:r>
          </w:p>
        </w:tc>
      </w:tr>
      <w:tr w14:paraId="73E6A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A87BBDB">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4</w:t>
            </w:r>
          </w:p>
        </w:tc>
        <w:tc>
          <w:tcPr>
            <w:tcW w:w="1127" w:type="dxa"/>
            <w:tcBorders>
              <w:top w:val="single" w:color="auto" w:sz="4" w:space="0"/>
              <w:left w:val="single" w:color="auto" w:sz="4" w:space="0"/>
              <w:bottom w:val="single" w:color="auto" w:sz="4" w:space="0"/>
              <w:right w:val="single" w:color="auto" w:sz="4" w:space="0"/>
            </w:tcBorders>
            <w:vAlign w:val="center"/>
          </w:tcPr>
          <w:p w14:paraId="35DC5B00">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应急预案及保障措施</w:t>
            </w:r>
          </w:p>
        </w:tc>
        <w:tc>
          <w:tcPr>
            <w:tcW w:w="826" w:type="dxa"/>
            <w:tcBorders>
              <w:top w:val="single" w:color="auto" w:sz="4" w:space="0"/>
              <w:left w:val="single" w:color="auto" w:sz="4" w:space="0"/>
              <w:bottom w:val="single" w:color="auto" w:sz="4" w:space="0"/>
              <w:right w:val="single" w:color="auto" w:sz="4" w:space="0"/>
            </w:tcBorders>
            <w:vAlign w:val="center"/>
          </w:tcPr>
          <w:p w14:paraId="5B52286B">
            <w:pPr>
              <w:pStyle w:val="90"/>
              <w:spacing w:after="0" w:afterLines="0" w:line="360" w:lineRule="auto"/>
              <w:ind w:firstLine="0" w:firstLineChars="0"/>
              <w:jc w:val="center"/>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7</w:t>
            </w:r>
            <w:r>
              <w:rPr>
                <w:rFonts w:hint="eastAsia" w:ascii="宋体" w:hAnsi="宋体" w:eastAsia="宋体" w:cs="宋体"/>
                <w:color w:val="auto"/>
                <w:sz w:val="22"/>
                <w:szCs w:val="22"/>
                <w:highlight w:val="none"/>
                <w:lang w:val="en-US" w:eastAsia="zh-CN"/>
              </w:rPr>
              <w:t>分</w:t>
            </w:r>
          </w:p>
        </w:tc>
        <w:tc>
          <w:tcPr>
            <w:tcW w:w="5879" w:type="dxa"/>
            <w:tcBorders>
              <w:top w:val="single" w:color="auto" w:sz="4" w:space="0"/>
              <w:left w:val="single" w:color="auto" w:sz="4" w:space="0"/>
              <w:bottom w:val="single" w:color="auto" w:sz="4" w:space="0"/>
              <w:right w:val="single" w:color="auto" w:sz="4" w:space="0"/>
            </w:tcBorders>
            <w:vAlign w:val="top"/>
          </w:tcPr>
          <w:p w14:paraId="013C5A58">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根据投标人针对本项目的突发事件应急方案（内容包括不限于①出具体解决方案②相应响应时间承诺等）进行评审： </w:t>
            </w:r>
          </w:p>
          <w:p w14:paraId="7B408409">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1.能提供针对突发事件应急情况解决方案的，得</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 xml:space="preserve">分；如未能提供突发事件应急方案的，以下评分项均不得分。 </w:t>
            </w:r>
          </w:p>
          <w:p w14:paraId="3715BC16">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2.提供突发事件应急情况解决方案包含上述全部内容的，得</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 xml:space="preserve">分；未包含其中任意一项不得分，且以下评分项均不得分。 </w:t>
            </w:r>
          </w:p>
          <w:p w14:paraId="3E503BA5">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2.1承诺采购人需应急配送时，在1小时（含）内将货物送达采购人配送地点并提供切实可行的方案的，得</w:t>
            </w:r>
            <w:r>
              <w:rPr>
                <w:rFonts w:hint="eastAsia" w:ascii="宋体" w:hAnsi="宋体" w:cs="宋体"/>
                <w:color w:val="auto"/>
                <w:sz w:val="22"/>
                <w:szCs w:val="22"/>
                <w:highlight w:val="none"/>
                <w:lang w:val="en-US" w:eastAsia="zh-CN"/>
              </w:rPr>
              <w:t>3</w:t>
            </w:r>
            <w:r>
              <w:rPr>
                <w:rFonts w:hint="eastAsia" w:ascii="宋体" w:hAnsi="宋体" w:eastAsia="宋体" w:cs="宋体"/>
                <w:color w:val="auto"/>
                <w:sz w:val="22"/>
                <w:szCs w:val="22"/>
                <w:highlight w:val="none"/>
              </w:rPr>
              <w:t xml:space="preserve">分； </w:t>
            </w:r>
          </w:p>
          <w:p w14:paraId="27FF9B62">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2.2承诺采购人需应急配送时，在1小时（含）内将货物送达采购人配送地点但未提供切实可行的方案的或在1小时（不含）-2小时（含）内将货物送达采购人配送地点并提供切实可行的的方案的，得</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rPr>
              <w:t xml:space="preserve">分； </w:t>
            </w:r>
          </w:p>
          <w:p w14:paraId="5BE2A09C">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2.3承诺采购人需应急配送时，在1小时（不含）-2小时（含）内将货物送达采购人配送地点但未提供切实可行的的方案的或在2小时（不含）-</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小时（含）内将货物送达采购人配送地点并提供切实可行的方案的，得</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 xml:space="preserve">分； </w:t>
            </w:r>
          </w:p>
          <w:p w14:paraId="326FA77F">
            <w:pPr>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2.4承诺采购人需应急配送时，送达时间大于</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小时，或未承诺应急供应送达时间及切实可行的方案的，得0分。</w:t>
            </w:r>
          </w:p>
        </w:tc>
      </w:tr>
      <w:tr w14:paraId="7992E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6281F940">
            <w:pPr>
              <w:spacing w:line="360" w:lineRule="auto"/>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注：</w:t>
            </w:r>
          </w:p>
          <w:p w14:paraId="3D788A69">
            <w:pPr>
              <w:spacing w:line="360" w:lineRule="auto"/>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（1）无特殊说明外，以上评审项，同一证明文件不重复计分。</w:t>
            </w:r>
          </w:p>
          <w:p w14:paraId="126B4B08">
            <w:pPr>
              <w:spacing w:line="360" w:lineRule="auto"/>
              <w:rPr>
                <w:rFonts w:hint="eastAsia" w:ascii="宋体" w:hAnsi="宋体" w:eastAsia="宋体" w:cs="宋体"/>
                <w:color w:val="auto"/>
                <w:sz w:val="22"/>
                <w:szCs w:val="22"/>
                <w:highlight w:val="none"/>
              </w:rPr>
            </w:pPr>
            <w:r>
              <w:rPr>
                <w:rFonts w:hint="eastAsia" w:ascii="宋体" w:hAnsi="宋体" w:eastAsia="宋体" w:cs="宋体"/>
                <w:b/>
                <w:color w:val="auto"/>
                <w:sz w:val="22"/>
                <w:szCs w:val="22"/>
                <w:highlight w:val="none"/>
              </w:rPr>
              <w:t>（2）投标人根据以上评分要求提供的投标材料因模糊不清导致评标委员会无法清晰辨认进行评审的，视为无效材料。</w:t>
            </w:r>
          </w:p>
        </w:tc>
      </w:tr>
      <w:tr w14:paraId="46722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27458A59">
            <w:pPr>
              <w:pStyle w:val="47"/>
              <w:spacing w:line="360" w:lineRule="auto"/>
              <w:ind w:firstLine="0" w:firstLineChars="0"/>
              <w:jc w:val="center"/>
              <w:rPr>
                <w:rFonts w:hint="eastAsia" w:ascii="宋体" w:hAnsi="宋体" w:eastAsia="宋体" w:cs="宋体"/>
                <w:color w:val="auto"/>
                <w:sz w:val="22"/>
                <w:szCs w:val="22"/>
                <w:highlight w:val="none"/>
                <w:lang w:val="zh-CN"/>
              </w:rPr>
            </w:pPr>
            <w:r>
              <w:rPr>
                <w:rFonts w:hint="eastAsia" w:ascii="宋体" w:hAnsi="宋体" w:eastAsia="宋体" w:cs="宋体"/>
                <w:b/>
                <w:bCs/>
                <w:color w:val="auto"/>
                <w:sz w:val="22"/>
                <w:szCs w:val="22"/>
                <w:highlight w:val="none"/>
                <w:u w:val="none"/>
              </w:rPr>
              <w:t>价格评审（</w:t>
            </w:r>
            <w:r>
              <w:rPr>
                <w:rFonts w:hint="eastAsia" w:ascii="宋体" w:eastAsia="宋体" w:cs="宋体"/>
                <w:b/>
                <w:bCs/>
                <w:color w:val="auto"/>
                <w:sz w:val="22"/>
                <w:szCs w:val="22"/>
                <w:highlight w:val="none"/>
                <w:u w:val="none"/>
                <w:lang w:val="en-US" w:eastAsia="zh-CN"/>
              </w:rPr>
              <w:t>5</w:t>
            </w:r>
            <w:r>
              <w:rPr>
                <w:rFonts w:hint="eastAsia" w:ascii="宋体" w:hAnsi="宋体" w:eastAsia="宋体" w:cs="宋体"/>
                <w:b/>
                <w:bCs/>
                <w:color w:val="auto"/>
                <w:sz w:val="22"/>
                <w:szCs w:val="22"/>
                <w:highlight w:val="none"/>
                <w:u w:val="none"/>
                <w:lang w:val="en-US" w:eastAsia="zh-CN"/>
              </w:rPr>
              <w:t>0</w:t>
            </w:r>
            <w:r>
              <w:rPr>
                <w:rFonts w:hint="eastAsia" w:ascii="宋体" w:hAnsi="宋体" w:eastAsia="宋体" w:cs="宋体"/>
                <w:b/>
                <w:bCs/>
                <w:color w:val="auto"/>
                <w:sz w:val="22"/>
                <w:szCs w:val="22"/>
                <w:highlight w:val="none"/>
                <w:u w:val="none"/>
              </w:rPr>
              <w:t>分）</w:t>
            </w:r>
          </w:p>
        </w:tc>
      </w:tr>
      <w:tr w14:paraId="6C046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201704A">
            <w:pPr>
              <w:pStyle w:val="47"/>
              <w:spacing w:line="360" w:lineRule="auto"/>
              <w:ind w:firstLine="0" w:firstLineChars="0"/>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p>
        </w:tc>
        <w:tc>
          <w:tcPr>
            <w:tcW w:w="1127" w:type="dxa"/>
            <w:tcBorders>
              <w:top w:val="single" w:color="auto" w:sz="4" w:space="0"/>
              <w:left w:val="single" w:color="auto" w:sz="4" w:space="0"/>
              <w:bottom w:val="single" w:color="auto" w:sz="4" w:space="0"/>
              <w:right w:val="single" w:color="auto" w:sz="4" w:space="0"/>
            </w:tcBorders>
            <w:vAlign w:val="center"/>
          </w:tcPr>
          <w:p w14:paraId="3E8BB824">
            <w:pPr>
              <w:widowControl w:val="0"/>
              <w:adjustRightInd/>
              <w:snapToGrid/>
              <w:spacing w:line="360" w:lineRule="auto"/>
              <w:jc w:val="center"/>
              <w:rPr>
                <w:rFonts w:hint="eastAsia" w:ascii="宋体" w:hAnsi="宋体" w:eastAsia="宋体" w:cs="宋体"/>
                <w:color w:val="auto"/>
                <w:kern w:val="2"/>
                <w:sz w:val="22"/>
                <w:szCs w:val="22"/>
                <w:highlight w:val="none"/>
              </w:rPr>
            </w:pPr>
            <w:r>
              <w:rPr>
                <w:rFonts w:hint="eastAsia" w:ascii="宋体" w:hAnsi="宋体" w:eastAsia="宋体" w:cs="宋体"/>
                <w:color w:val="auto"/>
                <w:kern w:val="2"/>
                <w:sz w:val="22"/>
                <w:szCs w:val="22"/>
                <w:highlight w:val="none"/>
              </w:rPr>
              <w:t>投标总价</w:t>
            </w:r>
          </w:p>
        </w:tc>
        <w:tc>
          <w:tcPr>
            <w:tcW w:w="826" w:type="dxa"/>
            <w:tcBorders>
              <w:top w:val="single" w:color="auto" w:sz="4" w:space="0"/>
              <w:left w:val="single" w:color="auto" w:sz="4" w:space="0"/>
              <w:bottom w:val="single" w:color="auto" w:sz="4" w:space="0"/>
              <w:right w:val="single" w:color="auto" w:sz="4" w:space="0"/>
            </w:tcBorders>
            <w:vAlign w:val="center"/>
          </w:tcPr>
          <w:p w14:paraId="75FD90F5">
            <w:pPr>
              <w:widowControl w:val="0"/>
              <w:adjustRightInd/>
              <w:snapToGrid/>
              <w:spacing w:line="360" w:lineRule="auto"/>
              <w:jc w:val="center"/>
              <w:rPr>
                <w:rFonts w:hint="eastAsia" w:ascii="宋体" w:hAnsi="宋体" w:eastAsia="宋体" w:cs="宋体"/>
                <w:color w:val="auto"/>
                <w:kern w:val="2"/>
                <w:sz w:val="22"/>
                <w:szCs w:val="22"/>
                <w:highlight w:val="none"/>
                <w:lang w:val="en-US" w:eastAsia="zh-CN"/>
              </w:rPr>
            </w:pPr>
            <w:r>
              <w:rPr>
                <w:rFonts w:hint="eastAsia" w:ascii="宋体" w:hAnsi="宋体" w:cs="宋体"/>
                <w:color w:val="auto"/>
                <w:kern w:val="2"/>
                <w:sz w:val="22"/>
                <w:szCs w:val="22"/>
                <w:highlight w:val="none"/>
                <w:lang w:val="en-US" w:eastAsia="zh-CN"/>
              </w:rPr>
              <w:t>5</w:t>
            </w:r>
            <w:r>
              <w:rPr>
                <w:rFonts w:hint="eastAsia" w:ascii="宋体" w:hAnsi="宋体" w:eastAsia="宋体" w:cs="宋体"/>
                <w:color w:val="auto"/>
                <w:kern w:val="2"/>
                <w:sz w:val="22"/>
                <w:szCs w:val="22"/>
                <w:highlight w:val="none"/>
                <w:lang w:val="en-US" w:eastAsia="zh-CN"/>
              </w:rPr>
              <w:t>0分</w:t>
            </w:r>
          </w:p>
        </w:tc>
        <w:tc>
          <w:tcPr>
            <w:tcW w:w="5879" w:type="dxa"/>
            <w:tcBorders>
              <w:top w:val="single" w:color="auto" w:sz="4" w:space="0"/>
              <w:left w:val="single" w:color="auto" w:sz="4" w:space="0"/>
              <w:bottom w:val="single" w:color="auto" w:sz="4" w:space="0"/>
              <w:right w:val="single" w:color="auto" w:sz="4" w:space="0"/>
            </w:tcBorders>
            <w:vAlign w:val="center"/>
          </w:tcPr>
          <w:p w14:paraId="29DC94A7">
            <w:pPr>
              <w:spacing w:line="360" w:lineRule="auto"/>
              <w:ind w:firstLine="440" w:firstLineChars="200"/>
              <w:jc w:val="left"/>
              <w:rPr>
                <w:rFonts w:hint="eastAsia" w:ascii="宋体" w:hAnsi="宋体" w:eastAsia="宋体" w:cs="宋体"/>
                <w:color w:val="auto"/>
                <w:kern w:val="2"/>
                <w:sz w:val="22"/>
                <w:szCs w:val="22"/>
                <w:highlight w:val="none"/>
              </w:rPr>
            </w:pPr>
            <w:r>
              <w:rPr>
                <w:rFonts w:hint="eastAsia" w:ascii="宋体" w:hAnsi="宋体" w:cs="宋体"/>
                <w:color w:val="auto"/>
                <w:kern w:val="2"/>
                <w:sz w:val="22"/>
                <w:highlight w:val="none"/>
              </w:rPr>
              <w:t>投标报价得分 = (评标基准价/投标人的不含税总价) ×</w:t>
            </w:r>
            <w:r>
              <w:rPr>
                <w:rFonts w:hint="eastAsia" w:ascii="宋体" w:hAnsi="宋体" w:cs="宋体"/>
                <w:color w:val="auto"/>
                <w:kern w:val="2"/>
                <w:sz w:val="22"/>
                <w:highlight w:val="none"/>
                <w:lang w:val="en-US" w:eastAsia="zh-CN"/>
              </w:rPr>
              <w:t>价格分值</w:t>
            </w:r>
            <w:r>
              <w:rPr>
                <w:rFonts w:hint="eastAsia" w:ascii="宋体" w:hAnsi="宋体" w:eastAsia="宋体" w:cs="宋体"/>
                <w:color w:val="auto"/>
                <w:kern w:val="2"/>
                <w:sz w:val="22"/>
                <w:szCs w:val="22"/>
                <w:highlight w:val="none"/>
              </w:rPr>
              <w:t>（注：</w:t>
            </w:r>
            <w:r>
              <w:rPr>
                <w:rFonts w:hint="eastAsia" w:ascii="宋体" w:hAnsi="宋体" w:cs="宋体"/>
                <w:color w:val="auto"/>
                <w:kern w:val="2"/>
                <w:sz w:val="22"/>
                <w:highlight w:val="none"/>
              </w:rPr>
              <w:t>以满足招标文件要求且不含税总价最低的投标报价为评标基准价，其价格分为满分。</w:t>
            </w:r>
            <w:r>
              <w:rPr>
                <w:rFonts w:hint="eastAsia" w:ascii="宋体" w:hAnsi="宋体" w:eastAsia="宋体" w:cs="宋体"/>
                <w:color w:val="auto"/>
                <w:kern w:val="2"/>
                <w:sz w:val="22"/>
                <w:szCs w:val="22"/>
                <w:highlight w:val="none"/>
              </w:rPr>
              <w:t>）最低报价不是中标的唯一依据。</w:t>
            </w:r>
          </w:p>
          <w:p w14:paraId="3F182CAC">
            <w:pPr>
              <w:spacing w:line="360" w:lineRule="auto"/>
              <w:ind w:firstLine="0" w:firstLineChars="0"/>
              <w:jc w:val="left"/>
              <w:rPr>
                <w:rFonts w:hint="eastAsia" w:ascii="宋体" w:hAnsi="宋体" w:eastAsia="宋体" w:cs="宋体"/>
                <w:color w:val="auto"/>
                <w:kern w:val="2"/>
                <w:sz w:val="22"/>
                <w:szCs w:val="22"/>
                <w:highlight w:val="none"/>
              </w:rPr>
            </w:pPr>
            <w:r>
              <w:rPr>
                <w:rFonts w:hint="eastAsia" w:ascii="宋体" w:hAnsi="宋体" w:cs="宋体"/>
                <w:color w:val="auto"/>
                <w:kern w:val="2"/>
                <w:sz w:val="22"/>
                <w:highlight w:val="none"/>
              </w:rPr>
              <w:t>注： 不含税总价 =∑（招标文件《物资明细表》中列明的预估数量 × 投标人填报的不含税投标单价）。</w:t>
            </w:r>
          </w:p>
        </w:tc>
      </w:tr>
    </w:tbl>
    <w:p w14:paraId="22535182">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4F70BE8A">
      <w:pPr>
        <w:pStyle w:val="3"/>
        <w:spacing w:before="0" w:after="0" w:line="240" w:lineRule="auto"/>
        <w:rPr>
          <w:rFonts w:hint="eastAsia" w:ascii="宋体" w:hAnsi="宋体" w:eastAsia="宋体" w:cs="宋体"/>
          <w:color w:val="auto"/>
          <w:sz w:val="36"/>
          <w:szCs w:val="36"/>
          <w:highlight w:val="none"/>
        </w:rPr>
      </w:pPr>
      <w:bookmarkStart w:id="7" w:name="_Toc2228"/>
      <w:r>
        <w:rPr>
          <w:rFonts w:hint="eastAsia" w:ascii="宋体" w:hAnsi="宋体" w:eastAsia="宋体" w:cs="宋体"/>
          <w:color w:val="auto"/>
          <w:sz w:val="28"/>
          <w:szCs w:val="28"/>
          <w:highlight w:val="none"/>
        </w:rPr>
        <w:t>第三部分用户需求书</w:t>
      </w:r>
      <w:bookmarkEnd w:id="7"/>
    </w:p>
    <w:p w14:paraId="37F0E753">
      <w:pPr>
        <w:pStyle w:val="4"/>
        <w:spacing w:before="0" w:after="0" w:line="360" w:lineRule="auto"/>
        <w:jc w:val="center"/>
        <w:rPr>
          <w:rFonts w:hint="default" w:ascii="宋体" w:hAnsi="宋体" w:eastAsia="宋体" w:cs="宋体"/>
          <w:color w:val="auto"/>
          <w:sz w:val="28"/>
          <w:szCs w:val="28"/>
          <w:highlight w:val="none"/>
          <w:lang w:val="en-US" w:eastAsia="zh-CN"/>
        </w:rPr>
      </w:pPr>
      <w:bookmarkStart w:id="8" w:name="_Toc25197"/>
      <w:bookmarkStart w:id="9" w:name="_Toc1593"/>
      <w:bookmarkStart w:id="10" w:name="_Toc308786492"/>
      <w:bookmarkStart w:id="11" w:name="_Toc13112"/>
      <w:bookmarkStart w:id="12" w:name="_Toc24679"/>
      <w:bookmarkStart w:id="13" w:name="_Toc31278"/>
      <w:bookmarkStart w:id="14" w:name="_Toc14462"/>
      <w:r>
        <w:rPr>
          <w:rFonts w:hint="eastAsia" w:ascii="宋体" w:hAnsi="宋体" w:cs="宋体"/>
          <w:color w:val="auto"/>
          <w:sz w:val="28"/>
          <w:szCs w:val="28"/>
          <w:highlight w:val="none"/>
          <w:lang w:val="en-US" w:eastAsia="zh-CN"/>
        </w:rPr>
        <w:t>以下内容适用包A</w:t>
      </w:r>
    </w:p>
    <w:p w14:paraId="5C12E465">
      <w:pPr>
        <w:pStyle w:val="4"/>
        <w:spacing w:before="0" w:after="0"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第一章 商务需求书</w:t>
      </w:r>
      <w:bookmarkEnd w:id="8"/>
      <w:bookmarkEnd w:id="9"/>
    </w:p>
    <w:tbl>
      <w:tblPr>
        <w:tblStyle w:val="30"/>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341"/>
        <w:gridCol w:w="6626"/>
      </w:tblGrid>
      <w:tr w14:paraId="0E60F0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4DFF9844">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341" w:type="dxa"/>
            <w:vAlign w:val="center"/>
          </w:tcPr>
          <w:p w14:paraId="7780FAD6">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条款名称</w:t>
            </w:r>
          </w:p>
        </w:tc>
        <w:tc>
          <w:tcPr>
            <w:tcW w:w="6626" w:type="dxa"/>
            <w:vAlign w:val="center"/>
          </w:tcPr>
          <w:p w14:paraId="60AD2442">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说  明</w:t>
            </w:r>
          </w:p>
        </w:tc>
      </w:tr>
      <w:tr w14:paraId="118D3E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39A010E9">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341" w:type="dxa"/>
            <w:vAlign w:val="center"/>
          </w:tcPr>
          <w:p w14:paraId="48E788A1">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合格投标人</w:t>
            </w:r>
          </w:p>
        </w:tc>
        <w:tc>
          <w:tcPr>
            <w:tcW w:w="6626" w:type="dxa"/>
            <w:vAlign w:val="center"/>
          </w:tcPr>
          <w:p w14:paraId="0ABFC5A6">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详见“第一部分 投标邀请”中“二、投标人资格要求”</w:t>
            </w:r>
          </w:p>
        </w:tc>
      </w:tr>
      <w:tr w14:paraId="292B3D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08122FB7">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341" w:type="dxa"/>
            <w:vAlign w:val="center"/>
          </w:tcPr>
          <w:p w14:paraId="35BE6C3B">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★服务期</w:t>
            </w:r>
          </w:p>
        </w:tc>
        <w:tc>
          <w:tcPr>
            <w:tcW w:w="6626" w:type="dxa"/>
            <w:vAlign w:val="center"/>
          </w:tcPr>
          <w:p w14:paraId="7D26AE49">
            <w:pPr>
              <w:rPr>
                <w:rFonts w:hint="eastAsia" w:ascii="宋体" w:hAnsi="宋体" w:eastAsia="宋体" w:cs="宋体"/>
                <w:color w:val="auto"/>
                <w:sz w:val="21"/>
                <w:szCs w:val="21"/>
                <w:highlight w:val="none"/>
              </w:rPr>
            </w:pPr>
            <w:r>
              <w:rPr>
                <w:rFonts w:hint="eastAsia" w:ascii="宋体" w:hAnsi="宋体" w:cs="宋体"/>
                <w:color w:val="auto"/>
                <w:szCs w:val="21"/>
                <w:highlight w:val="none"/>
              </w:rPr>
              <w:t>24个月（本项目按实际发生量结算，</w:t>
            </w:r>
            <w:r>
              <w:rPr>
                <w:rFonts w:hint="eastAsia" w:ascii="宋体" w:hAnsi="宋体" w:cs="宋体"/>
                <w:color w:val="auto"/>
                <w:szCs w:val="21"/>
                <w:highlight w:val="none"/>
                <w:lang w:val="en-US" w:eastAsia="zh-CN"/>
              </w:rPr>
              <w:t>若</w:t>
            </w:r>
            <w:r>
              <w:rPr>
                <w:rFonts w:hint="eastAsia" w:ascii="宋体" w:hAnsi="宋体" w:cs="宋体"/>
                <w:color w:val="auto"/>
                <w:szCs w:val="21"/>
                <w:highlight w:val="none"/>
              </w:rPr>
              <w:t>合同期</w:t>
            </w:r>
            <w:r>
              <w:rPr>
                <w:rFonts w:hint="eastAsia" w:ascii="宋体" w:hAnsi="宋体" w:cs="宋体"/>
                <w:color w:val="auto"/>
                <w:szCs w:val="21"/>
                <w:highlight w:val="none"/>
                <w:lang w:val="en-US" w:eastAsia="zh-CN"/>
              </w:rPr>
              <w:t>内</w:t>
            </w:r>
            <w:r>
              <w:rPr>
                <w:rFonts w:hint="eastAsia" w:ascii="宋体" w:hAnsi="宋体" w:cs="宋体"/>
                <w:color w:val="auto"/>
                <w:szCs w:val="21"/>
                <w:highlight w:val="none"/>
              </w:rPr>
              <w:t>结算金额达到</w:t>
            </w:r>
            <w:r>
              <w:rPr>
                <w:rFonts w:hint="eastAsia" w:ascii="宋体" w:hAnsi="宋体" w:cs="宋体"/>
                <w:color w:val="auto"/>
                <w:szCs w:val="21"/>
                <w:highlight w:val="none"/>
                <w:lang w:val="en-US" w:eastAsia="zh-CN"/>
              </w:rPr>
              <w:t>合同总额</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则</w:t>
            </w:r>
            <w:r>
              <w:rPr>
                <w:rFonts w:hint="eastAsia" w:ascii="宋体" w:hAnsi="宋体" w:cs="宋体"/>
                <w:color w:val="auto"/>
                <w:szCs w:val="21"/>
                <w:highlight w:val="none"/>
              </w:rPr>
              <w:t>本项目合同终止。）</w:t>
            </w:r>
          </w:p>
        </w:tc>
      </w:tr>
      <w:tr w14:paraId="09674A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39670241">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341" w:type="dxa"/>
            <w:vAlign w:val="center"/>
          </w:tcPr>
          <w:p w14:paraId="2F348395">
            <w:pPr>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★付款方式</w:t>
            </w:r>
          </w:p>
        </w:tc>
        <w:tc>
          <w:tcPr>
            <w:tcW w:w="6626" w:type="dxa"/>
            <w:shd w:val="clear" w:color="auto" w:fill="auto"/>
            <w:vAlign w:val="center"/>
          </w:tcPr>
          <w:p w14:paraId="4CD1DA5C">
            <w:pPr>
              <w:rPr>
                <w:rFonts w:hint="eastAsia" w:ascii="宋体" w:hAnsi="宋体" w:cs="宋体"/>
                <w:color w:val="auto"/>
                <w:szCs w:val="21"/>
                <w:highlight w:val="none"/>
              </w:rPr>
            </w:pPr>
            <w:r>
              <w:rPr>
                <w:rFonts w:hint="eastAsia" w:ascii="宋体" w:hAnsi="宋体" w:eastAsia="宋体" w:cs="宋体"/>
                <w:color w:val="auto"/>
                <w:sz w:val="21"/>
                <w:szCs w:val="21"/>
                <w:highlight w:val="none"/>
              </w:rPr>
              <w:t>1、本合同的付款方式为：采取“先送货后结款”的方式，货款按月进行</w:t>
            </w:r>
            <w:r>
              <w:rPr>
                <w:rFonts w:hint="eastAsia" w:ascii="宋体" w:hAnsi="宋体" w:cs="宋体"/>
                <w:color w:val="auto"/>
                <w:sz w:val="21"/>
                <w:szCs w:val="21"/>
                <w:highlight w:val="none"/>
                <w:lang w:val="en-US" w:eastAsia="zh-CN"/>
              </w:rPr>
              <w:t>核算</w:t>
            </w:r>
            <w:r>
              <w:rPr>
                <w:rFonts w:hint="eastAsia" w:ascii="宋体" w:hAnsi="宋体" w:eastAsia="宋体" w:cs="宋体"/>
                <w:color w:val="auto"/>
                <w:sz w:val="21"/>
                <w:szCs w:val="21"/>
                <w:highlight w:val="none"/>
              </w:rPr>
              <w:t>，</w:t>
            </w:r>
            <w:r>
              <w:rPr>
                <w:rFonts w:hint="eastAsia" w:ascii="宋体" w:hAnsi="宋体" w:cs="宋体"/>
                <w:color w:val="auto"/>
                <w:szCs w:val="21"/>
                <w:highlight w:val="none"/>
              </w:rPr>
              <w:t>不含税结算单价=当期含税基准价÷(1+本合同约定增值税税率)×(1-中标不含税下浮率)</w:t>
            </w:r>
            <w:r>
              <w:rPr>
                <w:rFonts w:hint="eastAsia" w:ascii="宋体" w:hAnsi="宋体" w:cs="宋体"/>
                <w:color w:val="auto"/>
                <w:szCs w:val="21"/>
                <w:highlight w:val="none"/>
                <w:lang w:eastAsia="zh-CN"/>
              </w:rPr>
              <w:t>；</w:t>
            </w:r>
          </w:p>
          <w:p w14:paraId="0C6F6E1E">
            <w:pPr>
              <w:rPr>
                <w:rFonts w:hint="eastAsia" w:ascii="宋体" w:hAnsi="宋体" w:eastAsia="宋体" w:cs="宋体"/>
                <w:color w:val="auto"/>
                <w:sz w:val="21"/>
                <w:szCs w:val="21"/>
                <w:highlight w:val="none"/>
              </w:rPr>
            </w:pPr>
            <w:r>
              <w:rPr>
                <w:rFonts w:hint="eastAsia" w:ascii="宋体" w:hAnsi="宋体" w:cs="宋体"/>
                <w:color w:val="auto"/>
                <w:szCs w:val="21"/>
                <w:highlight w:val="none"/>
              </w:rPr>
              <w:t>当月含税结算总价=不含税结算单价×(1+本合同约定增值税税率)×当月实际验收合格数量</w:t>
            </w:r>
            <w:r>
              <w:rPr>
                <w:rFonts w:hint="eastAsia" w:ascii="宋体" w:hAnsi="宋体" w:cs="宋体"/>
                <w:color w:val="auto"/>
                <w:szCs w:val="21"/>
                <w:highlight w:val="none"/>
                <w:lang w:eastAsia="zh-CN"/>
              </w:rPr>
              <w:t>。</w:t>
            </w:r>
          </w:p>
          <w:p w14:paraId="71170738">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val="en-US" w:eastAsia="zh-CN"/>
              </w:rPr>
              <w:t>每月供货完成后，中标人于次月10日前提供采购人系统《供应商对账单》（加盖公章）向采购人提出付款申请，采购人在收到付款申请及等额增值税专用发票并核对无误后支付款项</w:t>
            </w:r>
            <w:r>
              <w:rPr>
                <w:rFonts w:hint="eastAsia" w:ascii="宋体" w:hAnsi="宋体" w:eastAsia="宋体" w:cs="宋体"/>
                <w:color w:val="auto"/>
                <w:sz w:val="21"/>
                <w:szCs w:val="21"/>
                <w:highlight w:val="none"/>
              </w:rPr>
              <w:t>。</w:t>
            </w:r>
          </w:p>
          <w:p w14:paraId="764D32A7">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3、收款方、发票的销售方、合同乙方均必须与</w:t>
            </w:r>
            <w:r>
              <w:rPr>
                <w:rFonts w:hint="eastAsia" w:ascii="宋体" w:hAnsi="宋体" w:cs="宋体"/>
                <w:color w:val="auto"/>
                <w:sz w:val="21"/>
                <w:szCs w:val="21"/>
                <w:highlight w:val="none"/>
                <w:lang w:val="en-US" w:eastAsia="zh-CN"/>
              </w:rPr>
              <w:t>中标人</w:t>
            </w:r>
            <w:r>
              <w:rPr>
                <w:rFonts w:hint="eastAsia" w:ascii="宋体" w:hAnsi="宋体" w:eastAsia="宋体" w:cs="宋体"/>
                <w:color w:val="auto"/>
                <w:sz w:val="21"/>
                <w:szCs w:val="21"/>
                <w:highlight w:val="none"/>
              </w:rPr>
              <w:t>名称一致。</w:t>
            </w:r>
          </w:p>
          <w:p w14:paraId="2B86930E">
            <w:pP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4、</w:t>
            </w:r>
            <w:r>
              <w:rPr>
                <w:rFonts w:hint="eastAsia" w:ascii="宋体" w:hAnsi="宋体" w:cs="宋体"/>
                <w:color w:val="auto"/>
                <w:sz w:val="21"/>
                <w:szCs w:val="21"/>
                <w:highlight w:val="none"/>
                <w:lang w:val="en-US" w:eastAsia="zh-CN"/>
              </w:rPr>
              <w:t>本项目东莞迎宾馆酒店有限公司仅作为招标单位，中标服务资格商须分别与</w:t>
            </w:r>
            <w:r>
              <w:rPr>
                <w:rFonts w:hint="eastAsia" w:ascii="宋体" w:hAnsi="宋体" w:cs="宋体"/>
                <w:color w:val="auto"/>
                <w:szCs w:val="21"/>
                <w:highlight w:val="none"/>
              </w:rPr>
              <w:t>东莞迎宾馆酒店有限公司</w:t>
            </w:r>
            <w:r>
              <w:rPr>
                <w:rFonts w:hint="eastAsia" w:ascii="宋体" w:hAnsi="宋体" w:cs="宋体"/>
                <w:color w:val="auto"/>
                <w:sz w:val="21"/>
                <w:szCs w:val="21"/>
                <w:highlight w:val="none"/>
                <w:lang w:val="en-US" w:eastAsia="zh-CN"/>
              </w:rPr>
              <w:t>、</w:t>
            </w:r>
            <w:r>
              <w:rPr>
                <w:rFonts w:hint="default" w:ascii="宋体" w:hAnsi="宋体" w:cs="宋体"/>
                <w:color w:val="auto"/>
                <w:szCs w:val="21"/>
                <w:highlight w:val="none"/>
              </w:rPr>
              <w:t>东莞市迎宾馆酒店管理有限公司</w:t>
            </w:r>
            <w:r>
              <w:rPr>
                <w:rFonts w:hint="eastAsia" w:ascii="宋体" w:hAnsi="宋体" w:cs="宋体"/>
                <w:color w:val="auto"/>
                <w:szCs w:val="21"/>
                <w:highlight w:val="none"/>
                <w:lang w:val="en-US" w:eastAsia="zh-CN"/>
              </w:rPr>
              <w:t>及其分公司</w:t>
            </w:r>
            <w:r>
              <w:rPr>
                <w:rFonts w:hint="eastAsia" w:ascii="宋体" w:hAnsi="宋体" w:cs="宋体"/>
                <w:color w:val="auto"/>
                <w:sz w:val="21"/>
                <w:szCs w:val="21"/>
                <w:highlight w:val="none"/>
                <w:lang w:val="en-US" w:eastAsia="zh-CN"/>
              </w:rPr>
              <w:t>按中标价具体签订供货合同并由对应的需求单位支付货款。服务期内采购人有新项目配送需求的，中标单位承诺按按招采文件与相关主体签订供货合同并由对应的需求单位支付货款。</w:t>
            </w:r>
          </w:p>
        </w:tc>
      </w:tr>
      <w:tr w14:paraId="59DDE9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79738A77">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341" w:type="dxa"/>
            <w:vAlign w:val="center"/>
          </w:tcPr>
          <w:p w14:paraId="27C304A8">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项目地点</w:t>
            </w:r>
          </w:p>
        </w:tc>
        <w:tc>
          <w:tcPr>
            <w:tcW w:w="6626" w:type="dxa"/>
            <w:shd w:val="clear" w:color="auto" w:fill="auto"/>
            <w:vAlign w:val="center"/>
          </w:tcPr>
          <w:p w14:paraId="3D28EC64">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采购人指定</w:t>
            </w:r>
            <w:r>
              <w:rPr>
                <w:rFonts w:hint="eastAsia" w:ascii="宋体" w:hAnsi="宋体" w:cs="宋体"/>
                <w:color w:val="auto"/>
                <w:sz w:val="21"/>
                <w:szCs w:val="21"/>
                <w:highlight w:val="none"/>
                <w:lang w:eastAsia="zh-CN"/>
              </w:rPr>
              <w:t>的</w:t>
            </w:r>
            <w:r>
              <w:rPr>
                <w:rFonts w:hint="eastAsia" w:ascii="宋体" w:hAnsi="宋体" w:cs="宋体"/>
                <w:color w:val="auto"/>
                <w:sz w:val="21"/>
                <w:szCs w:val="21"/>
                <w:highlight w:val="none"/>
                <w:lang w:val="en-US" w:eastAsia="zh-CN"/>
              </w:rPr>
              <w:t>送货</w:t>
            </w:r>
            <w:r>
              <w:rPr>
                <w:rFonts w:hint="eastAsia" w:ascii="宋体" w:hAnsi="宋体" w:eastAsia="宋体" w:cs="宋体"/>
                <w:color w:val="auto"/>
                <w:sz w:val="21"/>
                <w:szCs w:val="21"/>
                <w:highlight w:val="none"/>
              </w:rPr>
              <w:t>地点</w:t>
            </w:r>
            <w:r>
              <w:rPr>
                <w:rFonts w:hint="eastAsia" w:ascii="宋体" w:hAnsi="宋体" w:cs="宋体"/>
                <w:color w:val="auto"/>
                <w:sz w:val="21"/>
                <w:szCs w:val="21"/>
                <w:highlight w:val="none"/>
                <w:lang w:val="en-US" w:eastAsia="zh-CN"/>
              </w:rPr>
              <w:t>分别为东莞市迎宾馆员工餐厅（地址：东莞市桃源路）；东实道滘数智园（地址：广东省东莞市道滘镇创意东路8号）；东实塘厦创智园（地址：广东省东莞市塘厦镇康庄路27号）</w:t>
            </w:r>
            <w:r>
              <w:rPr>
                <w:rFonts w:hint="eastAsia" w:ascii="宋体" w:hAnsi="宋体" w:eastAsia="宋体" w:cs="宋体"/>
                <w:color w:val="auto"/>
                <w:sz w:val="21"/>
                <w:szCs w:val="21"/>
                <w:highlight w:val="none"/>
              </w:rPr>
              <w:t>。</w:t>
            </w:r>
          </w:p>
        </w:tc>
      </w:tr>
      <w:tr w14:paraId="6F60CD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718" w:type="dxa"/>
            <w:vAlign w:val="center"/>
          </w:tcPr>
          <w:p w14:paraId="23F82BBF">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341" w:type="dxa"/>
            <w:vAlign w:val="center"/>
          </w:tcPr>
          <w:p w14:paraId="4FE2C305">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★供货价格要求</w:t>
            </w:r>
          </w:p>
        </w:tc>
        <w:tc>
          <w:tcPr>
            <w:tcW w:w="6626" w:type="dxa"/>
            <w:shd w:val="clear" w:color="auto" w:fill="auto"/>
            <w:vAlign w:val="center"/>
          </w:tcPr>
          <w:p w14:paraId="726DDB00">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供货价格为采购人指定目的地交货价。包含：购货成本、包装配送运输、保险、装卸、退换、雇员费用、损耗费、样品费、包装费、检验检测费、质保期售后服务、全额含税发票、合同实施过程中的应预见和不可预见费用等。在项目的实施过程中，中标人必须充分考虑在本项目实施期间的一切可能产生的风险和相关费用，采购人将拒绝支付合同约定配送费之外的任何费用和补偿。</w:t>
            </w:r>
          </w:p>
          <w:p w14:paraId="4767E5A2">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2、中标后，完善价格调整机制。</w:t>
            </w:r>
            <w:r>
              <w:rPr>
                <w:rFonts w:hint="eastAsia" w:ascii="宋体" w:hAnsi="宋体" w:cs="宋体"/>
                <w:color w:val="auto"/>
                <w:sz w:val="21"/>
                <w:szCs w:val="21"/>
                <w:highlight w:val="none"/>
                <w:lang w:val="en-US" w:eastAsia="zh-CN"/>
              </w:rPr>
              <w:t>每月前5个工作日，</w:t>
            </w:r>
            <w:r>
              <w:rPr>
                <w:rFonts w:hint="eastAsia" w:ascii="宋体" w:hAnsi="宋体" w:eastAsia="宋体" w:cs="宋体"/>
                <w:color w:val="auto"/>
                <w:sz w:val="21"/>
                <w:szCs w:val="21"/>
                <w:highlight w:val="none"/>
                <w:lang w:val="en-US" w:eastAsia="zh-CN"/>
              </w:rPr>
              <w:t>双方进行</w:t>
            </w:r>
            <w:r>
              <w:rPr>
                <w:rFonts w:hint="eastAsia" w:ascii="宋体" w:hAnsi="宋体" w:cs="宋体"/>
                <w:color w:val="auto"/>
                <w:sz w:val="21"/>
                <w:szCs w:val="21"/>
                <w:highlight w:val="none"/>
                <w:lang w:val="en-US" w:eastAsia="zh-CN"/>
              </w:rPr>
              <w:t>本月含税</w:t>
            </w:r>
            <w:r>
              <w:rPr>
                <w:rFonts w:hint="eastAsia" w:ascii="宋体" w:hAnsi="宋体" w:eastAsia="宋体" w:cs="宋体"/>
                <w:color w:val="auto"/>
                <w:sz w:val="21"/>
                <w:szCs w:val="21"/>
                <w:highlight w:val="none"/>
                <w:lang w:val="en-US" w:eastAsia="zh-CN"/>
              </w:rPr>
              <w:t>基准价确定</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所有品类按深圳市中农数据有限公司（</w:t>
            </w:r>
            <w:r>
              <w:rPr>
                <w:rFonts w:hint="eastAsia" w:ascii="宋体" w:hAnsi="宋体" w:cs="宋体"/>
                <w:color w:val="auto"/>
                <w:szCs w:val="21"/>
                <w:highlight w:val="none"/>
              </w:rPr>
              <w:t>https://www.znttcp.com/#/index</w:t>
            </w:r>
            <w:r>
              <w:rPr>
                <w:rFonts w:hint="eastAsia" w:ascii="宋体" w:hAnsi="宋体" w:eastAsia="宋体" w:cs="宋体"/>
                <w:color w:val="auto"/>
                <w:sz w:val="21"/>
                <w:szCs w:val="21"/>
                <w:highlight w:val="none"/>
                <w:lang w:val="en-US" w:eastAsia="zh-CN"/>
              </w:rPr>
              <w:t>）（天天采</w:t>
            </w:r>
            <w:r>
              <w:rPr>
                <w:rFonts w:hint="eastAsia" w:ascii="宋体" w:hAnsi="宋体" w:cs="宋体"/>
                <w:color w:val="auto"/>
                <w:sz w:val="21"/>
                <w:szCs w:val="21"/>
                <w:highlight w:val="none"/>
                <w:lang w:val="en-US" w:eastAsia="zh-CN"/>
              </w:rPr>
              <w:t>配</w:t>
            </w:r>
            <w:r>
              <w:rPr>
                <w:rFonts w:hint="eastAsia" w:ascii="宋体" w:hAnsi="宋体" w:eastAsia="宋体" w:cs="宋体"/>
                <w:color w:val="auto"/>
                <w:sz w:val="21"/>
                <w:szCs w:val="21"/>
                <w:highlight w:val="none"/>
                <w:lang w:val="en-US" w:eastAsia="zh-CN"/>
              </w:rPr>
              <w:t>平台）上月公布的</w:t>
            </w:r>
            <w:r>
              <w:rPr>
                <w:rFonts w:hint="eastAsia" w:ascii="宋体" w:hAnsi="宋体" w:cs="宋体"/>
                <w:color w:val="auto"/>
                <w:sz w:val="21"/>
                <w:szCs w:val="21"/>
                <w:highlight w:val="none"/>
                <w:lang w:val="en-US" w:eastAsia="zh-CN"/>
              </w:rPr>
              <w:t>每日</w:t>
            </w:r>
            <w:r>
              <w:rPr>
                <w:rFonts w:hint="eastAsia" w:ascii="宋体" w:hAnsi="宋体" w:eastAsia="宋体" w:cs="宋体"/>
                <w:color w:val="auto"/>
                <w:sz w:val="21"/>
                <w:szCs w:val="21"/>
                <w:highlight w:val="none"/>
                <w:lang w:val="en-US" w:eastAsia="zh-CN"/>
              </w:rPr>
              <w:t>价格（</w:t>
            </w:r>
            <w:r>
              <w:rPr>
                <w:rFonts w:hint="eastAsia" w:ascii="宋体" w:hAnsi="宋体" w:cs="宋体"/>
                <w:color w:val="auto"/>
                <w:sz w:val="21"/>
                <w:szCs w:val="21"/>
                <w:highlight w:val="none"/>
                <w:lang w:val="en-US" w:eastAsia="zh-CN"/>
              </w:rPr>
              <w:t>含费参考价</w:t>
            </w:r>
            <w:r>
              <w:rPr>
                <w:rFonts w:hint="eastAsia" w:ascii="宋体" w:hAnsi="宋体" w:eastAsia="宋体" w:cs="宋体"/>
                <w:color w:val="auto"/>
                <w:sz w:val="21"/>
                <w:szCs w:val="21"/>
                <w:highlight w:val="none"/>
                <w:lang w:val="en-US" w:eastAsia="zh-CN"/>
              </w:rPr>
              <w:t>）取平均值（平均值精确到分，即小数点后两位）确定该品类的</w:t>
            </w:r>
            <w:r>
              <w:rPr>
                <w:rFonts w:hint="eastAsia" w:ascii="宋体" w:hAnsi="宋体" w:cs="宋体"/>
                <w:color w:val="auto"/>
                <w:sz w:val="21"/>
                <w:szCs w:val="21"/>
                <w:highlight w:val="none"/>
                <w:lang w:val="en-US" w:eastAsia="zh-CN"/>
              </w:rPr>
              <w:t>含税</w:t>
            </w:r>
            <w:r>
              <w:rPr>
                <w:rFonts w:hint="eastAsia" w:ascii="宋体" w:hAnsi="宋体" w:eastAsia="宋体" w:cs="宋体"/>
                <w:color w:val="auto"/>
                <w:sz w:val="21"/>
                <w:szCs w:val="21"/>
                <w:highlight w:val="none"/>
                <w:lang w:val="en-US" w:eastAsia="zh-CN"/>
              </w:rPr>
              <w:t>基准价，投标人结合企业自己的实力报出</w:t>
            </w:r>
            <w:r>
              <w:rPr>
                <w:rFonts w:hint="eastAsia" w:ascii="宋体" w:hAnsi="宋体" w:cs="宋体"/>
                <w:color w:val="auto"/>
                <w:sz w:val="21"/>
                <w:szCs w:val="21"/>
                <w:highlight w:val="none"/>
                <w:lang w:val="en-US" w:eastAsia="zh-CN"/>
              </w:rPr>
              <w:t>下浮</w:t>
            </w:r>
            <w:r>
              <w:rPr>
                <w:rFonts w:hint="eastAsia" w:ascii="宋体" w:hAnsi="宋体" w:eastAsia="宋体" w:cs="宋体"/>
                <w:color w:val="auto"/>
                <w:sz w:val="21"/>
                <w:szCs w:val="21"/>
                <w:highlight w:val="none"/>
                <w:lang w:val="en-US" w:eastAsia="zh-CN"/>
              </w:rPr>
              <w:t>率；若（天天采配）上无</w:t>
            </w: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US" w:eastAsia="zh-CN"/>
              </w:rPr>
              <w:t>所需的货品，则采购人</w:t>
            </w:r>
            <w:r>
              <w:rPr>
                <w:rFonts w:hint="eastAsia" w:ascii="宋体" w:hAnsi="宋体" w:eastAsia="宋体" w:cs="宋体"/>
                <w:color w:val="auto"/>
                <w:highlight w:val="none"/>
              </w:rPr>
              <w:t>将进行市场价抽样调查(则</w:t>
            </w:r>
            <w:r>
              <w:rPr>
                <w:rFonts w:hint="eastAsia" w:ascii="宋体" w:hAnsi="宋体" w:cs="宋体"/>
                <w:color w:val="auto"/>
                <w:highlight w:val="none"/>
                <w:lang w:val="en-US" w:eastAsia="zh-CN"/>
              </w:rPr>
              <w:t>含税</w:t>
            </w:r>
            <w:r>
              <w:rPr>
                <w:rFonts w:hint="eastAsia" w:ascii="宋体" w:hAnsi="宋体" w:eastAsia="宋体" w:cs="宋体"/>
                <w:color w:val="auto"/>
                <w:highlight w:val="none"/>
              </w:rPr>
              <w:t>基准价=市场平均价=市场抽样价格之和÷</w:t>
            </w:r>
            <w:r>
              <w:rPr>
                <w:rFonts w:hint="eastAsia" w:ascii="宋体" w:hAnsi="宋体" w:cs="宋体"/>
                <w:color w:val="auto"/>
                <w:highlight w:val="none"/>
                <w:lang w:val="en-US" w:eastAsia="zh-CN"/>
              </w:rPr>
              <w:t>价格样本数</w:t>
            </w:r>
            <w:r>
              <w:rPr>
                <w:rFonts w:hint="eastAsia" w:ascii="宋体" w:hAnsi="宋体" w:eastAsia="宋体" w:cs="宋体"/>
                <w:color w:val="auto"/>
                <w:highlight w:val="none"/>
              </w:rPr>
              <w:t>)</w:t>
            </w:r>
            <w:r>
              <w:rPr>
                <w:rFonts w:hint="eastAsia" w:ascii="宋体" w:hAnsi="宋体" w:cs="宋体"/>
                <w:color w:val="auto"/>
                <w:highlight w:val="none"/>
                <w:lang w:eastAsia="zh-CN"/>
              </w:rPr>
              <w:t>，</w:t>
            </w:r>
            <w:r>
              <w:rPr>
                <w:rFonts w:hint="eastAsia" w:ascii="宋体" w:hAnsi="宋体" w:cs="宋体"/>
                <w:color w:val="auto"/>
                <w:szCs w:val="21"/>
                <w:highlight w:val="none"/>
              </w:rPr>
              <w:t>原则上价格样本数为3个，但市调时提供该商品的供应商不足3家除外</w:t>
            </w:r>
            <w:r>
              <w:rPr>
                <w:rFonts w:hint="eastAsia" w:ascii="宋体" w:hAnsi="宋体" w:cs="宋体"/>
                <w:color w:val="auto"/>
                <w:highlight w:val="none"/>
                <w:lang w:eastAsia="zh-CN"/>
              </w:rPr>
              <w:t>。</w:t>
            </w:r>
            <w:r>
              <w:rPr>
                <w:rFonts w:hint="eastAsia" w:ascii="宋体" w:hAnsi="宋体" w:cs="宋体"/>
                <w:color w:val="auto"/>
                <w:highlight w:val="none"/>
                <w:lang w:val="en-US" w:eastAsia="zh-CN"/>
              </w:rPr>
              <w:t>粮油干调类的</w:t>
            </w:r>
            <w:r>
              <w:rPr>
                <w:rFonts w:hint="eastAsia" w:ascii="宋体" w:hAnsi="宋体" w:eastAsia="宋体" w:cs="宋体"/>
                <w:color w:val="auto"/>
                <w:highlight w:val="none"/>
              </w:rPr>
              <w:t>市场价抽样调查，可选择大型综合超市或在</w:t>
            </w:r>
            <w:r>
              <w:rPr>
                <w:rFonts w:hint="eastAsia" w:ascii="宋体" w:hAnsi="宋体" w:cs="宋体"/>
                <w:color w:val="auto"/>
                <w:highlight w:val="none"/>
                <w:lang w:val="en-US" w:eastAsia="zh-CN"/>
              </w:rPr>
              <w:t>东莞</w:t>
            </w:r>
            <w:r>
              <w:rPr>
                <w:rFonts w:hint="eastAsia" w:ascii="宋体" w:hAnsi="宋体" w:eastAsia="宋体" w:cs="宋体"/>
                <w:color w:val="auto"/>
                <w:highlight w:val="none"/>
              </w:rPr>
              <w:t>市细村市场、信立农批市场、</w:t>
            </w:r>
            <w:r>
              <w:rPr>
                <w:rFonts w:hint="eastAsia" w:ascii="宋体" w:hAnsi="宋体" w:cs="宋体"/>
                <w:color w:val="auto"/>
                <w:highlight w:val="none"/>
                <w:lang w:val="en-US" w:eastAsia="zh-CN"/>
              </w:rPr>
              <w:t>宏远批发市场</w:t>
            </w:r>
            <w:r>
              <w:rPr>
                <w:rFonts w:hint="eastAsia" w:ascii="宋体" w:hAnsi="宋体" w:eastAsia="宋体" w:cs="宋体"/>
                <w:color w:val="auto"/>
                <w:highlight w:val="none"/>
              </w:rPr>
              <w:t>等市场进行市场价抽样调查，核定相同货品的市场平均价格</w:t>
            </w:r>
            <w:r>
              <w:rPr>
                <w:rFonts w:hint="eastAsia" w:ascii="宋体" w:hAnsi="宋体" w:eastAsia="宋体" w:cs="宋体"/>
                <w:color w:val="auto"/>
                <w:sz w:val="21"/>
                <w:szCs w:val="21"/>
                <w:highlight w:val="none"/>
                <w:lang w:val="en-US" w:eastAsia="zh-CN"/>
              </w:rPr>
              <w:t>。</w:t>
            </w:r>
            <w:r>
              <w:rPr>
                <w:rFonts w:hint="eastAsia" w:ascii="宋体" w:hAnsi="宋体" w:cs="宋体"/>
                <w:color w:val="auto"/>
                <w:highlight w:val="none"/>
                <w:lang w:val="en-US" w:eastAsia="zh-CN"/>
              </w:rPr>
              <w:t>肉菜类的</w:t>
            </w:r>
            <w:r>
              <w:rPr>
                <w:rFonts w:hint="eastAsia" w:ascii="宋体" w:hAnsi="宋体" w:eastAsia="宋体" w:cs="宋体"/>
                <w:color w:val="auto"/>
                <w:highlight w:val="none"/>
              </w:rPr>
              <w:t>市场价抽样调查，可选择大型综合超市或在</w:t>
            </w:r>
            <w:r>
              <w:rPr>
                <w:rFonts w:hint="eastAsia" w:ascii="宋体" w:hAnsi="宋体" w:cs="宋体"/>
                <w:color w:val="auto"/>
                <w:highlight w:val="none"/>
                <w:lang w:val="en-US" w:eastAsia="zh-CN"/>
              </w:rPr>
              <w:t>东莞</w:t>
            </w:r>
            <w:r>
              <w:rPr>
                <w:rFonts w:hint="eastAsia" w:ascii="宋体" w:hAnsi="宋体" w:eastAsia="宋体" w:cs="宋体"/>
                <w:color w:val="auto"/>
                <w:highlight w:val="none"/>
              </w:rPr>
              <w:t>市细村市场、主山市场、罗沙市场等市场进行市场价抽样调查，核定相同货品的市场平均价格</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啤酒饮料类可选择</w:t>
            </w:r>
            <w:r>
              <w:rPr>
                <w:rFonts w:hint="eastAsia" w:ascii="宋体" w:hAnsi="宋体" w:eastAsia="宋体" w:cs="宋体"/>
                <w:color w:val="auto"/>
                <w:highlight w:val="none"/>
              </w:rPr>
              <w:t>大型综合超市</w:t>
            </w:r>
            <w:r>
              <w:rPr>
                <w:rFonts w:hint="eastAsia" w:ascii="宋体" w:hAnsi="宋体" w:cs="宋体"/>
                <w:color w:val="auto"/>
                <w:highlight w:val="none"/>
                <w:lang w:eastAsia="zh-CN"/>
              </w:rPr>
              <w:t>、</w:t>
            </w:r>
            <w:r>
              <w:rPr>
                <w:rFonts w:hint="eastAsia" w:ascii="宋体" w:hAnsi="宋体" w:cs="宋体"/>
                <w:color w:val="auto"/>
                <w:highlight w:val="none"/>
                <w:lang w:val="en-US" w:eastAsia="zh-CN"/>
              </w:rPr>
              <w:t>宏远批发市场</w:t>
            </w:r>
            <w:r>
              <w:rPr>
                <w:rFonts w:hint="eastAsia" w:ascii="宋体" w:hAnsi="宋体" w:eastAsia="宋体" w:cs="宋体"/>
                <w:color w:val="auto"/>
                <w:highlight w:val="none"/>
              </w:rPr>
              <w:t>等市场进行市场价抽样调查，核定相同货品的市场平均价格</w:t>
            </w:r>
            <w:r>
              <w:rPr>
                <w:rFonts w:hint="eastAsia" w:ascii="宋体" w:hAnsi="宋体" w:eastAsia="宋体" w:cs="宋体"/>
                <w:color w:val="auto"/>
                <w:sz w:val="21"/>
                <w:szCs w:val="21"/>
                <w:highlight w:val="none"/>
                <w:lang w:val="en-US" w:eastAsia="zh-CN"/>
              </w:rPr>
              <w:t>。</w:t>
            </w:r>
          </w:p>
          <w:p w14:paraId="129BE521">
            <w:pP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采购人临时需求货品不在核定的供货价格清单内的，中标人必须按采购人要求供货，供货价格由双方按上述定价原则确定供货价格。</w:t>
            </w:r>
          </w:p>
          <w:p w14:paraId="726BEEC8">
            <w:pP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中标人不得擅自变更货物品种及产地、包装、规格和重量等，严格按采购人要求供应，否则采购人有权拒收。对不易购买或暂时短缺的品种，经采购人同意，可由中标人通过其它途径采购或使用指定替代品替换</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价格按上述规定的</w:t>
            </w:r>
            <w:r>
              <w:rPr>
                <w:rFonts w:hint="eastAsia" w:ascii="宋体" w:hAnsi="宋体" w:eastAsia="宋体" w:cs="宋体"/>
                <w:color w:val="auto"/>
                <w:highlight w:val="none"/>
              </w:rPr>
              <w:t>市场价抽样调查</w:t>
            </w:r>
            <w:r>
              <w:rPr>
                <w:rFonts w:hint="eastAsia" w:ascii="宋体" w:hAnsi="宋体" w:cs="宋体"/>
                <w:color w:val="auto"/>
                <w:highlight w:val="none"/>
                <w:lang w:val="en-US" w:eastAsia="zh-CN"/>
              </w:rPr>
              <w:t>平均价确定</w:t>
            </w:r>
            <w:r>
              <w:rPr>
                <w:rFonts w:hint="eastAsia" w:ascii="宋体" w:hAnsi="宋体" w:eastAsia="宋体" w:cs="宋体"/>
                <w:color w:val="auto"/>
                <w:sz w:val="21"/>
                <w:szCs w:val="21"/>
                <w:highlight w:val="none"/>
              </w:rPr>
              <w:t>。</w:t>
            </w:r>
          </w:p>
          <w:p w14:paraId="2D7F7AA7">
            <w:pP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采购人根据自身的需求，有权终止某类中的某些商品的采购或变更某类商品的采购。</w:t>
            </w:r>
          </w:p>
          <w:p w14:paraId="70BCA010">
            <w:pP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6、中标人按各品类规定时间报价给采购人审核，采购人审核同意后，3个工作日内双方签字确认后生效。若通过市场调查确定基准价的，则由采购人按上述方式进行市场抽样调查并将调查价格报中标人确认。</w:t>
            </w:r>
          </w:p>
          <w:p w14:paraId="33DCE13A">
            <w:pP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7、核定价格后若供货时期市场出现</w:t>
            </w:r>
            <w:r>
              <w:rPr>
                <w:rFonts w:hint="eastAsia"/>
                <w:color w:val="auto"/>
                <w:sz w:val="22"/>
                <w:szCs w:val="22"/>
                <w:highlight w:val="none"/>
                <w:lang w:val="en-US" w:eastAsia="zh-CN"/>
              </w:rPr>
              <w:t>商品</w:t>
            </w:r>
            <w:r>
              <w:rPr>
                <w:rFonts w:hint="eastAsia" w:ascii="宋体" w:hAnsi="宋体" w:cs="宋体"/>
                <w:color w:val="auto"/>
                <w:sz w:val="21"/>
                <w:szCs w:val="21"/>
                <w:highlight w:val="none"/>
                <w:lang w:val="en-US" w:eastAsia="zh-CN"/>
              </w:rPr>
              <w:t>价格升降在20%或以上时，双方均可以书面形式提出价格调整请求(未提出调整请求的部分则以原核定价格执行),双方通过市场调查核实后，上述定价原则确定的价格(双方确认生效后开始以新的价格执行，在此之前的仍以原核定价格执行),并在3个工作日内给予函复，若在此期限内不予函复则以新定价格执行，除此之外，双方约定的供货物资价格在有效期内任何一方不得随意更改。</w:t>
            </w:r>
          </w:p>
          <w:p w14:paraId="0B2EFC68">
            <w:pP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8、中标人必须为采购人开通深圳市中农数据有限公司（天天采配平台）账号，具备价格查询功能，由此产生的本项目合同期内相关平台使用费用由中标人承担。</w:t>
            </w:r>
          </w:p>
        </w:tc>
      </w:tr>
      <w:tr w14:paraId="7906FD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2FC7F7DD">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341" w:type="dxa"/>
            <w:vAlign w:val="center"/>
          </w:tcPr>
          <w:p w14:paraId="6A4B1D13">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★报价要求</w:t>
            </w:r>
          </w:p>
        </w:tc>
        <w:tc>
          <w:tcPr>
            <w:tcW w:w="6626" w:type="dxa"/>
            <w:vAlign w:val="center"/>
          </w:tcPr>
          <w:p w14:paraId="63F0626D">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cs="宋体"/>
                <w:color w:val="auto"/>
                <w:szCs w:val="21"/>
                <w:highlight w:val="none"/>
              </w:rPr>
              <w:t>本项目采用‘不含税下浮率’方式进行报价</w:t>
            </w:r>
            <w:r>
              <w:rPr>
                <w:rFonts w:hint="eastAsia" w:ascii="宋体" w:hAnsi="宋体" w:cs="宋体"/>
                <w:color w:val="auto"/>
                <w:szCs w:val="21"/>
                <w:highlight w:val="none"/>
                <w:lang w:eastAsia="zh-CN"/>
              </w:rPr>
              <w:t>，</w:t>
            </w:r>
            <w:r>
              <w:rPr>
                <w:rFonts w:hint="eastAsia" w:ascii="宋体" w:hAnsi="宋体" w:eastAsia="宋体" w:cs="宋体"/>
                <w:color w:val="auto"/>
                <w:sz w:val="21"/>
                <w:szCs w:val="21"/>
                <w:highlight w:val="none"/>
                <w:lang w:val="en-US" w:eastAsia="zh-CN"/>
              </w:rPr>
              <w:t>0＜投标</w:t>
            </w:r>
            <w:r>
              <w:rPr>
                <w:rFonts w:hint="eastAsia" w:ascii="宋体" w:hAnsi="宋体" w:cs="宋体"/>
                <w:color w:val="auto"/>
                <w:sz w:val="21"/>
                <w:szCs w:val="21"/>
                <w:highlight w:val="none"/>
                <w:lang w:val="en-US" w:eastAsia="zh-CN"/>
              </w:rPr>
              <w:t>不含税</w:t>
            </w:r>
            <w:r>
              <w:rPr>
                <w:rFonts w:hint="eastAsia" w:ascii="宋体" w:hAnsi="宋体" w:eastAsia="宋体" w:cs="宋体"/>
                <w:color w:val="auto"/>
                <w:sz w:val="21"/>
                <w:szCs w:val="21"/>
                <w:highlight w:val="none"/>
                <w:lang w:val="en-US" w:eastAsia="zh-CN"/>
              </w:rPr>
              <w:t>下浮率＜100%</w:t>
            </w:r>
            <w:r>
              <w:rPr>
                <w:rFonts w:hint="eastAsia" w:ascii="宋体" w:hAnsi="宋体" w:cs="宋体"/>
                <w:color w:val="auto"/>
                <w:szCs w:val="21"/>
                <w:highlight w:val="none"/>
              </w:rPr>
              <w:t>。投标人在《开标一览表》中填报的‘投标</w:t>
            </w:r>
            <w:r>
              <w:rPr>
                <w:rFonts w:hint="eastAsia" w:ascii="宋体" w:hAnsi="宋体" w:cs="宋体"/>
                <w:color w:val="auto"/>
                <w:szCs w:val="21"/>
                <w:highlight w:val="none"/>
                <w:lang w:val="en-US" w:eastAsia="zh-CN"/>
              </w:rPr>
              <w:t>不含税</w:t>
            </w:r>
            <w:r>
              <w:rPr>
                <w:rFonts w:hint="eastAsia" w:ascii="宋体" w:hAnsi="宋体" w:cs="宋体"/>
                <w:color w:val="auto"/>
                <w:szCs w:val="21"/>
                <w:highlight w:val="none"/>
              </w:rPr>
              <w:t>下浮率’，系指针对项目‘不含税基准总价’的下浮比例。价格评审时将根据此下浮率及投标人自行申报的增值税税率，换算为不含税总价进行比较。</w:t>
            </w:r>
            <w:r>
              <w:rPr>
                <w:rFonts w:hint="eastAsia" w:ascii="宋体" w:hAnsi="宋体" w:eastAsia="宋体" w:cs="宋体"/>
                <w:color w:val="auto"/>
                <w:sz w:val="21"/>
                <w:szCs w:val="21"/>
                <w:highlight w:val="none"/>
              </w:rPr>
              <w:t>报价包含：购货成本、</w:t>
            </w:r>
            <w:r>
              <w:rPr>
                <w:rFonts w:hint="eastAsia" w:ascii="宋体" w:hAnsi="宋体" w:cs="宋体"/>
                <w:color w:val="auto"/>
                <w:sz w:val="21"/>
                <w:szCs w:val="21"/>
                <w:highlight w:val="none"/>
                <w:lang w:val="en-US" w:eastAsia="zh-CN"/>
              </w:rPr>
              <w:t>样品费、检验检测费、</w:t>
            </w:r>
            <w:r>
              <w:rPr>
                <w:rFonts w:hint="eastAsia" w:ascii="宋体" w:hAnsi="宋体" w:eastAsia="宋体" w:cs="宋体"/>
                <w:color w:val="auto"/>
                <w:sz w:val="21"/>
                <w:szCs w:val="21"/>
                <w:highlight w:val="none"/>
              </w:rPr>
              <w:t>包装配送运输、保险、装卸、退换、雇员费用、质保期售后服务、合同实施过程中的应预见和不可预见费用等。</w:t>
            </w:r>
          </w:p>
          <w:p w14:paraId="532FB6DC">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若投标人对某些项目未报价，则应认为已包括在投标报价内。</w:t>
            </w:r>
          </w:p>
          <w:p w14:paraId="0BC3B9C7">
            <w:pP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包A结算价计算公式</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采用不含税下浮率</w:t>
            </w:r>
            <w:r>
              <w:rPr>
                <w:rFonts w:hint="eastAsia" w:ascii="宋体" w:hAnsi="宋体" w:cs="宋体"/>
                <w:color w:val="auto"/>
                <w:szCs w:val="21"/>
                <w:highlight w:val="none"/>
                <w:lang w:eastAsia="zh-CN"/>
              </w:rPr>
              <w:t>）</w:t>
            </w:r>
          </w:p>
          <w:p w14:paraId="46A0E3E9">
            <w:pPr>
              <w:rPr>
                <w:rFonts w:hint="eastAsia" w:ascii="宋体" w:hAnsi="宋体" w:cs="宋体"/>
                <w:color w:val="auto"/>
                <w:szCs w:val="21"/>
                <w:highlight w:val="none"/>
              </w:rPr>
            </w:pPr>
            <w:r>
              <w:rPr>
                <w:rFonts w:hint="eastAsia" w:ascii="宋体" w:hAnsi="宋体" w:cs="宋体"/>
                <w:color w:val="auto"/>
                <w:szCs w:val="21"/>
                <w:highlight w:val="none"/>
              </w:rPr>
              <w:t>1. 结算价计算规则</w:t>
            </w:r>
          </w:p>
          <w:p w14:paraId="4D45F92F">
            <w:pPr>
              <w:rPr>
                <w:rFonts w:hint="eastAsia" w:ascii="宋体" w:hAnsi="宋体" w:cs="宋体"/>
                <w:color w:val="auto"/>
                <w:szCs w:val="21"/>
                <w:highlight w:val="none"/>
              </w:rPr>
            </w:pPr>
            <w:r>
              <w:rPr>
                <w:rFonts w:hint="eastAsia" w:ascii="宋体" w:hAnsi="宋体" w:cs="宋体"/>
                <w:color w:val="auto"/>
                <w:szCs w:val="21"/>
                <w:highlight w:val="none"/>
              </w:rPr>
              <w:t xml:space="preserve">不含税结算单价 = 不含税基准价 × </w:t>
            </w:r>
            <w:r>
              <w:rPr>
                <w:rFonts w:hint="eastAsia" w:ascii="宋体" w:hAnsi="宋体" w:cs="宋体"/>
                <w:color w:val="auto"/>
                <w:szCs w:val="21"/>
                <w:highlight w:val="none"/>
                <w:lang w:eastAsia="zh-CN"/>
              </w:rPr>
              <w:t>（</w:t>
            </w:r>
            <w:r>
              <w:rPr>
                <w:rFonts w:hint="eastAsia" w:ascii="宋体" w:hAnsi="宋体" w:cs="宋体"/>
                <w:color w:val="auto"/>
                <w:szCs w:val="21"/>
                <w:highlight w:val="none"/>
              </w:rPr>
              <w:t>1−中标不含税下浮率</w:t>
            </w:r>
            <w:r>
              <w:rPr>
                <w:rFonts w:hint="eastAsia" w:ascii="宋体" w:hAnsi="宋体" w:cs="宋体"/>
                <w:color w:val="auto"/>
                <w:szCs w:val="21"/>
                <w:highlight w:val="none"/>
                <w:lang w:eastAsia="zh-CN"/>
              </w:rPr>
              <w:t>）</w:t>
            </w:r>
          </w:p>
          <w:p w14:paraId="3E5E7C58">
            <w:pPr>
              <w:rPr>
                <w:rFonts w:hint="eastAsia" w:ascii="宋体" w:hAnsi="宋体" w:cs="宋体"/>
                <w:color w:val="auto"/>
                <w:szCs w:val="21"/>
                <w:highlight w:val="none"/>
              </w:rPr>
            </w:pPr>
            <w:r>
              <w:rPr>
                <w:rFonts w:hint="eastAsia" w:ascii="宋体" w:hAnsi="宋体" w:cs="宋体"/>
                <w:color w:val="auto"/>
                <w:szCs w:val="21"/>
                <w:highlight w:val="none"/>
              </w:rPr>
              <w:t xml:space="preserve">含税结算单价 = 不含税结算单价 × </w:t>
            </w:r>
            <w:r>
              <w:rPr>
                <w:rFonts w:hint="eastAsia" w:ascii="宋体" w:hAnsi="宋体" w:cs="宋体"/>
                <w:color w:val="auto"/>
                <w:szCs w:val="21"/>
                <w:highlight w:val="none"/>
                <w:lang w:eastAsia="zh-CN"/>
              </w:rPr>
              <w:t>（</w:t>
            </w:r>
            <w:r>
              <w:rPr>
                <w:rFonts w:hint="eastAsia" w:ascii="宋体" w:hAnsi="宋体" w:cs="宋体"/>
                <w:color w:val="auto"/>
                <w:szCs w:val="21"/>
                <w:highlight w:val="none"/>
              </w:rPr>
              <w:t>1+增值税税率</w:t>
            </w:r>
            <w:r>
              <w:rPr>
                <w:rFonts w:hint="eastAsia" w:ascii="宋体" w:hAnsi="宋体" w:cs="宋体"/>
                <w:color w:val="auto"/>
                <w:szCs w:val="21"/>
                <w:highlight w:val="none"/>
                <w:lang w:eastAsia="zh-CN"/>
              </w:rPr>
              <w:t>）</w:t>
            </w:r>
          </w:p>
          <w:p w14:paraId="02CBA281">
            <w:pPr>
              <w:rPr>
                <w:rFonts w:hint="eastAsia" w:ascii="宋体" w:hAnsi="宋体" w:cs="宋体"/>
                <w:color w:val="auto"/>
                <w:szCs w:val="21"/>
                <w:highlight w:val="none"/>
              </w:rPr>
            </w:pPr>
            <w:r>
              <w:rPr>
                <w:rFonts w:hint="eastAsia" w:ascii="宋体" w:hAnsi="宋体" w:cs="宋体"/>
                <w:color w:val="auto"/>
                <w:szCs w:val="21"/>
                <w:highlight w:val="none"/>
              </w:rPr>
              <w:t>结算总价 = 含税结算单价 × 实际验收合格数量</w:t>
            </w:r>
          </w:p>
          <w:p w14:paraId="51A93848">
            <w:pPr>
              <w:rPr>
                <w:rFonts w:hint="eastAsia" w:ascii="宋体" w:hAnsi="宋体" w:cs="宋体"/>
                <w:color w:val="auto"/>
                <w:szCs w:val="21"/>
                <w:highlight w:val="none"/>
              </w:rPr>
            </w:pPr>
            <w:r>
              <w:rPr>
                <w:rFonts w:hint="eastAsia" w:ascii="宋体" w:hAnsi="宋体" w:cs="宋体"/>
                <w:color w:val="auto"/>
                <w:szCs w:val="21"/>
                <w:highlight w:val="none"/>
              </w:rPr>
              <w:t>2. 公式说明</w:t>
            </w:r>
          </w:p>
          <w:p w14:paraId="546E1A04">
            <w:pPr>
              <w:rPr>
                <w:rFonts w:hint="eastAsia" w:ascii="宋体" w:hAnsi="宋体" w:cs="宋体"/>
                <w:color w:val="auto"/>
                <w:szCs w:val="21"/>
                <w:highlight w:val="none"/>
              </w:rPr>
            </w:pPr>
            <w:r>
              <w:rPr>
                <w:rFonts w:hint="eastAsia" w:ascii="宋体" w:hAnsi="宋体" w:cs="宋体"/>
                <w:color w:val="auto"/>
                <w:szCs w:val="21"/>
                <w:highlight w:val="none"/>
              </w:rPr>
              <w:t xml:space="preserve">不含税基准价 = 含税基准价 ÷ </w:t>
            </w:r>
            <w:r>
              <w:rPr>
                <w:rFonts w:hint="eastAsia" w:ascii="宋体" w:hAnsi="宋体" w:cs="宋体"/>
                <w:color w:val="auto"/>
                <w:szCs w:val="21"/>
                <w:highlight w:val="none"/>
                <w:lang w:eastAsia="zh-CN"/>
              </w:rPr>
              <w:t>（</w:t>
            </w:r>
            <w:r>
              <w:rPr>
                <w:rFonts w:hint="eastAsia" w:ascii="宋体" w:hAnsi="宋体" w:cs="宋体"/>
                <w:color w:val="auto"/>
                <w:szCs w:val="21"/>
                <w:highlight w:val="none"/>
              </w:rPr>
              <w:t>1+增值税税率</w:t>
            </w:r>
            <w:r>
              <w:rPr>
                <w:rFonts w:hint="eastAsia" w:ascii="宋体" w:hAnsi="宋体" w:cs="宋体"/>
                <w:color w:val="auto"/>
                <w:szCs w:val="21"/>
                <w:highlight w:val="none"/>
                <w:lang w:eastAsia="zh-CN"/>
              </w:rPr>
              <w:t>）</w:t>
            </w:r>
          </w:p>
          <w:p w14:paraId="49FFC92E">
            <w:pPr>
              <w:rPr>
                <w:rFonts w:hint="eastAsia" w:ascii="宋体" w:hAnsi="宋体" w:cs="宋体"/>
                <w:color w:val="auto"/>
                <w:szCs w:val="21"/>
                <w:highlight w:val="none"/>
              </w:rPr>
            </w:pPr>
            <w:r>
              <w:rPr>
                <w:rFonts w:hint="eastAsia" w:ascii="宋体" w:hAnsi="宋体" w:cs="宋体"/>
                <w:color w:val="auto"/>
                <w:szCs w:val="21"/>
                <w:highlight w:val="none"/>
              </w:rPr>
              <w:t>不含税下浮率 = 投标人针对不含税基准价的下浮比例</w:t>
            </w:r>
          </w:p>
          <w:p w14:paraId="2EF6010D">
            <w:pPr>
              <w:rPr>
                <w:rFonts w:hint="eastAsia" w:ascii="宋体" w:hAnsi="宋体" w:cs="宋体"/>
                <w:color w:val="auto"/>
                <w:szCs w:val="21"/>
                <w:highlight w:val="none"/>
              </w:rPr>
            </w:pPr>
            <w:r>
              <w:rPr>
                <w:rFonts w:hint="eastAsia" w:ascii="宋体" w:hAnsi="宋体" w:cs="宋体"/>
                <w:color w:val="auto"/>
                <w:szCs w:val="21"/>
                <w:highlight w:val="none"/>
              </w:rPr>
              <w:t>增值税税率 = 按中标人可开具的增值税专用发票税率执行（如9%、13%等）</w:t>
            </w:r>
          </w:p>
          <w:p w14:paraId="3EB3629A">
            <w:pPr>
              <w:rPr>
                <w:rFonts w:hint="eastAsia" w:ascii="宋体" w:hAnsi="宋体" w:cs="宋体"/>
                <w:color w:val="auto"/>
                <w:szCs w:val="21"/>
                <w:highlight w:val="none"/>
              </w:rPr>
            </w:pPr>
            <w:r>
              <w:rPr>
                <w:rFonts w:hint="eastAsia" w:ascii="宋体" w:hAnsi="宋体" w:cs="宋体"/>
                <w:color w:val="auto"/>
                <w:szCs w:val="21"/>
                <w:highlight w:val="none"/>
              </w:rPr>
              <w:t>3. 具体计算步骤</w:t>
            </w:r>
          </w:p>
          <w:p w14:paraId="07742A02">
            <w:pPr>
              <w:rPr>
                <w:rFonts w:hint="eastAsia" w:ascii="宋体" w:hAnsi="宋体" w:cs="宋体"/>
                <w:color w:val="auto"/>
                <w:szCs w:val="21"/>
                <w:highlight w:val="none"/>
              </w:rPr>
            </w:pPr>
            <w:r>
              <w:rPr>
                <w:rFonts w:hint="eastAsia" w:ascii="宋体" w:hAnsi="宋体" w:cs="宋体"/>
                <w:color w:val="auto"/>
                <w:szCs w:val="21"/>
                <w:highlight w:val="none"/>
              </w:rPr>
              <w:t>步骤1：确定每</w:t>
            </w:r>
            <w:r>
              <w:rPr>
                <w:rFonts w:hint="eastAsia" w:ascii="宋体" w:hAnsi="宋体" w:cs="宋体"/>
                <w:color w:val="auto"/>
                <w:szCs w:val="21"/>
                <w:highlight w:val="none"/>
                <w:lang w:val="en-US" w:eastAsia="zh-CN"/>
              </w:rPr>
              <w:t>次供货的</w:t>
            </w:r>
            <w:r>
              <w:rPr>
                <w:rFonts w:hint="eastAsia" w:ascii="宋体" w:hAnsi="宋体" w:cs="宋体"/>
                <w:color w:val="auto"/>
                <w:szCs w:val="21"/>
                <w:highlight w:val="none"/>
              </w:rPr>
              <w:t>基准价（含税）。</w:t>
            </w:r>
          </w:p>
          <w:p w14:paraId="7EAC0178">
            <w:pPr>
              <w:rPr>
                <w:rFonts w:hint="eastAsia" w:ascii="宋体" w:hAnsi="宋体" w:cs="宋体"/>
                <w:color w:val="auto"/>
                <w:szCs w:val="21"/>
                <w:highlight w:val="none"/>
              </w:rPr>
            </w:pPr>
            <w:r>
              <w:rPr>
                <w:rFonts w:hint="eastAsia" w:ascii="宋体" w:hAnsi="宋体" w:cs="宋体"/>
                <w:color w:val="auto"/>
                <w:szCs w:val="21"/>
                <w:highlight w:val="none"/>
              </w:rPr>
              <w:t>步骤2：将含税基准价换算为不含税基准价。</w:t>
            </w:r>
          </w:p>
          <w:p w14:paraId="6C67C668">
            <w:pPr>
              <w:rPr>
                <w:rFonts w:hint="eastAsia" w:ascii="宋体" w:hAnsi="宋体" w:cs="宋体"/>
                <w:color w:val="auto"/>
                <w:szCs w:val="21"/>
                <w:highlight w:val="none"/>
              </w:rPr>
            </w:pPr>
            <w:r>
              <w:rPr>
                <w:rFonts w:hint="eastAsia" w:ascii="宋体" w:hAnsi="宋体" w:cs="宋体"/>
                <w:color w:val="auto"/>
                <w:szCs w:val="21"/>
                <w:highlight w:val="none"/>
              </w:rPr>
              <w:t>步骤3：使用中标不含税下浮率计算不含税结算单价。</w:t>
            </w:r>
          </w:p>
          <w:p w14:paraId="0B00BDB1">
            <w:pPr>
              <w:rPr>
                <w:rFonts w:hint="eastAsia" w:ascii="宋体" w:hAnsi="宋体" w:cs="宋体"/>
                <w:color w:val="auto"/>
                <w:szCs w:val="21"/>
                <w:highlight w:val="none"/>
              </w:rPr>
            </w:pPr>
            <w:r>
              <w:rPr>
                <w:rFonts w:hint="eastAsia" w:ascii="宋体" w:hAnsi="宋体" w:cs="宋体"/>
                <w:color w:val="auto"/>
                <w:szCs w:val="21"/>
                <w:highlight w:val="none"/>
              </w:rPr>
              <w:t>步骤4：根据适用税率计算含税结算单价。</w:t>
            </w:r>
          </w:p>
          <w:p w14:paraId="2F19F8B1">
            <w:pPr>
              <w:rPr>
                <w:rFonts w:hint="eastAsia" w:ascii="宋体" w:hAnsi="宋体" w:cs="宋体"/>
                <w:color w:val="auto"/>
                <w:szCs w:val="21"/>
                <w:highlight w:val="none"/>
              </w:rPr>
            </w:pPr>
            <w:r>
              <w:rPr>
                <w:rFonts w:hint="eastAsia" w:ascii="宋体" w:hAnsi="宋体" w:cs="宋体"/>
                <w:color w:val="auto"/>
                <w:szCs w:val="21"/>
                <w:highlight w:val="none"/>
              </w:rPr>
              <w:t>步骤5：按实际验收合格数量计算当月结算总价。</w:t>
            </w:r>
          </w:p>
          <w:p w14:paraId="5A3D9FDF">
            <w:pPr>
              <w:rPr>
                <w:rFonts w:hint="eastAsia" w:ascii="宋体" w:hAnsi="宋体" w:cs="宋体"/>
                <w:color w:val="auto"/>
                <w:szCs w:val="21"/>
                <w:highlight w:val="none"/>
              </w:rPr>
            </w:pPr>
            <w:r>
              <w:rPr>
                <w:rFonts w:hint="eastAsia" w:ascii="宋体" w:hAnsi="宋体" w:cs="宋体"/>
                <w:color w:val="auto"/>
                <w:szCs w:val="21"/>
                <w:highlight w:val="none"/>
              </w:rPr>
              <w:t>4. 示例</w:t>
            </w:r>
          </w:p>
          <w:p w14:paraId="283693E7">
            <w:pPr>
              <w:rPr>
                <w:rFonts w:hint="eastAsia" w:ascii="宋体" w:hAnsi="宋体" w:cs="宋体"/>
                <w:color w:val="auto"/>
                <w:szCs w:val="21"/>
                <w:highlight w:val="none"/>
              </w:rPr>
            </w:pPr>
            <w:r>
              <w:rPr>
                <w:rFonts w:hint="eastAsia" w:ascii="宋体" w:hAnsi="宋体" w:cs="宋体"/>
                <w:color w:val="auto"/>
                <w:szCs w:val="21"/>
                <w:highlight w:val="none"/>
              </w:rPr>
              <w:t>假设：含税基准价（</w:t>
            </w:r>
            <w:r>
              <w:rPr>
                <w:rFonts w:hint="eastAsia" w:ascii="宋体" w:hAnsi="宋体" w:cs="宋体"/>
                <w:color w:val="auto"/>
                <w:szCs w:val="21"/>
                <w:highlight w:val="none"/>
                <w:lang w:val="en-US" w:eastAsia="zh-CN"/>
              </w:rPr>
              <w:t>天天采配平台</w:t>
            </w:r>
            <w:r>
              <w:rPr>
                <w:rFonts w:hint="eastAsia" w:ascii="宋体" w:hAnsi="宋体" w:cs="宋体"/>
                <w:color w:val="auto"/>
                <w:sz w:val="21"/>
                <w:szCs w:val="21"/>
                <w:highlight w:val="none"/>
                <w:lang w:val="en-US" w:eastAsia="zh-CN"/>
              </w:rPr>
              <w:t>含费参考价</w:t>
            </w:r>
            <w:r>
              <w:rPr>
                <w:rFonts w:hint="eastAsia" w:ascii="宋体" w:hAnsi="宋体" w:cs="宋体"/>
                <w:color w:val="auto"/>
                <w:szCs w:val="21"/>
                <w:highlight w:val="none"/>
              </w:rPr>
              <w:t>）：10元/斤</w:t>
            </w:r>
          </w:p>
          <w:p w14:paraId="6C38B671">
            <w:pPr>
              <w:rPr>
                <w:rFonts w:hint="eastAsia" w:ascii="宋体" w:hAnsi="宋体" w:cs="宋体"/>
                <w:color w:val="auto"/>
                <w:szCs w:val="21"/>
                <w:highlight w:val="none"/>
              </w:rPr>
            </w:pPr>
            <w:r>
              <w:rPr>
                <w:rFonts w:hint="eastAsia" w:ascii="宋体" w:hAnsi="宋体" w:cs="宋体"/>
                <w:color w:val="auto"/>
                <w:szCs w:val="21"/>
                <w:highlight w:val="none"/>
              </w:rPr>
              <w:t>增值税税率：9%</w:t>
            </w:r>
          </w:p>
          <w:p w14:paraId="3D8FB873">
            <w:pPr>
              <w:rPr>
                <w:rFonts w:hint="eastAsia" w:ascii="宋体" w:hAnsi="宋体" w:cs="宋体"/>
                <w:color w:val="auto"/>
                <w:szCs w:val="21"/>
                <w:highlight w:val="none"/>
              </w:rPr>
            </w:pPr>
            <w:r>
              <w:rPr>
                <w:rFonts w:hint="eastAsia" w:ascii="宋体" w:hAnsi="宋体" w:cs="宋体"/>
                <w:color w:val="auto"/>
                <w:szCs w:val="21"/>
                <w:highlight w:val="none"/>
              </w:rPr>
              <w:t>中标不含税下浮率：5%</w:t>
            </w:r>
          </w:p>
          <w:p w14:paraId="67FF9EC7">
            <w:pPr>
              <w:rPr>
                <w:rFonts w:hint="eastAsia" w:ascii="宋体" w:hAnsi="宋体" w:cs="宋体"/>
                <w:color w:val="auto"/>
                <w:szCs w:val="21"/>
                <w:highlight w:val="none"/>
              </w:rPr>
            </w:pPr>
            <w:r>
              <w:rPr>
                <w:rFonts w:hint="eastAsia" w:ascii="宋体" w:hAnsi="宋体" w:cs="宋体"/>
                <w:color w:val="auto"/>
                <w:szCs w:val="21"/>
                <w:highlight w:val="none"/>
              </w:rPr>
              <w:t>实际验收数量：1000斤</w:t>
            </w:r>
          </w:p>
          <w:p w14:paraId="152FC108">
            <w:pPr>
              <w:rPr>
                <w:rFonts w:hint="eastAsia" w:ascii="宋体" w:hAnsi="宋体" w:cs="宋体"/>
                <w:color w:val="auto"/>
                <w:szCs w:val="21"/>
                <w:highlight w:val="none"/>
              </w:rPr>
            </w:pPr>
            <w:r>
              <w:rPr>
                <w:rFonts w:hint="eastAsia" w:ascii="宋体" w:hAnsi="宋体" w:cs="宋体"/>
                <w:color w:val="auto"/>
                <w:szCs w:val="21"/>
                <w:highlight w:val="none"/>
              </w:rPr>
              <w:t>计算：</w:t>
            </w:r>
          </w:p>
          <w:p w14:paraId="416A508F">
            <w:pPr>
              <w:rPr>
                <w:rFonts w:hint="eastAsia" w:ascii="宋体" w:hAnsi="宋体" w:cs="宋体"/>
                <w:color w:val="auto"/>
                <w:szCs w:val="21"/>
                <w:highlight w:val="none"/>
              </w:rPr>
            </w:pPr>
            <w:r>
              <w:rPr>
                <w:rFonts w:hint="eastAsia" w:ascii="宋体" w:hAnsi="宋体" w:cs="宋体"/>
                <w:color w:val="auto"/>
                <w:szCs w:val="21"/>
                <w:highlight w:val="none"/>
              </w:rPr>
              <w:t>不含税基准价 = 10÷</w:t>
            </w:r>
            <w:r>
              <w:rPr>
                <w:rFonts w:hint="eastAsia" w:ascii="宋体" w:hAnsi="宋体" w:cs="宋体"/>
                <w:color w:val="auto"/>
                <w:szCs w:val="21"/>
                <w:highlight w:val="none"/>
                <w:lang w:eastAsia="zh-CN"/>
              </w:rPr>
              <w:t>（</w:t>
            </w:r>
            <w:r>
              <w:rPr>
                <w:rFonts w:hint="eastAsia" w:ascii="宋体" w:hAnsi="宋体" w:cs="宋体"/>
                <w:color w:val="auto"/>
                <w:szCs w:val="21"/>
                <w:highlight w:val="none"/>
              </w:rPr>
              <w:t>1+9</w:t>
            </w:r>
            <w:r>
              <w:rPr>
                <w:rFonts w:hint="eastAsia" w:ascii="宋体" w:hAnsi="宋体" w:cs="宋体"/>
                <w:color w:val="auto"/>
                <w:szCs w:val="21"/>
                <w:highlight w:val="none"/>
                <w:lang w:val="en-US" w:eastAsia="zh-CN"/>
              </w:rPr>
              <w:t>%</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 9.174元</w:t>
            </w:r>
          </w:p>
          <w:p w14:paraId="3BB955AA">
            <w:pPr>
              <w:rPr>
                <w:rFonts w:hint="eastAsia" w:ascii="宋体" w:hAnsi="宋体" w:cs="宋体"/>
                <w:color w:val="auto"/>
                <w:szCs w:val="21"/>
                <w:highlight w:val="none"/>
              </w:rPr>
            </w:pPr>
            <w:r>
              <w:rPr>
                <w:rFonts w:hint="eastAsia" w:ascii="宋体" w:hAnsi="宋体" w:cs="宋体"/>
                <w:color w:val="auto"/>
                <w:szCs w:val="21"/>
                <w:highlight w:val="none"/>
              </w:rPr>
              <w:t>不含税结算单价 = 9.174×</w:t>
            </w:r>
            <w:r>
              <w:rPr>
                <w:rFonts w:hint="eastAsia" w:ascii="宋体" w:hAnsi="宋体" w:cs="宋体"/>
                <w:color w:val="auto"/>
                <w:szCs w:val="21"/>
                <w:highlight w:val="none"/>
                <w:lang w:eastAsia="zh-CN"/>
              </w:rPr>
              <w:t>（</w:t>
            </w:r>
            <w:r>
              <w:rPr>
                <w:rFonts w:hint="eastAsia" w:ascii="宋体" w:hAnsi="宋体" w:cs="宋体"/>
                <w:color w:val="auto"/>
                <w:szCs w:val="21"/>
                <w:highlight w:val="none"/>
              </w:rPr>
              <w:t>1−5</w:t>
            </w:r>
            <w:r>
              <w:rPr>
                <w:rFonts w:hint="eastAsia" w:ascii="宋体" w:hAnsi="宋体" w:cs="宋体"/>
                <w:color w:val="auto"/>
                <w:szCs w:val="21"/>
                <w:highlight w:val="none"/>
                <w:lang w:val="en-US" w:eastAsia="zh-CN"/>
              </w:rPr>
              <w:t>%</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 8.715元</w:t>
            </w:r>
          </w:p>
          <w:p w14:paraId="6EE5B47F">
            <w:pPr>
              <w:rPr>
                <w:rFonts w:hint="eastAsia" w:ascii="宋体" w:hAnsi="宋体" w:cs="宋体"/>
                <w:color w:val="auto"/>
                <w:szCs w:val="21"/>
                <w:highlight w:val="none"/>
              </w:rPr>
            </w:pPr>
            <w:r>
              <w:rPr>
                <w:rFonts w:hint="eastAsia" w:ascii="宋体" w:hAnsi="宋体" w:cs="宋体"/>
                <w:color w:val="auto"/>
                <w:szCs w:val="21"/>
                <w:highlight w:val="none"/>
              </w:rPr>
              <w:t>含税结算单价 = 8.715×</w:t>
            </w:r>
            <w:r>
              <w:rPr>
                <w:rFonts w:hint="eastAsia" w:ascii="宋体" w:hAnsi="宋体" w:cs="宋体"/>
                <w:color w:val="auto"/>
                <w:szCs w:val="21"/>
                <w:highlight w:val="none"/>
                <w:lang w:eastAsia="zh-CN"/>
              </w:rPr>
              <w:t>（</w:t>
            </w:r>
            <w:r>
              <w:rPr>
                <w:rFonts w:hint="eastAsia" w:ascii="宋体" w:hAnsi="宋体" w:cs="宋体"/>
                <w:color w:val="auto"/>
                <w:szCs w:val="21"/>
                <w:highlight w:val="none"/>
              </w:rPr>
              <w:t>1+9</w:t>
            </w:r>
            <w:r>
              <w:rPr>
                <w:rFonts w:hint="eastAsia" w:ascii="宋体" w:hAnsi="宋体" w:cs="宋体"/>
                <w:color w:val="auto"/>
                <w:szCs w:val="21"/>
                <w:highlight w:val="none"/>
                <w:lang w:val="en-US" w:eastAsia="zh-CN"/>
              </w:rPr>
              <w:t>%</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 9.499元</w:t>
            </w:r>
          </w:p>
          <w:p w14:paraId="56B91AA8">
            <w:pPr>
              <w:rPr>
                <w:rFonts w:hint="eastAsia" w:ascii="宋体" w:hAnsi="宋体" w:eastAsia="宋体" w:cs="宋体"/>
                <w:color w:val="auto"/>
                <w:sz w:val="21"/>
                <w:szCs w:val="21"/>
                <w:highlight w:val="none"/>
              </w:rPr>
            </w:pPr>
            <w:r>
              <w:rPr>
                <w:rFonts w:hint="eastAsia" w:ascii="宋体" w:hAnsi="宋体" w:cs="宋体"/>
                <w:color w:val="auto"/>
                <w:szCs w:val="21"/>
                <w:highlight w:val="none"/>
              </w:rPr>
              <w:t>结算总价 = 9.499×1000 = 9499元</w:t>
            </w:r>
          </w:p>
        </w:tc>
      </w:tr>
      <w:tr w14:paraId="060D45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3FDCF948">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1341" w:type="dxa"/>
            <w:vAlign w:val="center"/>
          </w:tcPr>
          <w:p w14:paraId="46BC834C">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验收标准</w:t>
            </w:r>
          </w:p>
        </w:tc>
        <w:tc>
          <w:tcPr>
            <w:tcW w:w="6626" w:type="dxa"/>
            <w:vAlign w:val="center"/>
          </w:tcPr>
          <w:p w14:paraId="07DB444B">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1.项目验收依次序对照执行标准：</w:t>
            </w:r>
          </w:p>
          <w:p w14:paraId="279BC363">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1.1符合中华人民共和国国家和履约地相关安全质量标准、行业技术规范标准；</w:t>
            </w:r>
          </w:p>
          <w:p w14:paraId="72AC720D">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1.2符合招标文件和响应承诺中各方共同认可的各项要求；</w:t>
            </w:r>
          </w:p>
          <w:p w14:paraId="7881B6E8">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1.3符合货物来源国官方颁布标准。</w:t>
            </w:r>
          </w:p>
          <w:p w14:paraId="2485A017">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1.4上述各类标准与法规必须是有关官方机构最新发布的现行标准版本。 </w:t>
            </w:r>
          </w:p>
          <w:p w14:paraId="38FD0041">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做好卸货前的检查：采购人和中标人双方的验收人员卸货前应对场地和验收设备做好准备，并对商品的外观质量进行初步了解。如发现食品有损坏情况等，应在相关单据上记录损坏情况，建议对损坏情况进行拍照存档。保证斤两的准确性，经采购人的验货数量为准，中标人每次随货送上一式两份的送货单，采购人验货后签订确认，采购人、中标人双方各持一份，作为收货、结算的凭证。</w:t>
            </w:r>
          </w:p>
          <w:p w14:paraId="1B6D1701">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食品运输采用符合国家标准的外包装和运输工具：保持清洁和定期消毒，车厢内无不良气味、异味。冷藏、冷冻食品采用专用冷藏、冷冻载具运输，在运输过程中保持安全的冷藏、冷冻温度，冷冻食品没有曾经解冻痕迹或软化现象，包装呈干爽状态。食品应清洁，无损伤、腐烂现象，外包装完整，无寄生虫或已受虫害现象。</w:t>
            </w:r>
          </w:p>
          <w:p w14:paraId="57341809">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4.采取现场验收的方式：验收人员应认真检查物资的质量，按索票—验证—抽查—过磅—入库的程序完成验收，中标人可提供原件的留原件，原件只有一份而无法提供给采购人的查验原件后索取复印件留存。</w:t>
            </w:r>
          </w:p>
          <w:p w14:paraId="468F2F1C">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5.每批次每种货物均抽查验收。</w:t>
            </w:r>
          </w:p>
          <w:p w14:paraId="3DAC236E">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6.按项目需求的描述要求对货物质量进行抽查。</w:t>
            </w:r>
          </w:p>
          <w:p w14:paraId="501E908E">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7.抽查发现食品安全质量问题的处理：</w:t>
            </w:r>
          </w:p>
          <w:p w14:paraId="5717B298">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7.1对危及人身安全的食品质量问题采取零容忍措施，一经发现，当日所送同批次产品全部退货，如水产品中发现河豚鱼，发现腐败变质肉类等；</w:t>
            </w:r>
          </w:p>
          <w:p w14:paraId="672B9967">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7.2若抽查未发现问题，而在加工食用前发现部分产品质量问题，应立即通知单位伙食物资验收小组及中标人，将问题产品退货处理。</w:t>
            </w:r>
          </w:p>
          <w:p w14:paraId="235182C8">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8.抽查发现资质证照不全问题的处理：</w:t>
            </w:r>
          </w:p>
          <w:p w14:paraId="3BA0FD3B">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8.1整批产品无政府部门出具的动植物检疫合格证明的全部退货；</w:t>
            </w:r>
          </w:p>
          <w:p w14:paraId="305E61DF">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8.2抽查发现部分产品无政府部门出具的动植物检疫合格证明，将无动植物检疫合格证明的货物退货；再加抽15%，两次抽查数50%以上没有动植物检疫合格证明的，全部退货；</w:t>
            </w:r>
          </w:p>
          <w:p w14:paraId="10C06149">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8.3整批产品有省地市出具的动植物检疫合格证明，随箱产品合格证不齐全的，将无产品合格证明的货物退货；再加抽15%，两次抽查数50%以上没有产品合格证的，全部退货。</w:t>
            </w:r>
          </w:p>
          <w:p w14:paraId="11E83B94">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货物的质量问题争议及解决办法：因货物的质量问题发生争议，由东莞市市场监督管理局或国家法定的质量鉴定相关单位进行质量鉴定。货物符合质量标准的，鉴定费由采购人承担；货物不符合质量标准的，鉴定费由中标人承担，并且采购人有权追究中标人的相关责任。</w:t>
            </w:r>
          </w:p>
        </w:tc>
      </w:tr>
      <w:tr w14:paraId="4CB281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45C1AB09">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1341" w:type="dxa"/>
            <w:vAlign w:val="center"/>
          </w:tcPr>
          <w:p w14:paraId="781FC0CC">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违约处理</w:t>
            </w:r>
          </w:p>
        </w:tc>
        <w:tc>
          <w:tcPr>
            <w:tcW w:w="6626" w:type="dxa"/>
            <w:vAlign w:val="center"/>
          </w:tcPr>
          <w:p w14:paraId="3FEA9256">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针对中标人在服务过程中出现的违反采购文件或合同约定的行为，采购人有权对中标人收取违约金，违约金从未结配送费中扣除。情节严重的,采购人有权单方终止合同,并依法追究中标人法律责任。 </w:t>
            </w:r>
          </w:p>
          <w:p w14:paraId="323270E5">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中标人没有使用专用冷藏、冷冻载具运输配送的，</w:t>
            </w:r>
            <w:r>
              <w:rPr>
                <w:rFonts w:hint="eastAsia" w:ascii="宋体" w:hAnsi="宋体" w:cs="宋体"/>
                <w:color w:val="auto"/>
                <w:szCs w:val="21"/>
                <w:highlight w:val="none"/>
              </w:rPr>
              <w:t>按当批货物货值的5%收取违约金</w:t>
            </w:r>
            <w:r>
              <w:rPr>
                <w:rFonts w:hint="eastAsia" w:ascii="宋体" w:hAnsi="宋体" w:eastAsia="宋体" w:cs="宋体"/>
                <w:color w:val="auto"/>
                <w:sz w:val="21"/>
                <w:szCs w:val="21"/>
                <w:highlight w:val="none"/>
              </w:rPr>
              <w:t>，且采购人有权拒收该批次所有货品。</w:t>
            </w:r>
          </w:p>
          <w:p w14:paraId="3BBB2DEE">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cs="宋体"/>
                <w:color w:val="auto"/>
                <w:szCs w:val="21"/>
                <w:highlight w:val="none"/>
              </w:rPr>
              <w:t>中标人提供过期、变质货品的，问题产品同批次产品全部予以退货，按当批货物货值的5%收取违约金，违约金不足以弥补</w:t>
            </w:r>
            <w:r>
              <w:rPr>
                <w:rFonts w:hint="eastAsia" w:ascii="宋体" w:hAnsi="宋体" w:cs="宋体"/>
                <w:color w:val="auto"/>
                <w:szCs w:val="21"/>
                <w:highlight w:val="none"/>
                <w:lang w:val="en-US" w:eastAsia="zh-CN"/>
              </w:rPr>
              <w:t>采购人</w:t>
            </w:r>
            <w:r>
              <w:rPr>
                <w:rFonts w:hint="eastAsia" w:ascii="宋体" w:hAnsi="宋体" w:cs="宋体"/>
                <w:color w:val="auto"/>
                <w:szCs w:val="21"/>
                <w:highlight w:val="none"/>
              </w:rPr>
              <w:t>损失的，</w:t>
            </w:r>
            <w:r>
              <w:rPr>
                <w:rFonts w:hint="eastAsia" w:ascii="宋体" w:hAnsi="宋体" w:cs="宋体"/>
                <w:color w:val="auto"/>
                <w:szCs w:val="21"/>
                <w:highlight w:val="none"/>
                <w:lang w:val="en-US" w:eastAsia="zh-CN"/>
              </w:rPr>
              <w:t>中标人</w:t>
            </w:r>
            <w:r>
              <w:rPr>
                <w:rFonts w:hint="eastAsia" w:ascii="宋体" w:hAnsi="宋体" w:cs="宋体"/>
                <w:color w:val="auto"/>
                <w:szCs w:val="21"/>
                <w:highlight w:val="none"/>
              </w:rPr>
              <w:t>还需补足。造成食品安全问题的，</w:t>
            </w:r>
            <w:r>
              <w:rPr>
                <w:rFonts w:hint="eastAsia" w:ascii="宋体" w:hAnsi="宋体" w:cs="宋体"/>
                <w:color w:val="auto"/>
                <w:szCs w:val="21"/>
                <w:highlight w:val="none"/>
                <w:lang w:val="en-US" w:eastAsia="zh-CN"/>
              </w:rPr>
              <w:t>中标人</w:t>
            </w:r>
            <w:r>
              <w:rPr>
                <w:rFonts w:hint="eastAsia" w:ascii="宋体" w:hAnsi="宋体" w:cs="宋体"/>
                <w:color w:val="auto"/>
                <w:szCs w:val="21"/>
                <w:highlight w:val="none"/>
              </w:rPr>
              <w:t>应依法承担责任</w:t>
            </w:r>
            <w:r>
              <w:rPr>
                <w:rFonts w:hint="eastAsia" w:ascii="宋体" w:hAnsi="宋体" w:cs="宋体"/>
                <w:color w:val="auto"/>
                <w:szCs w:val="21"/>
                <w:highlight w:val="none"/>
                <w:lang w:eastAsia="zh-CN"/>
              </w:rPr>
              <w:t>，</w:t>
            </w:r>
            <w:r>
              <w:rPr>
                <w:rFonts w:hint="eastAsia" w:ascii="宋体" w:hAnsi="宋体" w:eastAsia="宋体" w:cs="宋体"/>
                <w:color w:val="auto"/>
                <w:sz w:val="21"/>
                <w:szCs w:val="21"/>
                <w:highlight w:val="none"/>
              </w:rPr>
              <w:t>且采购人有权拒收该批次所有货品。</w:t>
            </w:r>
          </w:p>
          <w:p w14:paraId="673BD180">
            <w:pP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中标人供货数量与采购人订单偏差超过±10%但没有事先说明的，每次</w:t>
            </w:r>
            <w:r>
              <w:rPr>
                <w:rFonts w:hint="eastAsia" w:ascii="宋体" w:hAnsi="宋体" w:eastAsia="宋体" w:cs="宋体"/>
                <w:color w:val="auto"/>
                <w:sz w:val="21"/>
                <w:szCs w:val="21"/>
                <w:highlight w:val="none"/>
                <w:lang w:val="en-US" w:eastAsia="zh-CN"/>
              </w:rPr>
              <w:t>提交</w:t>
            </w:r>
            <w:r>
              <w:rPr>
                <w:rFonts w:hint="eastAsia" w:ascii="宋体" w:hAnsi="宋体" w:eastAsia="宋体" w:cs="宋体"/>
                <w:color w:val="auto"/>
                <w:sz w:val="21"/>
                <w:szCs w:val="21"/>
                <w:highlight w:val="none"/>
              </w:rPr>
              <w:t>违约金人民币</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 xml:space="preserve">00元。 </w:t>
            </w:r>
          </w:p>
          <w:p w14:paraId="7469EF74">
            <w:pP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中标人接受了采购人的采购订单，但不能按要求提供配送服务，导致采购人供餐受影响的，每次</w:t>
            </w:r>
            <w:r>
              <w:rPr>
                <w:rFonts w:hint="eastAsia" w:ascii="宋体" w:hAnsi="宋体" w:cs="宋体"/>
                <w:color w:val="auto"/>
                <w:szCs w:val="21"/>
                <w:highlight w:val="none"/>
              </w:rPr>
              <w:t>按货值的3%处以违约金</w:t>
            </w:r>
            <w:r>
              <w:rPr>
                <w:rFonts w:hint="eastAsia" w:ascii="宋体" w:hAnsi="宋体" w:eastAsia="宋体" w:cs="宋体"/>
                <w:color w:val="auto"/>
                <w:sz w:val="21"/>
                <w:szCs w:val="21"/>
                <w:highlight w:val="none"/>
              </w:rPr>
              <w:t xml:space="preserve">。 </w:t>
            </w:r>
          </w:p>
          <w:p w14:paraId="1932C3C5">
            <w:pP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已经定价的货品，中标人称没货，但采购人能通过常规途径在市场、超市等场所购买到所需数量的，每次</w:t>
            </w:r>
            <w:r>
              <w:rPr>
                <w:rFonts w:hint="eastAsia" w:ascii="宋体" w:hAnsi="宋体" w:cs="宋体"/>
                <w:color w:val="auto"/>
                <w:szCs w:val="21"/>
                <w:highlight w:val="none"/>
              </w:rPr>
              <w:t>按货值的3%处以违约金</w:t>
            </w:r>
            <w:r>
              <w:rPr>
                <w:rFonts w:hint="eastAsia" w:ascii="宋体" w:hAnsi="宋体" w:eastAsia="宋体" w:cs="宋体"/>
                <w:color w:val="auto"/>
                <w:sz w:val="21"/>
                <w:szCs w:val="21"/>
                <w:highlight w:val="none"/>
              </w:rPr>
              <w:t xml:space="preserve">。 </w:t>
            </w:r>
          </w:p>
          <w:p w14:paraId="35E67F8C">
            <w:pP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中标人货品溯源制度不落实、进货查验记录不全的，每次</w:t>
            </w:r>
            <w:r>
              <w:rPr>
                <w:rFonts w:hint="eastAsia" w:ascii="宋体" w:hAnsi="宋体" w:cs="宋体"/>
                <w:color w:val="auto"/>
                <w:szCs w:val="21"/>
                <w:highlight w:val="none"/>
              </w:rPr>
              <w:t>按货值的3%处以违约金</w:t>
            </w:r>
            <w:r>
              <w:rPr>
                <w:rFonts w:hint="eastAsia" w:ascii="宋体" w:hAnsi="宋体" w:eastAsia="宋体" w:cs="宋体"/>
                <w:color w:val="auto"/>
                <w:sz w:val="21"/>
                <w:szCs w:val="21"/>
                <w:highlight w:val="none"/>
              </w:rPr>
              <w:t xml:space="preserve">。 </w:t>
            </w:r>
          </w:p>
          <w:p w14:paraId="2EB96B3D">
            <w:pP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中标人上述违约行为单独累计发生已达3次的，再发生时每次提交违约金人民币1000元，且</w:t>
            </w: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rPr>
              <w:t>有权单方终止合同。</w:t>
            </w:r>
          </w:p>
          <w:p w14:paraId="5B6717BE">
            <w:pP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中标人无故中途退出，</w:t>
            </w:r>
            <w:r>
              <w:rPr>
                <w:rFonts w:hint="eastAsia" w:ascii="宋体" w:hAnsi="宋体" w:cs="宋体"/>
                <w:color w:val="auto"/>
                <w:sz w:val="21"/>
                <w:szCs w:val="21"/>
                <w:highlight w:val="none"/>
                <w:lang w:val="en-US" w:eastAsia="zh-CN"/>
              </w:rPr>
              <w:t>应向采购人支付合同总额10%的</w:t>
            </w:r>
            <w:r>
              <w:rPr>
                <w:rFonts w:hint="eastAsia" w:ascii="宋体" w:hAnsi="宋体" w:eastAsia="宋体" w:cs="宋体"/>
                <w:color w:val="auto"/>
                <w:sz w:val="21"/>
                <w:szCs w:val="21"/>
                <w:highlight w:val="none"/>
              </w:rPr>
              <w:t>违约金。</w:t>
            </w:r>
          </w:p>
          <w:p w14:paraId="79E820A6">
            <w:pP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9、本项目服务期间，中标人必须独立经营，不得以挂靠形式经营，不得存在违法分包、转包等情况，一经发现上述任意情况，采购人有权单方无条件终止合同，没收履约保证金，并将中标人纳入东实集团合作黑名单，期限为2年，时间以合同终止日起算，被列入黑名单的单位在规定期限内不得参与东实集团项目投标。</w:t>
            </w:r>
          </w:p>
        </w:tc>
      </w:tr>
      <w:tr w14:paraId="51CA42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33171DC5">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341" w:type="dxa"/>
            <w:vAlign w:val="center"/>
          </w:tcPr>
          <w:p w14:paraId="1DC2C99F">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其他要求</w:t>
            </w:r>
          </w:p>
        </w:tc>
        <w:tc>
          <w:tcPr>
            <w:tcW w:w="6626" w:type="dxa"/>
            <w:vAlign w:val="center"/>
          </w:tcPr>
          <w:p w14:paraId="6C18E35B">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1、中标人必须服从采购人的监督、管理，配合采购人到货品配送点进行现场考察。</w:t>
            </w:r>
          </w:p>
          <w:p w14:paraId="0A046D1D">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2、食品供应链要求：所有食品的来源必须清晰可追溯和追责。 </w:t>
            </w:r>
          </w:p>
          <w:p w14:paraId="430AB06B">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3、如发现中标人泄露采购人的秘密，或有弄虚作假行为（如提供假证照、供应假冒伪劣产品等）,或以贿赂等不正当手段获取配送资格的，即时取消成交资格，情节严重的还将依法追究其经济责任和法律责任。 </w:t>
            </w:r>
          </w:p>
          <w:p w14:paraId="61FFF77D">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4、中标人存在违反采购文件和合同约定的行为，并且不予纠正的，将取消其成交资格。此项下违约行为包括但不限于下列各项： </w:t>
            </w:r>
          </w:p>
          <w:p w14:paraId="4990A07A">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（1）中标人在收到采购人订货要求后，在承诺的供货时间内不能供货的。 </w:t>
            </w:r>
          </w:p>
          <w:p w14:paraId="07E1AC18">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（2）中标人未能提供承诺的服务的。</w:t>
            </w:r>
          </w:p>
          <w:p w14:paraId="4B43470A">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（3）中标人不能在约定时间内提供合法票据进行结算的。 </w:t>
            </w:r>
          </w:p>
          <w:p w14:paraId="701A7A00">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（4）中标人送货人员在采购人单位活动但不遵守采购人单位各项规章制度或做出有损采购人形象和利益的事情的。</w:t>
            </w:r>
          </w:p>
        </w:tc>
      </w:tr>
      <w:tr w14:paraId="515F2E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0BE5F61F">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341" w:type="dxa"/>
            <w:vAlign w:val="center"/>
          </w:tcPr>
          <w:p w14:paraId="2EA4CC67">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26" w:type="dxa"/>
            <w:vAlign w:val="center"/>
          </w:tcPr>
          <w:p w14:paraId="51715EEF">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自开标之日起90天。</w:t>
            </w:r>
          </w:p>
        </w:tc>
      </w:tr>
      <w:tr w14:paraId="2FE8CA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1119A0D0">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w:t>
            </w:r>
          </w:p>
        </w:tc>
        <w:tc>
          <w:tcPr>
            <w:tcW w:w="1341" w:type="dxa"/>
            <w:vAlign w:val="center"/>
          </w:tcPr>
          <w:p w14:paraId="79F9FD77">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合同条款</w:t>
            </w:r>
          </w:p>
        </w:tc>
        <w:tc>
          <w:tcPr>
            <w:tcW w:w="6626" w:type="dxa"/>
            <w:vAlign w:val="center"/>
          </w:tcPr>
          <w:p w14:paraId="15758374">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投标人实质响应合同各条款。</w:t>
            </w:r>
          </w:p>
        </w:tc>
      </w:tr>
    </w:tbl>
    <w:p w14:paraId="61B76B22">
      <w:pPr>
        <w:rPr>
          <w:rFonts w:hint="eastAsia" w:ascii="宋体" w:hAnsi="宋体" w:eastAsia="宋体" w:cs="宋体"/>
          <w:color w:val="auto"/>
          <w:highlight w:val="none"/>
        </w:rPr>
      </w:pPr>
      <w:bookmarkStart w:id="15" w:name="_Toc19316"/>
      <w:r>
        <w:rPr>
          <w:rFonts w:hint="eastAsia" w:ascii="宋体" w:hAnsi="宋体" w:eastAsia="宋体" w:cs="宋体"/>
          <w:color w:val="auto"/>
          <w:highlight w:val="none"/>
        </w:rPr>
        <w:br w:type="page"/>
      </w:r>
    </w:p>
    <w:p w14:paraId="79819FAD">
      <w:pPr>
        <w:pStyle w:val="4"/>
        <w:spacing w:before="0" w:after="0" w:line="360" w:lineRule="auto"/>
        <w:jc w:val="center"/>
        <w:rPr>
          <w:rFonts w:hint="eastAsia" w:ascii="宋体" w:hAnsi="宋体" w:eastAsia="宋体" w:cs="宋体"/>
          <w:color w:val="auto"/>
          <w:highlight w:val="none"/>
        </w:rPr>
      </w:pPr>
      <w:bookmarkStart w:id="16" w:name="_Toc29383"/>
      <w:bookmarkStart w:id="17" w:name="OLE_LINK4"/>
      <w:r>
        <w:rPr>
          <w:rFonts w:hint="eastAsia" w:ascii="宋体" w:hAnsi="宋体" w:eastAsia="宋体" w:cs="宋体"/>
          <w:color w:val="auto"/>
          <w:highlight w:val="none"/>
        </w:rPr>
        <w:t>第二章 技术需求书</w:t>
      </w:r>
      <w:bookmarkEnd w:id="15"/>
      <w:bookmarkEnd w:id="16"/>
    </w:p>
    <w:bookmarkEnd w:id="10"/>
    <w:bookmarkEnd w:id="17"/>
    <w:p w14:paraId="3683078F">
      <w:pPr>
        <w:keepNext w:val="0"/>
        <w:keepLines w:val="0"/>
        <w:pageBreakBefore w:val="0"/>
        <w:widowControl/>
        <w:kinsoku/>
        <w:wordWrap/>
        <w:overflowPunct/>
        <w:topLinePunct w:val="0"/>
        <w:autoSpaceDE/>
        <w:autoSpaceDN/>
        <w:bidi w:val="0"/>
        <w:adjustRightInd w:val="0"/>
        <w:snapToGrid w:val="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一、采购项目概述</w:t>
      </w:r>
    </w:p>
    <w:p w14:paraId="3902F862">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本</w:t>
      </w:r>
      <w:r>
        <w:rPr>
          <w:rFonts w:hint="eastAsia" w:ascii="宋体" w:hAnsi="宋体" w:cs="宋体"/>
          <w:color w:val="auto"/>
          <w:highlight w:val="none"/>
          <w:lang w:val="en-US" w:eastAsia="zh-CN"/>
        </w:rPr>
        <w:t>包组</w:t>
      </w:r>
      <w:r>
        <w:rPr>
          <w:rFonts w:hint="eastAsia" w:ascii="宋体" w:hAnsi="宋体" w:eastAsia="宋体" w:cs="宋体"/>
          <w:color w:val="auto"/>
          <w:highlight w:val="none"/>
        </w:rPr>
        <w:t>服务内容为东莞迎宾馆员工餐厅、饭堂食材</w:t>
      </w:r>
      <w:r>
        <w:rPr>
          <w:rFonts w:hint="eastAsia" w:ascii="宋体" w:hAnsi="宋体" w:cs="宋体"/>
          <w:color w:val="auto"/>
          <w:highlight w:val="none"/>
          <w:lang w:eastAsia="zh-CN"/>
        </w:rPr>
        <w:t>2026-2027</w:t>
      </w:r>
      <w:r>
        <w:rPr>
          <w:rFonts w:hint="eastAsia" w:ascii="宋体" w:hAnsi="宋体" w:eastAsia="宋体" w:cs="宋体"/>
          <w:color w:val="auto"/>
          <w:highlight w:val="none"/>
        </w:rPr>
        <w:t>年度配送服务采购项目。中标人为采购人供应肉类、三鸟类、冻品类、水产品、</w:t>
      </w:r>
      <w:r>
        <w:rPr>
          <w:rFonts w:hint="eastAsia" w:ascii="宋体" w:hAnsi="宋体" w:cs="宋体"/>
          <w:color w:val="auto"/>
          <w:highlight w:val="none"/>
          <w:lang w:val="en-US" w:eastAsia="zh-CN"/>
        </w:rPr>
        <w:t>粮油干货类</w:t>
      </w:r>
      <w:r>
        <w:rPr>
          <w:rFonts w:hint="eastAsia" w:ascii="宋体" w:hAnsi="宋体" w:eastAsia="宋体" w:cs="宋体"/>
          <w:color w:val="auto"/>
          <w:highlight w:val="none"/>
        </w:rPr>
        <w:t>、蔬菜类、水果类、</w:t>
      </w:r>
      <w:r>
        <w:rPr>
          <w:rFonts w:hint="eastAsia" w:ascii="宋体" w:hAnsi="宋体" w:cs="宋体"/>
          <w:color w:val="auto"/>
          <w:highlight w:val="none"/>
          <w:lang w:val="en-US" w:eastAsia="zh-CN"/>
        </w:rPr>
        <w:t>调味品</w:t>
      </w:r>
      <w:r>
        <w:rPr>
          <w:rFonts w:hint="eastAsia" w:ascii="宋体" w:hAnsi="宋体" w:eastAsia="宋体" w:cs="宋体"/>
          <w:color w:val="auto"/>
          <w:highlight w:val="none"/>
        </w:rPr>
        <w:t>类等食材或货物。中标人可能是供应上述种类的某一种，也可以是供应多种产品，视乎采购人的需求而定。中标人按照采购人提出的物品订货清单，不论数量多少，必须保证在规定的时间送达，具体数量和食材以实际</w:t>
      </w:r>
      <w:r>
        <w:rPr>
          <w:rFonts w:hint="eastAsia" w:ascii="宋体" w:hAnsi="宋体" w:eastAsia="宋体" w:cs="宋体"/>
          <w:color w:val="auto"/>
          <w:highlight w:val="none"/>
          <w:lang w:eastAsia="zh-CN"/>
        </w:rPr>
        <w:t>下单</w:t>
      </w:r>
      <w:r>
        <w:rPr>
          <w:rFonts w:hint="eastAsia" w:ascii="宋体" w:hAnsi="宋体" w:eastAsia="宋体" w:cs="宋体"/>
          <w:color w:val="auto"/>
          <w:highlight w:val="none"/>
        </w:rPr>
        <w:t>为准。</w:t>
      </w:r>
    </w:p>
    <w:p w14:paraId="4E609A82">
      <w:pPr>
        <w:keepNext w:val="0"/>
        <w:keepLines w:val="0"/>
        <w:pageBreakBefore w:val="0"/>
        <w:widowControl/>
        <w:kinsoku/>
        <w:wordWrap/>
        <w:overflowPunct/>
        <w:topLinePunct w:val="0"/>
        <w:autoSpaceDE/>
        <w:autoSpaceDN/>
        <w:bidi w:val="0"/>
        <w:adjustRightInd w:val="0"/>
        <w:snapToGrid w:val="0"/>
        <w:spacing w:line="324" w:lineRule="auto"/>
        <w:ind w:firstLine="422" w:firstLineChars="200"/>
        <w:textAlignment w:val="auto"/>
        <w:rPr>
          <w:rFonts w:hint="eastAsia" w:ascii="宋体" w:hAnsi="宋体" w:eastAsia="宋体" w:cs="宋体"/>
          <w:b/>
          <w:bCs/>
          <w:color w:val="auto"/>
          <w:highlight w:val="none"/>
          <w:lang w:eastAsia="zh-CN"/>
        </w:rPr>
      </w:pPr>
    </w:p>
    <w:p w14:paraId="19ACA913">
      <w:pPr>
        <w:keepNext w:val="0"/>
        <w:keepLines w:val="0"/>
        <w:pageBreakBefore w:val="0"/>
        <w:widowControl/>
        <w:kinsoku/>
        <w:wordWrap/>
        <w:overflowPunct/>
        <w:topLinePunct w:val="0"/>
        <w:autoSpaceDE/>
        <w:autoSpaceDN/>
        <w:bidi w:val="0"/>
        <w:adjustRightInd w:val="0"/>
        <w:snapToGrid w:val="0"/>
        <w:spacing w:line="324" w:lineRule="auto"/>
        <w:ind w:firstLine="422" w:firstLineChars="20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二、采购项目</w:t>
      </w:r>
      <w:r>
        <w:rPr>
          <w:rFonts w:hint="eastAsia" w:ascii="宋体" w:hAnsi="宋体" w:eastAsia="宋体" w:cs="宋体"/>
          <w:b/>
          <w:bCs/>
          <w:color w:val="auto"/>
          <w:highlight w:val="none"/>
          <w:lang w:val="en-US" w:eastAsia="zh-CN"/>
        </w:rPr>
        <w:t>服务</w:t>
      </w:r>
      <w:r>
        <w:rPr>
          <w:rFonts w:hint="eastAsia" w:ascii="宋体" w:hAnsi="宋体" w:eastAsia="宋体" w:cs="宋体"/>
          <w:b/>
          <w:bCs/>
          <w:color w:val="auto"/>
          <w:highlight w:val="none"/>
        </w:rPr>
        <w:t>要求</w:t>
      </w:r>
    </w:p>
    <w:p w14:paraId="63CFFFAB">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项目总体要求</w:t>
      </w:r>
    </w:p>
    <w:p w14:paraId="761E8F70">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中标人不得将成交项目转让或分包给他人，否则采购人有权单方终止合同,由此产生的一切经济损失由中标人自行承担。</w:t>
      </w:r>
    </w:p>
    <w:p w14:paraId="646F0A0B">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中标人在合同履行期间保证对采购人的服务供应，</w:t>
      </w:r>
      <w:r>
        <w:rPr>
          <w:rFonts w:hint="eastAsia" w:ascii="宋体" w:hAnsi="宋体" w:cs="宋体"/>
          <w:color w:val="auto"/>
          <w:highlight w:val="none"/>
          <w:lang w:val="en-US" w:eastAsia="zh-CN"/>
        </w:rPr>
        <w:t>中标</w:t>
      </w:r>
      <w:r>
        <w:rPr>
          <w:rFonts w:hint="eastAsia" w:ascii="宋体" w:hAnsi="宋体" w:eastAsia="宋体" w:cs="宋体"/>
          <w:color w:val="auto"/>
          <w:highlight w:val="none"/>
        </w:rPr>
        <w:t>后不得拒绝采购人分配的任务。中标人在服务期内没能达到</w:t>
      </w:r>
      <w:r>
        <w:rPr>
          <w:rFonts w:hint="eastAsia" w:ascii="宋体" w:hAnsi="宋体" w:cs="宋体"/>
          <w:color w:val="auto"/>
          <w:highlight w:val="none"/>
          <w:lang w:val="en-US" w:eastAsia="zh-CN"/>
        </w:rPr>
        <w:t>投标</w:t>
      </w:r>
      <w:r>
        <w:rPr>
          <w:rFonts w:hint="eastAsia" w:ascii="宋体" w:hAnsi="宋体" w:eastAsia="宋体" w:cs="宋体"/>
          <w:color w:val="auto"/>
          <w:highlight w:val="none"/>
        </w:rPr>
        <w:t>文件承诺的服务要求或中标人未按要求履行合同义务或中标人的资质在服务期内发生变化不再符合要求，采购人均有权单方终止协议，由此产生的一切经济损失由中标人自行承担。</w:t>
      </w:r>
    </w:p>
    <w:p w14:paraId="77BDD877">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在合同履行期间，采购人</w:t>
      </w:r>
      <w:r>
        <w:rPr>
          <w:rFonts w:hint="eastAsia" w:ascii="宋体" w:hAnsi="宋体" w:eastAsia="宋体" w:cs="宋体"/>
          <w:color w:val="auto"/>
          <w:highlight w:val="none"/>
          <w:lang w:eastAsia="zh-CN"/>
        </w:rPr>
        <w:t>有权</w:t>
      </w:r>
      <w:r>
        <w:rPr>
          <w:rFonts w:hint="eastAsia" w:ascii="宋体" w:hAnsi="宋体" w:eastAsia="宋体" w:cs="宋体"/>
          <w:color w:val="auto"/>
          <w:highlight w:val="none"/>
        </w:rPr>
        <w:t>结合自身的特点和需要制定具体配送管理方式。中标人在拟实施新增设备设施和人力资源等投入前，须充分考虑评估潜在的投资经营风险并制定应对措施。</w:t>
      </w:r>
    </w:p>
    <w:p w14:paraId="22F27342">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cs="宋体"/>
          <w:color w:val="auto"/>
          <w:highlight w:val="none"/>
          <w:lang w:val="en-US" w:eastAsia="zh-CN"/>
        </w:rPr>
        <w:t>4</w:t>
      </w:r>
      <w:r>
        <w:rPr>
          <w:rFonts w:hint="eastAsia" w:ascii="宋体" w:hAnsi="宋体" w:eastAsia="宋体" w:cs="宋体"/>
          <w:color w:val="auto"/>
          <w:highlight w:val="none"/>
        </w:rPr>
        <w:t>中标人需服从采购人和食品监督部门的监督管理，配合采购人及时更新所提供的符合卫监部门的有效证明材料。如有效的营业执照、产品合格证或食品生产经营许可证等。</w:t>
      </w:r>
    </w:p>
    <w:p w14:paraId="3242EABD">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default" w:ascii="宋体" w:hAnsi="宋体" w:cs="宋体"/>
          <w:color w:val="auto"/>
          <w:highlight w:val="none"/>
          <w:lang w:val="en-US" w:eastAsia="zh-CN"/>
        </w:rPr>
      </w:pPr>
      <w:r>
        <w:rPr>
          <w:rFonts w:hint="eastAsia" w:ascii="宋体" w:hAnsi="宋体" w:cs="宋体"/>
          <w:color w:val="auto"/>
          <w:highlight w:val="none"/>
          <w:lang w:val="en-US" w:eastAsia="zh-CN"/>
        </w:rPr>
        <w:t>2、食材配送要求</w:t>
      </w:r>
    </w:p>
    <w:p w14:paraId="2E124DD0">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2.1</w:t>
      </w:r>
      <w:r>
        <w:rPr>
          <w:rFonts w:hint="eastAsia" w:ascii="宋体" w:hAnsi="宋体" w:eastAsia="宋体" w:cs="宋体"/>
          <w:color w:val="auto"/>
          <w:highlight w:val="none"/>
        </w:rPr>
        <w:t>中标人</w:t>
      </w:r>
      <w:r>
        <w:rPr>
          <w:rFonts w:hint="eastAsia" w:ascii="宋体" w:hAnsi="宋体" w:eastAsia="宋体" w:cs="宋体"/>
          <w:color w:val="auto"/>
          <w:highlight w:val="none"/>
          <w:lang w:val="en-US" w:eastAsia="zh-CN"/>
        </w:rPr>
        <w:t>按照</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提出的食材订货清单，不论数量多少(例如：500克以下),必须保证在规定的时间(正常配送</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一般提前一天通知</w:t>
      </w:r>
      <w:r>
        <w:rPr>
          <w:rFonts w:hint="eastAsia" w:ascii="宋体" w:hAnsi="宋体" w:cs="宋体"/>
          <w:color w:val="auto"/>
          <w:highlight w:val="none"/>
          <w:lang w:val="en-US" w:eastAsia="zh-CN"/>
        </w:rPr>
        <w:t>中标人</w:t>
      </w:r>
      <w:r>
        <w:rPr>
          <w:rFonts w:hint="eastAsia" w:ascii="宋体" w:hAnsi="宋体" w:eastAsia="宋体" w:cs="宋体"/>
          <w:color w:val="auto"/>
          <w:highlight w:val="none"/>
          <w:lang w:val="en-US" w:eastAsia="zh-CN"/>
        </w:rPr>
        <w:t>，应急配送则以</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实 际通知为准)、地点送货。</w:t>
      </w:r>
    </w:p>
    <w:p w14:paraId="5E4FF48F">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2.2</w:t>
      </w:r>
      <w:r>
        <w:rPr>
          <w:rFonts w:hint="eastAsia" w:ascii="宋体" w:hAnsi="宋体" w:eastAsia="宋体" w:cs="宋体"/>
          <w:color w:val="auto"/>
          <w:highlight w:val="none"/>
          <w:lang w:val="en-US" w:eastAsia="zh-CN"/>
        </w:rPr>
        <w:t>货品正常情况每天均需送货一次，</w:t>
      </w:r>
      <w:r>
        <w:rPr>
          <w:rFonts w:hint="eastAsia" w:ascii="宋体" w:hAnsi="宋体" w:cs="宋体"/>
          <w:color w:val="auto"/>
          <w:highlight w:val="none"/>
          <w:lang w:val="en-US" w:eastAsia="zh-CN"/>
        </w:rPr>
        <w:t>中标人</w:t>
      </w:r>
      <w:r>
        <w:rPr>
          <w:rFonts w:hint="eastAsia" w:ascii="宋体" w:hAnsi="宋体" w:eastAsia="宋体" w:cs="宋体"/>
          <w:color w:val="auto"/>
          <w:highlight w:val="none"/>
          <w:lang w:val="en-US" w:eastAsia="zh-CN"/>
        </w:rPr>
        <w:t>每天</w:t>
      </w:r>
      <w:r>
        <w:rPr>
          <w:rFonts w:hint="eastAsia" w:ascii="宋体" w:hAnsi="宋体" w:cs="宋体"/>
          <w:color w:val="auto"/>
          <w:highlight w:val="none"/>
          <w:lang w:val="en-US" w:eastAsia="zh-CN"/>
        </w:rPr>
        <w:t>7</w:t>
      </w: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3</w:t>
      </w:r>
      <w:r>
        <w:rPr>
          <w:rFonts w:hint="eastAsia" w:ascii="宋体" w:hAnsi="宋体" w:eastAsia="宋体" w:cs="宋体"/>
          <w:color w:val="auto"/>
          <w:highlight w:val="none"/>
          <w:lang w:val="en-US" w:eastAsia="zh-CN"/>
        </w:rPr>
        <w:t>0前将所订购的货物送到</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 xml:space="preserve"> 指定地点，送货验收时间段为</w:t>
      </w:r>
      <w:r>
        <w:rPr>
          <w:rFonts w:hint="eastAsia" w:ascii="宋体" w:hAnsi="宋体" w:cs="宋体"/>
          <w:color w:val="auto"/>
          <w:highlight w:val="none"/>
          <w:lang w:val="en-US" w:eastAsia="zh-CN"/>
        </w:rPr>
        <w:t>7</w:t>
      </w: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3</w:t>
      </w:r>
      <w:r>
        <w:rPr>
          <w:rFonts w:hint="eastAsia" w:ascii="宋体" w:hAnsi="宋体" w:eastAsia="宋体" w:cs="宋体"/>
          <w:color w:val="auto"/>
          <w:highlight w:val="none"/>
          <w:lang w:val="en-US" w:eastAsia="zh-CN"/>
        </w:rPr>
        <w:t>0-</w:t>
      </w:r>
      <w:r>
        <w:rPr>
          <w:rFonts w:hint="eastAsia" w:ascii="宋体" w:hAnsi="宋体" w:cs="宋体"/>
          <w:color w:val="auto"/>
          <w:highlight w:val="none"/>
          <w:lang w:val="en-US" w:eastAsia="zh-CN"/>
        </w:rPr>
        <w:t>8</w:t>
      </w:r>
      <w:r>
        <w:rPr>
          <w:rFonts w:hint="eastAsia" w:ascii="宋体" w:hAnsi="宋体" w:eastAsia="宋体" w:cs="宋体"/>
          <w:color w:val="auto"/>
          <w:highlight w:val="none"/>
          <w:lang w:val="en-US" w:eastAsia="zh-CN"/>
        </w:rPr>
        <w:t>:30,具体以双方协商为准。应急配送则按</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实际 要求为准。临时采购食材的，</w:t>
      </w:r>
      <w:r>
        <w:rPr>
          <w:rFonts w:hint="eastAsia" w:ascii="宋体" w:hAnsi="宋体" w:cs="宋体"/>
          <w:color w:val="auto"/>
          <w:highlight w:val="none"/>
          <w:lang w:val="en-US" w:eastAsia="zh-CN"/>
        </w:rPr>
        <w:t>中标人</w:t>
      </w:r>
      <w:r>
        <w:rPr>
          <w:rFonts w:hint="eastAsia" w:ascii="宋体" w:hAnsi="宋体" w:eastAsia="宋体" w:cs="宋体"/>
          <w:color w:val="auto"/>
          <w:highlight w:val="none"/>
          <w:lang w:val="en-US" w:eastAsia="zh-CN"/>
        </w:rPr>
        <w:t>应在收到</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的订单后45分钟内响应，2小时内将 食材送到</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指定地点。如遇放假等不需要食材供应的特殊情况，</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应提前通知中标供应商，以免造成食材浪费。</w:t>
      </w:r>
    </w:p>
    <w:p w14:paraId="584E77BA">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2.3中标人</w:t>
      </w:r>
      <w:r>
        <w:rPr>
          <w:rFonts w:hint="eastAsia" w:ascii="宋体" w:hAnsi="宋体" w:eastAsia="宋体" w:cs="宋体"/>
          <w:color w:val="auto"/>
          <w:highlight w:val="none"/>
          <w:lang w:val="en-US" w:eastAsia="zh-CN"/>
        </w:rPr>
        <w:t>对</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提出的所有送货需求均应按</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要求按时、按质、按量将食材送 到指定地点。</w:t>
      </w:r>
    </w:p>
    <w:p w14:paraId="242FEF15">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2.4中标人</w:t>
      </w:r>
      <w:r>
        <w:rPr>
          <w:rFonts w:hint="eastAsia" w:ascii="宋体" w:hAnsi="宋体" w:eastAsia="宋体" w:cs="宋体"/>
          <w:color w:val="auto"/>
          <w:highlight w:val="none"/>
          <w:lang w:val="en-US" w:eastAsia="zh-CN"/>
        </w:rPr>
        <w:t>提供的食材必须符合国家食品卫生法规相关标准，保质、保量，不合格的食 材 ，</w:t>
      </w:r>
      <w:r>
        <w:rPr>
          <w:rFonts w:hint="eastAsia" w:ascii="宋体" w:hAnsi="宋体" w:cs="宋体"/>
          <w:color w:val="auto"/>
          <w:highlight w:val="none"/>
          <w:lang w:val="en-US" w:eastAsia="zh-CN"/>
        </w:rPr>
        <w:t>中标人</w:t>
      </w:r>
      <w:r>
        <w:rPr>
          <w:rFonts w:hint="eastAsia" w:ascii="宋体" w:hAnsi="宋体" w:eastAsia="宋体" w:cs="宋体"/>
          <w:color w:val="auto"/>
          <w:highlight w:val="none"/>
          <w:lang w:val="en-US" w:eastAsia="zh-CN"/>
        </w:rPr>
        <w:t>必须包退包换。</w:t>
      </w:r>
    </w:p>
    <w:p w14:paraId="25A8C7D8">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2.5中标人</w:t>
      </w:r>
      <w:r>
        <w:rPr>
          <w:rFonts w:hint="eastAsia" w:ascii="宋体" w:hAnsi="宋体" w:eastAsia="宋体" w:cs="宋体"/>
          <w:color w:val="auto"/>
          <w:highlight w:val="none"/>
          <w:lang w:val="en-US" w:eastAsia="zh-CN"/>
        </w:rPr>
        <w:t>必须就所供应的食材出示真实有效的检验合格报告：凡国家有明文规定的必 须提供产品检验报告交食堂存档，符合国家溯源制度规定。</w:t>
      </w:r>
    </w:p>
    <w:p w14:paraId="00822B50">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2.6中标人</w:t>
      </w:r>
      <w:r>
        <w:rPr>
          <w:rFonts w:hint="eastAsia" w:ascii="宋体" w:hAnsi="宋体" w:eastAsia="宋体" w:cs="宋体"/>
          <w:color w:val="auto"/>
          <w:highlight w:val="none"/>
          <w:lang w:val="en-US" w:eastAsia="zh-CN"/>
        </w:rPr>
        <w:t>每次送货应有相应的送货清单(盖有</w:t>
      </w:r>
      <w:r>
        <w:rPr>
          <w:rFonts w:hint="eastAsia" w:ascii="宋体" w:hAnsi="宋体" w:cs="宋体"/>
          <w:color w:val="auto"/>
          <w:highlight w:val="none"/>
          <w:lang w:val="en-US" w:eastAsia="zh-CN"/>
        </w:rPr>
        <w:t>中标人</w:t>
      </w:r>
      <w:r>
        <w:rPr>
          <w:rFonts w:hint="eastAsia" w:ascii="宋体" w:hAnsi="宋体" w:eastAsia="宋体" w:cs="宋体"/>
          <w:color w:val="auto"/>
          <w:highlight w:val="none"/>
          <w:lang w:val="en-US" w:eastAsia="zh-CN"/>
        </w:rPr>
        <w:t>的有效公章),且必须提供合法的进货单据。</w:t>
      </w:r>
    </w:p>
    <w:p w14:paraId="5EC2CE15">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2.7中标人</w:t>
      </w:r>
      <w:r>
        <w:rPr>
          <w:rFonts w:hint="eastAsia" w:ascii="宋体" w:hAnsi="宋体" w:eastAsia="宋体" w:cs="宋体"/>
          <w:color w:val="auto"/>
          <w:highlight w:val="none"/>
          <w:lang w:val="en-US" w:eastAsia="zh-CN"/>
        </w:rPr>
        <w:t>提供的食材导致</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有任何食物安全事件出现，由</w:t>
      </w:r>
      <w:r>
        <w:rPr>
          <w:rFonts w:hint="eastAsia" w:ascii="宋体" w:hAnsi="宋体" w:cs="宋体"/>
          <w:color w:val="auto"/>
          <w:highlight w:val="none"/>
          <w:lang w:val="en-US" w:eastAsia="zh-CN"/>
        </w:rPr>
        <w:t>中标人</w:t>
      </w:r>
      <w:r>
        <w:rPr>
          <w:rFonts w:hint="eastAsia" w:ascii="宋体" w:hAnsi="宋体" w:eastAsia="宋体" w:cs="宋体"/>
          <w:color w:val="auto"/>
          <w:highlight w:val="none"/>
          <w:lang w:val="en-US" w:eastAsia="zh-CN"/>
        </w:rPr>
        <w:t>承担全部责任及赔偿</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一切损失，</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保留法律追究的权利。</w:t>
      </w:r>
      <w:r>
        <w:rPr>
          <w:rFonts w:hint="eastAsia" w:ascii="宋体" w:hAnsi="宋体" w:cs="宋体"/>
          <w:color w:val="auto"/>
          <w:highlight w:val="none"/>
          <w:lang w:val="en-US" w:eastAsia="zh-CN"/>
        </w:rPr>
        <w:t>中标人</w:t>
      </w:r>
      <w:r>
        <w:rPr>
          <w:rFonts w:hint="eastAsia" w:ascii="宋体" w:hAnsi="宋体" w:eastAsia="宋体" w:cs="宋体"/>
          <w:color w:val="auto"/>
          <w:highlight w:val="none"/>
          <w:lang w:val="en-US" w:eastAsia="zh-CN"/>
        </w:rPr>
        <w:t>每次送货应有相应的送货 清单(盖有</w:t>
      </w:r>
      <w:r>
        <w:rPr>
          <w:rFonts w:hint="eastAsia" w:ascii="宋体" w:hAnsi="宋体" w:cs="宋体"/>
          <w:color w:val="auto"/>
          <w:highlight w:val="none"/>
          <w:lang w:val="en-US" w:eastAsia="zh-CN"/>
        </w:rPr>
        <w:t>中标人</w:t>
      </w:r>
      <w:r>
        <w:rPr>
          <w:rFonts w:hint="eastAsia" w:ascii="宋体" w:hAnsi="宋体" w:eastAsia="宋体" w:cs="宋体"/>
          <w:color w:val="auto"/>
          <w:highlight w:val="none"/>
          <w:lang w:val="en-US" w:eastAsia="zh-CN"/>
        </w:rPr>
        <w:t>的有效公章),且必须提供合法的进货单据。中标人的送货单必须详细 注明商品的品牌、品种、单价、数量，送货单原则上不得涂改，如因特殊情况发生涂改，所有 单据以甲方为准。标记不清的，甲方将拒绝签收。结算期末中标人还应提供送货清单供甲方结 算。</w:t>
      </w:r>
    </w:p>
    <w:p w14:paraId="1F6105D9">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2.8中标人</w:t>
      </w:r>
      <w:r>
        <w:rPr>
          <w:rFonts w:hint="eastAsia" w:ascii="宋体" w:hAnsi="宋体" w:eastAsia="宋体" w:cs="宋体"/>
          <w:color w:val="auto"/>
          <w:highlight w:val="none"/>
          <w:lang w:val="en-US" w:eastAsia="zh-CN"/>
        </w:rPr>
        <w:t>应在</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指定时间内对下月供货价格进行签字确认。</w:t>
      </w:r>
    </w:p>
    <w:p w14:paraId="2B8A995B">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2.9中标人</w:t>
      </w:r>
      <w:r>
        <w:rPr>
          <w:rFonts w:hint="eastAsia" w:ascii="宋体" w:hAnsi="宋体" w:eastAsia="宋体" w:cs="宋体"/>
          <w:color w:val="auto"/>
          <w:highlight w:val="none"/>
          <w:lang w:val="en-US" w:eastAsia="zh-CN"/>
        </w:rPr>
        <w:t>的供货价应包含食材交付给</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之前的一切费用，包括税费、运输费、储存费等，并承担送货途中的一切风险。</w:t>
      </w:r>
    </w:p>
    <w:p w14:paraId="73CDC892">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2.1.</w:t>
      </w:r>
      <w:r>
        <w:rPr>
          <w:rFonts w:hint="eastAsia" w:ascii="宋体" w:hAnsi="宋体" w:eastAsia="宋体" w:cs="宋体"/>
          <w:color w:val="auto"/>
          <w:highlight w:val="none"/>
          <w:lang w:val="en-US" w:eastAsia="zh-CN"/>
        </w:rPr>
        <w:t>如</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需要采购的食材未列入食材目录内，其单价由双方以约定的定价原则确定供货价格。</w:t>
      </w:r>
    </w:p>
    <w:p w14:paraId="25B1F77B">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2.11中标人</w:t>
      </w:r>
      <w:r>
        <w:rPr>
          <w:rFonts w:hint="eastAsia" w:ascii="宋体" w:hAnsi="宋体" w:eastAsia="宋体" w:cs="宋体"/>
          <w:color w:val="auto"/>
          <w:highlight w:val="none"/>
          <w:lang w:val="en-US" w:eastAsia="zh-CN"/>
        </w:rPr>
        <w:t>进入</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范围内必须遵守</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有关规定，不得影响</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的正常工作， 由于</w:t>
      </w:r>
      <w:r>
        <w:rPr>
          <w:rFonts w:hint="eastAsia" w:ascii="宋体" w:hAnsi="宋体" w:cs="宋体"/>
          <w:color w:val="auto"/>
          <w:highlight w:val="none"/>
          <w:lang w:val="en-US" w:eastAsia="zh-CN"/>
        </w:rPr>
        <w:t>中标人</w:t>
      </w:r>
      <w:r>
        <w:rPr>
          <w:rFonts w:hint="eastAsia" w:ascii="宋体" w:hAnsi="宋体" w:eastAsia="宋体" w:cs="宋体"/>
          <w:color w:val="auto"/>
          <w:highlight w:val="none"/>
          <w:lang w:val="en-US" w:eastAsia="zh-CN"/>
        </w:rPr>
        <w:t>的过失造成</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直接经济损失的，由</w:t>
      </w:r>
      <w:r>
        <w:rPr>
          <w:rFonts w:hint="eastAsia" w:ascii="宋体" w:hAnsi="宋体" w:cs="宋体"/>
          <w:color w:val="auto"/>
          <w:highlight w:val="none"/>
          <w:lang w:val="en-US" w:eastAsia="zh-CN"/>
        </w:rPr>
        <w:t>中标人</w:t>
      </w:r>
      <w:r>
        <w:rPr>
          <w:rFonts w:hint="eastAsia" w:ascii="宋体" w:hAnsi="宋体" w:eastAsia="宋体" w:cs="宋体"/>
          <w:color w:val="auto"/>
          <w:highlight w:val="none"/>
          <w:lang w:val="en-US" w:eastAsia="zh-CN"/>
        </w:rPr>
        <w:t>承担全部责任及赔偿</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 xml:space="preserve">  一切损失。</w:t>
      </w:r>
    </w:p>
    <w:p w14:paraId="42CCE050">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2.12中标人</w:t>
      </w:r>
      <w:r>
        <w:rPr>
          <w:rFonts w:hint="eastAsia" w:ascii="宋体" w:hAnsi="宋体" w:eastAsia="宋体" w:cs="宋体"/>
          <w:color w:val="auto"/>
          <w:highlight w:val="none"/>
          <w:lang w:val="en-US" w:eastAsia="zh-CN"/>
        </w:rPr>
        <w:t>须按</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要求提供以往交易记录。</w:t>
      </w:r>
    </w:p>
    <w:p w14:paraId="367292D9">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2.13中标人</w:t>
      </w:r>
      <w:r>
        <w:rPr>
          <w:rFonts w:hint="eastAsia" w:ascii="宋体" w:hAnsi="宋体" w:eastAsia="宋体" w:cs="宋体"/>
          <w:color w:val="auto"/>
          <w:highlight w:val="none"/>
          <w:lang w:val="en-US" w:eastAsia="zh-CN"/>
        </w:rPr>
        <w:t>须拥有固定分割肉加工场所，具备空调作业环境，配套设备设施齐全，有相应加工作业流程及相关管理制度。</w:t>
      </w:r>
    </w:p>
    <w:p w14:paraId="18096954">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2.14</w:t>
      </w:r>
      <w:r>
        <w:rPr>
          <w:rFonts w:hint="eastAsia" w:ascii="宋体" w:hAnsi="宋体" w:eastAsia="宋体" w:cs="宋体"/>
          <w:color w:val="auto"/>
          <w:highlight w:val="none"/>
          <w:lang w:val="en-US" w:eastAsia="zh-CN"/>
        </w:rPr>
        <w:t>拟投入本项目人员</w:t>
      </w:r>
    </w:p>
    <w:p w14:paraId="11F4FB4C">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(1)拟投入本项目人员不少于5人，包括1名项目负责人，1名业务员，3名配送人员(含司机)。</w:t>
      </w:r>
      <w:r>
        <w:rPr>
          <w:rFonts w:hint="eastAsia"/>
          <w:color w:val="auto"/>
          <w:highlight w:val="none"/>
          <w:lang w:val="en-US" w:eastAsia="zh-CN"/>
        </w:rPr>
        <w:t>中标人投标时报的条件优于本条规定的，以较高要求为准。</w:t>
      </w:r>
    </w:p>
    <w:p w14:paraId="33419083">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(2)中标人法定代表人或负责人是食品安全的第一责任人，对本企业的食品安全负全责。</w:t>
      </w:r>
    </w:p>
    <w:p w14:paraId="1B538947">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(3)食品从业人员必须每年进行健康检查，取得相应医疗卫生机构出具的餐饮健康证明后， 方可从事相关工作，并对从业人员餐饮健康证明予以明示。没有餐饮健康证明的，不得从事相 关工作。建立食品从业人员健康档案，记录食品从业人员健康检查情况。</w:t>
      </w:r>
    </w:p>
    <w:p w14:paraId="77431480">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2.15</w:t>
      </w:r>
      <w:r>
        <w:rPr>
          <w:rFonts w:hint="eastAsia" w:ascii="宋体" w:hAnsi="宋体" w:eastAsia="宋体" w:cs="宋体"/>
          <w:color w:val="auto"/>
          <w:highlight w:val="none"/>
          <w:lang w:val="en-US" w:eastAsia="zh-CN"/>
        </w:rPr>
        <w:t>运输车辆</w:t>
      </w:r>
    </w:p>
    <w:p w14:paraId="5293E3FC">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(1)拟投入本项目</w:t>
      </w:r>
      <w:r>
        <w:rPr>
          <w:rFonts w:hint="eastAsia" w:ascii="宋体" w:hAnsi="宋体" w:cs="宋体"/>
          <w:color w:val="auto"/>
          <w:highlight w:val="none"/>
          <w:lang w:val="en-US" w:eastAsia="zh-CN"/>
        </w:rPr>
        <w:t>厢式</w:t>
      </w:r>
      <w:r>
        <w:rPr>
          <w:rFonts w:hint="eastAsia" w:ascii="宋体" w:hAnsi="宋体" w:eastAsia="宋体" w:cs="宋体"/>
          <w:color w:val="auto"/>
          <w:highlight w:val="none"/>
          <w:lang w:val="en-US" w:eastAsia="zh-CN"/>
        </w:rPr>
        <w:t>运输车辆不少于</w:t>
      </w:r>
      <w:r>
        <w:rPr>
          <w:rFonts w:hint="eastAsia" w:ascii="宋体" w:hAnsi="宋体" w:cs="宋体"/>
          <w:color w:val="auto"/>
          <w:highlight w:val="none"/>
          <w:lang w:val="en-US" w:eastAsia="zh-CN"/>
        </w:rPr>
        <w:t>3</w:t>
      </w:r>
      <w:r>
        <w:rPr>
          <w:rFonts w:hint="eastAsia" w:ascii="宋体" w:hAnsi="宋体" w:eastAsia="宋体" w:cs="宋体"/>
          <w:color w:val="auto"/>
          <w:highlight w:val="none"/>
          <w:lang w:val="en-US" w:eastAsia="zh-CN"/>
        </w:rPr>
        <w:t>辆，冷链运输车辆不少于</w:t>
      </w:r>
      <w:r>
        <w:rPr>
          <w:rFonts w:hint="eastAsia" w:ascii="宋体" w:hAnsi="宋体" w:cs="宋体"/>
          <w:color w:val="auto"/>
          <w:highlight w:val="none"/>
          <w:lang w:val="en-US" w:eastAsia="zh-CN"/>
        </w:rPr>
        <w:t>3</w:t>
      </w:r>
      <w:r>
        <w:rPr>
          <w:rFonts w:hint="eastAsia" w:ascii="宋体" w:hAnsi="宋体" w:eastAsia="宋体" w:cs="宋体"/>
          <w:color w:val="auto"/>
          <w:highlight w:val="none"/>
          <w:lang w:val="en-US" w:eastAsia="zh-CN"/>
        </w:rPr>
        <w:t>辆，具有车辆营运证、车辆行驶证</w:t>
      </w:r>
      <w:r>
        <w:rPr>
          <w:rFonts w:hint="eastAsia"/>
          <w:color w:val="auto"/>
          <w:highlight w:val="none"/>
          <w:lang w:eastAsia="zh-CN"/>
        </w:rPr>
        <w:t>。</w:t>
      </w:r>
      <w:r>
        <w:rPr>
          <w:rFonts w:hint="eastAsia"/>
          <w:color w:val="auto"/>
          <w:highlight w:val="none"/>
          <w:lang w:val="en-US" w:eastAsia="zh-CN"/>
        </w:rPr>
        <w:t>中标人投标时报的条件优于本条规定的，以较高要求为准。</w:t>
      </w:r>
    </w:p>
    <w:p w14:paraId="3C04A48C">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(2)食品运输必须采用符合卫生标准的外包装和运载工具，并且要保持清洁和定期消毒。 运输车厢的内仓，包括地面、墙面和顶，应使用抗腐蚀、防潮，易清洁消毒的材料。车厢内无不良气味、异味。独立包装的杂货类食品应该具备符合安全卫生和运输要求的独立外包装，装车后应有严格全面的覆盖，避免风吹雨淋和阳光直晒；运输过程中不得和其它对食品安全和卫生有影响的货物混载。直接食用的熟食产品必须采用定型包装或符合卫生要求的专用密闭容器包装，并采用专用车辆运输，严格禁止和其它商品、人员混载。推荐使用专用冷藏车运输。冷藏、冷冻食品必须用专用冷藏、冷冻载具运输，应当有必要的保温设备并在整个运输过程中保持安全的冷藏、冷冻温度。有条件单位推荐使用温度跟踪器进行记录，特别是对于长途运输的食品，保证食品在运输全过程处于合适的温度范围。整个运输过程应科学合理，运输车辆应定期清洁，保持性能稳定，符合规定的温度要求，使运输商品处于恒定的环境中。食品在运输过程中，冷藏车要全程开机制冷，冷藏温度应在-2℃~5℃,冷冻温度应低于—18℃,以防变质。 不得将有冷藏、冷冻要求的食品在无冷藏、冷冻的条件下运输。</w:t>
      </w:r>
    </w:p>
    <w:p w14:paraId="5767FC93">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2.16</w:t>
      </w:r>
      <w:r>
        <w:rPr>
          <w:rFonts w:hint="eastAsia" w:ascii="宋体" w:hAnsi="宋体" w:eastAsia="宋体" w:cs="宋体"/>
          <w:color w:val="auto"/>
          <w:highlight w:val="none"/>
          <w:lang w:val="en-US" w:eastAsia="zh-CN"/>
        </w:rPr>
        <w:t>检测能力</w:t>
      </w:r>
      <w:r>
        <w:rPr>
          <w:rFonts w:hint="eastAsia"/>
          <w:color w:val="auto"/>
          <w:highlight w:val="none"/>
          <w:lang w:eastAsia="zh-CN"/>
        </w:rPr>
        <w:t>（</w:t>
      </w:r>
      <w:r>
        <w:rPr>
          <w:rFonts w:hint="eastAsia"/>
          <w:color w:val="auto"/>
          <w:highlight w:val="none"/>
          <w:lang w:val="en-US" w:eastAsia="zh-CN"/>
        </w:rPr>
        <w:t>供货时提供相应的检测报告</w:t>
      </w:r>
      <w:r>
        <w:rPr>
          <w:rFonts w:hint="eastAsia"/>
          <w:color w:val="auto"/>
          <w:highlight w:val="none"/>
          <w:lang w:eastAsia="zh-CN"/>
        </w:rPr>
        <w:t>）</w:t>
      </w:r>
    </w:p>
    <w:p w14:paraId="364348CA">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(1)农药残留检测：有机氯农药残留、有机磷农药残留、氨基甲酸甲酯类农药、拟除虫菊 酯类农药等。</w:t>
      </w:r>
    </w:p>
    <w:p w14:paraId="0164873C">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(2)兽药残留检测：兽药残留测试服务内容有：瘦肉精、喹诺酮类、磺胺类、硝基呋喃类、 四环素类、氯霉素、孔雀石绿、雌激素类等检测。</w:t>
      </w:r>
    </w:p>
    <w:p w14:paraId="40AA89FF">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(3)重金属检测： Pb 、Hg 、Cd 、As 、Cr等检测。</w:t>
      </w:r>
    </w:p>
    <w:p w14:paraId="2AA48C12">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(4)污染物检测：亚硝酸盐、硝酸盐、二氧化硫等检测。</w:t>
      </w:r>
    </w:p>
    <w:p w14:paraId="29822001">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(5)卫生学指标(微生物)检测：菌落总数、总大肠菌群、耐热大肠菌群、大肠埃希氏菌、 沙门氏菌、志贺氏菌、金黄色葡萄球菌等检测。</w:t>
      </w:r>
    </w:p>
    <w:p w14:paraId="2ECA0ACF">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2.17</w:t>
      </w:r>
      <w:r>
        <w:rPr>
          <w:rFonts w:hint="eastAsia" w:ascii="宋体" w:hAnsi="宋体" w:eastAsia="宋体" w:cs="宋体"/>
          <w:color w:val="auto"/>
          <w:highlight w:val="none"/>
          <w:lang w:val="en-US" w:eastAsia="zh-CN"/>
        </w:rPr>
        <w:t>储存配送场所</w:t>
      </w:r>
    </w:p>
    <w:p w14:paraId="280EA5FF">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w:t>
      </w:r>
      <w:r>
        <w:rPr>
          <w:rFonts w:hint="eastAsia" w:ascii="宋体" w:hAnsi="宋体" w:cs="宋体"/>
          <w:color w:val="auto"/>
          <w:highlight w:val="none"/>
          <w:lang w:val="en-US" w:eastAsia="zh-CN"/>
        </w:rPr>
        <w:t>总</w:t>
      </w:r>
      <w:r>
        <w:rPr>
          <w:rFonts w:hint="eastAsia" w:ascii="宋体" w:hAnsi="宋体" w:eastAsia="宋体" w:cs="宋体"/>
          <w:color w:val="auto"/>
          <w:highlight w:val="none"/>
          <w:lang w:val="en-US" w:eastAsia="zh-CN"/>
        </w:rPr>
        <w:t>面积不少于2000平方米，具有不少于100平方米的冷藏和冷冻库，应急配送在60分钟送达。</w:t>
      </w:r>
      <w:r>
        <w:rPr>
          <w:rFonts w:hint="eastAsia"/>
          <w:color w:val="auto"/>
          <w:highlight w:val="none"/>
          <w:lang w:val="en-US" w:eastAsia="zh-CN"/>
        </w:rPr>
        <w:t>中标人投标时报的条件优于本条规定的，以较高要求为准。</w:t>
      </w:r>
    </w:p>
    <w:p w14:paraId="109D64F5">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(2)中标人须有固定分割肉加工场所，具备空调作业环境，配套设备设施齐全，有相应加 工作业流程及相关管理制度。</w:t>
      </w:r>
    </w:p>
    <w:p w14:paraId="79F74438">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食品应当定期进行检查，查验食品的生产日期和保质期，及时清理变质、超过保质期及其他不符合食品安全标准的食品，并做好相关记录；贮存、运输和装卸食品的容器、工具和设备应当安全、无害，保持清洁，防止食品污染，并符合保证食品安全所需的温度等特殊要求，不得将食品与有毒、有害物品一同运输；食品应当分类、分架存放，距离墙壁、地面均在10cm以上，并定期检查。</w:t>
      </w:r>
    </w:p>
    <w:p w14:paraId="2FD722C5">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(4)常温存放的食品应储存在温度适宜(按不同产品的具体要求)、干燥的库区，避免阳 光照射。冷藏存放的食品应储存在温度湿度适宜的冷藏库中。新鲜蔬菜、水果的存放温度应控制在5 - 15 °C。要求冷冻存放的食品应储存在温度-18°C 以下冷冻库中。冷库要定期检查、记录温度、定期进行除霜、清洁保养和维护。库房内安装温度表、湿度表。冷藏库(柜)温度为-2℃~5℃以下。冷冻库(柜)温度低于-18℃。热柜的温度达到60℃以上。</w:t>
      </w:r>
    </w:p>
    <w:p w14:paraId="5AE33CF6">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(5)对于需冷藏的食品，冷藏柜温度必须保证24小时在4℃以下。不得将有冷藏、冷冻 要求的食品在无冷藏、冷冻的条件下储存。根据商品储藏要求进行相应的湿度控制。冷冻和冷 藏食品在装卸和出入库必须保证冷链的持续有效，任何环节中商品脱离冷链时间不得超过30 分钟。</w:t>
      </w:r>
    </w:p>
    <w:p w14:paraId="217B2CC8">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2.18</w:t>
      </w:r>
      <w:r>
        <w:rPr>
          <w:rFonts w:hint="eastAsia" w:ascii="宋体" w:hAnsi="宋体" w:eastAsia="宋体" w:cs="宋体"/>
          <w:color w:val="auto"/>
          <w:highlight w:val="none"/>
          <w:lang w:val="en-US" w:eastAsia="zh-CN"/>
        </w:rPr>
        <w:t>食品安全责任：中标人提供的货品导致甲方有任何食物安全事件出现，由中标人承担全部责任及赔偿</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一切损失，</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保留法律追究权利。</w:t>
      </w:r>
    </w:p>
    <w:p w14:paraId="63C173DB">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三</w:t>
      </w:r>
      <w:r>
        <w:rPr>
          <w:rFonts w:hint="eastAsia" w:ascii="宋体" w:hAnsi="宋体" w:eastAsia="宋体" w:cs="宋体"/>
          <w:color w:val="auto"/>
          <w:highlight w:val="none"/>
          <w:lang w:val="en-US" w:eastAsia="zh-CN"/>
        </w:rPr>
        <w:t xml:space="preserve">)食材验收标准 </w:t>
      </w:r>
    </w:p>
    <w:p w14:paraId="13F76331">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干货类</w:t>
      </w:r>
    </w:p>
    <w:p w14:paraId="3DDFE0A5">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1.粮食大米类</w:t>
      </w:r>
    </w:p>
    <w:p w14:paraId="18BD1DA0">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(1)由正规厂家出厂、颜色品质纯正，米粒形均匀、整齐、重量大没有碎米和爆腰。</w:t>
      </w:r>
    </w:p>
    <w:p w14:paraId="714200A8">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(2)有清香味和光泽，无米糠和其它杂质、无虫害、无异味、无霉味，用手摸时滑爽、干 燥。</w:t>
      </w:r>
    </w:p>
    <w:p w14:paraId="42529D6D">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(3)符合食品卫生标准，无毒、无污染。</w:t>
      </w:r>
    </w:p>
    <w:p w14:paraId="25D3C67B">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2.食用油类</w:t>
      </w:r>
    </w:p>
    <w:p w14:paraId="733CAB88">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(1)由知名正规厂家生产的植物油，非转基因类。</w:t>
      </w:r>
    </w:p>
    <w:p w14:paraId="1B0D14B9">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(2)色泽纯正，透明度好。</w:t>
      </w:r>
    </w:p>
    <w:p w14:paraId="26F4F17C">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(3)必须符合国家有关标准及甲方使用要求，必须保证有三分之二以上保质期。</w:t>
      </w:r>
    </w:p>
    <w:p w14:paraId="503E22A9">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3</w:t>
      </w:r>
      <w:r>
        <w:rPr>
          <w:rFonts w:hint="eastAsia" w:ascii="宋体" w:hAnsi="宋体" w:eastAsia="宋体" w:cs="宋体"/>
          <w:color w:val="auto"/>
          <w:highlight w:val="none"/>
          <w:lang w:val="en-US" w:eastAsia="zh-CN"/>
        </w:rPr>
        <w:t>.干货、杂货、副食品(含预包装食品)类</w:t>
      </w:r>
    </w:p>
    <w:p w14:paraId="26C45DFE">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(1)必须选用符合国家食品卫生法规相关标准的商品，选用无毒、无害、无污染、可朔源 的食品。掺假、掺杂食品坚决不能使用。</w:t>
      </w:r>
    </w:p>
    <w:p w14:paraId="2AA45E31">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(2)副食品等级标准要相符，其包装盒或标签上须注明食品名称、生产厂家、厂址、生产 日期、食品的主要原料成份和食品保质期等信息，注明不详或没有注明的商品不予验收。</w:t>
      </w:r>
    </w:p>
    <w:p w14:paraId="4A3111E4">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 xml:space="preserve">(3)副食品表面外观新鲜、完整，无霉变异味，无砂粒杂质，无虫尸鼠粪等不洁卫生问题。 </w:t>
      </w:r>
    </w:p>
    <w:p w14:paraId="242DECC5">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.米粉面粉类</w:t>
      </w:r>
    </w:p>
    <w:p w14:paraId="66F2E68F">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(1)米粉面粉类及其制品颜色品质要纯正，不掺假、掺杂。</w:t>
      </w:r>
    </w:p>
    <w:p w14:paraId="52A3F87E">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(2)符合食品卫生标准，粉质细腻干爽无异物、无毒、无污染。</w:t>
      </w:r>
    </w:p>
    <w:p w14:paraId="6E0DDD8C">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(3)制成品不能出现异味、霉变结块、虫尸鼠粪等不洁的卫生问题。</w:t>
      </w:r>
    </w:p>
    <w:p w14:paraId="3C216568">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肉类</w:t>
      </w:r>
    </w:p>
    <w:p w14:paraId="600158BA">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1.猪肉类</w:t>
      </w:r>
    </w:p>
    <w:p w14:paraId="6E78C596">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(1)具有当天卫生监督部门发放的“动物检疫合格证明”,肉体印有检疫章。</w:t>
      </w:r>
    </w:p>
    <w:p w14:paraId="0EFC64A3">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(2)表皮干爽、肌体结实、肉质紧密、肉色淡红新鲜，肥肉洁白而细腻。</w:t>
      </w:r>
    </w:p>
    <w:p w14:paraId="068321E7">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(3)外观检测无异味、无寄生虫、无黏液、无渗出液体、指压反弹迅速、具有猪肉自然气 味。</w:t>
      </w:r>
    </w:p>
    <w:p w14:paraId="111C779A">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(4)运输设备具备恒温保鲜(5度),存放容器保持清洁卫生，包装合理且材料无污染。</w:t>
      </w:r>
    </w:p>
    <w:p w14:paraId="103C07F7">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2.牛肉类</w:t>
      </w:r>
    </w:p>
    <w:p w14:paraId="7866C095">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(1)具有当天卫生监督部门发放的“动物检疫合格证明”,外观检测新鲜肉质柔软有光泽、 无腐臭变质异味、无寄生虫、无黏液、无渗出液体。</w:t>
      </w:r>
    </w:p>
    <w:p w14:paraId="7A46BDE9">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(2)牛肉色泽棕红，脂肪呈淡黄色或深黄色，肉质坚硬，弹性足。</w:t>
      </w:r>
    </w:p>
    <w:p w14:paraId="5796DA35">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(3)运输设备具备恒温保鲜(5度),存放容器保持清洁卫生，包装合理且材料无污染。</w:t>
      </w:r>
    </w:p>
    <w:p w14:paraId="738C3023">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3.羊肉类</w:t>
      </w:r>
    </w:p>
    <w:p w14:paraId="23E85546">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(1)具有当天卫生监督部门发放的“动物检疫合格证明”。</w:t>
      </w:r>
    </w:p>
    <w:p w14:paraId="5DE4DDB8">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(2)羊肉色泽暗红，纤维细而软，肌间少脂肪。</w:t>
      </w:r>
    </w:p>
    <w:p w14:paraId="3016E1B9">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(3)运输设备具备恒温保鲜(5度),存放容器保持清洁卫生，包装合理且材料无污染。</w:t>
      </w:r>
    </w:p>
    <w:p w14:paraId="4A77F437">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4.水产品类</w:t>
      </w:r>
    </w:p>
    <w:p w14:paraId="0FA72BAD">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(1)具有水产养殖基地发放的证明。</w:t>
      </w:r>
    </w:p>
    <w:p w14:paraId="5828425A">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(2)鲜鱼鳞片完整，有光泽无脱落，鳃口紧闭，眼球光亮透明，鱼鳃鲜红，鳍尾完整，确保新鲜。</w:t>
      </w:r>
    </w:p>
    <w:p w14:paraId="6FBC669D">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(3)身体饱满结实，无腐烂异味，肉质紧密有弹性，无离骨脱刺现象。</w:t>
      </w:r>
    </w:p>
    <w:p w14:paraId="524AFD99">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(4)来源可靠放心，无毒、无害、无污染。</w:t>
      </w:r>
    </w:p>
    <w:p w14:paraId="53F70371">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5.三鸟类(</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以实际需求确定中标人是否需要屠杀好供货)</w:t>
      </w:r>
    </w:p>
    <w:p w14:paraId="4947F171">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(1)活禽类：</w:t>
      </w:r>
    </w:p>
    <w:p w14:paraId="02E974FA">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①具有当天卫生监督部门发放的“动物检疫合格证明”。</w:t>
      </w:r>
    </w:p>
    <w:p w14:paraId="6B8CE118">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②必须鲜活；羽毛完整、有光泽无不正常脱落。</w:t>
      </w:r>
    </w:p>
    <w:p w14:paraId="190B0FC2">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③身体饱满结实，来源可靠放心，无毒、无害、无污染。</w:t>
      </w:r>
    </w:p>
    <w:p w14:paraId="3EAAC544">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(2)屠杀好的：</w:t>
      </w:r>
    </w:p>
    <w:p w14:paraId="0241D791">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①具有当天卫生监督部门发放的“动物检疫合格证明”。</w:t>
      </w:r>
    </w:p>
    <w:p w14:paraId="2EF9EDAD">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②肉质新鲜柔软有光泽，质地紧密，脂肪呈白色或淡黄色，肉质细腻、无腐烂异味，肉体结实，内脏清掏干净，肉质弹性足无明显渗出液体，总体无粘液。</w:t>
      </w:r>
    </w:p>
    <w:p w14:paraId="3916F5B7">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③运输设备具备恒温保鲜(5度),存放容器保持清洁卫生，包装合理，来源可靠放心， 无毒、无害、无污染。</w:t>
      </w:r>
    </w:p>
    <w:p w14:paraId="6A8C546F">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6.零星冻品副食品类</w:t>
      </w:r>
    </w:p>
    <w:p w14:paraId="6F9291AE">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(1)必须选用符合国家食品卫生法规相关标准的商品，选用无毒、无害、无污染、可溯源的副食品。</w:t>
      </w:r>
    </w:p>
    <w:p w14:paraId="6644F1B0">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(2)食品等级标准要相符，其包装盒或标签上须注明食品名称，生产厂家、厂址、生产日 期、食品的主要原料成分和食品保质期等信息，注明不详或没有注明的商品不予验收。</w:t>
      </w:r>
    </w:p>
    <w:p w14:paraId="788508B5">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(3)冻肉类产品中间不能有过多冰块，重量必须和包装箱上标明的重量一致。</w:t>
      </w:r>
    </w:p>
    <w:p w14:paraId="414D82EF">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(4)奶制品色泽乳白，口味鲜香，包装完整，无破损，验收每批在保质期二分之一以上， 符合国家规定的质量卫生标准。</w:t>
      </w:r>
    </w:p>
    <w:p w14:paraId="1036529F">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蔬菜、</w:t>
      </w:r>
      <w:r>
        <w:rPr>
          <w:rFonts w:hint="eastAsia" w:ascii="宋体" w:hAnsi="宋体" w:cs="宋体"/>
          <w:color w:val="auto"/>
          <w:highlight w:val="none"/>
          <w:lang w:val="en-US" w:eastAsia="zh-CN"/>
        </w:rPr>
        <w:t>水</w:t>
      </w:r>
      <w:r>
        <w:rPr>
          <w:rFonts w:hint="eastAsia" w:ascii="宋体" w:hAnsi="宋体" w:eastAsia="宋体" w:cs="宋体"/>
          <w:color w:val="auto"/>
          <w:highlight w:val="none"/>
          <w:lang w:val="en-US" w:eastAsia="zh-CN"/>
        </w:rPr>
        <w:t>果、饮料类</w:t>
      </w:r>
    </w:p>
    <w:p w14:paraId="6A9E2C59">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1.蔬果类</w:t>
      </w:r>
    </w:p>
    <w:p w14:paraId="1A5E41C1">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(1)具有蔬果种植基地发放的证明。</w:t>
      </w:r>
    </w:p>
    <w:p w14:paraId="058635AF">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(2)应保持较好的色泽和新鲜度，符合国家食品卫生标准，蔬菜不得有黄叶；不得腐烂和 泥沙等现象。</w:t>
      </w:r>
    </w:p>
    <w:p w14:paraId="35CF4A3D">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(3)无公害、农药残留不得超标，提供农药残留检测证明。</w:t>
      </w:r>
    </w:p>
    <w:p w14:paraId="73D778C4">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(4)采购人已配备农药残留检测仪，采购人有权对中标人提供的蔬果类进行检测，如检测出农药残留，采购人有权退回相应货物。次数达到3次以上的，采购人有权单方终止合同，不承担违约责任。</w:t>
      </w:r>
    </w:p>
    <w:p w14:paraId="1A04A8A4">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2.牛奶、饮料类</w:t>
      </w:r>
    </w:p>
    <w:p w14:paraId="1907D9BC">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(1)牛奶、饮料的成分应该明确标注在包装上，其中每种成分的含量应该符合国家或地方标准，不能够添加超过规定的限量的色素、香料、防腐剂等化学物质，严禁添加有害物质。</w:t>
      </w:r>
    </w:p>
    <w:p w14:paraId="143D2D54">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(2)牛奶、饮料的质量应该符合国家相关标准，其中包括味道、颜色、异味、污染物等要素。</w:t>
      </w:r>
    </w:p>
    <w:p w14:paraId="1977D0D0">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(3)牛奶、饮料生产制造应严格遵循卫生标准，生产车间和设备应保持清洁卫生、无菌环境。</w:t>
      </w:r>
    </w:p>
    <w:p w14:paraId="7E531A7B">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(4)牛奶、饮料的包装应该符合国家标准，并且要印刷清晰、可识别的标签和使用说明书。此外，还要保证包装的完整性，以确保饮料的卫生和安全。</w:t>
      </w:r>
    </w:p>
    <w:p w14:paraId="3ECA6CDE">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四</w:t>
      </w: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部分</w:t>
      </w:r>
      <w:r>
        <w:rPr>
          <w:rFonts w:hint="eastAsia" w:ascii="宋体" w:hAnsi="宋体" w:eastAsia="宋体" w:cs="宋体"/>
          <w:color w:val="auto"/>
          <w:highlight w:val="none"/>
          <w:lang w:val="en-US" w:eastAsia="zh-CN"/>
        </w:rPr>
        <w:t>物资明细表(以下规格、品牌仅供参考，供货时以</w:t>
      </w:r>
      <w:r>
        <w:rPr>
          <w:rFonts w:hint="eastAsia" w:ascii="宋体" w:hAnsi="宋体" w:cs="宋体"/>
          <w:color w:val="auto"/>
          <w:highlight w:val="none"/>
          <w:lang w:val="en-US" w:eastAsia="zh-CN"/>
        </w:rPr>
        <w:t>采购人</w:t>
      </w:r>
      <w:r>
        <w:rPr>
          <w:rFonts w:hint="eastAsia" w:ascii="宋体" w:hAnsi="宋体" w:eastAsia="宋体" w:cs="宋体"/>
          <w:color w:val="auto"/>
          <w:highlight w:val="none"/>
          <w:lang w:val="en-US" w:eastAsia="zh-CN"/>
        </w:rPr>
        <w:t>实际需求下单为准)</w:t>
      </w:r>
    </w:p>
    <w:tbl>
      <w:tblPr>
        <w:tblStyle w:val="30"/>
        <w:tblW w:w="82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70"/>
        <w:gridCol w:w="2778"/>
        <w:gridCol w:w="2701"/>
        <w:gridCol w:w="1370"/>
      </w:tblGrid>
      <w:tr w14:paraId="56A99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CF4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类别</w:t>
            </w:r>
          </w:p>
        </w:tc>
        <w:tc>
          <w:tcPr>
            <w:tcW w:w="2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6E4F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商品名称</w:t>
            </w:r>
          </w:p>
        </w:tc>
        <w:tc>
          <w:tcPr>
            <w:tcW w:w="2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A648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规格</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2ABB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单位</w:t>
            </w:r>
          </w:p>
        </w:tc>
      </w:tr>
      <w:tr w14:paraId="1A2A6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73D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蔬菜类</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7EACE17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本地菜心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5CC1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768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77B41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84C7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5840C9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茄瓜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22FD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0EE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4793F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6136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006AF55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去皮土豆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EA35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E1A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5495F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5B61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07FFDD0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去皮莴笋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E0AF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AAD0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3B8CD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E953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205DA0D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生菜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2A39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0222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3886A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E44C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3410201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青尖椒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BFB7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E22C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33EE9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B26C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706F021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椰菜花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9CD3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E038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583D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5814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48AD0DB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小白菜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2C1A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B274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4F896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D9DC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4BFC26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长白菜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C9FB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D5BB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E8EE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A9B1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5C02593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老姜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B9EF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EBEE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45C3C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AD5E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0D944A8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蒜肉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099B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ABD1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9F62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55D9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0616BD6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生面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4451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9F34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33224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046D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3BFE6ED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青通菜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3DC5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F4ED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A98E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07DD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6BC8A2E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番茄（西红柿）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23FC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77B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9A73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6D3F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E4F1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葱肉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5770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25A9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54D87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DD05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C745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油麦菜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B874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C61B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0DCF7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F886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74A620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扁包菜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6FAD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CA3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120B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A22A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4E9F91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冬瓜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180A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45B2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563BC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A467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6CF0E0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红萝卜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4466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0A15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D18E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0368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2ABEE16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南瓜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4DAF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541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7BD47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369D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00CBF04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杏鲍菇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3345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D8C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1E32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E651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000F1DC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绿豆芽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D8E5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8133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70EE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0D56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46FA4DA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莲藕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BA00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AE7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38BBE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14A7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2698A8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凉瓜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C548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3D82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C6F0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653A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5173EAB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红尖椒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D14E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7CAA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50A1F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2C0C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3992F19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青瓜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D722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87BC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07B09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99CF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5575D0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西芹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EED7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02B4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AA8F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9372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782628F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香芋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26DC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F6A9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78CD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C2A9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77E1466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白萝卜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6E74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6FC2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6516E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EFB9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0EC4C07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67D5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2263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BFC9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0204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2029C5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番薯苗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02CA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6D47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053F6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008E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1906D8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板豆腐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2949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56B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板</w:t>
            </w:r>
          </w:p>
        </w:tc>
      </w:tr>
      <w:tr w14:paraId="43CF7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92FA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4F2FA43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丝瓜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EBEF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762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34A8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6A8D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02078D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玉米棒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58C2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1971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3DEE7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ED20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6C552D8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香芹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1105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03CD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BD14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77F7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7C75018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上海青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7297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DEA3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4DFCE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C5BB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8E03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苹果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96CD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B37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70BB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6858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82D5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哈密瓜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7942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3F2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3FDE7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1636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298F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西瓜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F851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10F9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AAB7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2112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5C2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火龙果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C21C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8578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04F15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9270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666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青枣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70E2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809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76DFD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C39B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BC96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番石榴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46BC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AF3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6E9C5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2FA0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C62E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油桃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3ECD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1B9E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3B761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C05C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053A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香蕉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F33F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E526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6ED08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83D7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鲜肉类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561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44C0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CA2A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672E7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756A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C6D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瘦肉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51F2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166A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583C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AD44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F0D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猪肉沫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B902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F05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E75B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D0C6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7BE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排骨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634B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E333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3BFFA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6A02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EC4B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五花肉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306B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255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0F631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0A39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F83F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有皮腩肉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CB8E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C89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40F6C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845C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F8B3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2B8F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92F8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0B074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36DB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E643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7EE6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27F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0F1D5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2B6C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26F1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龙骨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BBF4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F610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670E1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1686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B649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肥肠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1C20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D85F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0408C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DAFE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7BBA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A0F5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3724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73F3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EE17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FD0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肉胶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7DF7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F3E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345A8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BBAE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1026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4723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9F70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7F03DD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C1FD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6727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1DDA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955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42B5A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ACC2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6E59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鲜猪瘦肉片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ECDA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8CA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7102C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DBBB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9108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前腿肉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0D81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C966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55CEC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F1DC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457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猪肉碎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2AD5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194D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5233EB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8BA9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F6B6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鲜猪肉丝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0471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3D4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0197B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CC8E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CE32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鲜牛腩碎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4C0E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83FE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46BCC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48C7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56F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牛肉碎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4C1A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DEF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6F8FF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C1E9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三鸟类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8F28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矮脚黄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563F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099C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3234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14D2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745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光鹅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6D1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A97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078E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3592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2C37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光鸭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3752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9665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615F8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4C40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4C89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老鸡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E36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A7B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97EC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F2F9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7A4D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鸡腿肉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B4AF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663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0862C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A13A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D51E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番鸭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2078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D3B0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43CD4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2351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732C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鲜光鸡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C7C7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EAC8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629F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702C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0ACC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鲜鸭边腿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B0A8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9766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63D9E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A98B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粉面类</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392383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手工面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C7CF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2423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0E73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1D66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2C38E5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东莞米粉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D98A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6EA4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3E72F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AB7F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16797B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河粉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12A1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857D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3B737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84DE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356B1E0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陈村粉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DCF7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CE2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43678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52B2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1ADD25C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炒面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E86E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1E7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78A05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CD01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107D2EB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猪肠粉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8382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0D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58589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934F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水产类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870C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福寿鱼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8699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48EE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7D4B2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6814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4A00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麻虾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2899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25-30头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01E2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549E2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BFA6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454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大头鱼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4EF2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C6C2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F2ED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C6DD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0E35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大头鱼尾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4B1C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杀好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1ED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CFFE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9EC7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8918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鲩鱼腩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281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D8FF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05175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1650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7924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草鱼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FC04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杀好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C2A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3734D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4502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13BE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基围虾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D6E1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1A59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06A47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B2F9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FBC3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钳鱼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DF92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杀好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0D5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17AC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ACC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冻品类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3CE7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冻五花肉（去皮）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9129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40B7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332D8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4AC0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C073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冷冻猪肋排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6698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D362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5278B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C140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9C6B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麻虾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3263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157B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7C778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85BB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ABF6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冻鸡腿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55B4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E457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7B7A0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E02C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FEB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冻龙骨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3132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158F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6441E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010B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12AA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大鱼头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F9F9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D1E3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1C09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24DA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04CD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和办牛肉片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8B9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500g/包/*20袋/箱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F22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包</w:t>
            </w:r>
          </w:p>
        </w:tc>
      </w:tr>
      <w:tr w14:paraId="3A84C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0FEB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ADD5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鸡翅根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864C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C5CF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700EE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5814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4C54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高技顶好热狗肠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7C03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2.5kg/包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A1FF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包</w:t>
            </w:r>
          </w:p>
        </w:tc>
      </w:tr>
      <w:tr w14:paraId="39CE0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748D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A887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冻鸡中亦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AA0A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F576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5F08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2C2B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493D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5F47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231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7E56E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2DD6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08EC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冻光鸡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846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20斤/件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C376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3BA5D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E57E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10D6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冻光鸭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5ED2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3E4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6339F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101F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2DE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猪肉胶（件）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236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20斤/件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784E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64488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BCB5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A0DB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冻鸡胸肉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8E8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870F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件</w:t>
            </w:r>
          </w:p>
        </w:tc>
      </w:tr>
      <w:tr w14:paraId="72086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D899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1D39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鸡翅根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CC66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10KG/件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0BC4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件</w:t>
            </w:r>
          </w:p>
        </w:tc>
      </w:tr>
      <w:tr w14:paraId="72E8B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56DF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0F0A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昊明冻鸡边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1C5A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12斤/件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DC8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件</w:t>
            </w:r>
          </w:p>
        </w:tc>
      </w:tr>
      <w:tr w14:paraId="5F512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D0A1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FE80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临沐虹玉鸭边腿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FB3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15斤/件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B26C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件</w:t>
            </w:r>
          </w:p>
        </w:tc>
      </w:tr>
      <w:tr w14:paraId="5D61B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03AA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AE26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鸭边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273A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15斤/件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FD2D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51C83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5D87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593B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冻五花肉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F0AA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20斤/件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B961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190D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504A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1A40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小酥肉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F004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15斤/件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55FF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5B8E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98F4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45BB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炸鱼丸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6EE5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2.5kg/包*4包/件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1596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件</w:t>
            </w:r>
          </w:p>
        </w:tc>
      </w:tr>
      <w:tr w14:paraId="317C1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202D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0A1C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锅包肉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F13F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16斤/件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06C8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件</w:t>
            </w:r>
          </w:p>
        </w:tc>
      </w:tr>
      <w:tr w14:paraId="1F2A7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CA06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干调类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238F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福掌柜调和油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00C5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10L*2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82D5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桶</w:t>
            </w:r>
          </w:p>
        </w:tc>
      </w:tr>
      <w:tr w14:paraId="5D5CE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BA29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890C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白糖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CBB8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4E52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DFF2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009B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59AD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腊鸭腿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0A76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4A74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只</w:t>
            </w:r>
          </w:p>
        </w:tc>
      </w:tr>
      <w:tr w14:paraId="33E99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E0C5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2DD7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广东腊肠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7922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65A2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AAF0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AF39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439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麻辣鱼胖子佐料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E31C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1*150克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595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包</w:t>
            </w:r>
          </w:p>
        </w:tc>
      </w:tr>
      <w:tr w14:paraId="7B1B1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22AD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51F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广东腊肉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8C09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886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12399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EDEB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6B86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花生米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936C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C27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61A56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0841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EC40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酿豆卜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5D5C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B850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25886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00D1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660E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福之泉大豆油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3C53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955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桶</w:t>
            </w:r>
          </w:p>
        </w:tc>
      </w:tr>
      <w:tr w14:paraId="1A362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784D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0473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香宴特选丝苗米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7920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8A0D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包</w:t>
            </w:r>
          </w:p>
        </w:tc>
      </w:tr>
      <w:tr w14:paraId="5A02E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251C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671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金马油粘米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3969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25E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袋</w:t>
            </w:r>
          </w:p>
        </w:tc>
      </w:tr>
      <w:tr w14:paraId="449E2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AD41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6AD1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1287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B8F7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7D13D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C0EC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F1E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田状元客家甜米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4B3F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25KG/包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884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包</w:t>
            </w:r>
          </w:p>
        </w:tc>
      </w:tr>
      <w:tr w14:paraId="682E1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45B3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8D1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福掌柜大豆油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4EFC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DDCA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桶</w:t>
            </w:r>
          </w:p>
        </w:tc>
      </w:tr>
      <w:tr w14:paraId="6E725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15C5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B638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元宝牌东北珍珠米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5585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4399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包</w:t>
            </w:r>
          </w:p>
        </w:tc>
      </w:tr>
      <w:tr w14:paraId="6857B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A147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2EEC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普通酸菜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B51F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DC0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r w14:paraId="7A613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5233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D43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田状元苏虾米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404A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AF0C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袋</w:t>
            </w:r>
          </w:p>
        </w:tc>
      </w:tr>
      <w:tr w14:paraId="5BFF8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88F0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EC49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酸豆角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571D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1FD3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斤</w:t>
            </w:r>
          </w:p>
        </w:tc>
      </w:tr>
    </w:tbl>
    <w:p w14:paraId="7A6986CB">
      <w:pPr>
        <w:keepNext w:val="0"/>
        <w:keepLines w:val="0"/>
        <w:pageBreakBefore w:val="0"/>
        <w:widowControl/>
        <w:numPr>
          <w:ilvl w:val="0"/>
          <w:numId w:val="0"/>
        </w:numPr>
        <w:kinsoku/>
        <w:wordWrap/>
        <w:overflowPunct/>
        <w:topLinePunct w:val="0"/>
        <w:autoSpaceDE/>
        <w:autoSpaceDN/>
        <w:bidi w:val="0"/>
        <w:adjustRightInd w:val="0"/>
        <w:snapToGrid w:val="0"/>
        <w:ind w:leftChars="200"/>
        <w:textAlignment w:val="auto"/>
        <w:rPr>
          <w:rFonts w:hint="default" w:ascii="宋体" w:hAnsi="宋体" w:cs="宋体"/>
          <w:color w:val="auto"/>
          <w:highlight w:val="none"/>
          <w:lang w:val="en-US" w:eastAsia="zh-CN"/>
        </w:rPr>
      </w:pPr>
    </w:p>
    <w:p w14:paraId="20E01BB2">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default" w:ascii="宋体" w:hAnsi="宋体" w:cs="宋体"/>
          <w:color w:val="auto"/>
          <w:highlight w:val="none"/>
          <w:lang w:val="en-US" w:eastAsia="zh-CN"/>
        </w:rPr>
      </w:pPr>
      <w:r>
        <w:rPr>
          <w:rFonts w:hint="eastAsia" w:ascii="宋体" w:hAnsi="宋体" w:cs="宋体"/>
          <w:color w:val="auto"/>
          <w:highlight w:val="none"/>
          <w:lang w:val="en-US" w:eastAsia="zh-CN"/>
        </w:rPr>
        <w:t>注：采购人需求品种包含但不限于明细表中所列的品种；未列入物资明细表内又需要购买的货品，其单价由采购人及中标人双方以定价原则确定供货价格。</w:t>
      </w:r>
    </w:p>
    <w:p w14:paraId="4CBF749E">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rPr>
      </w:pPr>
      <w:r>
        <w:rPr>
          <w:rFonts w:hint="eastAsia" w:ascii="宋体" w:hAnsi="宋体" w:cs="宋体"/>
          <w:color w:val="auto"/>
          <w:highlight w:val="none"/>
          <w:lang w:val="en-US" w:eastAsia="zh-CN"/>
        </w:rPr>
        <w:t>三、</w:t>
      </w:r>
      <w:r>
        <w:rPr>
          <w:rFonts w:hint="eastAsia" w:ascii="宋体" w:hAnsi="宋体" w:eastAsia="宋体" w:cs="宋体"/>
          <w:color w:val="auto"/>
          <w:highlight w:val="none"/>
        </w:rPr>
        <w:t>考核标准</w:t>
      </w:r>
    </w:p>
    <w:p w14:paraId="55B48CE5">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采购人对食材配送供应商实行考核制度，考核指标包括食品安全、供货质量、供货数量准确性、供货价格、服务质量等，每</w:t>
      </w:r>
      <w:r>
        <w:rPr>
          <w:rFonts w:hint="eastAsia" w:ascii="宋体" w:hAnsi="宋体" w:cs="宋体"/>
          <w:color w:val="auto"/>
          <w:highlight w:val="none"/>
          <w:lang w:val="en-US" w:eastAsia="zh-CN"/>
        </w:rPr>
        <w:t>半年</w:t>
      </w:r>
      <w:r>
        <w:rPr>
          <w:rFonts w:hint="eastAsia" w:ascii="宋体" w:hAnsi="宋体" w:eastAsia="宋体" w:cs="宋体"/>
          <w:color w:val="auto"/>
          <w:highlight w:val="none"/>
        </w:rPr>
        <w:t>进行一次考核。中标人在服务期限内须接受采购人的考核。考核具体内容详见附件1。</w:t>
      </w:r>
    </w:p>
    <w:p w14:paraId="3614395A">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8.1</w:t>
      </w:r>
      <w:r>
        <w:rPr>
          <w:rFonts w:hint="eastAsia" w:ascii="宋体" w:hAnsi="宋体" w:eastAsia="宋体" w:cs="宋体"/>
          <w:color w:val="auto"/>
          <w:highlight w:val="none"/>
        </w:rPr>
        <w:t>考核结果分为</w:t>
      </w:r>
      <w:r>
        <w:rPr>
          <w:rFonts w:hint="eastAsia" w:ascii="宋体" w:hAnsi="宋体" w:cs="宋体"/>
          <w:color w:val="auto"/>
          <w:highlight w:val="none"/>
          <w:lang w:val="en-US" w:eastAsia="zh-CN"/>
        </w:rPr>
        <w:t>优秀、</w:t>
      </w:r>
      <w:r>
        <w:rPr>
          <w:rFonts w:hint="eastAsia" w:ascii="宋体" w:hAnsi="宋体" w:eastAsia="宋体" w:cs="宋体"/>
          <w:color w:val="auto"/>
          <w:highlight w:val="none"/>
        </w:rPr>
        <w:t>合格和不合格</w:t>
      </w:r>
      <w:r>
        <w:rPr>
          <w:rFonts w:hint="eastAsia" w:ascii="宋体" w:hAnsi="宋体" w:cs="宋体"/>
          <w:color w:val="auto"/>
          <w:highlight w:val="none"/>
          <w:lang w:val="en-US" w:eastAsia="zh-CN"/>
        </w:rPr>
        <w:t>3</w:t>
      </w:r>
      <w:r>
        <w:rPr>
          <w:rFonts w:hint="eastAsia" w:ascii="宋体" w:hAnsi="宋体" w:eastAsia="宋体" w:cs="宋体"/>
          <w:color w:val="auto"/>
          <w:highlight w:val="none"/>
        </w:rPr>
        <w:t>个等次：</w:t>
      </w:r>
    </w:p>
    <w:p w14:paraId="371A7DF7">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①</w:t>
      </w:r>
      <w:r>
        <w:rPr>
          <w:rFonts w:hint="eastAsia" w:ascii="宋体" w:hAnsi="宋体" w:eastAsia="宋体" w:cs="宋体"/>
          <w:color w:val="auto"/>
          <w:highlight w:val="none"/>
          <w:lang w:val="en-US" w:eastAsia="zh-CN"/>
        </w:rPr>
        <w:t>分数≥80分，结论:优秀，继续合作。</w:t>
      </w:r>
    </w:p>
    <w:p w14:paraId="1A415324">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②</w:t>
      </w:r>
      <w:r>
        <w:rPr>
          <w:rFonts w:hint="eastAsia" w:ascii="宋体" w:hAnsi="宋体" w:eastAsia="宋体" w:cs="宋体"/>
          <w:color w:val="auto"/>
          <w:highlight w:val="none"/>
          <w:lang w:val="en-US" w:eastAsia="zh-CN"/>
        </w:rPr>
        <w:t>80分&gt;分数≥60分，结论:合格，继续合作，问题点限时整改。</w:t>
      </w:r>
    </w:p>
    <w:p w14:paraId="724BB839">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③</w:t>
      </w:r>
      <w:r>
        <w:rPr>
          <w:rFonts w:hint="eastAsia" w:ascii="宋体" w:hAnsi="宋体" w:eastAsia="宋体" w:cs="宋体"/>
          <w:color w:val="auto"/>
          <w:highlight w:val="none"/>
          <w:lang w:val="en-US" w:eastAsia="zh-CN"/>
        </w:rPr>
        <w:t>60分&gt;分数，或出现重大质量问题，结论:不合格，停止合作。</w:t>
      </w:r>
    </w:p>
    <w:p w14:paraId="5A3B1FDB">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rPr>
      </w:pPr>
      <w:r>
        <w:rPr>
          <w:rFonts w:hint="eastAsia" w:ascii="宋体" w:hAnsi="宋体" w:cs="宋体"/>
          <w:color w:val="auto"/>
          <w:highlight w:val="none"/>
          <w:lang w:val="en-US" w:eastAsia="zh-CN"/>
        </w:rPr>
        <w:t>四、</w:t>
      </w:r>
      <w:r>
        <w:rPr>
          <w:rFonts w:hint="eastAsia" w:ascii="宋体" w:hAnsi="宋体" w:eastAsia="宋体" w:cs="宋体"/>
          <w:color w:val="auto"/>
          <w:highlight w:val="none"/>
        </w:rPr>
        <w:t>其他类要求</w:t>
      </w:r>
    </w:p>
    <w:p w14:paraId="488A52BD">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对于采购人需求供货物资或品种不在上述类别内的，中标人须按采购人要求供货。同时须遵守国家规定的《食品安全法》、《农产品质量安全法》、《食品卫生法》等法律和行政法规的规定，提供的货品须符合国家有关卫生标准，保质、保量、保鲜，严禁配送假冒、变质、过期的货品。不合格的货品，中标人须无条件包退包换。</w:t>
      </w:r>
    </w:p>
    <w:p w14:paraId="48ADF09D">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五、项目要求</w:t>
      </w:r>
    </w:p>
    <w:p w14:paraId="47BE6A20">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(一)货源管理</w:t>
      </w:r>
    </w:p>
    <w:p w14:paraId="1B49D2E3">
      <w:pPr>
        <w:ind w:firstLine="420" w:firstLineChars="200"/>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1.自营蔬菜种植基地管理</w:t>
      </w:r>
      <w:r>
        <w:rPr>
          <w:rFonts w:hint="eastAsia"/>
          <w:color w:val="auto"/>
          <w:highlight w:val="none"/>
          <w:lang w:eastAsia="zh-CN"/>
        </w:rPr>
        <w:t>（</w:t>
      </w:r>
      <w:r>
        <w:rPr>
          <w:rFonts w:hint="eastAsia"/>
          <w:color w:val="auto"/>
          <w:highlight w:val="none"/>
          <w:lang w:val="en-US" w:eastAsia="zh-CN"/>
        </w:rPr>
        <w:t>如投标人为自营）</w:t>
      </w:r>
    </w:p>
    <w:p w14:paraId="14EF5A90">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(1)报价人应具有对蔬菜种植基地的管理权，其基地应满足下列条件和要求：</w:t>
      </w:r>
    </w:p>
    <w:p w14:paraId="73FE4C7B">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①</w:t>
      </w:r>
      <w:r>
        <w:rPr>
          <w:rFonts w:hint="eastAsia" w:ascii="宋体" w:hAnsi="宋体" w:eastAsia="宋体" w:cs="宋体"/>
          <w:color w:val="auto"/>
          <w:szCs w:val="21"/>
          <w:highlight w:val="none"/>
        </w:rPr>
        <w:t>连片并具有一定的规模，面积应不少于100亩。</w:t>
      </w:r>
    </w:p>
    <w:p w14:paraId="031F4288">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②</w:t>
      </w:r>
      <w:r>
        <w:rPr>
          <w:rFonts w:hint="eastAsia" w:ascii="宋体" w:hAnsi="宋体" w:eastAsia="宋体" w:cs="宋体"/>
          <w:color w:val="auto"/>
          <w:szCs w:val="21"/>
          <w:highlight w:val="none"/>
        </w:rPr>
        <w:t>周围应具有天然或人工的隔离带(网)。</w:t>
      </w:r>
    </w:p>
    <w:p w14:paraId="11A04A81">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③</w:t>
      </w:r>
      <w:r>
        <w:rPr>
          <w:rFonts w:hint="eastAsia" w:ascii="宋体" w:hAnsi="宋体" w:eastAsia="宋体" w:cs="宋体"/>
          <w:color w:val="auto"/>
          <w:szCs w:val="21"/>
          <w:highlight w:val="none"/>
        </w:rPr>
        <w:t>周围没有化工厂、造纸厂、专业养殖场、垃圾处理厂、医院及污水排放管道等污染源。</w:t>
      </w:r>
    </w:p>
    <w:p w14:paraId="15A1D524">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④</w:t>
      </w:r>
      <w:r>
        <w:rPr>
          <w:rFonts w:hint="eastAsia" w:ascii="宋体" w:hAnsi="宋体" w:eastAsia="宋体" w:cs="宋体"/>
          <w:color w:val="auto"/>
          <w:szCs w:val="21"/>
          <w:highlight w:val="none"/>
        </w:rPr>
        <w:t>有清洁无污染的灌溉水源，定期对土壤及灌溉用水进行检测。</w:t>
      </w:r>
    </w:p>
    <w:p w14:paraId="2DF8E74F">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⑤</w:t>
      </w:r>
      <w:r>
        <w:rPr>
          <w:rFonts w:hint="eastAsia" w:ascii="宋体" w:hAnsi="宋体" w:eastAsia="宋体" w:cs="宋体"/>
          <w:color w:val="auto"/>
          <w:szCs w:val="21"/>
          <w:highlight w:val="none"/>
        </w:rPr>
        <w:t>设有固定的防盗设施、并有专人管理的农用物资存放场所。</w:t>
      </w:r>
    </w:p>
    <w:p w14:paraId="22ABF6B4">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⑥</w:t>
      </w:r>
      <w:r>
        <w:rPr>
          <w:rFonts w:hint="eastAsia" w:ascii="宋体" w:hAnsi="宋体" w:eastAsia="宋体" w:cs="宋体"/>
          <w:color w:val="auto"/>
          <w:szCs w:val="21"/>
          <w:highlight w:val="none"/>
        </w:rPr>
        <w:t>有植保员专用工作室。</w:t>
      </w:r>
    </w:p>
    <w:p w14:paraId="300ABF12">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⑦</w:t>
      </w:r>
      <w:r>
        <w:rPr>
          <w:rFonts w:hint="eastAsia" w:ascii="宋体" w:hAnsi="宋体" w:eastAsia="宋体" w:cs="宋体"/>
          <w:color w:val="auto"/>
          <w:szCs w:val="21"/>
          <w:highlight w:val="none"/>
        </w:rPr>
        <w:t>配有专用的农药喷洒工具及其它农用器具。</w:t>
      </w:r>
    </w:p>
    <w:p w14:paraId="59A54545">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⑧</w:t>
      </w:r>
      <w:r>
        <w:rPr>
          <w:rFonts w:hint="eastAsia" w:ascii="宋体" w:hAnsi="宋体" w:eastAsia="宋体" w:cs="宋体"/>
          <w:color w:val="auto"/>
          <w:szCs w:val="21"/>
          <w:highlight w:val="none"/>
        </w:rPr>
        <w:t>种子、农药、肥水管理有数据可查，按季节自然生产，不使用转基因种子，不使用激 素类催长、催熟。</w:t>
      </w:r>
    </w:p>
    <w:p w14:paraId="158FCD60">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cs="宋体"/>
          <w:color w:val="auto"/>
          <w:szCs w:val="21"/>
          <w:highlight w:val="none"/>
          <w:lang w:val="en-US" w:eastAsia="zh-CN"/>
        </w:rPr>
        <w:t>投标人</w:t>
      </w:r>
      <w:r>
        <w:rPr>
          <w:rFonts w:hint="eastAsia" w:ascii="宋体" w:hAnsi="宋体" w:eastAsia="宋体" w:cs="宋体"/>
          <w:color w:val="auto"/>
          <w:szCs w:val="21"/>
          <w:highlight w:val="none"/>
        </w:rPr>
        <w:t>应制定蔬菜种植基地有关管理制度，并有专门的部门和专人负责基地的管理。相关管理制度至少包括：基地管理员职责、植保员职责、田间管理制度、安全用药制度、蔬菜 溯源制度。</w:t>
      </w:r>
    </w:p>
    <w:p w14:paraId="071443F0">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cs="宋体"/>
          <w:color w:val="auto"/>
          <w:szCs w:val="21"/>
          <w:highlight w:val="none"/>
          <w:lang w:val="en-US" w:eastAsia="zh-CN"/>
        </w:rPr>
        <w:t>投标人</w:t>
      </w:r>
      <w:r>
        <w:rPr>
          <w:rFonts w:hint="eastAsia" w:ascii="宋体" w:hAnsi="宋体" w:eastAsia="宋体" w:cs="宋体"/>
          <w:color w:val="auto"/>
          <w:szCs w:val="21"/>
          <w:highlight w:val="none"/>
        </w:rPr>
        <w:t>应由专门的部门负责蔬菜种植基地农用物资的管理，农药须实行统一购买，统一供应，统一管理。</w:t>
      </w:r>
    </w:p>
    <w:p w14:paraId="26007577">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①</w:t>
      </w:r>
      <w:r>
        <w:rPr>
          <w:rFonts w:hint="eastAsia" w:ascii="宋体" w:hAnsi="宋体" w:eastAsia="宋体" w:cs="宋体"/>
          <w:color w:val="auto"/>
          <w:szCs w:val="21"/>
          <w:highlight w:val="none"/>
        </w:rPr>
        <w:t>农用物资应从有资质的厂家(公司)采购，并具有完善的出入库记录和分发档案。</w:t>
      </w:r>
    </w:p>
    <w:p w14:paraId="618F9BB0">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②</w:t>
      </w:r>
      <w:r>
        <w:rPr>
          <w:rFonts w:hint="eastAsia" w:ascii="宋体" w:hAnsi="宋体" w:eastAsia="宋体" w:cs="宋体"/>
          <w:color w:val="auto"/>
          <w:szCs w:val="21"/>
          <w:highlight w:val="none"/>
        </w:rPr>
        <w:t>严禁存放和使用蔬菜上禁止使用的农药。</w:t>
      </w:r>
    </w:p>
    <w:p w14:paraId="05B69B22">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③</w:t>
      </w:r>
      <w:r>
        <w:rPr>
          <w:rFonts w:hint="eastAsia" w:ascii="宋体" w:hAnsi="宋体" w:eastAsia="宋体" w:cs="宋体"/>
          <w:color w:val="auto"/>
          <w:szCs w:val="21"/>
          <w:highlight w:val="none"/>
        </w:rPr>
        <w:t>企业应确认所使用农药的有效成分和含量，确保农药的质量。</w:t>
      </w:r>
    </w:p>
    <w:p w14:paraId="22C8811A">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④</w:t>
      </w:r>
      <w:r>
        <w:rPr>
          <w:rFonts w:hint="eastAsia" w:ascii="宋体" w:hAnsi="宋体" w:eastAsia="宋体" w:cs="宋体"/>
          <w:color w:val="auto"/>
          <w:szCs w:val="21"/>
          <w:highlight w:val="none"/>
        </w:rPr>
        <w:t>农药应由基地植保员领取并负责按照农药使用标准和操作规范，科学合理地施用。</w:t>
      </w:r>
    </w:p>
    <w:p w14:paraId="6F8D5876">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(4)蔬菜种植基地应配有与种植面积相适应的植保员(每1个基地至少配备1名)。基地植保员应符合下列条件和要求：</w:t>
      </w:r>
    </w:p>
    <w:p w14:paraId="31C336E0">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①</w:t>
      </w:r>
      <w:r>
        <w:rPr>
          <w:rFonts w:hint="eastAsia" w:ascii="宋体" w:hAnsi="宋体" w:eastAsia="宋体" w:cs="宋体"/>
          <w:color w:val="auto"/>
          <w:szCs w:val="21"/>
          <w:highlight w:val="none"/>
        </w:rPr>
        <w:t>熟悉农药使用相关法律法规；具备蔬菜、植保等专业知识，有一定的实践经验及较丰富的农药使用知识；经过有关机构培训合格，并持有上岗证或植保员证书。</w:t>
      </w:r>
    </w:p>
    <w:p w14:paraId="721C1BAC">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②</w:t>
      </w:r>
      <w:r>
        <w:rPr>
          <w:rFonts w:hint="eastAsia" w:ascii="宋体" w:hAnsi="宋体" w:eastAsia="宋体" w:cs="宋体"/>
          <w:color w:val="auto"/>
          <w:szCs w:val="21"/>
          <w:highlight w:val="none"/>
        </w:rPr>
        <w:t>负责基地环境卫生、周边农田作业情况、作物生长和状况和病虫害发生状况的监督管理。</w:t>
      </w:r>
    </w:p>
    <w:p w14:paraId="561B297C">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③</w:t>
      </w:r>
      <w:r>
        <w:rPr>
          <w:rFonts w:hint="eastAsia" w:ascii="宋体" w:hAnsi="宋体" w:eastAsia="宋体" w:cs="宋体"/>
          <w:color w:val="auto"/>
          <w:szCs w:val="21"/>
          <w:highlight w:val="none"/>
        </w:rPr>
        <w:t>负责对基地蔬菜病虫害的防治以及化肥、农药的使用管理，并建立完善的记录系统和管理档案。</w:t>
      </w:r>
    </w:p>
    <w:p w14:paraId="7AD9E4D0">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④</w:t>
      </w:r>
      <w:r>
        <w:rPr>
          <w:rFonts w:hint="eastAsia" w:ascii="宋体" w:hAnsi="宋体" w:eastAsia="宋体" w:cs="宋体"/>
          <w:color w:val="auto"/>
          <w:szCs w:val="21"/>
          <w:highlight w:val="none"/>
        </w:rPr>
        <w:t>负责监督基地农药的施用及施药器具用后的清洗，并将剩余农药退回农药仓库，统一处理，做好记录。</w:t>
      </w:r>
    </w:p>
    <w:p w14:paraId="79DD2FDE">
      <w:pPr>
        <w:ind w:firstLine="420" w:firstLineChars="200"/>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2.自营禽畜水产养殖基地管理</w:t>
      </w:r>
      <w:r>
        <w:rPr>
          <w:rFonts w:hint="eastAsia"/>
          <w:color w:val="auto"/>
          <w:highlight w:val="none"/>
          <w:lang w:eastAsia="zh-CN"/>
        </w:rPr>
        <w:t>（</w:t>
      </w:r>
      <w:r>
        <w:rPr>
          <w:rFonts w:hint="eastAsia"/>
          <w:color w:val="auto"/>
          <w:highlight w:val="none"/>
          <w:lang w:val="en-US" w:eastAsia="zh-CN"/>
        </w:rPr>
        <w:t>如投标人为自营）</w:t>
      </w:r>
    </w:p>
    <w:p w14:paraId="02B10A9C">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投标人</w:t>
      </w:r>
      <w:r>
        <w:rPr>
          <w:rFonts w:hint="eastAsia" w:ascii="宋体" w:hAnsi="宋体" w:eastAsia="宋体" w:cs="宋体"/>
          <w:color w:val="auto"/>
          <w:szCs w:val="21"/>
          <w:highlight w:val="none"/>
        </w:rPr>
        <w:t>应具有对禽畜水产养殖基地的管理权，其基地应满足下列条件和要求：</w:t>
      </w:r>
    </w:p>
    <w:p w14:paraId="768B1313">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①</w:t>
      </w:r>
      <w:r>
        <w:rPr>
          <w:rFonts w:hint="eastAsia" w:ascii="宋体" w:hAnsi="宋体" w:eastAsia="宋体" w:cs="宋体"/>
          <w:color w:val="auto"/>
          <w:szCs w:val="21"/>
          <w:highlight w:val="none"/>
        </w:rPr>
        <w:t>符合养殖业规划布局的总体要求，建在规定的非禁养区内，面积应不少于100亩。</w:t>
      </w:r>
    </w:p>
    <w:p w14:paraId="17426EFC">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②</w:t>
      </w:r>
      <w:r>
        <w:rPr>
          <w:rFonts w:hint="eastAsia" w:ascii="宋体" w:hAnsi="宋体" w:eastAsia="宋体" w:cs="宋体"/>
          <w:color w:val="auto"/>
          <w:szCs w:val="21"/>
          <w:highlight w:val="none"/>
        </w:rPr>
        <w:t>符合生态环境保护和动物防疫要求。符合土地利用总体规划和城乡发展规划。</w:t>
      </w:r>
    </w:p>
    <w:p w14:paraId="5C3DE01D">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③</w:t>
      </w:r>
      <w:r>
        <w:rPr>
          <w:rFonts w:hint="eastAsia" w:ascii="宋体" w:hAnsi="宋体" w:eastAsia="宋体" w:cs="宋体"/>
          <w:color w:val="auto"/>
          <w:szCs w:val="21"/>
          <w:highlight w:val="none"/>
        </w:rPr>
        <w:t>建在地势平坦干燥、通风向阳、水源充足、水质良好、排污方便、交通便利、供电稳定、无污染、无疫源的地方，处于村庄常年主风向的下风向。</w:t>
      </w:r>
    </w:p>
    <w:p w14:paraId="0428A728">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cs="宋体"/>
          <w:color w:val="auto"/>
          <w:szCs w:val="21"/>
          <w:highlight w:val="none"/>
          <w:lang w:val="en-US" w:eastAsia="zh-CN"/>
        </w:rPr>
        <w:t>投标人</w:t>
      </w:r>
      <w:r>
        <w:rPr>
          <w:rFonts w:hint="eastAsia" w:ascii="宋体" w:hAnsi="宋体" w:eastAsia="宋体" w:cs="宋体"/>
          <w:color w:val="auto"/>
          <w:szCs w:val="21"/>
          <w:highlight w:val="none"/>
        </w:rPr>
        <w:t>应制定禽畜水产养殖基地有关管理制度，并有专门的部门和专人负责基地的管理 。</w:t>
      </w:r>
    </w:p>
    <w:p w14:paraId="1D728837">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①</w:t>
      </w:r>
      <w:r>
        <w:rPr>
          <w:rFonts w:hint="eastAsia" w:ascii="宋体" w:hAnsi="宋体" w:eastAsia="宋体" w:cs="宋体"/>
          <w:color w:val="auto"/>
          <w:szCs w:val="21"/>
          <w:highlight w:val="none"/>
        </w:rPr>
        <w:t>疫病监测及疫情报告制度</w:t>
      </w:r>
    </w:p>
    <w:p w14:paraId="10A538D1">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)定期对动物疫病和免疫后抗体水平进行监测，发现疑似重大动物疫病时，要立即隔离病畜，并立即向当地畜牧兽医部门报告。</w:t>
      </w:r>
    </w:p>
    <w:p w14:paraId="48A6A151">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一旦确诊为重大动物疫病时，要配合畜牧兽医部门采取控制扑灭措施，并无害化 处理病死畜禽，彻底清理消毒，场内人员、物品不得外出。</w:t>
      </w:r>
    </w:p>
    <w:p w14:paraId="258136CE">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②</w:t>
      </w:r>
      <w:r>
        <w:rPr>
          <w:rFonts w:hint="eastAsia" w:ascii="宋体" w:hAnsi="宋体" w:eastAsia="宋体" w:cs="宋体"/>
          <w:color w:val="auto"/>
          <w:szCs w:val="21"/>
          <w:highlight w:val="none"/>
        </w:rPr>
        <w:t>消毒制度</w:t>
      </w:r>
    </w:p>
    <w:p w14:paraId="52FFEB75">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)养殖场大门处必须设有消毒池，并保证有效的消毒浓度。</w:t>
      </w:r>
    </w:p>
    <w:p w14:paraId="526B6D2D">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)养殖场内应设有更衣室、淋浴室、消毒室、病畜隔离舍。</w:t>
      </w:r>
    </w:p>
    <w:p w14:paraId="44F85201">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)进出场车辆、人员及用具要严格消毒。</w:t>
      </w:r>
    </w:p>
    <w:p w14:paraId="57EAB7AC">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rPr>
        <w:t>)消毒药应选择对人和动物安全，没有残留毒性、对设备没有破坏性，不会在动物体内有害积累的消毒剂。消毒药应定期轮换使用。</w:t>
      </w:r>
    </w:p>
    <w:p w14:paraId="3685721A">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③</w:t>
      </w:r>
      <w:r>
        <w:rPr>
          <w:rFonts w:hint="eastAsia" w:ascii="宋体" w:hAnsi="宋体" w:eastAsia="宋体" w:cs="宋体"/>
          <w:color w:val="auto"/>
          <w:szCs w:val="21"/>
          <w:highlight w:val="none"/>
        </w:rPr>
        <w:t>无害化处理制度</w:t>
      </w:r>
    </w:p>
    <w:p w14:paraId="3A9810AA">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无害化处理以保护环境，不污染空气、土壤和水源为原则。</w:t>
      </w:r>
    </w:p>
    <w:p w14:paraId="5675648B">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)粪便、污水等排泄物应经沼气池或沉淀消毒池无害化处理。</w:t>
      </w:r>
    </w:p>
    <w:p w14:paraId="68E91943">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 畜禽因一般性疾病引起的死亡；实行焚烧或深埋覆土1.5米以上，因传染病引起的死亡； 实行焚烧或深埋覆土2米以上，并彻底消毒处理。作好记录，由处理人和驻场责任兽医共同签字，并对处理结果负责。</w:t>
      </w:r>
    </w:p>
    <w:p w14:paraId="49C52756">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④</w:t>
      </w:r>
      <w:r>
        <w:rPr>
          <w:rFonts w:hint="eastAsia" w:ascii="宋体" w:hAnsi="宋体" w:eastAsia="宋体" w:cs="宋体"/>
          <w:color w:val="auto"/>
          <w:szCs w:val="21"/>
          <w:highlight w:val="none"/>
        </w:rPr>
        <w:t>封闭管理制度</w:t>
      </w:r>
    </w:p>
    <w:p w14:paraId="55818F56">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)严格遵守动物防疫法律法规，每年疫病高发期或周边发现动物疫情时，为封闭管理期，在封闭管理期内必须严格执行封闭管理制度。无关的人员在封闭期内一律不得进入生产区。</w:t>
      </w:r>
    </w:p>
    <w:p w14:paraId="2E647979">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)饲料、动物销售必须建立场内场外两套班子，并划定各自的活动区域和交接线，不得越线越界操作。进入生产区人员等都必须在缓冲区隔离消毒，确认安全后方可进入。</w:t>
      </w:r>
    </w:p>
    <w:p w14:paraId="6BFBCBED">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封闭期内生产区每天消毒一次，生产区以外每周消毒2次，有车辆进入的必须严格清洗消 毒，并全场增加消毒一次。</w:t>
      </w:r>
    </w:p>
    <w:p w14:paraId="09B1AE9C">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⑤</w:t>
      </w:r>
      <w:r>
        <w:rPr>
          <w:rFonts w:hint="eastAsia" w:ascii="宋体" w:hAnsi="宋体" w:eastAsia="宋体" w:cs="宋体"/>
          <w:color w:val="auto"/>
          <w:szCs w:val="21"/>
          <w:highlight w:val="none"/>
        </w:rPr>
        <w:t>信息报告制度：设立专职免疫、检疫、消毒、发病、死亡、治疗、灭鼠、灭蝇等生产 信息统计员，负责信息收集整理和上报工作。信息必须及时、准确，不得瞒报、谎报。</w:t>
      </w:r>
    </w:p>
    <w:p w14:paraId="1E103698">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w:t>
      </w:r>
      <w:r>
        <w:rPr>
          <w:rFonts w:hint="default" w:ascii="宋体" w:hAnsi="宋体" w:cs="宋体"/>
          <w:color w:val="auto"/>
          <w:szCs w:val="21"/>
          <w:highlight w:val="none"/>
          <w:lang w:val="en-US" w:eastAsia="zh-CN"/>
        </w:rPr>
        <w:t>3</w:t>
      </w:r>
      <w:r>
        <w:rPr>
          <w:rFonts w:hint="eastAsia" w:ascii="宋体" w:hAnsi="宋体" w:cs="宋体"/>
          <w:color w:val="auto"/>
          <w:szCs w:val="21"/>
          <w:highlight w:val="none"/>
          <w:lang w:val="en-US" w:eastAsia="zh-CN"/>
        </w:rPr>
        <w:t>）投标人</w:t>
      </w:r>
      <w:r>
        <w:rPr>
          <w:rFonts w:hint="eastAsia" w:ascii="宋体" w:hAnsi="宋体" w:eastAsia="宋体" w:cs="宋体"/>
          <w:color w:val="auto"/>
          <w:szCs w:val="21"/>
          <w:highlight w:val="none"/>
        </w:rPr>
        <w:t>应由专门的部门负责禽畜水产养殖基地养殖场饲料及投入品的管理，饲料须实行统一购买，统一供应，统一管理。</w:t>
      </w:r>
    </w:p>
    <w:p w14:paraId="1E4AB78E">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①</w:t>
      </w:r>
      <w:r>
        <w:rPr>
          <w:rFonts w:hint="eastAsia" w:ascii="宋体" w:hAnsi="宋体" w:eastAsia="宋体" w:cs="宋体"/>
          <w:color w:val="auto"/>
          <w:szCs w:val="21"/>
          <w:highlight w:val="none"/>
        </w:rPr>
        <w:t>饲料中不得添加国家禁止使用的药物或添加剂。</w:t>
      </w:r>
    </w:p>
    <w:p w14:paraId="43A65BB5">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②</w:t>
      </w:r>
      <w:r>
        <w:rPr>
          <w:rFonts w:hint="eastAsia" w:ascii="宋体" w:hAnsi="宋体" w:eastAsia="宋体" w:cs="宋体"/>
          <w:color w:val="auto"/>
          <w:szCs w:val="21"/>
          <w:highlight w:val="none"/>
        </w:rPr>
        <w:t>饲料进仓建立饲料进出仓库记录。保持仓库卫生，库内禁止放置任何药品和有害物质，饲料必须隔墙离地分品种存放。</w:t>
      </w:r>
    </w:p>
    <w:p w14:paraId="5615A630">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③</w:t>
      </w:r>
      <w:r>
        <w:rPr>
          <w:rFonts w:hint="eastAsia" w:ascii="宋体" w:hAnsi="宋体" w:eastAsia="宋体" w:cs="宋体"/>
          <w:color w:val="auto"/>
          <w:szCs w:val="21"/>
          <w:highlight w:val="none"/>
        </w:rPr>
        <w:t>饲料调配应由饲养员根据禽畜水产不同生长发育时的营养需要和标准进行合理、安全的配制和投喂，以满足禽畜水产发育的需要。调配间、搅拌机及用具应保持清洁，做到及时消毒，调配间禁止放置有害物品。</w:t>
      </w:r>
    </w:p>
    <w:p w14:paraId="3608E0CD">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④</w:t>
      </w:r>
      <w:r>
        <w:rPr>
          <w:rFonts w:hint="eastAsia" w:ascii="宋体" w:hAnsi="宋体" w:eastAsia="宋体" w:cs="宋体"/>
          <w:color w:val="auto"/>
          <w:szCs w:val="21"/>
          <w:highlight w:val="none"/>
        </w:rPr>
        <w:t>保持水槽，食槽，畜舍清洁，工具摆放有序。</w:t>
      </w:r>
    </w:p>
    <w:p w14:paraId="7059ABE7">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eastAsia="zh-CN"/>
        </w:rPr>
        <w:t>（</w:t>
      </w:r>
      <w:r>
        <w:rPr>
          <w:rFonts w:hint="default" w:ascii="宋体" w:hAnsi="宋体" w:cs="宋体"/>
          <w:color w:val="auto"/>
          <w:szCs w:val="21"/>
          <w:highlight w:val="none"/>
          <w:lang w:val="en-US" w:eastAsia="zh-CN"/>
        </w:rPr>
        <w:t>4</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禽畜水产养殖基地应配有与饲养禽畜水产相适应的饲养员(每1个基地至少配备1 名)。饲养员应符合下列条件和要求：</w:t>
      </w:r>
    </w:p>
    <w:p w14:paraId="77AC484E">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①</w:t>
      </w:r>
      <w:r>
        <w:rPr>
          <w:rFonts w:hint="eastAsia" w:ascii="宋体" w:hAnsi="宋体" w:eastAsia="宋体" w:cs="宋体"/>
          <w:color w:val="auto"/>
          <w:szCs w:val="21"/>
          <w:highlight w:val="none"/>
        </w:rPr>
        <w:t>熟悉养殖动物的基本知识、病虫防治、防疫相关法律法规；有一定的实践经验及较丰 富的养殖知识，经过有关机构培训合格。</w:t>
      </w:r>
    </w:p>
    <w:p w14:paraId="30FF3C77">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②</w:t>
      </w:r>
      <w:r>
        <w:rPr>
          <w:rFonts w:hint="eastAsia" w:ascii="宋体" w:hAnsi="宋体" w:eastAsia="宋体" w:cs="宋体"/>
          <w:color w:val="auto"/>
          <w:szCs w:val="21"/>
          <w:highlight w:val="none"/>
        </w:rPr>
        <w:t>饲养员发现禽畜水产出现异常病症，应将重要疫病及重要事项报告养殖场负责人及当 地动物卫生监督机构。</w:t>
      </w:r>
    </w:p>
    <w:p w14:paraId="07B20E48">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 合作基地管理要求</w:t>
      </w:r>
    </w:p>
    <w:p w14:paraId="4189EEE6">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投标人若采用外采合作模式（即通过合作协议方式获取蔬菜、禽畜或水产货源），除需确保合作基地满足前述自营基地的全部生产条件与管理体系要求外，还必须建立并执行以下专项管理制度：</w:t>
      </w:r>
    </w:p>
    <w:p w14:paraId="050BC912">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 合作方准入与评估机制</w:t>
      </w:r>
    </w:p>
    <w:p w14:paraId="08261951">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① 投标人须建立合作方准入评估流程，对潜在合作基地进行现场考察与资质审核，形成书面评估报告。</w:t>
      </w:r>
    </w:p>
    <w:p w14:paraId="70D694A5">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② 审核内容至少应包括：合作方的合法经营资质（营业执照、土地/养殖备案证明等）、生产环境、管理体系文件、过往产品质量检测记录及信用状况。</w:t>
      </w:r>
    </w:p>
    <w:p w14:paraId="38DD710F">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③ 仅允许与评估合格且具备持续稳定供应能力的合作方签订采购协议。</w:t>
      </w:r>
    </w:p>
    <w:p w14:paraId="1F77F00E">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 协议约束与管理责任</w:t>
      </w:r>
    </w:p>
    <w:p w14:paraId="233A80F0">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① 须与合作方签订内容完备的采购协议或合作协议，协议中必须明确：</w:t>
      </w:r>
    </w:p>
    <w:p w14:paraId="63DF6C13">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产品质量安全标准（须符合本项目自营基地所有技术要求）；</w:t>
      </w:r>
    </w:p>
    <w:p w14:paraId="201919EB">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合作方必须遵守投标人提供的生产操作规程与管理制度的义务；</w:t>
      </w:r>
    </w:p>
    <w:p w14:paraId="0F6C0D81">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允许投标人及采购方代表随时进入基地进行现场检查与抽样检测的权利；</w:t>
      </w:r>
    </w:p>
    <w:p w14:paraId="436A6D26">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明确的质量安全责任条款、不合格产品处理办法及违约责任。</w:t>
      </w:r>
    </w:p>
    <w:p w14:paraId="58DE8F8E">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② 投标人须指定专门部门或专人负责与合作基地的日常对接、协调与监督，并建立合作基地管理档案。</w:t>
      </w:r>
    </w:p>
    <w:p w14:paraId="5F4972EA">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 生产过程监督与质量控制</w:t>
      </w:r>
    </w:p>
    <w:p w14:paraId="53F89023">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① 定期巡检与审核：投标人应制定对合作基地的定期现场巡检计划（每季度至少一次），核查其生产记录（如用药、施肥、饲料投喂、疫病防治等）、环境状况及制度执行情况，并保存巡检记录。</w:t>
      </w:r>
    </w:p>
    <w:p w14:paraId="368CD5F6">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② 关键点监控：</w:t>
      </w:r>
    </w:p>
    <w:p w14:paraId="67AD1D15">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蔬菜类：重点监控农药采购与使用记录、采收前农药安全间隔期执行情况、批次采收记录。</w:t>
      </w:r>
    </w:p>
    <w:p w14:paraId="0EB3A961">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禽畜水产类：重点监控兽药与饲料添加剂使用记录、疫病免疫与监测记录、无害化处理记录。</w:t>
      </w:r>
    </w:p>
    <w:p w14:paraId="3C768187">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③ 产品检测：投标人应建立针对合作基地产品的入厂（场）检测制度，对每批次或定期抽取的产品进行主要农残、药残及安全指标检测，检测合格后方可接收。检测报告应归档备查。</w:t>
      </w:r>
    </w:p>
    <w:p w14:paraId="78E233B9">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 溯源信息管理</w:t>
      </w:r>
    </w:p>
    <w:p w14:paraId="5FD9BA8D">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① 投标人应确保合作方建立与投标人溯源系统对接或兼容的产品追溯体系。</w:t>
      </w:r>
    </w:p>
    <w:p w14:paraId="6AC0B088">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② 每批次产品必须附有可追溯的标识信息（如批次号、产地、采收/出栏日期等），并能通过该标识查询到生产过程中的关键记录（如用药、施肥、疫病防治等）。</w:t>
      </w:r>
    </w:p>
    <w:p w14:paraId="3C2F24BF">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③ 投标人须能够提供从合作基地到配送至采购方的完整溯源信息链。</w:t>
      </w:r>
    </w:p>
    <w:p w14:paraId="36311591">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 动态管理与退出机制</w:t>
      </w:r>
    </w:p>
    <w:p w14:paraId="105B0A02">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① 投标人应建立合作方绩效评价机制，定期（如每</w:t>
      </w:r>
      <w:r>
        <w:rPr>
          <w:rFonts w:hint="eastAsia" w:ascii="宋体" w:hAnsi="宋体" w:cs="宋体"/>
          <w:color w:val="auto"/>
          <w:szCs w:val="21"/>
          <w:highlight w:val="none"/>
          <w:lang w:val="en-US" w:eastAsia="zh-CN"/>
        </w:rPr>
        <w:t>半</w:t>
      </w:r>
      <w:r>
        <w:rPr>
          <w:rFonts w:hint="eastAsia" w:ascii="宋体" w:hAnsi="宋体" w:cs="宋体"/>
          <w:color w:val="auto"/>
          <w:szCs w:val="21"/>
          <w:highlight w:val="none"/>
        </w:rPr>
        <w:t>年）从质量、安全、交货、合规等方面进行综合评价。</w:t>
      </w:r>
    </w:p>
    <w:p w14:paraId="01A97488">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② 对于在巡检、检测或评价中发现严重不符合项的合作基地，应立即暂停采购，要求其限期整改。整改后仍不达标或出现重大质量安全问题的，应终止合作并从合格合作方名录中除名。</w:t>
      </w:r>
    </w:p>
    <w:p w14:paraId="0D0E2AF2">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③ 应保持合格合作方名录的更新，并确保在任何时候都有备选合作资源以保障供应稳定。</w:t>
      </w:r>
    </w:p>
    <w:p w14:paraId="52E84AB3">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 证明文件提交</w:t>
      </w:r>
    </w:p>
    <w:p w14:paraId="61068FB9">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投标人须在投标文件中提供：</w:t>
      </w:r>
    </w:p>
    <w:p w14:paraId="0C3CFAC7">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① 与合作方签订的有效期内的采购或合作协议关键页（含上述约束条款）。</w:t>
      </w:r>
    </w:p>
    <w:p w14:paraId="72C89D49">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② 合作方的相关资质证明文件（营业执照、基地产权或租赁证明、相关认证证书等）。</w:t>
      </w:r>
    </w:p>
    <w:p w14:paraId="5DAFCE8B">
      <w:pPr>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rPr>
        <w:t>③ 投标人针对合作基地的管理制度文件、近期巡检记录样本及产品检测报告样本。</w:t>
      </w:r>
    </w:p>
    <w:p w14:paraId="1FE397B7">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rPr>
        <w:t>.市场采购货品管理</w:t>
      </w:r>
    </w:p>
    <w:p w14:paraId="334C41D3">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面包类、米面</w:t>
      </w:r>
      <w:r>
        <w:rPr>
          <w:rFonts w:hint="eastAsia" w:ascii="宋体" w:hAnsi="宋体" w:cs="宋体"/>
          <w:color w:val="auto"/>
          <w:szCs w:val="21"/>
          <w:highlight w:val="none"/>
          <w:lang w:val="en-US" w:eastAsia="zh-CN"/>
        </w:rPr>
        <w:t>类</w:t>
      </w:r>
      <w:r>
        <w:rPr>
          <w:rFonts w:hint="eastAsia" w:ascii="宋体" w:hAnsi="宋体" w:eastAsia="宋体" w:cs="宋体"/>
          <w:color w:val="auto"/>
          <w:szCs w:val="21"/>
          <w:highlight w:val="none"/>
        </w:rPr>
        <w:t>制品：由知名正规厂家生产，必须选用符合国家食品卫生法规相关标准的商品，选用无毒、 无害、无污染、可朔源的食品，其包装盒或标签上须注明食品名称、生产厂家、厂址、生产日期、食品的主要原料成份和食品保质期等信息，上述货品必须符合国家食品卫生法规相关标准，符合甲方使用要求，货品必须保证有三分之二以上保质期(如货品有保质期),不得供应转基因产品。</w:t>
      </w:r>
    </w:p>
    <w:p w14:paraId="4B2CC561">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肉类、三鸟类、冻品类、水产品</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均为东莞市内定点屠宰场(厂)经检疫和肉品品质检验合格的产品，具有由定点屠宰场(厂)加盖验讫印章并出具《畜产品检验证明》或《动物检疫合格证明》,新鲜肉要有东莞市政府相关管理部门的电脑单据作为依据。冻品</w:t>
      </w:r>
      <w:r>
        <w:rPr>
          <w:rFonts w:hint="eastAsia" w:ascii="宋体" w:hAnsi="宋体" w:cs="宋体"/>
          <w:color w:val="auto"/>
          <w:szCs w:val="21"/>
          <w:highlight w:val="none"/>
          <w:lang w:val="en-US" w:eastAsia="zh-CN"/>
        </w:rPr>
        <w:t>类</w:t>
      </w:r>
      <w:r>
        <w:rPr>
          <w:rFonts w:hint="eastAsia" w:ascii="宋体" w:hAnsi="宋体" w:eastAsia="宋体" w:cs="宋体"/>
          <w:color w:val="auto"/>
          <w:szCs w:val="21"/>
          <w:highlight w:val="none"/>
        </w:rPr>
        <w:t>必须选用符合国家食品卫生法规相关标准的商品，选用无毒、无害、无污染、可朔源的副食品，食品等级标准要相符，其包装盒或标签上须注明食品名称，生产厂家、厂址、生产日期、食品的主要原料成份和食品保质期等信息，</w:t>
      </w:r>
      <w:r>
        <w:rPr>
          <w:rFonts w:hint="eastAsia" w:ascii="宋体" w:hAnsi="宋体" w:cs="宋体"/>
          <w:color w:val="auto"/>
          <w:szCs w:val="21"/>
          <w:highlight w:val="none"/>
          <w:lang w:val="en-US" w:eastAsia="zh-CN"/>
        </w:rPr>
        <w:t>豆</w:t>
      </w:r>
      <w:r>
        <w:rPr>
          <w:rFonts w:hint="eastAsia" w:ascii="宋体" w:hAnsi="宋体" w:eastAsia="宋体" w:cs="宋体"/>
          <w:color w:val="auto"/>
          <w:szCs w:val="21"/>
          <w:highlight w:val="none"/>
        </w:rPr>
        <w:t>制品包装完整，无破损，验收每批在保质期二分之一以上。</w:t>
      </w:r>
    </w:p>
    <w:p w14:paraId="5E0BE8E0">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蔬菜类、水果类：无公害、农药残留不得超标，提供农药残留检测证明。蔬菜必须保证每日新鲜，品种、质量符合食品卫生安全法要求并出具有效的《农产品检验报告》。采购人使用“农药测试卡”检验蔬菜农药含量，如含量超标要求中标人无条件退货或换货，同时做好相关记录。应保持较好的色泽和新鲜度，不得有黄叶，不得腐烂或有异常味道，不存在泥沙和异物，利用率不得低于95%,不得供应转基因产品。</w:t>
      </w:r>
    </w:p>
    <w:p w14:paraId="5F26B496">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(二)质量管理</w:t>
      </w:r>
    </w:p>
    <w:p w14:paraId="5154FD5E">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1.中标人进入</w:t>
      </w:r>
      <w:r>
        <w:rPr>
          <w:rFonts w:hint="eastAsia" w:ascii="宋体" w:hAnsi="宋体" w:cs="宋体"/>
          <w:color w:val="auto"/>
          <w:szCs w:val="21"/>
          <w:highlight w:val="none"/>
          <w:lang w:val="en-US" w:eastAsia="zh-CN"/>
        </w:rPr>
        <w:t>采购人</w:t>
      </w:r>
      <w:r>
        <w:rPr>
          <w:rFonts w:hint="eastAsia" w:ascii="宋体" w:hAnsi="宋体" w:eastAsia="宋体" w:cs="宋体"/>
          <w:color w:val="auto"/>
          <w:szCs w:val="21"/>
          <w:highlight w:val="none"/>
        </w:rPr>
        <w:t>范围内必须遵守有关规定，不得影响</w:t>
      </w:r>
      <w:r>
        <w:rPr>
          <w:rFonts w:hint="eastAsia" w:ascii="宋体" w:hAnsi="宋体" w:cs="宋体"/>
          <w:color w:val="auto"/>
          <w:szCs w:val="21"/>
          <w:highlight w:val="none"/>
          <w:lang w:val="en-US" w:eastAsia="zh-CN"/>
        </w:rPr>
        <w:t>采购人</w:t>
      </w:r>
      <w:r>
        <w:rPr>
          <w:rFonts w:hint="eastAsia" w:ascii="宋体" w:hAnsi="宋体" w:eastAsia="宋体" w:cs="宋体"/>
          <w:color w:val="auto"/>
          <w:szCs w:val="21"/>
          <w:highlight w:val="none"/>
        </w:rPr>
        <w:t>的正常工作，由于中标人的过失造成</w:t>
      </w:r>
      <w:r>
        <w:rPr>
          <w:rFonts w:hint="eastAsia" w:ascii="宋体" w:hAnsi="宋体" w:cs="宋体"/>
          <w:color w:val="auto"/>
          <w:szCs w:val="21"/>
          <w:highlight w:val="none"/>
          <w:lang w:val="en-US" w:eastAsia="zh-CN"/>
        </w:rPr>
        <w:t>采购人</w:t>
      </w:r>
      <w:r>
        <w:rPr>
          <w:rFonts w:hint="eastAsia" w:ascii="宋体" w:hAnsi="宋体" w:eastAsia="宋体" w:cs="宋体"/>
          <w:color w:val="auto"/>
          <w:szCs w:val="21"/>
          <w:highlight w:val="none"/>
        </w:rPr>
        <w:t>直接经济损失则要负全部责任及赔偿一切损失。</w:t>
      </w:r>
    </w:p>
    <w:p w14:paraId="0535C8E7">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2.中标人不得泄露</w:t>
      </w:r>
      <w:r>
        <w:rPr>
          <w:rFonts w:hint="eastAsia" w:ascii="宋体" w:hAnsi="宋体" w:cs="宋体"/>
          <w:color w:val="auto"/>
          <w:szCs w:val="21"/>
          <w:highlight w:val="none"/>
          <w:lang w:val="en-US" w:eastAsia="zh-CN"/>
        </w:rPr>
        <w:t>采购人</w:t>
      </w:r>
      <w:r>
        <w:rPr>
          <w:rFonts w:hint="eastAsia" w:ascii="宋体" w:hAnsi="宋体" w:eastAsia="宋体" w:cs="宋体"/>
          <w:color w:val="auto"/>
          <w:szCs w:val="21"/>
          <w:highlight w:val="none"/>
        </w:rPr>
        <w:t>的商业秘密。泄密造成</w:t>
      </w:r>
      <w:r>
        <w:rPr>
          <w:rFonts w:hint="eastAsia" w:ascii="宋体" w:hAnsi="宋体" w:cs="宋体"/>
          <w:color w:val="auto"/>
          <w:szCs w:val="21"/>
          <w:highlight w:val="none"/>
          <w:lang w:val="en-US" w:eastAsia="zh-CN"/>
        </w:rPr>
        <w:t>采购人</w:t>
      </w:r>
      <w:r>
        <w:rPr>
          <w:rFonts w:hint="eastAsia" w:ascii="宋体" w:hAnsi="宋体" w:eastAsia="宋体" w:cs="宋体"/>
          <w:color w:val="auto"/>
          <w:szCs w:val="21"/>
          <w:highlight w:val="none"/>
        </w:rPr>
        <w:t>损失的，中标人将承担由此产生的一切损失和法律责任。</w:t>
      </w:r>
    </w:p>
    <w:p w14:paraId="7F09FBEE">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3.中标人应充分理解并认真遵循本招标文件的要求，所提供的货物必须满足</w:t>
      </w:r>
      <w:r>
        <w:rPr>
          <w:rFonts w:hint="eastAsia" w:ascii="宋体" w:hAnsi="宋体" w:cs="宋体"/>
          <w:color w:val="auto"/>
          <w:szCs w:val="21"/>
          <w:highlight w:val="none"/>
          <w:lang w:val="en-US" w:eastAsia="zh-CN"/>
        </w:rPr>
        <w:t>采购人</w:t>
      </w:r>
      <w:r>
        <w:rPr>
          <w:rFonts w:hint="eastAsia" w:ascii="宋体" w:hAnsi="宋体" w:eastAsia="宋体" w:cs="宋体"/>
          <w:color w:val="auto"/>
          <w:szCs w:val="21"/>
          <w:highlight w:val="none"/>
        </w:rPr>
        <w:t>要求。</w:t>
      </w:r>
    </w:p>
    <w:p w14:paraId="46CCC353">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4.中标人必须遵守国家规定的《食品安全法》、《农产品质量安全法》等法律和行政法规的规定，提供的货品必须符合国家有关卫生标准，保质、保量、保鲜，严禁配送假冒、变质、过期的农副产品。不合格的货品，中标人必须无条件包退包换。</w:t>
      </w:r>
    </w:p>
    <w:p w14:paraId="6A47BAAD">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5.保证供应的货品均为正规生产的，新鲜、检验合格、无毒、无辐射、无侵权货品，符合国家有关卫生、质量、包装和保质标准，要使用有效期的货品，其剩余有效期不得少于标注有效期的2/3。</w:t>
      </w:r>
    </w:p>
    <w:p w14:paraId="61E59667">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6.中标人提供的鲜鱼、肉类保证每日新鲜，提供的肉类均为东莞市定点屠宰厂(场)经检 疫和肉品品质检验合格的产品，具有由定点屠宰厂(场)加盖验讫印章并出具《畜产品检验证明》或《动物检疫合格证明》,所有产品并可追索。中标人提供的蔬菜必须保证每日新鲜，取得无公害认证优先选择，并符合食品卫生安全法要求并出具有效的《农产品检验报告》,达到供港蔬菜标准。</w:t>
      </w:r>
    </w:p>
    <w:p w14:paraId="3B862C06">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7.中标人保证所提供的鲜肉类、生禽、鲜水产、蔬菜种类的多样性和季节性，以保证新鲜感。</w:t>
      </w:r>
    </w:p>
    <w:p w14:paraId="2EFC4567">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8.货物有包装的，货物的包装必须完整清洁(无损、无污、无皱),甲方有权拒收包装不 整齐、已拆封的商品。</w:t>
      </w:r>
    </w:p>
    <w:p w14:paraId="0D4AC7EC">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9.定期检查库存和待售食品，发现食品已经变质或者超过保质期的，应当立即下架，停止销售，及时销毁，并建立销毁记录台账。不得采取更改生产日期或者保质期、重新加工、更换包装等措施后重新销售。</w:t>
      </w:r>
    </w:p>
    <w:p w14:paraId="4CE316E7">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10.对采购的食品应当按照法律、法规和食品安全标准履行检查义务，检查食品质量和标签；查验供货者的许可证、营业执照和食品合格的证明文件。并通过记录、存档、复印等多种方式，记载查验情况。供应商提供的相关资质文件(审核加盖供应商公章的有效资信材料(复印件): 如商品进入该地区销售的许可证、商品检验报告、动物防疫合格证；有机农产品证书；无公害农产品产地认定证书；农业转基因生物标识审查认可批准文件等。并通过记录、存档、复印等多种方式，记载查验情况。进口食品还需查验进口食品的合法证明，做到一旦发现问题，可以迅速追溯到生产源头。</w:t>
      </w:r>
    </w:p>
    <w:p w14:paraId="685A821B">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11.应当建立食品进货查验记录制度，如实记录食品的名称、规格、数量、生产批号(生产日期)、保质期、供货者名称及联系方式、进货日期等内容。进货查验记录应当真实，不得伪造，保存期限不得少于半年。做到一旦发现问题，可以迅速追溯到生产源头。</w:t>
      </w:r>
    </w:p>
    <w:p w14:paraId="32EB2C64">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12.对于变质、超过保质期及其他不符合食品安全要求或标准但又需自行销毁处理的食品，应当在不违反法律法规规定的情况下采取无害化处理。</w:t>
      </w:r>
    </w:p>
    <w:p w14:paraId="0C4A803A">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13.应当制定食品安全事故处置方案，定期检查各项食品安全防范措施的落实情况，及时消除事故隐患。有发生食品事故潜在风险的，应当立即停止经营活动，并向采购人报告。</w:t>
      </w:r>
    </w:p>
    <w:p w14:paraId="43CB7835">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79DCAB5F">
      <w:pPr>
        <w:pStyle w:val="9"/>
        <w:spacing w:line="240" w:lineRule="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附件1：</w:t>
      </w:r>
      <w:r>
        <w:rPr>
          <w:rFonts w:hint="eastAsia" w:cs="宋体"/>
          <w:b/>
          <w:bCs w:val="0"/>
          <w:color w:val="auto"/>
          <w:sz w:val="21"/>
          <w:szCs w:val="21"/>
          <w:highlight w:val="none"/>
          <w:lang w:val="en-US" w:eastAsia="zh-CN"/>
        </w:rPr>
        <w:t>供应商</w:t>
      </w:r>
      <w:r>
        <w:rPr>
          <w:rFonts w:hint="eastAsia" w:ascii="宋体" w:hAnsi="宋体" w:eastAsia="宋体" w:cs="宋体"/>
          <w:b/>
          <w:bCs w:val="0"/>
          <w:color w:val="auto"/>
          <w:sz w:val="21"/>
          <w:szCs w:val="21"/>
          <w:highlight w:val="none"/>
        </w:rPr>
        <w:t>评价表</w:t>
      </w:r>
    </w:p>
    <w:bookmarkEnd w:id="11"/>
    <w:bookmarkEnd w:id="12"/>
    <w:bookmarkEnd w:id="13"/>
    <w:bookmarkEnd w:id="14"/>
    <w:tbl>
      <w:tblPr>
        <w:tblStyle w:val="30"/>
        <w:tblW w:w="83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4"/>
        <w:gridCol w:w="3515"/>
        <w:gridCol w:w="928"/>
        <w:gridCol w:w="928"/>
        <w:gridCol w:w="928"/>
        <w:gridCol w:w="1087"/>
      </w:tblGrid>
      <w:tr w14:paraId="292FB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6" w:hRule="atLeast"/>
        </w:trPr>
        <w:tc>
          <w:tcPr>
            <w:tcW w:w="83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4F769B8">
            <w:pPr>
              <w:keepNext w:val="0"/>
              <w:keepLines w:val="0"/>
              <w:widowControl/>
              <w:suppressLineNumbers w:val="0"/>
              <w:jc w:val="center"/>
              <w:textAlignment w:val="center"/>
              <w:rPr>
                <w:rFonts w:hint="eastAsia" w:ascii="宋体" w:hAnsi="宋体" w:eastAsia="宋体" w:cs="宋体"/>
                <w:b/>
                <w:bCs/>
                <w:i w:val="0"/>
                <w:iCs w:val="0"/>
                <w:color w:val="auto"/>
                <w:sz w:val="32"/>
                <w:szCs w:val="32"/>
                <w:highlight w:val="none"/>
                <w:u w:val="none"/>
              </w:rPr>
            </w:pPr>
            <w:r>
              <w:rPr>
                <w:rFonts w:hint="eastAsia" w:ascii="宋体" w:hAnsi="宋体" w:cs="宋体"/>
                <w:b/>
                <w:bCs/>
                <w:i w:val="0"/>
                <w:iCs w:val="0"/>
                <w:color w:val="auto"/>
                <w:kern w:val="0"/>
                <w:sz w:val="32"/>
                <w:szCs w:val="32"/>
                <w:highlight w:val="none"/>
                <w:u w:val="single"/>
                <w:lang w:val="en-US" w:eastAsia="zh-CN" w:bidi="ar"/>
              </w:rPr>
              <w:t xml:space="preserve">               </w:t>
            </w:r>
            <w:r>
              <w:rPr>
                <w:rFonts w:hint="eastAsia" w:ascii="宋体" w:hAnsi="宋体" w:eastAsia="宋体" w:cs="宋体"/>
                <w:b/>
                <w:bCs/>
                <w:i w:val="0"/>
                <w:iCs w:val="0"/>
                <w:color w:val="auto"/>
                <w:kern w:val="0"/>
                <w:sz w:val="32"/>
                <w:szCs w:val="32"/>
                <w:highlight w:val="none"/>
                <w:u w:val="single"/>
                <w:lang w:val="en-US" w:eastAsia="zh-CN" w:bidi="ar"/>
              </w:rPr>
              <w:t>酒店有限公司</w:t>
            </w:r>
          </w:p>
        </w:tc>
      </w:tr>
      <w:tr w14:paraId="67C28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83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20FAEC7">
            <w:pPr>
              <w:keepNext w:val="0"/>
              <w:keepLines w:val="0"/>
              <w:widowControl/>
              <w:suppressLineNumbers w:val="0"/>
              <w:jc w:val="center"/>
              <w:textAlignment w:val="center"/>
              <w:rPr>
                <w:rFonts w:hint="eastAsia" w:ascii="宋体" w:hAnsi="宋体" w:eastAsia="宋体" w:cs="宋体"/>
                <w:b/>
                <w:bCs/>
                <w:i w:val="0"/>
                <w:iCs w:val="0"/>
                <w:color w:val="auto"/>
                <w:sz w:val="32"/>
                <w:szCs w:val="32"/>
                <w:highlight w:val="none"/>
                <w:u w:val="none"/>
              </w:rPr>
            </w:pPr>
            <w:r>
              <w:rPr>
                <w:rFonts w:hint="eastAsia" w:ascii="宋体" w:hAnsi="宋体" w:eastAsia="宋体" w:cs="宋体"/>
                <w:b/>
                <w:bCs/>
                <w:i w:val="0"/>
                <w:iCs w:val="0"/>
                <w:color w:val="auto"/>
                <w:kern w:val="0"/>
                <w:sz w:val="32"/>
                <w:szCs w:val="32"/>
                <w:highlight w:val="none"/>
                <w:u w:val="none"/>
                <w:lang w:val="en-US" w:eastAsia="zh-CN" w:bidi="ar"/>
              </w:rPr>
              <w:t>供应商评价表</w:t>
            </w:r>
          </w:p>
        </w:tc>
      </w:tr>
      <w:tr w14:paraId="49E17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C078C">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供应商名称：</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332DA">
            <w:pPr>
              <w:rPr>
                <w:rFonts w:hint="eastAsia" w:ascii="宋体" w:hAnsi="宋体" w:eastAsia="宋体" w:cs="宋体"/>
                <w:b/>
                <w:bCs/>
                <w:i w:val="0"/>
                <w:iCs w:val="0"/>
                <w:color w:val="auto"/>
                <w:sz w:val="22"/>
                <w:szCs w:val="22"/>
                <w:highlight w:val="none"/>
                <w:u w:val="none"/>
              </w:rPr>
            </w:pP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317AE">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评价时间：</w:t>
            </w: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0171DD">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年   月   日</w:t>
            </w:r>
          </w:p>
        </w:tc>
      </w:tr>
      <w:tr w14:paraId="2F7E8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B5090">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供货品类：</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896E4">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食品类</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5384A">
            <w:pPr>
              <w:rPr>
                <w:rFonts w:hint="eastAsia" w:ascii="宋体" w:hAnsi="宋体" w:eastAsia="宋体" w:cs="宋体"/>
                <w:b/>
                <w:bCs/>
                <w:i w:val="0"/>
                <w:iCs w:val="0"/>
                <w:color w:val="auto"/>
                <w:sz w:val="22"/>
                <w:szCs w:val="22"/>
                <w:highlight w:val="none"/>
                <w:u w:val="none"/>
              </w:rPr>
            </w:pP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039FA0">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评分部门</w:t>
            </w:r>
          </w:p>
        </w:tc>
      </w:tr>
      <w:tr w14:paraId="34927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42755">
            <w:pP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DF2C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依据描述</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2C06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得分范围</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3110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使用部门</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B3FB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财务部</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0D2A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行政综合部</w:t>
            </w:r>
          </w:p>
        </w:tc>
      </w:tr>
      <w:tr w14:paraId="4B791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E3EF55">
            <w:pPr>
              <w:keepNext w:val="0"/>
              <w:keepLines w:val="0"/>
              <w:widowControl/>
              <w:numPr>
                <w:ilvl w:val="0"/>
                <w:numId w:val="2"/>
              </w:numPr>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供货及时性</w:t>
            </w:r>
          </w:p>
          <w:p w14:paraId="0DC7CEEE">
            <w:pPr>
              <w:keepNext w:val="0"/>
              <w:keepLines w:val="0"/>
              <w:widowControl/>
              <w:numPr>
                <w:ilvl w:val="-1"/>
                <w:numId w:val="0"/>
              </w:numPr>
              <w:suppressLineNumbers w:val="0"/>
              <w:jc w:val="left"/>
              <w:textAlignment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（20分）</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A27D3">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(1)每次均能及时到货</w:t>
            </w:r>
            <w:r>
              <w:rPr>
                <w:rFonts w:hint="eastAsia" w:ascii="宋体" w:hAnsi="宋体" w:cs="宋体"/>
                <w:i w:val="0"/>
                <w:iCs w:val="0"/>
                <w:color w:val="auto"/>
                <w:kern w:val="0"/>
                <w:sz w:val="20"/>
                <w:szCs w:val="20"/>
                <w:highlight w:val="none"/>
                <w:u w:val="none"/>
                <w:lang w:val="en-US" w:eastAsia="zh-CN" w:bidi="ar"/>
              </w:rPr>
              <w:t>，并提供完整检测报告</w:t>
            </w:r>
            <w:r>
              <w:rPr>
                <w:rFonts w:hint="eastAsia" w:ascii="宋体" w:hAnsi="宋体" w:eastAsia="宋体" w:cs="宋体"/>
                <w:i w:val="0"/>
                <w:iCs w:val="0"/>
                <w:color w:val="auto"/>
                <w:kern w:val="0"/>
                <w:sz w:val="20"/>
                <w:szCs w:val="20"/>
                <w:highlight w:val="none"/>
                <w:u w:val="none"/>
                <w:lang w:val="en-US" w:eastAsia="zh-CN" w:bidi="ar"/>
              </w:rPr>
              <w:t>。</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2894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ACF3CF">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3DDD94">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2E41FF">
            <w:pPr>
              <w:jc w:val="center"/>
              <w:rPr>
                <w:rFonts w:hint="eastAsia" w:ascii="宋体" w:hAnsi="宋体" w:eastAsia="宋体" w:cs="宋体"/>
                <w:i w:val="0"/>
                <w:iCs w:val="0"/>
                <w:color w:val="auto"/>
                <w:sz w:val="20"/>
                <w:szCs w:val="20"/>
                <w:highlight w:val="none"/>
                <w:u w:val="none"/>
              </w:rPr>
            </w:pPr>
          </w:p>
        </w:tc>
      </w:tr>
      <w:tr w14:paraId="14A3B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892EB7">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358A6">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(2)偶尔供货</w:t>
            </w:r>
            <w:r>
              <w:rPr>
                <w:rFonts w:hint="eastAsia" w:ascii="宋体" w:hAnsi="宋体" w:cs="宋体"/>
                <w:i w:val="0"/>
                <w:iCs w:val="0"/>
                <w:color w:val="auto"/>
                <w:kern w:val="0"/>
                <w:sz w:val="20"/>
                <w:szCs w:val="20"/>
                <w:highlight w:val="none"/>
                <w:u w:val="none"/>
                <w:lang w:val="en-US" w:eastAsia="zh-CN" w:bidi="ar"/>
              </w:rPr>
              <w:t>及提供检测报告</w:t>
            </w:r>
            <w:r>
              <w:rPr>
                <w:rFonts w:hint="eastAsia" w:ascii="宋体" w:hAnsi="宋体" w:eastAsia="宋体" w:cs="宋体"/>
                <w:i w:val="0"/>
                <w:iCs w:val="0"/>
                <w:color w:val="auto"/>
                <w:kern w:val="0"/>
                <w:sz w:val="20"/>
                <w:szCs w:val="20"/>
                <w:highlight w:val="none"/>
                <w:u w:val="none"/>
                <w:lang w:val="en-US" w:eastAsia="zh-CN" w:bidi="ar"/>
              </w:rPr>
              <w:t>不及时，但对出品造成较小影响。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357A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AE1AB7">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51F7A9">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338F6A">
            <w:pPr>
              <w:jc w:val="center"/>
              <w:rPr>
                <w:rFonts w:hint="eastAsia" w:ascii="宋体" w:hAnsi="宋体" w:eastAsia="宋体" w:cs="宋体"/>
                <w:i w:val="0"/>
                <w:iCs w:val="0"/>
                <w:color w:val="auto"/>
                <w:sz w:val="20"/>
                <w:szCs w:val="20"/>
                <w:highlight w:val="none"/>
                <w:u w:val="none"/>
              </w:rPr>
            </w:pPr>
          </w:p>
        </w:tc>
      </w:tr>
      <w:tr w14:paraId="4EAA1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9C6F47">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3CEB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(3)供货</w:t>
            </w:r>
            <w:r>
              <w:rPr>
                <w:rFonts w:hint="eastAsia" w:ascii="宋体" w:hAnsi="宋体" w:cs="宋体"/>
                <w:i w:val="0"/>
                <w:iCs w:val="0"/>
                <w:color w:val="auto"/>
                <w:kern w:val="0"/>
                <w:sz w:val="20"/>
                <w:szCs w:val="20"/>
                <w:highlight w:val="none"/>
                <w:u w:val="none"/>
                <w:lang w:val="en-US" w:eastAsia="zh-CN" w:bidi="ar"/>
              </w:rPr>
              <w:t>及提供检测报告</w:t>
            </w:r>
            <w:r>
              <w:rPr>
                <w:rFonts w:hint="eastAsia" w:ascii="宋体" w:hAnsi="宋体" w:eastAsia="宋体" w:cs="宋体"/>
                <w:i w:val="0"/>
                <w:iCs w:val="0"/>
                <w:color w:val="auto"/>
                <w:kern w:val="0"/>
                <w:sz w:val="20"/>
                <w:szCs w:val="20"/>
                <w:highlight w:val="none"/>
                <w:u w:val="none"/>
                <w:lang w:val="en-US" w:eastAsia="zh-CN" w:bidi="ar"/>
              </w:rPr>
              <w:t>不及时次数过多，且对出品造成较大影响。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5E9A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967083">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56CDD8">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144CC3">
            <w:pPr>
              <w:jc w:val="center"/>
              <w:rPr>
                <w:rFonts w:hint="eastAsia" w:ascii="宋体" w:hAnsi="宋体" w:eastAsia="宋体" w:cs="宋体"/>
                <w:i w:val="0"/>
                <w:iCs w:val="0"/>
                <w:color w:val="auto"/>
                <w:sz w:val="20"/>
                <w:szCs w:val="20"/>
                <w:highlight w:val="none"/>
                <w:u w:val="none"/>
              </w:rPr>
            </w:pPr>
          </w:p>
        </w:tc>
      </w:tr>
      <w:tr w14:paraId="76A7C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75C37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2、品类齐全度</w:t>
            </w:r>
            <w:r>
              <w:rPr>
                <w:rFonts w:hint="eastAsia" w:ascii="宋体" w:hAnsi="宋体" w:cs="宋体"/>
                <w:i w:val="0"/>
                <w:iCs w:val="0"/>
                <w:color w:val="auto"/>
                <w:kern w:val="0"/>
                <w:sz w:val="20"/>
                <w:szCs w:val="20"/>
                <w:highlight w:val="none"/>
                <w:u w:val="none"/>
                <w:lang w:val="en-US" w:eastAsia="zh-CN" w:bidi="ar"/>
              </w:rPr>
              <w:t>（20分）</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CD2E2">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(1)品类齐全，能充分满足使用要求。</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AD3F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0325A8">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953FA5">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77D956">
            <w:pPr>
              <w:jc w:val="center"/>
              <w:rPr>
                <w:rFonts w:hint="eastAsia" w:ascii="宋体" w:hAnsi="宋体" w:eastAsia="宋体" w:cs="宋体"/>
                <w:i w:val="0"/>
                <w:iCs w:val="0"/>
                <w:color w:val="auto"/>
                <w:sz w:val="20"/>
                <w:szCs w:val="20"/>
                <w:highlight w:val="none"/>
                <w:u w:val="none"/>
              </w:rPr>
            </w:pPr>
          </w:p>
        </w:tc>
      </w:tr>
      <w:tr w14:paraId="68BC6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D5D3A">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9B5F2">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(2)品类基本齐全，偶尔与实际需求不相符，但对出品造成较小影响。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85FC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24ED78">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56DDBE">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30A1CC">
            <w:pPr>
              <w:jc w:val="center"/>
              <w:rPr>
                <w:rFonts w:hint="eastAsia" w:ascii="宋体" w:hAnsi="宋体" w:eastAsia="宋体" w:cs="宋体"/>
                <w:i w:val="0"/>
                <w:iCs w:val="0"/>
                <w:color w:val="auto"/>
                <w:sz w:val="20"/>
                <w:szCs w:val="20"/>
                <w:highlight w:val="none"/>
                <w:u w:val="none"/>
              </w:rPr>
            </w:pPr>
          </w:p>
        </w:tc>
      </w:tr>
      <w:tr w14:paraId="6ED5D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5"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0350CD">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3C870">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(3)品类较少，供货差异较大，无法满足正常需求，且对出品造成较大影响。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0C72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CFEB0">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BA14D0">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8A59FB">
            <w:pPr>
              <w:jc w:val="center"/>
              <w:rPr>
                <w:rFonts w:hint="eastAsia" w:ascii="宋体" w:hAnsi="宋体" w:eastAsia="宋体" w:cs="宋体"/>
                <w:i w:val="0"/>
                <w:iCs w:val="0"/>
                <w:color w:val="auto"/>
                <w:sz w:val="20"/>
                <w:szCs w:val="20"/>
                <w:highlight w:val="none"/>
                <w:u w:val="none"/>
              </w:rPr>
            </w:pPr>
          </w:p>
        </w:tc>
      </w:tr>
      <w:tr w14:paraId="15956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0465A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r>
              <w:rPr>
                <w:rFonts w:hint="eastAsia" w:ascii="宋体" w:hAnsi="宋体" w:cs="宋体"/>
                <w:color w:val="auto"/>
                <w:sz w:val="20"/>
                <w:szCs w:val="20"/>
                <w:highlight w:val="none"/>
                <w:u w:val="none"/>
                <w:lang w:bidi="ar"/>
              </w:rPr>
              <w:t>产品剩余质保期</w:t>
            </w:r>
            <w:r>
              <w:rPr>
                <w:rFonts w:hint="eastAsia" w:ascii="宋体" w:hAnsi="宋体" w:cs="宋体"/>
                <w:i w:val="0"/>
                <w:iCs w:val="0"/>
                <w:color w:val="auto"/>
                <w:kern w:val="0"/>
                <w:sz w:val="20"/>
                <w:szCs w:val="20"/>
                <w:highlight w:val="none"/>
                <w:u w:val="none"/>
                <w:lang w:val="en-US" w:eastAsia="zh-CN" w:bidi="ar"/>
              </w:rPr>
              <w:t>（20分）</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B0BE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cs="宋体"/>
                <w:color w:val="auto"/>
                <w:sz w:val="20"/>
                <w:szCs w:val="20"/>
                <w:highlight w:val="none"/>
                <w:u w:val="none"/>
                <w:lang w:bidi="ar"/>
              </w:rPr>
              <w:t xml:space="preserve"> (1)产品剩余质保期长，远超行业标准，能充分保障使用周期。</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44A4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663661">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4C0B44">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D62C26">
            <w:pPr>
              <w:jc w:val="center"/>
              <w:rPr>
                <w:rFonts w:hint="eastAsia" w:ascii="宋体" w:hAnsi="宋体" w:eastAsia="宋体" w:cs="宋体"/>
                <w:i w:val="0"/>
                <w:iCs w:val="0"/>
                <w:color w:val="auto"/>
                <w:sz w:val="20"/>
                <w:szCs w:val="20"/>
                <w:highlight w:val="none"/>
                <w:u w:val="none"/>
              </w:rPr>
            </w:pPr>
          </w:p>
        </w:tc>
      </w:tr>
      <w:tr w14:paraId="66E16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D5581B">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7AD3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cs="宋体"/>
                <w:color w:val="auto"/>
                <w:sz w:val="20"/>
                <w:szCs w:val="20"/>
                <w:highlight w:val="none"/>
                <w:u w:val="none"/>
                <w:lang w:bidi="ar"/>
              </w:rPr>
              <w:t xml:space="preserve"> (2)产品剩余质保期符合行业标准，基本满足使用需求。</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FA92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21877F">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73D7B">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6E1605">
            <w:pPr>
              <w:jc w:val="center"/>
              <w:rPr>
                <w:rFonts w:hint="eastAsia" w:ascii="宋体" w:hAnsi="宋体" w:eastAsia="宋体" w:cs="宋体"/>
                <w:i w:val="0"/>
                <w:iCs w:val="0"/>
                <w:color w:val="auto"/>
                <w:sz w:val="20"/>
                <w:szCs w:val="20"/>
                <w:highlight w:val="none"/>
                <w:u w:val="none"/>
              </w:rPr>
            </w:pPr>
          </w:p>
        </w:tc>
      </w:tr>
      <w:tr w14:paraId="35F75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89270D">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90AB2">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cs="宋体"/>
                <w:color w:val="auto"/>
                <w:sz w:val="20"/>
                <w:szCs w:val="20"/>
                <w:highlight w:val="none"/>
                <w:u w:val="none"/>
                <w:lang w:bidi="ar"/>
              </w:rPr>
              <w:t>(3)产品剩余质保期较短，不符合行业标准，无法满足正常使用需求。</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EA73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E2B0B6">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559DB8">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AA256F">
            <w:pPr>
              <w:jc w:val="center"/>
              <w:rPr>
                <w:rFonts w:hint="eastAsia" w:ascii="宋体" w:hAnsi="宋体" w:eastAsia="宋体" w:cs="宋体"/>
                <w:i w:val="0"/>
                <w:iCs w:val="0"/>
                <w:color w:val="auto"/>
                <w:sz w:val="20"/>
                <w:szCs w:val="20"/>
                <w:highlight w:val="none"/>
                <w:u w:val="none"/>
              </w:rPr>
            </w:pPr>
          </w:p>
        </w:tc>
      </w:tr>
      <w:tr w14:paraId="75501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53E07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4、实际使用质量情况</w:t>
            </w:r>
            <w:r>
              <w:rPr>
                <w:rFonts w:hint="eastAsia" w:ascii="宋体" w:hAnsi="宋体" w:cs="宋体"/>
                <w:i w:val="0"/>
                <w:iCs w:val="0"/>
                <w:color w:val="auto"/>
                <w:kern w:val="0"/>
                <w:sz w:val="20"/>
                <w:szCs w:val="20"/>
                <w:highlight w:val="none"/>
                <w:u w:val="none"/>
                <w:lang w:val="en-US" w:eastAsia="zh-CN" w:bidi="ar"/>
              </w:rPr>
              <w:t>（20分）</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CAF97">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(1)包装完好，符合相关安全、环保等管理规定，未出现质量问题。</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BB9D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3739A3">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C680B3">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4C96E5">
            <w:pPr>
              <w:jc w:val="center"/>
              <w:rPr>
                <w:rFonts w:hint="eastAsia" w:ascii="宋体" w:hAnsi="宋体" w:eastAsia="宋体" w:cs="宋体"/>
                <w:i w:val="0"/>
                <w:iCs w:val="0"/>
                <w:color w:val="auto"/>
                <w:sz w:val="20"/>
                <w:szCs w:val="20"/>
                <w:highlight w:val="none"/>
                <w:u w:val="none"/>
              </w:rPr>
            </w:pPr>
          </w:p>
        </w:tc>
      </w:tr>
      <w:tr w14:paraId="1FC645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5"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42A72A">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3BC6F">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(2)产品质量合格率低于98%，基本符合相关安全、环保等管理规定，可以让步接收。</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D0EA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E30012">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5D0C4">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0871DD">
            <w:pPr>
              <w:jc w:val="center"/>
              <w:rPr>
                <w:rFonts w:hint="eastAsia" w:ascii="宋体" w:hAnsi="宋体" w:eastAsia="宋体" w:cs="宋体"/>
                <w:i w:val="0"/>
                <w:iCs w:val="0"/>
                <w:color w:val="auto"/>
                <w:sz w:val="20"/>
                <w:szCs w:val="20"/>
                <w:highlight w:val="none"/>
                <w:u w:val="none"/>
              </w:rPr>
            </w:pPr>
          </w:p>
        </w:tc>
      </w:tr>
      <w:tr w14:paraId="15FC0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8291D7">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53BE8">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(3)出现重大质量问题。</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A59A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24BD44">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4A2D32">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E7F9DD">
            <w:pPr>
              <w:jc w:val="center"/>
              <w:rPr>
                <w:rFonts w:hint="eastAsia" w:ascii="宋体" w:hAnsi="宋体" w:eastAsia="宋体" w:cs="宋体"/>
                <w:i w:val="0"/>
                <w:iCs w:val="0"/>
                <w:color w:val="auto"/>
                <w:sz w:val="20"/>
                <w:szCs w:val="20"/>
                <w:highlight w:val="none"/>
                <w:u w:val="none"/>
              </w:rPr>
            </w:pPr>
          </w:p>
        </w:tc>
      </w:tr>
      <w:tr w14:paraId="08FE4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C1E6B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5、售后服务能力</w:t>
            </w:r>
            <w:r>
              <w:rPr>
                <w:rFonts w:hint="eastAsia" w:ascii="宋体" w:hAnsi="宋体" w:cs="宋体"/>
                <w:i w:val="0"/>
                <w:iCs w:val="0"/>
                <w:color w:val="auto"/>
                <w:kern w:val="0"/>
                <w:sz w:val="20"/>
                <w:szCs w:val="20"/>
                <w:highlight w:val="none"/>
                <w:u w:val="none"/>
                <w:lang w:val="en-US" w:eastAsia="zh-CN" w:bidi="ar"/>
              </w:rPr>
              <w:t>（20分）</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D7E8B">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(1)出现问题，能够及时有效解决，售后服务能力较强。</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15B3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97443D">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A77310">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556237">
            <w:pPr>
              <w:jc w:val="center"/>
              <w:rPr>
                <w:rFonts w:hint="eastAsia" w:ascii="宋体" w:hAnsi="宋体" w:eastAsia="宋体" w:cs="宋体"/>
                <w:i w:val="0"/>
                <w:iCs w:val="0"/>
                <w:color w:val="auto"/>
                <w:sz w:val="20"/>
                <w:szCs w:val="20"/>
                <w:highlight w:val="none"/>
                <w:u w:val="none"/>
              </w:rPr>
            </w:pPr>
          </w:p>
        </w:tc>
      </w:tr>
      <w:tr w14:paraId="6414C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AA9E7B">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089E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(2)出现问题时，处理问题及时性一般，售后服务能力一般。</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2305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5626D8">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65A82C">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92A087">
            <w:pPr>
              <w:jc w:val="center"/>
              <w:rPr>
                <w:rFonts w:hint="eastAsia" w:ascii="宋体" w:hAnsi="宋体" w:eastAsia="宋体" w:cs="宋体"/>
                <w:i w:val="0"/>
                <w:iCs w:val="0"/>
                <w:color w:val="auto"/>
                <w:sz w:val="20"/>
                <w:szCs w:val="20"/>
                <w:highlight w:val="none"/>
                <w:u w:val="none"/>
              </w:rPr>
            </w:pPr>
          </w:p>
        </w:tc>
      </w:tr>
      <w:tr w14:paraId="03EE1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3BDD84">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4530A">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(3)出现问题时，处理问题及时性较差，售后服务能力较差。</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92D4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B62420">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0AA2D1">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52659A">
            <w:pPr>
              <w:jc w:val="center"/>
              <w:rPr>
                <w:rFonts w:hint="eastAsia" w:ascii="宋体" w:hAnsi="宋体" w:eastAsia="宋体" w:cs="宋体"/>
                <w:i w:val="0"/>
                <w:iCs w:val="0"/>
                <w:color w:val="auto"/>
                <w:sz w:val="20"/>
                <w:szCs w:val="20"/>
                <w:highlight w:val="none"/>
                <w:u w:val="none"/>
              </w:rPr>
            </w:pPr>
          </w:p>
        </w:tc>
      </w:tr>
      <w:tr w14:paraId="61C4C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2C806C">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综合得分</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A577E">
            <w:pPr>
              <w:jc w:val="center"/>
              <w:rPr>
                <w:rFonts w:hint="eastAsia" w:ascii="宋体" w:hAnsi="宋体" w:eastAsia="宋体" w:cs="宋体"/>
                <w:i w:val="0"/>
                <w:iCs w:val="0"/>
                <w:color w:val="auto"/>
                <w:sz w:val="20"/>
                <w:szCs w:val="20"/>
                <w:highlight w:val="none"/>
                <w:u w:val="none"/>
              </w:rPr>
            </w:pP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06AB4">
            <w:pPr>
              <w:jc w:val="center"/>
              <w:rPr>
                <w:rFonts w:hint="eastAsia" w:ascii="宋体" w:hAnsi="宋体" w:eastAsia="宋体" w:cs="宋体"/>
                <w:i w:val="0"/>
                <w:iCs w:val="0"/>
                <w:color w:val="auto"/>
                <w:sz w:val="20"/>
                <w:szCs w:val="20"/>
                <w:highlight w:val="none"/>
                <w:u w:val="none"/>
              </w:rPr>
            </w:pP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EDFD6">
            <w:pPr>
              <w:jc w:val="center"/>
              <w:rPr>
                <w:rFonts w:hint="eastAsia" w:ascii="宋体" w:hAnsi="宋体" w:eastAsia="宋体" w:cs="宋体"/>
                <w:i w:val="0"/>
                <w:iCs w:val="0"/>
                <w:color w:val="auto"/>
                <w:sz w:val="20"/>
                <w:szCs w:val="20"/>
                <w:highlight w:val="none"/>
                <w:u w:val="none"/>
              </w:rPr>
            </w:pPr>
          </w:p>
        </w:tc>
      </w:tr>
      <w:tr w14:paraId="6FE4E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84"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BC2F3C">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评分人员签名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9152C">
            <w:pPr>
              <w:jc w:val="center"/>
              <w:rPr>
                <w:rFonts w:hint="eastAsia" w:ascii="宋体" w:hAnsi="宋体" w:eastAsia="宋体" w:cs="宋体"/>
                <w:i w:val="0"/>
                <w:iCs w:val="0"/>
                <w:color w:val="auto"/>
                <w:sz w:val="20"/>
                <w:szCs w:val="20"/>
                <w:highlight w:val="none"/>
                <w:u w:val="none"/>
              </w:rPr>
            </w:pP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AC602">
            <w:pPr>
              <w:jc w:val="center"/>
              <w:rPr>
                <w:rFonts w:hint="eastAsia" w:ascii="宋体" w:hAnsi="宋体" w:eastAsia="宋体" w:cs="宋体"/>
                <w:i w:val="0"/>
                <w:iCs w:val="0"/>
                <w:color w:val="auto"/>
                <w:sz w:val="20"/>
                <w:szCs w:val="20"/>
                <w:highlight w:val="none"/>
                <w:u w:val="none"/>
              </w:rPr>
            </w:pP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1ECCF">
            <w:pPr>
              <w:jc w:val="center"/>
              <w:rPr>
                <w:rFonts w:hint="eastAsia" w:ascii="宋体" w:hAnsi="宋体" w:eastAsia="宋体" w:cs="宋体"/>
                <w:i w:val="0"/>
                <w:iCs w:val="0"/>
                <w:color w:val="auto"/>
                <w:sz w:val="20"/>
                <w:szCs w:val="20"/>
                <w:highlight w:val="none"/>
                <w:u w:val="none"/>
              </w:rPr>
            </w:pPr>
          </w:p>
        </w:tc>
      </w:tr>
      <w:tr w14:paraId="3C2D2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9CCC53">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总分</w:t>
            </w: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748DCA">
            <w:pPr>
              <w:jc w:val="center"/>
              <w:rPr>
                <w:rFonts w:hint="eastAsia" w:ascii="宋体" w:hAnsi="宋体" w:eastAsia="宋体" w:cs="宋体"/>
                <w:i w:val="0"/>
                <w:iCs w:val="0"/>
                <w:color w:val="auto"/>
                <w:sz w:val="20"/>
                <w:szCs w:val="20"/>
                <w:highlight w:val="none"/>
                <w:u w:val="none"/>
              </w:rPr>
            </w:pPr>
          </w:p>
        </w:tc>
      </w:tr>
      <w:tr w14:paraId="0D1FA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AB4ADE">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结论</w:t>
            </w: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721A97">
            <w:pPr>
              <w:jc w:val="center"/>
              <w:rPr>
                <w:rFonts w:hint="eastAsia" w:ascii="宋体" w:hAnsi="宋体" w:eastAsia="宋体" w:cs="宋体"/>
                <w:i w:val="0"/>
                <w:iCs w:val="0"/>
                <w:color w:val="auto"/>
                <w:sz w:val="20"/>
                <w:szCs w:val="20"/>
                <w:highlight w:val="none"/>
                <w:u w:val="none"/>
              </w:rPr>
            </w:pPr>
          </w:p>
        </w:tc>
      </w:tr>
      <w:tr w14:paraId="0792A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2" w:hRule="atLeast"/>
        </w:trPr>
        <w:tc>
          <w:tcPr>
            <w:tcW w:w="8360" w:type="dxa"/>
            <w:gridSpan w:val="6"/>
            <w:tcBorders>
              <w:top w:val="nil"/>
              <w:left w:val="nil"/>
              <w:bottom w:val="nil"/>
              <w:right w:val="nil"/>
            </w:tcBorders>
            <w:shd w:val="clear" w:color="auto" w:fill="auto"/>
            <w:vAlign w:val="bottom"/>
          </w:tcPr>
          <w:p w14:paraId="30C41B90">
            <w:pPr>
              <w:keepNext w:val="0"/>
              <w:keepLines w:val="0"/>
              <w:widowControl/>
              <w:suppressLineNumbers w:val="0"/>
              <w:jc w:val="left"/>
              <w:textAlignment w:val="bottom"/>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填写说明：此表为供应商评价表，每月考核一次</w:t>
            </w:r>
          </w:p>
          <w:p w14:paraId="42E5A1BD">
            <w:pPr>
              <w:keepNext w:val="0"/>
              <w:keepLines w:val="0"/>
              <w:widowControl/>
              <w:suppressLineNumbers w:val="0"/>
              <w:jc w:val="left"/>
              <w:textAlignment w:val="bottom"/>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评价结论：</w:t>
            </w:r>
          </w:p>
          <w:p w14:paraId="72D53FDD">
            <w:pPr>
              <w:keepNext w:val="0"/>
              <w:keepLines w:val="0"/>
              <w:widowControl/>
              <w:suppressLineNumbers w:val="0"/>
              <w:jc w:val="left"/>
              <w:textAlignment w:val="bottom"/>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1、分数≥90分，结论:优秀，继续合作。</w:t>
            </w:r>
          </w:p>
          <w:p w14:paraId="77205B38">
            <w:pPr>
              <w:keepNext w:val="0"/>
              <w:keepLines w:val="0"/>
              <w:widowControl/>
              <w:suppressLineNumbers w:val="0"/>
              <w:jc w:val="left"/>
              <w:textAlignment w:val="bottom"/>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2、90分&gt;分数≥80分，结论:继续合作，问题点限时整改，</w:t>
            </w:r>
          </w:p>
          <w:p w14:paraId="327B1C30">
            <w:pPr>
              <w:keepNext w:val="0"/>
              <w:keepLines w:val="0"/>
              <w:widowControl/>
              <w:suppressLineNumbers w:val="0"/>
              <w:jc w:val="left"/>
              <w:textAlignment w:val="bottom"/>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3、80分&gt;分数≥</w:t>
            </w:r>
            <w:r>
              <w:rPr>
                <w:rFonts w:hint="eastAsia" w:ascii="宋体" w:hAnsi="宋体" w:cs="宋体"/>
                <w:i w:val="0"/>
                <w:iCs w:val="0"/>
                <w:color w:val="auto"/>
                <w:kern w:val="0"/>
                <w:sz w:val="20"/>
                <w:szCs w:val="20"/>
                <w:highlight w:val="none"/>
                <w:u w:val="none"/>
                <w:lang w:val="en-US" w:eastAsia="zh-CN" w:bidi="ar"/>
              </w:rPr>
              <w:t>7</w:t>
            </w:r>
            <w:r>
              <w:rPr>
                <w:rFonts w:hint="eastAsia" w:ascii="宋体" w:hAnsi="宋体" w:eastAsia="宋体" w:cs="宋体"/>
                <w:i w:val="0"/>
                <w:iCs w:val="0"/>
                <w:color w:val="auto"/>
                <w:kern w:val="0"/>
                <w:sz w:val="20"/>
                <w:szCs w:val="20"/>
                <w:highlight w:val="none"/>
                <w:u w:val="none"/>
                <w:lang w:val="en-US" w:eastAsia="zh-CN" w:bidi="ar"/>
              </w:rPr>
              <w:t>0分，结论:考核扣款并继续合作，问题点限时整改，每低</w:t>
            </w:r>
            <w:r>
              <w:rPr>
                <w:rFonts w:hint="eastAsia" w:ascii="宋体" w:hAnsi="宋体" w:cs="宋体"/>
                <w:i w:val="0"/>
                <w:iCs w:val="0"/>
                <w:color w:val="auto"/>
                <w:kern w:val="0"/>
                <w:sz w:val="20"/>
                <w:szCs w:val="20"/>
                <w:highlight w:val="none"/>
                <w:u w:val="none"/>
                <w:lang w:val="en-US" w:eastAsia="zh-CN" w:bidi="ar"/>
              </w:rPr>
              <w:t>于80分</w:t>
            </w:r>
            <w:r>
              <w:rPr>
                <w:rFonts w:hint="eastAsia" w:ascii="宋体" w:hAnsi="宋体" w:eastAsia="宋体" w:cs="宋体"/>
                <w:i w:val="0"/>
                <w:iCs w:val="0"/>
                <w:color w:val="auto"/>
                <w:kern w:val="0"/>
                <w:sz w:val="20"/>
                <w:szCs w:val="20"/>
                <w:highlight w:val="none"/>
                <w:u w:val="none"/>
                <w:lang w:val="en-US" w:eastAsia="zh-CN" w:bidi="ar"/>
              </w:rPr>
              <w:t>1分</w:t>
            </w:r>
            <w:r>
              <w:rPr>
                <w:rFonts w:hint="eastAsia" w:ascii="宋体" w:hAnsi="宋体" w:cs="宋体"/>
                <w:i w:val="0"/>
                <w:iCs w:val="0"/>
                <w:color w:val="auto"/>
                <w:kern w:val="0"/>
                <w:sz w:val="20"/>
                <w:szCs w:val="20"/>
                <w:highlight w:val="none"/>
                <w:u w:val="none"/>
                <w:lang w:val="en-US" w:eastAsia="zh-CN" w:bidi="ar"/>
              </w:rPr>
              <w:t>，</w:t>
            </w:r>
            <w:r>
              <w:rPr>
                <w:rFonts w:hint="eastAsia" w:ascii="宋体" w:hAnsi="宋体" w:eastAsia="宋体" w:cs="宋体"/>
                <w:i w:val="0"/>
                <w:iCs w:val="0"/>
                <w:color w:val="auto"/>
                <w:kern w:val="0"/>
                <w:sz w:val="20"/>
                <w:szCs w:val="20"/>
                <w:highlight w:val="none"/>
                <w:u w:val="none"/>
                <w:lang w:val="en-US" w:eastAsia="zh-CN" w:bidi="ar"/>
              </w:rPr>
              <w:t>扣当月结算金额的千分之</w:t>
            </w:r>
            <w:r>
              <w:rPr>
                <w:rFonts w:hint="eastAsia" w:ascii="宋体" w:hAnsi="宋体" w:cs="宋体"/>
                <w:i w:val="0"/>
                <w:iCs w:val="0"/>
                <w:color w:val="auto"/>
                <w:kern w:val="0"/>
                <w:sz w:val="20"/>
                <w:szCs w:val="20"/>
                <w:highlight w:val="none"/>
                <w:u w:val="none"/>
                <w:lang w:val="en-US" w:eastAsia="zh-CN" w:bidi="ar"/>
              </w:rPr>
              <w:t>一</w:t>
            </w:r>
            <w:r>
              <w:rPr>
                <w:rFonts w:hint="eastAsia" w:ascii="宋体" w:hAnsi="宋体" w:eastAsia="宋体" w:cs="宋体"/>
                <w:i w:val="0"/>
                <w:iCs w:val="0"/>
                <w:color w:val="auto"/>
                <w:kern w:val="0"/>
                <w:sz w:val="20"/>
                <w:szCs w:val="20"/>
                <w:highlight w:val="none"/>
                <w:u w:val="none"/>
                <w:lang w:val="en-US" w:eastAsia="zh-CN" w:bidi="ar"/>
              </w:rPr>
              <w:t>。</w:t>
            </w:r>
          </w:p>
          <w:p w14:paraId="7AEA05F8">
            <w:pPr>
              <w:keepNext w:val="0"/>
              <w:keepLines w:val="0"/>
              <w:widowControl/>
              <w:suppressLineNumbers w:val="0"/>
              <w:jc w:val="left"/>
              <w:textAlignment w:val="bottom"/>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4、7</w:t>
            </w:r>
            <w:r>
              <w:rPr>
                <w:rFonts w:hint="eastAsia" w:ascii="宋体" w:hAnsi="宋体" w:eastAsia="宋体" w:cs="宋体"/>
                <w:i w:val="0"/>
                <w:iCs w:val="0"/>
                <w:color w:val="auto"/>
                <w:kern w:val="0"/>
                <w:sz w:val="20"/>
                <w:szCs w:val="20"/>
                <w:highlight w:val="none"/>
                <w:u w:val="none"/>
                <w:lang w:val="en-US" w:eastAsia="zh-CN" w:bidi="ar"/>
              </w:rPr>
              <w:t>0分&gt;分数≥</w:t>
            </w: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0分，结论:考核扣款并继续合作，问题点限时整改，每低</w:t>
            </w:r>
            <w:r>
              <w:rPr>
                <w:rFonts w:hint="eastAsia" w:ascii="宋体" w:hAnsi="宋体" w:cs="宋体"/>
                <w:i w:val="0"/>
                <w:iCs w:val="0"/>
                <w:color w:val="auto"/>
                <w:kern w:val="0"/>
                <w:sz w:val="20"/>
                <w:szCs w:val="20"/>
                <w:highlight w:val="none"/>
                <w:u w:val="none"/>
                <w:lang w:val="en-US" w:eastAsia="zh-CN" w:bidi="ar"/>
              </w:rPr>
              <w:t>于80分</w:t>
            </w:r>
            <w:r>
              <w:rPr>
                <w:rFonts w:hint="eastAsia" w:ascii="宋体" w:hAnsi="宋体" w:eastAsia="宋体" w:cs="宋体"/>
                <w:i w:val="0"/>
                <w:iCs w:val="0"/>
                <w:color w:val="auto"/>
                <w:kern w:val="0"/>
                <w:sz w:val="20"/>
                <w:szCs w:val="20"/>
                <w:highlight w:val="none"/>
                <w:u w:val="none"/>
                <w:lang w:val="en-US" w:eastAsia="zh-CN" w:bidi="ar"/>
              </w:rPr>
              <w:t>1分</w:t>
            </w:r>
            <w:r>
              <w:rPr>
                <w:rFonts w:hint="eastAsia" w:ascii="宋体" w:hAnsi="宋体" w:cs="宋体"/>
                <w:i w:val="0"/>
                <w:iCs w:val="0"/>
                <w:color w:val="auto"/>
                <w:kern w:val="0"/>
                <w:sz w:val="20"/>
                <w:szCs w:val="20"/>
                <w:highlight w:val="none"/>
                <w:u w:val="none"/>
                <w:lang w:val="en-US" w:eastAsia="zh-CN" w:bidi="ar"/>
              </w:rPr>
              <w:t>，</w:t>
            </w:r>
            <w:r>
              <w:rPr>
                <w:rFonts w:hint="eastAsia" w:ascii="宋体" w:hAnsi="宋体" w:eastAsia="宋体" w:cs="宋体"/>
                <w:i w:val="0"/>
                <w:iCs w:val="0"/>
                <w:color w:val="auto"/>
                <w:kern w:val="0"/>
                <w:sz w:val="20"/>
                <w:szCs w:val="20"/>
                <w:highlight w:val="none"/>
                <w:u w:val="none"/>
                <w:lang w:val="en-US" w:eastAsia="zh-CN" w:bidi="ar"/>
              </w:rPr>
              <w:t>扣当月结算金额的千分之二。</w:t>
            </w:r>
          </w:p>
          <w:p w14:paraId="44E4AFA8">
            <w:pPr>
              <w:keepNext w:val="0"/>
              <w:keepLines w:val="0"/>
              <w:widowControl/>
              <w:suppressLineNumbers w:val="0"/>
              <w:jc w:val="left"/>
              <w:textAlignment w:val="bottom"/>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5</w:t>
            </w:r>
            <w:r>
              <w:rPr>
                <w:rFonts w:hint="eastAsia" w:ascii="宋体" w:hAnsi="宋体" w:eastAsia="宋体" w:cs="宋体"/>
                <w:i w:val="0"/>
                <w:iCs w:val="0"/>
                <w:color w:val="auto"/>
                <w:kern w:val="0"/>
                <w:sz w:val="20"/>
                <w:szCs w:val="20"/>
                <w:highlight w:val="none"/>
                <w:u w:val="none"/>
                <w:lang w:val="en-US" w:eastAsia="zh-CN" w:bidi="ar"/>
              </w:rPr>
              <w:t>、60分&gt;分数，或出现重大质量问题，结论:不合格，甲方有权解除合同，停止合作。</w:t>
            </w:r>
          </w:p>
        </w:tc>
      </w:tr>
    </w:tbl>
    <w:p w14:paraId="58836BB3">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2D9A3684">
      <w:pPr>
        <w:jc w:val="center"/>
        <w:outlineLvl w:val="3"/>
        <w:rPr>
          <w:rFonts w:hint="default" w:asciiTheme="majorEastAsia" w:hAnsiTheme="majorEastAsia" w:eastAsiaTheme="majorEastAsia"/>
          <w:b/>
          <w:color w:val="auto"/>
          <w:szCs w:val="21"/>
          <w:highlight w:val="none"/>
          <w:lang w:val="en-US" w:eastAsia="zh-CN"/>
        </w:rPr>
      </w:pPr>
      <w:bookmarkStart w:id="18" w:name="_Toc18998"/>
      <w:bookmarkStart w:id="19" w:name="_Toc4311"/>
      <w:r>
        <w:rPr>
          <w:rFonts w:hint="eastAsia" w:asciiTheme="majorEastAsia" w:hAnsiTheme="majorEastAsia" w:eastAsiaTheme="majorEastAsia"/>
          <w:b/>
          <w:color w:val="auto"/>
          <w:szCs w:val="21"/>
          <w:highlight w:val="none"/>
          <w:lang w:val="en-US" w:eastAsia="zh-CN"/>
        </w:rPr>
        <w:t>以下内容适用包B</w:t>
      </w:r>
    </w:p>
    <w:p w14:paraId="5A23232B">
      <w:pPr>
        <w:jc w:val="center"/>
        <w:outlineLvl w:val="3"/>
        <w:rPr>
          <w:rFonts w:asciiTheme="majorEastAsia" w:hAnsiTheme="majorEastAsia" w:eastAsiaTheme="majorEastAsia"/>
          <w:b/>
          <w:color w:val="auto"/>
          <w:szCs w:val="21"/>
          <w:highlight w:val="none"/>
        </w:rPr>
      </w:pPr>
      <w:r>
        <w:rPr>
          <w:rFonts w:hint="eastAsia" w:asciiTheme="majorEastAsia" w:hAnsiTheme="majorEastAsia" w:eastAsiaTheme="majorEastAsia"/>
          <w:b/>
          <w:color w:val="auto"/>
          <w:szCs w:val="21"/>
          <w:highlight w:val="none"/>
        </w:rPr>
        <w:t>第一章 商务需求书</w:t>
      </w:r>
      <w:bookmarkEnd w:id="18"/>
    </w:p>
    <w:tbl>
      <w:tblPr>
        <w:tblStyle w:val="30"/>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35"/>
        <w:gridCol w:w="1221"/>
        <w:gridCol w:w="6666"/>
      </w:tblGrid>
      <w:tr w14:paraId="25DB0E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3" w:type="pct"/>
            <w:vAlign w:val="center"/>
          </w:tcPr>
          <w:p w14:paraId="358AEB0C">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cs="宋体" w:asciiTheme="majorEastAsia" w:hAnsiTheme="majorEastAsia" w:eastAsiaTheme="majorEastAsia"/>
                <w:color w:val="auto"/>
                <w:szCs w:val="21"/>
                <w:highlight w:val="none"/>
              </w:rPr>
            </w:pPr>
            <w:r>
              <w:rPr>
                <w:rFonts w:hint="eastAsia" w:cs="宋体" w:asciiTheme="majorEastAsia" w:hAnsiTheme="majorEastAsia" w:eastAsiaTheme="majorEastAsia"/>
                <w:color w:val="auto"/>
                <w:szCs w:val="21"/>
                <w:highlight w:val="none"/>
              </w:rPr>
              <w:t>序号</w:t>
            </w:r>
          </w:p>
        </w:tc>
        <w:tc>
          <w:tcPr>
            <w:tcW w:w="716" w:type="pct"/>
            <w:vAlign w:val="center"/>
          </w:tcPr>
          <w:p w14:paraId="5008A381">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cs="宋体" w:asciiTheme="majorEastAsia" w:hAnsiTheme="majorEastAsia" w:eastAsiaTheme="majorEastAsia"/>
                <w:color w:val="auto"/>
                <w:szCs w:val="21"/>
                <w:highlight w:val="none"/>
              </w:rPr>
            </w:pPr>
            <w:r>
              <w:rPr>
                <w:rFonts w:hint="eastAsia" w:cs="宋体" w:asciiTheme="majorEastAsia" w:hAnsiTheme="majorEastAsia" w:eastAsiaTheme="majorEastAsia"/>
                <w:color w:val="auto"/>
                <w:szCs w:val="21"/>
                <w:highlight w:val="none"/>
              </w:rPr>
              <w:t>条款名称</w:t>
            </w:r>
          </w:p>
        </w:tc>
        <w:tc>
          <w:tcPr>
            <w:tcW w:w="3910" w:type="pct"/>
            <w:vAlign w:val="center"/>
          </w:tcPr>
          <w:p w14:paraId="13F7AD03">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cs="宋体" w:asciiTheme="majorEastAsia" w:hAnsiTheme="majorEastAsia" w:eastAsiaTheme="majorEastAsia"/>
                <w:color w:val="auto"/>
                <w:szCs w:val="21"/>
                <w:highlight w:val="none"/>
              </w:rPr>
            </w:pPr>
            <w:r>
              <w:rPr>
                <w:rFonts w:hint="eastAsia" w:cs="宋体" w:asciiTheme="majorEastAsia" w:hAnsiTheme="majorEastAsia" w:eastAsiaTheme="majorEastAsia"/>
                <w:color w:val="auto"/>
                <w:szCs w:val="21"/>
                <w:highlight w:val="none"/>
              </w:rPr>
              <w:t>说  明</w:t>
            </w:r>
          </w:p>
        </w:tc>
      </w:tr>
      <w:tr w14:paraId="1DE65C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3" w:type="pct"/>
            <w:vAlign w:val="center"/>
          </w:tcPr>
          <w:p w14:paraId="21137373">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cs="宋体" w:asciiTheme="majorEastAsia" w:hAnsiTheme="majorEastAsia" w:eastAsiaTheme="majorEastAsia"/>
                <w:color w:val="auto"/>
                <w:szCs w:val="21"/>
                <w:highlight w:val="none"/>
              </w:rPr>
            </w:pPr>
            <w:r>
              <w:rPr>
                <w:rFonts w:hint="eastAsia" w:cs="宋体" w:asciiTheme="majorEastAsia" w:hAnsiTheme="majorEastAsia" w:eastAsiaTheme="majorEastAsia"/>
                <w:color w:val="auto"/>
                <w:szCs w:val="21"/>
                <w:highlight w:val="none"/>
              </w:rPr>
              <w:t>1</w:t>
            </w:r>
          </w:p>
        </w:tc>
        <w:tc>
          <w:tcPr>
            <w:tcW w:w="716" w:type="pct"/>
            <w:vAlign w:val="center"/>
          </w:tcPr>
          <w:p w14:paraId="26243C63">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cs="宋体" w:asciiTheme="majorEastAsia" w:hAnsiTheme="majorEastAsia" w:eastAsiaTheme="majorEastAsia"/>
                <w:color w:val="auto"/>
                <w:szCs w:val="21"/>
                <w:highlight w:val="none"/>
              </w:rPr>
            </w:pPr>
            <w:r>
              <w:rPr>
                <w:rFonts w:hint="eastAsia" w:cs="宋体" w:asciiTheme="majorEastAsia" w:hAnsiTheme="majorEastAsia" w:eastAsiaTheme="majorEastAsia"/>
                <w:color w:val="auto"/>
                <w:szCs w:val="21"/>
                <w:highlight w:val="none"/>
              </w:rPr>
              <w:t>合格投标人</w:t>
            </w:r>
          </w:p>
        </w:tc>
        <w:tc>
          <w:tcPr>
            <w:tcW w:w="3910" w:type="pct"/>
            <w:vAlign w:val="center"/>
          </w:tcPr>
          <w:p w14:paraId="37E5E292">
            <w:pPr>
              <w:keepNext w:val="0"/>
              <w:keepLines w:val="0"/>
              <w:pageBreakBefore w:val="0"/>
              <w:widowControl/>
              <w:kinsoku/>
              <w:wordWrap/>
              <w:overflowPunct/>
              <w:topLinePunct w:val="0"/>
              <w:autoSpaceDE/>
              <w:autoSpaceDN/>
              <w:bidi w:val="0"/>
              <w:adjustRightInd w:val="0"/>
              <w:snapToGrid w:val="0"/>
              <w:spacing w:line="360" w:lineRule="auto"/>
              <w:textAlignment w:val="auto"/>
              <w:rPr>
                <w:rFonts w:cs="宋体" w:asciiTheme="majorEastAsia" w:hAnsiTheme="majorEastAsia" w:eastAsiaTheme="majorEastAsia"/>
                <w:bCs/>
                <w:color w:val="auto"/>
                <w:kern w:val="44"/>
                <w:szCs w:val="21"/>
                <w:highlight w:val="none"/>
              </w:rPr>
            </w:pPr>
            <w:r>
              <w:rPr>
                <w:rFonts w:hint="eastAsia" w:cs="宋体" w:asciiTheme="majorEastAsia" w:hAnsiTheme="majorEastAsia" w:eastAsiaTheme="majorEastAsia"/>
                <w:color w:val="auto"/>
                <w:szCs w:val="21"/>
                <w:highlight w:val="none"/>
              </w:rPr>
              <w:t>详见“第一部分 投标邀请”中“二、投标人资格要求”</w:t>
            </w:r>
          </w:p>
        </w:tc>
      </w:tr>
      <w:tr w14:paraId="05F991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2" w:hRule="atLeast"/>
        </w:trPr>
        <w:tc>
          <w:tcPr>
            <w:tcW w:w="373" w:type="pct"/>
            <w:vAlign w:val="center"/>
          </w:tcPr>
          <w:p w14:paraId="589664E2">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cs="宋体" w:asciiTheme="majorEastAsia" w:hAnsiTheme="majorEastAsia" w:eastAsiaTheme="majorEastAsia"/>
                <w:color w:val="auto"/>
                <w:szCs w:val="21"/>
                <w:highlight w:val="none"/>
                <w:lang w:val="en-US" w:eastAsia="zh-CN"/>
              </w:rPr>
            </w:pPr>
            <w:r>
              <w:rPr>
                <w:rFonts w:hint="eastAsia" w:cs="宋体" w:asciiTheme="majorEastAsia" w:hAnsiTheme="majorEastAsia" w:eastAsiaTheme="majorEastAsia"/>
                <w:color w:val="auto"/>
                <w:szCs w:val="21"/>
                <w:highlight w:val="none"/>
                <w:lang w:val="en-US" w:eastAsia="zh-CN"/>
              </w:rPr>
              <w:t>2</w:t>
            </w:r>
          </w:p>
        </w:tc>
        <w:tc>
          <w:tcPr>
            <w:tcW w:w="716" w:type="pct"/>
            <w:vAlign w:val="center"/>
          </w:tcPr>
          <w:p w14:paraId="04FCAAC6">
            <w:pPr>
              <w:jc w:val="center"/>
              <w:rPr>
                <w:rFonts w:hint="eastAsia" w:cs="宋体" w:asciiTheme="majorEastAsia" w:hAnsiTheme="majorEastAsia" w:eastAsiaTheme="majorEastAsia"/>
                <w:color w:val="auto"/>
                <w:szCs w:val="21"/>
                <w:highlight w:val="none"/>
              </w:rPr>
            </w:pPr>
            <w:r>
              <w:rPr>
                <w:rFonts w:hint="eastAsia" w:ascii="宋体" w:hAnsi="宋体" w:eastAsia="宋体" w:cs="宋体"/>
                <w:color w:val="auto"/>
                <w:sz w:val="21"/>
                <w:szCs w:val="21"/>
                <w:highlight w:val="none"/>
              </w:rPr>
              <w:t>★服务期</w:t>
            </w:r>
          </w:p>
        </w:tc>
        <w:tc>
          <w:tcPr>
            <w:tcW w:w="3910" w:type="pct"/>
            <w:vAlign w:val="center"/>
          </w:tcPr>
          <w:p w14:paraId="4AED2998">
            <w:pPr>
              <w:rPr>
                <w:rFonts w:hint="eastAsia" w:asciiTheme="majorEastAsia" w:hAnsiTheme="majorEastAsia" w:eastAsiaTheme="majorEastAsia"/>
                <w:color w:val="auto"/>
                <w:szCs w:val="21"/>
                <w:highlight w:val="none"/>
              </w:rPr>
            </w:pPr>
            <w:r>
              <w:rPr>
                <w:rFonts w:hint="eastAsia" w:ascii="宋体" w:hAnsi="宋体" w:cs="宋体"/>
                <w:color w:val="auto"/>
                <w:szCs w:val="21"/>
                <w:highlight w:val="none"/>
              </w:rPr>
              <w:t>24个月（本项目按实际发生量结算，</w:t>
            </w:r>
            <w:r>
              <w:rPr>
                <w:rFonts w:hint="eastAsia" w:ascii="宋体" w:hAnsi="宋体" w:cs="宋体"/>
                <w:color w:val="auto"/>
                <w:szCs w:val="21"/>
                <w:highlight w:val="none"/>
                <w:lang w:val="en-US" w:eastAsia="zh-CN"/>
              </w:rPr>
              <w:t>若</w:t>
            </w:r>
            <w:r>
              <w:rPr>
                <w:rFonts w:hint="eastAsia" w:ascii="宋体" w:hAnsi="宋体" w:cs="宋体"/>
                <w:color w:val="auto"/>
                <w:szCs w:val="21"/>
                <w:highlight w:val="none"/>
              </w:rPr>
              <w:t>合同期</w:t>
            </w:r>
            <w:r>
              <w:rPr>
                <w:rFonts w:hint="eastAsia" w:ascii="宋体" w:hAnsi="宋体" w:cs="宋体"/>
                <w:color w:val="auto"/>
                <w:szCs w:val="21"/>
                <w:highlight w:val="none"/>
                <w:lang w:val="en-US" w:eastAsia="zh-CN"/>
              </w:rPr>
              <w:t>内</w:t>
            </w:r>
            <w:r>
              <w:rPr>
                <w:rFonts w:hint="eastAsia" w:ascii="宋体" w:hAnsi="宋体" w:cs="宋体"/>
                <w:color w:val="auto"/>
                <w:szCs w:val="21"/>
                <w:highlight w:val="none"/>
              </w:rPr>
              <w:t>结算金额达到</w:t>
            </w:r>
            <w:r>
              <w:rPr>
                <w:rFonts w:hint="eastAsia" w:ascii="宋体" w:hAnsi="宋体" w:cs="宋体"/>
                <w:color w:val="auto"/>
                <w:szCs w:val="21"/>
                <w:highlight w:val="none"/>
                <w:lang w:val="en-US" w:eastAsia="zh-CN"/>
              </w:rPr>
              <w:t>合同总额</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则</w:t>
            </w:r>
            <w:r>
              <w:rPr>
                <w:rFonts w:hint="eastAsia" w:ascii="宋体" w:hAnsi="宋体" w:cs="宋体"/>
                <w:color w:val="auto"/>
                <w:szCs w:val="21"/>
                <w:highlight w:val="none"/>
              </w:rPr>
              <w:t>本项目合同终止。）</w:t>
            </w:r>
          </w:p>
        </w:tc>
      </w:tr>
      <w:tr w14:paraId="3EB66E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2" w:hRule="atLeast"/>
        </w:trPr>
        <w:tc>
          <w:tcPr>
            <w:tcW w:w="373" w:type="pct"/>
            <w:vAlign w:val="center"/>
          </w:tcPr>
          <w:p w14:paraId="0E25C681">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cs="宋体" w:asciiTheme="majorEastAsia" w:hAnsiTheme="majorEastAsia" w:eastAsiaTheme="majorEastAsia"/>
                <w:color w:val="auto"/>
                <w:szCs w:val="21"/>
                <w:highlight w:val="none"/>
                <w:lang w:eastAsia="zh-CN"/>
              </w:rPr>
            </w:pPr>
            <w:r>
              <w:rPr>
                <w:rFonts w:hint="eastAsia" w:cs="宋体" w:asciiTheme="majorEastAsia" w:hAnsiTheme="majorEastAsia" w:eastAsiaTheme="majorEastAsia"/>
                <w:color w:val="auto"/>
                <w:szCs w:val="21"/>
                <w:highlight w:val="none"/>
                <w:lang w:val="en-US" w:eastAsia="zh-CN"/>
              </w:rPr>
              <w:t>3</w:t>
            </w:r>
          </w:p>
        </w:tc>
        <w:tc>
          <w:tcPr>
            <w:tcW w:w="716" w:type="pct"/>
            <w:vAlign w:val="center"/>
          </w:tcPr>
          <w:p w14:paraId="38DDA3BD">
            <w:pPr>
              <w:jc w:val="center"/>
              <w:rPr>
                <w:rFonts w:cs="宋体" w:asciiTheme="majorEastAsia" w:hAnsiTheme="majorEastAsia" w:eastAsiaTheme="majorEastAsia"/>
                <w:color w:val="auto"/>
                <w:szCs w:val="21"/>
                <w:highlight w:val="none"/>
              </w:rPr>
            </w:pPr>
            <w:r>
              <w:rPr>
                <w:rFonts w:hint="eastAsia" w:ascii="宋体" w:hAnsi="宋体" w:eastAsia="宋体" w:cs="宋体"/>
                <w:color w:val="auto"/>
                <w:sz w:val="21"/>
                <w:szCs w:val="21"/>
                <w:highlight w:val="none"/>
              </w:rPr>
              <w:t>★付款方式</w:t>
            </w:r>
          </w:p>
        </w:tc>
        <w:tc>
          <w:tcPr>
            <w:tcW w:w="3910" w:type="pct"/>
            <w:vAlign w:val="center"/>
          </w:tcPr>
          <w:p w14:paraId="4AF34F4A">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1、本合同的付款方式为：采取“先送货后结款”的方式，货款按月进行考核</w:t>
            </w:r>
            <w:r>
              <w:rPr>
                <w:rFonts w:hint="eastAsia" w:ascii="宋体" w:hAnsi="宋体" w:cs="宋体"/>
                <w:color w:val="auto"/>
                <w:sz w:val="21"/>
                <w:szCs w:val="21"/>
                <w:highlight w:val="none"/>
                <w:lang w:val="en-US" w:eastAsia="zh-CN"/>
              </w:rPr>
              <w:t>核</w:t>
            </w:r>
            <w:r>
              <w:rPr>
                <w:rFonts w:hint="eastAsia" w:ascii="宋体" w:hAnsi="宋体" w:eastAsia="宋体" w:cs="宋体"/>
                <w:color w:val="auto"/>
                <w:sz w:val="21"/>
                <w:szCs w:val="21"/>
                <w:highlight w:val="none"/>
              </w:rPr>
              <w:t>算，</w:t>
            </w:r>
            <w:r>
              <w:rPr>
                <w:rFonts w:hint="eastAsia" w:ascii="宋体" w:hAnsi="宋体" w:cs="宋体"/>
                <w:color w:val="auto"/>
                <w:szCs w:val="21"/>
                <w:highlight w:val="none"/>
              </w:rPr>
              <w:t>当月含税结算总价 = 当月适用的不含税结算单价 × (1 + 增值税税率) × 当月实际验收合格数量</w:t>
            </w:r>
            <w:r>
              <w:rPr>
                <w:rFonts w:hint="eastAsia" w:ascii="宋体" w:hAnsi="宋体" w:eastAsia="宋体" w:cs="宋体"/>
                <w:color w:val="auto"/>
                <w:sz w:val="21"/>
                <w:szCs w:val="21"/>
                <w:highlight w:val="none"/>
              </w:rPr>
              <w:t xml:space="preserve">。 </w:t>
            </w:r>
          </w:p>
          <w:p w14:paraId="5DEFDAE9">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val="en-US" w:eastAsia="zh-CN"/>
              </w:rPr>
              <w:t>每月结束后，中标人</w:t>
            </w:r>
            <w:r>
              <w:rPr>
                <w:rFonts w:hint="eastAsia" w:ascii="宋体" w:hAnsi="宋体" w:eastAsia="宋体" w:cs="宋体"/>
                <w:color w:val="auto"/>
                <w:sz w:val="21"/>
                <w:szCs w:val="21"/>
                <w:highlight w:val="none"/>
              </w:rPr>
              <w:t>在10</w:t>
            </w:r>
            <w:r>
              <w:rPr>
                <w:rFonts w:hint="eastAsia" w:ascii="宋体" w:hAnsi="宋体" w:cs="宋体"/>
                <w:color w:val="auto"/>
                <w:sz w:val="21"/>
                <w:szCs w:val="21"/>
                <w:highlight w:val="none"/>
                <w:lang w:val="en-US" w:eastAsia="zh-CN"/>
              </w:rPr>
              <w:t>日内</w:t>
            </w:r>
            <w:r>
              <w:rPr>
                <w:rFonts w:hint="eastAsia" w:ascii="宋体" w:hAnsi="宋体" w:eastAsia="宋体" w:cs="宋体"/>
                <w:color w:val="auto"/>
                <w:sz w:val="21"/>
                <w:szCs w:val="21"/>
                <w:highlight w:val="none"/>
              </w:rPr>
              <w:t>根据上月的收货凭证与</w:t>
            </w: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rPr>
              <w:t>对上月货款进行确认结算。</w:t>
            </w:r>
            <w:r>
              <w:rPr>
                <w:rFonts w:hint="eastAsia" w:ascii="宋体" w:hAnsi="宋体" w:cs="宋体"/>
                <w:color w:val="auto"/>
                <w:sz w:val="21"/>
                <w:szCs w:val="21"/>
                <w:highlight w:val="none"/>
                <w:lang w:val="en-US" w:eastAsia="zh-CN"/>
              </w:rPr>
              <w:t>中标人根据实际结算金额，开具符合法律规定和合同约定的增值税专用发票，并与其他请款资料一并提交给采购人，采购人</w:t>
            </w:r>
            <w:r>
              <w:rPr>
                <w:rFonts w:hint="eastAsia" w:ascii="宋体" w:hAnsi="宋体" w:eastAsia="宋体" w:cs="宋体"/>
                <w:color w:val="auto"/>
                <w:sz w:val="21"/>
                <w:szCs w:val="21"/>
                <w:highlight w:val="none"/>
              </w:rPr>
              <w:t>收到</w:t>
            </w:r>
            <w:r>
              <w:rPr>
                <w:rFonts w:hint="eastAsia" w:ascii="宋体" w:hAnsi="宋体" w:cs="宋体"/>
                <w:color w:val="auto"/>
                <w:sz w:val="21"/>
                <w:szCs w:val="21"/>
                <w:highlight w:val="none"/>
                <w:lang w:val="en-US" w:eastAsia="zh-CN"/>
              </w:rPr>
              <w:t>并核对无误</w:t>
            </w:r>
            <w:r>
              <w:rPr>
                <w:rFonts w:hint="eastAsia" w:ascii="宋体" w:hAnsi="宋体" w:eastAsia="宋体" w:cs="宋体"/>
                <w:color w:val="auto"/>
                <w:sz w:val="21"/>
                <w:szCs w:val="21"/>
                <w:highlight w:val="none"/>
              </w:rPr>
              <w:t>后，</w:t>
            </w:r>
            <w:r>
              <w:rPr>
                <w:rFonts w:hint="eastAsia" w:ascii="宋体" w:hAnsi="宋体" w:cs="宋体"/>
                <w:color w:val="auto"/>
                <w:sz w:val="21"/>
                <w:szCs w:val="21"/>
                <w:highlight w:val="none"/>
                <w:lang w:val="en-US" w:eastAsia="zh-CN"/>
              </w:rPr>
              <w:t>20个工作日内以银行转账方式</w:t>
            </w:r>
            <w:r>
              <w:rPr>
                <w:rFonts w:hint="eastAsia" w:ascii="宋体" w:hAnsi="宋体" w:eastAsia="宋体" w:cs="宋体"/>
                <w:color w:val="auto"/>
                <w:sz w:val="21"/>
                <w:szCs w:val="21"/>
                <w:highlight w:val="none"/>
              </w:rPr>
              <w:t>支付货款。</w:t>
            </w:r>
          </w:p>
          <w:p w14:paraId="5DDBD50D">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3、收款方、发票的销售方、合同乙方均必须与</w:t>
            </w:r>
            <w:r>
              <w:rPr>
                <w:rFonts w:hint="eastAsia" w:ascii="宋体" w:hAnsi="宋体" w:cs="宋体"/>
                <w:color w:val="auto"/>
                <w:sz w:val="21"/>
                <w:szCs w:val="21"/>
                <w:highlight w:val="none"/>
                <w:lang w:val="en-US" w:eastAsia="zh-CN"/>
              </w:rPr>
              <w:t>中标人</w:t>
            </w:r>
            <w:r>
              <w:rPr>
                <w:rFonts w:hint="eastAsia" w:ascii="宋体" w:hAnsi="宋体" w:eastAsia="宋体" w:cs="宋体"/>
                <w:color w:val="auto"/>
                <w:sz w:val="21"/>
                <w:szCs w:val="21"/>
                <w:highlight w:val="none"/>
              </w:rPr>
              <w:t>名称一致。</w:t>
            </w:r>
          </w:p>
          <w:p w14:paraId="36DF2693">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4、按照现行税收政策规定，每次付款前，</w:t>
            </w:r>
            <w:r>
              <w:rPr>
                <w:rFonts w:hint="eastAsia" w:ascii="宋体" w:hAnsi="宋体" w:cs="宋体"/>
                <w:color w:val="auto"/>
                <w:sz w:val="21"/>
                <w:szCs w:val="21"/>
                <w:highlight w:val="none"/>
                <w:lang w:val="en-US" w:eastAsia="zh-CN"/>
              </w:rPr>
              <w:t>中标人</w:t>
            </w:r>
            <w:r>
              <w:rPr>
                <w:rFonts w:hint="eastAsia" w:ascii="宋体" w:hAnsi="宋体" w:eastAsia="宋体" w:cs="宋体"/>
                <w:color w:val="auto"/>
                <w:sz w:val="21"/>
                <w:szCs w:val="21"/>
                <w:highlight w:val="none"/>
              </w:rPr>
              <w:t>必须提供合法有效、与本合同总价款条款中增值税税率一致</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税收政策变化导致税率发生变化的除外</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的增值税发票给</w:t>
            </w: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rPr>
              <w:t>，否则采购人有权拒绝付款且不构成违约。</w:t>
            </w:r>
          </w:p>
          <w:p w14:paraId="7127C476">
            <w:pPr>
              <w:rPr>
                <w:rFonts w:hint="default" w:eastAsia="宋体" w:cs="宋体" w:asciiTheme="majorEastAsia" w:hAnsiTheme="majorEastAsia"/>
                <w:color w:val="auto"/>
                <w:szCs w:val="21"/>
                <w:highlight w:val="none"/>
                <w:lang w:val="en-US" w:eastAsia="zh-CN"/>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本项目东莞迎宾馆酒店有限公司仅作为招标单位，中标服务资格商须分别与</w:t>
            </w:r>
            <w:r>
              <w:rPr>
                <w:rFonts w:hint="eastAsia" w:ascii="宋体" w:hAnsi="宋体" w:cs="宋体"/>
                <w:color w:val="auto"/>
                <w:szCs w:val="21"/>
                <w:highlight w:val="none"/>
              </w:rPr>
              <w:t>东莞迎宾馆酒店有限公司</w:t>
            </w:r>
            <w:r>
              <w:rPr>
                <w:rFonts w:hint="eastAsia" w:ascii="宋体" w:hAnsi="宋体" w:cs="宋体"/>
                <w:color w:val="auto"/>
                <w:sz w:val="21"/>
                <w:szCs w:val="21"/>
                <w:highlight w:val="none"/>
                <w:lang w:val="en-US" w:eastAsia="zh-CN"/>
              </w:rPr>
              <w:t>、</w:t>
            </w:r>
            <w:r>
              <w:rPr>
                <w:rFonts w:hint="default" w:ascii="宋体" w:hAnsi="宋体" w:cs="宋体"/>
                <w:color w:val="auto"/>
                <w:szCs w:val="21"/>
                <w:highlight w:val="none"/>
              </w:rPr>
              <w:t>东莞市迎宾馆酒店管理有限公司</w:t>
            </w:r>
            <w:r>
              <w:rPr>
                <w:rFonts w:hint="eastAsia" w:ascii="宋体" w:hAnsi="宋体" w:cs="宋体"/>
                <w:color w:val="auto"/>
                <w:szCs w:val="21"/>
                <w:highlight w:val="none"/>
                <w:lang w:eastAsia="zh-CN"/>
              </w:rPr>
              <w:t>、东莞松湖迎宾里酒店有限公司</w:t>
            </w:r>
            <w:r>
              <w:rPr>
                <w:rFonts w:hint="eastAsia" w:ascii="宋体" w:hAnsi="宋体" w:cs="宋体"/>
                <w:color w:val="auto"/>
                <w:szCs w:val="21"/>
                <w:highlight w:val="none"/>
                <w:lang w:val="en-US" w:eastAsia="zh-CN"/>
              </w:rPr>
              <w:t>及各公司的分公司</w:t>
            </w:r>
            <w:r>
              <w:rPr>
                <w:rFonts w:hint="eastAsia" w:ascii="宋体" w:hAnsi="宋体" w:cs="宋体"/>
                <w:color w:val="auto"/>
                <w:sz w:val="21"/>
                <w:szCs w:val="21"/>
                <w:highlight w:val="none"/>
                <w:lang w:val="en-US" w:eastAsia="zh-CN"/>
              </w:rPr>
              <w:t>按中标价具体签订供货合同并由对应的需求单位支付货款。服务期内采购人有新项目配送需求的，中标单位承诺按按招采文件与相关主体签订供货合同并由对应的需求单位支付货款。</w:t>
            </w:r>
          </w:p>
        </w:tc>
      </w:tr>
      <w:tr w14:paraId="17E283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3" w:type="pct"/>
            <w:vAlign w:val="center"/>
          </w:tcPr>
          <w:p w14:paraId="5F8FDE6D">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cs="宋体" w:asciiTheme="majorEastAsia" w:hAnsiTheme="majorEastAsia" w:eastAsiaTheme="majorEastAsia"/>
                <w:color w:val="auto"/>
                <w:szCs w:val="21"/>
                <w:highlight w:val="none"/>
                <w:lang w:eastAsia="zh-CN"/>
              </w:rPr>
            </w:pPr>
            <w:r>
              <w:rPr>
                <w:rFonts w:hint="eastAsia" w:cs="宋体" w:asciiTheme="majorEastAsia" w:hAnsiTheme="majorEastAsia" w:eastAsiaTheme="majorEastAsia"/>
                <w:color w:val="auto"/>
                <w:szCs w:val="21"/>
                <w:highlight w:val="none"/>
                <w:lang w:val="en-US" w:eastAsia="zh-CN"/>
              </w:rPr>
              <w:t>4</w:t>
            </w:r>
          </w:p>
        </w:tc>
        <w:tc>
          <w:tcPr>
            <w:tcW w:w="716" w:type="pct"/>
            <w:vAlign w:val="center"/>
          </w:tcPr>
          <w:p w14:paraId="1A7C8B95">
            <w:pPr>
              <w:jc w:val="center"/>
              <w:rPr>
                <w:rFonts w:cs="宋体" w:asciiTheme="majorEastAsia" w:hAnsiTheme="majorEastAsia" w:eastAsiaTheme="majorEastAsia"/>
                <w:color w:val="auto"/>
                <w:szCs w:val="21"/>
                <w:highlight w:val="none"/>
              </w:rPr>
            </w:pPr>
            <w:r>
              <w:rPr>
                <w:rFonts w:hint="eastAsia" w:ascii="宋体" w:hAnsi="宋体" w:eastAsia="宋体" w:cs="宋体"/>
                <w:color w:val="auto"/>
                <w:sz w:val="21"/>
                <w:szCs w:val="21"/>
                <w:highlight w:val="none"/>
              </w:rPr>
              <w:t>项目地点</w:t>
            </w:r>
          </w:p>
        </w:tc>
        <w:tc>
          <w:tcPr>
            <w:tcW w:w="3910" w:type="pct"/>
            <w:vAlign w:val="center"/>
          </w:tcPr>
          <w:p w14:paraId="03F7ED8F">
            <w:pPr>
              <w:rPr>
                <w:rFonts w:asciiTheme="majorEastAsia" w:hAnsiTheme="majorEastAsia" w:eastAsiaTheme="majorEastAsia"/>
                <w:b w:val="0"/>
                <w:color w:val="auto"/>
                <w:szCs w:val="21"/>
                <w:highlight w:val="none"/>
              </w:rPr>
            </w:pPr>
            <w:r>
              <w:rPr>
                <w:rFonts w:hint="eastAsia" w:ascii="宋体" w:hAnsi="宋体" w:eastAsia="宋体" w:cs="宋体"/>
                <w:color w:val="auto"/>
                <w:sz w:val="21"/>
                <w:szCs w:val="21"/>
                <w:highlight w:val="none"/>
              </w:rPr>
              <w:t>采购人指定地点</w:t>
            </w:r>
            <w:r>
              <w:rPr>
                <w:rFonts w:hint="eastAsia" w:ascii="宋体" w:hAnsi="宋体" w:cs="宋体"/>
                <w:color w:val="auto"/>
                <w:sz w:val="21"/>
                <w:szCs w:val="21"/>
                <w:highlight w:val="none"/>
                <w:lang w:val="en-US" w:eastAsia="zh-CN"/>
              </w:rPr>
              <w:t>分别为东莞市迎宾馆（地址：东莞市桃源路）；“莞萃园”中餐厅（地址：东莞鸿福路商圈东实C park三楼）；东莞松湖迎宾里酒店有限公司（广东省东莞市松山湖园区博恒二路1号9栋2001室）；</w:t>
            </w:r>
            <w:r>
              <w:rPr>
                <w:rFonts w:hint="eastAsia" w:ascii="宋体" w:hAnsi="宋体" w:cs="宋体"/>
                <w:color w:val="auto"/>
                <w:szCs w:val="21"/>
                <w:highlight w:val="none"/>
                <w:lang w:eastAsia="zh-CN"/>
              </w:rPr>
              <w:t>东莞迎宾馆酒店有限公司松山湖分公司（</w:t>
            </w:r>
            <w:r>
              <w:rPr>
                <w:rFonts w:hint="eastAsia" w:ascii="宋体" w:hAnsi="宋体" w:cs="宋体"/>
                <w:color w:val="auto"/>
                <w:sz w:val="21"/>
                <w:szCs w:val="21"/>
                <w:highlight w:val="none"/>
                <w:lang w:val="en-US" w:eastAsia="zh-CN"/>
              </w:rPr>
              <w:t>东莞市大学路南大湾区大学（松山湖校区）-东门</w:t>
            </w:r>
            <w:r>
              <w:rPr>
                <w:rFonts w:hint="eastAsia" w:ascii="宋体" w:hAnsi="宋体" w:cs="宋体"/>
                <w:color w:val="auto"/>
                <w:szCs w:val="21"/>
                <w:highlight w:val="none"/>
                <w:lang w:eastAsia="zh-CN"/>
              </w:rPr>
              <w:t>）</w:t>
            </w:r>
            <w:r>
              <w:rPr>
                <w:rFonts w:hint="eastAsia" w:ascii="宋体" w:hAnsi="宋体" w:cs="宋体"/>
                <w:color w:val="auto"/>
                <w:sz w:val="21"/>
                <w:szCs w:val="21"/>
                <w:highlight w:val="none"/>
                <w:lang w:val="en-US" w:eastAsia="zh-CN"/>
              </w:rPr>
              <w:t>；</w:t>
            </w:r>
          </w:p>
        </w:tc>
      </w:tr>
      <w:tr w14:paraId="4F4380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3" w:type="pct"/>
            <w:vAlign w:val="center"/>
          </w:tcPr>
          <w:p w14:paraId="772829C8">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cs="宋体" w:asciiTheme="majorEastAsia" w:hAnsiTheme="majorEastAsia" w:eastAsiaTheme="majorEastAsia"/>
                <w:color w:val="auto"/>
                <w:szCs w:val="21"/>
                <w:highlight w:val="none"/>
                <w:lang w:eastAsia="zh-CN"/>
              </w:rPr>
            </w:pPr>
            <w:r>
              <w:rPr>
                <w:rFonts w:hint="eastAsia" w:cs="宋体" w:asciiTheme="majorEastAsia" w:hAnsiTheme="majorEastAsia" w:eastAsiaTheme="majorEastAsia"/>
                <w:color w:val="auto"/>
                <w:szCs w:val="21"/>
                <w:highlight w:val="none"/>
                <w:lang w:val="en-US" w:eastAsia="zh-CN"/>
              </w:rPr>
              <w:t>5</w:t>
            </w:r>
          </w:p>
        </w:tc>
        <w:tc>
          <w:tcPr>
            <w:tcW w:w="716" w:type="pct"/>
            <w:vAlign w:val="center"/>
          </w:tcPr>
          <w:p w14:paraId="1AA4308B">
            <w:pPr>
              <w:jc w:val="center"/>
              <w:rPr>
                <w:rFonts w:cs="宋体" w:asciiTheme="majorEastAsia" w:hAnsiTheme="majorEastAsia" w:eastAsiaTheme="majorEastAsia"/>
                <w:color w:val="auto"/>
                <w:szCs w:val="21"/>
                <w:highlight w:val="none"/>
              </w:rPr>
            </w:pPr>
            <w:r>
              <w:rPr>
                <w:rFonts w:hint="eastAsia" w:ascii="宋体" w:hAnsi="宋体" w:eastAsia="宋体" w:cs="宋体"/>
                <w:color w:val="auto"/>
                <w:sz w:val="21"/>
                <w:szCs w:val="21"/>
                <w:highlight w:val="none"/>
              </w:rPr>
              <w:t>★供货价格要求</w:t>
            </w:r>
          </w:p>
        </w:tc>
        <w:tc>
          <w:tcPr>
            <w:tcW w:w="3910" w:type="pct"/>
            <w:vAlign w:val="center"/>
          </w:tcPr>
          <w:p w14:paraId="140CAE73">
            <w:pPr>
              <w:numPr>
                <w:ilvl w:val="0"/>
                <w:numId w:val="0"/>
              </w:numPr>
              <w:rPr>
                <w:rFonts w:hint="eastAsia" w:ascii="宋体" w:hAnsi="宋体" w:cs="宋体"/>
                <w:color w:val="auto"/>
                <w:szCs w:val="21"/>
                <w:highlight w:val="none"/>
              </w:rPr>
            </w:pPr>
            <w:r>
              <w:rPr>
                <w:rFonts w:hint="eastAsia" w:ascii="宋体" w:hAnsi="宋体" w:eastAsia="宋体" w:cs="宋体"/>
                <w:color w:val="auto"/>
                <w:sz w:val="21"/>
                <w:szCs w:val="21"/>
                <w:highlight w:val="none"/>
                <w:lang w:val="en-US" w:eastAsia="zh-CN" w:bidi="ar-SA"/>
              </w:rPr>
              <w:t>1、</w:t>
            </w:r>
            <w:r>
              <w:rPr>
                <w:rFonts w:hint="eastAsia" w:ascii="宋体" w:hAnsi="宋体" w:cs="宋体"/>
                <w:color w:val="auto"/>
                <w:szCs w:val="21"/>
                <w:highlight w:val="none"/>
              </w:rPr>
              <w:t>本项目的供货价格形式为不含税单价，为采购人指定目的地交货价。包含：购货成本、包装配送运输、保险、装卸、退换、雇员费用、质保期售后服务等所有成本及合理利润，但不包含增值税。合同实施过程中的应预见和不可预见费用已包含在内，采购人将拒绝支付合同约定价格之外的任何费用和补偿。</w:t>
            </w:r>
          </w:p>
          <w:p w14:paraId="54324FA7">
            <w:pPr>
              <w:numPr>
                <w:ilvl w:val="0"/>
                <w:numId w:val="0"/>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cs="宋体"/>
                <w:color w:val="auto"/>
                <w:szCs w:val="21"/>
                <w:highlight w:val="none"/>
              </w:rPr>
              <w:t>中标后，建立价格调整机制</w:t>
            </w:r>
            <w:r>
              <w:rPr>
                <w:rFonts w:hint="eastAsia" w:ascii="宋体" w:hAnsi="宋体" w:cs="宋体"/>
                <w:color w:val="auto"/>
                <w:szCs w:val="21"/>
                <w:highlight w:val="none"/>
                <w:lang w:eastAsia="zh-CN"/>
              </w:rPr>
              <w:t>，</w:t>
            </w:r>
            <w:r>
              <w:rPr>
                <w:rFonts w:hint="eastAsia" w:ascii="宋体" w:hAnsi="宋体" w:cs="宋体"/>
                <w:color w:val="auto"/>
                <w:sz w:val="21"/>
                <w:szCs w:val="21"/>
                <w:highlight w:val="none"/>
                <w:lang w:val="en-US" w:eastAsia="zh-CN"/>
              </w:rPr>
              <w:t>每一年调整一次价格</w:t>
            </w:r>
            <w:r>
              <w:rPr>
                <w:rFonts w:hint="eastAsia" w:ascii="宋体" w:hAnsi="宋体" w:cs="宋体"/>
                <w:color w:val="auto"/>
                <w:szCs w:val="21"/>
                <w:highlight w:val="none"/>
              </w:rPr>
              <w:t>。首个</w:t>
            </w:r>
            <w:r>
              <w:rPr>
                <w:rFonts w:hint="eastAsia" w:ascii="宋体" w:hAnsi="宋体" w:cs="宋体"/>
                <w:color w:val="auto"/>
                <w:szCs w:val="21"/>
                <w:highlight w:val="none"/>
                <w:lang w:val="en-US" w:eastAsia="zh-CN"/>
              </w:rPr>
              <w:t>价格</w:t>
            </w:r>
            <w:r>
              <w:rPr>
                <w:rFonts w:hint="eastAsia" w:ascii="宋体" w:hAnsi="宋体" w:cs="宋体"/>
                <w:color w:val="auto"/>
                <w:szCs w:val="21"/>
                <w:highlight w:val="none"/>
              </w:rPr>
              <w:t>周期的结算单价以中标不含税单价执行。后续每个价格周期</w:t>
            </w:r>
            <w:r>
              <w:rPr>
                <w:rFonts w:hint="eastAsia" w:ascii="宋体" w:hAnsi="宋体" w:cs="宋体"/>
                <w:color w:val="auto"/>
                <w:szCs w:val="21"/>
                <w:highlight w:val="none"/>
                <w:lang w:val="en-US" w:eastAsia="zh-CN"/>
              </w:rPr>
              <w:t>前5个工作日</w:t>
            </w:r>
            <w:r>
              <w:rPr>
                <w:rFonts w:hint="eastAsia" w:ascii="宋体" w:hAnsi="宋体" w:cs="宋体"/>
                <w:color w:val="auto"/>
                <w:szCs w:val="21"/>
                <w:highlight w:val="none"/>
              </w:rPr>
              <w:t>，根据采购人进行的市场零售价抽样调查结果确定新的含税市场基准价</w:t>
            </w:r>
            <w:r>
              <w:rPr>
                <w:rFonts w:hint="eastAsia" w:ascii="宋体" w:hAnsi="宋体" w:cs="宋体"/>
                <w:color w:val="auto"/>
                <w:szCs w:val="21"/>
                <w:highlight w:val="none"/>
                <w:lang w:eastAsia="zh-CN"/>
              </w:rPr>
              <w:t>。</w:t>
            </w:r>
            <w:r>
              <w:rPr>
                <w:rFonts w:hint="eastAsia" w:ascii="宋体" w:hAnsi="宋体" w:cs="宋体"/>
                <w:color w:val="auto"/>
                <w:szCs w:val="21"/>
                <w:highlight w:val="none"/>
              </w:rPr>
              <w:t>除出现市场上价格涨跌幅超过20%的情况外，原则上双方后续每个价格周期</w:t>
            </w:r>
            <w:r>
              <w:rPr>
                <w:rFonts w:hint="eastAsia" w:ascii="宋体" w:hAnsi="宋体" w:cs="宋体"/>
                <w:color w:val="auto"/>
                <w:szCs w:val="21"/>
                <w:highlight w:val="none"/>
                <w:lang w:eastAsia="zh-CN"/>
              </w:rPr>
              <w:t>的</w:t>
            </w:r>
            <w:r>
              <w:rPr>
                <w:rFonts w:hint="eastAsia" w:ascii="宋体" w:hAnsi="宋体" w:cs="宋体"/>
                <w:color w:val="auto"/>
                <w:szCs w:val="21"/>
                <w:highlight w:val="none"/>
              </w:rPr>
              <w:t>结算价</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不含税价</w:t>
            </w:r>
            <w:r>
              <w:rPr>
                <w:rFonts w:hint="eastAsia" w:ascii="宋体" w:hAnsi="宋体" w:cs="宋体"/>
                <w:color w:val="auto"/>
                <w:szCs w:val="21"/>
                <w:highlight w:val="none"/>
                <w:lang w:eastAsia="zh-CN"/>
              </w:rPr>
              <w:t>）</w:t>
            </w:r>
            <w:r>
              <w:rPr>
                <w:rFonts w:hint="eastAsia" w:ascii="宋体" w:hAnsi="宋体" w:cs="宋体"/>
                <w:color w:val="auto"/>
                <w:szCs w:val="21"/>
                <w:highlight w:val="none"/>
              </w:rPr>
              <w:t>不得高于首个</w:t>
            </w:r>
            <w:r>
              <w:rPr>
                <w:rFonts w:hint="eastAsia" w:ascii="宋体" w:hAnsi="宋体" w:cs="宋体"/>
                <w:color w:val="auto"/>
                <w:szCs w:val="21"/>
                <w:highlight w:val="none"/>
                <w:lang w:val="en-US" w:eastAsia="zh-CN"/>
              </w:rPr>
              <w:t>价格</w:t>
            </w:r>
            <w:r>
              <w:rPr>
                <w:rFonts w:hint="eastAsia" w:ascii="宋体" w:hAnsi="宋体" w:cs="宋体"/>
                <w:color w:val="auto"/>
                <w:szCs w:val="21"/>
                <w:highlight w:val="none"/>
              </w:rPr>
              <w:t>周期的结算单价</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不含税价</w:t>
            </w:r>
            <w:r>
              <w:rPr>
                <w:rFonts w:hint="eastAsia" w:ascii="宋体" w:hAnsi="宋体" w:cs="宋体"/>
                <w:color w:val="auto"/>
                <w:szCs w:val="21"/>
                <w:highlight w:val="none"/>
                <w:lang w:eastAsia="zh-CN"/>
              </w:rPr>
              <w:t>）</w:t>
            </w:r>
            <w:r>
              <w:rPr>
                <w:rFonts w:hint="eastAsia" w:ascii="宋体" w:hAnsi="宋体" w:cs="宋体"/>
                <w:color w:val="auto"/>
                <w:szCs w:val="21"/>
                <w:highlight w:val="none"/>
              </w:rPr>
              <w:t>。新的不含税结算单价按以下公式核定:新的不含税结算单价=新的含税市场基准价</w:t>
            </w:r>
            <w:r>
              <w:rPr>
                <w:rFonts w:hint="eastAsia" w:ascii="宋体" w:hAnsi="宋体" w:cs="宋体"/>
                <w:color w:val="auto"/>
                <w:szCs w:val="21"/>
                <w:highlight w:val="none"/>
                <w:lang w:val="en-US" w:eastAsia="zh-CN"/>
              </w:rPr>
              <w:t>/</w:t>
            </w:r>
            <w:r>
              <w:rPr>
                <w:rFonts w:hint="eastAsia" w:ascii="宋体" w:hAnsi="宋体" w:cs="宋体"/>
                <w:color w:val="auto"/>
                <w:szCs w:val="21"/>
                <w:highlight w:val="none"/>
              </w:rPr>
              <w:t>(1+增值税税率)。新的含税市场基准价取深圳市中农数据有限公司(https://www.chinaap.net/#/zn)(天天采</w:t>
            </w:r>
            <w:r>
              <w:rPr>
                <w:rFonts w:hint="eastAsia" w:ascii="宋体" w:hAnsi="宋体" w:cs="宋体"/>
                <w:color w:val="auto"/>
                <w:szCs w:val="21"/>
                <w:highlight w:val="none"/>
                <w:lang w:val="en-US" w:eastAsia="zh-CN"/>
              </w:rPr>
              <w:t>配</w:t>
            </w:r>
            <w:r>
              <w:rPr>
                <w:rFonts w:hint="eastAsia" w:ascii="宋体" w:hAnsi="宋体" w:cs="宋体"/>
                <w:color w:val="auto"/>
                <w:szCs w:val="21"/>
                <w:highlight w:val="none"/>
              </w:rPr>
              <w:t>平台)上月公布的</w:t>
            </w:r>
            <w:r>
              <w:rPr>
                <w:rFonts w:hint="eastAsia" w:ascii="宋体" w:hAnsi="宋体" w:cs="宋体"/>
                <w:color w:val="auto"/>
                <w:szCs w:val="21"/>
                <w:highlight w:val="none"/>
                <w:lang w:val="en-US" w:eastAsia="zh-CN"/>
              </w:rPr>
              <w:t>每日</w:t>
            </w:r>
            <w:r>
              <w:rPr>
                <w:rFonts w:hint="eastAsia" w:ascii="宋体" w:hAnsi="宋体" w:cs="宋体"/>
                <w:color w:val="auto"/>
                <w:szCs w:val="21"/>
                <w:highlight w:val="none"/>
              </w:rPr>
              <w:t>价格(含费参考价)取平均值(平均值精确到分，即小数点后两位)，或者</w:t>
            </w:r>
            <w:r>
              <w:rPr>
                <w:rFonts w:hint="eastAsia" w:ascii="宋体" w:hAnsi="宋体" w:cs="宋体"/>
                <w:color w:val="auto"/>
                <w:szCs w:val="21"/>
                <w:highlight w:val="none"/>
                <w:lang w:val="en-US" w:eastAsia="zh-CN"/>
              </w:rPr>
              <w:t>采购人</w:t>
            </w:r>
            <w:r>
              <w:rPr>
                <w:rFonts w:hint="eastAsia" w:ascii="宋体" w:hAnsi="宋体" w:cs="宋体"/>
                <w:color w:val="auto"/>
                <w:szCs w:val="21"/>
                <w:highlight w:val="none"/>
              </w:rPr>
              <w:t>抽样调查的市场价。市场价抽样调查基准价=市场平均价=市场抽样价格之和</w:t>
            </w:r>
            <w:r>
              <w:rPr>
                <w:rFonts w:hint="eastAsia" w:ascii="宋体" w:hAnsi="宋体" w:cs="宋体"/>
                <w:color w:val="auto"/>
                <w:szCs w:val="21"/>
                <w:highlight w:val="none"/>
                <w:lang w:eastAsia="zh-CN"/>
              </w:rPr>
              <w:t>/</w:t>
            </w:r>
            <w:r>
              <w:rPr>
                <w:rFonts w:hint="eastAsia" w:ascii="宋体" w:hAnsi="宋体" w:cs="宋体"/>
                <w:color w:val="auto"/>
                <w:szCs w:val="21"/>
                <w:highlight w:val="none"/>
              </w:rPr>
              <w:t>价格样本数，原则上价格样本数为3个，但市调时提供该商品的供应商不足3家除外</w:t>
            </w:r>
            <w:r>
              <w:rPr>
                <w:rFonts w:hint="eastAsia" w:ascii="宋体" w:hAnsi="宋体" w:cs="宋体"/>
                <w:color w:val="auto"/>
                <w:szCs w:val="21"/>
                <w:highlight w:val="none"/>
                <w:lang w:eastAsia="zh-CN"/>
              </w:rPr>
              <w:t>。</w:t>
            </w:r>
            <w:r>
              <w:rPr>
                <w:rFonts w:hint="eastAsia" w:ascii="宋体" w:hAnsi="宋体" w:cs="宋体"/>
                <w:color w:val="auto"/>
                <w:highlight w:val="none"/>
                <w:lang w:val="en-US" w:eastAsia="zh-CN"/>
              </w:rPr>
              <w:t>粮油干调类的</w:t>
            </w:r>
            <w:r>
              <w:rPr>
                <w:rFonts w:hint="eastAsia" w:ascii="宋体" w:hAnsi="宋体" w:eastAsia="宋体" w:cs="宋体"/>
                <w:color w:val="auto"/>
                <w:highlight w:val="none"/>
              </w:rPr>
              <w:t>市场价抽样调查，可选择大型综合超市或在</w:t>
            </w:r>
            <w:r>
              <w:rPr>
                <w:rFonts w:hint="eastAsia" w:ascii="宋体" w:hAnsi="宋体" w:cs="宋体"/>
                <w:color w:val="auto"/>
                <w:highlight w:val="none"/>
                <w:lang w:val="en-US" w:eastAsia="zh-CN"/>
              </w:rPr>
              <w:t>东莞</w:t>
            </w:r>
            <w:r>
              <w:rPr>
                <w:rFonts w:hint="eastAsia" w:ascii="宋体" w:hAnsi="宋体" w:eastAsia="宋体" w:cs="宋体"/>
                <w:color w:val="auto"/>
                <w:highlight w:val="none"/>
              </w:rPr>
              <w:t>市细村市场、信立农批市场、</w:t>
            </w:r>
            <w:r>
              <w:rPr>
                <w:rFonts w:hint="eastAsia" w:ascii="宋体" w:hAnsi="宋体" w:cs="宋体"/>
                <w:color w:val="auto"/>
                <w:highlight w:val="none"/>
                <w:lang w:val="en-US" w:eastAsia="zh-CN"/>
              </w:rPr>
              <w:t>宏远批发市场</w:t>
            </w:r>
            <w:r>
              <w:rPr>
                <w:rFonts w:hint="eastAsia" w:ascii="宋体" w:hAnsi="宋体" w:eastAsia="宋体" w:cs="宋体"/>
                <w:color w:val="auto"/>
                <w:highlight w:val="none"/>
              </w:rPr>
              <w:t>等市场进行市场价抽样调查，核定相同货品的市场平均价格</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啤酒饮料类可选择</w:t>
            </w:r>
            <w:r>
              <w:rPr>
                <w:rFonts w:hint="eastAsia" w:ascii="宋体" w:hAnsi="宋体" w:eastAsia="宋体" w:cs="宋体"/>
                <w:color w:val="auto"/>
                <w:highlight w:val="none"/>
              </w:rPr>
              <w:t>大型综合超市</w:t>
            </w:r>
            <w:r>
              <w:rPr>
                <w:rFonts w:hint="eastAsia" w:ascii="宋体" w:hAnsi="宋体" w:cs="宋体"/>
                <w:color w:val="auto"/>
                <w:highlight w:val="none"/>
                <w:lang w:eastAsia="zh-CN"/>
              </w:rPr>
              <w:t>、</w:t>
            </w:r>
            <w:r>
              <w:rPr>
                <w:rFonts w:hint="eastAsia" w:ascii="宋体" w:hAnsi="宋体" w:cs="宋体"/>
                <w:color w:val="auto"/>
                <w:highlight w:val="none"/>
                <w:lang w:val="en-US" w:eastAsia="zh-CN"/>
              </w:rPr>
              <w:t>宏远批发市场</w:t>
            </w:r>
            <w:r>
              <w:rPr>
                <w:rFonts w:hint="eastAsia" w:ascii="宋体" w:hAnsi="宋体" w:eastAsia="宋体" w:cs="宋体"/>
                <w:color w:val="auto"/>
                <w:highlight w:val="none"/>
              </w:rPr>
              <w:t>等市场进行市场价抽样调查，核定相同货品的市场平均价格</w:t>
            </w:r>
            <w:r>
              <w:rPr>
                <w:rFonts w:hint="eastAsia" w:ascii="宋体" w:hAnsi="宋体" w:eastAsia="宋体" w:cs="宋体"/>
                <w:color w:val="auto"/>
                <w:sz w:val="21"/>
                <w:szCs w:val="21"/>
                <w:highlight w:val="none"/>
                <w:lang w:val="en-US" w:eastAsia="zh-CN"/>
              </w:rPr>
              <w:t>。</w:t>
            </w:r>
          </w:p>
          <w:p w14:paraId="1F792479">
            <w:pP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采购人临时需求货品不在核定的供货价格清单内的，中标人必须按采购人</w:t>
            </w:r>
            <w:r>
              <w:rPr>
                <w:rFonts w:hint="eastAsia" w:ascii="宋体" w:hAnsi="宋体" w:cs="宋体"/>
                <w:color w:val="auto"/>
                <w:sz w:val="21"/>
                <w:szCs w:val="21"/>
                <w:highlight w:val="none"/>
                <w:lang w:val="en-US" w:eastAsia="zh-CN"/>
              </w:rPr>
              <w:t>要求供货，供货价格由双方按上述定价原则确定供货价格。</w:t>
            </w:r>
          </w:p>
          <w:p w14:paraId="1D969112">
            <w:pP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4、中标人不得擅自变更货物品种及产地、包装、规格和重量等，严格按采购人要求供应，否则采购人有权拒收。对不易购买或暂时短缺的品种，经采购人同意，通过其它途径采购或使用指定替代品替换。</w:t>
            </w:r>
          </w:p>
          <w:p w14:paraId="3BD0F85E">
            <w:pP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采购人根据自身的需求，有权终止某类中的某些商品的采购或变更某类商品的采购。</w:t>
            </w:r>
          </w:p>
          <w:p w14:paraId="05C19990">
            <w:pP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6、核定价格后若供货时期市场出现大品类价格升降在20%或以上时，双方均可以书面形式提出价格调整请求(未提出调整请求的部分则以原核定价格执行),双方通过市场调查核实后，按上述定价原则确定新的价格(双方确认生效后开始以新的价格执行，在此之前仍以原核定价格执行),除此之外，双方约定的供货物资价格在有效期内任何一方不得随意更改。若双方市场调查结果显示价格升降幅度不足20%，则暂不予调价，继续按原核定价格执行，至下一次价格调整节点，再按规定的定价原则重新定价。</w:t>
            </w:r>
          </w:p>
          <w:p w14:paraId="331FE45F">
            <w:pPr>
              <w:rPr>
                <w:rFonts w:hint="default" w:eastAsia="宋体"/>
                <w:color w:val="auto"/>
                <w:highlight w:val="none"/>
                <w:lang w:val="en-US" w:eastAsia="zh-CN"/>
              </w:rPr>
            </w:pPr>
            <w:r>
              <w:rPr>
                <w:rFonts w:hint="eastAsia" w:ascii="宋体" w:hAnsi="宋体" w:cs="宋体"/>
                <w:color w:val="auto"/>
                <w:sz w:val="21"/>
                <w:szCs w:val="21"/>
                <w:highlight w:val="none"/>
                <w:lang w:val="en-US" w:eastAsia="zh-CN"/>
              </w:rPr>
              <w:t>7、中标人必须为采购人开通深圳市中农数据有限公司（天天采配平台）账号，具备价格查询功能，由此产生的本项目合同期内相关平台使用费用由中标人承担。</w:t>
            </w:r>
          </w:p>
        </w:tc>
      </w:tr>
      <w:tr w14:paraId="2C6E67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3" w:type="pct"/>
            <w:vAlign w:val="center"/>
          </w:tcPr>
          <w:p w14:paraId="3A13D3A5">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default" w:cs="宋体" w:asciiTheme="majorEastAsia" w:hAnsiTheme="majorEastAsia" w:eastAsiaTheme="majorEastAsia"/>
                <w:color w:val="auto"/>
                <w:szCs w:val="21"/>
                <w:highlight w:val="none"/>
                <w:lang w:val="en-US" w:eastAsia="zh-CN"/>
              </w:rPr>
            </w:pPr>
            <w:r>
              <w:rPr>
                <w:rFonts w:hint="eastAsia" w:cs="宋体" w:asciiTheme="majorEastAsia" w:hAnsiTheme="majorEastAsia" w:eastAsiaTheme="majorEastAsia"/>
                <w:color w:val="auto"/>
                <w:szCs w:val="21"/>
                <w:highlight w:val="none"/>
                <w:lang w:val="en-US" w:eastAsia="zh-CN"/>
              </w:rPr>
              <w:t>6</w:t>
            </w:r>
          </w:p>
        </w:tc>
        <w:tc>
          <w:tcPr>
            <w:tcW w:w="716" w:type="pct"/>
            <w:vAlign w:val="center"/>
          </w:tcPr>
          <w:p w14:paraId="63CFD913">
            <w:pPr>
              <w:jc w:val="center"/>
              <w:rPr>
                <w:rFonts w:hint="eastAsia" w:cs="宋体" w:asciiTheme="majorEastAsia" w:hAnsiTheme="majorEastAsia" w:eastAsiaTheme="majorEastAsia"/>
                <w:color w:val="auto"/>
                <w:kern w:val="0"/>
                <w:szCs w:val="21"/>
                <w:highlight w:val="none"/>
                <w:lang w:val="en-US" w:eastAsia="zh-CN" w:bidi="zh-CN"/>
              </w:rPr>
            </w:pPr>
            <w:r>
              <w:rPr>
                <w:rFonts w:hint="eastAsia" w:ascii="宋体" w:hAnsi="宋体" w:eastAsia="宋体" w:cs="宋体"/>
                <w:color w:val="auto"/>
                <w:sz w:val="21"/>
                <w:szCs w:val="21"/>
                <w:highlight w:val="none"/>
              </w:rPr>
              <w:t>验收标准</w:t>
            </w:r>
          </w:p>
        </w:tc>
        <w:tc>
          <w:tcPr>
            <w:tcW w:w="3910" w:type="pct"/>
            <w:vAlign w:val="center"/>
          </w:tcPr>
          <w:p w14:paraId="0659D7E2">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1.项目验收依次序对照执行标准：</w:t>
            </w:r>
          </w:p>
          <w:p w14:paraId="52A48CA8">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1.1符合中华人民共和国国家和履约地相关安全质量标准、行业技术规范标准；</w:t>
            </w:r>
          </w:p>
          <w:p w14:paraId="376C508A">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1.2符合招标文件和响应承诺中各方共同认可的各项要求；</w:t>
            </w:r>
          </w:p>
          <w:p w14:paraId="6E2F31F0">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1.3符合货物来源国官方颁布标准。</w:t>
            </w:r>
          </w:p>
          <w:p w14:paraId="2F52051D">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1.4上述各类标准与法规必须是有关官方机构最新发布的现行标准版本。 </w:t>
            </w:r>
          </w:p>
          <w:p w14:paraId="728B1D99">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2.做好卸货前的检查：采购人和中标人双方的验收人员卸货前应对场地和验收设备做好准备，并对商品的外观质量进行初步了解。如发现食品有损坏情况等，应在相关单据上记录损坏情况，</w:t>
            </w:r>
            <w:r>
              <w:rPr>
                <w:rFonts w:hint="eastAsia" w:ascii="宋体" w:hAnsi="宋体" w:cs="宋体"/>
                <w:color w:val="auto"/>
                <w:sz w:val="21"/>
                <w:szCs w:val="21"/>
                <w:highlight w:val="none"/>
                <w:lang w:val="en-US" w:eastAsia="zh-CN"/>
              </w:rPr>
              <w:t>并可</w:t>
            </w:r>
            <w:r>
              <w:rPr>
                <w:rFonts w:hint="eastAsia" w:ascii="宋体" w:hAnsi="宋体" w:eastAsia="宋体" w:cs="宋体"/>
                <w:color w:val="auto"/>
                <w:sz w:val="21"/>
                <w:szCs w:val="21"/>
                <w:highlight w:val="none"/>
              </w:rPr>
              <w:t>对损坏情况进行拍照存档。保证斤两的准确性，经采购人的验货数量为准，中标人每次随货送上一式两份的送货单，采购人验货后签订确认，采购人、中标人双方各持一份，作为收货、结算的凭证。</w:t>
            </w:r>
          </w:p>
          <w:p w14:paraId="33610328">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3.食品运输采用符合国家标准的外包装和运输工具：保持清洁和定期消毒，车厢内无不良气味、异味。食品应清洁，无损伤、腐烂现象，外包装完整，无寄生虫或已受虫害现象。</w:t>
            </w:r>
          </w:p>
          <w:p w14:paraId="2CCA9B45">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4.采取现场验收的方式：验收人员应认真检查物资的质量，按索票—验证—抽查—过磅—入库的程序完成验收，中标人可提供原件的留原件，原件只有一份而无法提供给采购人的查验原件后索取复印件留存。</w:t>
            </w:r>
          </w:p>
          <w:p w14:paraId="1D37CA8D">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5.每批次每种货物均抽查验收。</w:t>
            </w:r>
          </w:p>
          <w:p w14:paraId="46D4B7AD">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6.按项目需求的描述要求对货物质量进行抽查。</w:t>
            </w:r>
          </w:p>
          <w:p w14:paraId="29B29996">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7.抽查发现食品安全质量问题的处理：</w:t>
            </w:r>
          </w:p>
          <w:p w14:paraId="43AEBDA7">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7.1对危及人身安全的食品质量问题采取零容忍措施，一经发现，当日所送同批次产品全部退货；</w:t>
            </w:r>
          </w:p>
          <w:p w14:paraId="262DDA3F">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7.2若抽查未发现问题，而在加工食用前发现部分产品质量问题，应立即通知</w:t>
            </w:r>
            <w:r>
              <w:rPr>
                <w:rFonts w:hint="eastAsia" w:ascii="宋体" w:hAnsi="宋体" w:eastAsia="宋体" w:cs="宋体"/>
                <w:color w:val="auto"/>
                <w:sz w:val="21"/>
                <w:szCs w:val="21"/>
                <w:highlight w:val="none"/>
                <w:lang w:val="en-US" w:eastAsia="zh-CN"/>
              </w:rPr>
              <w:t>采购人</w:t>
            </w:r>
            <w:r>
              <w:rPr>
                <w:rFonts w:hint="eastAsia" w:ascii="宋体" w:hAnsi="宋体" w:eastAsia="宋体" w:cs="宋体"/>
                <w:color w:val="auto"/>
                <w:sz w:val="21"/>
                <w:szCs w:val="21"/>
                <w:highlight w:val="none"/>
              </w:rPr>
              <w:t>伙食物资验收小组及中标人，将问题产品退货处理。</w:t>
            </w:r>
          </w:p>
          <w:p w14:paraId="736865D8">
            <w:pPr>
              <w:rPr>
                <w:rFonts w:hint="eastAsia" w:ascii="宋体" w:hAnsi="宋体" w:cs="宋体"/>
                <w:color w:val="auto"/>
                <w:sz w:val="21"/>
                <w:szCs w:val="21"/>
                <w:highlight w:val="none"/>
                <w:lang w:val="en-US" w:bidi="zh-CN"/>
              </w:rPr>
            </w:pP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rPr>
              <w:t>.货物的质量问题争议及解决办法：因货物的质量问题发生争议，由东莞市市场监督管理局或国家法定的质量鉴定相关单位进行质量鉴定。货物符合质量标准的，鉴定费由采购人承担；货物不符合质量标准的，鉴定费由中标人承担，</w:t>
            </w:r>
            <w:r>
              <w:rPr>
                <w:rFonts w:hint="eastAsia" w:ascii="宋体" w:hAnsi="宋体" w:cs="宋体"/>
                <w:color w:val="auto"/>
                <w:sz w:val="21"/>
                <w:szCs w:val="21"/>
                <w:highlight w:val="none"/>
                <w:lang w:val="en-US" w:eastAsia="zh-CN"/>
              </w:rPr>
              <w:t>问题产品</w:t>
            </w:r>
            <w:r>
              <w:rPr>
                <w:rFonts w:hint="eastAsia" w:ascii="宋体" w:hAnsi="宋体" w:eastAsia="宋体" w:cs="宋体"/>
                <w:color w:val="auto"/>
                <w:sz w:val="21"/>
                <w:szCs w:val="21"/>
                <w:highlight w:val="none"/>
              </w:rPr>
              <w:t>同批次产品全部</w:t>
            </w:r>
            <w:r>
              <w:rPr>
                <w:rFonts w:hint="eastAsia" w:ascii="宋体" w:hAnsi="宋体" w:cs="宋体"/>
                <w:color w:val="auto"/>
                <w:sz w:val="21"/>
                <w:szCs w:val="21"/>
                <w:highlight w:val="none"/>
                <w:lang w:val="en-US" w:eastAsia="zh-CN"/>
              </w:rPr>
              <w:t>予以退货，</w:t>
            </w:r>
            <w:r>
              <w:rPr>
                <w:rFonts w:hint="eastAsia" w:ascii="宋体" w:hAnsi="宋体" w:eastAsia="宋体" w:cs="宋体"/>
                <w:color w:val="auto"/>
                <w:sz w:val="21"/>
                <w:szCs w:val="21"/>
                <w:highlight w:val="none"/>
              </w:rPr>
              <w:t>并且采购人有权追究中标人的相关责任。</w:t>
            </w:r>
          </w:p>
        </w:tc>
      </w:tr>
      <w:tr w14:paraId="1AC8D4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74" w:hRule="atLeast"/>
        </w:trPr>
        <w:tc>
          <w:tcPr>
            <w:tcW w:w="373" w:type="pct"/>
            <w:vAlign w:val="center"/>
          </w:tcPr>
          <w:p w14:paraId="5C1FE675">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default" w:cs="宋体" w:asciiTheme="majorEastAsia" w:hAnsiTheme="majorEastAsia" w:eastAsiaTheme="majorEastAsia"/>
                <w:color w:val="auto"/>
                <w:szCs w:val="21"/>
                <w:highlight w:val="none"/>
                <w:lang w:val="en-US" w:eastAsia="zh-CN"/>
              </w:rPr>
            </w:pPr>
            <w:r>
              <w:rPr>
                <w:rFonts w:hint="eastAsia" w:cs="宋体" w:asciiTheme="majorEastAsia" w:hAnsiTheme="majorEastAsia" w:eastAsiaTheme="majorEastAsia"/>
                <w:color w:val="auto"/>
                <w:szCs w:val="21"/>
                <w:highlight w:val="none"/>
                <w:lang w:val="en-US" w:eastAsia="zh-CN"/>
              </w:rPr>
              <w:t>7</w:t>
            </w:r>
          </w:p>
        </w:tc>
        <w:tc>
          <w:tcPr>
            <w:tcW w:w="716" w:type="pct"/>
            <w:vAlign w:val="center"/>
          </w:tcPr>
          <w:p w14:paraId="087B6D92">
            <w:pPr>
              <w:jc w:val="center"/>
              <w:rPr>
                <w:rFonts w:hint="default" w:cs="宋体" w:asciiTheme="majorEastAsia" w:hAnsiTheme="majorEastAsia" w:eastAsiaTheme="majorEastAsia"/>
                <w:color w:val="auto"/>
                <w:kern w:val="0"/>
                <w:szCs w:val="21"/>
                <w:highlight w:val="none"/>
                <w:lang w:val="en-US" w:eastAsia="zh-CN" w:bidi="zh-CN"/>
              </w:rPr>
            </w:pPr>
            <w:r>
              <w:rPr>
                <w:rFonts w:hint="eastAsia" w:ascii="宋体" w:hAnsi="宋体" w:eastAsia="宋体" w:cs="宋体"/>
                <w:color w:val="auto"/>
                <w:sz w:val="21"/>
                <w:szCs w:val="21"/>
                <w:highlight w:val="none"/>
              </w:rPr>
              <w:t>违约处理</w:t>
            </w:r>
          </w:p>
        </w:tc>
        <w:tc>
          <w:tcPr>
            <w:tcW w:w="3910" w:type="pct"/>
            <w:vAlign w:val="center"/>
          </w:tcPr>
          <w:p w14:paraId="50E35747">
            <w:pPr>
              <w:rPr>
                <w:rFonts w:hint="eastAsia" w:ascii="宋体" w:hAnsi="宋体" w:cs="宋体"/>
                <w:color w:val="auto"/>
                <w:szCs w:val="21"/>
                <w:highlight w:val="none"/>
              </w:rPr>
            </w:pPr>
            <w:r>
              <w:rPr>
                <w:rFonts w:hint="eastAsia" w:ascii="宋体" w:hAnsi="宋体" w:cs="宋体"/>
                <w:color w:val="auto"/>
                <w:szCs w:val="21"/>
                <w:highlight w:val="none"/>
              </w:rPr>
              <w:t xml:space="preserve">针对中标人在服务过程中出现的违反采购文件或合同约定的行为，采购人有权对中标人收取违约金，违约金从未结配送费中扣除。情节严重的,采购人有权单方终止合同,并依法追究中标人法律责任。 </w:t>
            </w:r>
          </w:p>
          <w:p w14:paraId="6A8E7B12">
            <w:pPr>
              <w:rPr>
                <w:rFonts w:hint="eastAsia" w:ascii="宋体" w:hAnsi="宋体" w:cs="宋体"/>
                <w:color w:val="auto"/>
                <w:szCs w:val="21"/>
                <w:highlight w:val="none"/>
              </w:rPr>
            </w:pPr>
            <w:r>
              <w:rPr>
                <w:rFonts w:hint="eastAsia" w:ascii="宋体" w:hAnsi="宋体" w:cs="宋体"/>
                <w:color w:val="auto"/>
                <w:szCs w:val="21"/>
                <w:highlight w:val="none"/>
                <w:lang w:eastAsia="zh-CN"/>
              </w:rPr>
              <w:t>1</w:t>
            </w:r>
            <w:r>
              <w:rPr>
                <w:rFonts w:hint="eastAsia" w:ascii="宋体" w:hAnsi="宋体" w:cs="宋体"/>
                <w:color w:val="auto"/>
                <w:szCs w:val="21"/>
                <w:highlight w:val="none"/>
              </w:rPr>
              <w:t>、中标人提供过期、变质货品的，问题产品同批次产品全部予以退货，按当批货物货值的5%收取违约金，违约金不足以弥补</w:t>
            </w:r>
            <w:r>
              <w:rPr>
                <w:rFonts w:hint="eastAsia" w:ascii="宋体" w:hAnsi="宋体" w:cs="宋体"/>
                <w:color w:val="auto"/>
                <w:szCs w:val="21"/>
                <w:highlight w:val="none"/>
                <w:lang w:val="en-US" w:eastAsia="zh-CN"/>
              </w:rPr>
              <w:t>采购人</w:t>
            </w:r>
            <w:r>
              <w:rPr>
                <w:rFonts w:hint="eastAsia" w:ascii="宋体" w:hAnsi="宋体" w:cs="宋体"/>
                <w:color w:val="auto"/>
                <w:szCs w:val="21"/>
                <w:highlight w:val="none"/>
              </w:rPr>
              <w:t>损失的，</w:t>
            </w:r>
            <w:r>
              <w:rPr>
                <w:rFonts w:hint="eastAsia" w:ascii="宋体" w:hAnsi="宋体" w:cs="宋体"/>
                <w:color w:val="auto"/>
                <w:szCs w:val="21"/>
                <w:highlight w:val="none"/>
                <w:lang w:val="en-US" w:eastAsia="zh-CN"/>
              </w:rPr>
              <w:t>中标人</w:t>
            </w:r>
            <w:r>
              <w:rPr>
                <w:rFonts w:hint="eastAsia" w:ascii="宋体" w:hAnsi="宋体" w:cs="宋体"/>
                <w:color w:val="auto"/>
                <w:szCs w:val="21"/>
                <w:highlight w:val="none"/>
              </w:rPr>
              <w:t>还需补足。造成食品安全问题的，</w:t>
            </w:r>
            <w:r>
              <w:rPr>
                <w:rFonts w:hint="eastAsia" w:ascii="宋体" w:hAnsi="宋体" w:cs="宋体"/>
                <w:color w:val="auto"/>
                <w:szCs w:val="21"/>
                <w:highlight w:val="none"/>
                <w:lang w:val="en-US" w:eastAsia="zh-CN"/>
              </w:rPr>
              <w:t>中标人</w:t>
            </w:r>
            <w:r>
              <w:rPr>
                <w:rFonts w:hint="eastAsia" w:ascii="宋体" w:hAnsi="宋体" w:cs="宋体"/>
                <w:color w:val="auto"/>
                <w:szCs w:val="21"/>
                <w:highlight w:val="none"/>
              </w:rPr>
              <w:t>应依法承担责任</w:t>
            </w:r>
            <w:r>
              <w:rPr>
                <w:rFonts w:hint="eastAsia" w:ascii="宋体" w:hAnsi="宋体" w:cs="宋体"/>
                <w:color w:val="auto"/>
                <w:szCs w:val="21"/>
                <w:highlight w:val="none"/>
                <w:lang w:eastAsia="zh-CN"/>
              </w:rPr>
              <w:t>，</w:t>
            </w:r>
            <w:r>
              <w:rPr>
                <w:rFonts w:hint="eastAsia" w:ascii="宋体" w:hAnsi="宋体" w:eastAsia="宋体" w:cs="宋体"/>
                <w:color w:val="auto"/>
                <w:sz w:val="21"/>
                <w:szCs w:val="21"/>
                <w:highlight w:val="none"/>
              </w:rPr>
              <w:t>且采购人有权拒收该批次所有货品。</w:t>
            </w:r>
          </w:p>
          <w:p w14:paraId="53455FD9">
            <w:pPr>
              <w:rPr>
                <w:rFonts w:hint="eastAsia"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 xml:space="preserve">、中标人供货数量与采购人订单偏差超过±10%但没有事先说明的，每次提交违约金人民币500元。 </w:t>
            </w:r>
          </w:p>
          <w:p w14:paraId="5861CB71">
            <w:pPr>
              <w:rPr>
                <w:rFonts w:hint="eastAsia" w:ascii="宋体" w:hAnsi="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、中标人接受了采购人的采购订单，但不能按要求提供配送服务，导致采购人供餐受影响的，每次按货值的3%处以违约金。 </w:t>
            </w:r>
          </w:p>
          <w:p w14:paraId="358B60B0">
            <w:pPr>
              <w:rPr>
                <w:rFonts w:hint="eastAsia" w:ascii="宋体" w:hAnsi="宋体" w:cs="宋体"/>
                <w:color w:val="auto"/>
                <w:szCs w:val="21"/>
                <w:highlight w:val="none"/>
              </w:rPr>
            </w:pP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 xml:space="preserve">、已经定价的货品，中标人称没货，但采购人能通过常规途径在市场、超市等场所购买到所需数量的，每次按货值的3%处以违约金。 </w:t>
            </w:r>
          </w:p>
          <w:p w14:paraId="0FBE6D32">
            <w:pPr>
              <w:rPr>
                <w:rFonts w:hint="eastAsia" w:ascii="宋体" w:hAnsi="宋体" w:cs="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 xml:space="preserve">、中标人货品溯源制度不落实、进货查验记录不全的，每次按货值的3%处以违约金。 </w:t>
            </w:r>
          </w:p>
          <w:p w14:paraId="15E8FB23">
            <w:pPr>
              <w:rPr>
                <w:rFonts w:hint="eastAsia" w:ascii="宋体" w:hAnsi="宋体" w:cs="宋体"/>
                <w:color w:val="auto"/>
                <w:szCs w:val="21"/>
                <w:highlight w:val="none"/>
              </w:rPr>
            </w:pP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、中标人上述违约行为单独累计发生已达3次的，</w:t>
            </w:r>
            <w:r>
              <w:rPr>
                <w:rFonts w:hint="eastAsia" w:ascii="宋体" w:hAnsi="宋体" w:eastAsia="宋体" w:cs="宋体"/>
                <w:color w:val="auto"/>
                <w:sz w:val="21"/>
                <w:szCs w:val="21"/>
                <w:highlight w:val="none"/>
              </w:rPr>
              <w:t>再发生时每次</w:t>
            </w:r>
            <w:r>
              <w:rPr>
                <w:rFonts w:hint="eastAsia" w:ascii="宋体" w:hAnsi="宋体" w:eastAsia="宋体" w:cs="宋体"/>
                <w:color w:val="auto"/>
                <w:sz w:val="21"/>
                <w:szCs w:val="21"/>
                <w:highlight w:val="none"/>
                <w:lang w:val="en-US" w:eastAsia="zh-CN"/>
              </w:rPr>
              <w:t>提交</w:t>
            </w:r>
            <w:r>
              <w:rPr>
                <w:rFonts w:hint="eastAsia" w:ascii="宋体" w:hAnsi="宋体" w:eastAsia="宋体" w:cs="宋体"/>
                <w:color w:val="auto"/>
                <w:sz w:val="21"/>
                <w:szCs w:val="21"/>
                <w:highlight w:val="none"/>
              </w:rPr>
              <w:t>违约金人民币</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000元，且</w:t>
            </w: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rPr>
              <w:t>有权单方终止合同</w:t>
            </w:r>
            <w:r>
              <w:rPr>
                <w:rFonts w:hint="eastAsia" w:ascii="宋体" w:hAnsi="宋体" w:cs="宋体"/>
                <w:color w:val="auto"/>
                <w:szCs w:val="21"/>
                <w:highlight w:val="none"/>
              </w:rPr>
              <w:t>。</w:t>
            </w:r>
          </w:p>
          <w:p w14:paraId="7583A665">
            <w:pPr>
              <w:rPr>
                <w:rFonts w:hint="eastAsia"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、中标人无故中途退出，</w:t>
            </w:r>
            <w:r>
              <w:rPr>
                <w:rFonts w:hint="eastAsia" w:ascii="宋体" w:hAnsi="宋体" w:cs="宋体"/>
                <w:color w:val="auto"/>
                <w:sz w:val="21"/>
                <w:szCs w:val="21"/>
                <w:highlight w:val="none"/>
                <w:lang w:val="en-US" w:eastAsia="zh-CN"/>
              </w:rPr>
              <w:t>应向甲方支付合同总额10%的</w:t>
            </w:r>
            <w:r>
              <w:rPr>
                <w:rFonts w:hint="eastAsia" w:ascii="宋体" w:hAnsi="宋体" w:cs="宋体"/>
                <w:color w:val="auto"/>
                <w:szCs w:val="21"/>
                <w:highlight w:val="none"/>
              </w:rPr>
              <w:t>违约金。</w:t>
            </w:r>
          </w:p>
          <w:p w14:paraId="799B93C7">
            <w:pPr>
              <w:rPr>
                <w:rFonts w:hint="default" w:eastAsia="宋体" w:cs="宋体" w:asciiTheme="majorEastAsia" w:hAnsiTheme="majorEastAsia"/>
                <w:color w:val="auto"/>
                <w:kern w:val="2"/>
                <w:sz w:val="21"/>
                <w:szCs w:val="21"/>
                <w:highlight w:val="none"/>
                <w:lang w:val="en-US" w:eastAsia="zh-CN" w:bidi="zh-CN"/>
              </w:rPr>
            </w:pP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本项目服务期间，中标人必须独立经营，不得以挂靠形式经营，不得存在违法分包、转包等情况，一经发现上述任意情况，采购人有权单方无条件终止合同，没收履约保证金，并将中标人纳入东实集团合作黑名单，期限为2年，时间以合同终止日起算，被列入黑名单的单位在规定期限内不得参与</w:t>
            </w:r>
            <w:r>
              <w:rPr>
                <w:rFonts w:hint="eastAsia" w:ascii="宋体" w:hAnsi="宋体" w:cs="宋体"/>
                <w:color w:val="auto"/>
                <w:szCs w:val="21"/>
                <w:highlight w:val="none"/>
                <w:lang w:val="en-US" w:eastAsia="zh-CN"/>
              </w:rPr>
              <w:t>东实集团</w:t>
            </w:r>
            <w:r>
              <w:rPr>
                <w:rFonts w:hint="eastAsia" w:ascii="宋体" w:hAnsi="宋体" w:cs="宋体"/>
                <w:color w:val="auto"/>
                <w:szCs w:val="21"/>
                <w:highlight w:val="none"/>
              </w:rPr>
              <w:t>项目投标。</w:t>
            </w:r>
          </w:p>
        </w:tc>
      </w:tr>
      <w:tr w14:paraId="351F1A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373" w:type="pct"/>
            <w:vAlign w:val="center"/>
          </w:tcPr>
          <w:p w14:paraId="3BECC553">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default" w:cs="宋体" w:asciiTheme="majorEastAsia" w:hAnsiTheme="majorEastAsia" w:eastAsiaTheme="majorEastAsia"/>
                <w:color w:val="auto"/>
                <w:szCs w:val="21"/>
                <w:highlight w:val="none"/>
                <w:lang w:val="en-US" w:eastAsia="zh-CN"/>
              </w:rPr>
            </w:pPr>
            <w:r>
              <w:rPr>
                <w:rFonts w:hint="eastAsia" w:cs="宋体" w:asciiTheme="majorEastAsia" w:hAnsiTheme="majorEastAsia" w:eastAsiaTheme="majorEastAsia"/>
                <w:color w:val="auto"/>
                <w:szCs w:val="21"/>
                <w:highlight w:val="none"/>
                <w:lang w:val="en-US" w:eastAsia="zh-CN"/>
              </w:rPr>
              <w:t>8</w:t>
            </w:r>
          </w:p>
        </w:tc>
        <w:tc>
          <w:tcPr>
            <w:tcW w:w="716" w:type="pct"/>
            <w:vAlign w:val="center"/>
          </w:tcPr>
          <w:p w14:paraId="037DE588">
            <w:pPr>
              <w:jc w:val="center"/>
              <w:rPr>
                <w:rFonts w:hint="eastAsia" w:cs="宋体" w:asciiTheme="majorEastAsia" w:hAnsiTheme="majorEastAsia" w:eastAsiaTheme="majorEastAsia"/>
                <w:color w:val="auto"/>
                <w:kern w:val="0"/>
                <w:szCs w:val="21"/>
                <w:highlight w:val="none"/>
                <w:lang w:val="en-US" w:eastAsia="zh-CN" w:bidi="zh-CN"/>
              </w:rPr>
            </w:pPr>
            <w:r>
              <w:rPr>
                <w:rFonts w:hint="eastAsia" w:ascii="宋体" w:hAnsi="宋体" w:eastAsia="宋体" w:cs="宋体"/>
                <w:color w:val="auto"/>
                <w:sz w:val="21"/>
                <w:szCs w:val="21"/>
                <w:highlight w:val="none"/>
              </w:rPr>
              <w:t>其他要求</w:t>
            </w:r>
          </w:p>
        </w:tc>
        <w:tc>
          <w:tcPr>
            <w:tcW w:w="3910" w:type="pct"/>
            <w:vAlign w:val="center"/>
          </w:tcPr>
          <w:p w14:paraId="716E2330">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1、中标人必须服从采购人的监督、管理，配合采购人到货品配送点进行现场考察。</w:t>
            </w:r>
          </w:p>
          <w:p w14:paraId="4423AF9E">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2、食品供应链要求：所有食品的来源必须清晰可追溯和追责。 </w:t>
            </w:r>
          </w:p>
          <w:p w14:paraId="166FF17E">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3、如发现中标人泄露采购人的秘密，或有弄虚作假行为（如提供假证照、供应假冒伪劣产品等）,或以贿赂等不正当手段获取配送资格的，即时取消成交资格，情节严重的还将依法追究其经济责任和法律责任。 </w:t>
            </w:r>
          </w:p>
          <w:p w14:paraId="36C24997">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4、中标人存在违反采购文件和合同约定的行为，并且不予纠正的，将取消其成交资格。此项下违约行为包括但不限于下列各项： </w:t>
            </w:r>
          </w:p>
          <w:p w14:paraId="78F8042D">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（1）中标人在收到采购人订货要求后，在承诺的供货时间内不能供货的。 </w:t>
            </w:r>
          </w:p>
          <w:p w14:paraId="3057EF78">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（2）中标人未能提供承诺的服务的。</w:t>
            </w:r>
          </w:p>
          <w:p w14:paraId="45AF1A2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（3）中标人不能在约定时间内提供合法票据进行结算的。 </w:t>
            </w:r>
          </w:p>
          <w:p w14:paraId="5CE81796">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（4）中标人送货人员在采购人单位活动但不遵守采购人单位各项规章制度或做出有损采购人形象和利益的事情的。</w:t>
            </w:r>
          </w:p>
          <w:p w14:paraId="78A6967E">
            <w:pPr>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5、报价要求：</w:t>
            </w:r>
          </w:p>
          <w:p w14:paraId="1BBAD8BC">
            <w:pPr>
              <w:rPr>
                <w:rFonts w:hint="default" w:ascii="宋体" w:hAnsi="宋体" w:cs="宋体"/>
                <w:color w:val="auto"/>
                <w:sz w:val="21"/>
                <w:szCs w:val="21"/>
                <w:highlight w:val="none"/>
                <w:lang w:val="en-US" w:bidi="zh-CN"/>
              </w:rPr>
            </w:pPr>
            <w:r>
              <w:rPr>
                <w:rFonts w:hint="default" w:ascii="宋体" w:hAnsi="宋体" w:cs="宋体"/>
                <w:color w:val="auto"/>
                <w:sz w:val="21"/>
                <w:szCs w:val="21"/>
                <w:highlight w:val="none"/>
                <w:lang w:val="en-US" w:bidi="zh-CN"/>
              </w:rPr>
              <w:t>（1）投标人须根据《物资明细表》分别报出不含税投标单价及</w:t>
            </w:r>
            <w:r>
              <w:rPr>
                <w:rFonts w:hint="eastAsia" w:ascii="宋体" w:hAnsi="宋体" w:cs="宋体"/>
                <w:color w:val="auto"/>
                <w:sz w:val="21"/>
                <w:szCs w:val="21"/>
                <w:highlight w:val="none"/>
                <w:lang w:val="en-US" w:bidi="zh-CN"/>
              </w:rPr>
              <w:t>不</w:t>
            </w:r>
            <w:r>
              <w:rPr>
                <w:rFonts w:hint="default" w:ascii="宋体" w:hAnsi="宋体" w:cs="宋体"/>
                <w:color w:val="auto"/>
                <w:sz w:val="21"/>
                <w:szCs w:val="21"/>
                <w:highlight w:val="none"/>
                <w:lang w:val="en-US" w:bidi="zh-CN"/>
              </w:rPr>
              <w:t>含税投标总价（仅用于评审）。不含税投标单价不得超过采购人设定的不含税单价最高限价，含税投标总价不得超过项目预算总价，任一项超出均视为无效投标。</w:t>
            </w:r>
          </w:p>
          <w:p w14:paraId="1B2AFFE3">
            <w:pPr>
              <w:rPr>
                <w:rFonts w:hint="default" w:ascii="宋体" w:hAnsi="宋体" w:cs="宋体"/>
                <w:color w:val="auto"/>
                <w:sz w:val="21"/>
                <w:szCs w:val="21"/>
                <w:highlight w:val="none"/>
                <w:lang w:val="en-US" w:bidi="zh-CN"/>
              </w:rPr>
            </w:pPr>
            <w:r>
              <w:rPr>
                <w:rFonts w:hint="default" w:ascii="宋体" w:hAnsi="宋体" w:cs="宋体"/>
                <w:color w:val="auto"/>
                <w:sz w:val="21"/>
                <w:szCs w:val="21"/>
                <w:highlight w:val="none"/>
                <w:lang w:val="en-US" w:bidi="zh-CN"/>
              </w:rPr>
              <w:t>（2）</w:t>
            </w:r>
            <w:r>
              <w:rPr>
                <w:rFonts w:hint="default" w:ascii="宋体" w:hAnsi="宋体" w:cs="宋体"/>
                <w:color w:val="auto"/>
                <w:szCs w:val="21"/>
                <w:highlight w:val="none"/>
                <w:lang w:bidi="zh-CN"/>
              </w:rPr>
              <w:t>不含税总价 = ∑（招标文件《物资明细表》中列明的预估数量 × 投标人填报的不含税投标单价）。</w:t>
            </w:r>
            <w:r>
              <w:rPr>
                <w:rFonts w:hint="default" w:ascii="宋体" w:hAnsi="宋体" w:cs="宋体"/>
                <w:color w:val="auto"/>
                <w:sz w:val="21"/>
                <w:szCs w:val="21"/>
                <w:highlight w:val="none"/>
                <w:lang w:val="en-US" w:bidi="zh-CN"/>
              </w:rPr>
              <w:t>此总价仅用于评审环节。</w:t>
            </w:r>
          </w:p>
          <w:p w14:paraId="5443F25A">
            <w:pPr>
              <w:rPr>
                <w:rFonts w:hint="default" w:ascii="宋体" w:hAnsi="宋体" w:cs="宋体"/>
                <w:color w:val="auto"/>
                <w:sz w:val="21"/>
                <w:szCs w:val="21"/>
                <w:highlight w:val="none"/>
                <w:lang w:val="en-US" w:bidi="zh-CN"/>
              </w:rPr>
            </w:pPr>
            <w:r>
              <w:rPr>
                <w:rFonts w:hint="default" w:ascii="宋体" w:hAnsi="宋体" w:cs="宋体"/>
                <w:color w:val="auto"/>
                <w:sz w:val="21"/>
                <w:szCs w:val="21"/>
                <w:highlight w:val="none"/>
                <w:lang w:val="en-US" w:bidi="zh-CN"/>
              </w:rPr>
              <w:t>（3）</w:t>
            </w:r>
            <w:r>
              <w:rPr>
                <w:rFonts w:hint="default" w:ascii="宋体" w:hAnsi="宋体" w:cs="宋体"/>
                <w:color w:val="auto"/>
                <w:szCs w:val="21"/>
                <w:highlight w:val="none"/>
                <w:lang w:bidi="zh-CN"/>
              </w:rPr>
              <w:t>含税投标总价 = ∑（物资明细表预估数量 × 不含税投标单价 × (1+增值税税率)）</w:t>
            </w:r>
          </w:p>
          <w:p w14:paraId="676C333F">
            <w:pPr>
              <w:rPr>
                <w:rFonts w:hint="default" w:ascii="宋体" w:hAnsi="宋体" w:cs="宋体"/>
                <w:color w:val="auto"/>
                <w:sz w:val="21"/>
                <w:szCs w:val="21"/>
                <w:highlight w:val="none"/>
                <w:lang w:val="en-US" w:bidi="zh-CN"/>
              </w:rPr>
            </w:pPr>
            <w:r>
              <w:rPr>
                <w:rFonts w:hint="eastAsia" w:ascii="宋体" w:hAnsi="宋体" w:cs="宋体"/>
                <w:color w:val="auto"/>
                <w:sz w:val="21"/>
                <w:szCs w:val="21"/>
                <w:highlight w:val="none"/>
                <w:lang w:val="en-US" w:bidi="zh-CN"/>
              </w:rPr>
              <w:t>（4）</w:t>
            </w:r>
            <w:r>
              <w:rPr>
                <w:rFonts w:hint="default" w:ascii="宋体" w:hAnsi="宋体" w:cs="宋体"/>
                <w:color w:val="auto"/>
                <w:sz w:val="21"/>
                <w:szCs w:val="21"/>
                <w:highlight w:val="none"/>
                <w:lang w:val="en-US" w:bidi="zh-CN"/>
              </w:rPr>
              <w:t>最终结算总价以合同约定的结算方式按实计算，但不超过项目预算。</w:t>
            </w:r>
          </w:p>
        </w:tc>
      </w:tr>
      <w:tr w14:paraId="2CF908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3" w:type="pct"/>
            <w:vAlign w:val="center"/>
          </w:tcPr>
          <w:p w14:paraId="169EC4F0">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cs="宋体" w:asciiTheme="majorEastAsia" w:hAnsiTheme="majorEastAsia" w:eastAsiaTheme="majorEastAsia"/>
                <w:color w:val="auto"/>
                <w:szCs w:val="21"/>
                <w:highlight w:val="none"/>
                <w:lang w:val="en-US" w:eastAsia="zh-CN"/>
              </w:rPr>
            </w:pPr>
            <w:r>
              <w:rPr>
                <w:rFonts w:hint="eastAsia" w:cs="宋体" w:asciiTheme="majorEastAsia" w:hAnsiTheme="majorEastAsia" w:eastAsiaTheme="majorEastAsia"/>
                <w:color w:val="auto"/>
                <w:szCs w:val="21"/>
                <w:highlight w:val="none"/>
                <w:lang w:val="en-US" w:eastAsia="zh-CN"/>
              </w:rPr>
              <w:t>9</w:t>
            </w:r>
          </w:p>
        </w:tc>
        <w:tc>
          <w:tcPr>
            <w:tcW w:w="716" w:type="pct"/>
            <w:vAlign w:val="center"/>
          </w:tcPr>
          <w:p w14:paraId="0258CB1F">
            <w:pPr>
              <w:jc w:val="center"/>
              <w:rPr>
                <w:rFonts w:hint="eastAsia" w:cs="宋体" w:asciiTheme="majorEastAsia" w:hAnsiTheme="majorEastAsia" w:eastAsiaTheme="majorEastAsia"/>
                <w:color w:val="auto"/>
                <w:szCs w:val="21"/>
                <w:highlight w:val="none"/>
                <w:lang w:val="en-US" w:eastAsia="zh-CN"/>
              </w:rPr>
            </w:pPr>
            <w:r>
              <w:rPr>
                <w:rFonts w:hint="eastAsia" w:ascii="宋体" w:hAnsi="宋体" w:eastAsia="宋体" w:cs="宋体"/>
                <w:color w:val="auto"/>
                <w:sz w:val="21"/>
                <w:szCs w:val="21"/>
                <w:highlight w:val="none"/>
              </w:rPr>
              <w:t>投标有效期</w:t>
            </w:r>
          </w:p>
        </w:tc>
        <w:tc>
          <w:tcPr>
            <w:tcW w:w="3910" w:type="pct"/>
            <w:vAlign w:val="center"/>
          </w:tcPr>
          <w:p w14:paraId="4F1B4CEA">
            <w:pPr>
              <w:rPr>
                <w:rFonts w:hint="eastAsia" w:cs="宋体" w:asciiTheme="majorEastAsia" w:hAnsiTheme="majorEastAsia" w:eastAsiaTheme="majorEastAsia"/>
                <w:color w:val="auto"/>
                <w:kern w:val="2"/>
                <w:szCs w:val="21"/>
                <w:highlight w:val="none"/>
                <w:lang w:val="en-US" w:eastAsia="zh-CN" w:bidi="zh-CN"/>
              </w:rPr>
            </w:pPr>
            <w:r>
              <w:rPr>
                <w:rFonts w:hint="eastAsia" w:ascii="宋体" w:hAnsi="宋体" w:eastAsia="宋体" w:cs="宋体"/>
                <w:color w:val="auto"/>
                <w:sz w:val="21"/>
                <w:szCs w:val="21"/>
                <w:highlight w:val="none"/>
              </w:rPr>
              <w:t>自开标之日起90天。</w:t>
            </w:r>
          </w:p>
        </w:tc>
      </w:tr>
      <w:tr w14:paraId="5413E4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3" w:type="pct"/>
            <w:vAlign w:val="center"/>
          </w:tcPr>
          <w:p w14:paraId="37CADC2E">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default" w:cs="宋体" w:asciiTheme="majorEastAsia" w:hAnsiTheme="majorEastAsia" w:eastAsiaTheme="majorEastAsia"/>
                <w:color w:val="auto"/>
                <w:szCs w:val="21"/>
                <w:highlight w:val="none"/>
                <w:lang w:val="en-US" w:eastAsia="zh-CN"/>
              </w:rPr>
            </w:pPr>
            <w:r>
              <w:rPr>
                <w:rFonts w:hint="eastAsia" w:cs="宋体" w:asciiTheme="majorEastAsia" w:hAnsiTheme="majorEastAsia" w:eastAsiaTheme="majorEastAsia"/>
                <w:color w:val="auto"/>
                <w:szCs w:val="21"/>
                <w:highlight w:val="none"/>
                <w:lang w:val="en-US" w:eastAsia="zh-CN"/>
              </w:rPr>
              <w:t>10</w:t>
            </w:r>
          </w:p>
        </w:tc>
        <w:tc>
          <w:tcPr>
            <w:tcW w:w="1221" w:type="dxa"/>
            <w:vAlign w:val="center"/>
          </w:tcPr>
          <w:p w14:paraId="44D8584F">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合同条款</w:t>
            </w:r>
          </w:p>
        </w:tc>
        <w:tc>
          <w:tcPr>
            <w:tcW w:w="6665" w:type="dxa"/>
            <w:vAlign w:val="center"/>
          </w:tcPr>
          <w:p w14:paraId="21AD4AC4">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投标人实质响应合同各条款。</w:t>
            </w:r>
          </w:p>
        </w:tc>
      </w:tr>
    </w:tbl>
    <w:p w14:paraId="4176CE33">
      <w:pP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br w:type="page"/>
      </w:r>
    </w:p>
    <w:p w14:paraId="64D6FB9B">
      <w:pPr>
        <w:jc w:val="center"/>
        <w:outlineLvl w:val="3"/>
        <w:rPr>
          <w:b/>
          <w:color w:val="auto"/>
          <w:szCs w:val="21"/>
          <w:highlight w:val="none"/>
        </w:rPr>
      </w:pPr>
      <w:bookmarkStart w:id="20" w:name="_Toc14221"/>
      <w:r>
        <w:rPr>
          <w:rFonts w:hint="eastAsia"/>
          <w:b/>
          <w:color w:val="auto"/>
          <w:szCs w:val="21"/>
          <w:highlight w:val="none"/>
        </w:rPr>
        <w:t>第二章 技术需求书</w:t>
      </w:r>
      <w:bookmarkEnd w:id="20"/>
    </w:p>
    <w:p w14:paraId="4EF795BB">
      <w:pPr>
        <w:keepNext w:val="0"/>
        <w:keepLines w:val="0"/>
        <w:pageBreakBefore w:val="0"/>
        <w:widowControl/>
        <w:kinsoku/>
        <w:wordWrap/>
        <w:overflowPunct/>
        <w:topLinePunct w:val="0"/>
        <w:autoSpaceDE/>
        <w:autoSpaceDN/>
        <w:bidi w:val="0"/>
        <w:adjustRightInd w:val="0"/>
        <w:snapToGrid w:val="0"/>
        <w:spacing w:line="440" w:lineRule="exact"/>
        <w:ind w:firstLine="422" w:firstLineChars="20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一、采购项目概述</w:t>
      </w:r>
    </w:p>
    <w:p w14:paraId="526BD3B2">
      <w:pPr>
        <w:keepNext w:val="0"/>
        <w:keepLines w:val="0"/>
        <w:pageBreakBefore w:val="0"/>
        <w:kinsoku/>
        <w:wordWrap/>
        <w:overflowPunct/>
        <w:topLinePunct w:val="0"/>
        <w:autoSpaceDE/>
        <w:autoSpaceDN/>
        <w:bidi w:val="0"/>
        <w:spacing w:line="440" w:lineRule="exact"/>
        <w:ind w:firstLine="420" w:firstLineChars="200"/>
        <w:textAlignment w:val="auto"/>
        <w:rPr>
          <w:rFonts w:hint="eastAsia" w:ascii="宋体" w:hAnsi="宋体" w:eastAsia="宋体" w:cs="宋体"/>
          <w:color w:val="auto"/>
          <w:sz w:val="21"/>
          <w:szCs w:val="21"/>
          <w:highlight w:val="none"/>
          <w:lang w:val="en-US"/>
        </w:rPr>
      </w:pPr>
      <w:r>
        <w:rPr>
          <w:rFonts w:hint="eastAsia" w:ascii="宋体" w:hAnsi="宋体" w:eastAsia="宋体" w:cs="宋体"/>
          <w:color w:val="auto"/>
          <w:highlight w:val="none"/>
        </w:rPr>
        <w:t>本</w:t>
      </w:r>
      <w:r>
        <w:rPr>
          <w:rFonts w:hint="eastAsia" w:ascii="宋体" w:hAnsi="宋体" w:eastAsia="宋体" w:cs="宋体"/>
          <w:color w:val="auto"/>
          <w:highlight w:val="none"/>
          <w:lang w:val="en-US" w:eastAsia="zh-CN"/>
        </w:rPr>
        <w:t>包组</w:t>
      </w:r>
      <w:r>
        <w:rPr>
          <w:rFonts w:hint="eastAsia" w:ascii="宋体" w:hAnsi="宋体" w:eastAsia="宋体" w:cs="宋体"/>
          <w:color w:val="auto"/>
          <w:highlight w:val="none"/>
        </w:rPr>
        <w:t>服务内容为东莞迎宾馆</w:t>
      </w:r>
      <w:r>
        <w:rPr>
          <w:rFonts w:hint="eastAsia" w:ascii="宋体" w:hAnsi="宋体" w:cs="宋体"/>
          <w:color w:val="auto"/>
          <w:highlight w:val="none"/>
          <w:lang w:val="en-US" w:eastAsia="zh-CN"/>
        </w:rPr>
        <w:t>部分</w:t>
      </w:r>
      <w:r>
        <w:rPr>
          <w:rFonts w:hint="eastAsia" w:ascii="宋体" w:hAnsi="宋体" w:eastAsia="宋体" w:cs="宋体"/>
          <w:color w:val="auto"/>
          <w:highlight w:val="none"/>
        </w:rPr>
        <w:t>客用</w:t>
      </w:r>
      <w:r>
        <w:rPr>
          <w:rFonts w:hint="eastAsia" w:ascii="宋体" w:hAnsi="宋体" w:cs="宋体"/>
          <w:color w:val="auto"/>
          <w:highlight w:val="none"/>
          <w:lang w:val="en-US" w:eastAsia="zh-CN"/>
        </w:rPr>
        <w:t>食材</w:t>
      </w:r>
      <w:r>
        <w:rPr>
          <w:rFonts w:hint="eastAsia" w:ascii="宋体" w:hAnsi="宋体" w:eastAsia="宋体" w:cs="宋体"/>
          <w:color w:val="auto"/>
          <w:highlight w:val="none"/>
        </w:rPr>
        <w:t>供货项目。中标人为采购人供应粮食大米类、食用油类、调味品类、箱装粉面类、鲜奶酸奶类</w:t>
      </w:r>
      <w:r>
        <w:rPr>
          <w:rFonts w:hint="eastAsia" w:ascii="宋体" w:hAnsi="宋体" w:cs="宋体"/>
          <w:color w:val="auto"/>
          <w:highlight w:val="none"/>
          <w:lang w:eastAsia="zh-CN"/>
        </w:rPr>
        <w:t>、干货、杂货、副食品</w:t>
      </w:r>
      <w:r>
        <w:rPr>
          <w:rFonts w:hint="eastAsia" w:ascii="宋体" w:hAnsi="宋体" w:cs="宋体"/>
          <w:color w:val="auto"/>
          <w:highlight w:val="none"/>
          <w:lang w:val="en-US" w:eastAsia="zh-CN"/>
        </w:rPr>
        <w:t>类、啤酒饮料类</w:t>
      </w:r>
      <w:r>
        <w:rPr>
          <w:rFonts w:hint="eastAsia" w:ascii="宋体" w:hAnsi="宋体" w:eastAsia="宋体" w:cs="宋体"/>
          <w:color w:val="auto"/>
          <w:highlight w:val="none"/>
        </w:rPr>
        <w:t>等粮油或货物。中标人可能是供应上述种类的某一种，也可以是供应多种产品，视乎采购人的需求而定。中标人按照采购人提出的物品订货清单，不论数量多少，必须保证在规定的时间送达，具体数量和食材以实际</w:t>
      </w:r>
      <w:r>
        <w:rPr>
          <w:rFonts w:hint="eastAsia" w:ascii="宋体" w:hAnsi="宋体" w:eastAsia="宋体" w:cs="宋体"/>
          <w:color w:val="auto"/>
          <w:highlight w:val="none"/>
          <w:lang w:eastAsia="zh-CN"/>
        </w:rPr>
        <w:t>下单</w:t>
      </w:r>
      <w:r>
        <w:rPr>
          <w:rFonts w:hint="eastAsia" w:ascii="宋体" w:hAnsi="宋体" w:eastAsia="宋体" w:cs="宋体"/>
          <w:color w:val="auto"/>
          <w:highlight w:val="none"/>
        </w:rPr>
        <w:t>为准。</w:t>
      </w:r>
    </w:p>
    <w:p w14:paraId="45C519B0">
      <w:pPr>
        <w:keepNext w:val="0"/>
        <w:keepLines w:val="0"/>
        <w:pageBreakBefore w:val="0"/>
        <w:kinsoku/>
        <w:wordWrap/>
        <w:overflowPunct/>
        <w:topLinePunct w:val="0"/>
        <w:autoSpaceDE/>
        <w:autoSpaceDN/>
        <w:bidi w:val="0"/>
        <w:spacing w:line="440" w:lineRule="exact"/>
        <w:ind w:firstLine="422" w:firstLineChars="200"/>
        <w:textAlignment w:val="auto"/>
        <w:rPr>
          <w:rFonts w:hint="eastAsia" w:ascii="宋体" w:hAnsi="宋体" w:eastAsia="宋体" w:cs="宋体"/>
          <w:b/>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二、</w:t>
      </w:r>
      <w:r>
        <w:rPr>
          <w:rFonts w:hint="eastAsia" w:ascii="宋体" w:hAnsi="宋体" w:eastAsia="宋体" w:cs="宋体"/>
          <w:b/>
          <w:color w:val="auto"/>
          <w:sz w:val="21"/>
          <w:szCs w:val="21"/>
          <w:highlight w:val="none"/>
          <w:lang w:val="en-US" w:eastAsia="zh-CN"/>
        </w:rPr>
        <w:t>粮油或货物质量要求</w:t>
      </w:r>
    </w:p>
    <w:p w14:paraId="3F1971E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粮油制造过程中不得使用劣质原料，不得添加有毒物质；不得超量使用食品添加剂，不得滥用非食品加工用化学添加剂；必须符合食品国家标准，禁止供应有毒、有害、腐烂变质、超过保质期限、酸败、霉变、混有异物或其他感官性状异常的食品。包装定型的进口产品以国家的卫检证明作为检验标准。</w:t>
      </w:r>
    </w:p>
    <w:p w14:paraId="187AA771">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1.粮食大米类：包括但不限于大米、油粘米、糯米等。</w:t>
      </w:r>
    </w:p>
    <w:p w14:paraId="58D1EE8D">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1.1大米质量标准：</w:t>
      </w:r>
    </w:p>
    <w:p w14:paraId="0F5C30E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1.1.1基本要求：有“QS/SC”标志，标明加工厂名称、品名、生产日期、保质期或保存期，质量等级、产品标准号、产品合格证，质量符合大米国家标准（GB1354-86）与国家粮食标准（GB2715-2005）。</w:t>
      </w:r>
    </w:p>
    <w:p w14:paraId="4FAB014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1.1.2具有固有色泽和香味，无污染、无虫害，色泽、气味、口味正常，无异味或霉味（霉变），无虫蛀结块挂丝或杂质异等，符合国家粮食标准。</w:t>
      </w:r>
    </w:p>
    <w:p w14:paraId="126E0429">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1.2大米要求的资质证明：</w:t>
      </w:r>
    </w:p>
    <w:p w14:paraId="193BBED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1.2.1生产（供应）企业的资质证明（首次供应时提供）：《营业执照》、《全国工业产品生产许可证》、</w:t>
      </w:r>
      <w:r>
        <w:rPr>
          <w:rFonts w:hint="eastAsia" w:ascii="宋体" w:hAnsi="宋体" w:eastAsia="宋体" w:cs="宋体"/>
          <w:color w:val="auto"/>
          <w:sz w:val="21"/>
          <w:szCs w:val="21"/>
          <w:highlight w:val="none"/>
        </w:rPr>
        <w:t>《食品经营许可证》</w:t>
      </w:r>
      <w:r>
        <w:rPr>
          <w:rFonts w:hint="eastAsia" w:ascii="宋体" w:hAnsi="宋体" w:eastAsia="宋体" w:cs="宋体"/>
          <w:color w:val="auto"/>
          <w:sz w:val="21"/>
          <w:szCs w:val="21"/>
          <w:highlight w:val="none"/>
          <w:lang w:val="en-US" w:eastAsia="zh-CN"/>
        </w:rPr>
        <w:t>等相关证照。</w:t>
      </w:r>
    </w:p>
    <w:p w14:paraId="6F7E914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1.2.2《出厂检验报告》交货时提供本批次产品的出厂（库）检验合格报告单。</w:t>
      </w:r>
    </w:p>
    <w:p w14:paraId="1E028DE4">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2.食用油类：包括但不限于玉米油、花生油、葵花油等。</w:t>
      </w:r>
    </w:p>
    <w:p w14:paraId="5A7574BF">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2.1基本要求：外包装完好，有QS/SC 标志，标明品名、厂名、重量、生产日期、保质期或保存期等符合国家标准。具有正常植物油的色泽、透明度、气味和滋味，无焦臭、酸败及其他异味。</w:t>
      </w:r>
    </w:p>
    <w:p w14:paraId="56F088A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2.2食用油生产企业的资质证明（首次供应时提供）：《营业执照》、《全国工业产品生产许可证》、</w:t>
      </w:r>
      <w:r>
        <w:rPr>
          <w:rFonts w:hint="eastAsia" w:ascii="宋体" w:hAnsi="宋体" w:eastAsia="宋体" w:cs="宋体"/>
          <w:color w:val="auto"/>
          <w:sz w:val="21"/>
          <w:szCs w:val="21"/>
          <w:highlight w:val="none"/>
        </w:rPr>
        <w:t>《食品经营许可证》</w:t>
      </w:r>
      <w:r>
        <w:rPr>
          <w:rFonts w:hint="eastAsia" w:ascii="宋体" w:hAnsi="宋体" w:eastAsia="宋体" w:cs="宋体"/>
          <w:color w:val="auto"/>
          <w:sz w:val="21"/>
          <w:szCs w:val="21"/>
          <w:highlight w:val="none"/>
          <w:lang w:val="en-US" w:eastAsia="zh-CN"/>
        </w:rPr>
        <w:t>等相关证照。</w:t>
      </w:r>
    </w:p>
    <w:p w14:paraId="5C2B29A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2.3气味、滋味：具有固有的气味和滋味，无异味。</w:t>
      </w:r>
    </w:p>
    <w:p w14:paraId="0329A63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2.4加热试验（280℃）油色不得变深，无析出物。</w:t>
      </w:r>
    </w:p>
    <w:p w14:paraId="3703436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2.5不得混有其他食用油或非食用油。</w:t>
      </w:r>
    </w:p>
    <w:p w14:paraId="62F701F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2.6食品标准和动植物检疫项目，按照国家有关规定执行。</w:t>
      </w:r>
    </w:p>
    <w:p w14:paraId="473E57DC">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3.调味品类：包括但不限于酱油、淀粉、食盐、食糖、腐乳等。</w:t>
      </w:r>
    </w:p>
    <w:p w14:paraId="2808D6C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3.1基本要求：外包装完好，有QS/SC 标志，标明品名、厂名、重量、生产日期、保质期或保存期等符合国家标准。</w:t>
      </w:r>
    </w:p>
    <w:p w14:paraId="4831E71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3.2酱油：合格的酱油颜色比较红、亮，有光泽、透明，把这酱油倒在瓶子里后，摇一下，合格酱油产生的泡沫非常细腻，保持持久，挂碗现象非常好，有一种发黏的感觉；不合格的酱油泡沫比较大，很容易散去，挂碗现象不好，很容易滑落。</w:t>
      </w:r>
    </w:p>
    <w:p w14:paraId="2E76260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3.3酱类食品：具有正常酿造酱的色泽、气味和滋味，不涩，无其他不良气味，不得有酸、苦、焦糊及其它异味、异物。</w:t>
      </w:r>
    </w:p>
    <w:p w14:paraId="7580B1D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3.4淀粉制品：具有各自品种固有的形态和色泽，不酸、不粘、不发霉，无变质，无异味，无杂质，口尝无砂质。</w:t>
      </w:r>
    </w:p>
    <w:p w14:paraId="33D7671F">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3.5食盐：结晶整齐一致，坚硬光滑，呈透明或半透明，不结块，无反卤吸潮现象，无杂质，沾取少许尝试具有纯正的咸味。</w:t>
      </w:r>
    </w:p>
    <w:p w14:paraId="241C9A6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3.6食糖：食糖根据经营习惯分为白糖、红糖、冰糖、方糖等。白糖的感官鉴别：色泽洁白明亮，有光泽，具有白糖的正常气味，无酸味、酒味或其他外来气味。白砂糖：颗粒大如砂粒，晶粒均匀整齐，晶面明显，无碎末，糖质坚硬。凡是白糖都应干燥，晶粒松散，不粘手，不结块，无肉眼可见的杂质，白糖的水溶液应清晰透明无杂质。</w:t>
      </w:r>
    </w:p>
    <w:p w14:paraId="71D06D2F">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3.7腐乳：红腐乳表面呈红色或枣红色，内部呈杏黄色，色泽鲜艳，有光泽。白腐乳外表呈乳黄色。块形整齐均匀，质地细腻，无霉斑、霉变及杂质。具有各品种的腐乳特有的香味或特征气味，无任何其他异味，滋味鲜美，咸淡适口，无任何其他异味。</w:t>
      </w:r>
    </w:p>
    <w:p w14:paraId="0FF2A79B">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4.箱装粉面类：包括但不限于箱装米粉、箱装面等。</w:t>
      </w:r>
    </w:p>
    <w:p w14:paraId="4BE4C5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4.1基本要求：外包装完好，有QS/SC 标志，标明品名、厂名、重量、生产日期、保质期或保存期等符合国家标准。</w:t>
      </w:r>
    </w:p>
    <w:p w14:paraId="5AABD51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4.2米粉、面的颜色品质要纯正，不掺假、掺杂。</w:t>
      </w:r>
    </w:p>
    <w:p w14:paraId="5675A01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4.3选用符合国家食品安全法规及相关国家标准的产品，粉质细腻无异物、无毒、无污染。</w:t>
      </w:r>
    </w:p>
    <w:p w14:paraId="5D595F9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4.4制成品不能出现异味、霉变结块、虫尸鼠粪等不洁的卫生问题。</w:t>
      </w:r>
    </w:p>
    <w:p w14:paraId="4A6C835D">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5.鲜奶酸奶类：包括但不限于鲜奶、酸奶等。</w:t>
      </w:r>
    </w:p>
    <w:p w14:paraId="3393F28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5.1鲜奶、酸奶：正常生鲜牛奶为乳白色或略带微黄色的均匀胶体，无粘稠、浓厚、分层现象；不得有肉眼可见的机械杂质；具备乳的正常滋气味，不得有苦、咸、涩、臭等异味；每批产品出厂前，由检验部门逐批检验合格后，出具合格证书，并在包装内（外）附有格证方可出厂。出厂检验项目为：感官指标、粗脂肪、蛋白质、大肠菌群测定、菌落总数等且全部依据国家标准。</w:t>
      </w:r>
    </w:p>
    <w:p w14:paraId="4C4B96D2">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b/>
          <w:bCs/>
          <w:color w:val="auto"/>
          <w:sz w:val="21"/>
          <w:szCs w:val="21"/>
          <w:highlight w:val="none"/>
          <w:lang w:val="en-US" w:eastAsia="zh-CN"/>
        </w:rPr>
        <w:t>6.</w:t>
      </w:r>
      <w:r>
        <w:rPr>
          <w:rFonts w:hint="eastAsia" w:ascii="宋体" w:hAnsi="宋体" w:eastAsia="宋体" w:cs="宋体"/>
          <w:b/>
          <w:bCs/>
          <w:color w:val="auto"/>
          <w:sz w:val="21"/>
          <w:szCs w:val="21"/>
          <w:highlight w:val="none"/>
          <w:lang w:val="en-US" w:eastAsia="zh-CN"/>
        </w:rPr>
        <w:t>干货、杂货、副食品(含预包装食品)类</w:t>
      </w:r>
    </w:p>
    <w:p w14:paraId="43C83B1F">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6.1</w:t>
      </w:r>
      <w:r>
        <w:rPr>
          <w:rFonts w:hint="eastAsia" w:ascii="宋体" w:hAnsi="宋体" w:eastAsia="宋体" w:cs="宋体"/>
          <w:color w:val="auto"/>
          <w:sz w:val="21"/>
          <w:szCs w:val="21"/>
          <w:highlight w:val="none"/>
          <w:lang w:val="en-US" w:eastAsia="zh-CN"/>
        </w:rPr>
        <w:t>必须选用符合国家食品卫生法规相关标准的商品，选用无毒、无害、无污染、可朔源 的食品。掺假、掺杂食品坚决不能使用。</w:t>
      </w:r>
    </w:p>
    <w:p w14:paraId="2EFB5CF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6.2</w:t>
      </w:r>
      <w:r>
        <w:rPr>
          <w:rFonts w:hint="eastAsia" w:ascii="宋体" w:hAnsi="宋体" w:eastAsia="宋体" w:cs="宋体"/>
          <w:color w:val="auto"/>
          <w:sz w:val="21"/>
          <w:szCs w:val="21"/>
          <w:highlight w:val="none"/>
          <w:lang w:val="en-US" w:eastAsia="zh-CN"/>
        </w:rPr>
        <w:t>副食品等级标准要相符，其包装盒或标签上须注明食品名称、生产厂家、厂址、生产 日期、食品的主要原料成份和食品保质期等信息，注明不详或没有注明的商品不予验收。</w:t>
      </w:r>
    </w:p>
    <w:p w14:paraId="4E460E1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6.3</w:t>
      </w:r>
      <w:r>
        <w:rPr>
          <w:rFonts w:hint="eastAsia" w:ascii="宋体" w:hAnsi="宋体" w:eastAsia="宋体" w:cs="宋体"/>
          <w:color w:val="auto"/>
          <w:sz w:val="21"/>
          <w:szCs w:val="21"/>
          <w:highlight w:val="none"/>
          <w:lang w:val="en-US" w:eastAsia="zh-CN"/>
        </w:rPr>
        <w:t>副食品表面外观新鲜、完整，无霉变异味，无砂粒杂质，无虫尸鼠粪等不洁卫生问题。</w:t>
      </w:r>
    </w:p>
    <w:p w14:paraId="1E468D5E">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7.啤酒饮料类</w:t>
      </w:r>
    </w:p>
    <w:p w14:paraId="15C2567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7.1啤酒类：</w:t>
      </w:r>
    </w:p>
    <w:p w14:paraId="229A9E2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7.1.1必须符合《食品安全国家标准 啤酒》（GB 4927）的要求。</w:t>
      </w:r>
    </w:p>
    <w:p w14:paraId="3C5A78B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7.1.2明确标注原麦汁浓度、酒精度。</w:t>
      </w:r>
    </w:p>
    <w:p w14:paraId="7BDC050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7.1.3泡沫丰富、细腻、挂杯持久（适用于特定类型啤酒）。</w:t>
      </w:r>
    </w:p>
    <w:p w14:paraId="48E5674F">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7.1.4具有显著的酒花香气和麦芽香气，口味纯正，杀口力强，无异味。</w:t>
      </w:r>
    </w:p>
    <w:p w14:paraId="2290EDB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7.2碳酸饮料类（汽水）：</w:t>
      </w:r>
    </w:p>
    <w:p w14:paraId="394BD2D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7.2.1必须符合《食品安全国家标准 饮料》（GB 7101）的要求。</w:t>
      </w:r>
    </w:p>
    <w:p w14:paraId="2C56E6C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7.2.2二氧化碳气容量充足，具备应有的爽口感和刺激感。</w:t>
      </w:r>
    </w:p>
    <w:p w14:paraId="33C933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7.2.3甜味剂、酸味剂使用得当，风味协调，无糖精钠等不良后味（如招标方要求无糖，则需使用指定代糖并明示）。</w:t>
      </w:r>
    </w:p>
    <w:p w14:paraId="597D9AF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7.3果汁及蔬菜汁类饮料：</w:t>
      </w:r>
    </w:p>
    <w:p w14:paraId="02FC348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7.3.1必须符合《食品安全国家标准 饮料》（GB 7101）和《食品安全国家标准 果蔬汁类及其饮料》（GB 7101）的要求。</w:t>
      </w:r>
    </w:p>
    <w:p w14:paraId="434A206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7.3.2明确标注原果汁（蔬菜汁）含量（%）。招标方可设定最低含量要求（例如：100%纯果汁、果汁含量≥50%等）。</w:t>
      </w:r>
    </w:p>
    <w:p w14:paraId="552C919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7.3.3具有新鲜水果/蔬菜应有的色泽和风味，无腐败变质味。</w:t>
      </w:r>
    </w:p>
    <w:p w14:paraId="5054450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7.4茶饮料类：</w:t>
      </w:r>
    </w:p>
    <w:p w14:paraId="3FE1C2A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7.4.1必须符合《食品安全国家标准 饮料》（GB 7101）和《茶饮料》（GB/T 21733）的要求。</w:t>
      </w:r>
    </w:p>
    <w:p w14:paraId="485C520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7.4.2明确标注类型（如：红茶/绿茶/乌龙茶、浓茶型/淡茶型）、是否添加糖。</w:t>
      </w:r>
    </w:p>
    <w:p w14:paraId="28A5B2D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7.4.3茶汤色泽正常，具有茶叶的清香和滋味，无氧化劣变产生的熟汤味。</w:t>
      </w:r>
    </w:p>
    <w:p w14:paraId="303474A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7.5包装饮用水类（矿泉水、纯净水等）：</w:t>
      </w:r>
    </w:p>
    <w:p w14:paraId="6C280D8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7.5.1必须符合《食品安全国家标准 包装饮用水》（GB 19298）或《食品安全国家标准 饮用天然矿泉水》（GB 8537）的要求。</w:t>
      </w:r>
    </w:p>
    <w:p w14:paraId="47E4EF9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7.5.2水质清澈透明，无色、无味、无臭、无任何肉眼可见物。</w:t>
      </w:r>
    </w:p>
    <w:p w14:paraId="6519E28D">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三、中标人的管理要求</w:t>
      </w:r>
    </w:p>
    <w:p w14:paraId="4FFB6DF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1.必须依据国家有关法律法规要求建立健全各项管理制度，保证食品安全；有明确的食品安全责任人。</w:t>
      </w:r>
    </w:p>
    <w:p w14:paraId="3CBF272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中标人在接到通知后备齐货物，按时送抵交货地点。中标人除不可抗力，不得因其他任何理由延迟送货。采购人如遇特殊情况需推迟送货，应提前通知中标人。中标人不能按时、按质、按量供货，导致采购人无法正常供应伙食的，采购人有权自行采购同等质量的货物，由此造成的经济损失和责任均由中标人承担，并承担违约责任。</w:t>
      </w:r>
    </w:p>
    <w:p w14:paraId="6CC6EB6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3.中标人应严格按招标要求（含品种、质量等）供应，不得变更供应商品，否则，采购人有权退货。</w:t>
      </w:r>
    </w:p>
    <w:p w14:paraId="0A7BE7F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4.中标人供应不合格的、假冒伪劣、以次充好的商品，采购人退货后将记录在案，作为考核依据，情节严重的，采购人有权无条件单方面终止合同。</w:t>
      </w:r>
    </w:p>
    <w:p w14:paraId="5FBF755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5.中标人须按供应商品的销售额开具国家正式发票。</w:t>
      </w:r>
    </w:p>
    <w:p w14:paraId="083570A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食品溯源要求：食品供应链必须明确，所有食品的来源必须清晰，来源应当是受到地方政府部门监管的流通市场或具有相关资质的厂家生产，食品生产企业必须获得全国工业产品生产许可证（QS/SC），生产食品的源头与中标人要有固定的合法的供应关系。中标人应保存以下资料：</w:t>
      </w:r>
    </w:p>
    <w:p w14:paraId="4EB7716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6.1中标人与生产企业或上一级供应商的销售合同；</w:t>
      </w:r>
    </w:p>
    <w:p w14:paraId="6BB0C43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6.2生产企业或上一级供应商的送货单和销售发票；</w:t>
      </w:r>
    </w:p>
    <w:p w14:paraId="484970B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6.3中标人与采购人的采购合同及送货单据、销售发票。</w:t>
      </w:r>
    </w:p>
    <w:p w14:paraId="43D5978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Cs w:val="21"/>
          <w:highlight w:val="none"/>
        </w:rPr>
        <w:t>保证供应的货品均为正规生产的，新鲜、检验合格、无毒、无辐射、无侵权货品，符合国家有关卫生、质量、包装和保质标准，要使用有效期的货品，其剩余有效期不得少于标注有效期的2/3。</w:t>
      </w:r>
    </w:p>
    <w:p w14:paraId="7109B702">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8.货物有包装的，货物的包装必须完整清洁(无损、无污、无皱),</w:t>
      </w:r>
      <w:r>
        <w:rPr>
          <w:rFonts w:hint="eastAsia" w:ascii="宋体" w:hAnsi="宋体" w:cs="宋体"/>
          <w:color w:val="auto"/>
          <w:szCs w:val="21"/>
          <w:highlight w:val="none"/>
          <w:lang w:val="en-US" w:eastAsia="zh-CN"/>
        </w:rPr>
        <w:t>采购人</w:t>
      </w:r>
      <w:r>
        <w:rPr>
          <w:rFonts w:hint="eastAsia" w:ascii="宋体" w:hAnsi="宋体" w:eastAsia="宋体" w:cs="宋体"/>
          <w:color w:val="auto"/>
          <w:szCs w:val="21"/>
          <w:highlight w:val="none"/>
        </w:rPr>
        <w:t>有权拒收包装不 整齐、已拆封的商品。</w:t>
      </w:r>
    </w:p>
    <w:p w14:paraId="6270A97B">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9.定期检查库存和待售食品，发现食品已经变质或者超过保质期的，应当立即下架，停止 销售，及时销毁，并建立销毁记录台账。不得采取更改生产日期或者保质期、重新加工、更换包装等措施后重新销售。</w:t>
      </w:r>
    </w:p>
    <w:p w14:paraId="5C8A93EA">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10.对采购的食品应当按照法律、法规和食品安全标准履行检查义务，检查食品质量和标签；查验供货者的许可证、营业执照和食品合格的证明文件。并通过记录、存档、复印等多种方式，记载查验情况。供应商提供的相关资质文件(审核加盖供应商公章的有效资信材料(复印件): 如商品进入该地区销售的许可证、商品检验报告；有机农产品证书；无公害农产品产地认定证书；农业转基因生物标识审查认可批准文件等。并通过记录、存档、复印等多种方式，记载查验情况。进口食品还需查验进口食品的合法证明</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卫检证明</w:t>
      </w:r>
      <w:r>
        <w:rPr>
          <w:rFonts w:hint="eastAsia" w:ascii="宋体" w:hAnsi="宋体" w:eastAsia="宋体" w:cs="宋体"/>
          <w:color w:val="auto"/>
          <w:szCs w:val="21"/>
          <w:highlight w:val="none"/>
        </w:rPr>
        <w:t>，做到一旦发现问题，可以迅速追溯到生产源头。</w:t>
      </w:r>
    </w:p>
    <w:p w14:paraId="2060B80C">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11.应当建立食品进货查验记录制度，如实记录食品的名称、规格、数量、生产批号(生产日期)、保质期、供货者名称及联系方式、进货日期等内容。进货查验记录应当真实，不得伪造，保存期限不得少于半年。做到一旦发现问题，可以迅速追溯到生产源头。</w:t>
      </w:r>
    </w:p>
    <w:p w14:paraId="5B1B5023">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12.对于变质、超过保质期及其他不符合食品安全要求或标准但又需自行销毁处理的食品，应当在不违反法律法规规定的情况下采取无害化处理。</w:t>
      </w:r>
    </w:p>
    <w:p w14:paraId="54E44B8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13.应当制定食品安全事故处置方案，定期检查各项食品安全防范措施的落实情况，及时消除事故隐患。有发生食品事故潜在风险的，应当立即停止经营活动，并向采购人报告。</w:t>
      </w:r>
    </w:p>
    <w:p w14:paraId="0F94F04C">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四、货物配送及卸货要求</w:t>
      </w:r>
    </w:p>
    <w:p w14:paraId="2391168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1.常规为中标人每周一次运送货物，实际供货时间按采购人通知为准，送至采购人指定地点。</w:t>
      </w:r>
    </w:p>
    <w:p w14:paraId="2668C58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2.食品运输必须采用符合国家标准的外包装和运载工具，并且要保持清洁和定期消毒。运输车厢的内仓，包括地面、墙面和顶，应使用抗腐蚀、防潮，易清洁消毒的材料。车厢内无不良气味、异味。</w:t>
      </w:r>
    </w:p>
    <w:p w14:paraId="2934011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冷藏、冷冻食品必须用专用冷藏、冷冻载具运输，应当有必要的保温设备并在整个运输过程中保持安全的冷藏、冷冻温度。特别是对于长途运输的食品，保证食品在运输全过程处于合适的温度范围。整个运输过程应科学合理，运输车辆应定期清洁，保持性能稳定，符合规定的温度要求，使运输食品处于恒定的环境中。</w:t>
      </w:r>
    </w:p>
    <w:p w14:paraId="39A7913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4.送货车辆实行一小时配送圈运作。商品到达目的地时外包装箱干爽，无软化现象。</w:t>
      </w:r>
    </w:p>
    <w:p w14:paraId="2F613B5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5.送货车辆应保持清洁；食品堆放科学合理，避免造成食品的交叉污染；如对温度有要求的粮油或食品应确定温度，记录送货车辆温度，并记录存档。</w:t>
      </w:r>
    </w:p>
    <w:p w14:paraId="68CC7040">
      <w:pPr>
        <w:pStyle w:val="8"/>
        <w:keepNext w:val="0"/>
        <w:keepLines w:val="0"/>
        <w:pageBreakBefore w:val="0"/>
        <w:kinsoku/>
        <w:wordWrap/>
        <w:overflowPunct/>
        <w:topLinePunct w:val="0"/>
        <w:autoSpaceDE/>
        <w:autoSpaceDN/>
        <w:bidi w:val="0"/>
        <w:spacing w:line="440" w:lineRule="exact"/>
        <w:ind w:firstLine="420" w:firstLineChars="200"/>
        <w:textAlignment w:val="auto"/>
        <w:rPr>
          <w:rFonts w:hint="eastAsia"/>
          <w:color w:val="auto"/>
          <w:sz w:val="21"/>
          <w:szCs w:val="21"/>
          <w:highlight w:val="none"/>
          <w:lang w:val="en-US" w:eastAsia="zh-CN"/>
        </w:rPr>
      </w:pPr>
      <w:r>
        <w:rPr>
          <w:rFonts w:hint="eastAsia" w:ascii="宋体" w:hAnsi="宋体" w:eastAsia="宋体" w:cs="宋体"/>
          <w:color w:val="auto"/>
          <w:sz w:val="21"/>
          <w:szCs w:val="21"/>
          <w:highlight w:val="none"/>
          <w:lang w:val="en-US" w:eastAsia="zh-CN"/>
        </w:rPr>
        <w:t>6.投标人需配备</w:t>
      </w:r>
      <w:r>
        <w:rPr>
          <w:rFonts w:hint="eastAsia"/>
          <w:color w:val="auto"/>
          <w:sz w:val="21"/>
          <w:szCs w:val="21"/>
          <w:highlight w:val="none"/>
          <w:lang w:val="en-US" w:eastAsia="zh-CN"/>
        </w:rPr>
        <w:t>不少于2台</w:t>
      </w:r>
      <w:r>
        <w:rPr>
          <w:rFonts w:hint="eastAsia" w:ascii="宋体" w:hAnsi="宋体" w:eastAsia="宋体" w:cs="宋体"/>
          <w:b w:val="0"/>
          <w:bCs w:val="0"/>
          <w:color w:val="auto"/>
          <w:sz w:val="21"/>
          <w:szCs w:val="21"/>
          <w:highlight w:val="none"/>
          <w:lang w:val="en-US" w:eastAsia="zh-CN"/>
        </w:rPr>
        <w:t>配送车辆</w:t>
      </w:r>
      <w:r>
        <w:rPr>
          <w:rFonts w:hint="eastAsia"/>
          <w:color w:val="auto"/>
          <w:sz w:val="21"/>
          <w:szCs w:val="21"/>
          <w:highlight w:val="none"/>
          <w:lang w:val="en-US" w:eastAsia="zh-CN"/>
        </w:rPr>
        <w:t>。</w:t>
      </w:r>
    </w:p>
    <w:p w14:paraId="07679251">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五、食品质量的基本检查</w:t>
      </w:r>
    </w:p>
    <w:p w14:paraId="26F9119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中标人应充分理解并认真遵循本招标文件的要求，所提供的货物必须是满足招标文件要求。保证合同货品均为正规生产的检验合格、无毒、诚实、无辐射、无侵权货品，符合国家有关质量、包装和保质标准，有使用有效期的货品，其剩余有效期不得少于标注有效期的80%</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w:t>
      </w:r>
    </w:p>
    <w:p w14:paraId="724F4E7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货物应清洁，并符合企业相关验收标准；货物应无损伤、腐烂现象，无寄生虫或已受虫害现象；对温度有要求的应确定温度与包装上指示温度一致。</w:t>
      </w:r>
    </w:p>
    <w:p w14:paraId="2CFF34A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货物有包装的，货物的包装必须完整清洁（无损、无污、无皱）。采购人有权拒收包装不整齐、已拆封的商品。</w:t>
      </w:r>
    </w:p>
    <w:p w14:paraId="2DB5912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采购人发现商品出现损坏（包括表面损坏），或出现水渍、串味、受潮等导致货物性质改变的，中标人必须无条件退货或更换商品。</w:t>
      </w:r>
    </w:p>
    <w:p w14:paraId="666C710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对食品检查如下：</w:t>
      </w:r>
    </w:p>
    <w:p w14:paraId="3A533B8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5.1</w:t>
      </w:r>
      <w:r>
        <w:rPr>
          <w:rFonts w:hint="eastAsia" w:ascii="宋体" w:hAnsi="宋体" w:eastAsia="宋体" w:cs="宋体"/>
          <w:color w:val="auto"/>
          <w:sz w:val="21"/>
          <w:szCs w:val="21"/>
          <w:highlight w:val="none"/>
        </w:rPr>
        <w:t>中标人供应的粮油或食品必须符合国家食品药品监督管理部门或市场监督管理部门的有关法规要求或标准，如无标准，按行业规范。采购生产、经营证明文件齐备，明确食品来源，并具有检验合格证明。严禁采购有害、有毒、腐烂变质、酸败、霉变、生虫、污垢不洁、混有异物或其他感官性状异常的食品。禁止采购超过保质期限的食品。</w:t>
      </w:r>
    </w:p>
    <w:p w14:paraId="18B97FC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5.2</w:t>
      </w:r>
      <w:r>
        <w:rPr>
          <w:rFonts w:hint="eastAsia" w:ascii="宋体" w:hAnsi="宋体" w:eastAsia="宋体" w:cs="宋体"/>
          <w:color w:val="auto"/>
          <w:sz w:val="21"/>
          <w:szCs w:val="21"/>
          <w:highlight w:val="none"/>
        </w:rPr>
        <w:t>食品包装必须符合国家规范。采购的食品不得存放在有害、有毒的容器内。食品包装上必须使用原产地标识，应注明：制造商名称和厂址、食品名称和重（容）量、生产日期和保质期限以及规格和QS/SC 认证等。</w:t>
      </w:r>
    </w:p>
    <w:p w14:paraId="00CA8BB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5.3</w:t>
      </w:r>
      <w:r>
        <w:rPr>
          <w:rFonts w:hint="eastAsia" w:ascii="宋体" w:hAnsi="宋体" w:eastAsia="宋体" w:cs="宋体"/>
          <w:color w:val="auto"/>
          <w:sz w:val="21"/>
          <w:szCs w:val="21"/>
          <w:highlight w:val="none"/>
        </w:rPr>
        <w:t>对不符合采购要求的食品由验收人员提出清退，退货前应实行留板备案，如双方对质量争议可送国家质监部门检测。对缺斤短两（或含水量超标）的应按实际重量扣减。</w:t>
      </w:r>
    </w:p>
    <w:p w14:paraId="4A602D9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中标人应能够配合采购人及时更新所提供的符合卫监部门的有效证明材料。如有效的营业执照、产品合格证、食品经营许可证等。</w:t>
      </w:r>
    </w:p>
    <w:p w14:paraId="54F54BBF">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中标人提供假冒伪劣、过期、变质的、有毒食品的，一经发现，除按采购人要求无条件退货或换货外，还将受到如下处罚：</w:t>
      </w:r>
    </w:p>
    <w:p w14:paraId="327EE3D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7.1</w:t>
      </w:r>
      <w:r>
        <w:rPr>
          <w:rFonts w:hint="eastAsia" w:ascii="宋体" w:hAnsi="宋体" w:eastAsia="宋体" w:cs="宋体"/>
          <w:color w:val="auto"/>
          <w:sz w:val="21"/>
          <w:szCs w:val="21"/>
          <w:highlight w:val="none"/>
        </w:rPr>
        <w:t>中标人提供假冒伪劣、过期、变质食品的，要求无条件退货或换货外，被处以当次供应食品货款2 倍的</w:t>
      </w:r>
      <w:r>
        <w:rPr>
          <w:rFonts w:hint="eastAsia" w:ascii="宋体" w:hAnsi="宋体" w:cs="宋体"/>
          <w:color w:val="auto"/>
          <w:sz w:val="21"/>
          <w:szCs w:val="21"/>
          <w:highlight w:val="none"/>
          <w:lang w:val="en-US" w:eastAsia="zh-CN"/>
        </w:rPr>
        <w:t>违约金</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违约金</w:t>
      </w:r>
      <w:r>
        <w:rPr>
          <w:rFonts w:hint="eastAsia" w:ascii="宋体" w:hAnsi="宋体" w:eastAsia="宋体" w:cs="宋体"/>
          <w:color w:val="auto"/>
          <w:sz w:val="21"/>
          <w:szCs w:val="21"/>
          <w:highlight w:val="none"/>
        </w:rPr>
        <w:t>由供货结算款内扣除。</w:t>
      </w:r>
    </w:p>
    <w:p w14:paraId="1336C87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7.2</w:t>
      </w:r>
      <w:r>
        <w:rPr>
          <w:rFonts w:hint="eastAsia" w:ascii="宋体" w:hAnsi="宋体" w:eastAsia="宋体" w:cs="宋体"/>
          <w:color w:val="auto"/>
          <w:sz w:val="21"/>
          <w:szCs w:val="21"/>
          <w:highlight w:val="none"/>
        </w:rPr>
        <w:t>中标人提供有毒食品的，造成食品安全事故的，经有关单位鉴定原因后，如确实为中标人提供之食品问题，中标人除需负担全数之医药费外。除没收履约保证金外，采购人终止合同，中标人同时承担相应的民事及刑事法律责任及放弃先诉抗辩权。</w:t>
      </w:r>
    </w:p>
    <w:p w14:paraId="6E5A456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对不符合质量要求的食品由采购人使用单位验收人员提出清退，如双方对质量或重量有争议的可送具有检验资质的部门检测，同时留样备检，对数量不足或部分退货的，责成中标人以不影响</w:t>
      </w:r>
      <w:r>
        <w:rPr>
          <w:rFonts w:hint="eastAsia" w:ascii="宋体" w:hAnsi="宋体" w:cs="宋体"/>
          <w:color w:val="auto"/>
          <w:sz w:val="21"/>
          <w:szCs w:val="21"/>
          <w:highlight w:val="none"/>
          <w:lang w:eastAsia="zh-CN"/>
        </w:rPr>
        <w:t>饭堂</w:t>
      </w:r>
      <w:r>
        <w:rPr>
          <w:rFonts w:hint="eastAsia" w:ascii="宋体" w:hAnsi="宋体" w:eastAsia="宋体" w:cs="宋体"/>
          <w:color w:val="auto"/>
          <w:sz w:val="21"/>
          <w:szCs w:val="21"/>
          <w:highlight w:val="none"/>
        </w:rPr>
        <w:t>供应为前提尽快补送。在退货过程中，对有碍公共卫生安全的食品，应按国家有关规定处理或进行协议销毁，不退货给中标人。</w:t>
      </w:r>
    </w:p>
    <w:p w14:paraId="1DBC4E3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rPr>
      </w:pPr>
    </w:p>
    <w:p w14:paraId="212ED2D7">
      <w:pPr>
        <w:keepNext w:val="0"/>
        <w:keepLines w:val="0"/>
        <w:pageBreakBefore w:val="0"/>
        <w:widowControl/>
        <w:kinsoku/>
        <w:wordWrap/>
        <w:overflowPunct/>
        <w:topLinePunct w:val="0"/>
        <w:autoSpaceDE/>
        <w:autoSpaceDN/>
        <w:bidi w:val="0"/>
        <w:adjustRightInd w:val="0"/>
        <w:snapToGrid w:val="0"/>
        <w:spacing w:line="440" w:lineRule="exact"/>
        <w:ind w:firstLine="422" w:firstLineChars="200"/>
        <w:textAlignment w:val="auto"/>
        <w:rPr>
          <w:rFonts w:hint="eastAsia" w:ascii="宋体" w:hAnsi="宋体" w:eastAsia="宋体" w:cs="宋体"/>
          <w:color w:val="auto"/>
          <w:highlight w:val="none"/>
        </w:rPr>
      </w:pPr>
      <w:r>
        <w:rPr>
          <w:rFonts w:hint="eastAsia" w:ascii="宋体" w:hAnsi="宋体" w:cs="宋体"/>
          <w:b/>
          <w:bCs/>
          <w:color w:val="auto"/>
          <w:sz w:val="21"/>
          <w:szCs w:val="21"/>
          <w:highlight w:val="none"/>
          <w:lang w:val="en-US" w:eastAsia="zh-CN"/>
        </w:rPr>
        <w:t>七</w:t>
      </w:r>
      <w:r>
        <w:rPr>
          <w:rFonts w:hint="eastAsia" w:ascii="宋体" w:hAnsi="宋体" w:eastAsia="宋体" w:cs="宋体"/>
          <w:b/>
          <w:bCs/>
          <w:color w:val="auto"/>
          <w:sz w:val="21"/>
          <w:szCs w:val="21"/>
          <w:highlight w:val="none"/>
          <w:lang w:val="en-US" w:eastAsia="zh-CN"/>
        </w:rPr>
        <w:t>、</w:t>
      </w:r>
      <w:r>
        <w:rPr>
          <w:rFonts w:hint="eastAsia" w:ascii="宋体" w:hAnsi="宋体" w:eastAsia="宋体" w:cs="宋体"/>
          <w:b/>
          <w:bCs/>
          <w:color w:val="auto"/>
          <w:highlight w:val="none"/>
        </w:rPr>
        <w:t>考核标准</w:t>
      </w:r>
    </w:p>
    <w:p w14:paraId="20C66151">
      <w:pPr>
        <w:keepNext w:val="0"/>
        <w:keepLines w:val="0"/>
        <w:pageBreakBefore w:val="0"/>
        <w:widowControl/>
        <w:kinsoku/>
        <w:wordWrap/>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采购人对</w:t>
      </w:r>
      <w:r>
        <w:rPr>
          <w:rFonts w:hint="eastAsia" w:ascii="宋体" w:hAnsi="宋体" w:eastAsia="宋体" w:cs="宋体"/>
          <w:color w:val="auto"/>
          <w:highlight w:val="none"/>
          <w:lang w:val="en-US" w:eastAsia="zh-CN"/>
        </w:rPr>
        <w:t>调味品</w:t>
      </w:r>
      <w:r>
        <w:rPr>
          <w:rFonts w:hint="eastAsia" w:ascii="宋体" w:hAnsi="宋体" w:eastAsia="宋体" w:cs="宋体"/>
          <w:color w:val="auto"/>
          <w:highlight w:val="none"/>
        </w:rPr>
        <w:t>配送供应商实行考核制度，考核指标包括食品安全、供货质量、供货数量准确性、供货价格、服务质量等，每半年进行一次考核。中标人在服务期限内须接受采购人的考核。考核具体内容详见附件1。</w:t>
      </w:r>
    </w:p>
    <w:p w14:paraId="298E45E1">
      <w:pPr>
        <w:keepNext w:val="0"/>
        <w:keepLines w:val="0"/>
        <w:pageBreakBefore w:val="0"/>
        <w:widowControl/>
        <w:kinsoku/>
        <w:wordWrap/>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highlight w:val="none"/>
        </w:rPr>
      </w:pPr>
      <w:r>
        <w:rPr>
          <w:rFonts w:hint="eastAsia" w:ascii="宋体" w:hAnsi="宋体" w:cs="宋体"/>
          <w:color w:val="auto"/>
          <w:highlight w:val="none"/>
          <w:lang w:val="en-US" w:eastAsia="zh-CN"/>
        </w:rPr>
        <w:t>7</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考核结果分为</w:t>
      </w:r>
      <w:r>
        <w:rPr>
          <w:rFonts w:hint="eastAsia" w:ascii="宋体" w:hAnsi="宋体" w:cs="宋体"/>
          <w:color w:val="auto"/>
          <w:highlight w:val="none"/>
          <w:lang w:val="en-US" w:eastAsia="zh-CN"/>
        </w:rPr>
        <w:t>优秀、</w:t>
      </w:r>
      <w:r>
        <w:rPr>
          <w:rFonts w:hint="eastAsia" w:ascii="宋体" w:hAnsi="宋体" w:eastAsia="宋体" w:cs="宋体"/>
          <w:color w:val="auto"/>
          <w:highlight w:val="none"/>
        </w:rPr>
        <w:t>合格和不合格</w:t>
      </w:r>
      <w:r>
        <w:rPr>
          <w:rFonts w:hint="eastAsia" w:ascii="宋体" w:hAnsi="宋体" w:cs="宋体"/>
          <w:color w:val="auto"/>
          <w:highlight w:val="none"/>
          <w:lang w:val="en-US" w:eastAsia="zh-CN"/>
        </w:rPr>
        <w:t>3</w:t>
      </w:r>
      <w:r>
        <w:rPr>
          <w:rFonts w:hint="eastAsia" w:ascii="宋体" w:hAnsi="宋体" w:eastAsia="宋体" w:cs="宋体"/>
          <w:color w:val="auto"/>
          <w:highlight w:val="none"/>
        </w:rPr>
        <w:t>个等次：</w:t>
      </w:r>
    </w:p>
    <w:p w14:paraId="5ADA0A42">
      <w:pPr>
        <w:keepNext w:val="0"/>
        <w:keepLines w:val="0"/>
        <w:pageBreakBefore w:val="0"/>
        <w:widowControl/>
        <w:kinsoku/>
        <w:wordWrap/>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①</w:t>
      </w:r>
      <w:r>
        <w:rPr>
          <w:rFonts w:hint="eastAsia" w:ascii="宋体" w:hAnsi="宋体" w:eastAsia="宋体" w:cs="宋体"/>
          <w:color w:val="auto"/>
          <w:highlight w:val="none"/>
          <w:lang w:val="en-US" w:eastAsia="zh-CN"/>
        </w:rPr>
        <w:t>分数≥80分，结论:优秀，继续合作。</w:t>
      </w:r>
    </w:p>
    <w:p w14:paraId="7D3CDA85">
      <w:pPr>
        <w:keepNext w:val="0"/>
        <w:keepLines w:val="0"/>
        <w:pageBreakBefore w:val="0"/>
        <w:widowControl/>
        <w:kinsoku/>
        <w:wordWrap/>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②</w:t>
      </w:r>
      <w:r>
        <w:rPr>
          <w:rFonts w:hint="eastAsia" w:ascii="宋体" w:hAnsi="宋体" w:eastAsia="宋体" w:cs="宋体"/>
          <w:color w:val="auto"/>
          <w:highlight w:val="none"/>
          <w:lang w:val="en-US" w:eastAsia="zh-CN"/>
        </w:rPr>
        <w:t>80分&gt;分数≥60分，结论:合格，继续合作，问题点限时整改。</w:t>
      </w:r>
    </w:p>
    <w:p w14:paraId="5E8AD1DB">
      <w:pPr>
        <w:keepNext w:val="0"/>
        <w:keepLines w:val="0"/>
        <w:pageBreakBefore w:val="0"/>
        <w:widowControl/>
        <w:kinsoku/>
        <w:wordWrap/>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b/>
          <w:bCs/>
          <w:color w:val="auto"/>
          <w:highlight w:val="none"/>
          <w:lang w:val="en-US" w:eastAsia="zh-CN"/>
        </w:rPr>
      </w:pPr>
      <w:r>
        <w:rPr>
          <w:rFonts w:hint="eastAsia" w:ascii="宋体" w:hAnsi="宋体" w:cs="宋体"/>
          <w:color w:val="auto"/>
          <w:highlight w:val="none"/>
          <w:lang w:val="en-US" w:eastAsia="zh-CN"/>
        </w:rPr>
        <w:t>③</w:t>
      </w:r>
      <w:r>
        <w:rPr>
          <w:rFonts w:hint="eastAsia" w:ascii="宋体" w:hAnsi="宋体" w:eastAsia="宋体" w:cs="宋体"/>
          <w:color w:val="auto"/>
          <w:highlight w:val="none"/>
          <w:lang w:val="en-US" w:eastAsia="zh-CN"/>
        </w:rPr>
        <w:t>60分&gt;分数，或出现重大质量问题，结论:不合格，停止合作。</w:t>
      </w:r>
    </w:p>
    <w:p w14:paraId="7D8B85F8">
      <w:pPr>
        <w:keepNext w:val="0"/>
        <w:keepLines w:val="0"/>
        <w:pageBreakBefore w:val="0"/>
        <w:widowControl/>
        <w:kinsoku/>
        <w:wordWrap/>
        <w:overflowPunct/>
        <w:topLinePunct w:val="0"/>
        <w:autoSpaceDE/>
        <w:autoSpaceDN/>
        <w:bidi w:val="0"/>
        <w:adjustRightInd w:val="0"/>
        <w:snapToGrid w:val="0"/>
        <w:spacing w:line="440" w:lineRule="exact"/>
        <w:ind w:firstLine="422" w:firstLineChars="20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八、</w:t>
      </w:r>
      <w:r>
        <w:rPr>
          <w:rFonts w:hint="eastAsia" w:ascii="宋体" w:hAnsi="宋体" w:eastAsia="宋体" w:cs="宋体"/>
          <w:b/>
          <w:bCs/>
          <w:color w:val="auto"/>
          <w:highlight w:val="none"/>
        </w:rPr>
        <w:t>其他类要求</w:t>
      </w:r>
    </w:p>
    <w:p w14:paraId="271EF776">
      <w:pPr>
        <w:keepNext w:val="0"/>
        <w:keepLines w:val="0"/>
        <w:pageBreakBefore w:val="0"/>
        <w:widowControl/>
        <w:kinsoku/>
        <w:wordWrap/>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对于采购人需求供货物资或品种不在上述类别内的，中标人须按采购人要求供货。同时须遵守国家规定的《食品安全法》、《农产品质量安全法》、《食品卫生法》等法律和行政法规的规定，提供的货品须符合国家有关卫生标准，保质、保量、保鲜，严禁配送假冒、变质、过期的货品。不合格的货品，中标人须无条件包退包换。</w:t>
      </w:r>
    </w:p>
    <w:p w14:paraId="084D515E">
      <w:pPr>
        <w:keepNext w:val="0"/>
        <w:keepLines w:val="0"/>
        <w:pageBreakBefore w:val="0"/>
        <w:widowControl/>
        <w:kinsoku/>
        <w:wordWrap/>
        <w:overflowPunct/>
        <w:topLinePunct w:val="0"/>
        <w:autoSpaceDE/>
        <w:autoSpaceDN/>
        <w:bidi w:val="0"/>
        <w:adjustRightInd w:val="0"/>
        <w:snapToGrid w:val="0"/>
        <w:spacing w:line="440" w:lineRule="exact"/>
        <w:ind w:firstLine="422" w:firstLineChars="200"/>
        <w:textAlignment w:val="auto"/>
        <w:rPr>
          <w:rFonts w:hint="eastAsia" w:ascii="宋体" w:hAnsi="宋体" w:eastAsia="宋体" w:cs="宋体"/>
          <w:color w:val="auto"/>
          <w:highlight w:val="none"/>
          <w:lang w:val="en-US" w:eastAsia="zh-CN"/>
        </w:rPr>
      </w:pPr>
      <w:r>
        <w:rPr>
          <w:rFonts w:hint="eastAsia" w:ascii="宋体" w:hAnsi="宋体" w:cs="宋体"/>
          <w:b/>
          <w:bCs/>
          <w:color w:val="auto"/>
          <w:szCs w:val="21"/>
          <w:highlight w:val="none"/>
          <w:lang w:val="en-US" w:eastAsia="zh-CN"/>
        </w:rPr>
        <w:t>九、</w:t>
      </w:r>
      <w:r>
        <w:rPr>
          <w:rFonts w:hint="eastAsia" w:ascii="宋体" w:hAnsi="宋体" w:eastAsia="宋体" w:cs="宋体"/>
          <w:b/>
          <w:bCs/>
          <w:color w:val="auto"/>
          <w:highlight w:val="none"/>
          <w:lang w:val="en-US" w:eastAsia="zh-CN"/>
        </w:rPr>
        <w:t>物资明细表</w:t>
      </w:r>
      <w:r>
        <w:rPr>
          <w:rFonts w:hint="eastAsia" w:ascii="宋体" w:hAnsi="宋体" w:cs="宋体"/>
          <w:b/>
          <w:bCs/>
          <w:color w:val="auto"/>
          <w:highlight w:val="none"/>
          <w:lang w:val="en-US" w:eastAsia="zh-CN"/>
        </w:rPr>
        <w:t>（以公告附件一并发出）</w:t>
      </w:r>
    </w:p>
    <w:p w14:paraId="32BBE028">
      <w:pPr>
        <w:keepNext w:val="0"/>
        <w:keepLines w:val="0"/>
        <w:pageBreakBefore w:val="0"/>
        <w:widowControl/>
        <w:kinsoku/>
        <w:wordWrap/>
        <w:overflowPunct/>
        <w:topLinePunct w:val="0"/>
        <w:autoSpaceDE/>
        <w:autoSpaceDN/>
        <w:bidi w:val="0"/>
        <w:adjustRightInd w:val="0"/>
        <w:snapToGrid w:val="0"/>
        <w:spacing w:line="440" w:lineRule="exact"/>
        <w:ind w:firstLine="420" w:firstLineChars="200"/>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注：①数量为预估数量，供货时以采购人实际需求下单为准。</w:t>
      </w:r>
    </w:p>
    <w:p w14:paraId="01FBD43A">
      <w:pPr>
        <w:keepNext w:val="0"/>
        <w:keepLines w:val="0"/>
        <w:pageBreakBefore w:val="0"/>
        <w:widowControl/>
        <w:kinsoku/>
        <w:wordWrap/>
        <w:overflowPunct/>
        <w:topLinePunct w:val="0"/>
        <w:autoSpaceDE/>
        <w:autoSpaceDN/>
        <w:bidi w:val="0"/>
        <w:adjustRightInd w:val="0"/>
        <w:snapToGrid w:val="0"/>
        <w:spacing w:line="440" w:lineRule="exact"/>
        <w:ind w:firstLine="420" w:firstLineChars="200"/>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②不含税总价 = ∑（招标文件《物资明细表》中列明的预估数量 × 投标人填报的不含税投标单价），且仅用于评审环节，不含税投标单价不得超过采购人设定的不含税单价最高限价。</w:t>
      </w:r>
    </w:p>
    <w:p w14:paraId="4B7888EF">
      <w:pPr>
        <w:keepNext w:val="0"/>
        <w:keepLines w:val="0"/>
        <w:pageBreakBefore w:val="0"/>
        <w:widowControl/>
        <w:kinsoku/>
        <w:wordWrap/>
        <w:overflowPunct/>
        <w:topLinePunct w:val="0"/>
        <w:autoSpaceDE/>
        <w:autoSpaceDN/>
        <w:bidi w:val="0"/>
        <w:adjustRightInd w:val="0"/>
        <w:snapToGrid w:val="0"/>
        <w:spacing w:line="440" w:lineRule="exact"/>
        <w:ind w:firstLine="420" w:firstLineChars="200"/>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③采购人需求品种包含但不限于明细表中所列的品种；未列入物资明细表内又需要购买的货品，其单价由采购人及中标人双方以定价原则确定供货价格。</w:t>
      </w:r>
    </w:p>
    <w:p w14:paraId="76DB917A">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71050A68">
      <w:pPr>
        <w:pStyle w:val="9"/>
        <w:spacing w:line="240" w:lineRule="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附件1：供应商评价表</w:t>
      </w:r>
    </w:p>
    <w:p w14:paraId="70764EC2">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      年 月）</w:t>
      </w:r>
    </w:p>
    <w:tbl>
      <w:tblPr>
        <w:tblStyle w:val="30"/>
        <w:tblW w:w="83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4"/>
        <w:gridCol w:w="3602"/>
        <w:gridCol w:w="841"/>
        <w:gridCol w:w="928"/>
        <w:gridCol w:w="928"/>
        <w:gridCol w:w="1087"/>
      </w:tblGrid>
      <w:tr w14:paraId="6410F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83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2F0D233">
            <w:pPr>
              <w:keepNext w:val="0"/>
              <w:keepLines w:val="0"/>
              <w:widowControl/>
              <w:suppressLineNumbers w:val="0"/>
              <w:jc w:val="center"/>
              <w:textAlignment w:val="center"/>
              <w:rPr>
                <w:rFonts w:hint="eastAsia" w:ascii="宋体" w:hAnsi="宋体" w:eastAsia="宋体" w:cs="宋体"/>
                <w:b/>
                <w:bCs/>
                <w:i w:val="0"/>
                <w:iCs w:val="0"/>
                <w:color w:val="auto"/>
                <w:sz w:val="32"/>
                <w:szCs w:val="32"/>
                <w:highlight w:val="none"/>
                <w:u w:val="none"/>
              </w:rPr>
            </w:pPr>
            <w:r>
              <w:rPr>
                <w:rFonts w:hint="eastAsia" w:ascii="宋体" w:hAnsi="宋体" w:cs="宋体"/>
                <w:b/>
                <w:bCs/>
                <w:i w:val="0"/>
                <w:iCs w:val="0"/>
                <w:color w:val="auto"/>
                <w:kern w:val="0"/>
                <w:sz w:val="32"/>
                <w:szCs w:val="32"/>
                <w:highlight w:val="none"/>
                <w:u w:val="single"/>
                <w:lang w:val="en-US" w:eastAsia="zh-CN" w:bidi="ar"/>
              </w:rPr>
              <w:t xml:space="preserve">               </w:t>
            </w:r>
            <w:r>
              <w:rPr>
                <w:rFonts w:hint="eastAsia" w:ascii="宋体" w:hAnsi="宋体" w:eastAsia="宋体" w:cs="宋体"/>
                <w:b/>
                <w:bCs/>
                <w:i w:val="0"/>
                <w:iCs w:val="0"/>
                <w:color w:val="auto"/>
                <w:kern w:val="0"/>
                <w:sz w:val="32"/>
                <w:szCs w:val="32"/>
                <w:highlight w:val="none"/>
                <w:u w:val="single"/>
                <w:lang w:val="en-US" w:eastAsia="zh-CN" w:bidi="ar"/>
              </w:rPr>
              <w:t>酒店有限公司</w:t>
            </w:r>
          </w:p>
        </w:tc>
      </w:tr>
      <w:tr w14:paraId="5ABFC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83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81F0720">
            <w:pPr>
              <w:keepNext w:val="0"/>
              <w:keepLines w:val="0"/>
              <w:widowControl/>
              <w:suppressLineNumbers w:val="0"/>
              <w:jc w:val="center"/>
              <w:textAlignment w:val="center"/>
              <w:rPr>
                <w:rFonts w:hint="eastAsia" w:ascii="宋体" w:hAnsi="宋体" w:eastAsia="宋体" w:cs="宋体"/>
                <w:b/>
                <w:bCs/>
                <w:i w:val="0"/>
                <w:iCs w:val="0"/>
                <w:color w:val="auto"/>
                <w:sz w:val="32"/>
                <w:szCs w:val="32"/>
                <w:highlight w:val="none"/>
                <w:u w:val="none"/>
              </w:rPr>
            </w:pPr>
            <w:r>
              <w:rPr>
                <w:rFonts w:hint="eastAsia" w:ascii="宋体" w:hAnsi="宋体" w:eastAsia="宋体" w:cs="宋体"/>
                <w:b/>
                <w:bCs/>
                <w:i w:val="0"/>
                <w:iCs w:val="0"/>
                <w:color w:val="auto"/>
                <w:kern w:val="0"/>
                <w:sz w:val="32"/>
                <w:szCs w:val="32"/>
                <w:highlight w:val="none"/>
                <w:u w:val="none"/>
                <w:lang w:val="en-US" w:eastAsia="zh-CN" w:bidi="ar"/>
              </w:rPr>
              <w:t>供应商评价表</w:t>
            </w:r>
          </w:p>
        </w:tc>
      </w:tr>
      <w:tr w14:paraId="60893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0E2CC">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供应商名称：</w:t>
            </w: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978E6">
            <w:pPr>
              <w:rPr>
                <w:rFonts w:hint="eastAsia" w:ascii="宋体" w:hAnsi="宋体" w:eastAsia="宋体" w:cs="宋体"/>
                <w:b/>
                <w:bCs/>
                <w:i w:val="0"/>
                <w:iCs w:val="0"/>
                <w:color w:val="auto"/>
                <w:sz w:val="22"/>
                <w:szCs w:val="22"/>
                <w:highlight w:val="none"/>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90161">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评价时间：</w:t>
            </w: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E76609">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年   月   日</w:t>
            </w:r>
          </w:p>
        </w:tc>
      </w:tr>
      <w:tr w14:paraId="1D954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0651C">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供货品类：</w:t>
            </w: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9A78A">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食品类</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54461">
            <w:pPr>
              <w:rPr>
                <w:rFonts w:hint="eastAsia" w:ascii="宋体" w:hAnsi="宋体" w:eastAsia="宋体" w:cs="宋体"/>
                <w:b/>
                <w:bCs/>
                <w:i w:val="0"/>
                <w:iCs w:val="0"/>
                <w:color w:val="auto"/>
                <w:sz w:val="22"/>
                <w:szCs w:val="22"/>
                <w:highlight w:val="none"/>
                <w:u w:val="none"/>
              </w:rPr>
            </w:pP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B8AADB">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评分部门</w:t>
            </w:r>
          </w:p>
        </w:tc>
      </w:tr>
      <w:tr w14:paraId="0DEAF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84C7B">
            <w:pPr>
              <w:rPr>
                <w:rFonts w:hint="eastAsia" w:ascii="宋体" w:hAnsi="宋体" w:eastAsia="宋体" w:cs="宋体"/>
                <w:i w:val="0"/>
                <w:iCs w:val="0"/>
                <w:color w:val="auto"/>
                <w:sz w:val="20"/>
                <w:szCs w:val="20"/>
                <w:highlight w:val="none"/>
                <w:u w:val="none"/>
              </w:rPr>
            </w:pP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5766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依据描述</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DFD1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得分范围</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0A8B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使用部门</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255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财务部</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7E0C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行政综合部</w:t>
            </w:r>
          </w:p>
        </w:tc>
      </w:tr>
      <w:tr w14:paraId="68D0D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C10E84">
            <w:pPr>
              <w:keepNext w:val="0"/>
              <w:keepLines w:val="0"/>
              <w:widowControl/>
              <w:suppressLineNumbers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1、供货及时性</w:t>
            </w:r>
            <w:r>
              <w:rPr>
                <w:rFonts w:hint="eastAsia" w:ascii="宋体" w:hAnsi="宋体" w:cs="宋体"/>
                <w:i w:val="0"/>
                <w:iCs w:val="0"/>
                <w:color w:val="auto"/>
                <w:kern w:val="0"/>
                <w:sz w:val="20"/>
                <w:szCs w:val="20"/>
                <w:highlight w:val="none"/>
                <w:u w:val="none"/>
                <w:lang w:val="en-US" w:eastAsia="zh-CN" w:bidi="ar"/>
              </w:rPr>
              <w:t>（20分）</w:t>
            </w: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FED5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(1)每次均能及时到货</w:t>
            </w:r>
            <w:r>
              <w:rPr>
                <w:rFonts w:hint="eastAsia" w:ascii="宋体" w:hAnsi="宋体" w:cs="宋体"/>
                <w:i w:val="0"/>
                <w:iCs w:val="0"/>
                <w:color w:val="auto"/>
                <w:kern w:val="0"/>
                <w:sz w:val="20"/>
                <w:szCs w:val="20"/>
                <w:highlight w:val="none"/>
                <w:u w:val="none"/>
                <w:lang w:val="en-US" w:eastAsia="zh-CN" w:bidi="ar"/>
              </w:rPr>
              <w:t>，并提供完整检测报告</w:t>
            </w:r>
            <w:r>
              <w:rPr>
                <w:rFonts w:hint="eastAsia" w:ascii="宋体" w:hAnsi="宋体" w:eastAsia="宋体" w:cs="宋体"/>
                <w:i w:val="0"/>
                <w:iCs w:val="0"/>
                <w:color w:val="auto"/>
                <w:kern w:val="0"/>
                <w:sz w:val="20"/>
                <w:szCs w:val="20"/>
                <w:highlight w:val="none"/>
                <w:u w:val="none"/>
                <w:lang w:val="en-US" w:eastAsia="zh-CN" w:bidi="ar"/>
              </w:rPr>
              <w:t>。</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B5C9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CA0D21">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A33EB6">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586D68">
            <w:pPr>
              <w:jc w:val="center"/>
              <w:rPr>
                <w:rFonts w:hint="eastAsia" w:ascii="宋体" w:hAnsi="宋体" w:eastAsia="宋体" w:cs="宋体"/>
                <w:i w:val="0"/>
                <w:iCs w:val="0"/>
                <w:color w:val="auto"/>
                <w:sz w:val="20"/>
                <w:szCs w:val="20"/>
                <w:highlight w:val="none"/>
                <w:u w:val="none"/>
              </w:rPr>
            </w:pPr>
          </w:p>
        </w:tc>
      </w:tr>
      <w:tr w14:paraId="087F2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04C20B">
            <w:pPr>
              <w:jc w:val="center"/>
              <w:rPr>
                <w:rFonts w:hint="eastAsia" w:ascii="宋体" w:hAnsi="宋体" w:eastAsia="宋体" w:cs="宋体"/>
                <w:i w:val="0"/>
                <w:iCs w:val="0"/>
                <w:color w:val="auto"/>
                <w:sz w:val="20"/>
                <w:szCs w:val="20"/>
                <w:highlight w:val="none"/>
                <w:u w:val="none"/>
              </w:rPr>
            </w:pP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B1061">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(2)偶尔供货</w:t>
            </w:r>
            <w:r>
              <w:rPr>
                <w:rFonts w:hint="eastAsia" w:ascii="宋体" w:hAnsi="宋体" w:cs="宋体"/>
                <w:i w:val="0"/>
                <w:iCs w:val="0"/>
                <w:color w:val="auto"/>
                <w:kern w:val="0"/>
                <w:sz w:val="20"/>
                <w:szCs w:val="20"/>
                <w:highlight w:val="none"/>
                <w:u w:val="none"/>
                <w:lang w:val="en-US" w:eastAsia="zh-CN" w:bidi="ar"/>
              </w:rPr>
              <w:t>及提供检测报告</w:t>
            </w:r>
            <w:r>
              <w:rPr>
                <w:rFonts w:hint="eastAsia" w:ascii="宋体" w:hAnsi="宋体" w:eastAsia="宋体" w:cs="宋体"/>
                <w:i w:val="0"/>
                <w:iCs w:val="0"/>
                <w:color w:val="auto"/>
                <w:kern w:val="0"/>
                <w:sz w:val="20"/>
                <w:szCs w:val="20"/>
                <w:highlight w:val="none"/>
                <w:u w:val="none"/>
                <w:lang w:val="en-US" w:eastAsia="zh-CN" w:bidi="ar"/>
              </w:rPr>
              <w:t>不及时，但对出品造成较小影响。</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F64B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7CB186">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DD60AC">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7E3A39">
            <w:pPr>
              <w:jc w:val="center"/>
              <w:rPr>
                <w:rFonts w:hint="eastAsia" w:ascii="宋体" w:hAnsi="宋体" w:eastAsia="宋体" w:cs="宋体"/>
                <w:i w:val="0"/>
                <w:iCs w:val="0"/>
                <w:color w:val="auto"/>
                <w:sz w:val="20"/>
                <w:szCs w:val="20"/>
                <w:highlight w:val="none"/>
                <w:u w:val="none"/>
              </w:rPr>
            </w:pPr>
          </w:p>
        </w:tc>
      </w:tr>
      <w:tr w14:paraId="6DA92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E3A202">
            <w:pPr>
              <w:jc w:val="center"/>
              <w:rPr>
                <w:rFonts w:hint="eastAsia" w:ascii="宋体" w:hAnsi="宋体" w:eastAsia="宋体" w:cs="宋体"/>
                <w:i w:val="0"/>
                <w:iCs w:val="0"/>
                <w:color w:val="auto"/>
                <w:sz w:val="20"/>
                <w:szCs w:val="20"/>
                <w:highlight w:val="none"/>
                <w:u w:val="none"/>
              </w:rPr>
            </w:pP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77D2F">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(3)供货</w:t>
            </w:r>
            <w:r>
              <w:rPr>
                <w:rFonts w:hint="eastAsia" w:ascii="宋体" w:hAnsi="宋体" w:cs="宋体"/>
                <w:i w:val="0"/>
                <w:iCs w:val="0"/>
                <w:color w:val="auto"/>
                <w:kern w:val="0"/>
                <w:sz w:val="20"/>
                <w:szCs w:val="20"/>
                <w:highlight w:val="none"/>
                <w:u w:val="none"/>
                <w:lang w:val="en-US" w:eastAsia="zh-CN" w:bidi="ar"/>
              </w:rPr>
              <w:t>及提供检测报告</w:t>
            </w:r>
            <w:r>
              <w:rPr>
                <w:rFonts w:hint="eastAsia" w:ascii="宋体" w:hAnsi="宋体" w:eastAsia="宋体" w:cs="宋体"/>
                <w:i w:val="0"/>
                <w:iCs w:val="0"/>
                <w:color w:val="auto"/>
                <w:kern w:val="0"/>
                <w:sz w:val="20"/>
                <w:szCs w:val="20"/>
                <w:highlight w:val="none"/>
                <w:u w:val="none"/>
                <w:lang w:val="en-US" w:eastAsia="zh-CN" w:bidi="ar"/>
              </w:rPr>
              <w:t>不及时次数过多，且对出品造成较大影响。</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84D0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431BDE">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22C798">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6A6C71">
            <w:pPr>
              <w:jc w:val="center"/>
              <w:rPr>
                <w:rFonts w:hint="eastAsia" w:ascii="宋体" w:hAnsi="宋体" w:eastAsia="宋体" w:cs="宋体"/>
                <w:i w:val="0"/>
                <w:iCs w:val="0"/>
                <w:color w:val="auto"/>
                <w:sz w:val="20"/>
                <w:szCs w:val="20"/>
                <w:highlight w:val="none"/>
                <w:u w:val="none"/>
              </w:rPr>
            </w:pPr>
          </w:p>
        </w:tc>
      </w:tr>
      <w:tr w14:paraId="2B806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5E3EEF">
            <w:pPr>
              <w:keepNext w:val="0"/>
              <w:keepLines w:val="0"/>
              <w:widowControl/>
              <w:suppressLineNumbers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2、品类齐全度</w:t>
            </w:r>
            <w:r>
              <w:rPr>
                <w:rFonts w:hint="eastAsia" w:ascii="宋体" w:hAnsi="宋体" w:cs="宋体"/>
                <w:i w:val="0"/>
                <w:iCs w:val="0"/>
                <w:color w:val="auto"/>
                <w:kern w:val="0"/>
                <w:sz w:val="20"/>
                <w:szCs w:val="20"/>
                <w:highlight w:val="none"/>
                <w:u w:val="none"/>
                <w:lang w:val="en-US" w:eastAsia="zh-CN" w:bidi="ar"/>
              </w:rPr>
              <w:t>（20分）</w:t>
            </w: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C4E5C">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(1)品类齐全，能充分满足使用要求。</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BC9E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DBC120">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E6891E">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B7DCF0">
            <w:pPr>
              <w:jc w:val="center"/>
              <w:rPr>
                <w:rFonts w:hint="eastAsia" w:ascii="宋体" w:hAnsi="宋体" w:eastAsia="宋体" w:cs="宋体"/>
                <w:i w:val="0"/>
                <w:iCs w:val="0"/>
                <w:color w:val="auto"/>
                <w:sz w:val="20"/>
                <w:szCs w:val="20"/>
                <w:highlight w:val="none"/>
                <w:u w:val="none"/>
              </w:rPr>
            </w:pPr>
          </w:p>
        </w:tc>
      </w:tr>
      <w:tr w14:paraId="32E8A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CE308B">
            <w:pPr>
              <w:jc w:val="center"/>
              <w:rPr>
                <w:rFonts w:hint="eastAsia" w:ascii="宋体" w:hAnsi="宋体" w:eastAsia="宋体" w:cs="宋体"/>
                <w:i w:val="0"/>
                <w:iCs w:val="0"/>
                <w:color w:val="auto"/>
                <w:sz w:val="20"/>
                <w:szCs w:val="20"/>
                <w:highlight w:val="none"/>
                <w:u w:val="none"/>
              </w:rPr>
            </w:pP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FC77B">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(2)品类基本齐全，偶尔与实际需求不相符，但对出品造成较小影响。</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4142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6C8594">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24BF48">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F9DAE1">
            <w:pPr>
              <w:jc w:val="center"/>
              <w:rPr>
                <w:rFonts w:hint="eastAsia" w:ascii="宋体" w:hAnsi="宋体" w:eastAsia="宋体" w:cs="宋体"/>
                <w:i w:val="0"/>
                <w:iCs w:val="0"/>
                <w:color w:val="auto"/>
                <w:sz w:val="20"/>
                <w:szCs w:val="20"/>
                <w:highlight w:val="none"/>
                <w:u w:val="none"/>
              </w:rPr>
            </w:pPr>
          </w:p>
        </w:tc>
      </w:tr>
      <w:tr w14:paraId="24C8B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5"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AB4FD7">
            <w:pPr>
              <w:jc w:val="center"/>
              <w:rPr>
                <w:rFonts w:hint="eastAsia" w:ascii="宋体" w:hAnsi="宋体" w:eastAsia="宋体" w:cs="宋体"/>
                <w:i w:val="0"/>
                <w:iCs w:val="0"/>
                <w:color w:val="auto"/>
                <w:sz w:val="20"/>
                <w:szCs w:val="20"/>
                <w:highlight w:val="none"/>
                <w:u w:val="none"/>
              </w:rPr>
            </w:pP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2E77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(3)品类较少，供货差异较大，无法满足正常需求，且对出品造成较大影响。</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40B2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DEE885">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30B796">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ABC49F">
            <w:pPr>
              <w:jc w:val="center"/>
              <w:rPr>
                <w:rFonts w:hint="eastAsia" w:ascii="宋体" w:hAnsi="宋体" w:eastAsia="宋体" w:cs="宋体"/>
                <w:i w:val="0"/>
                <w:iCs w:val="0"/>
                <w:color w:val="auto"/>
                <w:sz w:val="20"/>
                <w:szCs w:val="20"/>
                <w:highlight w:val="none"/>
                <w:u w:val="none"/>
              </w:rPr>
            </w:pPr>
          </w:p>
        </w:tc>
      </w:tr>
      <w:tr w14:paraId="001A8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FB169B">
            <w:pPr>
              <w:keepNext w:val="0"/>
              <w:keepLines w:val="0"/>
              <w:widowControl/>
              <w:numPr>
                <w:ilvl w:val="-1"/>
                <w:numId w:val="0"/>
              </w:numPr>
              <w:suppressLineNumbers w:val="0"/>
              <w:jc w:val="center"/>
              <w:textAlignment w:val="center"/>
              <w:rPr>
                <w:color w:val="auto"/>
                <w:highlight w:val="none"/>
              </w:rPr>
            </w:pPr>
            <w:r>
              <w:rPr>
                <w:rFonts w:hint="eastAsia" w:ascii="宋体" w:hAnsi="宋体" w:cs="宋体"/>
                <w:i w:val="0"/>
                <w:iCs w:val="0"/>
                <w:color w:val="auto"/>
                <w:kern w:val="0"/>
                <w:sz w:val="20"/>
                <w:szCs w:val="20"/>
                <w:highlight w:val="none"/>
                <w:u w:val="none"/>
                <w:lang w:val="en-US" w:eastAsia="zh-CN" w:bidi="ar"/>
              </w:rPr>
              <w:t>3、</w:t>
            </w:r>
            <w:r>
              <w:rPr>
                <w:rFonts w:hint="eastAsia" w:ascii="宋体" w:hAnsi="宋体" w:cs="宋体"/>
                <w:color w:val="auto"/>
                <w:sz w:val="20"/>
                <w:szCs w:val="20"/>
                <w:highlight w:val="none"/>
                <w:u w:val="none"/>
                <w:lang w:bidi="ar"/>
              </w:rPr>
              <w:t>产品剩余质保期</w:t>
            </w:r>
          </w:p>
          <w:p w14:paraId="7A670172">
            <w:pPr>
              <w:keepNext w:val="0"/>
              <w:keepLines w:val="0"/>
              <w:widowControl/>
              <w:numPr>
                <w:ilvl w:val="-1"/>
                <w:numId w:val="0"/>
              </w:numPr>
              <w:suppressLineNumbers w:val="0"/>
              <w:jc w:val="left"/>
              <w:textAlignment w:val="center"/>
              <w:rPr>
                <w:rFonts w:hint="eastAsia"/>
                <w:color w:val="auto"/>
                <w:highlight w:val="none"/>
              </w:rPr>
            </w:pPr>
            <w:r>
              <w:rPr>
                <w:rFonts w:hint="eastAsia"/>
                <w:color w:val="auto"/>
                <w:highlight w:val="none"/>
                <w:lang w:eastAsia="zh-CN"/>
              </w:rPr>
              <w:t>（</w:t>
            </w:r>
            <w:r>
              <w:rPr>
                <w:rFonts w:hint="eastAsia"/>
                <w:color w:val="auto"/>
                <w:highlight w:val="none"/>
                <w:lang w:val="en-US" w:eastAsia="zh-CN"/>
              </w:rPr>
              <w:t>20分）</w:t>
            </w: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C1FFF">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cs="宋体"/>
                <w:color w:val="auto"/>
                <w:sz w:val="20"/>
                <w:szCs w:val="20"/>
                <w:highlight w:val="none"/>
                <w:u w:val="none"/>
                <w:lang w:bidi="ar"/>
              </w:rPr>
              <w:t xml:space="preserve"> (1)产品剩余质保期长，远超行业标准，能充分保障使用周期。</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C7A5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AFF0C1">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485BFD">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4CFAE9">
            <w:pPr>
              <w:jc w:val="center"/>
              <w:rPr>
                <w:rFonts w:hint="eastAsia" w:ascii="宋体" w:hAnsi="宋体" w:eastAsia="宋体" w:cs="宋体"/>
                <w:i w:val="0"/>
                <w:iCs w:val="0"/>
                <w:color w:val="auto"/>
                <w:sz w:val="20"/>
                <w:szCs w:val="20"/>
                <w:highlight w:val="none"/>
                <w:u w:val="none"/>
              </w:rPr>
            </w:pPr>
          </w:p>
        </w:tc>
      </w:tr>
      <w:tr w14:paraId="6ED6B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F7E8F6">
            <w:pPr>
              <w:jc w:val="center"/>
              <w:rPr>
                <w:rFonts w:hint="eastAsia" w:ascii="宋体" w:hAnsi="宋体" w:eastAsia="宋体" w:cs="宋体"/>
                <w:i w:val="0"/>
                <w:iCs w:val="0"/>
                <w:color w:val="auto"/>
                <w:sz w:val="20"/>
                <w:szCs w:val="20"/>
                <w:highlight w:val="none"/>
                <w:u w:val="none"/>
              </w:rPr>
            </w:pP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ABC3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cs="宋体"/>
                <w:color w:val="auto"/>
                <w:sz w:val="20"/>
                <w:szCs w:val="20"/>
                <w:highlight w:val="none"/>
                <w:u w:val="none"/>
                <w:lang w:bidi="ar"/>
              </w:rPr>
              <w:t xml:space="preserve"> (2)产品剩余质保期符合行业标准，基本满足使用需求。</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79D3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1386EF">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2CD2D3">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19E367">
            <w:pPr>
              <w:jc w:val="center"/>
              <w:rPr>
                <w:rFonts w:hint="eastAsia" w:ascii="宋体" w:hAnsi="宋体" w:eastAsia="宋体" w:cs="宋体"/>
                <w:i w:val="0"/>
                <w:iCs w:val="0"/>
                <w:color w:val="auto"/>
                <w:sz w:val="20"/>
                <w:szCs w:val="20"/>
                <w:highlight w:val="none"/>
                <w:u w:val="none"/>
              </w:rPr>
            </w:pPr>
          </w:p>
        </w:tc>
      </w:tr>
      <w:tr w14:paraId="65A77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6725C8">
            <w:pPr>
              <w:jc w:val="center"/>
              <w:rPr>
                <w:rFonts w:hint="eastAsia" w:ascii="宋体" w:hAnsi="宋体" w:eastAsia="宋体" w:cs="宋体"/>
                <w:i w:val="0"/>
                <w:iCs w:val="0"/>
                <w:color w:val="auto"/>
                <w:sz w:val="20"/>
                <w:szCs w:val="20"/>
                <w:highlight w:val="none"/>
                <w:u w:val="none"/>
              </w:rPr>
            </w:pP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28878">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cs="宋体"/>
                <w:color w:val="auto"/>
                <w:sz w:val="20"/>
                <w:szCs w:val="20"/>
                <w:highlight w:val="none"/>
                <w:u w:val="none"/>
                <w:lang w:bidi="ar"/>
              </w:rPr>
              <w:t>(3)产品剩余质保期较短，不符合行业标准，无法满足正常使用需求。</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4BF5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74B114">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7AD920">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9238AA">
            <w:pPr>
              <w:jc w:val="center"/>
              <w:rPr>
                <w:rFonts w:hint="eastAsia" w:ascii="宋体" w:hAnsi="宋体" w:eastAsia="宋体" w:cs="宋体"/>
                <w:i w:val="0"/>
                <w:iCs w:val="0"/>
                <w:color w:val="auto"/>
                <w:sz w:val="20"/>
                <w:szCs w:val="20"/>
                <w:highlight w:val="none"/>
                <w:u w:val="none"/>
              </w:rPr>
            </w:pPr>
          </w:p>
        </w:tc>
      </w:tr>
      <w:tr w14:paraId="6E91C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84652A">
            <w:pPr>
              <w:keepNext w:val="0"/>
              <w:keepLines w:val="0"/>
              <w:widowControl/>
              <w:suppressLineNumbers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4、实际使用质量情况</w:t>
            </w:r>
            <w:r>
              <w:rPr>
                <w:rFonts w:hint="eastAsia" w:ascii="宋体" w:hAnsi="宋体" w:cs="宋体"/>
                <w:i w:val="0"/>
                <w:iCs w:val="0"/>
                <w:color w:val="auto"/>
                <w:kern w:val="0"/>
                <w:sz w:val="20"/>
                <w:szCs w:val="20"/>
                <w:highlight w:val="none"/>
                <w:u w:val="none"/>
                <w:lang w:val="en-US" w:eastAsia="zh-CN" w:bidi="ar"/>
              </w:rPr>
              <w:t>（20分）</w:t>
            </w: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6D5D5">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(1)包装完好，符合相关安全、环保等管理规定，未出现质量问题。</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5BA3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79791C">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5F5F5C">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1259C8">
            <w:pPr>
              <w:jc w:val="center"/>
              <w:rPr>
                <w:rFonts w:hint="eastAsia" w:ascii="宋体" w:hAnsi="宋体" w:eastAsia="宋体" w:cs="宋体"/>
                <w:i w:val="0"/>
                <w:iCs w:val="0"/>
                <w:color w:val="auto"/>
                <w:sz w:val="20"/>
                <w:szCs w:val="20"/>
                <w:highlight w:val="none"/>
                <w:u w:val="none"/>
              </w:rPr>
            </w:pPr>
          </w:p>
        </w:tc>
      </w:tr>
      <w:tr w14:paraId="431B5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5"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CCD773">
            <w:pPr>
              <w:jc w:val="center"/>
              <w:rPr>
                <w:rFonts w:hint="eastAsia" w:ascii="宋体" w:hAnsi="宋体" w:eastAsia="宋体" w:cs="宋体"/>
                <w:i w:val="0"/>
                <w:iCs w:val="0"/>
                <w:color w:val="auto"/>
                <w:sz w:val="20"/>
                <w:szCs w:val="20"/>
                <w:highlight w:val="none"/>
                <w:u w:val="none"/>
              </w:rPr>
            </w:pP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97848">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(2)产品质量合格率低于98%，基本符合相关安全、环保等管理规定，可以让步接收。</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5310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BFC110">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9BAF87">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C29577">
            <w:pPr>
              <w:jc w:val="center"/>
              <w:rPr>
                <w:rFonts w:hint="eastAsia" w:ascii="宋体" w:hAnsi="宋体" w:eastAsia="宋体" w:cs="宋体"/>
                <w:i w:val="0"/>
                <w:iCs w:val="0"/>
                <w:color w:val="auto"/>
                <w:sz w:val="20"/>
                <w:szCs w:val="20"/>
                <w:highlight w:val="none"/>
                <w:u w:val="none"/>
              </w:rPr>
            </w:pPr>
          </w:p>
        </w:tc>
      </w:tr>
      <w:tr w14:paraId="4E225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6B1173">
            <w:pPr>
              <w:jc w:val="center"/>
              <w:rPr>
                <w:rFonts w:hint="eastAsia" w:ascii="宋体" w:hAnsi="宋体" w:eastAsia="宋体" w:cs="宋体"/>
                <w:i w:val="0"/>
                <w:iCs w:val="0"/>
                <w:color w:val="auto"/>
                <w:sz w:val="20"/>
                <w:szCs w:val="20"/>
                <w:highlight w:val="none"/>
                <w:u w:val="none"/>
              </w:rPr>
            </w:pP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A6E1A">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(3)出现重大质量问题。</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DE97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61E83E">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4185F2">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A8C544">
            <w:pPr>
              <w:jc w:val="center"/>
              <w:rPr>
                <w:rFonts w:hint="eastAsia" w:ascii="宋体" w:hAnsi="宋体" w:eastAsia="宋体" w:cs="宋体"/>
                <w:i w:val="0"/>
                <w:iCs w:val="0"/>
                <w:color w:val="auto"/>
                <w:sz w:val="20"/>
                <w:szCs w:val="20"/>
                <w:highlight w:val="none"/>
                <w:u w:val="none"/>
              </w:rPr>
            </w:pPr>
          </w:p>
        </w:tc>
      </w:tr>
      <w:tr w14:paraId="0C3DF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633035">
            <w:pPr>
              <w:keepNext w:val="0"/>
              <w:keepLines w:val="0"/>
              <w:widowControl/>
              <w:suppressLineNumbers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5、售后服务能力</w:t>
            </w:r>
            <w:r>
              <w:rPr>
                <w:rFonts w:hint="eastAsia" w:ascii="宋体" w:hAnsi="宋体" w:cs="宋体"/>
                <w:i w:val="0"/>
                <w:iCs w:val="0"/>
                <w:color w:val="auto"/>
                <w:kern w:val="0"/>
                <w:sz w:val="20"/>
                <w:szCs w:val="20"/>
                <w:highlight w:val="none"/>
                <w:u w:val="none"/>
                <w:lang w:val="en-US" w:eastAsia="zh-CN" w:bidi="ar"/>
              </w:rPr>
              <w:t>（20分）</w:t>
            </w: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24EC5">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(1)出现问题，能够及时有效解决，售后服务能力较强。</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4FC3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9555CD">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632EF8">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2AD7AC">
            <w:pPr>
              <w:jc w:val="center"/>
              <w:rPr>
                <w:rFonts w:hint="eastAsia" w:ascii="宋体" w:hAnsi="宋体" w:eastAsia="宋体" w:cs="宋体"/>
                <w:i w:val="0"/>
                <w:iCs w:val="0"/>
                <w:color w:val="auto"/>
                <w:sz w:val="20"/>
                <w:szCs w:val="20"/>
                <w:highlight w:val="none"/>
                <w:u w:val="none"/>
              </w:rPr>
            </w:pPr>
          </w:p>
        </w:tc>
      </w:tr>
      <w:tr w14:paraId="0E372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56FC63">
            <w:pPr>
              <w:jc w:val="center"/>
              <w:rPr>
                <w:rFonts w:hint="eastAsia" w:ascii="宋体" w:hAnsi="宋体" w:eastAsia="宋体" w:cs="宋体"/>
                <w:i w:val="0"/>
                <w:iCs w:val="0"/>
                <w:color w:val="auto"/>
                <w:sz w:val="20"/>
                <w:szCs w:val="20"/>
                <w:highlight w:val="none"/>
                <w:u w:val="none"/>
              </w:rPr>
            </w:pP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C705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(2)出现问题时，处理问题及时性一般，售后服务能力一般。</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B8CC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9171A9">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FCA784">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F312AB">
            <w:pPr>
              <w:jc w:val="center"/>
              <w:rPr>
                <w:rFonts w:hint="eastAsia" w:ascii="宋体" w:hAnsi="宋体" w:eastAsia="宋体" w:cs="宋体"/>
                <w:i w:val="0"/>
                <w:iCs w:val="0"/>
                <w:color w:val="auto"/>
                <w:sz w:val="20"/>
                <w:szCs w:val="20"/>
                <w:highlight w:val="none"/>
                <w:u w:val="none"/>
              </w:rPr>
            </w:pPr>
          </w:p>
        </w:tc>
      </w:tr>
      <w:tr w14:paraId="32608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28A400">
            <w:pPr>
              <w:jc w:val="center"/>
              <w:rPr>
                <w:rFonts w:hint="eastAsia" w:ascii="宋体" w:hAnsi="宋体" w:eastAsia="宋体" w:cs="宋体"/>
                <w:i w:val="0"/>
                <w:iCs w:val="0"/>
                <w:color w:val="auto"/>
                <w:sz w:val="20"/>
                <w:szCs w:val="20"/>
                <w:highlight w:val="none"/>
                <w:u w:val="none"/>
              </w:rPr>
            </w:pPr>
          </w:p>
        </w:tc>
        <w:tc>
          <w:tcPr>
            <w:tcW w:w="3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2DC8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(3)出现问题时，处理问题及时性较差，售后服务能力较差。</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2DA8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FF7BB6">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A8F301">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55707E">
            <w:pPr>
              <w:jc w:val="center"/>
              <w:rPr>
                <w:rFonts w:hint="eastAsia" w:ascii="宋体" w:hAnsi="宋体" w:eastAsia="宋体" w:cs="宋体"/>
                <w:i w:val="0"/>
                <w:iCs w:val="0"/>
                <w:color w:val="auto"/>
                <w:sz w:val="20"/>
                <w:szCs w:val="20"/>
                <w:highlight w:val="none"/>
                <w:u w:val="none"/>
              </w:rPr>
            </w:pPr>
          </w:p>
        </w:tc>
      </w:tr>
      <w:tr w14:paraId="1B21F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B3D65A">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综合得分</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CDC89">
            <w:pPr>
              <w:jc w:val="center"/>
              <w:rPr>
                <w:rFonts w:hint="eastAsia" w:ascii="宋体" w:hAnsi="宋体" w:eastAsia="宋体" w:cs="宋体"/>
                <w:i w:val="0"/>
                <w:iCs w:val="0"/>
                <w:color w:val="auto"/>
                <w:sz w:val="20"/>
                <w:szCs w:val="20"/>
                <w:highlight w:val="none"/>
                <w:u w:val="none"/>
              </w:rPr>
            </w:pP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39D4D">
            <w:pPr>
              <w:jc w:val="center"/>
              <w:rPr>
                <w:rFonts w:hint="eastAsia" w:ascii="宋体" w:hAnsi="宋体" w:eastAsia="宋体" w:cs="宋体"/>
                <w:i w:val="0"/>
                <w:iCs w:val="0"/>
                <w:color w:val="auto"/>
                <w:sz w:val="20"/>
                <w:szCs w:val="20"/>
                <w:highlight w:val="none"/>
                <w:u w:val="none"/>
              </w:rPr>
            </w:pP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99136">
            <w:pPr>
              <w:jc w:val="center"/>
              <w:rPr>
                <w:rFonts w:hint="eastAsia" w:ascii="宋体" w:hAnsi="宋体" w:eastAsia="宋体" w:cs="宋体"/>
                <w:i w:val="0"/>
                <w:iCs w:val="0"/>
                <w:color w:val="auto"/>
                <w:sz w:val="20"/>
                <w:szCs w:val="20"/>
                <w:highlight w:val="none"/>
                <w:u w:val="none"/>
              </w:rPr>
            </w:pPr>
          </w:p>
        </w:tc>
      </w:tr>
      <w:tr w14:paraId="66426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414101">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评分人员签名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DDEC">
            <w:pPr>
              <w:jc w:val="center"/>
              <w:rPr>
                <w:rFonts w:hint="eastAsia" w:ascii="宋体" w:hAnsi="宋体" w:eastAsia="宋体" w:cs="宋体"/>
                <w:i w:val="0"/>
                <w:iCs w:val="0"/>
                <w:color w:val="auto"/>
                <w:sz w:val="20"/>
                <w:szCs w:val="20"/>
                <w:highlight w:val="none"/>
                <w:u w:val="none"/>
              </w:rPr>
            </w:pP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9429A">
            <w:pPr>
              <w:jc w:val="center"/>
              <w:rPr>
                <w:rFonts w:hint="eastAsia" w:ascii="宋体" w:hAnsi="宋体" w:eastAsia="宋体" w:cs="宋体"/>
                <w:i w:val="0"/>
                <w:iCs w:val="0"/>
                <w:color w:val="auto"/>
                <w:sz w:val="20"/>
                <w:szCs w:val="20"/>
                <w:highlight w:val="none"/>
                <w:u w:val="none"/>
              </w:rPr>
            </w:pP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209E8">
            <w:pPr>
              <w:jc w:val="center"/>
              <w:rPr>
                <w:rFonts w:hint="eastAsia" w:ascii="宋体" w:hAnsi="宋体" w:eastAsia="宋体" w:cs="宋体"/>
                <w:i w:val="0"/>
                <w:iCs w:val="0"/>
                <w:color w:val="auto"/>
                <w:sz w:val="20"/>
                <w:szCs w:val="20"/>
                <w:highlight w:val="none"/>
                <w:u w:val="none"/>
              </w:rPr>
            </w:pPr>
          </w:p>
        </w:tc>
      </w:tr>
      <w:tr w14:paraId="6FACA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B84F08">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总分</w:t>
            </w: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07D3E3">
            <w:pPr>
              <w:jc w:val="center"/>
              <w:rPr>
                <w:rFonts w:hint="eastAsia" w:ascii="宋体" w:hAnsi="宋体" w:eastAsia="宋体" w:cs="宋体"/>
                <w:i w:val="0"/>
                <w:iCs w:val="0"/>
                <w:color w:val="auto"/>
                <w:sz w:val="20"/>
                <w:szCs w:val="20"/>
                <w:highlight w:val="none"/>
                <w:u w:val="none"/>
              </w:rPr>
            </w:pPr>
          </w:p>
        </w:tc>
      </w:tr>
      <w:tr w14:paraId="1F466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654E6C">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结论</w:t>
            </w: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95760D">
            <w:pPr>
              <w:jc w:val="center"/>
              <w:rPr>
                <w:rFonts w:hint="eastAsia" w:ascii="宋体" w:hAnsi="宋体" w:eastAsia="宋体" w:cs="宋体"/>
                <w:i w:val="0"/>
                <w:iCs w:val="0"/>
                <w:color w:val="auto"/>
                <w:sz w:val="20"/>
                <w:szCs w:val="20"/>
                <w:highlight w:val="none"/>
                <w:u w:val="none"/>
              </w:rPr>
            </w:pPr>
          </w:p>
        </w:tc>
      </w:tr>
      <w:tr w14:paraId="17261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2" w:hRule="atLeast"/>
        </w:trPr>
        <w:tc>
          <w:tcPr>
            <w:tcW w:w="8360" w:type="dxa"/>
            <w:gridSpan w:val="6"/>
            <w:tcBorders>
              <w:top w:val="nil"/>
              <w:left w:val="nil"/>
              <w:bottom w:val="nil"/>
              <w:right w:val="nil"/>
            </w:tcBorders>
            <w:shd w:val="clear" w:color="auto" w:fill="auto"/>
            <w:vAlign w:val="bottom"/>
          </w:tcPr>
          <w:p w14:paraId="32E06E1D">
            <w:pPr>
              <w:keepNext w:val="0"/>
              <w:keepLines w:val="0"/>
              <w:widowControl/>
              <w:suppressLineNumbers w:val="0"/>
              <w:jc w:val="left"/>
              <w:textAlignment w:val="bottom"/>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填写说明：此表为供应商评价表，每月考核一次</w:t>
            </w:r>
          </w:p>
          <w:p w14:paraId="04CE731E">
            <w:pPr>
              <w:keepNext w:val="0"/>
              <w:keepLines w:val="0"/>
              <w:widowControl/>
              <w:suppressLineNumbers w:val="0"/>
              <w:jc w:val="left"/>
              <w:textAlignment w:val="bottom"/>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评价结论：</w:t>
            </w:r>
          </w:p>
          <w:p w14:paraId="5B1BF237">
            <w:pPr>
              <w:keepNext w:val="0"/>
              <w:keepLines w:val="0"/>
              <w:widowControl/>
              <w:suppressLineNumbers w:val="0"/>
              <w:jc w:val="left"/>
              <w:textAlignment w:val="bottom"/>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1、分数≥90分，结论:优秀，继续合作。</w:t>
            </w:r>
          </w:p>
          <w:p w14:paraId="7B69FCE8">
            <w:pPr>
              <w:keepNext w:val="0"/>
              <w:keepLines w:val="0"/>
              <w:widowControl/>
              <w:suppressLineNumbers w:val="0"/>
              <w:jc w:val="left"/>
              <w:textAlignment w:val="bottom"/>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2、90分&gt;分数≥80分，结论:继续合作，问题点限时整改，</w:t>
            </w:r>
          </w:p>
          <w:p w14:paraId="08D26E9B">
            <w:pPr>
              <w:keepNext w:val="0"/>
              <w:keepLines w:val="0"/>
              <w:widowControl/>
              <w:suppressLineNumbers w:val="0"/>
              <w:jc w:val="left"/>
              <w:textAlignment w:val="bottom"/>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3、80分&gt;分数≥</w:t>
            </w:r>
            <w:r>
              <w:rPr>
                <w:rFonts w:hint="eastAsia" w:ascii="宋体" w:hAnsi="宋体" w:cs="宋体"/>
                <w:i w:val="0"/>
                <w:iCs w:val="0"/>
                <w:color w:val="auto"/>
                <w:kern w:val="0"/>
                <w:sz w:val="20"/>
                <w:szCs w:val="20"/>
                <w:highlight w:val="none"/>
                <w:u w:val="none"/>
                <w:lang w:val="en-US" w:eastAsia="zh-CN" w:bidi="ar"/>
              </w:rPr>
              <w:t>7</w:t>
            </w:r>
            <w:r>
              <w:rPr>
                <w:rFonts w:hint="eastAsia" w:ascii="宋体" w:hAnsi="宋体" w:eastAsia="宋体" w:cs="宋体"/>
                <w:i w:val="0"/>
                <w:iCs w:val="0"/>
                <w:color w:val="auto"/>
                <w:kern w:val="0"/>
                <w:sz w:val="20"/>
                <w:szCs w:val="20"/>
                <w:highlight w:val="none"/>
                <w:u w:val="none"/>
                <w:lang w:val="en-US" w:eastAsia="zh-CN" w:bidi="ar"/>
              </w:rPr>
              <w:t>0分，结论:考核扣款并继续合作，问题点限时整改，每低</w:t>
            </w:r>
            <w:r>
              <w:rPr>
                <w:rFonts w:hint="eastAsia" w:ascii="宋体" w:hAnsi="宋体" w:cs="宋体"/>
                <w:i w:val="0"/>
                <w:iCs w:val="0"/>
                <w:color w:val="auto"/>
                <w:kern w:val="0"/>
                <w:sz w:val="20"/>
                <w:szCs w:val="20"/>
                <w:highlight w:val="none"/>
                <w:u w:val="none"/>
                <w:lang w:val="en-US" w:eastAsia="zh-CN" w:bidi="ar"/>
              </w:rPr>
              <w:t>于80分</w:t>
            </w:r>
            <w:r>
              <w:rPr>
                <w:rFonts w:hint="eastAsia" w:ascii="宋体" w:hAnsi="宋体" w:eastAsia="宋体" w:cs="宋体"/>
                <w:i w:val="0"/>
                <w:iCs w:val="0"/>
                <w:color w:val="auto"/>
                <w:kern w:val="0"/>
                <w:sz w:val="20"/>
                <w:szCs w:val="20"/>
                <w:highlight w:val="none"/>
                <w:u w:val="none"/>
                <w:lang w:val="en-US" w:eastAsia="zh-CN" w:bidi="ar"/>
              </w:rPr>
              <w:t>1分</w:t>
            </w:r>
            <w:r>
              <w:rPr>
                <w:rFonts w:hint="eastAsia" w:ascii="宋体" w:hAnsi="宋体" w:cs="宋体"/>
                <w:i w:val="0"/>
                <w:iCs w:val="0"/>
                <w:color w:val="auto"/>
                <w:kern w:val="0"/>
                <w:sz w:val="20"/>
                <w:szCs w:val="20"/>
                <w:highlight w:val="none"/>
                <w:u w:val="none"/>
                <w:lang w:val="en-US" w:eastAsia="zh-CN" w:bidi="ar"/>
              </w:rPr>
              <w:t>，</w:t>
            </w:r>
            <w:r>
              <w:rPr>
                <w:rFonts w:hint="eastAsia" w:ascii="宋体" w:hAnsi="宋体" w:eastAsia="宋体" w:cs="宋体"/>
                <w:i w:val="0"/>
                <w:iCs w:val="0"/>
                <w:color w:val="auto"/>
                <w:kern w:val="0"/>
                <w:sz w:val="20"/>
                <w:szCs w:val="20"/>
                <w:highlight w:val="none"/>
                <w:u w:val="none"/>
                <w:lang w:val="en-US" w:eastAsia="zh-CN" w:bidi="ar"/>
              </w:rPr>
              <w:t>扣当月结算金额的千分之</w:t>
            </w:r>
            <w:r>
              <w:rPr>
                <w:rFonts w:hint="eastAsia" w:ascii="宋体" w:hAnsi="宋体" w:cs="宋体"/>
                <w:i w:val="0"/>
                <w:iCs w:val="0"/>
                <w:color w:val="auto"/>
                <w:kern w:val="0"/>
                <w:sz w:val="20"/>
                <w:szCs w:val="20"/>
                <w:highlight w:val="none"/>
                <w:u w:val="none"/>
                <w:lang w:val="en-US" w:eastAsia="zh-CN" w:bidi="ar"/>
              </w:rPr>
              <w:t>一</w:t>
            </w:r>
            <w:r>
              <w:rPr>
                <w:rFonts w:hint="eastAsia" w:ascii="宋体" w:hAnsi="宋体" w:eastAsia="宋体" w:cs="宋体"/>
                <w:i w:val="0"/>
                <w:iCs w:val="0"/>
                <w:color w:val="auto"/>
                <w:kern w:val="0"/>
                <w:sz w:val="20"/>
                <w:szCs w:val="20"/>
                <w:highlight w:val="none"/>
                <w:u w:val="none"/>
                <w:lang w:val="en-US" w:eastAsia="zh-CN" w:bidi="ar"/>
              </w:rPr>
              <w:t>。</w:t>
            </w:r>
          </w:p>
          <w:p w14:paraId="50D160F7">
            <w:pPr>
              <w:keepNext w:val="0"/>
              <w:keepLines w:val="0"/>
              <w:widowControl/>
              <w:suppressLineNumbers w:val="0"/>
              <w:jc w:val="left"/>
              <w:textAlignment w:val="bottom"/>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4、7</w:t>
            </w:r>
            <w:r>
              <w:rPr>
                <w:rFonts w:hint="eastAsia" w:ascii="宋体" w:hAnsi="宋体" w:eastAsia="宋体" w:cs="宋体"/>
                <w:i w:val="0"/>
                <w:iCs w:val="0"/>
                <w:color w:val="auto"/>
                <w:kern w:val="0"/>
                <w:sz w:val="20"/>
                <w:szCs w:val="20"/>
                <w:highlight w:val="none"/>
                <w:u w:val="none"/>
                <w:lang w:val="en-US" w:eastAsia="zh-CN" w:bidi="ar"/>
              </w:rPr>
              <w:t>0分&gt;分数≥</w:t>
            </w: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0分，结论:考核扣款并继续合作，问题点限时整改，每低</w:t>
            </w:r>
            <w:r>
              <w:rPr>
                <w:rFonts w:hint="eastAsia" w:ascii="宋体" w:hAnsi="宋体" w:cs="宋体"/>
                <w:i w:val="0"/>
                <w:iCs w:val="0"/>
                <w:color w:val="auto"/>
                <w:kern w:val="0"/>
                <w:sz w:val="20"/>
                <w:szCs w:val="20"/>
                <w:highlight w:val="none"/>
                <w:u w:val="none"/>
                <w:lang w:val="en-US" w:eastAsia="zh-CN" w:bidi="ar"/>
              </w:rPr>
              <w:t>于80分</w:t>
            </w:r>
            <w:r>
              <w:rPr>
                <w:rFonts w:hint="eastAsia" w:ascii="宋体" w:hAnsi="宋体" w:eastAsia="宋体" w:cs="宋体"/>
                <w:i w:val="0"/>
                <w:iCs w:val="0"/>
                <w:color w:val="auto"/>
                <w:kern w:val="0"/>
                <w:sz w:val="20"/>
                <w:szCs w:val="20"/>
                <w:highlight w:val="none"/>
                <w:u w:val="none"/>
                <w:lang w:val="en-US" w:eastAsia="zh-CN" w:bidi="ar"/>
              </w:rPr>
              <w:t>1分</w:t>
            </w:r>
            <w:r>
              <w:rPr>
                <w:rFonts w:hint="eastAsia" w:ascii="宋体" w:hAnsi="宋体" w:cs="宋体"/>
                <w:i w:val="0"/>
                <w:iCs w:val="0"/>
                <w:color w:val="auto"/>
                <w:kern w:val="0"/>
                <w:sz w:val="20"/>
                <w:szCs w:val="20"/>
                <w:highlight w:val="none"/>
                <w:u w:val="none"/>
                <w:lang w:val="en-US" w:eastAsia="zh-CN" w:bidi="ar"/>
              </w:rPr>
              <w:t>，</w:t>
            </w:r>
            <w:r>
              <w:rPr>
                <w:rFonts w:hint="eastAsia" w:ascii="宋体" w:hAnsi="宋体" w:eastAsia="宋体" w:cs="宋体"/>
                <w:i w:val="0"/>
                <w:iCs w:val="0"/>
                <w:color w:val="auto"/>
                <w:kern w:val="0"/>
                <w:sz w:val="20"/>
                <w:szCs w:val="20"/>
                <w:highlight w:val="none"/>
                <w:u w:val="none"/>
                <w:lang w:val="en-US" w:eastAsia="zh-CN" w:bidi="ar"/>
              </w:rPr>
              <w:t>扣当月结算金额的千分之二。</w:t>
            </w:r>
          </w:p>
          <w:p w14:paraId="6545FB02">
            <w:pPr>
              <w:keepNext w:val="0"/>
              <w:keepLines w:val="0"/>
              <w:widowControl/>
              <w:suppressLineNumbers w:val="0"/>
              <w:jc w:val="left"/>
              <w:textAlignment w:val="bottom"/>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5</w:t>
            </w:r>
            <w:r>
              <w:rPr>
                <w:rFonts w:hint="eastAsia" w:ascii="宋体" w:hAnsi="宋体" w:eastAsia="宋体" w:cs="宋体"/>
                <w:i w:val="0"/>
                <w:iCs w:val="0"/>
                <w:color w:val="auto"/>
                <w:kern w:val="0"/>
                <w:sz w:val="20"/>
                <w:szCs w:val="20"/>
                <w:highlight w:val="none"/>
                <w:u w:val="none"/>
                <w:lang w:val="en-US" w:eastAsia="zh-CN" w:bidi="ar"/>
              </w:rPr>
              <w:t>、60分&gt;分数，或出现重大质量问题，结论:不合格，甲方有权解除合同，停止合作。</w:t>
            </w:r>
          </w:p>
        </w:tc>
      </w:tr>
    </w:tbl>
    <w:p w14:paraId="2578C983">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39658FFF">
      <w:pPr>
        <w:pStyle w:val="3"/>
        <w:spacing w:before="0" w:after="0" w:line="240" w:lineRule="auto"/>
        <w:rPr>
          <w:rFonts w:hint="eastAsia" w:ascii="宋体" w:hAnsi="宋体" w:eastAsia="宋体" w:cs="宋体"/>
          <w:color w:val="auto"/>
          <w:sz w:val="24"/>
          <w:szCs w:val="24"/>
          <w:highlight w:val="none"/>
        </w:rPr>
      </w:pPr>
      <w:r>
        <w:rPr>
          <w:rFonts w:hint="eastAsia" w:ascii="宋体" w:hAnsi="宋体" w:eastAsia="宋体" w:cs="宋体"/>
          <w:color w:val="auto"/>
          <w:sz w:val="28"/>
          <w:szCs w:val="28"/>
          <w:highlight w:val="none"/>
        </w:rPr>
        <w:t>第四部分投标人须知</w:t>
      </w:r>
      <w:bookmarkEnd w:id="19"/>
    </w:p>
    <w:p w14:paraId="0283DE41">
      <w:pPr>
        <w:pStyle w:val="4"/>
        <w:numPr>
          <w:ilvl w:val="0"/>
          <w:numId w:val="3"/>
        </w:numPr>
        <w:spacing w:before="0" w:after="0" w:line="480" w:lineRule="auto"/>
        <w:jc w:val="center"/>
        <w:rPr>
          <w:rFonts w:hint="eastAsia" w:ascii="宋体" w:hAnsi="宋体" w:eastAsia="宋体" w:cs="宋体"/>
          <w:color w:val="auto"/>
          <w:highlight w:val="none"/>
        </w:rPr>
      </w:pPr>
      <w:bookmarkStart w:id="21" w:name="_Toc4670"/>
      <w:r>
        <w:rPr>
          <w:rFonts w:hint="eastAsia" w:ascii="宋体" w:hAnsi="宋体" w:eastAsia="宋体" w:cs="宋体"/>
          <w:color w:val="auto"/>
          <w:highlight w:val="none"/>
        </w:rPr>
        <w:t>说明</w:t>
      </w:r>
      <w:bookmarkEnd w:id="21"/>
    </w:p>
    <w:p w14:paraId="6F2176A1">
      <w:pPr>
        <w:pStyle w:val="5"/>
        <w:widowControl w:val="0"/>
        <w:numPr>
          <w:ilvl w:val="0"/>
          <w:numId w:val="4"/>
        </w:numPr>
        <w:overflowPunct w:val="0"/>
        <w:rPr>
          <w:rFonts w:hint="eastAsia" w:ascii="宋体" w:hAnsi="宋体" w:eastAsia="宋体" w:cs="宋体"/>
          <w:color w:val="auto"/>
          <w:sz w:val="21"/>
          <w:szCs w:val="21"/>
          <w:highlight w:val="none"/>
        </w:rPr>
      </w:pPr>
      <w:bookmarkStart w:id="22" w:name="_Toc3534"/>
      <w:bookmarkStart w:id="23" w:name="_Toc24689"/>
      <w:r>
        <w:rPr>
          <w:rFonts w:hint="eastAsia" w:ascii="宋体" w:hAnsi="宋体" w:eastAsia="宋体" w:cs="宋体"/>
          <w:color w:val="auto"/>
          <w:sz w:val="21"/>
          <w:szCs w:val="21"/>
          <w:highlight w:val="none"/>
        </w:rPr>
        <w:t>适用范围</w:t>
      </w:r>
      <w:bookmarkEnd w:id="22"/>
      <w:bookmarkEnd w:id="23"/>
    </w:p>
    <w:p w14:paraId="6236EEF6">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采购范围：见本文件《用户需求书》</w:t>
      </w:r>
    </w:p>
    <w:p w14:paraId="317AFB69">
      <w:pPr>
        <w:rPr>
          <w:rFonts w:hint="eastAsia" w:ascii="宋体" w:hAnsi="宋体" w:eastAsia="宋体" w:cs="宋体"/>
          <w:color w:val="auto"/>
          <w:highlight w:val="none"/>
        </w:rPr>
      </w:pPr>
    </w:p>
    <w:p w14:paraId="130906BF">
      <w:pPr>
        <w:pStyle w:val="5"/>
        <w:widowControl w:val="0"/>
        <w:numPr>
          <w:ilvl w:val="0"/>
          <w:numId w:val="4"/>
        </w:numPr>
        <w:overflowPunct w:val="0"/>
        <w:rPr>
          <w:rFonts w:hint="eastAsia" w:ascii="宋体" w:hAnsi="宋体" w:eastAsia="宋体" w:cs="宋体"/>
          <w:color w:val="auto"/>
          <w:sz w:val="21"/>
          <w:szCs w:val="21"/>
          <w:highlight w:val="none"/>
        </w:rPr>
      </w:pPr>
      <w:bookmarkStart w:id="24" w:name="_Toc382049092"/>
      <w:bookmarkStart w:id="25" w:name="_Toc303084246"/>
      <w:bookmarkStart w:id="26" w:name="_Toc3852"/>
      <w:bookmarkStart w:id="27" w:name="_Toc1530"/>
      <w:bookmarkStart w:id="28" w:name="_Toc20286"/>
      <w:bookmarkStart w:id="29" w:name="_Toc298847174"/>
      <w:r>
        <w:rPr>
          <w:rFonts w:hint="eastAsia" w:ascii="宋体" w:hAnsi="宋体" w:eastAsia="宋体" w:cs="宋体"/>
          <w:color w:val="auto"/>
          <w:sz w:val="21"/>
          <w:szCs w:val="21"/>
          <w:highlight w:val="none"/>
        </w:rPr>
        <w:t>定义</w:t>
      </w:r>
      <w:bookmarkEnd w:id="24"/>
      <w:bookmarkEnd w:id="25"/>
      <w:bookmarkEnd w:id="26"/>
      <w:bookmarkEnd w:id="27"/>
      <w:bookmarkEnd w:id="28"/>
      <w:bookmarkEnd w:id="29"/>
    </w:p>
    <w:p w14:paraId="463AABC1">
      <w:pPr>
        <w:pStyle w:val="44"/>
        <w:widowControl w:val="0"/>
        <w:adjustRightInd/>
        <w:snapToGrid/>
        <w:ind w:left="425" w:hanging="425" w:firstLineChars="0"/>
        <w:jc w:val="both"/>
        <w:rPr>
          <w:rFonts w:hint="eastAsia" w:ascii="宋体" w:hAnsi="宋体" w:eastAsia="宋体" w:cs="宋体"/>
          <w:vanish/>
          <w:color w:val="auto"/>
          <w:szCs w:val="21"/>
          <w:highlight w:val="none"/>
        </w:rPr>
      </w:pPr>
    </w:p>
    <w:p w14:paraId="1C6541DF">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采购人：见投标邀请书。</w:t>
      </w:r>
    </w:p>
    <w:p w14:paraId="3430F30C">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投标人：响应采购并且符合采购文件规定资格条件和参加投标竞争的法人、其他组织或者自然人。</w:t>
      </w:r>
    </w:p>
    <w:p w14:paraId="091BFD9F">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法人：法人是依法在国内进行注册并具有民事权利能力和民事行为能力，依法独立享有民事权利和承担民事义务的组织。</w:t>
      </w:r>
    </w:p>
    <w:p w14:paraId="7CCF6328">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中标人：指经评标委员会评审推荐、采购人确认的获得本项目中标资格的投标人。</w:t>
      </w:r>
    </w:p>
    <w:p w14:paraId="661AA1CE">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采购代理机构：见投标邀请书。</w:t>
      </w:r>
    </w:p>
    <w:p w14:paraId="00FCC7C6">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评标委员会：评标委员会是依据相关规定组建的专门负责本次采购其评标工作的临时性机构。</w:t>
      </w:r>
    </w:p>
    <w:p w14:paraId="2AAC9696">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合同：指由本次采购所产生的合同或合约文件。</w:t>
      </w:r>
    </w:p>
    <w:p w14:paraId="506D1DB4">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69E0D2AB">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1DA698A3">
      <w:pPr>
        <w:rPr>
          <w:rFonts w:hint="eastAsia" w:ascii="宋体" w:hAnsi="宋体" w:eastAsia="宋体" w:cs="宋体"/>
          <w:color w:val="auto"/>
          <w:highlight w:val="none"/>
        </w:rPr>
      </w:pPr>
    </w:p>
    <w:p w14:paraId="48799DDB">
      <w:pPr>
        <w:pStyle w:val="5"/>
        <w:widowControl w:val="0"/>
        <w:numPr>
          <w:ilvl w:val="0"/>
          <w:numId w:val="4"/>
        </w:numPr>
        <w:overflowPunct w:val="0"/>
        <w:rPr>
          <w:rFonts w:hint="eastAsia" w:ascii="宋体" w:hAnsi="宋体" w:eastAsia="宋体" w:cs="宋体"/>
          <w:color w:val="auto"/>
          <w:sz w:val="21"/>
          <w:szCs w:val="21"/>
          <w:highlight w:val="none"/>
        </w:rPr>
      </w:pPr>
      <w:bookmarkStart w:id="30" w:name="_Toc18000"/>
      <w:bookmarkStart w:id="31" w:name="_Toc11624"/>
      <w:r>
        <w:rPr>
          <w:rFonts w:hint="eastAsia" w:ascii="宋体" w:hAnsi="宋体" w:eastAsia="宋体" w:cs="宋体"/>
          <w:color w:val="auto"/>
          <w:sz w:val="21"/>
          <w:szCs w:val="21"/>
          <w:highlight w:val="none"/>
        </w:rPr>
        <w:t>货物和服务</w:t>
      </w:r>
      <w:bookmarkEnd w:id="30"/>
      <w:bookmarkEnd w:id="31"/>
    </w:p>
    <w:p w14:paraId="72CCA2CD">
      <w:pPr>
        <w:pStyle w:val="44"/>
        <w:widowControl w:val="0"/>
        <w:adjustRightInd/>
        <w:snapToGrid/>
        <w:ind w:left="425" w:hanging="425" w:firstLineChars="0"/>
        <w:jc w:val="both"/>
        <w:rPr>
          <w:rFonts w:hint="eastAsia" w:ascii="宋体" w:hAnsi="宋体" w:eastAsia="宋体" w:cs="宋体"/>
          <w:vanish/>
          <w:color w:val="auto"/>
          <w:szCs w:val="21"/>
          <w:highlight w:val="none"/>
        </w:rPr>
      </w:pPr>
    </w:p>
    <w:p w14:paraId="77938794">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货物是指各种形态和种类的物品，包括原材料、产品等。</w:t>
      </w:r>
    </w:p>
    <w:p w14:paraId="4381E2DA">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服务是指除货物和工程以外的其他采购对象。</w:t>
      </w:r>
    </w:p>
    <w:p w14:paraId="50308907">
      <w:pPr>
        <w:rPr>
          <w:rFonts w:hint="eastAsia" w:ascii="宋体" w:hAnsi="宋体" w:eastAsia="宋体" w:cs="宋体"/>
          <w:color w:val="auto"/>
          <w:highlight w:val="none"/>
        </w:rPr>
      </w:pPr>
    </w:p>
    <w:p w14:paraId="7C10AC18">
      <w:pPr>
        <w:pStyle w:val="5"/>
        <w:widowControl w:val="0"/>
        <w:numPr>
          <w:ilvl w:val="0"/>
          <w:numId w:val="4"/>
        </w:numPr>
        <w:overflowPunct w:val="0"/>
        <w:rPr>
          <w:rFonts w:hint="eastAsia" w:ascii="宋体" w:hAnsi="宋体" w:eastAsia="宋体" w:cs="宋体"/>
          <w:color w:val="auto"/>
          <w:sz w:val="21"/>
          <w:szCs w:val="21"/>
          <w:highlight w:val="none"/>
        </w:rPr>
      </w:pPr>
      <w:bookmarkStart w:id="32" w:name="_Toc27448"/>
      <w:bookmarkStart w:id="33" w:name="_Toc15719"/>
      <w:r>
        <w:rPr>
          <w:rFonts w:hint="eastAsia" w:ascii="宋体" w:hAnsi="宋体" w:eastAsia="宋体" w:cs="宋体"/>
          <w:color w:val="auto"/>
          <w:sz w:val="21"/>
          <w:szCs w:val="21"/>
          <w:highlight w:val="none"/>
        </w:rPr>
        <w:t>投标费用</w:t>
      </w:r>
      <w:bookmarkEnd w:id="32"/>
      <w:bookmarkEnd w:id="33"/>
    </w:p>
    <w:p w14:paraId="632E80E5">
      <w:pPr>
        <w:pStyle w:val="44"/>
        <w:widowControl w:val="0"/>
        <w:adjustRightInd/>
        <w:snapToGrid/>
        <w:ind w:left="425" w:hanging="425" w:firstLineChars="0"/>
        <w:jc w:val="both"/>
        <w:rPr>
          <w:rFonts w:hint="eastAsia" w:ascii="宋体" w:hAnsi="宋体" w:eastAsia="宋体" w:cs="宋体"/>
          <w:vanish/>
          <w:color w:val="auto"/>
          <w:szCs w:val="21"/>
          <w:highlight w:val="none"/>
        </w:rPr>
      </w:pPr>
    </w:p>
    <w:p w14:paraId="218C1511">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37D86B8A">
      <w:pPr>
        <w:widowControl w:val="0"/>
        <w:adjustRightInd/>
        <w:snapToGrid/>
        <w:jc w:val="both"/>
        <w:rPr>
          <w:rFonts w:hint="eastAsia" w:ascii="宋体" w:hAnsi="宋体" w:eastAsia="宋体" w:cs="宋体"/>
          <w:color w:val="auto"/>
          <w:szCs w:val="21"/>
          <w:highlight w:val="none"/>
        </w:rPr>
      </w:pPr>
    </w:p>
    <w:p w14:paraId="5987A058">
      <w:pPr>
        <w:pStyle w:val="5"/>
        <w:widowControl w:val="0"/>
        <w:numPr>
          <w:ilvl w:val="0"/>
          <w:numId w:val="4"/>
        </w:numPr>
        <w:overflowPunct w:val="0"/>
        <w:rPr>
          <w:rFonts w:hint="eastAsia" w:ascii="宋体" w:hAnsi="宋体" w:eastAsia="宋体" w:cs="宋体"/>
          <w:color w:val="auto"/>
          <w:sz w:val="21"/>
          <w:szCs w:val="21"/>
          <w:highlight w:val="none"/>
        </w:rPr>
      </w:pPr>
      <w:bookmarkStart w:id="34" w:name="_Toc6180"/>
      <w:bookmarkStart w:id="35" w:name="_Toc8341"/>
      <w:r>
        <w:rPr>
          <w:rFonts w:hint="eastAsia" w:ascii="宋体" w:hAnsi="宋体" w:eastAsia="宋体" w:cs="宋体"/>
          <w:color w:val="auto"/>
          <w:sz w:val="21"/>
          <w:szCs w:val="21"/>
          <w:highlight w:val="none"/>
        </w:rPr>
        <w:t>知识产权</w:t>
      </w:r>
      <w:bookmarkEnd w:id="34"/>
      <w:bookmarkEnd w:id="35"/>
    </w:p>
    <w:p w14:paraId="40888A2D">
      <w:pPr>
        <w:pStyle w:val="44"/>
        <w:widowControl w:val="0"/>
        <w:adjustRightInd/>
        <w:snapToGrid/>
        <w:ind w:left="425" w:hanging="425" w:firstLineChars="0"/>
        <w:jc w:val="both"/>
        <w:rPr>
          <w:rFonts w:hint="eastAsia" w:ascii="宋体" w:hAnsi="宋体" w:eastAsia="宋体" w:cs="宋体"/>
          <w:vanish/>
          <w:color w:val="auto"/>
          <w:szCs w:val="21"/>
          <w:highlight w:val="none"/>
        </w:rPr>
      </w:pPr>
    </w:p>
    <w:p w14:paraId="0D6BB79A">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75E7B330">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采购人享有本项目实施过程中产生的知识成果及知识产权。</w:t>
      </w:r>
    </w:p>
    <w:p w14:paraId="3C86AB0B">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273737E9">
      <w:pPr>
        <w:widowControl w:val="0"/>
        <w:adjustRightInd/>
        <w:snapToGrid/>
        <w:ind w:left="567"/>
        <w:jc w:val="both"/>
        <w:rPr>
          <w:rFonts w:hint="eastAsia" w:ascii="宋体" w:hAnsi="宋体" w:eastAsia="宋体" w:cs="宋体"/>
          <w:color w:val="auto"/>
          <w:szCs w:val="21"/>
          <w:highlight w:val="none"/>
        </w:rPr>
      </w:pPr>
    </w:p>
    <w:p w14:paraId="1C79350F">
      <w:pPr>
        <w:pStyle w:val="5"/>
        <w:widowControl w:val="0"/>
        <w:numPr>
          <w:ilvl w:val="0"/>
          <w:numId w:val="4"/>
        </w:numPr>
        <w:overflowPunct w:val="0"/>
        <w:rPr>
          <w:rFonts w:hint="eastAsia" w:ascii="宋体" w:hAnsi="宋体" w:eastAsia="宋体" w:cs="宋体"/>
          <w:color w:val="auto"/>
          <w:sz w:val="21"/>
          <w:szCs w:val="21"/>
          <w:highlight w:val="none"/>
        </w:rPr>
      </w:pPr>
      <w:bookmarkStart w:id="36" w:name="_Toc18349"/>
      <w:bookmarkStart w:id="37" w:name="_Toc2352"/>
      <w:r>
        <w:rPr>
          <w:rFonts w:hint="eastAsia" w:ascii="宋体" w:hAnsi="宋体" w:eastAsia="宋体" w:cs="宋体"/>
          <w:color w:val="auto"/>
          <w:sz w:val="21"/>
          <w:szCs w:val="21"/>
          <w:highlight w:val="none"/>
        </w:rPr>
        <w:t>关于联合体投标</w:t>
      </w:r>
      <w:bookmarkEnd w:id="36"/>
      <w:bookmarkEnd w:id="37"/>
    </w:p>
    <w:p w14:paraId="2E5BB967">
      <w:pPr>
        <w:pStyle w:val="44"/>
        <w:widowControl w:val="0"/>
        <w:adjustRightInd/>
        <w:snapToGrid/>
        <w:ind w:left="425" w:hanging="425" w:firstLineChars="0"/>
        <w:jc w:val="both"/>
        <w:rPr>
          <w:rFonts w:hint="eastAsia" w:ascii="宋体" w:hAnsi="宋体" w:eastAsia="宋体" w:cs="宋体"/>
          <w:vanish/>
          <w:color w:val="auto"/>
          <w:szCs w:val="21"/>
          <w:highlight w:val="none"/>
        </w:rPr>
      </w:pPr>
    </w:p>
    <w:p w14:paraId="232C88A1">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对接受联合体投标的项目：两个以上的自然人、法人或者其他组织可以组成一个联合体，以一个投标人的身份共同参加采购活动。</w:t>
      </w:r>
    </w:p>
    <w:p w14:paraId="09635394">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以联合体形式参与项目的供应商在领购采购文件时，应提供所有联合体组成成员的营业执照复印件，并加盖各联合体组成成员的公章。</w:t>
      </w:r>
    </w:p>
    <w:p w14:paraId="6144A184">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联合体各方均应具有独立承担民事责任能力的法人或其他组织。</w:t>
      </w:r>
    </w:p>
    <w:p w14:paraId="6B7A9697">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2B4F0B6D">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1554A485">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3F41D607">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供应商为联合体的，可以由联合体中的任意一方交纳保证金，其交纳的保证金对联合体各方均具有约束力。</w:t>
      </w:r>
    </w:p>
    <w:p w14:paraId="5947D4EC">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除联合体协议明确授权盖章单位外，联合体投标时投标文件中所有要求盖章的地方均须加盖联合体所有组成成员的公章，否则该处盖章无效。</w:t>
      </w:r>
    </w:p>
    <w:p w14:paraId="07B1515A">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53CB0326">
      <w:pPr>
        <w:widowControl w:val="0"/>
        <w:adjustRightInd/>
        <w:snapToGrid/>
        <w:ind w:left="567"/>
        <w:jc w:val="both"/>
        <w:rPr>
          <w:rFonts w:hint="eastAsia" w:ascii="宋体" w:hAnsi="宋体" w:eastAsia="宋体" w:cs="宋体"/>
          <w:color w:val="auto"/>
          <w:szCs w:val="21"/>
          <w:highlight w:val="none"/>
        </w:rPr>
      </w:pPr>
    </w:p>
    <w:p w14:paraId="5F2E6ED7">
      <w:pPr>
        <w:pStyle w:val="5"/>
        <w:widowControl w:val="0"/>
        <w:numPr>
          <w:ilvl w:val="0"/>
          <w:numId w:val="4"/>
        </w:numPr>
        <w:overflowPunct w:val="0"/>
        <w:rPr>
          <w:rFonts w:hint="eastAsia" w:ascii="宋体" w:hAnsi="宋体" w:eastAsia="宋体" w:cs="宋体"/>
          <w:color w:val="auto"/>
          <w:sz w:val="21"/>
          <w:szCs w:val="21"/>
          <w:highlight w:val="none"/>
        </w:rPr>
      </w:pPr>
      <w:bookmarkStart w:id="38" w:name="_Toc3572"/>
      <w:bookmarkStart w:id="39" w:name="_Toc8845"/>
      <w:r>
        <w:rPr>
          <w:rFonts w:hint="eastAsia" w:ascii="宋体" w:hAnsi="宋体" w:eastAsia="宋体" w:cs="宋体"/>
          <w:color w:val="auto"/>
          <w:sz w:val="21"/>
          <w:szCs w:val="21"/>
          <w:highlight w:val="none"/>
        </w:rPr>
        <w:t>关于分支机构投标</w:t>
      </w:r>
      <w:bookmarkEnd w:id="38"/>
      <w:bookmarkEnd w:id="39"/>
    </w:p>
    <w:p w14:paraId="70746DFC">
      <w:pPr>
        <w:pStyle w:val="44"/>
        <w:widowControl w:val="0"/>
        <w:adjustRightInd/>
        <w:snapToGrid/>
        <w:ind w:left="425" w:hanging="425" w:firstLineChars="0"/>
        <w:jc w:val="both"/>
        <w:rPr>
          <w:rFonts w:hint="eastAsia" w:ascii="宋体" w:hAnsi="宋体" w:eastAsia="宋体" w:cs="宋体"/>
          <w:vanish/>
          <w:color w:val="auto"/>
          <w:szCs w:val="21"/>
          <w:highlight w:val="none"/>
        </w:rPr>
      </w:pPr>
      <w:bookmarkStart w:id="40" w:name="EB389f116341dd4693875bc7987e7327f3"/>
    </w:p>
    <w:p w14:paraId="62299D6D">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40"/>
    </w:p>
    <w:p w14:paraId="3D16BA17">
      <w:pPr>
        <w:widowControl w:val="0"/>
        <w:adjustRightInd/>
        <w:snapToGrid/>
        <w:ind w:left="567"/>
        <w:jc w:val="both"/>
        <w:rPr>
          <w:rFonts w:hint="eastAsia" w:ascii="宋体" w:hAnsi="宋体" w:eastAsia="宋体" w:cs="宋体"/>
          <w:color w:val="auto"/>
          <w:szCs w:val="21"/>
          <w:highlight w:val="none"/>
        </w:rPr>
      </w:pPr>
    </w:p>
    <w:p w14:paraId="41518662">
      <w:pPr>
        <w:pStyle w:val="5"/>
        <w:widowControl w:val="0"/>
        <w:numPr>
          <w:ilvl w:val="0"/>
          <w:numId w:val="4"/>
        </w:numPr>
        <w:overflowPunct w:val="0"/>
        <w:rPr>
          <w:rFonts w:hint="eastAsia" w:ascii="宋体" w:hAnsi="宋体" w:eastAsia="宋体" w:cs="宋体"/>
          <w:color w:val="auto"/>
          <w:sz w:val="21"/>
          <w:szCs w:val="21"/>
          <w:highlight w:val="none"/>
        </w:rPr>
      </w:pPr>
      <w:bookmarkStart w:id="41" w:name="_Toc28775"/>
      <w:r>
        <w:rPr>
          <w:rFonts w:hint="eastAsia" w:ascii="宋体" w:hAnsi="宋体" w:eastAsia="宋体" w:cs="宋体"/>
          <w:color w:val="auto"/>
          <w:sz w:val="21"/>
          <w:szCs w:val="21"/>
          <w:highlight w:val="none"/>
        </w:rPr>
        <w:t>踏勘现场</w:t>
      </w:r>
      <w:bookmarkEnd w:id="41"/>
    </w:p>
    <w:p w14:paraId="19E347CF">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《投标资料表》规定组织踏勘现场的，采购人按《投标资料表》规定的时间、地点组织响应人踏勘项目现场；</w:t>
      </w:r>
    </w:p>
    <w:p w14:paraId="48556261">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响应人踏勘现场发生的费用自理；</w:t>
      </w:r>
    </w:p>
    <w:p w14:paraId="73859AD1">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除采购人的原因外，响应人自行负责在踏勘现场中所发生的人员伤亡和财产损失；</w:t>
      </w:r>
    </w:p>
    <w:p w14:paraId="08952AC2">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采购人在踏勘现场中介绍的实施地点和相关的周边环境情况，响应人在编制响应文件时参考，采购人不对响应人据此作出的判断和决策负责；</w:t>
      </w:r>
    </w:p>
    <w:p w14:paraId="56C82118">
      <w:pPr>
        <w:rPr>
          <w:rFonts w:hint="eastAsia" w:ascii="宋体" w:hAnsi="宋体" w:eastAsia="宋体" w:cs="宋体"/>
          <w:color w:val="auto"/>
          <w:highlight w:val="none"/>
        </w:rPr>
      </w:pPr>
    </w:p>
    <w:p w14:paraId="72F49DA8">
      <w:pPr>
        <w:pStyle w:val="4"/>
        <w:numPr>
          <w:ilvl w:val="0"/>
          <w:numId w:val="3"/>
        </w:numPr>
        <w:spacing w:before="0" w:after="0" w:line="360" w:lineRule="auto"/>
        <w:jc w:val="center"/>
        <w:rPr>
          <w:rFonts w:hint="eastAsia" w:ascii="宋体" w:hAnsi="宋体" w:eastAsia="宋体" w:cs="宋体"/>
          <w:color w:val="auto"/>
          <w:highlight w:val="none"/>
        </w:rPr>
      </w:pPr>
      <w:bookmarkStart w:id="42" w:name="_Toc16024"/>
      <w:bookmarkStart w:id="43" w:name="_Toc9444"/>
      <w:r>
        <w:rPr>
          <w:rFonts w:hint="eastAsia" w:ascii="宋体" w:hAnsi="宋体" w:eastAsia="宋体" w:cs="宋体"/>
          <w:color w:val="auto"/>
          <w:highlight w:val="none"/>
        </w:rPr>
        <w:t>采购文件</w:t>
      </w:r>
      <w:bookmarkEnd w:id="42"/>
      <w:bookmarkEnd w:id="43"/>
    </w:p>
    <w:p w14:paraId="67563CE4">
      <w:pPr>
        <w:pStyle w:val="5"/>
        <w:widowControl w:val="0"/>
        <w:numPr>
          <w:ilvl w:val="0"/>
          <w:numId w:val="4"/>
        </w:numPr>
        <w:overflowPunct w:val="0"/>
        <w:rPr>
          <w:rFonts w:hint="eastAsia" w:ascii="宋体" w:hAnsi="宋体" w:eastAsia="宋体" w:cs="宋体"/>
          <w:color w:val="auto"/>
          <w:sz w:val="21"/>
          <w:szCs w:val="21"/>
          <w:highlight w:val="none"/>
        </w:rPr>
      </w:pPr>
      <w:bookmarkStart w:id="44" w:name="_Toc10638"/>
      <w:bookmarkStart w:id="45" w:name="_Toc29495"/>
      <w:r>
        <w:rPr>
          <w:rFonts w:hint="eastAsia" w:ascii="宋体" w:hAnsi="宋体" w:eastAsia="宋体" w:cs="宋体"/>
          <w:color w:val="auto"/>
          <w:sz w:val="21"/>
          <w:szCs w:val="21"/>
          <w:highlight w:val="none"/>
        </w:rPr>
        <w:t>采购文件的组成</w:t>
      </w:r>
      <w:bookmarkEnd w:id="44"/>
      <w:bookmarkEnd w:id="45"/>
    </w:p>
    <w:p w14:paraId="26425E7A">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p>
    <w:p w14:paraId="26C785C6">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采购文件包括：</w:t>
      </w:r>
    </w:p>
    <w:p w14:paraId="40AA6E39">
      <w:pPr>
        <w:widowControl w:val="0"/>
        <w:numPr>
          <w:ilvl w:val="0"/>
          <w:numId w:val="0"/>
        </w:numPr>
        <w:shd w:val="clear"/>
        <w:overflowPunct w:val="0"/>
        <w:ind w:left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（1）投标邀请书；</w:t>
      </w:r>
    </w:p>
    <w:p w14:paraId="5141FFE5">
      <w:pPr>
        <w:widowControl w:val="0"/>
        <w:numPr>
          <w:ilvl w:val="0"/>
          <w:numId w:val="0"/>
        </w:numPr>
        <w:shd w:val="clear"/>
        <w:overflowPunct w:val="0"/>
        <w:ind w:left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（2）投标资料表；</w:t>
      </w:r>
    </w:p>
    <w:p w14:paraId="47D33090">
      <w:pPr>
        <w:widowControl w:val="0"/>
        <w:numPr>
          <w:ilvl w:val="0"/>
          <w:numId w:val="0"/>
        </w:numPr>
        <w:shd w:val="clear"/>
        <w:overflowPunct w:val="0"/>
        <w:ind w:left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（3）用户需求书；</w:t>
      </w:r>
    </w:p>
    <w:p w14:paraId="20D7DB61">
      <w:pPr>
        <w:widowControl w:val="0"/>
        <w:numPr>
          <w:ilvl w:val="0"/>
          <w:numId w:val="0"/>
        </w:numPr>
        <w:shd w:val="clear"/>
        <w:overflowPunct w:val="0"/>
        <w:ind w:left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（4）投标人须知；</w:t>
      </w:r>
    </w:p>
    <w:p w14:paraId="17C1408C">
      <w:pPr>
        <w:widowControl w:val="0"/>
        <w:numPr>
          <w:ilvl w:val="0"/>
          <w:numId w:val="0"/>
        </w:numPr>
        <w:shd w:val="clear"/>
        <w:overflowPunct w:val="0"/>
        <w:ind w:left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（5）拟签订的合同文本；</w:t>
      </w:r>
    </w:p>
    <w:p w14:paraId="6BAFC5C4">
      <w:pPr>
        <w:widowControl w:val="0"/>
        <w:numPr>
          <w:ilvl w:val="0"/>
          <w:numId w:val="0"/>
        </w:numPr>
        <w:shd w:val="clear"/>
        <w:overflowPunct w:val="0"/>
        <w:ind w:left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（6）投标文件格式；</w:t>
      </w:r>
    </w:p>
    <w:p w14:paraId="6AC67A0B">
      <w:pPr>
        <w:widowControl w:val="0"/>
        <w:numPr>
          <w:ilvl w:val="0"/>
          <w:numId w:val="0"/>
        </w:numPr>
        <w:shd w:val="clear"/>
        <w:overflowPunct w:val="0"/>
        <w:ind w:left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（7）在采购过程中由采购代理机构发出的澄清更正文件等。</w:t>
      </w:r>
    </w:p>
    <w:p w14:paraId="0CCC1F84">
      <w:pPr>
        <w:rPr>
          <w:rFonts w:hint="eastAsia" w:ascii="宋体" w:hAnsi="宋体" w:eastAsia="宋体" w:cs="宋体"/>
          <w:color w:val="auto"/>
          <w:highlight w:val="none"/>
        </w:rPr>
      </w:pPr>
    </w:p>
    <w:p w14:paraId="2B6C845A">
      <w:pPr>
        <w:pStyle w:val="5"/>
        <w:widowControl w:val="0"/>
        <w:numPr>
          <w:ilvl w:val="0"/>
          <w:numId w:val="4"/>
        </w:numPr>
        <w:overflowPunct w:val="0"/>
        <w:rPr>
          <w:rFonts w:hint="eastAsia" w:ascii="宋体" w:hAnsi="宋体" w:eastAsia="宋体" w:cs="宋体"/>
          <w:color w:val="auto"/>
          <w:sz w:val="21"/>
          <w:szCs w:val="21"/>
          <w:highlight w:val="none"/>
        </w:rPr>
      </w:pPr>
      <w:bookmarkStart w:id="46" w:name="_Toc25712"/>
      <w:bookmarkStart w:id="47" w:name="_Toc21392"/>
      <w:r>
        <w:rPr>
          <w:rFonts w:hint="eastAsia" w:ascii="宋体" w:hAnsi="宋体" w:eastAsia="宋体" w:cs="宋体"/>
          <w:color w:val="auto"/>
          <w:sz w:val="21"/>
          <w:szCs w:val="21"/>
          <w:highlight w:val="none"/>
        </w:rPr>
        <w:t>采购文件的澄清或修改</w:t>
      </w:r>
      <w:bookmarkEnd w:id="46"/>
      <w:bookmarkEnd w:id="47"/>
    </w:p>
    <w:p w14:paraId="12D0DAD9">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p>
    <w:p w14:paraId="149BBB25">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6AADF870">
      <w:pPr>
        <w:widowControl w:val="0"/>
        <w:numPr>
          <w:ilvl w:val="1"/>
          <w:numId w:val="4"/>
        </w:numPr>
        <w:overflowPunct w:val="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采购期间，投标人有义务上网查看，公告一经上网发布，即视为送达。因投标人未及时上网查看而造成的所有后果，由投标人自行承担。</w:t>
      </w:r>
    </w:p>
    <w:p w14:paraId="5DDB55D5">
      <w:pPr>
        <w:widowControl w:val="0"/>
        <w:adjustRightInd/>
        <w:snapToGrid/>
        <w:ind w:left="567"/>
        <w:jc w:val="both"/>
        <w:rPr>
          <w:rFonts w:hint="eastAsia" w:ascii="宋体" w:hAnsi="宋体" w:eastAsia="宋体" w:cs="宋体"/>
          <w:color w:val="auto"/>
          <w:szCs w:val="21"/>
          <w:highlight w:val="none"/>
        </w:rPr>
      </w:pPr>
    </w:p>
    <w:p w14:paraId="65EA5218">
      <w:pPr>
        <w:pStyle w:val="4"/>
        <w:numPr>
          <w:ilvl w:val="0"/>
          <w:numId w:val="3"/>
        </w:numPr>
        <w:spacing w:before="0" w:after="0" w:line="360" w:lineRule="auto"/>
        <w:jc w:val="center"/>
        <w:rPr>
          <w:rFonts w:hint="eastAsia" w:ascii="宋体" w:hAnsi="宋体" w:eastAsia="宋体" w:cs="宋体"/>
          <w:color w:val="auto"/>
          <w:highlight w:val="none"/>
        </w:rPr>
      </w:pPr>
      <w:bookmarkStart w:id="48" w:name="_Toc23924"/>
      <w:bookmarkStart w:id="49" w:name="_Toc12343"/>
      <w:r>
        <w:rPr>
          <w:rFonts w:hint="eastAsia" w:ascii="宋体" w:hAnsi="宋体" w:eastAsia="宋体" w:cs="宋体"/>
          <w:color w:val="auto"/>
          <w:highlight w:val="none"/>
        </w:rPr>
        <w:t>投标文件的编制</w:t>
      </w:r>
      <w:bookmarkEnd w:id="48"/>
      <w:bookmarkEnd w:id="49"/>
    </w:p>
    <w:p w14:paraId="23756F1A">
      <w:pPr>
        <w:pStyle w:val="5"/>
        <w:widowControl w:val="0"/>
        <w:numPr>
          <w:ilvl w:val="0"/>
          <w:numId w:val="4"/>
        </w:numPr>
        <w:overflowPunct w:val="0"/>
        <w:rPr>
          <w:rFonts w:hint="eastAsia" w:ascii="宋体" w:hAnsi="宋体" w:eastAsia="宋体" w:cs="宋体"/>
          <w:color w:val="auto"/>
          <w:sz w:val="21"/>
          <w:szCs w:val="21"/>
          <w:highlight w:val="none"/>
        </w:rPr>
      </w:pPr>
      <w:bookmarkStart w:id="50" w:name="_Toc24204"/>
      <w:bookmarkStart w:id="51" w:name="_Toc16938"/>
      <w:r>
        <w:rPr>
          <w:rFonts w:hint="eastAsia" w:ascii="宋体" w:hAnsi="宋体" w:eastAsia="宋体" w:cs="宋体"/>
          <w:color w:val="auto"/>
          <w:sz w:val="21"/>
          <w:szCs w:val="21"/>
          <w:highlight w:val="none"/>
        </w:rPr>
        <w:t>投标文件的语言及度量衡单位</w:t>
      </w:r>
      <w:bookmarkEnd w:id="50"/>
      <w:bookmarkEnd w:id="51"/>
    </w:p>
    <w:p w14:paraId="5078EEE4">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p>
    <w:p w14:paraId="4D332D35">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17C9DF67">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6A14D345">
      <w:pPr>
        <w:widowControl w:val="0"/>
        <w:adjustRightInd/>
        <w:snapToGrid/>
        <w:ind w:left="567"/>
        <w:jc w:val="both"/>
        <w:rPr>
          <w:rFonts w:hint="eastAsia" w:ascii="宋体" w:hAnsi="宋体" w:eastAsia="宋体" w:cs="宋体"/>
          <w:color w:val="auto"/>
          <w:szCs w:val="21"/>
          <w:highlight w:val="none"/>
        </w:rPr>
      </w:pPr>
    </w:p>
    <w:p w14:paraId="69D4B972">
      <w:pPr>
        <w:pStyle w:val="5"/>
        <w:widowControl w:val="0"/>
        <w:numPr>
          <w:ilvl w:val="0"/>
          <w:numId w:val="4"/>
        </w:numPr>
        <w:overflowPunct w:val="0"/>
        <w:rPr>
          <w:rFonts w:hint="eastAsia" w:ascii="宋体" w:hAnsi="宋体" w:eastAsia="宋体" w:cs="宋体"/>
          <w:color w:val="auto"/>
          <w:sz w:val="21"/>
          <w:szCs w:val="21"/>
          <w:highlight w:val="none"/>
        </w:rPr>
      </w:pPr>
      <w:bookmarkStart w:id="52" w:name="_Toc28866"/>
      <w:bookmarkStart w:id="53" w:name="_Toc11466"/>
      <w:bookmarkStart w:id="54" w:name="_Toc382049103"/>
      <w:bookmarkStart w:id="55" w:name="_Toc303084256"/>
      <w:bookmarkStart w:id="56" w:name="_Toc307934854"/>
      <w:bookmarkStart w:id="57" w:name="_Toc24651"/>
      <w:r>
        <w:rPr>
          <w:rFonts w:hint="eastAsia" w:ascii="宋体" w:hAnsi="宋体" w:eastAsia="宋体" w:cs="宋体"/>
          <w:color w:val="auto"/>
          <w:sz w:val="21"/>
          <w:szCs w:val="21"/>
          <w:highlight w:val="none"/>
        </w:rPr>
        <w:t>投标文件的组成</w:t>
      </w:r>
      <w:bookmarkEnd w:id="52"/>
      <w:bookmarkEnd w:id="53"/>
      <w:bookmarkEnd w:id="54"/>
      <w:bookmarkEnd w:id="55"/>
      <w:bookmarkEnd w:id="56"/>
      <w:bookmarkEnd w:id="57"/>
    </w:p>
    <w:p w14:paraId="12DF82B3">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p>
    <w:p w14:paraId="0CB148B3">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包括但不限于采购文件附件格式中要求提供的表格。</w:t>
      </w:r>
    </w:p>
    <w:p w14:paraId="0F54DA16">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14:paraId="147D7A0A">
      <w:pPr>
        <w:rPr>
          <w:rFonts w:hint="eastAsia" w:ascii="宋体" w:hAnsi="宋体" w:eastAsia="宋体" w:cs="宋体"/>
          <w:color w:val="auto"/>
          <w:highlight w:val="none"/>
        </w:rPr>
      </w:pPr>
    </w:p>
    <w:p w14:paraId="1A8A7BA2">
      <w:pPr>
        <w:pStyle w:val="5"/>
        <w:widowControl w:val="0"/>
        <w:numPr>
          <w:ilvl w:val="0"/>
          <w:numId w:val="4"/>
        </w:numPr>
        <w:overflowPunct w:val="0"/>
        <w:rPr>
          <w:rFonts w:hint="eastAsia" w:ascii="宋体" w:hAnsi="宋体" w:eastAsia="宋体" w:cs="宋体"/>
          <w:color w:val="auto"/>
          <w:sz w:val="21"/>
          <w:szCs w:val="21"/>
          <w:highlight w:val="none"/>
        </w:rPr>
      </w:pPr>
      <w:bookmarkStart w:id="58" w:name="_Toc755"/>
      <w:bookmarkStart w:id="59" w:name="_Toc12205"/>
      <w:r>
        <w:rPr>
          <w:rFonts w:hint="eastAsia" w:ascii="宋体" w:hAnsi="宋体" w:eastAsia="宋体" w:cs="宋体"/>
          <w:color w:val="auto"/>
          <w:sz w:val="21"/>
          <w:szCs w:val="21"/>
          <w:highlight w:val="none"/>
        </w:rPr>
        <w:t>投标文件编制</w:t>
      </w:r>
      <w:bookmarkEnd w:id="58"/>
      <w:bookmarkEnd w:id="59"/>
    </w:p>
    <w:p w14:paraId="2FD81CBD">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bookmarkStart w:id="60" w:name="_Toc303084258"/>
    </w:p>
    <w:p w14:paraId="02A7E51F">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3EA7B3A0">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因投标文件编制存在歧义对投标人产生负面影响的，投标人自行承担后果。</w:t>
      </w:r>
    </w:p>
    <w:p w14:paraId="3D18D9D8">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投标单位名称与投标人公章不一致，若投标单位名称已进行变更，应在投标文件中提供相应的证明材料并加盖公章，否则投标文件无效。</w:t>
      </w:r>
    </w:p>
    <w:p w14:paraId="0AF45AFB">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投标文件密封、标记及内容与本项目采购信息不符，导致无法分辨所投项目为本项目的，投标文件无效。</w:t>
      </w:r>
    </w:p>
    <w:p w14:paraId="14E61972">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投标人须客观撰写投标人简介（格式自理，并提供相关证明）以及所投的产品或服务说明。</w:t>
      </w:r>
    </w:p>
    <w:p w14:paraId="4749B429">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投标文件若出现以下内容，经评标委员会认定有可能间接影响评审秩序，作废标处理。</w:t>
      </w:r>
    </w:p>
    <w:p w14:paraId="7C7D1B0D">
      <w:pPr>
        <w:pStyle w:val="44"/>
        <w:pageBreakBefore w:val="0"/>
        <w:widowControl w:val="0"/>
        <w:kinsoku/>
        <w:wordWrap/>
        <w:topLinePunct w:val="0"/>
        <w:autoSpaceDE/>
        <w:autoSpaceDN/>
        <w:bidi w:val="0"/>
        <w:adjustRightInd w:val="0"/>
        <w:snapToGrid w:val="0"/>
        <w:spacing w:line="360" w:lineRule="auto"/>
        <w:ind w:left="425" w:firstLine="0"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投标文件内出现无官方证明文件的行业地域排名或使用“国家级”、“最高级”、“最佳”等用语字眼的。</w:t>
      </w:r>
    </w:p>
    <w:p w14:paraId="7738DADF">
      <w:pPr>
        <w:pStyle w:val="44"/>
        <w:pageBreakBefore w:val="0"/>
        <w:widowControl w:val="0"/>
        <w:kinsoku/>
        <w:wordWrap/>
        <w:topLinePunct w:val="0"/>
        <w:autoSpaceDE/>
        <w:autoSpaceDN/>
        <w:bidi w:val="0"/>
        <w:adjustRightInd w:val="0"/>
        <w:snapToGrid w:val="0"/>
        <w:spacing w:line="360" w:lineRule="auto"/>
        <w:ind w:left="425" w:firstLine="0"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投标文件内出现</w:t>
      </w:r>
      <w:r>
        <w:rPr>
          <w:rFonts w:hint="eastAsia" w:ascii="宋体" w:hAnsi="宋体" w:eastAsia="宋体" w:cs="宋体"/>
          <w:color w:val="auto"/>
          <w:highlight w:val="none"/>
        </w:rPr>
        <w:t>恶意</w:t>
      </w:r>
      <w:r>
        <w:rPr>
          <w:rFonts w:hint="eastAsia" w:ascii="宋体" w:hAnsi="宋体" w:eastAsia="宋体" w:cs="宋体"/>
          <w:color w:val="auto"/>
          <w:szCs w:val="21"/>
          <w:highlight w:val="none"/>
        </w:rPr>
        <w:t>诋毁、贬低其他生产经营者的商品或者服务的内容。</w:t>
      </w:r>
    </w:p>
    <w:p w14:paraId="7E2D6D9E">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有下列情形之一的，视为投标人串通投标，其投标无效：</w:t>
      </w:r>
    </w:p>
    <w:p w14:paraId="7F7A9F48">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（1）不同投标人的投标文件由同一单位或者个人编制；</w:t>
      </w:r>
    </w:p>
    <w:p w14:paraId="4093E160">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（2）不同投标人委托同一单位或者个人办理投标事宜；</w:t>
      </w:r>
    </w:p>
    <w:p w14:paraId="6111178F">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（3）不同投标人的投标文件载明的项目管理成员或者联系人员为同一人；</w:t>
      </w:r>
    </w:p>
    <w:p w14:paraId="3AAB622E">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（4）不同投标人的投标文件异常一致或者投标报价呈规律性差异；</w:t>
      </w:r>
    </w:p>
    <w:p w14:paraId="5FD21B1F">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（5）不同投标人的投标文件相互混装；</w:t>
      </w:r>
    </w:p>
    <w:p w14:paraId="2C51B5B6">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（6）不同投标人的投标保证金从同一单位或者个人的账户转出。</w:t>
      </w:r>
    </w:p>
    <w:bookmarkEnd w:id="60"/>
    <w:p w14:paraId="2495350A">
      <w:pPr>
        <w:rPr>
          <w:rFonts w:hint="eastAsia" w:ascii="宋体" w:hAnsi="宋体" w:eastAsia="宋体" w:cs="宋体"/>
          <w:color w:val="auto"/>
          <w:highlight w:val="none"/>
        </w:rPr>
      </w:pPr>
    </w:p>
    <w:p w14:paraId="2A194647">
      <w:pPr>
        <w:pStyle w:val="5"/>
        <w:widowControl w:val="0"/>
        <w:numPr>
          <w:ilvl w:val="0"/>
          <w:numId w:val="4"/>
        </w:numPr>
        <w:overflowPunct w:val="0"/>
        <w:rPr>
          <w:rFonts w:hint="eastAsia" w:ascii="宋体" w:hAnsi="宋体" w:eastAsia="宋体" w:cs="宋体"/>
          <w:color w:val="auto"/>
          <w:sz w:val="21"/>
          <w:szCs w:val="21"/>
          <w:highlight w:val="none"/>
        </w:rPr>
      </w:pPr>
      <w:bookmarkStart w:id="61" w:name="_Toc22677"/>
      <w:bookmarkStart w:id="62" w:name="_Toc6154"/>
      <w:r>
        <w:rPr>
          <w:rFonts w:hint="eastAsia" w:ascii="宋体" w:hAnsi="宋体" w:eastAsia="宋体" w:cs="宋体"/>
          <w:color w:val="auto"/>
          <w:sz w:val="21"/>
          <w:szCs w:val="21"/>
          <w:highlight w:val="none"/>
        </w:rPr>
        <w:t>投标报价说明</w:t>
      </w:r>
      <w:bookmarkEnd w:id="61"/>
      <w:bookmarkEnd w:id="62"/>
    </w:p>
    <w:p w14:paraId="3952806D">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p>
    <w:p w14:paraId="01D21C68">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本次采购，投标人应按用户需求中的要求进行投标报价，少报无效。</w:t>
      </w:r>
    </w:p>
    <w:p w14:paraId="300CF3B4">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投标人所提供的货物或服务均以人民币（或相关费率）报价。</w:t>
      </w:r>
    </w:p>
    <w:p w14:paraId="7A131FFD">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投标报价应包含完成本次采购所有服务内容的费用，包含各种税务费及合同实施过程中的全部费用和售后服务费等。</w:t>
      </w:r>
    </w:p>
    <w:p w14:paraId="127C7238">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1BCA9313">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中标后开出的所有发票必须与中标人的名称一致。</w:t>
      </w:r>
    </w:p>
    <w:p w14:paraId="04D63D56">
      <w:pPr>
        <w:rPr>
          <w:rFonts w:hint="eastAsia" w:ascii="宋体" w:hAnsi="宋体" w:eastAsia="宋体" w:cs="宋体"/>
          <w:color w:val="auto"/>
          <w:highlight w:val="none"/>
        </w:rPr>
      </w:pPr>
    </w:p>
    <w:p w14:paraId="59738E0E">
      <w:pPr>
        <w:pStyle w:val="5"/>
        <w:widowControl w:val="0"/>
        <w:numPr>
          <w:ilvl w:val="0"/>
          <w:numId w:val="4"/>
        </w:numPr>
        <w:overflowPunct w:val="0"/>
        <w:rPr>
          <w:rFonts w:hint="eastAsia" w:ascii="宋体" w:hAnsi="宋体" w:eastAsia="宋体" w:cs="宋体"/>
          <w:color w:val="auto"/>
          <w:sz w:val="21"/>
          <w:szCs w:val="21"/>
          <w:highlight w:val="none"/>
        </w:rPr>
      </w:pPr>
      <w:bookmarkStart w:id="63" w:name="_Toc6628"/>
      <w:bookmarkStart w:id="64" w:name="_Toc17669"/>
      <w:r>
        <w:rPr>
          <w:rFonts w:hint="eastAsia" w:ascii="宋体" w:hAnsi="宋体" w:eastAsia="宋体" w:cs="宋体"/>
          <w:color w:val="auto"/>
          <w:sz w:val="21"/>
          <w:szCs w:val="21"/>
          <w:highlight w:val="none"/>
        </w:rPr>
        <w:t>投标人所提供的服务或货物的证明文件</w:t>
      </w:r>
      <w:bookmarkEnd w:id="63"/>
      <w:bookmarkEnd w:id="64"/>
    </w:p>
    <w:p w14:paraId="6FA8C1B7">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p>
    <w:p w14:paraId="7D5C7008">
      <w:pPr>
        <w:widowControl w:val="0"/>
        <w:numPr>
          <w:ilvl w:val="1"/>
          <w:numId w:val="4"/>
        </w:numPr>
        <w:overflowPunct w:val="0"/>
        <w:rPr>
          <w:rFonts w:hint="eastAsia" w:ascii="宋体" w:hAnsi="宋体" w:eastAsia="宋体" w:cs="宋体"/>
          <w:color w:val="auto"/>
          <w:szCs w:val="21"/>
          <w:highlight w:val="none"/>
        </w:rPr>
      </w:pPr>
      <w:bookmarkStart w:id="65" w:name="_Hlt107925668"/>
      <w:bookmarkEnd w:id="65"/>
      <w:bookmarkStart w:id="66" w:name="_Hlt107925638"/>
      <w:bookmarkEnd w:id="66"/>
      <w:r>
        <w:rPr>
          <w:rFonts w:hint="eastAsia" w:ascii="宋体" w:hAnsi="宋体" w:eastAsia="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5E1E89CE">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有下列情形之一的，视为投标人弄虚作假，其投标无效：</w:t>
      </w:r>
    </w:p>
    <w:p w14:paraId="0B9803D5">
      <w:pPr>
        <w:pStyle w:val="44"/>
        <w:pageBreakBefore w:val="0"/>
        <w:widowControl w:val="0"/>
        <w:kinsoku/>
        <w:wordWrap/>
        <w:topLinePunct w:val="0"/>
        <w:autoSpaceDE/>
        <w:autoSpaceDN/>
        <w:bidi w:val="0"/>
        <w:adjustRightInd w:val="0"/>
        <w:snapToGrid w:val="0"/>
        <w:spacing w:line="360" w:lineRule="auto"/>
        <w:ind w:left="425" w:firstLine="0" w:firstLineChars="0"/>
        <w:jc w:val="both"/>
        <w:rPr>
          <w:rFonts w:hint="eastAsia" w:ascii="宋体" w:hAnsi="宋体" w:eastAsia="宋体" w:cs="宋体"/>
          <w:color w:val="auto"/>
          <w:highlight w:val="none"/>
        </w:rPr>
      </w:pPr>
      <w:r>
        <w:rPr>
          <w:rFonts w:hint="eastAsia" w:ascii="宋体" w:hAnsi="宋体" w:eastAsia="宋体" w:cs="宋体"/>
          <w:color w:val="auto"/>
          <w:highlight w:val="none"/>
        </w:rPr>
        <w:t>1、使用通过受让或者租借等方式获取的资格、资质证书投标的，属于以他人名义投标。</w:t>
      </w:r>
    </w:p>
    <w:p w14:paraId="01ADE2C6">
      <w:pPr>
        <w:pStyle w:val="44"/>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2、投标人有下列情形之一的，属于以其他方式弄虚作假的行为：</w:t>
      </w:r>
    </w:p>
    <w:p w14:paraId="6FB11170">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（1）使用伪造、变造的许可证件；</w:t>
      </w:r>
    </w:p>
    <w:p w14:paraId="05EFC0BC">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（2）提供虚假的财务状况或者业绩；</w:t>
      </w:r>
    </w:p>
    <w:p w14:paraId="25595DCA">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（3）提供虚假的项目负责人或者主要技术人员简历、劳动关系证明；</w:t>
      </w:r>
    </w:p>
    <w:p w14:paraId="73385619">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（4）提供虚假的信用状况；</w:t>
      </w:r>
    </w:p>
    <w:p w14:paraId="63393093">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（5）其他弄虚作假的行为。</w:t>
      </w:r>
    </w:p>
    <w:p w14:paraId="40F2BD45">
      <w:pPr>
        <w:widowControl w:val="0"/>
        <w:numPr>
          <w:ilvl w:val="0"/>
          <w:numId w:val="0"/>
        </w:numPr>
        <w:overflowPunct w:val="0"/>
        <w:ind w:leftChars="0"/>
        <w:outlineLvl w:val="9"/>
        <w:rPr>
          <w:rFonts w:hint="eastAsia" w:ascii="宋体" w:hAnsi="宋体" w:eastAsia="宋体" w:cs="宋体"/>
          <w:color w:val="auto"/>
          <w:sz w:val="21"/>
          <w:szCs w:val="21"/>
          <w:highlight w:val="none"/>
        </w:rPr>
      </w:pPr>
      <w:bookmarkStart w:id="67" w:name="_Toc8324"/>
    </w:p>
    <w:p w14:paraId="4282FBF5">
      <w:pPr>
        <w:pStyle w:val="5"/>
        <w:widowControl w:val="0"/>
        <w:numPr>
          <w:ilvl w:val="0"/>
          <w:numId w:val="4"/>
        </w:numPr>
        <w:overflowPunct w:val="0"/>
        <w:rPr>
          <w:rFonts w:hint="eastAsia" w:ascii="宋体" w:hAnsi="宋体" w:eastAsia="宋体" w:cs="宋体"/>
          <w:color w:val="auto"/>
          <w:sz w:val="21"/>
          <w:szCs w:val="21"/>
          <w:highlight w:val="none"/>
        </w:rPr>
      </w:pPr>
      <w:bookmarkStart w:id="68" w:name="_Toc24153"/>
      <w:r>
        <w:rPr>
          <w:rFonts w:hint="eastAsia" w:ascii="宋体" w:hAnsi="宋体" w:eastAsia="宋体" w:cs="宋体"/>
          <w:color w:val="auto"/>
          <w:sz w:val="21"/>
          <w:szCs w:val="21"/>
          <w:highlight w:val="none"/>
        </w:rPr>
        <w:t>投标有效期</w:t>
      </w:r>
      <w:bookmarkEnd w:id="67"/>
      <w:bookmarkEnd w:id="68"/>
    </w:p>
    <w:p w14:paraId="78D41F43">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p>
    <w:p w14:paraId="06CD0441">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投标文件应根据投标人须知的规定在投标截止日后的90天内保持有效。</w:t>
      </w:r>
    </w:p>
    <w:p w14:paraId="14376AB1">
      <w:pPr>
        <w:widowControl w:val="0"/>
        <w:adjustRightInd/>
        <w:snapToGrid/>
        <w:ind w:left="567"/>
        <w:jc w:val="both"/>
        <w:rPr>
          <w:rFonts w:hint="eastAsia" w:ascii="宋体" w:hAnsi="宋体" w:eastAsia="宋体" w:cs="宋体"/>
          <w:color w:val="auto"/>
          <w:highlight w:val="none"/>
        </w:rPr>
      </w:pPr>
    </w:p>
    <w:p w14:paraId="02566A34">
      <w:pPr>
        <w:pStyle w:val="5"/>
        <w:widowControl w:val="0"/>
        <w:numPr>
          <w:ilvl w:val="0"/>
          <w:numId w:val="4"/>
        </w:numPr>
        <w:overflowPunct w:val="0"/>
        <w:rPr>
          <w:rFonts w:hint="eastAsia" w:ascii="宋体" w:hAnsi="宋体" w:eastAsia="宋体" w:cs="宋体"/>
          <w:color w:val="auto"/>
          <w:sz w:val="21"/>
          <w:szCs w:val="21"/>
          <w:highlight w:val="none"/>
        </w:rPr>
      </w:pPr>
      <w:bookmarkStart w:id="69" w:name="_Toc639"/>
      <w:bookmarkStart w:id="70" w:name="_Toc12582"/>
      <w:r>
        <w:rPr>
          <w:rFonts w:hint="eastAsia" w:ascii="宋体" w:hAnsi="宋体" w:eastAsia="宋体" w:cs="宋体"/>
          <w:color w:val="auto"/>
          <w:sz w:val="21"/>
          <w:szCs w:val="21"/>
          <w:highlight w:val="none"/>
        </w:rPr>
        <w:t>投标保证金</w:t>
      </w:r>
      <w:bookmarkEnd w:id="69"/>
      <w:bookmarkEnd w:id="70"/>
    </w:p>
    <w:p w14:paraId="4D52D373">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bookmarkStart w:id="71" w:name="_Ref179619405"/>
    </w:p>
    <w:p w14:paraId="1AE0DA47">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投标人应在投标文件递交截止前提交相应的投标保证金，并作为其投标的一部分。</w:t>
      </w:r>
      <w:bookmarkEnd w:id="71"/>
    </w:p>
    <w:p w14:paraId="59A9A124">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1879C8AA">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5A6801A2">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凡没有根据本须知（17.1和17.3）的规定随附有效的投标保证金的投标，将被视为非响应性投标予以拒绝。</w:t>
      </w:r>
    </w:p>
    <w:p w14:paraId="42F7DC82">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投标保证金有效期应当与投标有效期一致。采购人如果按照采购文件另外规定延长了投标文件有效期，则投标担保的有效期也相应延长。</w:t>
      </w:r>
    </w:p>
    <w:p w14:paraId="1DBF4B15">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5939A3F1">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下列任何情况发生时，投标保证金将不予退还：</w:t>
      </w:r>
    </w:p>
    <w:p w14:paraId="744ED676">
      <w:pPr>
        <w:pStyle w:val="44"/>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（1）投标人在采购文件中规定的投标有效期内撤回其投标；</w:t>
      </w:r>
    </w:p>
    <w:p w14:paraId="2BA4D230">
      <w:pPr>
        <w:pStyle w:val="44"/>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（2）中标人无正当理由不与采购人订立合同，在签订合同时向采购人提出附加条件，或者不按照采购文件要求提交履约保证金的；</w:t>
      </w:r>
    </w:p>
    <w:p w14:paraId="41E8F313">
      <w:pPr>
        <w:pStyle w:val="44"/>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（3）中标人将本项目转让给他人，或者在投标文件中未说明，且未经采购人同意，将中标项目分包给他人的；</w:t>
      </w:r>
    </w:p>
    <w:p w14:paraId="0B9B55BB">
      <w:pPr>
        <w:pStyle w:val="44"/>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（4）投标人提供虚假投标文件或虚假补充文件的。</w:t>
      </w:r>
    </w:p>
    <w:p w14:paraId="246D6E40">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在中标通知书发出后，未中标投标人的投标保证金，由采购人自行返还至投标人的原转出账户。</w:t>
      </w:r>
    </w:p>
    <w:p w14:paraId="15BD4316">
      <w:pPr>
        <w:rPr>
          <w:rFonts w:hint="eastAsia" w:ascii="宋体" w:hAnsi="宋体" w:eastAsia="宋体" w:cs="宋体"/>
          <w:color w:val="auto"/>
          <w:highlight w:val="none"/>
        </w:rPr>
      </w:pPr>
    </w:p>
    <w:p w14:paraId="25873B5F">
      <w:pPr>
        <w:pStyle w:val="4"/>
        <w:numPr>
          <w:ilvl w:val="0"/>
          <w:numId w:val="3"/>
        </w:numPr>
        <w:spacing w:before="0" w:after="0" w:line="360" w:lineRule="auto"/>
        <w:jc w:val="center"/>
        <w:rPr>
          <w:rFonts w:hint="eastAsia" w:ascii="宋体" w:hAnsi="宋体" w:eastAsia="宋体" w:cs="宋体"/>
          <w:color w:val="auto"/>
          <w:highlight w:val="none"/>
        </w:rPr>
      </w:pPr>
      <w:bookmarkStart w:id="72" w:name="_Toc30352"/>
      <w:bookmarkStart w:id="73" w:name="_Toc24937"/>
      <w:r>
        <w:rPr>
          <w:rFonts w:hint="eastAsia" w:ascii="宋体" w:hAnsi="宋体" w:eastAsia="宋体" w:cs="宋体"/>
          <w:color w:val="auto"/>
          <w:highlight w:val="none"/>
        </w:rPr>
        <w:t>投标文件的递交</w:t>
      </w:r>
      <w:bookmarkEnd w:id="72"/>
      <w:bookmarkEnd w:id="73"/>
    </w:p>
    <w:p w14:paraId="18164D0E">
      <w:pPr>
        <w:pStyle w:val="5"/>
        <w:widowControl w:val="0"/>
        <w:numPr>
          <w:ilvl w:val="0"/>
          <w:numId w:val="4"/>
        </w:numPr>
        <w:overflowPunct w:val="0"/>
        <w:rPr>
          <w:rFonts w:hint="eastAsia" w:ascii="宋体" w:hAnsi="宋体" w:eastAsia="宋体" w:cs="宋体"/>
          <w:color w:val="auto"/>
          <w:sz w:val="21"/>
          <w:szCs w:val="21"/>
          <w:highlight w:val="none"/>
        </w:rPr>
      </w:pPr>
      <w:bookmarkStart w:id="74" w:name="_Toc24150"/>
      <w:bookmarkStart w:id="75" w:name="_Toc382049111"/>
      <w:bookmarkStart w:id="76" w:name="_Toc303084264"/>
      <w:bookmarkStart w:id="77" w:name="_Toc17101"/>
      <w:bookmarkStart w:id="78" w:name="_Toc24997"/>
      <w:r>
        <w:rPr>
          <w:rFonts w:hint="eastAsia" w:ascii="宋体" w:hAnsi="宋体" w:eastAsia="宋体" w:cs="宋体"/>
          <w:color w:val="auto"/>
          <w:sz w:val="21"/>
          <w:szCs w:val="21"/>
          <w:highlight w:val="none"/>
        </w:rPr>
        <w:t>投标文件的装订，签署，密封和标记</w:t>
      </w:r>
      <w:bookmarkEnd w:id="74"/>
      <w:bookmarkEnd w:id="75"/>
      <w:bookmarkEnd w:id="76"/>
      <w:bookmarkEnd w:id="77"/>
      <w:bookmarkEnd w:id="78"/>
    </w:p>
    <w:p w14:paraId="6CC6AC76">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p>
    <w:p w14:paraId="1C4300AA">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投标人应按《投标资料表》的份数准备价格文件、商务文件、技术文件、唱标信封和电子文件（</w:t>
      </w:r>
      <w:r>
        <w:rPr>
          <w:rFonts w:hint="eastAsia" w:ascii="宋体" w:hAnsi="宋体" w:eastAsia="宋体" w:cs="宋体"/>
          <w:b/>
          <w:color w:val="auto"/>
          <w:szCs w:val="21"/>
          <w:highlight w:val="none"/>
        </w:rPr>
        <w:t>价格文件、商务文件、技术文件分别单独装订成册</w:t>
      </w:r>
      <w:r>
        <w:rPr>
          <w:rFonts w:hint="eastAsia" w:ascii="宋体" w:hAnsi="宋体" w:eastAsia="宋体" w:cs="宋体"/>
          <w:color w:val="auto"/>
          <w:szCs w:val="21"/>
          <w:highlight w:val="none"/>
        </w:rPr>
        <w:t>），每一份投标文件均需编上页次，装订成册（不允许使用活页夹，否则由此产生的风险由投标人自行承担）。所有投标文件必须封入密封完好的信封或包装，封口加盖公章。</w:t>
      </w:r>
    </w:p>
    <w:p w14:paraId="57C9CCF6">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00E0AF77">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联合体投标文件的【正本】及【副本】的封面及骑缝均须加盖所有联合体组成成员的公章。（文件每页盖章等同于盖骑缝章）</w:t>
      </w:r>
    </w:p>
    <w:p w14:paraId="64E6FA60">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14:paraId="25F699DF">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除投标人对错误处修改外，全套投标文件应无涂改或行间插字和增删。如有修改，修改处须由法定代表人或其正式授权代表在旁边签字及盖章。</w:t>
      </w:r>
    </w:p>
    <w:p w14:paraId="76C4AD69">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投标人应将投标文件进行非透明的封装，以防止投标文件内容的泄露。采购代理机构将拒绝接收采用透明包装进行密封的投标文件。</w:t>
      </w:r>
    </w:p>
    <w:p w14:paraId="3F7CBD3D">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密封破损导致投标文件内容直接或间接泄露的投标文件，采购代理机构将拒绝接收。</w:t>
      </w:r>
    </w:p>
    <w:p w14:paraId="465050B9">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0E105A5E">
      <w:pPr>
        <w:widowControl w:val="0"/>
        <w:numPr>
          <w:ilvl w:val="1"/>
          <w:numId w:val="4"/>
        </w:numPr>
        <w:overflowPunct w:val="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未单独提交唱标信封的投标人投标文件不进行唱标，投标文件作无效处理。</w:t>
      </w:r>
    </w:p>
    <w:p w14:paraId="631A2C17">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所有的信封均应注明： </w:t>
      </w:r>
    </w:p>
    <w:p w14:paraId="581C860F">
      <w:pPr>
        <w:pageBreakBefore w:val="0"/>
        <w:widowControl w:val="0"/>
        <w:numPr>
          <w:ilvl w:val="0"/>
          <w:numId w:val="6"/>
        </w:numPr>
        <w:kinsoku/>
        <w:wordWrap/>
        <w:topLinePunct w:val="0"/>
        <w:autoSpaceDE/>
        <w:autoSpaceDN/>
        <w:bidi w:val="0"/>
        <w:adjustRightInd w:val="0"/>
        <w:snapToGrid w:val="0"/>
        <w:spacing w:line="360" w:lineRule="auto"/>
        <w:ind w:left="567"/>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收件人： </w:t>
      </w:r>
    </w:p>
    <w:p w14:paraId="323D9343">
      <w:pPr>
        <w:pageBreakBefore w:val="0"/>
        <w:widowControl w:val="0"/>
        <w:numPr>
          <w:ilvl w:val="0"/>
          <w:numId w:val="6"/>
        </w:numPr>
        <w:kinsoku/>
        <w:wordWrap/>
        <w:topLinePunct w:val="0"/>
        <w:autoSpaceDE/>
        <w:autoSpaceDN/>
        <w:bidi w:val="0"/>
        <w:adjustRightInd w:val="0"/>
        <w:snapToGrid w:val="0"/>
        <w:spacing w:line="360" w:lineRule="auto"/>
        <w:ind w:left="567"/>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投标单位名称：</w:t>
      </w:r>
    </w:p>
    <w:p w14:paraId="5E5C5E75">
      <w:pPr>
        <w:pageBreakBefore w:val="0"/>
        <w:widowControl w:val="0"/>
        <w:numPr>
          <w:ilvl w:val="0"/>
          <w:numId w:val="6"/>
        </w:numPr>
        <w:kinsoku/>
        <w:wordWrap/>
        <w:topLinePunct w:val="0"/>
        <w:autoSpaceDE/>
        <w:autoSpaceDN/>
        <w:bidi w:val="0"/>
        <w:adjustRightInd w:val="0"/>
        <w:snapToGrid w:val="0"/>
        <w:spacing w:line="360" w:lineRule="auto"/>
        <w:ind w:left="567"/>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p w14:paraId="112879B6">
      <w:pPr>
        <w:pageBreakBefore w:val="0"/>
        <w:widowControl w:val="0"/>
        <w:numPr>
          <w:ilvl w:val="0"/>
          <w:numId w:val="6"/>
        </w:numPr>
        <w:kinsoku/>
        <w:wordWrap/>
        <w:topLinePunct w:val="0"/>
        <w:autoSpaceDE/>
        <w:autoSpaceDN/>
        <w:bidi w:val="0"/>
        <w:adjustRightInd w:val="0"/>
        <w:snapToGrid w:val="0"/>
        <w:spacing w:line="360" w:lineRule="auto"/>
        <w:ind w:left="567"/>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项目采购项目编号：</w:t>
      </w:r>
    </w:p>
    <w:p w14:paraId="31060F0C">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密封信封上的项目编号错误或项目名称出现严重歧义的（包括采购内容不符），采购代理机构将拒绝接收。</w:t>
      </w:r>
    </w:p>
    <w:p w14:paraId="4E25BA8F">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采购代理机构对所有投标文件的误投或提前启封概不负责。</w:t>
      </w:r>
    </w:p>
    <w:p w14:paraId="46F5DBF6">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投标人同时参加几个包投标时必须按采购文件要求按包号分别制作投标文件，分别密封递交。</w:t>
      </w:r>
    </w:p>
    <w:p w14:paraId="428AD0AE">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传真、电传的投标文件将被拒绝。</w:t>
      </w:r>
    </w:p>
    <w:p w14:paraId="4CF7A303">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递交的投标文件中所提供的通讯方式应保持联络畅通，因联系不上而导致的所有后果由投标人自行承担。</w:t>
      </w:r>
    </w:p>
    <w:p w14:paraId="7BE6BA52">
      <w:pPr>
        <w:rPr>
          <w:rFonts w:hint="eastAsia" w:ascii="宋体" w:hAnsi="宋体" w:eastAsia="宋体" w:cs="宋体"/>
          <w:color w:val="auto"/>
          <w:highlight w:val="none"/>
        </w:rPr>
      </w:pPr>
    </w:p>
    <w:p w14:paraId="4B1E2283">
      <w:pPr>
        <w:pStyle w:val="5"/>
        <w:widowControl w:val="0"/>
        <w:numPr>
          <w:ilvl w:val="0"/>
          <w:numId w:val="4"/>
        </w:numPr>
        <w:overflowPunct w:val="0"/>
        <w:rPr>
          <w:rFonts w:hint="eastAsia" w:ascii="宋体" w:hAnsi="宋体" w:eastAsia="宋体" w:cs="宋体"/>
          <w:color w:val="auto"/>
          <w:sz w:val="21"/>
          <w:szCs w:val="21"/>
          <w:highlight w:val="none"/>
        </w:rPr>
      </w:pPr>
      <w:bookmarkStart w:id="79" w:name="_Toc17324"/>
      <w:bookmarkStart w:id="80" w:name="_Toc25895"/>
      <w:r>
        <w:rPr>
          <w:rFonts w:hint="eastAsia" w:ascii="宋体" w:hAnsi="宋体" w:eastAsia="宋体" w:cs="宋体"/>
          <w:color w:val="auto"/>
          <w:sz w:val="21"/>
          <w:szCs w:val="21"/>
          <w:highlight w:val="none"/>
        </w:rPr>
        <w:t>迟交的投标文件</w:t>
      </w:r>
      <w:bookmarkEnd w:id="79"/>
      <w:bookmarkEnd w:id="80"/>
    </w:p>
    <w:p w14:paraId="43BF5407">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p>
    <w:p w14:paraId="0E1945FC">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投标人在投标截止时间之后提交的投标文件，采购代理机构将拒绝接收。</w:t>
      </w:r>
    </w:p>
    <w:p w14:paraId="0C8832AE">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有违反其他法律规定情形的，采购代理机构将拒绝接收。</w:t>
      </w:r>
    </w:p>
    <w:p w14:paraId="3B18861E">
      <w:pPr>
        <w:rPr>
          <w:rFonts w:hint="eastAsia" w:ascii="宋体" w:hAnsi="宋体" w:eastAsia="宋体" w:cs="宋体"/>
          <w:color w:val="auto"/>
          <w:highlight w:val="none"/>
        </w:rPr>
      </w:pPr>
    </w:p>
    <w:p w14:paraId="46B6ECE3">
      <w:pPr>
        <w:pStyle w:val="5"/>
        <w:widowControl w:val="0"/>
        <w:numPr>
          <w:ilvl w:val="0"/>
          <w:numId w:val="4"/>
        </w:numPr>
        <w:overflowPunct w:val="0"/>
        <w:rPr>
          <w:rFonts w:hint="eastAsia" w:ascii="宋体" w:hAnsi="宋体" w:eastAsia="宋体" w:cs="宋体"/>
          <w:color w:val="auto"/>
          <w:sz w:val="21"/>
          <w:szCs w:val="21"/>
          <w:highlight w:val="none"/>
        </w:rPr>
      </w:pPr>
      <w:bookmarkStart w:id="81" w:name="_Toc9143"/>
      <w:bookmarkStart w:id="82" w:name="_Toc13210"/>
      <w:r>
        <w:rPr>
          <w:rFonts w:hint="eastAsia" w:ascii="宋体" w:hAnsi="宋体" w:eastAsia="宋体" w:cs="宋体"/>
          <w:color w:val="auto"/>
          <w:sz w:val="21"/>
          <w:szCs w:val="21"/>
          <w:highlight w:val="none"/>
        </w:rPr>
        <w:t>投标样品（如需提交）</w:t>
      </w:r>
      <w:bookmarkEnd w:id="81"/>
      <w:bookmarkEnd w:id="82"/>
    </w:p>
    <w:p w14:paraId="0A59C8B7">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p>
    <w:p w14:paraId="33ED50B7">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如有必要，采购代理机构可以要求投标人提供本服务项目涉及的部分设备或产品样品，投标人在投标时应提交《样品清单》。</w:t>
      </w:r>
    </w:p>
    <w:p w14:paraId="454329E4">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为方便评标，投标人在提供样品时，应在所提供的样品表面显著位置标注投标人的名称、包号、样品名称、采购文件规定的服务或货物编号。</w:t>
      </w:r>
    </w:p>
    <w:p w14:paraId="52698E9F">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48EC4A30">
      <w:pPr>
        <w:rPr>
          <w:rFonts w:hint="eastAsia" w:ascii="宋体" w:hAnsi="宋体" w:eastAsia="宋体" w:cs="宋体"/>
          <w:color w:val="auto"/>
          <w:highlight w:val="none"/>
        </w:rPr>
      </w:pPr>
    </w:p>
    <w:p w14:paraId="3CB0905A">
      <w:pPr>
        <w:pStyle w:val="5"/>
        <w:widowControl w:val="0"/>
        <w:numPr>
          <w:ilvl w:val="0"/>
          <w:numId w:val="4"/>
        </w:numPr>
        <w:overflowPunct w:val="0"/>
        <w:rPr>
          <w:rFonts w:hint="eastAsia" w:ascii="宋体" w:hAnsi="宋体" w:eastAsia="宋体" w:cs="宋体"/>
          <w:color w:val="auto"/>
          <w:sz w:val="21"/>
          <w:szCs w:val="21"/>
          <w:highlight w:val="none"/>
        </w:rPr>
      </w:pPr>
      <w:bookmarkStart w:id="83" w:name="_Toc1712"/>
      <w:bookmarkStart w:id="84" w:name="_Toc303084265"/>
      <w:bookmarkStart w:id="85" w:name="_Toc382049112"/>
      <w:bookmarkStart w:id="86" w:name="_Toc9777"/>
      <w:bookmarkStart w:id="87" w:name="_Toc10019"/>
      <w:r>
        <w:rPr>
          <w:rFonts w:hint="eastAsia" w:ascii="宋体" w:hAnsi="宋体" w:eastAsia="宋体" w:cs="宋体"/>
          <w:color w:val="auto"/>
          <w:sz w:val="21"/>
          <w:szCs w:val="21"/>
          <w:highlight w:val="none"/>
        </w:rPr>
        <w:t>投标截止期</w:t>
      </w:r>
      <w:bookmarkEnd w:id="83"/>
      <w:bookmarkEnd w:id="84"/>
      <w:bookmarkEnd w:id="85"/>
      <w:bookmarkEnd w:id="86"/>
      <w:bookmarkEnd w:id="87"/>
    </w:p>
    <w:p w14:paraId="71983E12">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p>
    <w:p w14:paraId="3642F9BA">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投标人应在采购文件规定的截止日期和时间内，将投标文件送达到指定地点。</w:t>
      </w:r>
    </w:p>
    <w:p w14:paraId="707DE714">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36FB816C">
      <w:pPr>
        <w:rPr>
          <w:rFonts w:hint="eastAsia" w:ascii="宋体" w:hAnsi="宋体" w:eastAsia="宋体" w:cs="宋体"/>
          <w:color w:val="auto"/>
          <w:highlight w:val="none"/>
        </w:rPr>
      </w:pPr>
    </w:p>
    <w:p w14:paraId="7559FECA">
      <w:pPr>
        <w:pStyle w:val="5"/>
        <w:widowControl w:val="0"/>
        <w:numPr>
          <w:ilvl w:val="0"/>
          <w:numId w:val="4"/>
        </w:numPr>
        <w:overflowPunct w:val="0"/>
        <w:rPr>
          <w:rFonts w:hint="eastAsia" w:ascii="宋体" w:hAnsi="宋体" w:eastAsia="宋体" w:cs="宋体"/>
          <w:color w:val="auto"/>
          <w:sz w:val="21"/>
          <w:szCs w:val="21"/>
          <w:highlight w:val="none"/>
        </w:rPr>
      </w:pPr>
      <w:bookmarkStart w:id="88" w:name="_Toc31417"/>
      <w:bookmarkStart w:id="89" w:name="_Toc29122"/>
      <w:r>
        <w:rPr>
          <w:rFonts w:hint="eastAsia" w:ascii="宋体" w:hAnsi="宋体" w:eastAsia="宋体" w:cs="宋体"/>
          <w:color w:val="auto"/>
          <w:sz w:val="21"/>
          <w:szCs w:val="21"/>
          <w:highlight w:val="none"/>
        </w:rPr>
        <w:t>投标文件的补充、修改与撤回</w:t>
      </w:r>
      <w:bookmarkEnd w:id="88"/>
      <w:bookmarkEnd w:id="89"/>
    </w:p>
    <w:p w14:paraId="304126AD">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p>
    <w:p w14:paraId="18E40D3B">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17DC46EA">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1E7B5729">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投标文件一经递交不予退还。</w:t>
      </w:r>
    </w:p>
    <w:p w14:paraId="649C2BC5">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在提交投标文件截止时间至投标有效期满之前，投标人不得撤回其投标，否则其投标保证金将不予退还。</w:t>
      </w:r>
    </w:p>
    <w:p w14:paraId="772EEC2D">
      <w:pPr>
        <w:pStyle w:val="9"/>
        <w:rPr>
          <w:rFonts w:hint="eastAsia" w:ascii="宋体" w:hAnsi="宋体" w:eastAsia="宋体" w:cs="宋体"/>
          <w:color w:val="auto"/>
          <w:highlight w:val="none"/>
        </w:rPr>
      </w:pPr>
    </w:p>
    <w:p w14:paraId="56233198">
      <w:pPr>
        <w:pStyle w:val="4"/>
        <w:numPr>
          <w:ilvl w:val="0"/>
          <w:numId w:val="3"/>
        </w:numPr>
        <w:spacing w:before="0" w:after="0" w:line="360" w:lineRule="auto"/>
        <w:jc w:val="center"/>
        <w:rPr>
          <w:rFonts w:hint="eastAsia" w:ascii="宋体" w:hAnsi="宋体" w:eastAsia="宋体" w:cs="宋体"/>
          <w:color w:val="auto"/>
          <w:highlight w:val="none"/>
        </w:rPr>
      </w:pPr>
      <w:bookmarkStart w:id="90" w:name="_Toc5287"/>
      <w:bookmarkStart w:id="91" w:name="_Toc7410"/>
      <w:r>
        <w:rPr>
          <w:rFonts w:hint="eastAsia" w:ascii="宋体" w:hAnsi="宋体" w:eastAsia="宋体" w:cs="宋体"/>
          <w:color w:val="auto"/>
          <w:highlight w:val="none"/>
        </w:rPr>
        <w:t>开标与评标</w:t>
      </w:r>
      <w:bookmarkEnd w:id="90"/>
      <w:bookmarkEnd w:id="91"/>
    </w:p>
    <w:p w14:paraId="4A3B3BA1">
      <w:pPr>
        <w:pStyle w:val="5"/>
        <w:widowControl w:val="0"/>
        <w:numPr>
          <w:ilvl w:val="0"/>
          <w:numId w:val="4"/>
        </w:numPr>
        <w:overflowPunct w:val="0"/>
        <w:rPr>
          <w:rFonts w:hint="eastAsia" w:ascii="宋体" w:hAnsi="宋体" w:eastAsia="宋体" w:cs="宋体"/>
          <w:color w:val="auto"/>
          <w:sz w:val="21"/>
          <w:szCs w:val="21"/>
          <w:highlight w:val="none"/>
        </w:rPr>
      </w:pPr>
      <w:bookmarkStart w:id="92" w:name="_Toc31671"/>
      <w:bookmarkStart w:id="93" w:name="_Toc3168"/>
      <w:r>
        <w:rPr>
          <w:rFonts w:hint="eastAsia" w:ascii="宋体" w:hAnsi="宋体" w:eastAsia="宋体" w:cs="宋体"/>
          <w:color w:val="auto"/>
          <w:sz w:val="21"/>
          <w:szCs w:val="21"/>
          <w:highlight w:val="none"/>
        </w:rPr>
        <w:t>开标</w:t>
      </w:r>
      <w:bookmarkEnd w:id="92"/>
      <w:bookmarkEnd w:id="93"/>
    </w:p>
    <w:p w14:paraId="71A55F7D">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p>
    <w:p w14:paraId="5B676080">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采购代理机构按本采购文件所规定的时间和地点公开开标，并邀请所有投标人代表参加。</w:t>
      </w:r>
    </w:p>
    <w:p w14:paraId="07BFFB84">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开标程序：</w:t>
      </w:r>
    </w:p>
    <w:p w14:paraId="40CDCF77">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开标会由采购代理机构主持，投标人的法定代表人或其授权代表携带有效身份证明准时参加开标会并签名报到。</w:t>
      </w:r>
    </w:p>
    <w:p w14:paraId="25706806">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14:paraId="4E2676A9">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3245C70B">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投标人未参加开标的，视同认可开标结果。</w:t>
      </w:r>
    </w:p>
    <w:p w14:paraId="2DB8DDFB">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合格投标人不足3家的，不得开标；</w:t>
      </w:r>
    </w:p>
    <w:p w14:paraId="13EC2E8C">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开标过程应当由采购人或者采购代理机构负责记录，由参加开标的各投标人代表和相关工作人员签字确认。</w:t>
      </w:r>
    </w:p>
    <w:p w14:paraId="09C6EAB4">
      <w:pPr>
        <w:widowControl w:val="0"/>
        <w:adjustRightInd/>
        <w:snapToGrid/>
        <w:ind w:left="567"/>
        <w:jc w:val="both"/>
        <w:rPr>
          <w:rFonts w:hint="eastAsia" w:ascii="宋体" w:hAnsi="宋体" w:eastAsia="宋体" w:cs="宋体"/>
          <w:color w:val="auto"/>
          <w:highlight w:val="none"/>
        </w:rPr>
      </w:pPr>
    </w:p>
    <w:p w14:paraId="41888725">
      <w:pPr>
        <w:pStyle w:val="5"/>
        <w:widowControl w:val="0"/>
        <w:numPr>
          <w:ilvl w:val="0"/>
          <w:numId w:val="4"/>
        </w:numPr>
        <w:overflowPunct w:val="0"/>
        <w:rPr>
          <w:rFonts w:hint="eastAsia" w:ascii="宋体" w:hAnsi="宋体" w:eastAsia="宋体" w:cs="宋体"/>
          <w:color w:val="auto"/>
          <w:sz w:val="21"/>
          <w:szCs w:val="21"/>
          <w:highlight w:val="none"/>
        </w:rPr>
      </w:pPr>
      <w:bookmarkStart w:id="94" w:name="_Toc2538"/>
      <w:bookmarkStart w:id="95" w:name="_Toc3528"/>
      <w:r>
        <w:rPr>
          <w:rFonts w:hint="eastAsia" w:ascii="宋体" w:hAnsi="宋体" w:eastAsia="宋体" w:cs="宋体"/>
          <w:color w:val="auto"/>
          <w:sz w:val="21"/>
          <w:szCs w:val="21"/>
          <w:highlight w:val="none"/>
        </w:rPr>
        <w:t>评标委员会及评标方法</w:t>
      </w:r>
      <w:bookmarkEnd w:id="94"/>
      <w:bookmarkEnd w:id="95"/>
    </w:p>
    <w:p w14:paraId="5D0B7453">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p>
    <w:p w14:paraId="07F2BE20">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依法组成评标委员会，评标委员会由采购人和有关技术、经济等方面的专家组成，成员人数为</w:t>
      </w:r>
      <w:r>
        <w:rPr>
          <w:rFonts w:hint="eastAsia" w:ascii="宋体" w:hAnsi="宋体" w:cs="宋体"/>
          <w:color w:val="auto"/>
          <w:szCs w:val="21"/>
          <w:highlight w:val="none"/>
          <w:lang w:val="en-US" w:eastAsia="zh-CN"/>
        </w:rPr>
        <w:t>七</w:t>
      </w:r>
      <w:r>
        <w:rPr>
          <w:rFonts w:hint="eastAsia" w:ascii="宋体" w:hAnsi="宋体" w:eastAsia="宋体" w:cs="宋体"/>
          <w:color w:val="auto"/>
          <w:szCs w:val="21"/>
          <w:highlight w:val="none"/>
        </w:rPr>
        <w:t>人或</w:t>
      </w:r>
      <w:r>
        <w:rPr>
          <w:rFonts w:hint="eastAsia" w:ascii="宋体" w:hAnsi="宋体" w:cs="宋体"/>
          <w:color w:val="auto"/>
          <w:szCs w:val="21"/>
          <w:highlight w:val="none"/>
          <w:lang w:val="en-US" w:eastAsia="zh-CN"/>
        </w:rPr>
        <w:t>七</w:t>
      </w:r>
      <w:r>
        <w:rPr>
          <w:rFonts w:hint="eastAsia" w:ascii="宋体" w:hAnsi="宋体" w:eastAsia="宋体" w:cs="宋体"/>
          <w:color w:val="auto"/>
          <w:szCs w:val="21"/>
          <w:highlight w:val="none"/>
        </w:rPr>
        <w:t>人以上单数，其中技术、经济等方面的专家不少于成员总数的三分之二，并负责评标工作。</w:t>
      </w:r>
    </w:p>
    <w:p w14:paraId="221F8D9F">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评审方法：本次采购的评审方法采用综合评分法。</w:t>
      </w:r>
    </w:p>
    <w:p w14:paraId="2D0F2EBB">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14:paraId="21B779BD">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14:paraId="0AD66BC4">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0D2CDED1">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评标委员会和采购人在评审过程中有权核对投标文件中相关材料的原件，投标人在接到通知后应在评标委员会规定的时间内提交原件核查。</w:t>
      </w:r>
    </w:p>
    <w:p w14:paraId="07E94C7D">
      <w:pPr>
        <w:rPr>
          <w:rFonts w:hint="eastAsia" w:ascii="宋体" w:hAnsi="宋体" w:eastAsia="宋体" w:cs="宋体"/>
          <w:color w:val="auto"/>
          <w:highlight w:val="none"/>
        </w:rPr>
      </w:pPr>
    </w:p>
    <w:p w14:paraId="33B1ED1A">
      <w:pPr>
        <w:pStyle w:val="5"/>
        <w:widowControl w:val="0"/>
        <w:numPr>
          <w:ilvl w:val="0"/>
          <w:numId w:val="4"/>
        </w:numPr>
        <w:overflowPunct w:val="0"/>
        <w:rPr>
          <w:rFonts w:hint="eastAsia" w:ascii="宋体" w:hAnsi="宋体" w:eastAsia="宋体" w:cs="宋体"/>
          <w:color w:val="auto"/>
          <w:sz w:val="21"/>
          <w:szCs w:val="21"/>
          <w:highlight w:val="none"/>
        </w:rPr>
      </w:pPr>
      <w:bookmarkStart w:id="96" w:name="_Toc4442"/>
      <w:bookmarkStart w:id="97" w:name="_Toc4198"/>
      <w:r>
        <w:rPr>
          <w:rFonts w:hint="eastAsia" w:ascii="宋体" w:hAnsi="宋体" w:eastAsia="宋体" w:cs="宋体"/>
          <w:color w:val="auto"/>
          <w:sz w:val="21"/>
          <w:szCs w:val="21"/>
          <w:highlight w:val="none"/>
        </w:rPr>
        <w:t>评审原则及评标过程的保密</w:t>
      </w:r>
      <w:bookmarkEnd w:id="96"/>
      <w:bookmarkEnd w:id="97"/>
    </w:p>
    <w:p w14:paraId="7558BC57">
      <w:pPr>
        <w:pStyle w:val="44"/>
        <w:widowControl w:val="0"/>
        <w:numPr>
          <w:ilvl w:val="0"/>
          <w:numId w:val="5"/>
        </w:numPr>
        <w:adjustRightInd/>
        <w:snapToGrid/>
        <w:ind w:firstLineChars="0"/>
        <w:jc w:val="both"/>
        <w:rPr>
          <w:rFonts w:hint="eastAsia" w:ascii="宋体" w:hAnsi="宋体" w:eastAsia="宋体" w:cs="宋体"/>
          <w:vanish/>
          <w:color w:val="auto"/>
          <w:szCs w:val="21"/>
          <w:highlight w:val="none"/>
        </w:rPr>
      </w:pPr>
    </w:p>
    <w:p w14:paraId="471720C9">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评审的基本原则：评标委员会将依据采购文件的规定，遵循“公开、公平、公正、择优、信用”的原则进行评审工作。</w:t>
      </w:r>
    </w:p>
    <w:p w14:paraId="76150FB7">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从公开开标到签订合同，凡与审查、澄清、评审和投标有关的资料以及定标意见相关的事项，均不得向投标人及与评标无关的其他人透露。</w:t>
      </w:r>
    </w:p>
    <w:p w14:paraId="41197B3F">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任何单位和个人不得非法干预、影响评标的过程和结果。</w:t>
      </w:r>
    </w:p>
    <w:p w14:paraId="78617069">
      <w:pPr>
        <w:rPr>
          <w:rFonts w:hint="eastAsia" w:ascii="宋体" w:hAnsi="宋体" w:eastAsia="宋体" w:cs="宋体"/>
          <w:color w:val="auto"/>
          <w:highlight w:val="none"/>
        </w:rPr>
      </w:pPr>
    </w:p>
    <w:p w14:paraId="343A7FE6">
      <w:pPr>
        <w:pStyle w:val="5"/>
        <w:widowControl w:val="0"/>
        <w:numPr>
          <w:ilvl w:val="0"/>
          <w:numId w:val="4"/>
        </w:numPr>
        <w:overflowPunct w:val="0"/>
        <w:rPr>
          <w:rFonts w:hint="eastAsia" w:ascii="宋体" w:hAnsi="宋体" w:eastAsia="宋体" w:cs="宋体"/>
          <w:color w:val="auto"/>
          <w:sz w:val="21"/>
          <w:szCs w:val="21"/>
          <w:highlight w:val="none"/>
        </w:rPr>
      </w:pPr>
      <w:bookmarkStart w:id="98" w:name="_Toc12366"/>
      <w:r>
        <w:rPr>
          <w:rFonts w:hint="eastAsia" w:ascii="宋体" w:hAnsi="宋体" w:eastAsia="宋体" w:cs="宋体"/>
          <w:color w:val="auto"/>
          <w:sz w:val="21"/>
          <w:szCs w:val="21"/>
          <w:highlight w:val="none"/>
        </w:rPr>
        <w:t>评标程序</w:t>
      </w:r>
      <w:bookmarkEnd w:id="98"/>
    </w:p>
    <w:p w14:paraId="1E71D123">
      <w:pPr>
        <w:widowControl w:val="0"/>
        <w:numPr>
          <w:ilvl w:val="1"/>
          <w:numId w:val="4"/>
        </w:numPr>
        <w:overflowPunct w:val="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资格性、符合性审查</w:t>
      </w:r>
    </w:p>
    <w:p w14:paraId="2E6EA1EE">
      <w:pPr>
        <w:widowControl w:val="0"/>
        <w:overflowPunct w:val="0"/>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评标阶段的评审。</w:t>
      </w:r>
    </w:p>
    <w:p w14:paraId="5C1D7C60">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《资格性、符合性审查表》</w:t>
      </w:r>
    </w:p>
    <w:tbl>
      <w:tblPr>
        <w:tblStyle w:val="3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823"/>
      </w:tblGrid>
      <w:tr w14:paraId="18EB8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978F5EC">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5FA2A7D">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 审 内 容</w:t>
            </w:r>
          </w:p>
        </w:tc>
      </w:tr>
      <w:tr w14:paraId="48D11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14:paraId="49BA3D66">
            <w:pPr>
              <w:numPr>
                <w:ilvl w:val="0"/>
                <w:numId w:val="7"/>
              </w:numPr>
              <w:tabs>
                <w:tab w:val="left" w:pos="176"/>
                <w:tab w:val="left" w:pos="612"/>
              </w:tabs>
              <w:jc w:val="center"/>
              <w:rPr>
                <w:rFonts w:hint="eastAsia" w:ascii="宋体" w:hAnsi="宋体" w:eastAsia="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B770E24">
            <w:pPr>
              <w:tabs>
                <w:tab w:val="left" w:pos="612"/>
              </w:tabs>
              <w:rPr>
                <w:rFonts w:hint="eastAsia" w:ascii="宋体" w:hAnsi="宋体" w:eastAsia="宋体" w:cs="宋体"/>
                <w:color w:val="auto"/>
                <w:szCs w:val="21"/>
                <w:highlight w:val="none"/>
              </w:rPr>
            </w:pPr>
            <w:r>
              <w:rPr>
                <w:rFonts w:hint="eastAsia" w:ascii="宋体" w:hAnsi="宋体" w:eastAsia="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55482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229E9E14">
            <w:pPr>
              <w:tabs>
                <w:tab w:val="left" w:pos="176"/>
                <w:tab w:val="left" w:pos="420"/>
                <w:tab w:val="left" w:pos="612"/>
              </w:tabs>
              <w:jc w:val="center"/>
              <w:rPr>
                <w:rFonts w:hint="eastAsia" w:ascii="宋体" w:hAnsi="宋体" w:eastAsia="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D8D4168">
            <w:pPr>
              <w:tabs>
                <w:tab w:val="left" w:pos="612"/>
              </w:tabs>
              <w:rPr>
                <w:rFonts w:hint="eastAsia" w:ascii="宋体" w:hAnsi="宋体" w:eastAsia="宋体" w:cs="宋体"/>
                <w:color w:val="auto"/>
                <w:szCs w:val="21"/>
                <w:highlight w:val="none"/>
              </w:rPr>
            </w:pPr>
            <w:r>
              <w:rPr>
                <w:rFonts w:hint="eastAsia" w:ascii="宋体" w:hAnsi="宋体" w:eastAsia="宋体" w:cs="宋体"/>
                <w:color w:val="auto"/>
                <w:szCs w:val="21"/>
                <w:highlight w:val="none"/>
              </w:rPr>
              <w:t>（2）参加采购活动前三年内，在经营活动中没有重大违法记录（须提供书面声明）；</w:t>
            </w:r>
          </w:p>
        </w:tc>
      </w:tr>
      <w:tr w14:paraId="5D2EC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0E4A2DBB">
            <w:pPr>
              <w:tabs>
                <w:tab w:val="left" w:pos="176"/>
                <w:tab w:val="left" w:pos="420"/>
                <w:tab w:val="left" w:pos="612"/>
              </w:tabs>
              <w:jc w:val="center"/>
              <w:rPr>
                <w:rFonts w:hint="eastAsia" w:ascii="宋体" w:hAnsi="宋体" w:eastAsia="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1E965B7">
            <w:pPr>
              <w:tabs>
                <w:tab w:val="left" w:pos="612"/>
              </w:tabs>
              <w:rPr>
                <w:rFonts w:hint="eastAsia" w:ascii="宋体" w:hAnsi="宋体" w:eastAsia="宋体" w:cs="宋体"/>
                <w:color w:val="auto"/>
                <w:szCs w:val="21"/>
                <w:highlight w:val="none"/>
              </w:rPr>
            </w:pPr>
            <w:r>
              <w:rPr>
                <w:rFonts w:hint="eastAsia" w:ascii="宋体" w:hAnsi="宋体" w:eastAsia="宋体" w:cs="宋体"/>
                <w:color w:val="auto"/>
                <w:szCs w:val="21"/>
                <w:highlight w:val="none"/>
              </w:rPr>
              <w:t>（3）投标人的单位负责人为同一人或者存在直接控股、管理关系的不同投标人，不得参加同一合同项下的采购活动；</w:t>
            </w:r>
          </w:p>
        </w:tc>
      </w:tr>
      <w:tr w14:paraId="02A26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487BEE9F">
            <w:pPr>
              <w:tabs>
                <w:tab w:val="left" w:pos="176"/>
                <w:tab w:val="left" w:pos="420"/>
                <w:tab w:val="left" w:pos="612"/>
              </w:tabs>
              <w:jc w:val="center"/>
              <w:rPr>
                <w:rFonts w:hint="eastAsia" w:ascii="宋体" w:hAnsi="宋体" w:eastAsia="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374DA378">
            <w:pPr>
              <w:tabs>
                <w:tab w:val="left" w:pos="612"/>
              </w:tabs>
              <w:rPr>
                <w:rFonts w:hint="eastAsia" w:ascii="宋体" w:hAnsi="宋体" w:eastAsia="宋体" w:cs="宋体"/>
                <w:color w:val="auto"/>
                <w:szCs w:val="21"/>
                <w:highlight w:val="none"/>
              </w:rPr>
            </w:pPr>
            <w:r>
              <w:rPr>
                <w:rFonts w:hint="eastAsia" w:ascii="宋体" w:hAnsi="宋体" w:eastAsia="宋体" w:cs="宋体"/>
                <w:color w:val="auto"/>
                <w:szCs w:val="21"/>
                <w:highlight w:val="none"/>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68CC4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71012E99">
            <w:pPr>
              <w:tabs>
                <w:tab w:val="left" w:pos="176"/>
                <w:tab w:val="left" w:pos="420"/>
                <w:tab w:val="left" w:pos="612"/>
              </w:tabs>
              <w:jc w:val="center"/>
              <w:rPr>
                <w:rFonts w:hint="eastAsia" w:ascii="宋体" w:hAnsi="宋体" w:eastAsia="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566A53F">
            <w:pPr>
              <w:tabs>
                <w:tab w:val="left" w:pos="612"/>
              </w:tabs>
              <w:rPr>
                <w:rFonts w:hint="eastAsia" w:ascii="宋体" w:hAnsi="宋体" w:eastAsia="宋体" w:cs="宋体"/>
                <w:color w:val="auto"/>
                <w:szCs w:val="21"/>
                <w:highlight w:val="none"/>
              </w:rPr>
            </w:pPr>
            <w:r>
              <w:rPr>
                <w:rFonts w:hint="eastAsia" w:ascii="宋体" w:hAnsi="宋体" w:eastAsia="宋体" w:cs="宋体"/>
                <w:color w:val="auto"/>
                <w:szCs w:val="21"/>
                <w:highlight w:val="none"/>
              </w:rPr>
              <w:t>（5）未被列入东实集团及下属企业相关领域黑名单。【以</w:t>
            </w:r>
            <w:r>
              <w:rPr>
                <w:rFonts w:hint="eastAsia" w:ascii="宋体" w:hAnsi="宋体" w:eastAsia="宋体" w:cs="宋体"/>
                <w:color w:val="auto"/>
                <w:kern w:val="2"/>
                <w:szCs w:val="21"/>
                <w:highlight w:val="none"/>
                <w:lang w:val="zh-CN"/>
              </w:rPr>
              <w:t>东莞实业投资控股集团有限公司</w:t>
            </w:r>
            <w:r>
              <w:rPr>
                <w:rFonts w:hint="eastAsia" w:ascii="宋体" w:hAnsi="宋体" w:eastAsia="宋体" w:cs="宋体"/>
                <w:color w:val="auto"/>
                <w:szCs w:val="21"/>
                <w:highlight w:val="none"/>
              </w:rPr>
              <w:t>发文（东实通〔2021〕44号）、（东实通〔2021〕98号）、（东实通〔2022〕75号）、（东实通〔2023〕37号）</w:t>
            </w:r>
            <w:r>
              <w:rPr>
                <w:rFonts w:hint="eastAsia" w:ascii="宋体" w:hAnsi="宋体" w:cs="宋体"/>
                <w:color w:val="auto"/>
                <w:szCs w:val="21"/>
                <w:highlight w:val="none"/>
                <w:lang w:eastAsia="zh-CN"/>
              </w:rPr>
              <w:t>、（东实通〔2024〕163号）、（东实通〔2024〕195号）</w:t>
            </w:r>
            <w:r>
              <w:rPr>
                <w:rFonts w:hint="eastAsia" w:ascii="宋体" w:hAnsi="宋体" w:eastAsia="宋体" w:cs="宋体"/>
                <w:color w:val="auto"/>
                <w:szCs w:val="21"/>
                <w:highlight w:val="none"/>
                <w:lang w:eastAsia="zh-CN"/>
              </w:rPr>
              <w:t>及下属企业发文</w:t>
            </w:r>
            <w:r>
              <w:rPr>
                <w:rFonts w:hint="eastAsia" w:ascii="宋体" w:hAnsi="宋体" w:eastAsia="宋体" w:cs="宋体"/>
                <w:color w:val="auto"/>
                <w:szCs w:val="21"/>
                <w:highlight w:val="none"/>
              </w:rPr>
              <w:t>为准，如有最新发文通知，按最新文件执行。。</w:t>
            </w:r>
          </w:p>
        </w:tc>
      </w:tr>
      <w:tr w14:paraId="31D20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bottom w:val="single" w:color="auto" w:sz="4" w:space="0"/>
              <w:right w:val="single" w:color="auto" w:sz="4" w:space="0"/>
              <w:tl2br w:val="nil"/>
              <w:tr2bl w:val="nil"/>
            </w:tcBorders>
            <w:vAlign w:val="center"/>
          </w:tcPr>
          <w:p w14:paraId="7958E28D">
            <w:pPr>
              <w:tabs>
                <w:tab w:val="left" w:pos="176"/>
                <w:tab w:val="left" w:pos="420"/>
                <w:tab w:val="left" w:pos="612"/>
              </w:tabs>
              <w:jc w:val="center"/>
              <w:rPr>
                <w:rFonts w:hint="eastAsia" w:ascii="宋体" w:hAnsi="宋体" w:eastAsia="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46C063F">
            <w:pPr>
              <w:tabs>
                <w:tab w:val="left" w:pos="612"/>
              </w:tabs>
              <w:rPr>
                <w:rFonts w:hint="eastAsia" w:ascii="宋体" w:hAnsi="宋体" w:eastAsia="宋体" w:cs="宋体"/>
                <w:color w:val="auto"/>
                <w:szCs w:val="21"/>
                <w:highlight w:val="none"/>
              </w:rPr>
            </w:pPr>
            <w:r>
              <w:rPr>
                <w:rFonts w:hint="eastAsia" w:ascii="宋体" w:hAnsi="宋体" w:eastAsia="宋体" w:cs="宋体"/>
                <w:color w:val="auto"/>
                <w:szCs w:val="21"/>
                <w:highlight w:val="none"/>
              </w:rPr>
              <w:t>（6）符合投标人资格要求中其他要求（如有）。（提供《附件</w:t>
            </w:r>
            <w:r>
              <w:rPr>
                <w:rFonts w:hint="eastAsia" w:ascii="宋体" w:hAnsi="宋体" w:cs="宋体"/>
                <w:color w:val="auto"/>
                <w:szCs w:val="21"/>
                <w:highlight w:val="none"/>
                <w:lang w:val="en-US" w:eastAsia="zh-CN"/>
              </w:rPr>
              <w:t>8</w:t>
            </w:r>
            <w:r>
              <w:rPr>
                <w:rFonts w:hint="eastAsia" w:ascii="宋体" w:hAnsi="宋体" w:eastAsia="宋体" w:cs="宋体"/>
                <w:color w:val="auto"/>
                <w:szCs w:val="21"/>
                <w:highlight w:val="none"/>
              </w:rPr>
              <w:t>.相关资质证明文件》中对应证明文件。）</w:t>
            </w:r>
          </w:p>
        </w:tc>
      </w:tr>
      <w:tr w14:paraId="4C0A5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0B5C1DD7">
            <w:pPr>
              <w:numPr>
                <w:ilvl w:val="0"/>
                <w:numId w:val="7"/>
              </w:numPr>
              <w:tabs>
                <w:tab w:val="left" w:pos="176"/>
                <w:tab w:val="left" w:pos="612"/>
              </w:tabs>
              <w:jc w:val="center"/>
              <w:rPr>
                <w:rFonts w:hint="eastAsia" w:ascii="宋体" w:hAnsi="宋体" w:eastAsia="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3F539D2">
            <w:pPr>
              <w:textAlignment w:val="center"/>
              <w:rPr>
                <w:rFonts w:hint="eastAsia" w:ascii="宋体" w:hAnsi="宋体" w:eastAsia="宋体" w:cs="宋体"/>
                <w:color w:val="auto"/>
                <w:szCs w:val="21"/>
                <w:highlight w:val="none"/>
                <w:lang w:bidi="ar"/>
              </w:rPr>
            </w:pPr>
            <w:r>
              <w:rPr>
                <w:rFonts w:hint="eastAsia" w:ascii="宋体" w:hAnsi="宋体" w:eastAsia="宋体" w:cs="宋体"/>
                <w:color w:val="auto"/>
                <w:szCs w:val="21"/>
                <w:highlight w:val="none"/>
                <w:lang w:bidi="ar"/>
              </w:rPr>
              <w:t>投标人按照采购文件要求提交投标保证金；</w:t>
            </w:r>
          </w:p>
        </w:tc>
      </w:tr>
      <w:tr w14:paraId="0C632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6B8096C7">
            <w:pPr>
              <w:numPr>
                <w:ilvl w:val="0"/>
                <w:numId w:val="7"/>
              </w:numPr>
              <w:tabs>
                <w:tab w:val="left" w:pos="176"/>
                <w:tab w:val="left" w:pos="612"/>
              </w:tabs>
              <w:jc w:val="center"/>
              <w:rPr>
                <w:rFonts w:hint="eastAsia" w:ascii="宋体" w:hAnsi="宋体" w:eastAsia="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15779F1">
            <w:pPr>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投标文件按照采购文件要求签署盖章；</w:t>
            </w:r>
          </w:p>
        </w:tc>
      </w:tr>
      <w:tr w14:paraId="5AB03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DD8AEF7">
            <w:pPr>
              <w:numPr>
                <w:ilvl w:val="0"/>
                <w:numId w:val="7"/>
              </w:numPr>
              <w:tabs>
                <w:tab w:val="left" w:pos="176"/>
                <w:tab w:val="left" w:pos="612"/>
              </w:tabs>
              <w:jc w:val="center"/>
              <w:rPr>
                <w:rFonts w:hint="eastAsia" w:ascii="宋体" w:hAnsi="宋体" w:eastAsia="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C6ABDAA">
            <w:pPr>
              <w:textAlignment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bidi="ar"/>
              </w:rPr>
              <w:t>投标报价按照采购文件要求进行报价</w:t>
            </w:r>
            <w:r>
              <w:rPr>
                <w:rFonts w:hint="eastAsia" w:ascii="宋体" w:hAnsi="宋体" w:eastAsia="宋体" w:cs="宋体"/>
                <w:color w:val="auto"/>
                <w:szCs w:val="21"/>
                <w:highlight w:val="none"/>
                <w:lang w:bidi="ar"/>
              </w:rPr>
              <w:t>；</w:t>
            </w:r>
          </w:p>
        </w:tc>
      </w:tr>
      <w:tr w14:paraId="2178D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766A9BC8">
            <w:pPr>
              <w:tabs>
                <w:tab w:val="left" w:pos="176"/>
                <w:tab w:val="left" w:pos="612"/>
              </w:tabs>
              <w:ind w:firstLine="210" w:firstLineChars="1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7DA9D8A">
            <w:pPr>
              <w:textAlignment w:val="center"/>
              <w:rPr>
                <w:rFonts w:hint="eastAsia" w:ascii="宋体" w:hAnsi="宋体" w:eastAsia="宋体" w:cs="宋体"/>
                <w:color w:val="auto"/>
                <w:szCs w:val="21"/>
                <w:highlight w:val="none"/>
                <w:lang w:bidi="ar"/>
              </w:rPr>
            </w:pPr>
            <w:r>
              <w:rPr>
                <w:rFonts w:hint="eastAsia" w:ascii="宋体" w:hAnsi="宋体" w:eastAsia="宋体" w:cs="宋体"/>
                <w:color w:val="auto"/>
                <w:szCs w:val="21"/>
                <w:highlight w:val="none"/>
                <w:lang w:bidi="ar"/>
              </w:rPr>
              <w:t>投标文件未含有采购人不能接受的附加条件；</w:t>
            </w:r>
          </w:p>
        </w:tc>
      </w:tr>
      <w:tr w14:paraId="2D114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3D560ABF">
            <w:pPr>
              <w:tabs>
                <w:tab w:val="left" w:pos="176"/>
                <w:tab w:val="left" w:pos="612"/>
              </w:tabs>
              <w:ind w:firstLine="210" w:firstLineChars="1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DA551F5">
            <w:pPr>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无负偏离标注“★”符号的条款。</w:t>
            </w:r>
          </w:p>
        </w:tc>
      </w:tr>
      <w:tr w14:paraId="68601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02F5BEC6">
            <w:pPr>
              <w:tabs>
                <w:tab w:val="left" w:pos="176"/>
                <w:tab w:val="left" w:pos="612"/>
              </w:tabs>
              <w:ind w:firstLine="210" w:firstLineChars="1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A3DE62F">
            <w:pPr>
              <w:textAlignment w:val="center"/>
              <w:rPr>
                <w:rFonts w:hint="eastAsia" w:ascii="宋体" w:hAnsi="宋体" w:eastAsia="宋体" w:cs="宋体"/>
                <w:color w:val="auto"/>
                <w:szCs w:val="21"/>
                <w:highlight w:val="none"/>
                <w:lang w:bidi="ar"/>
              </w:rPr>
            </w:pPr>
            <w:r>
              <w:rPr>
                <w:rFonts w:hint="eastAsia" w:ascii="宋体" w:hAnsi="宋体" w:eastAsia="宋体" w:cs="宋体"/>
                <w:color w:val="auto"/>
                <w:szCs w:val="21"/>
                <w:highlight w:val="none"/>
              </w:rPr>
              <w:t>未出现</w:t>
            </w:r>
            <w:r>
              <w:rPr>
                <w:rFonts w:hint="eastAsia" w:ascii="宋体" w:hAnsi="宋体" w:eastAsia="宋体" w:cs="宋体"/>
                <w:color w:val="auto"/>
                <w:szCs w:val="21"/>
                <w:highlight w:val="none"/>
                <w:lang w:bidi="ar"/>
              </w:rPr>
              <w:t>法律、法规和招标文件规定的其他无效情形。</w:t>
            </w:r>
          </w:p>
        </w:tc>
      </w:tr>
    </w:tbl>
    <w:p w14:paraId="5E511D9C">
      <w:pPr>
        <w:widowControl w:val="0"/>
        <w:overflowPunct w:val="0"/>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10261B7C">
      <w:pPr>
        <w:widowControl w:val="0"/>
        <w:numPr>
          <w:ilvl w:val="1"/>
          <w:numId w:val="4"/>
        </w:numPr>
        <w:overflowPunct w:val="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投标文件报价出现前后不一致的，评标委员会按照下列规定修正：</w:t>
      </w:r>
    </w:p>
    <w:p w14:paraId="2DC5070B">
      <w:pPr>
        <w:widowControl w:val="0"/>
        <w:numPr>
          <w:ilvl w:val="0"/>
          <w:numId w:val="8"/>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投标文件中开标一览表（报价表）内容与投标文件中相应内容不一致的，以开标一览表（报价表）为准；</w:t>
      </w:r>
    </w:p>
    <w:p w14:paraId="7772D9A2">
      <w:pPr>
        <w:widowControl w:val="0"/>
        <w:numPr>
          <w:ilvl w:val="0"/>
          <w:numId w:val="8"/>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大写金额和小写金额不一致的，以大写金额为准；</w:t>
      </w:r>
    </w:p>
    <w:p w14:paraId="2554851E">
      <w:pPr>
        <w:widowControl w:val="0"/>
        <w:numPr>
          <w:ilvl w:val="0"/>
          <w:numId w:val="8"/>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单价金额小数点或者百分比有明显错位的，以开标一览表的总价为准，并修改单价；</w:t>
      </w:r>
    </w:p>
    <w:p w14:paraId="171B4AF1">
      <w:pPr>
        <w:widowControl w:val="0"/>
        <w:numPr>
          <w:ilvl w:val="0"/>
          <w:numId w:val="8"/>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总价金额与按单价汇总金额不一致的，以单价金额计算结果为准。</w:t>
      </w:r>
    </w:p>
    <w:p w14:paraId="21740201">
      <w:pPr>
        <w:widowControl w:val="0"/>
        <w:numPr>
          <w:ilvl w:val="0"/>
          <w:numId w:val="8"/>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同时出现两种以上不一致的，按照前款规定的顺序修正。修正后的报价按照经投标人确认后产生约束力，投标人不确认的，其投标无效。</w:t>
      </w:r>
    </w:p>
    <w:p w14:paraId="05772E5F">
      <w:pPr>
        <w:widowControl w:val="0"/>
        <w:overflowPunct w:val="0"/>
        <w:ind w:left="630" w:hanging="630" w:hangingChars="3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26922174">
      <w:pPr>
        <w:widowControl w:val="0"/>
        <w:overflowPunct w:val="0"/>
        <w:ind w:left="630" w:hanging="630" w:hangingChars="3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26.4  对于投标文件中不构成实质性偏差的不正规、不一致或不规则，评标委员会可以接受，但这种接受不能损害或影响任何投标人的相对排序。</w:t>
      </w:r>
    </w:p>
    <w:p w14:paraId="722D9DDC">
      <w:pPr>
        <w:widowControl w:val="0"/>
        <w:overflowPunct w:val="0"/>
        <w:ind w:left="630" w:hanging="630" w:hangingChars="3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19805E8F">
      <w:pPr>
        <w:pStyle w:val="9"/>
        <w:rPr>
          <w:rFonts w:hint="eastAsia" w:ascii="宋体" w:hAnsi="宋体" w:eastAsia="宋体" w:cs="宋体"/>
          <w:color w:val="auto"/>
          <w:highlight w:val="none"/>
        </w:rPr>
      </w:pPr>
    </w:p>
    <w:p w14:paraId="3615DDE1">
      <w:pPr>
        <w:pStyle w:val="5"/>
        <w:widowControl w:val="0"/>
        <w:numPr>
          <w:ilvl w:val="0"/>
          <w:numId w:val="4"/>
        </w:numPr>
        <w:overflowPunct w:val="0"/>
        <w:rPr>
          <w:rFonts w:hint="eastAsia" w:ascii="宋体" w:hAnsi="宋体" w:eastAsia="宋体" w:cs="宋体"/>
          <w:color w:val="auto"/>
          <w:sz w:val="21"/>
          <w:szCs w:val="21"/>
          <w:highlight w:val="none"/>
        </w:rPr>
      </w:pPr>
      <w:bookmarkStart w:id="99" w:name="_Toc4799"/>
      <w:bookmarkStart w:id="100" w:name="_Toc21335"/>
      <w:r>
        <w:rPr>
          <w:rFonts w:hint="eastAsia" w:ascii="宋体" w:hAnsi="宋体" w:eastAsia="宋体" w:cs="宋体"/>
          <w:color w:val="auto"/>
          <w:sz w:val="21"/>
          <w:szCs w:val="21"/>
          <w:highlight w:val="none"/>
        </w:rPr>
        <w:t>商务、技术、价格评审（具体评审项目详见投标资料表）</w:t>
      </w:r>
      <w:bookmarkEnd w:id="99"/>
      <w:bookmarkEnd w:id="100"/>
    </w:p>
    <w:p w14:paraId="1248AE28">
      <w:pPr>
        <w:pStyle w:val="44"/>
        <w:widowControl w:val="0"/>
        <w:numPr>
          <w:ilvl w:val="0"/>
          <w:numId w:val="5"/>
        </w:numPr>
        <w:tabs>
          <w:tab w:val="left" w:pos="907"/>
        </w:tabs>
        <w:adjustRightInd/>
        <w:snapToGrid/>
        <w:ind w:firstLineChars="0"/>
        <w:jc w:val="both"/>
        <w:rPr>
          <w:rFonts w:hint="eastAsia" w:ascii="宋体" w:hAnsi="宋体" w:eastAsia="宋体" w:cs="宋体"/>
          <w:vanish/>
          <w:color w:val="auto"/>
          <w:szCs w:val="21"/>
          <w:highlight w:val="none"/>
        </w:rPr>
      </w:pPr>
    </w:p>
    <w:p w14:paraId="51E50A73">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38D51429">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3FCF9778">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用综合评分法的，评标结果按评审后得分由高到低顺序排列。综合得分相同的，按价格评分由高到低顺序排列。综合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p>
    <w:p w14:paraId="08F5DF3D">
      <w:pPr>
        <w:widowControl w:val="0"/>
        <w:tabs>
          <w:tab w:val="left" w:pos="907"/>
        </w:tabs>
        <w:adjustRightInd/>
        <w:snapToGrid/>
        <w:ind w:left="567"/>
        <w:jc w:val="both"/>
        <w:rPr>
          <w:rFonts w:hint="eastAsia" w:ascii="宋体" w:hAnsi="宋体" w:eastAsia="宋体" w:cs="宋体"/>
          <w:color w:val="auto"/>
          <w:szCs w:val="21"/>
          <w:highlight w:val="none"/>
        </w:rPr>
      </w:pPr>
    </w:p>
    <w:p w14:paraId="095D3E31">
      <w:pPr>
        <w:pStyle w:val="5"/>
        <w:widowControl w:val="0"/>
        <w:numPr>
          <w:ilvl w:val="0"/>
          <w:numId w:val="4"/>
        </w:numPr>
        <w:overflowPunct w:val="0"/>
        <w:rPr>
          <w:rFonts w:hint="eastAsia" w:ascii="宋体" w:hAnsi="宋体" w:eastAsia="宋体" w:cs="宋体"/>
          <w:color w:val="auto"/>
          <w:sz w:val="21"/>
          <w:szCs w:val="21"/>
          <w:highlight w:val="none"/>
        </w:rPr>
      </w:pPr>
      <w:bookmarkStart w:id="101" w:name="_Toc316375620"/>
      <w:bookmarkStart w:id="102" w:name="_Toc382049120"/>
      <w:bookmarkStart w:id="103" w:name="_Toc19328"/>
      <w:bookmarkStart w:id="104" w:name="_Toc21663"/>
      <w:bookmarkStart w:id="105" w:name="_Toc20328"/>
      <w:r>
        <w:rPr>
          <w:rFonts w:hint="eastAsia" w:ascii="宋体" w:hAnsi="宋体" w:eastAsia="宋体" w:cs="宋体"/>
          <w:color w:val="auto"/>
          <w:sz w:val="21"/>
          <w:szCs w:val="21"/>
          <w:highlight w:val="none"/>
        </w:rPr>
        <w:t>纪律和保密</w:t>
      </w:r>
      <w:bookmarkEnd w:id="101"/>
      <w:r>
        <w:rPr>
          <w:rFonts w:hint="eastAsia" w:ascii="宋体" w:hAnsi="宋体" w:eastAsia="宋体" w:cs="宋体"/>
          <w:color w:val="auto"/>
          <w:sz w:val="21"/>
          <w:szCs w:val="21"/>
          <w:highlight w:val="none"/>
        </w:rPr>
        <w:t>事项</w:t>
      </w:r>
      <w:bookmarkEnd w:id="102"/>
      <w:bookmarkEnd w:id="103"/>
      <w:bookmarkEnd w:id="104"/>
      <w:bookmarkEnd w:id="105"/>
    </w:p>
    <w:p w14:paraId="19E0E8A5">
      <w:pPr>
        <w:pStyle w:val="44"/>
        <w:widowControl w:val="0"/>
        <w:numPr>
          <w:ilvl w:val="0"/>
          <w:numId w:val="5"/>
        </w:numPr>
        <w:tabs>
          <w:tab w:val="left" w:pos="907"/>
        </w:tabs>
        <w:adjustRightInd/>
        <w:snapToGrid/>
        <w:ind w:firstLineChars="0"/>
        <w:jc w:val="both"/>
        <w:rPr>
          <w:rFonts w:hint="eastAsia" w:ascii="宋体" w:hAnsi="宋体" w:eastAsia="宋体" w:cs="宋体"/>
          <w:vanish/>
          <w:color w:val="auto"/>
          <w:szCs w:val="21"/>
          <w:highlight w:val="none"/>
        </w:rPr>
      </w:pPr>
    </w:p>
    <w:p w14:paraId="39C07999">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2FF27867">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投标人不得串通作弊，以不正当的手段妨碍、排挤其他投标人，扰乱采购市场，破坏公平竞争原则。否则将按相关法律规定严肃处理。</w:t>
      </w:r>
    </w:p>
    <w:p w14:paraId="40EBB156">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获得本采购文件的投标人，应对文件进行保密，不得用作本次投标以外的任何用途。开标后，投标人应归还采购文件中要求保密的文件和资料。</w:t>
      </w:r>
    </w:p>
    <w:p w14:paraId="2A996CE3">
      <w:pPr>
        <w:rPr>
          <w:rFonts w:hint="eastAsia" w:ascii="宋体" w:hAnsi="宋体" w:eastAsia="宋体" w:cs="宋体"/>
          <w:color w:val="auto"/>
          <w:highlight w:val="none"/>
        </w:rPr>
      </w:pPr>
    </w:p>
    <w:p w14:paraId="16063159">
      <w:pPr>
        <w:pStyle w:val="4"/>
        <w:numPr>
          <w:ilvl w:val="0"/>
          <w:numId w:val="3"/>
        </w:numPr>
        <w:spacing w:before="0" w:after="0" w:line="360" w:lineRule="auto"/>
        <w:jc w:val="center"/>
        <w:rPr>
          <w:rFonts w:hint="eastAsia" w:ascii="宋体" w:hAnsi="宋体" w:eastAsia="宋体" w:cs="宋体"/>
          <w:color w:val="auto"/>
          <w:highlight w:val="none"/>
        </w:rPr>
      </w:pPr>
      <w:bookmarkStart w:id="106" w:name="_Toc1109"/>
      <w:bookmarkStart w:id="107" w:name="_Toc23653"/>
      <w:r>
        <w:rPr>
          <w:rFonts w:hint="eastAsia" w:ascii="宋体" w:hAnsi="宋体" w:eastAsia="宋体" w:cs="宋体"/>
          <w:color w:val="auto"/>
          <w:highlight w:val="none"/>
        </w:rPr>
        <w:t>授予合同</w:t>
      </w:r>
      <w:bookmarkEnd w:id="106"/>
      <w:bookmarkEnd w:id="107"/>
    </w:p>
    <w:p w14:paraId="7891321E">
      <w:pPr>
        <w:pStyle w:val="5"/>
        <w:widowControl w:val="0"/>
        <w:numPr>
          <w:ilvl w:val="0"/>
          <w:numId w:val="4"/>
        </w:numPr>
        <w:overflowPunct w:val="0"/>
        <w:rPr>
          <w:rFonts w:hint="eastAsia" w:ascii="宋体" w:hAnsi="宋体" w:eastAsia="宋体" w:cs="宋体"/>
          <w:color w:val="auto"/>
          <w:sz w:val="21"/>
          <w:szCs w:val="21"/>
          <w:highlight w:val="none"/>
        </w:rPr>
      </w:pPr>
      <w:bookmarkStart w:id="108" w:name="_Toc508284011"/>
      <w:bookmarkStart w:id="109" w:name="_Toc22623"/>
      <w:bookmarkStart w:id="110" w:name="_Toc9736"/>
      <w:r>
        <w:rPr>
          <w:rFonts w:hint="eastAsia" w:ascii="宋体" w:hAnsi="宋体" w:eastAsia="宋体" w:cs="宋体"/>
          <w:color w:val="auto"/>
          <w:sz w:val="21"/>
          <w:szCs w:val="21"/>
          <w:highlight w:val="none"/>
        </w:rPr>
        <w:t>合同授予标准</w:t>
      </w:r>
      <w:bookmarkEnd w:id="108"/>
      <w:bookmarkEnd w:id="109"/>
      <w:bookmarkEnd w:id="110"/>
    </w:p>
    <w:p w14:paraId="585382C6">
      <w:pPr>
        <w:pStyle w:val="44"/>
        <w:widowControl w:val="0"/>
        <w:numPr>
          <w:ilvl w:val="0"/>
          <w:numId w:val="5"/>
        </w:numPr>
        <w:tabs>
          <w:tab w:val="left" w:pos="907"/>
        </w:tabs>
        <w:adjustRightInd/>
        <w:snapToGrid/>
        <w:ind w:firstLineChars="0"/>
        <w:jc w:val="both"/>
        <w:rPr>
          <w:rFonts w:hint="eastAsia" w:ascii="宋体" w:hAnsi="宋体" w:eastAsia="宋体" w:cs="宋体"/>
          <w:vanish/>
          <w:color w:val="auto"/>
          <w:szCs w:val="21"/>
          <w:highlight w:val="none"/>
        </w:rPr>
      </w:pPr>
    </w:p>
    <w:p w14:paraId="31BBCAD2">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根据评标委员会的评审结果，采购人按照评审报告推荐的中标候选人中按顺序依法确定中标人。</w:t>
      </w:r>
    </w:p>
    <w:p w14:paraId="13722978">
      <w:pPr>
        <w:rPr>
          <w:rFonts w:hint="eastAsia" w:ascii="宋体" w:hAnsi="宋体" w:eastAsia="宋体" w:cs="宋体"/>
          <w:color w:val="auto"/>
          <w:highlight w:val="none"/>
        </w:rPr>
      </w:pPr>
    </w:p>
    <w:p w14:paraId="02F3F109">
      <w:pPr>
        <w:pStyle w:val="5"/>
        <w:widowControl w:val="0"/>
        <w:numPr>
          <w:ilvl w:val="0"/>
          <w:numId w:val="4"/>
        </w:numPr>
        <w:overflowPunct w:val="0"/>
        <w:rPr>
          <w:rFonts w:hint="eastAsia" w:ascii="宋体" w:hAnsi="宋体" w:eastAsia="宋体" w:cs="宋体"/>
          <w:color w:val="auto"/>
          <w:sz w:val="21"/>
          <w:szCs w:val="21"/>
          <w:highlight w:val="none"/>
        </w:rPr>
      </w:pPr>
      <w:bookmarkStart w:id="111" w:name="_Toc23259"/>
      <w:bookmarkStart w:id="112" w:name="_Toc508284013"/>
      <w:bookmarkStart w:id="113" w:name="_Toc10545"/>
      <w:r>
        <w:rPr>
          <w:rFonts w:hint="eastAsia" w:ascii="宋体" w:hAnsi="宋体" w:eastAsia="宋体" w:cs="宋体"/>
          <w:color w:val="auto"/>
          <w:sz w:val="21"/>
          <w:szCs w:val="21"/>
          <w:highlight w:val="none"/>
        </w:rPr>
        <w:t>发布中标结果</w:t>
      </w:r>
      <w:bookmarkEnd w:id="111"/>
      <w:bookmarkEnd w:id="112"/>
      <w:bookmarkEnd w:id="113"/>
    </w:p>
    <w:p w14:paraId="1829D524">
      <w:pPr>
        <w:pStyle w:val="44"/>
        <w:widowControl w:val="0"/>
        <w:numPr>
          <w:ilvl w:val="0"/>
          <w:numId w:val="5"/>
        </w:numPr>
        <w:tabs>
          <w:tab w:val="left" w:pos="907"/>
        </w:tabs>
        <w:adjustRightInd/>
        <w:snapToGrid/>
        <w:ind w:firstLineChars="0"/>
        <w:jc w:val="both"/>
        <w:rPr>
          <w:rFonts w:hint="eastAsia" w:ascii="宋体" w:hAnsi="宋体" w:eastAsia="宋体" w:cs="宋体"/>
          <w:vanish/>
          <w:color w:val="auto"/>
          <w:szCs w:val="21"/>
          <w:highlight w:val="none"/>
        </w:rPr>
      </w:pPr>
    </w:p>
    <w:p w14:paraId="0D722646">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评标委员会提出评标书面报告和推荐中标意见报采购人确认后，采购代理机构将在指定的信息发布媒体上发布公告。</w:t>
      </w:r>
    </w:p>
    <w:p w14:paraId="292BB10C">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中标公告期限为</w:t>
      </w:r>
      <w:r>
        <w:rPr>
          <w:rFonts w:hint="eastAsia" w:ascii="宋体" w:hAnsi="宋体" w:cs="宋体"/>
          <w:color w:val="auto"/>
          <w:szCs w:val="21"/>
          <w:highlight w:val="none"/>
          <w:lang w:val="en-US" w:eastAsia="zh-CN"/>
        </w:rPr>
        <w:t>一个工作日</w:t>
      </w:r>
      <w:r>
        <w:rPr>
          <w:rFonts w:hint="eastAsia" w:ascii="宋体" w:hAnsi="宋体" w:eastAsia="宋体" w:cs="宋体"/>
          <w:color w:val="auto"/>
          <w:szCs w:val="21"/>
          <w:highlight w:val="none"/>
        </w:rPr>
        <w:t>。</w:t>
      </w:r>
    </w:p>
    <w:p w14:paraId="14F5C87F">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《中标通知书》是合同的一个组成部分，《中标通知书》对采购人和中标人均具有同等法律效力。</w:t>
      </w:r>
    </w:p>
    <w:p w14:paraId="70F4FDEA">
      <w:pPr>
        <w:widowControl w:val="0"/>
        <w:tabs>
          <w:tab w:val="left" w:pos="907"/>
        </w:tabs>
        <w:adjustRightInd/>
        <w:snapToGrid/>
        <w:jc w:val="both"/>
        <w:rPr>
          <w:rFonts w:hint="eastAsia" w:ascii="宋体" w:hAnsi="宋体" w:eastAsia="宋体" w:cs="宋体"/>
          <w:color w:val="auto"/>
          <w:szCs w:val="21"/>
          <w:highlight w:val="none"/>
        </w:rPr>
      </w:pPr>
    </w:p>
    <w:p w14:paraId="591A8B1E">
      <w:pPr>
        <w:pStyle w:val="5"/>
        <w:widowControl w:val="0"/>
        <w:numPr>
          <w:ilvl w:val="0"/>
          <w:numId w:val="4"/>
        </w:numPr>
        <w:overflowPunct w:val="0"/>
        <w:rPr>
          <w:rFonts w:hint="eastAsia" w:ascii="宋体" w:hAnsi="宋体" w:eastAsia="宋体" w:cs="宋体"/>
          <w:color w:val="auto"/>
          <w:sz w:val="21"/>
          <w:szCs w:val="21"/>
          <w:highlight w:val="none"/>
        </w:rPr>
      </w:pPr>
      <w:bookmarkStart w:id="114" w:name="_Toc11420"/>
      <w:bookmarkStart w:id="115" w:name="_Toc13090"/>
      <w:r>
        <w:rPr>
          <w:rFonts w:hint="eastAsia" w:ascii="宋体" w:hAnsi="宋体" w:eastAsia="宋体" w:cs="宋体"/>
          <w:color w:val="auto"/>
          <w:sz w:val="21"/>
          <w:szCs w:val="21"/>
          <w:highlight w:val="none"/>
        </w:rPr>
        <w:t>资格后审</w:t>
      </w:r>
      <w:bookmarkEnd w:id="114"/>
      <w:bookmarkEnd w:id="115"/>
    </w:p>
    <w:p w14:paraId="4479A6F1">
      <w:pPr>
        <w:pStyle w:val="44"/>
        <w:widowControl w:val="0"/>
        <w:numPr>
          <w:ilvl w:val="0"/>
          <w:numId w:val="5"/>
        </w:numPr>
        <w:tabs>
          <w:tab w:val="left" w:pos="567"/>
          <w:tab w:val="left" w:pos="907"/>
        </w:tabs>
        <w:adjustRightInd/>
        <w:snapToGrid/>
        <w:ind w:firstLineChars="0"/>
        <w:jc w:val="both"/>
        <w:rPr>
          <w:rFonts w:hint="eastAsia" w:ascii="宋体" w:hAnsi="宋体" w:eastAsia="宋体" w:cs="宋体"/>
          <w:vanish/>
          <w:color w:val="auto"/>
          <w:szCs w:val="21"/>
          <w:highlight w:val="none"/>
        </w:rPr>
      </w:pPr>
    </w:p>
    <w:p w14:paraId="20E61459">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采购人将有权根据本文件中的要求，对评委会推荐的中标候选人进行资格后审。</w:t>
      </w:r>
    </w:p>
    <w:p w14:paraId="06FFA183">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中标候选人须无条件配合资格后审，否则采购人有权取消其中标资格，且投标保证金可不予退还。</w:t>
      </w:r>
    </w:p>
    <w:p w14:paraId="5EDFC6AD">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324316B5">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14:paraId="4F9C415E">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44519E7D">
      <w:pPr>
        <w:rPr>
          <w:rFonts w:hint="eastAsia" w:ascii="宋体" w:hAnsi="宋体" w:eastAsia="宋体" w:cs="宋体"/>
          <w:color w:val="auto"/>
          <w:highlight w:val="none"/>
        </w:rPr>
      </w:pPr>
    </w:p>
    <w:p w14:paraId="4356C504">
      <w:pPr>
        <w:pStyle w:val="5"/>
        <w:widowControl w:val="0"/>
        <w:numPr>
          <w:ilvl w:val="0"/>
          <w:numId w:val="4"/>
        </w:numPr>
        <w:overflowPunct w:val="0"/>
        <w:rPr>
          <w:rFonts w:hint="eastAsia" w:ascii="宋体" w:hAnsi="宋体" w:eastAsia="宋体" w:cs="宋体"/>
          <w:color w:val="auto"/>
          <w:sz w:val="21"/>
          <w:szCs w:val="21"/>
          <w:highlight w:val="none"/>
        </w:rPr>
      </w:pPr>
      <w:bookmarkStart w:id="116" w:name="_Toc27302"/>
      <w:bookmarkStart w:id="117" w:name="_Toc568"/>
      <w:r>
        <w:rPr>
          <w:rFonts w:hint="eastAsia" w:ascii="宋体" w:hAnsi="宋体" w:eastAsia="宋体" w:cs="宋体"/>
          <w:color w:val="auto"/>
          <w:sz w:val="21"/>
          <w:szCs w:val="21"/>
          <w:highlight w:val="none"/>
        </w:rPr>
        <w:t>合同的签订与履行</w:t>
      </w:r>
      <w:bookmarkEnd w:id="116"/>
      <w:bookmarkEnd w:id="117"/>
    </w:p>
    <w:p w14:paraId="412E963D">
      <w:pPr>
        <w:pStyle w:val="44"/>
        <w:widowControl w:val="0"/>
        <w:numPr>
          <w:ilvl w:val="0"/>
          <w:numId w:val="5"/>
        </w:numPr>
        <w:tabs>
          <w:tab w:val="left" w:pos="907"/>
        </w:tabs>
        <w:adjustRightInd/>
        <w:snapToGrid/>
        <w:ind w:firstLineChars="0"/>
        <w:jc w:val="both"/>
        <w:rPr>
          <w:rFonts w:hint="eastAsia" w:ascii="宋体" w:hAnsi="宋体" w:eastAsia="宋体" w:cs="宋体"/>
          <w:vanish/>
          <w:color w:val="auto"/>
          <w:szCs w:val="21"/>
          <w:highlight w:val="none"/>
        </w:rPr>
      </w:pPr>
    </w:p>
    <w:p w14:paraId="0BC7FBEA">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w:t>
      </w:r>
      <w:r>
        <w:rPr>
          <w:rFonts w:hint="eastAsia" w:ascii="宋体" w:hAnsi="宋体" w:cs="宋体"/>
          <w:color w:val="auto"/>
          <w:szCs w:val="21"/>
          <w:highlight w:val="none"/>
          <w:lang w:val="en-US" w:eastAsia="zh-CN"/>
        </w:rPr>
        <w:t>服务</w:t>
      </w:r>
      <w:r>
        <w:rPr>
          <w:rFonts w:hint="eastAsia" w:ascii="宋体" w:hAnsi="宋体" w:eastAsia="宋体" w:cs="宋体"/>
          <w:color w:val="auto"/>
          <w:szCs w:val="21"/>
          <w:highlight w:val="none"/>
        </w:rPr>
        <w:t>期开始时间不得早于合同签订时间。</w:t>
      </w:r>
    </w:p>
    <w:p w14:paraId="1ACEF635">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采购人与中标人应当根据合同的约定依法履行合同义务。</w:t>
      </w:r>
    </w:p>
    <w:p w14:paraId="79485E5B">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采购合同的履行、违约责任和解决争议的方法等适用《中华人民共和国民法典》。</w:t>
      </w:r>
    </w:p>
    <w:p w14:paraId="2C21C463">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2A508628">
      <w:pPr>
        <w:widowControl w:val="0"/>
        <w:tabs>
          <w:tab w:val="left" w:pos="907"/>
        </w:tabs>
        <w:adjustRightInd/>
        <w:snapToGrid/>
        <w:jc w:val="both"/>
        <w:rPr>
          <w:rFonts w:hint="eastAsia" w:ascii="宋体" w:hAnsi="宋体" w:eastAsia="宋体" w:cs="宋体"/>
          <w:color w:val="auto"/>
          <w:highlight w:val="none"/>
        </w:rPr>
      </w:pPr>
    </w:p>
    <w:p w14:paraId="0D3B287F">
      <w:pPr>
        <w:pStyle w:val="5"/>
        <w:widowControl w:val="0"/>
        <w:numPr>
          <w:ilvl w:val="0"/>
          <w:numId w:val="4"/>
        </w:numPr>
        <w:overflowPunct w:val="0"/>
        <w:rPr>
          <w:rFonts w:hint="eastAsia" w:ascii="宋体" w:hAnsi="宋体" w:eastAsia="宋体" w:cs="宋体"/>
          <w:color w:val="auto"/>
          <w:sz w:val="21"/>
          <w:szCs w:val="21"/>
          <w:highlight w:val="none"/>
        </w:rPr>
      </w:pPr>
      <w:bookmarkStart w:id="118" w:name="_Toc29009"/>
      <w:bookmarkStart w:id="119" w:name="_Toc382049124"/>
      <w:bookmarkStart w:id="120" w:name="_Toc303084277"/>
      <w:bookmarkStart w:id="121" w:name="_Toc6306"/>
      <w:bookmarkStart w:id="122" w:name="_Toc6617"/>
      <w:r>
        <w:rPr>
          <w:rFonts w:hint="eastAsia" w:ascii="宋体" w:hAnsi="宋体" w:eastAsia="宋体" w:cs="宋体"/>
          <w:color w:val="auto"/>
          <w:sz w:val="21"/>
          <w:szCs w:val="21"/>
          <w:highlight w:val="none"/>
        </w:rPr>
        <w:t>履约</w:t>
      </w:r>
      <w:bookmarkEnd w:id="118"/>
      <w:bookmarkEnd w:id="119"/>
      <w:bookmarkEnd w:id="120"/>
      <w:r>
        <w:rPr>
          <w:rFonts w:hint="eastAsia" w:ascii="宋体" w:hAnsi="宋体" w:eastAsia="宋体" w:cs="宋体"/>
          <w:color w:val="auto"/>
          <w:sz w:val="21"/>
          <w:szCs w:val="21"/>
          <w:highlight w:val="none"/>
        </w:rPr>
        <w:t>担保</w:t>
      </w:r>
      <w:bookmarkEnd w:id="121"/>
      <w:bookmarkEnd w:id="122"/>
    </w:p>
    <w:p w14:paraId="73F08932">
      <w:pPr>
        <w:pStyle w:val="44"/>
        <w:widowControl w:val="0"/>
        <w:numPr>
          <w:ilvl w:val="0"/>
          <w:numId w:val="5"/>
        </w:numPr>
        <w:tabs>
          <w:tab w:val="left" w:pos="907"/>
        </w:tabs>
        <w:adjustRightInd/>
        <w:snapToGrid/>
        <w:ind w:firstLineChars="0"/>
        <w:jc w:val="both"/>
        <w:rPr>
          <w:rFonts w:hint="eastAsia" w:ascii="宋体" w:hAnsi="宋体" w:eastAsia="宋体" w:cs="宋体"/>
          <w:vanish/>
          <w:color w:val="auto"/>
          <w:szCs w:val="21"/>
          <w:highlight w:val="none"/>
        </w:rPr>
      </w:pPr>
    </w:p>
    <w:p w14:paraId="106B26CE">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履约担保金额为：合同金额的5% 。</w:t>
      </w:r>
    </w:p>
    <w:p w14:paraId="5D26E7A6">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履约保证金账户信息：（中标后采购人提供账号信息）</w:t>
      </w:r>
    </w:p>
    <w:p w14:paraId="66927530">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人在采购（合同签署）时提交履约担保，履约担保金额为中标合同金额的5%，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账户。</w:t>
      </w:r>
    </w:p>
    <w:p w14:paraId="3AACDBD6">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履约担保期限从合同签订之日起至项目服务期结束验收合格并结算完毕后，经双方签字7天内保持有效。</w:t>
      </w:r>
    </w:p>
    <w:p w14:paraId="3159DD37">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履约担保可以采用下列任何一种形式：</w:t>
      </w:r>
    </w:p>
    <w:p w14:paraId="06F8952A">
      <w:pPr>
        <w:widowControl w:val="0"/>
        <w:numPr>
          <w:ilvl w:val="0"/>
          <w:numId w:val="0"/>
        </w:numPr>
        <w:overflowPunct w:val="0"/>
        <w:ind w:left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（1）履约保函。如果中标人的履约担保是以银行保函形式提供的，则该银行保函应：</w:t>
      </w:r>
    </w:p>
    <w:p w14:paraId="59F1F3BE">
      <w:pPr>
        <w:widowControl w:val="0"/>
        <w:numPr>
          <w:ilvl w:val="0"/>
          <w:numId w:val="0"/>
        </w:numPr>
        <w:overflowPunct w:val="0"/>
        <w:ind w:left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①保函应由银行支行或以上银行机构开具。</w:t>
      </w:r>
    </w:p>
    <w:p w14:paraId="57AE9CFA">
      <w:pPr>
        <w:widowControl w:val="0"/>
        <w:numPr>
          <w:ilvl w:val="0"/>
          <w:numId w:val="0"/>
        </w:numPr>
        <w:overflowPunct w:val="0"/>
        <w:ind w:left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②保函的格式参考投标文件附件中提供的不可撤销履约保函格式，保函担保期内若项目未能按期提供配送服务，保函必须延期，办理延期手续时在银行方面所产生费用由中标人负责。</w:t>
      </w:r>
    </w:p>
    <w:p w14:paraId="53A5EB77">
      <w:pPr>
        <w:widowControl w:val="0"/>
        <w:numPr>
          <w:ilvl w:val="0"/>
          <w:numId w:val="0"/>
        </w:numPr>
        <w:overflowPunct w:val="0"/>
        <w:ind w:left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③履约保函必须打印，手写、涂改无效。</w:t>
      </w:r>
    </w:p>
    <w:p w14:paraId="3767E4E1">
      <w:pPr>
        <w:widowControl w:val="0"/>
        <w:numPr>
          <w:ilvl w:val="0"/>
          <w:numId w:val="0"/>
        </w:numPr>
        <w:overflowPunct w:val="0"/>
        <w:ind w:left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（2）履约保证金。可采用电汇、银行汇票等银行转账方式提交，但不可以采用现金方式提交。</w:t>
      </w:r>
    </w:p>
    <w:p w14:paraId="698FD148">
      <w:pPr>
        <w:widowControl w:val="0"/>
        <w:numPr>
          <w:ilvl w:val="0"/>
          <w:numId w:val="0"/>
        </w:numPr>
        <w:overflowPunct w:val="0"/>
        <w:ind w:left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若中标人不能按本采购文件（履约担保形式中第（1）点和第（2）点）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4BDC0D28">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为取得履约担保所需的费用，由中标人承担；若服务期延误，履约担保时间延长，延长费用由中标人承担。</w:t>
      </w:r>
    </w:p>
    <w:p w14:paraId="36FB03E7">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cs="宋体"/>
          <w:color w:val="auto"/>
          <w:szCs w:val="21"/>
          <w:highlight w:val="none"/>
        </w:rPr>
        <w:t>若中标人在合同履行过程中出现食品安全事件、违约等情况，采购人在经核查属实后，有权将履约保函金额转为现金存入履约保证金账户；中标人造成采购人损失的，采购人有权立即没收其履约担保，若造成损失超过履约担保的，还应当对超过部分予以赔偿。</w:t>
      </w:r>
    </w:p>
    <w:p w14:paraId="5E53F457">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下列任何情况发生时，采购人有权行使享有的担保权利：</w:t>
      </w:r>
    </w:p>
    <w:p w14:paraId="7D1E3E88">
      <w:pPr>
        <w:widowControl w:val="0"/>
        <w:numPr>
          <w:ilvl w:val="0"/>
          <w:numId w:val="0"/>
        </w:numPr>
        <w:overflowPunct w:val="0"/>
        <w:ind w:left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（1）中标人将本项目转让给他人，或者在投标文件中未说明，且未经采购人同意，将中标项目分包给他人的；</w:t>
      </w:r>
    </w:p>
    <w:p w14:paraId="1F031864">
      <w:pPr>
        <w:widowControl w:val="0"/>
        <w:numPr>
          <w:ilvl w:val="0"/>
          <w:numId w:val="0"/>
        </w:numPr>
        <w:overflowPunct w:val="0"/>
        <w:ind w:left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（2）中标人在履行采购合同期间，违反有关法律法规的规定及合同约定的条款。</w:t>
      </w:r>
    </w:p>
    <w:p w14:paraId="396D0E5A">
      <w:pPr>
        <w:widowControl w:val="0"/>
        <w:tabs>
          <w:tab w:val="left" w:pos="907"/>
        </w:tabs>
        <w:adjustRightInd/>
        <w:snapToGrid/>
        <w:jc w:val="both"/>
        <w:rPr>
          <w:rFonts w:hint="eastAsia" w:ascii="宋体" w:hAnsi="宋体" w:eastAsia="宋体" w:cs="宋体"/>
          <w:color w:val="auto"/>
          <w:highlight w:val="none"/>
        </w:rPr>
      </w:pPr>
      <w:r>
        <w:rPr>
          <w:rFonts w:hint="eastAsia" w:ascii="宋体" w:hAnsi="宋体" w:eastAsia="宋体" w:cs="宋体"/>
          <w:color w:val="auto"/>
          <w:szCs w:val="21"/>
          <w:highlight w:val="none"/>
        </w:rPr>
        <w:t>在整个项目服务期结束后，中标人向采购人提交退回履约担保的申请，采购人办理履约担保退还手续。</w:t>
      </w:r>
    </w:p>
    <w:p w14:paraId="01A9AB50">
      <w:pPr>
        <w:pStyle w:val="5"/>
        <w:widowControl w:val="0"/>
        <w:numPr>
          <w:ilvl w:val="0"/>
          <w:numId w:val="4"/>
        </w:numPr>
        <w:overflowPunct w:val="0"/>
        <w:rPr>
          <w:rFonts w:hint="eastAsia" w:ascii="宋体" w:hAnsi="宋体" w:eastAsia="宋体" w:cs="宋体"/>
          <w:color w:val="auto"/>
          <w:sz w:val="21"/>
          <w:szCs w:val="21"/>
          <w:highlight w:val="none"/>
        </w:rPr>
      </w:pPr>
      <w:bookmarkStart w:id="123" w:name="_Toc18880"/>
      <w:bookmarkStart w:id="124" w:name="_Toc26640"/>
      <w:r>
        <w:rPr>
          <w:rFonts w:hint="eastAsia" w:ascii="宋体" w:hAnsi="宋体" w:eastAsia="宋体" w:cs="宋体"/>
          <w:color w:val="auto"/>
          <w:sz w:val="21"/>
          <w:szCs w:val="21"/>
          <w:highlight w:val="none"/>
        </w:rPr>
        <w:t>预付款保函（适用于预付款支付）</w:t>
      </w:r>
      <w:bookmarkEnd w:id="123"/>
      <w:bookmarkEnd w:id="124"/>
    </w:p>
    <w:p w14:paraId="27DA7AAF">
      <w:pPr>
        <w:pStyle w:val="44"/>
        <w:widowControl w:val="0"/>
        <w:numPr>
          <w:ilvl w:val="0"/>
          <w:numId w:val="5"/>
        </w:numPr>
        <w:tabs>
          <w:tab w:val="left" w:pos="567"/>
          <w:tab w:val="left" w:pos="907"/>
        </w:tabs>
        <w:adjustRightInd/>
        <w:snapToGrid/>
        <w:ind w:firstLineChars="0"/>
        <w:jc w:val="both"/>
        <w:rPr>
          <w:rFonts w:hint="eastAsia" w:ascii="宋体" w:hAnsi="宋体" w:eastAsia="宋体" w:cs="宋体"/>
          <w:vanish/>
          <w:color w:val="auto"/>
          <w:szCs w:val="21"/>
          <w:highlight w:val="none"/>
        </w:rPr>
      </w:pPr>
    </w:p>
    <w:p w14:paraId="29BF9A14">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470A93ED">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预付款保函应：</w:t>
      </w:r>
    </w:p>
    <w:p w14:paraId="3008D4A1">
      <w:pPr>
        <w:widowControl w:val="0"/>
        <w:numPr>
          <w:ilvl w:val="0"/>
          <w:numId w:val="0"/>
        </w:numPr>
        <w:tabs>
          <w:tab w:val="left" w:pos="420"/>
        </w:tabs>
        <w:overflowPunct w:val="0"/>
        <w:spacing w:line="360" w:lineRule="auto"/>
        <w:ind w:left="436" w:leftChars="200" w:hanging="16" w:hangingChars="8"/>
        <w:rPr>
          <w:rFonts w:hint="eastAsia" w:ascii="宋体" w:hAnsi="宋体" w:eastAsia="宋体" w:cs="宋体"/>
          <w:color w:val="auto"/>
          <w:szCs w:val="21"/>
          <w:highlight w:val="none"/>
        </w:rPr>
      </w:pPr>
      <w:r>
        <w:rPr>
          <w:rFonts w:hint="eastAsia" w:ascii="宋体" w:hAnsi="宋体" w:eastAsia="宋体" w:cs="宋体"/>
          <w:color w:val="auto"/>
          <w:szCs w:val="21"/>
          <w:highlight w:val="none"/>
        </w:rPr>
        <w:t>（1）由东莞市行政区域内的银行支行及以上银行机构开具。非东莞市行政区内的银行开具的保函要由银行所在地公证部门出具的公证书。</w:t>
      </w:r>
    </w:p>
    <w:p w14:paraId="562DFE9D">
      <w:pPr>
        <w:widowControl w:val="0"/>
        <w:numPr>
          <w:ilvl w:val="0"/>
          <w:numId w:val="0"/>
        </w:numPr>
        <w:tabs>
          <w:tab w:val="left" w:pos="420"/>
        </w:tabs>
        <w:overflowPunct w:val="0"/>
        <w:spacing w:line="360" w:lineRule="auto"/>
        <w:ind w:left="436" w:leftChars="200" w:hanging="16" w:hangingChars="8"/>
        <w:rPr>
          <w:rFonts w:hint="eastAsia" w:ascii="宋体" w:hAnsi="宋体" w:eastAsia="宋体" w:cs="宋体"/>
          <w:color w:val="auto"/>
          <w:szCs w:val="21"/>
          <w:highlight w:val="none"/>
        </w:rPr>
      </w:pPr>
      <w:r>
        <w:rPr>
          <w:rFonts w:hint="eastAsia" w:ascii="宋体" w:hAnsi="宋体" w:eastAsia="宋体" w:cs="宋体"/>
          <w:color w:val="auto"/>
          <w:szCs w:val="21"/>
          <w:highlight w:val="none"/>
        </w:rPr>
        <w:t>（2）必须打印，手写、涂改无效</w:t>
      </w:r>
    </w:p>
    <w:p w14:paraId="36DDD5E5">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若中标人不能按本须知（34.1至34.2）的规定执行，采购人将不予支付预付款。</w:t>
      </w:r>
    </w:p>
    <w:p w14:paraId="241AFAC3">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0E69C658">
      <w:pPr>
        <w:rPr>
          <w:rFonts w:hint="eastAsia" w:ascii="宋体" w:hAnsi="宋体" w:eastAsia="宋体" w:cs="宋体"/>
          <w:color w:val="auto"/>
          <w:highlight w:val="none"/>
        </w:rPr>
      </w:pPr>
    </w:p>
    <w:p w14:paraId="172137C0">
      <w:pPr>
        <w:pStyle w:val="4"/>
        <w:numPr>
          <w:ilvl w:val="0"/>
          <w:numId w:val="3"/>
        </w:numPr>
        <w:spacing w:before="0" w:after="0" w:line="360" w:lineRule="auto"/>
        <w:jc w:val="center"/>
        <w:rPr>
          <w:rFonts w:hint="eastAsia" w:ascii="宋体" w:hAnsi="宋体" w:eastAsia="宋体" w:cs="宋体"/>
          <w:color w:val="auto"/>
          <w:highlight w:val="none"/>
        </w:rPr>
      </w:pPr>
      <w:bookmarkStart w:id="125" w:name="_Toc10416"/>
      <w:bookmarkStart w:id="126" w:name="_Toc21814"/>
      <w:r>
        <w:rPr>
          <w:rFonts w:hint="eastAsia" w:ascii="宋体" w:hAnsi="宋体" w:eastAsia="宋体" w:cs="宋体"/>
          <w:color w:val="auto"/>
          <w:highlight w:val="none"/>
        </w:rPr>
        <w:t>异议</w:t>
      </w:r>
      <w:bookmarkEnd w:id="125"/>
      <w:bookmarkEnd w:id="126"/>
    </w:p>
    <w:p w14:paraId="03C14801">
      <w:pPr>
        <w:pStyle w:val="5"/>
        <w:widowControl w:val="0"/>
        <w:numPr>
          <w:ilvl w:val="0"/>
          <w:numId w:val="4"/>
        </w:numPr>
        <w:overflowPunct w:val="0"/>
        <w:rPr>
          <w:rFonts w:hint="eastAsia" w:ascii="宋体" w:hAnsi="宋体" w:eastAsia="宋体" w:cs="宋体"/>
          <w:color w:val="auto"/>
          <w:sz w:val="21"/>
          <w:szCs w:val="21"/>
          <w:highlight w:val="none"/>
        </w:rPr>
      </w:pPr>
      <w:bookmarkStart w:id="127" w:name="_Toc9791"/>
      <w:bookmarkStart w:id="128" w:name="_Toc25925"/>
      <w:r>
        <w:rPr>
          <w:rFonts w:hint="eastAsia" w:ascii="宋体" w:hAnsi="宋体" w:eastAsia="宋体" w:cs="宋体"/>
          <w:color w:val="auto"/>
          <w:sz w:val="21"/>
          <w:szCs w:val="21"/>
          <w:highlight w:val="none"/>
        </w:rPr>
        <w:t>异议</w:t>
      </w:r>
      <w:bookmarkEnd w:id="127"/>
      <w:bookmarkEnd w:id="128"/>
    </w:p>
    <w:p w14:paraId="72574248">
      <w:pPr>
        <w:pStyle w:val="44"/>
        <w:widowControl w:val="0"/>
        <w:numPr>
          <w:ilvl w:val="0"/>
          <w:numId w:val="5"/>
        </w:numPr>
        <w:tabs>
          <w:tab w:val="left" w:pos="907"/>
        </w:tabs>
        <w:adjustRightInd/>
        <w:snapToGrid/>
        <w:ind w:firstLineChars="0"/>
        <w:jc w:val="both"/>
        <w:rPr>
          <w:rFonts w:hint="eastAsia" w:ascii="宋体" w:hAnsi="宋体" w:eastAsia="宋体" w:cs="宋体"/>
          <w:vanish/>
          <w:color w:val="auto"/>
          <w:szCs w:val="21"/>
          <w:highlight w:val="none"/>
        </w:rPr>
      </w:pPr>
    </w:p>
    <w:p w14:paraId="1A41881D">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t>采购文件的异议</w:t>
      </w:r>
      <w:r>
        <w:rPr>
          <w:rFonts w:hint="eastAsia" w:ascii="宋体" w:hAnsi="宋体" w:eastAsia="宋体" w:cs="宋体"/>
          <w:color w:val="auto"/>
          <w:szCs w:val="21"/>
          <w:highlight w:val="none"/>
        </w:rPr>
        <w:t xml:space="preserve">  </w:t>
      </w:r>
    </w:p>
    <w:p w14:paraId="3531CB96">
      <w:pPr>
        <w:widowControl w:val="0"/>
        <w:numPr>
          <w:ilvl w:val="0"/>
          <w:numId w:val="0"/>
        </w:numPr>
        <w:tabs>
          <w:tab w:val="left" w:pos="420"/>
        </w:tabs>
        <w:overflowPunct w:val="0"/>
        <w:spacing w:line="360" w:lineRule="auto"/>
        <w:ind w:left="436" w:leftChars="200" w:hanging="16" w:hangingChars="8"/>
        <w:rPr>
          <w:rFonts w:hint="eastAsia" w:ascii="宋体" w:hAnsi="宋体" w:eastAsia="宋体" w:cs="宋体"/>
          <w:color w:val="auto"/>
          <w:szCs w:val="21"/>
          <w:highlight w:val="none"/>
        </w:rPr>
      </w:pPr>
      <w:r>
        <w:rPr>
          <w:rFonts w:hint="eastAsia" w:ascii="宋体" w:hAnsi="宋体" w:eastAsia="宋体" w:cs="宋体"/>
          <w:bCs/>
          <w:color w:val="auto"/>
          <w:kern w:val="2"/>
          <w:szCs w:val="21"/>
          <w:highlight w:val="none"/>
          <w:lang w:val="zh-CN"/>
        </w:rPr>
        <w:t>投标人或者其他利害关系人对采购文件有异议的，应当在投标截止时间10日前</w:t>
      </w:r>
      <w:r>
        <w:rPr>
          <w:rFonts w:hint="eastAsia" w:ascii="宋体" w:hAnsi="宋体" w:eastAsia="宋体" w:cs="宋体"/>
          <w:color w:val="auto"/>
          <w:kern w:val="2"/>
          <w:szCs w:val="21"/>
          <w:highlight w:val="none"/>
          <w:lang w:val="zh-CN"/>
        </w:rPr>
        <w:t>以书面形式向采购代理机构提出，并将材料原件送达采购代理机构，逾期则视为对采购文件所有内容无异议。</w:t>
      </w:r>
      <w:r>
        <w:rPr>
          <w:rFonts w:hint="eastAsia" w:ascii="宋体" w:hAnsi="宋体" w:eastAsia="宋体" w:cs="宋体"/>
          <w:bCs/>
          <w:color w:val="auto"/>
          <w:kern w:val="2"/>
          <w:szCs w:val="21"/>
          <w:highlight w:val="none"/>
          <w:lang w:val="zh-CN"/>
        </w:rPr>
        <w:t>异议</w:t>
      </w:r>
      <w:r>
        <w:rPr>
          <w:rFonts w:hint="eastAsia" w:ascii="宋体" w:hAnsi="宋体" w:eastAsia="宋体" w:cs="宋体"/>
          <w:color w:val="auto"/>
          <w:kern w:val="2"/>
          <w:szCs w:val="21"/>
          <w:highlight w:val="none"/>
          <w:lang w:val="zh-CN"/>
        </w:rPr>
        <w:t>书面材料必须加盖投标人法人公章，并注明联系人、联系电话、联系地址。</w:t>
      </w:r>
      <w:r>
        <w:rPr>
          <w:rFonts w:hint="eastAsia" w:ascii="宋体" w:hAnsi="宋体" w:eastAsia="宋体" w:cs="宋体"/>
          <w:bCs/>
          <w:color w:val="auto"/>
          <w:kern w:val="2"/>
          <w:szCs w:val="21"/>
          <w:highlight w:val="none"/>
          <w:lang w:val="zh-CN"/>
        </w:rPr>
        <w:t>超出</w:t>
      </w:r>
      <w:r>
        <w:rPr>
          <w:rFonts w:hint="eastAsia" w:ascii="宋体" w:hAnsi="宋体" w:eastAsia="宋体" w:cs="宋体"/>
          <w:color w:val="auto"/>
          <w:kern w:val="2"/>
          <w:szCs w:val="21"/>
          <w:highlight w:val="none"/>
          <w:lang w:val="zh-CN"/>
        </w:rPr>
        <w:t>提交接收异议截止时间而</w:t>
      </w:r>
      <w:r>
        <w:rPr>
          <w:rFonts w:hint="eastAsia" w:ascii="宋体" w:hAnsi="宋体" w:eastAsia="宋体" w:cs="宋体"/>
          <w:bCs/>
          <w:color w:val="auto"/>
          <w:kern w:val="2"/>
          <w:szCs w:val="21"/>
          <w:highlight w:val="none"/>
          <w:lang w:val="zh-CN"/>
        </w:rPr>
        <w:t>提出的任何疑问，</w:t>
      </w:r>
      <w:r>
        <w:rPr>
          <w:rFonts w:hint="eastAsia" w:ascii="宋体" w:hAnsi="宋体" w:eastAsia="宋体" w:cs="宋体"/>
          <w:bCs/>
          <w:color w:val="auto"/>
          <w:kern w:val="2"/>
          <w:szCs w:val="21"/>
          <w:highlight w:val="none"/>
        </w:rPr>
        <w:t>采购人或</w:t>
      </w:r>
      <w:r>
        <w:rPr>
          <w:rFonts w:hint="eastAsia" w:ascii="宋体" w:hAnsi="宋体" w:eastAsia="宋体" w:cs="宋体"/>
          <w:bCs/>
          <w:color w:val="auto"/>
          <w:kern w:val="2"/>
          <w:szCs w:val="21"/>
          <w:highlight w:val="none"/>
          <w:lang w:val="zh-CN"/>
        </w:rPr>
        <w:t>采购代理机构可不予答复。</w:t>
      </w:r>
    </w:p>
    <w:p w14:paraId="4CAE370F">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t>评标结果异议</w:t>
      </w:r>
      <w:r>
        <w:rPr>
          <w:rFonts w:hint="eastAsia" w:ascii="宋体" w:hAnsi="宋体" w:eastAsia="宋体" w:cs="宋体"/>
          <w:color w:val="auto"/>
          <w:szCs w:val="21"/>
          <w:highlight w:val="none"/>
        </w:rPr>
        <w:t xml:space="preserve">   </w:t>
      </w:r>
    </w:p>
    <w:p w14:paraId="2A9CDB01">
      <w:pPr>
        <w:widowControl w:val="0"/>
        <w:numPr>
          <w:ilvl w:val="0"/>
          <w:numId w:val="0"/>
        </w:numPr>
        <w:tabs>
          <w:tab w:val="left" w:pos="420"/>
        </w:tabs>
        <w:overflowPunct w:val="0"/>
        <w:spacing w:line="360" w:lineRule="auto"/>
        <w:ind w:left="436" w:leftChars="200" w:hanging="16" w:hangingChars="8"/>
        <w:rPr>
          <w:rFonts w:hint="eastAsia" w:ascii="宋体" w:hAnsi="宋体" w:eastAsia="宋体" w:cs="宋体"/>
          <w:color w:val="auto"/>
          <w:kern w:val="2"/>
          <w:szCs w:val="21"/>
          <w:highlight w:val="none"/>
          <w:lang w:val="zh-CN"/>
        </w:rPr>
      </w:pPr>
      <w:r>
        <w:rPr>
          <w:rFonts w:hint="eastAsia" w:ascii="宋体" w:hAnsi="宋体" w:eastAsia="宋体" w:cs="宋体"/>
          <w:color w:val="auto"/>
          <w:kern w:val="2"/>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26F806E5">
      <w:pPr>
        <w:widowControl w:val="0"/>
        <w:numPr>
          <w:ilvl w:val="0"/>
          <w:numId w:val="0"/>
        </w:numPr>
        <w:tabs>
          <w:tab w:val="left" w:pos="420"/>
        </w:tabs>
        <w:overflowPunct w:val="0"/>
        <w:spacing w:line="360" w:lineRule="auto"/>
        <w:ind w:left="436" w:leftChars="200" w:hanging="16" w:hangingChars="8"/>
        <w:rPr>
          <w:rFonts w:hint="eastAsia" w:ascii="宋体" w:hAnsi="宋体" w:eastAsia="宋体" w:cs="宋体"/>
          <w:color w:val="auto"/>
          <w:kern w:val="2"/>
          <w:szCs w:val="21"/>
          <w:highlight w:val="none"/>
          <w:lang w:val="zh-CN"/>
        </w:rPr>
      </w:pPr>
      <w:r>
        <w:rPr>
          <w:rFonts w:hint="eastAsia" w:ascii="宋体" w:hAnsi="宋体" w:eastAsia="宋体" w:cs="宋体"/>
          <w:color w:val="auto"/>
          <w:kern w:val="2"/>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2EA95B57">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以联合体形式参加采购活动的，其异议应当由组成联合体的所有投标人共同提出。</w:t>
      </w:r>
    </w:p>
    <w:p w14:paraId="7A95F41F">
      <w:pPr>
        <w:rPr>
          <w:rFonts w:hint="eastAsia" w:ascii="宋体" w:hAnsi="宋体" w:eastAsia="宋体" w:cs="宋体"/>
          <w:color w:val="auto"/>
          <w:highlight w:val="none"/>
        </w:rPr>
      </w:pPr>
    </w:p>
    <w:p w14:paraId="368D4E22">
      <w:pPr>
        <w:pStyle w:val="4"/>
        <w:numPr>
          <w:ilvl w:val="0"/>
          <w:numId w:val="3"/>
        </w:numPr>
        <w:spacing w:before="0" w:after="0" w:line="360" w:lineRule="auto"/>
        <w:jc w:val="center"/>
        <w:rPr>
          <w:rFonts w:hint="eastAsia" w:ascii="宋体" w:hAnsi="宋体" w:eastAsia="宋体" w:cs="宋体"/>
          <w:color w:val="auto"/>
          <w:highlight w:val="none"/>
        </w:rPr>
      </w:pPr>
      <w:bookmarkStart w:id="129" w:name="_Toc18965"/>
      <w:bookmarkStart w:id="130" w:name="_Toc21144"/>
      <w:r>
        <w:rPr>
          <w:rFonts w:hint="eastAsia" w:ascii="宋体" w:hAnsi="宋体" w:eastAsia="宋体" w:cs="宋体"/>
          <w:color w:val="auto"/>
          <w:highlight w:val="none"/>
        </w:rPr>
        <w:t>其他</w:t>
      </w:r>
      <w:bookmarkEnd w:id="129"/>
      <w:bookmarkEnd w:id="130"/>
    </w:p>
    <w:p w14:paraId="552DFBBC">
      <w:pPr>
        <w:pStyle w:val="5"/>
        <w:widowControl w:val="0"/>
        <w:numPr>
          <w:ilvl w:val="0"/>
          <w:numId w:val="4"/>
        </w:numPr>
        <w:overflowPunct w:val="0"/>
        <w:rPr>
          <w:rFonts w:hint="eastAsia" w:ascii="宋体" w:hAnsi="宋体" w:eastAsia="宋体" w:cs="宋体"/>
          <w:color w:val="auto"/>
          <w:sz w:val="21"/>
          <w:szCs w:val="21"/>
          <w:highlight w:val="none"/>
        </w:rPr>
      </w:pPr>
      <w:bookmarkStart w:id="131" w:name="_Toc1587"/>
      <w:bookmarkStart w:id="132" w:name="_Toc1563"/>
      <w:r>
        <w:rPr>
          <w:rFonts w:hint="eastAsia" w:ascii="宋体" w:hAnsi="宋体" w:eastAsia="宋体" w:cs="宋体"/>
          <w:color w:val="auto"/>
          <w:sz w:val="21"/>
          <w:szCs w:val="21"/>
          <w:highlight w:val="none"/>
        </w:rPr>
        <w:t>采购文件的解释权</w:t>
      </w:r>
      <w:bookmarkEnd w:id="131"/>
      <w:bookmarkEnd w:id="132"/>
    </w:p>
    <w:p w14:paraId="53D45958">
      <w:pPr>
        <w:pStyle w:val="44"/>
        <w:widowControl w:val="0"/>
        <w:numPr>
          <w:ilvl w:val="0"/>
          <w:numId w:val="5"/>
        </w:numPr>
        <w:tabs>
          <w:tab w:val="left" w:pos="907"/>
        </w:tabs>
        <w:adjustRightInd/>
        <w:snapToGrid/>
        <w:ind w:firstLineChars="0"/>
        <w:jc w:val="both"/>
        <w:rPr>
          <w:rFonts w:hint="eastAsia" w:ascii="宋体" w:hAnsi="宋体" w:eastAsia="宋体" w:cs="宋体"/>
          <w:vanish/>
          <w:color w:val="auto"/>
          <w:szCs w:val="21"/>
          <w:highlight w:val="none"/>
        </w:rPr>
      </w:pPr>
    </w:p>
    <w:p w14:paraId="1BC06748">
      <w:pPr>
        <w:widowControl w:val="0"/>
        <w:numPr>
          <w:ilvl w:val="1"/>
          <w:numId w:val="4"/>
        </w:numP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本采购文件是根据国家有关法律、法规以及采购管理有关规定和参照国际惯例编制，解释权属本采购代理机构。</w:t>
      </w:r>
    </w:p>
    <w:p w14:paraId="0F1ADC0C">
      <w:pPr>
        <w:widowControl w:val="0"/>
        <w:numPr>
          <w:ilvl w:val="1"/>
          <w:numId w:val="9"/>
        </w:numPr>
        <w:tabs>
          <w:tab w:val="left" w:pos="907"/>
        </w:tabs>
        <w:adjustRightInd/>
        <w:snapToGrid/>
        <w:spacing w:line="360" w:lineRule="exact"/>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3383C65C">
      <w:pPr>
        <w:pStyle w:val="3"/>
        <w:spacing w:before="0" w:after="0" w:line="240" w:lineRule="auto"/>
        <w:rPr>
          <w:rFonts w:hint="eastAsia" w:ascii="宋体" w:hAnsi="宋体" w:eastAsia="宋体" w:cs="宋体"/>
          <w:color w:val="auto"/>
          <w:sz w:val="28"/>
          <w:szCs w:val="28"/>
          <w:highlight w:val="none"/>
        </w:rPr>
      </w:pPr>
      <w:bookmarkStart w:id="133" w:name="_Toc2830"/>
      <w:r>
        <w:rPr>
          <w:rFonts w:hint="eastAsia" w:ascii="宋体" w:hAnsi="宋体" w:eastAsia="宋体" w:cs="宋体"/>
          <w:color w:val="auto"/>
          <w:sz w:val="28"/>
          <w:szCs w:val="28"/>
          <w:highlight w:val="none"/>
        </w:rPr>
        <w:t>第五部分  合同条款格式</w:t>
      </w:r>
      <w:bookmarkEnd w:id="133"/>
      <w:bookmarkStart w:id="134" w:name="_Toc15636"/>
    </w:p>
    <w:bookmarkEnd w:id="134"/>
    <w:p w14:paraId="72569DCA">
      <w:pPr>
        <w:rPr>
          <w:rFonts w:hint="eastAsia" w:ascii="宋体" w:hAnsi="宋体" w:eastAsia="宋体" w:cs="宋体"/>
          <w:color w:val="auto"/>
          <w:highlight w:val="none"/>
          <w:lang w:bidi="zh-CN"/>
        </w:rPr>
      </w:pPr>
      <w:bookmarkStart w:id="135" w:name="_Hlt109815959"/>
      <w:bookmarkEnd w:id="135"/>
    </w:p>
    <w:p w14:paraId="3F31396B">
      <w:pPr>
        <w:pageBreakBefore w:val="0"/>
        <w:shd w:val="clear"/>
        <w:kinsoku/>
        <w:topLinePunct w:val="0"/>
        <w:autoSpaceDE/>
        <w:autoSpaceDN/>
        <w:bidi w:val="0"/>
        <w:spacing w:line="36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此仅为合同书样本，中标人需根据实际情况和甲方签订相应的合同！</w:t>
      </w:r>
    </w:p>
    <w:p w14:paraId="28666AE9">
      <w:pPr>
        <w:pStyle w:val="9"/>
        <w:pageBreakBefore w:val="0"/>
        <w:kinsoku/>
        <w:wordWrap/>
        <w:overflowPunct/>
        <w:topLinePunct w:val="0"/>
        <w:autoSpaceDE/>
        <w:autoSpaceDN/>
        <w:bidi w:val="0"/>
        <w:spacing w:before="0"/>
        <w:jc w:val="center"/>
        <w:textAlignment w:val="auto"/>
        <w:rPr>
          <w:rFonts w:hint="default" w:ascii="宋体" w:hAnsi="宋体" w:eastAsia="宋体" w:cs="宋体"/>
          <w:color w:val="auto"/>
          <w:highlight w:val="none"/>
          <w:lang w:val="en-US" w:eastAsia="zh-CN"/>
        </w:rPr>
      </w:pPr>
      <w:r>
        <w:rPr>
          <w:rFonts w:hint="eastAsia" w:cs="宋体"/>
          <w:color w:val="auto"/>
          <w:highlight w:val="none"/>
          <w:lang w:val="en-US" w:eastAsia="zh-CN"/>
        </w:rPr>
        <w:t>以下适用包A</w:t>
      </w:r>
    </w:p>
    <w:p w14:paraId="44CB776A">
      <w:pPr>
        <w:pStyle w:val="4"/>
        <w:pageBreakBefore w:val="0"/>
        <w:shd w:val="clear"/>
        <w:kinsoku/>
        <w:wordWrap/>
        <w:overflowPunct/>
        <w:topLinePunct w:val="0"/>
        <w:autoSpaceDE/>
        <w:autoSpaceDN/>
        <w:bidi w:val="0"/>
        <w:spacing w:before="0" w:after="0" w:line="360" w:lineRule="auto"/>
        <w:jc w:val="center"/>
        <w:textAlignment w:val="auto"/>
        <w:rPr>
          <w:rFonts w:hint="eastAsia" w:ascii="宋体" w:hAnsi="宋体" w:eastAsia="宋体" w:cs="宋体"/>
          <w:color w:val="auto"/>
          <w:highlight w:val="none"/>
        </w:rPr>
      </w:pPr>
      <w:bookmarkStart w:id="136" w:name="_Toc10223"/>
      <w:bookmarkStart w:id="137" w:name="_Toc16480"/>
      <w:bookmarkStart w:id="138" w:name="_Toc18720"/>
      <w:r>
        <w:rPr>
          <w:rFonts w:hint="eastAsia" w:ascii="宋体" w:hAnsi="宋体" w:eastAsia="宋体" w:cs="宋体"/>
          <w:color w:val="auto"/>
          <w:highlight w:val="none"/>
        </w:rPr>
        <w:t>合同格式</w:t>
      </w:r>
      <w:bookmarkEnd w:id="136"/>
      <w:bookmarkEnd w:id="137"/>
      <w:bookmarkEnd w:id="138"/>
    </w:p>
    <w:p w14:paraId="4B626E97">
      <w:pPr>
        <w:keepNext w:val="0"/>
        <w:keepLines w:val="0"/>
        <w:pageBreakBefore w:val="0"/>
        <w:shd w:val="clear"/>
        <w:kinsoku/>
        <w:wordWrap/>
        <w:overflowPunct/>
        <w:topLinePunct w:val="0"/>
        <w:autoSpaceDE/>
        <w:autoSpaceDN/>
        <w:bidi w:val="0"/>
        <w:spacing w:line="400" w:lineRule="exact"/>
        <w:ind w:right="56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合同编号：</w:t>
      </w:r>
    </w:p>
    <w:p w14:paraId="59DECC28">
      <w:pPr>
        <w:keepNext w:val="0"/>
        <w:keepLines w:val="0"/>
        <w:pageBreakBefore w:val="0"/>
        <w:shd w:val="clear"/>
        <w:kinsoku/>
        <w:wordWrap/>
        <w:overflowPunct/>
        <w:topLinePunct w:val="0"/>
        <w:autoSpaceDE/>
        <w:autoSpaceDN/>
        <w:bidi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w:t>
      </w:r>
    </w:p>
    <w:p w14:paraId="215784C1">
      <w:pPr>
        <w:keepNext w:val="0"/>
        <w:keepLines w:val="0"/>
        <w:pageBreakBefore w:val="0"/>
        <w:shd w:val="clear"/>
        <w:kinsoku/>
        <w:wordWrap/>
        <w:overflowPunct/>
        <w:topLinePunct w:val="0"/>
        <w:autoSpaceDE/>
        <w:autoSpaceDN/>
        <w:bidi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乙方：“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”为中标单位</w:t>
      </w:r>
    </w:p>
    <w:p w14:paraId="19B20739">
      <w:pPr>
        <w:keepNext w:val="0"/>
        <w:keepLines w:val="0"/>
        <w:pageBreakBefore w:val="0"/>
        <w:shd w:val="clear"/>
        <w:kinsoku/>
        <w:wordWrap/>
        <w:overflowPunct/>
        <w:topLinePunct w:val="0"/>
        <w:autoSpaceDE/>
        <w:autoSpaceDN/>
        <w:bidi w:val="0"/>
        <w:adjustRightInd/>
        <w:snapToGrid/>
        <w:spacing w:after="0" w:line="400" w:lineRule="exact"/>
        <w:ind w:firstLine="420" w:firstLineChars="200"/>
        <w:textAlignment w:val="auto"/>
        <w:rPr>
          <w:rFonts w:hint="eastAsia" w:ascii="宋体" w:hAnsi="宋体" w:eastAsia="宋体" w:cs="宋体"/>
          <w:color w:val="auto"/>
          <w:sz w:val="21"/>
          <w:szCs w:val="21"/>
          <w:highlight w:val="none"/>
        </w:rPr>
      </w:pPr>
    </w:p>
    <w:p w14:paraId="5B9B1EBC">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受甲方委托，</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eastAsia="zh-CN"/>
        </w:rPr>
        <w:t>招标代理机构</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rPr>
        <w:t>组织对</w:t>
      </w:r>
      <w:r>
        <w:rPr>
          <w:rFonts w:hint="eastAsia" w:ascii="宋体" w:hAnsi="宋体" w:eastAsia="宋体" w:cs="宋体"/>
          <w:color w:val="auto"/>
          <w:sz w:val="21"/>
          <w:szCs w:val="21"/>
          <w:highlight w:val="none"/>
          <w:u w:val="single"/>
        </w:rPr>
        <w:t xml:space="preserve">         （项目名称）</w:t>
      </w:r>
      <w:r>
        <w:rPr>
          <w:rFonts w:hint="eastAsia" w:ascii="宋体" w:hAnsi="宋体" w:eastAsia="宋体" w:cs="宋体"/>
          <w:color w:val="auto"/>
          <w:sz w:val="21"/>
          <w:szCs w:val="21"/>
          <w:highlight w:val="none"/>
        </w:rPr>
        <w:t>项目（</w:t>
      </w:r>
      <w:r>
        <w:rPr>
          <w:rFonts w:hint="eastAsia" w:ascii="宋体" w:hAnsi="宋体" w:eastAsia="宋体" w:cs="宋体"/>
          <w:color w:val="auto"/>
          <w:sz w:val="21"/>
          <w:szCs w:val="21"/>
          <w:highlight w:val="none"/>
          <w:lang w:eastAsia="zh-CN"/>
        </w:rPr>
        <w:t>招标项目编号</w:t>
      </w:r>
      <w:r>
        <w:rPr>
          <w:rFonts w:hint="eastAsia" w:ascii="宋体" w:hAnsi="宋体" w:eastAsia="宋体" w:cs="宋体"/>
          <w:color w:val="auto"/>
          <w:sz w:val="21"/>
          <w:szCs w:val="21"/>
          <w:highlight w:val="none"/>
        </w:rPr>
        <w:t>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）进行</w:t>
      </w:r>
      <w:r>
        <w:rPr>
          <w:rFonts w:hint="eastAsia" w:ascii="宋体" w:hAnsi="宋体" w:eastAsia="宋体" w:cs="宋体"/>
          <w:color w:val="auto"/>
          <w:sz w:val="21"/>
          <w:szCs w:val="21"/>
          <w:highlight w:val="none"/>
          <w:lang w:eastAsia="zh-CN"/>
        </w:rPr>
        <w:t>招标</w:t>
      </w:r>
      <w:r>
        <w:rPr>
          <w:rFonts w:hint="eastAsia" w:ascii="宋体" w:hAnsi="宋体" w:eastAsia="宋体" w:cs="宋体"/>
          <w:color w:val="auto"/>
          <w:sz w:val="21"/>
          <w:szCs w:val="21"/>
          <w:highlight w:val="none"/>
        </w:rPr>
        <w:t>，于</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日通过公开招标，经评标委员会评定乙方</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为中标单位。为了保护甲、乙双方合法权益，根据《中华人民共和国</w:t>
      </w:r>
      <w:r>
        <w:rPr>
          <w:rFonts w:hint="eastAsia" w:ascii="宋体" w:hAnsi="宋体" w:eastAsia="宋体" w:cs="宋体"/>
          <w:color w:val="auto"/>
          <w:highlight w:val="none"/>
          <w:lang w:eastAsia="zh-CN"/>
        </w:rPr>
        <w:t>民法典</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等相关法律</w:t>
      </w:r>
      <w:r>
        <w:rPr>
          <w:rFonts w:hint="eastAsia" w:ascii="宋体" w:hAnsi="宋体" w:eastAsia="宋体" w:cs="宋体"/>
          <w:color w:val="auto"/>
          <w:sz w:val="21"/>
          <w:szCs w:val="21"/>
          <w:highlight w:val="none"/>
        </w:rPr>
        <w:t>，在平等自愿的基础上，按照下面的条款和条件，签署本合同。</w:t>
      </w:r>
    </w:p>
    <w:p w14:paraId="04C4C4EA">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第一条 合同项目</w:t>
      </w:r>
    </w:p>
    <w:p w14:paraId="73EFB6D2">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1、项目名称：                        ；</w:t>
      </w:r>
    </w:p>
    <w:p w14:paraId="1BA2722A">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招标项目编号</w:t>
      </w:r>
      <w:r>
        <w:rPr>
          <w:rFonts w:hint="eastAsia" w:ascii="宋体" w:hAnsi="宋体" w:eastAsia="宋体" w:cs="宋体"/>
          <w:color w:val="auto"/>
          <w:sz w:val="21"/>
          <w:szCs w:val="21"/>
          <w:highlight w:val="none"/>
        </w:rPr>
        <w:t>：                   。</w:t>
      </w:r>
    </w:p>
    <w:p w14:paraId="560D1424">
      <w:pPr>
        <w:keepNext w:val="0"/>
        <w:keepLines w:val="0"/>
        <w:pageBreakBefore w:val="0"/>
        <w:widowControl/>
        <w:shd w:val="clear"/>
        <w:kinsoku w:val="0"/>
        <w:wordWrap w:val="0"/>
        <w:overflowPunct/>
        <w:topLinePunct w:val="0"/>
        <w:autoSpaceDE/>
        <w:autoSpaceDN/>
        <w:bidi w:val="0"/>
        <w:adjustRightInd w:val="0"/>
        <w:snapToGrid w:val="0"/>
        <w:spacing w:after="0" w:line="44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第二条 合同组成</w:t>
      </w:r>
    </w:p>
    <w:p w14:paraId="6945158D">
      <w:pPr>
        <w:keepNext w:val="0"/>
        <w:keepLines w:val="0"/>
        <w:pageBreakBefore w:val="0"/>
        <w:widowControl/>
        <w:shd w:val="clear"/>
        <w:kinsoku w:val="0"/>
        <w:wordWrap w:val="0"/>
        <w:overflowPunct/>
        <w:topLinePunct w:val="0"/>
        <w:autoSpaceDE/>
        <w:autoSpaceDN/>
        <w:bidi w:val="0"/>
        <w:adjustRightInd w:val="0"/>
        <w:snapToGrid w:val="0"/>
        <w:spacing w:after="0" w:line="44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1、合同文件组成内容包括：本合同书 、招标文件（含招标文件澄清通知）</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中标通知书、投标</w:t>
      </w:r>
      <w:r>
        <w:rPr>
          <w:rFonts w:hint="eastAsia" w:ascii="宋体" w:hAnsi="宋体" w:eastAsia="宋体" w:cs="宋体"/>
          <w:color w:val="auto"/>
          <w:sz w:val="21"/>
          <w:szCs w:val="21"/>
          <w:highlight w:val="none"/>
        </w:rPr>
        <w:t>文件</w:t>
      </w:r>
      <w:r>
        <w:rPr>
          <w:rFonts w:hint="eastAsia" w:ascii="宋体" w:hAnsi="宋体" w:eastAsia="宋体" w:cs="宋体"/>
          <w:color w:val="auto"/>
          <w:highlight w:val="none"/>
        </w:rPr>
        <w:t>（含澄清内容）等。</w:t>
      </w:r>
    </w:p>
    <w:p w14:paraId="513BACCB">
      <w:pPr>
        <w:keepNext w:val="0"/>
        <w:keepLines w:val="0"/>
        <w:pageBreakBefore w:val="0"/>
        <w:widowControl/>
        <w:shd w:val="clear"/>
        <w:kinsoku w:val="0"/>
        <w:wordWrap w:val="0"/>
        <w:overflowPunct/>
        <w:topLinePunct w:val="0"/>
        <w:autoSpaceDE/>
        <w:autoSpaceDN/>
        <w:bidi w:val="0"/>
        <w:adjustRightInd w:val="0"/>
        <w:snapToGrid w:val="0"/>
        <w:spacing w:after="0" w:line="440" w:lineRule="exact"/>
        <w:ind w:firstLine="420" w:firstLineChars="200"/>
        <w:textAlignment w:val="auto"/>
        <w:rPr>
          <w:rFonts w:hint="default" w:ascii="宋体" w:hAnsi="宋体" w:eastAsia="宋体" w:cs="宋体"/>
          <w:color w:val="auto"/>
          <w:highlight w:val="none"/>
          <w:lang w:val="en-US" w:eastAsia="zh-CN"/>
        </w:rPr>
      </w:pPr>
      <w:bookmarkStart w:id="139" w:name="_Toc86481558"/>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当合同文件内容出现含糊不清或不相一致时，应在不影响业务正常进行的情况下，由甲方和</w:t>
      </w:r>
      <w:r>
        <w:rPr>
          <w:rFonts w:hint="eastAsia" w:ascii="宋体" w:hAnsi="宋体" w:eastAsia="宋体" w:cs="宋体"/>
          <w:color w:val="auto"/>
          <w:sz w:val="21"/>
          <w:szCs w:val="21"/>
          <w:highlight w:val="none"/>
        </w:rPr>
        <w:t>乙方</w:t>
      </w:r>
      <w:r>
        <w:rPr>
          <w:rFonts w:hint="eastAsia" w:ascii="宋体" w:hAnsi="宋体" w:eastAsia="宋体" w:cs="宋体"/>
          <w:color w:val="auto"/>
          <w:highlight w:val="none"/>
        </w:rPr>
        <w:t>协商解决。</w:t>
      </w:r>
      <w:r>
        <w:rPr>
          <w:rFonts w:hint="eastAsia" w:ascii="宋体" w:hAnsi="宋体" w:eastAsia="宋体" w:cs="宋体"/>
          <w:color w:val="auto"/>
          <w:sz w:val="21"/>
          <w:szCs w:val="21"/>
          <w:highlight w:val="none"/>
        </w:rPr>
        <w:t>双方</w:t>
      </w:r>
      <w:r>
        <w:rPr>
          <w:rFonts w:hint="eastAsia" w:ascii="宋体" w:hAnsi="宋体" w:eastAsia="宋体" w:cs="宋体"/>
          <w:color w:val="auto"/>
          <w:highlight w:val="none"/>
        </w:rPr>
        <w:t>协商不成时，按本合同第</w:t>
      </w:r>
      <w:r>
        <w:rPr>
          <w:rFonts w:hint="eastAsia" w:ascii="宋体" w:hAnsi="宋体" w:eastAsia="宋体" w:cs="宋体"/>
          <w:color w:val="auto"/>
          <w:highlight w:val="none"/>
          <w:lang w:eastAsia="zh-CN"/>
        </w:rPr>
        <w:t>九</w:t>
      </w:r>
      <w:r>
        <w:rPr>
          <w:rFonts w:hint="eastAsia" w:ascii="宋体" w:hAnsi="宋体" w:eastAsia="宋体" w:cs="宋体"/>
          <w:color w:val="auto"/>
          <w:highlight w:val="none"/>
        </w:rPr>
        <w:t>条关于争议的约定处理。</w:t>
      </w:r>
    </w:p>
    <w:p w14:paraId="438C874B">
      <w:pPr>
        <w:keepNext w:val="0"/>
        <w:keepLines w:val="0"/>
        <w:pageBreakBefore w:val="0"/>
        <w:widowControl/>
        <w:shd w:val="clear"/>
        <w:kinsoku w:val="0"/>
        <w:wordWrap w:val="0"/>
        <w:overflowPunct/>
        <w:topLinePunct w:val="0"/>
        <w:autoSpaceDE/>
        <w:autoSpaceDN/>
        <w:bidi w:val="0"/>
        <w:adjustRightInd w:val="0"/>
        <w:snapToGrid w:val="0"/>
        <w:spacing w:after="0" w:line="440" w:lineRule="exact"/>
        <w:textAlignment w:val="auto"/>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rPr>
        <w:t>第三条 服务内容、标准及要求</w:t>
      </w:r>
      <w:r>
        <w:rPr>
          <w:rFonts w:hint="eastAsia" w:ascii="宋体" w:hAnsi="宋体" w:cs="宋体"/>
          <w:b/>
          <w:color w:val="auto"/>
          <w:sz w:val="21"/>
          <w:szCs w:val="21"/>
          <w:highlight w:val="none"/>
          <w:lang w:eastAsia="zh-CN"/>
        </w:rPr>
        <w:t>：</w:t>
      </w:r>
      <w:r>
        <w:rPr>
          <w:rFonts w:hint="eastAsia" w:ascii="宋体" w:hAnsi="宋体" w:eastAsia="宋体" w:cs="宋体"/>
          <w:color w:val="auto"/>
          <w:sz w:val="22"/>
          <w:szCs w:val="22"/>
          <w:highlight w:val="none"/>
        </w:rPr>
        <w:t>（按</w:t>
      </w:r>
      <w:r>
        <w:rPr>
          <w:rFonts w:hint="eastAsia" w:ascii="宋体" w:hAnsi="宋体" w:eastAsia="宋体" w:cs="宋体"/>
          <w:color w:val="auto"/>
          <w:sz w:val="22"/>
          <w:szCs w:val="22"/>
          <w:highlight w:val="none"/>
          <w:lang w:val="en-US" w:eastAsia="zh-CN"/>
        </w:rPr>
        <w:t>用户需求书</w:t>
      </w:r>
      <w:r>
        <w:rPr>
          <w:rFonts w:hint="eastAsia" w:ascii="宋体" w:hAnsi="宋体" w:eastAsia="宋体" w:cs="宋体"/>
          <w:color w:val="auto"/>
          <w:sz w:val="22"/>
          <w:szCs w:val="22"/>
          <w:highlight w:val="none"/>
        </w:rPr>
        <w:t>要求</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详见附件</w:t>
      </w:r>
      <w:r>
        <w:rPr>
          <w:rFonts w:hint="eastAsia" w:ascii="宋体" w:hAnsi="宋体" w:eastAsia="宋体" w:cs="宋体"/>
          <w:color w:val="auto"/>
          <w:sz w:val="22"/>
          <w:szCs w:val="22"/>
          <w:highlight w:val="none"/>
        </w:rPr>
        <w:t>）</w:t>
      </w:r>
    </w:p>
    <w:p w14:paraId="12D68704">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第四条 价格</w:t>
      </w:r>
    </w:p>
    <w:p w14:paraId="556C186C">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rPr>
        <w:t>1、合同</w:t>
      </w:r>
      <w:r>
        <w:rPr>
          <w:rFonts w:hint="eastAsia" w:ascii="宋体" w:hAnsi="宋体" w:eastAsia="宋体" w:cs="宋体"/>
          <w:color w:val="auto"/>
          <w:highlight w:val="none"/>
        </w:rPr>
        <w:t>总价</w:t>
      </w:r>
      <w:r>
        <w:rPr>
          <w:rFonts w:hint="eastAsia" w:ascii="宋体" w:hAnsi="宋体" w:eastAsia="宋体" w:cs="宋体"/>
          <w:color w:val="auto"/>
          <w:sz w:val="21"/>
          <w:szCs w:val="21"/>
          <w:highlight w:val="none"/>
          <w:shd w:val="clear" w:color="auto" w:fill="FFFFFF"/>
        </w:rPr>
        <w:t>包含：购货成本、包装配送运输、保险、装卸、退换、雇员费用、质保期售后服务、全额含税发票、合同实施过程中的应预见和不可预见费用等，食堂食材配送的每天供货种类和供货量由采购人指定，按实际送货种类和</w:t>
      </w:r>
      <w:r>
        <w:rPr>
          <w:rFonts w:hint="eastAsia" w:ascii="宋体" w:hAnsi="宋体" w:cs="宋体"/>
          <w:color w:val="auto"/>
          <w:sz w:val="21"/>
          <w:szCs w:val="21"/>
          <w:highlight w:val="none"/>
          <w:shd w:val="clear" w:color="auto" w:fill="FFFFFF"/>
          <w:lang w:val="en-US" w:eastAsia="zh-CN"/>
        </w:rPr>
        <w:t>验收合格</w:t>
      </w:r>
      <w:r>
        <w:rPr>
          <w:rFonts w:hint="eastAsia" w:ascii="宋体" w:hAnsi="宋体" w:eastAsia="宋体" w:cs="宋体"/>
          <w:color w:val="auto"/>
          <w:sz w:val="21"/>
          <w:szCs w:val="21"/>
          <w:highlight w:val="none"/>
          <w:shd w:val="clear" w:color="auto" w:fill="FFFFFF"/>
        </w:rPr>
        <w:t>数量据实结算</w:t>
      </w:r>
      <w:r>
        <w:rPr>
          <w:rFonts w:hint="eastAsia" w:ascii="宋体" w:hAnsi="宋体" w:eastAsia="宋体" w:cs="宋体"/>
          <w:color w:val="auto"/>
          <w:sz w:val="21"/>
          <w:szCs w:val="21"/>
          <w:highlight w:val="none"/>
          <w:shd w:val="clear" w:color="auto" w:fill="FFFFFF"/>
          <w:lang w:eastAsia="zh-CN"/>
        </w:rPr>
        <w:t>。</w:t>
      </w:r>
    </w:p>
    <w:p w14:paraId="34BA847C">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shd w:val="clear" w:color="auto" w:fill="FFFFFF"/>
          <w:lang w:eastAsia="zh-CN"/>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val="en-US" w:eastAsia="zh-CN"/>
        </w:rPr>
        <w:t>中标不含税下浮率</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shd w:val="clear" w:color="auto" w:fill="FFFFFF"/>
          <w:lang w:eastAsia="zh-CN"/>
        </w:rPr>
        <w:t>。</w:t>
      </w:r>
    </w:p>
    <w:p w14:paraId="76C4D50D">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default" w:ascii="宋体" w:hAnsi="宋体" w:cs="宋体"/>
          <w:color w:val="auto"/>
          <w:sz w:val="21"/>
          <w:szCs w:val="21"/>
          <w:highlight w:val="none"/>
          <w:shd w:val="clear" w:color="auto" w:fill="FFFFFF"/>
          <w:lang w:val="en-US" w:eastAsia="zh-CN"/>
        </w:rPr>
      </w:pPr>
      <w:r>
        <w:rPr>
          <w:rFonts w:hint="eastAsia" w:ascii="宋体" w:hAnsi="宋体" w:cs="宋体"/>
          <w:color w:val="auto"/>
          <w:sz w:val="21"/>
          <w:szCs w:val="21"/>
          <w:highlight w:val="none"/>
          <w:shd w:val="clear" w:color="auto" w:fill="FFFFFF"/>
          <w:lang w:val="en-US" w:eastAsia="zh-CN"/>
        </w:rPr>
        <w:t>3、</w:t>
      </w:r>
      <w:r>
        <w:rPr>
          <w:rFonts w:hint="eastAsia" w:ascii="宋体" w:hAnsi="宋体" w:cs="宋体"/>
          <w:color w:val="auto"/>
          <w:szCs w:val="21"/>
          <w:highlight w:val="none"/>
          <w:shd w:val="clear" w:color="auto" w:fill="FFFFFF"/>
        </w:rPr>
        <w:t>本合同约定增值税税率：为</w:t>
      </w:r>
      <w:r>
        <w:rPr>
          <w:rFonts w:hint="eastAsia" w:ascii="宋体" w:hAnsi="宋体" w:cs="宋体"/>
          <w:color w:val="auto"/>
          <w:szCs w:val="21"/>
          <w:highlight w:val="none"/>
          <w:shd w:val="clear" w:color="auto" w:fill="FFFFFF"/>
          <w:lang w:val="en-US" w:eastAsia="zh-CN"/>
        </w:rPr>
        <w:t xml:space="preserve">  </w:t>
      </w:r>
      <w:r>
        <w:rPr>
          <w:rFonts w:hint="eastAsia" w:ascii="宋体" w:hAnsi="宋体" w:cs="宋体"/>
          <w:color w:val="auto"/>
          <w:szCs w:val="21"/>
          <w:highlight w:val="none"/>
          <w:shd w:val="clear" w:color="auto" w:fill="FFFFFF"/>
        </w:rPr>
        <w:t xml:space="preserve"> %（即乙方在中标时申报并承诺可开具的增值税专用发票税率）。此税率在合同期内固定，除非国家税收法律强制调整。</w:t>
      </w:r>
    </w:p>
    <w:p w14:paraId="623EC868">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default" w:ascii="宋体" w:hAnsi="宋体" w:eastAsia="宋体" w:cs="宋体"/>
          <w:color w:val="auto"/>
          <w:sz w:val="21"/>
          <w:szCs w:val="21"/>
          <w:highlight w:val="none"/>
          <w:shd w:val="clear" w:color="auto" w:fill="FFFFFF"/>
          <w:lang w:val="en-US" w:eastAsia="zh-CN"/>
        </w:rPr>
      </w:pPr>
      <w:r>
        <w:rPr>
          <w:rFonts w:hint="eastAsia" w:ascii="宋体" w:hAnsi="宋体" w:cs="宋体"/>
          <w:color w:val="auto"/>
          <w:sz w:val="21"/>
          <w:szCs w:val="21"/>
          <w:highlight w:val="none"/>
          <w:shd w:val="clear" w:color="auto" w:fill="FFFFFF"/>
          <w:lang w:val="en-US" w:eastAsia="zh-CN"/>
        </w:rPr>
        <w:t>4、合同总价：  元</w:t>
      </w:r>
    </w:p>
    <w:p w14:paraId="5C2BA74D">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第五条 服务期限及地点</w:t>
      </w:r>
    </w:p>
    <w:p w14:paraId="6C5F8FC0">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1、服务期：</w:t>
      </w:r>
      <w:r>
        <w:rPr>
          <w:rFonts w:hint="eastAsia" w:ascii="宋体" w:hAnsi="宋体" w:cs="宋体"/>
          <w:color w:val="auto"/>
          <w:sz w:val="21"/>
          <w:szCs w:val="21"/>
          <w:highlight w:val="none"/>
          <w:lang w:val="en-US" w:eastAsia="zh-CN"/>
        </w:rPr>
        <w:t>24</w:t>
      </w:r>
      <w:r>
        <w:rPr>
          <w:rFonts w:hint="eastAsia" w:ascii="宋体" w:hAnsi="宋体" w:eastAsia="宋体" w:cs="宋体"/>
          <w:color w:val="auto"/>
          <w:sz w:val="21"/>
          <w:szCs w:val="21"/>
          <w:highlight w:val="none"/>
          <w:lang w:val="en-US" w:eastAsia="zh-CN"/>
        </w:rPr>
        <w:t>个月，</w:t>
      </w:r>
      <w:r>
        <w:rPr>
          <w:rFonts w:hint="eastAsia" w:ascii="宋体" w:hAnsi="宋体" w:cs="宋体"/>
          <w:color w:val="auto"/>
          <w:sz w:val="21"/>
          <w:szCs w:val="21"/>
          <w:highlight w:val="none"/>
          <w:lang w:val="en-US" w:eastAsia="zh-CN"/>
        </w:rPr>
        <w:t>即</w:t>
      </w:r>
      <w:r>
        <w:rPr>
          <w:rFonts w:hint="eastAsia" w:ascii="宋体" w:hAnsi="宋体" w:eastAsia="宋体" w:cs="宋体"/>
          <w:color w:val="auto"/>
          <w:sz w:val="21"/>
          <w:szCs w:val="21"/>
          <w:highlight w:val="none"/>
        </w:rPr>
        <w:t>自       年  月  日至     年  月  日止。本项目按实际发生量结算，若合同期内结算金额达到合同总额，则本项目合同终止。</w:t>
      </w:r>
    </w:p>
    <w:p w14:paraId="7C005F77">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2、服</w:t>
      </w:r>
      <w:r>
        <w:rPr>
          <w:rFonts w:hint="eastAsia" w:ascii="宋体" w:hAnsi="宋体" w:eastAsia="宋体" w:cs="宋体"/>
          <w:color w:val="auto"/>
          <w:highlight w:val="none"/>
        </w:rPr>
        <w:t>务地点：</w:t>
      </w:r>
      <w:r>
        <w:rPr>
          <w:rFonts w:hint="eastAsia" w:ascii="宋体" w:hAnsi="宋体" w:cs="宋体"/>
          <w:color w:val="auto"/>
          <w:highlight w:val="none"/>
          <w:lang w:val="en-US" w:eastAsia="zh-CN"/>
        </w:rPr>
        <w:t>甲方</w:t>
      </w:r>
      <w:r>
        <w:rPr>
          <w:rFonts w:hint="eastAsia" w:ascii="宋体" w:hAnsi="宋体" w:eastAsia="宋体" w:cs="宋体"/>
          <w:color w:val="auto"/>
          <w:highlight w:val="none"/>
        </w:rPr>
        <w:t>指定的送货地点分别为东莞市迎宾馆员工餐厅（地址：东莞市桃源路）；东实道滘数智园（地址：广东省东莞市道滘镇创意东路8号）；东实塘厦创智园（地址：广东省东莞市塘厦镇康庄路27号）。</w:t>
      </w:r>
    </w:p>
    <w:p w14:paraId="5120B7C6">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default"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rPr>
        <w:t>第六条 付款方式</w:t>
      </w:r>
      <w:r>
        <w:rPr>
          <w:rFonts w:hint="eastAsia" w:ascii="宋体" w:hAnsi="宋体" w:cs="宋体"/>
          <w:b/>
          <w:color w:val="auto"/>
          <w:sz w:val="21"/>
          <w:szCs w:val="21"/>
          <w:highlight w:val="none"/>
          <w:lang w:val="en-US" w:eastAsia="zh-CN"/>
        </w:rPr>
        <w:t>及供货价格要求</w:t>
      </w:r>
    </w:p>
    <w:p w14:paraId="4D2F2285">
      <w:pPr>
        <w:pStyle w:val="27"/>
        <w:keepNext w:val="0"/>
        <w:keepLines w:val="0"/>
        <w:pageBreakBefore w:val="0"/>
        <w:shd w:val="clear"/>
        <w:kinsoku w:val="0"/>
        <w:wordWrap w:val="0"/>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付款方式：</w:t>
      </w:r>
    </w:p>
    <w:p w14:paraId="22C97CDE">
      <w:pPr>
        <w:pStyle w:val="27"/>
        <w:keepNext w:val="0"/>
        <w:keepLines w:val="0"/>
        <w:pageBreakBefore w:val="0"/>
        <w:shd w:val="clear"/>
        <w:kinsoku w:val="0"/>
        <w:wordWrap w:val="0"/>
        <w:overflowPunct/>
        <w:topLinePunct w:val="0"/>
        <w:autoSpaceDE/>
        <w:autoSpaceDN/>
        <w:bidi w:val="0"/>
        <w:adjustRightInd w:val="0"/>
        <w:snapToGrid w:val="0"/>
        <w:spacing w:line="400" w:lineRule="exact"/>
        <w:ind w:firstLine="420" w:firstLineChars="200"/>
        <w:textAlignment w:val="auto"/>
        <w:rPr>
          <w:rFonts w:hint="eastAsia" w:ascii="宋体" w:hAnsi="宋体" w:cs="宋体"/>
          <w:color w:val="auto"/>
          <w:sz w:val="21"/>
          <w:szCs w:val="21"/>
          <w:highlight w:val="none"/>
        </w:rPr>
      </w:pPr>
      <w:r>
        <w:rPr>
          <w:rFonts w:hint="eastAsia" w:ascii="宋体" w:hAnsi="宋体" w:eastAsia="宋体" w:cs="宋体"/>
          <w:color w:val="auto"/>
          <w:sz w:val="21"/>
          <w:szCs w:val="21"/>
          <w:highlight w:val="none"/>
        </w:rPr>
        <w:t>1、本合同的付款方式为：采取“先送货后结款”的方式，货款按月进行核算，</w:t>
      </w:r>
      <w:r>
        <w:rPr>
          <w:rFonts w:hint="eastAsia" w:ascii="宋体" w:hAnsi="宋体" w:cs="宋体"/>
          <w:color w:val="auto"/>
          <w:sz w:val="21"/>
          <w:szCs w:val="21"/>
          <w:highlight w:val="none"/>
        </w:rPr>
        <w:t>不含税结算单价=当期有效的含税基准价÷(1+本合同约定增值税税率)×(1-中标不含税下浮率)；</w:t>
      </w:r>
    </w:p>
    <w:p w14:paraId="24D03571">
      <w:pPr>
        <w:pStyle w:val="27"/>
        <w:keepNext w:val="0"/>
        <w:keepLines w:val="0"/>
        <w:pageBreakBefore w:val="0"/>
        <w:shd w:val="clear"/>
        <w:kinsoku w:val="0"/>
        <w:wordWrap w:val="0"/>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rPr>
        <w:t>当月含税结算总价=不含税结算单价×(1+本合同约定增值税税率)×当月实际验收合格数量。</w:t>
      </w:r>
      <w:r>
        <w:rPr>
          <w:rFonts w:hint="eastAsia" w:ascii="宋体" w:hAnsi="宋体" w:eastAsia="宋体" w:cs="宋体"/>
          <w:color w:val="auto"/>
          <w:sz w:val="21"/>
          <w:szCs w:val="21"/>
          <w:highlight w:val="none"/>
        </w:rPr>
        <w:t xml:space="preserve"> </w:t>
      </w:r>
    </w:p>
    <w:p w14:paraId="7B927DF4">
      <w:pPr>
        <w:pStyle w:val="27"/>
        <w:keepNext w:val="0"/>
        <w:keepLines w:val="0"/>
        <w:pageBreakBefore w:val="0"/>
        <w:shd w:val="clear"/>
        <w:kinsoku w:val="0"/>
        <w:wordWrap w:val="0"/>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2、每月供货完成后，</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于次月10日前</w:t>
      </w:r>
      <w:r>
        <w:rPr>
          <w:rFonts w:hint="eastAsia" w:ascii="宋体" w:hAnsi="宋体" w:cs="宋体"/>
          <w:color w:val="auto"/>
          <w:sz w:val="21"/>
          <w:szCs w:val="21"/>
          <w:highlight w:val="none"/>
          <w:lang w:val="en-US" w:eastAsia="zh-CN"/>
        </w:rPr>
        <w:t>提供甲方系统《供应商对账单》（加盖公章）向甲方提出付款申请，</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rPr>
        <w:t>在收到付款申请及等额增值税专用发票并核对无误后支付款项。</w:t>
      </w:r>
    </w:p>
    <w:p w14:paraId="5FDABFAE">
      <w:pPr>
        <w:pStyle w:val="27"/>
        <w:keepNext w:val="0"/>
        <w:keepLines w:val="0"/>
        <w:pageBreakBefore w:val="0"/>
        <w:shd w:val="clear"/>
        <w:kinsoku w:val="0"/>
        <w:wordWrap w:val="0"/>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3、收款方、发票的销售方、合同乙方均必须与中标人名称一致。</w:t>
      </w:r>
    </w:p>
    <w:p w14:paraId="4A18CD3F">
      <w:pPr>
        <w:pStyle w:val="27"/>
        <w:keepNext w:val="0"/>
        <w:keepLines w:val="0"/>
        <w:pageBreakBefore w:val="0"/>
        <w:shd w:val="clear"/>
        <w:kinsoku w:val="0"/>
        <w:wordWrap w:val="0"/>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4、按照现行税收政策规定，每次付款前，</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必须提供合法有效、与本合同总价款条款中增值税税率一致的增值税</w:t>
      </w:r>
      <w:r>
        <w:rPr>
          <w:rFonts w:hint="eastAsia" w:ascii="宋体" w:hAnsi="宋体" w:cs="宋体"/>
          <w:color w:val="auto"/>
          <w:sz w:val="21"/>
          <w:szCs w:val="21"/>
          <w:highlight w:val="none"/>
          <w:lang w:val="en-US" w:eastAsia="zh-CN"/>
        </w:rPr>
        <w:t>专用</w:t>
      </w:r>
      <w:r>
        <w:rPr>
          <w:rFonts w:hint="eastAsia" w:ascii="宋体" w:hAnsi="宋体" w:eastAsia="宋体" w:cs="宋体"/>
          <w:color w:val="auto"/>
          <w:sz w:val="21"/>
          <w:szCs w:val="21"/>
          <w:highlight w:val="none"/>
        </w:rPr>
        <w:t>发票给</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rPr>
        <w:t>，否则</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rPr>
        <w:t>有权拒绝付款且不构成违约。</w:t>
      </w:r>
    </w:p>
    <w:p w14:paraId="6960BD52">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供货价格要求</w:t>
      </w:r>
      <w:r>
        <w:rPr>
          <w:rFonts w:hint="eastAsia" w:ascii="宋体" w:hAnsi="宋体" w:cs="宋体"/>
          <w:color w:val="auto"/>
          <w:sz w:val="21"/>
          <w:szCs w:val="21"/>
          <w:highlight w:val="none"/>
          <w:lang w:eastAsia="zh-CN"/>
        </w:rPr>
        <w:t>：</w:t>
      </w:r>
    </w:p>
    <w:p w14:paraId="57FAFEBA">
      <w:pPr>
        <w:keepNext w:val="0"/>
        <w:keepLines w:val="0"/>
        <w:pageBreakBefore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1、供货价格为</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指定目的地交货价。包含：购货成本、包装配送运输、保险、装卸、退换、雇员费用、</w:t>
      </w:r>
      <w:r>
        <w:rPr>
          <w:rFonts w:hint="eastAsia" w:ascii="宋体" w:hAnsi="宋体" w:eastAsia="宋体" w:cs="宋体"/>
          <w:color w:val="auto"/>
          <w:sz w:val="21"/>
          <w:szCs w:val="21"/>
          <w:highlight w:val="none"/>
        </w:rPr>
        <w:t>损耗费、样品费、包装费</w:t>
      </w:r>
      <w:r>
        <w:rPr>
          <w:rFonts w:hint="eastAsia" w:ascii="宋体" w:hAnsi="宋体" w:cs="宋体"/>
          <w:color w:val="auto"/>
          <w:szCs w:val="21"/>
          <w:highlight w:val="none"/>
        </w:rPr>
        <w:t>、检验检测费</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质保期售后服务、全额含税发票、合同实施过程中的应预见和不可预见费用等。在项目的实施过程中，</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lang w:val="en-US" w:eastAsia="zh-CN"/>
        </w:rPr>
        <w:t>必须充分考虑在本项目实施期间的一切可能产生的风险和相关费用，</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将拒绝支付合同约定配送费之外的任何费用和补偿。</w:t>
      </w:r>
    </w:p>
    <w:p w14:paraId="0FC04A9F">
      <w:pPr>
        <w:keepNext w:val="0"/>
        <w:keepLines w:val="0"/>
        <w:pageBreakBefore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中标后，完善价格调整机制。每月前5个工作日，双方进行本月含税基准价确定。所有品类按深圳市中农数据有限公司（https://www.znttcp.com/#/index）（天天采配平台）上月公布的每日价格（含费参考价）取平均值（平均值精确到分，即小数点后两位）确定该品类的含税基准价；若（天天采配）上无</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所需的货品，则</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将进行市场价抽样调查(则含税基准价=市场平均价=市场抽样价格之和÷价格样本数)，原则上价格样本数为3个，但市调时提供该商品的供应商不足3家除外。粮油干调类的市场价抽样调查，可选择大型综合超市或在东莞市细村市场、信立农批市场、宏远批发市场等市场进行市场价抽样调查，核定相同货品的市场平均价格。肉菜类的市场价抽样调查，可选择大型综合超市或在东莞市细村市场、主山市场、罗沙市场等市场进行市场价抽样调查，核定相同货品的市场平均价格。啤酒饮料类可选择大型综合超市、宏远批发市场等市场进行市场价抽样调查，核定相同货品的市场平均价格。</w:t>
      </w:r>
    </w:p>
    <w:p w14:paraId="0C96F058">
      <w:pPr>
        <w:keepNext w:val="0"/>
        <w:keepLines w:val="0"/>
        <w:pageBreakBefore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临时需求货品不在核定的供货价格清单内的，</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lang w:val="en-US" w:eastAsia="zh-CN"/>
        </w:rPr>
        <w:t>必须按</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要求供货，供货价格由双方按上述定价原则确定供货价格。</w:t>
      </w:r>
    </w:p>
    <w:p w14:paraId="754DB827">
      <w:pPr>
        <w:keepNext w:val="0"/>
        <w:keepLines w:val="0"/>
        <w:pageBreakBefore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lang w:val="en-US" w:eastAsia="zh-CN"/>
        </w:rPr>
        <w:t>不得擅自变更货物品种及产地、包装、规格和重量等，严格按</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要求供应，否则</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有权拒收。对不易购买或暂时短缺的品种，经</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同意，可由</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通过其它途径采购或</w:t>
      </w:r>
      <w:r>
        <w:rPr>
          <w:rFonts w:hint="eastAsia" w:ascii="宋体" w:hAnsi="宋体" w:eastAsia="宋体" w:cs="宋体"/>
          <w:color w:val="auto"/>
          <w:sz w:val="21"/>
          <w:szCs w:val="21"/>
          <w:highlight w:val="none"/>
          <w:lang w:val="en-US" w:eastAsia="zh-CN"/>
        </w:rPr>
        <w:t>使用指定替代品替换，价格按上述规定的市场价抽样调查平均价确定。</w:t>
      </w:r>
    </w:p>
    <w:p w14:paraId="26630867">
      <w:pPr>
        <w:keepNext w:val="0"/>
        <w:keepLines w:val="0"/>
        <w:pageBreakBefore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根据自身的需求，有权终止某类中的某些商品的采购或变更某类商品的采购。</w:t>
      </w:r>
    </w:p>
    <w:p w14:paraId="3DC3D9EE">
      <w:pPr>
        <w:keepNext w:val="0"/>
        <w:keepLines w:val="0"/>
        <w:pageBreakBefore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lang w:val="en-US" w:eastAsia="zh-CN"/>
        </w:rPr>
        <w:t>按各品类规定时间报价给</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审核，</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审核同意后，3个工作日内双方签字确认后生效。若通过市场调查确定基准价的，则由</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按上述方式进行市场抽样调查并将调查价格报</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lang w:val="en-US" w:eastAsia="zh-CN"/>
        </w:rPr>
        <w:t>确认。</w:t>
      </w:r>
    </w:p>
    <w:p w14:paraId="4218FEE8">
      <w:pPr>
        <w:keepNext w:val="0"/>
        <w:keepLines w:val="0"/>
        <w:pageBreakBefore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核定价格后若供货时期市场出现商品价格升降在20%或以上时，双方均可以书面形式提出价格调整请求(未提出调整请求的部分则以原核定价格执行),双方通过市场调查核实后，上述定价原则确定的价格(双方确认生效后开始以新的价格执行，在此之前的仍以原核定价格执行),并在3个工作日内给予函复，若在此期限内不予函复则以新定价格执行，除此之外，双方约定的供货物资价格在有效期内任何一方不得随意更改。</w:t>
      </w:r>
    </w:p>
    <w:p w14:paraId="74228935">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8、乙方必须为所甲方开通深圳市中农数据有限公司（天天采配平台）账号，具备价格查询功能，由此产生的本项目合同期内相关平台使用费用由乙方承担。</w:t>
      </w:r>
    </w:p>
    <w:p w14:paraId="5A486BF2">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color w:val="auto"/>
          <w:sz w:val="21"/>
          <w:szCs w:val="21"/>
          <w:highlight w:val="none"/>
        </w:rPr>
      </w:pPr>
      <w:r>
        <w:rPr>
          <w:rFonts w:hint="eastAsia" w:ascii="宋体" w:hAnsi="宋体" w:cs="宋体"/>
          <w:color w:val="auto"/>
          <w:sz w:val="21"/>
          <w:szCs w:val="21"/>
          <w:highlight w:val="none"/>
          <w:lang w:val="en-US" w:eastAsia="zh-CN"/>
        </w:rPr>
        <w:t>9、</w:t>
      </w:r>
      <w:r>
        <w:rPr>
          <w:rFonts w:hint="eastAsia" w:ascii="宋体" w:hAnsi="宋体" w:cs="宋体"/>
          <w:color w:val="auto"/>
          <w:sz w:val="21"/>
          <w:szCs w:val="21"/>
          <w:highlight w:val="none"/>
        </w:rPr>
        <w:t>履约担保金额为：合同金额的5%</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即（  元）</w:t>
      </w:r>
      <w:r>
        <w:rPr>
          <w:rFonts w:hint="eastAsia" w:ascii="宋体" w:hAnsi="宋体" w:cs="宋体"/>
          <w:color w:val="auto"/>
          <w:sz w:val="21"/>
          <w:szCs w:val="21"/>
          <w:highlight w:val="none"/>
        </w:rPr>
        <w:t>。</w:t>
      </w:r>
    </w:p>
    <w:p w14:paraId="7E1AC304">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9.1</w:t>
      </w:r>
      <w:r>
        <w:rPr>
          <w:rFonts w:hint="eastAsia"/>
          <w:color w:val="auto"/>
          <w:sz w:val="21"/>
          <w:szCs w:val="21"/>
          <w:highlight w:val="none"/>
        </w:rPr>
        <w:t>.履约保证金账户信息：</w:t>
      </w:r>
    </w:p>
    <w:p w14:paraId="659D6392">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lang w:val="en-US" w:eastAsia="zh-CN"/>
        </w:rPr>
      </w:pPr>
      <w:r>
        <w:rPr>
          <w:rFonts w:hint="eastAsia"/>
          <w:color w:val="auto"/>
          <w:sz w:val="21"/>
          <w:szCs w:val="21"/>
          <w:highlight w:val="none"/>
          <w:lang w:val="en-US" w:eastAsia="zh-CN"/>
        </w:rPr>
        <w:t>账户：</w:t>
      </w:r>
    </w:p>
    <w:p w14:paraId="613647B1">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lang w:val="en-US" w:eastAsia="zh-CN"/>
        </w:rPr>
      </w:pPr>
      <w:r>
        <w:rPr>
          <w:rFonts w:hint="eastAsia"/>
          <w:color w:val="auto"/>
          <w:sz w:val="21"/>
          <w:szCs w:val="21"/>
          <w:highlight w:val="none"/>
          <w:lang w:val="en-US" w:eastAsia="zh-CN"/>
        </w:rPr>
        <w:t>账号：</w:t>
      </w:r>
    </w:p>
    <w:p w14:paraId="722B6855">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default"/>
          <w:color w:val="auto"/>
          <w:sz w:val="21"/>
          <w:szCs w:val="21"/>
          <w:highlight w:val="none"/>
          <w:lang w:val="en-US" w:eastAsia="zh-CN"/>
        </w:rPr>
      </w:pPr>
      <w:r>
        <w:rPr>
          <w:rFonts w:hint="eastAsia"/>
          <w:color w:val="auto"/>
          <w:sz w:val="21"/>
          <w:szCs w:val="21"/>
          <w:highlight w:val="none"/>
          <w:lang w:val="en-US" w:eastAsia="zh-CN"/>
        </w:rPr>
        <w:t>开户行：</w:t>
      </w:r>
    </w:p>
    <w:p w14:paraId="36EC1D2B">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9.2乙方</w:t>
      </w:r>
      <w:r>
        <w:rPr>
          <w:rFonts w:hint="eastAsia"/>
          <w:color w:val="auto"/>
          <w:sz w:val="21"/>
          <w:szCs w:val="21"/>
          <w:highlight w:val="none"/>
        </w:rPr>
        <w:t>在合同签署时提交履约担保，履约担保金额为中标合同金额的5%，如果</w:t>
      </w:r>
      <w:r>
        <w:rPr>
          <w:rFonts w:hint="eastAsia"/>
          <w:color w:val="auto"/>
          <w:sz w:val="21"/>
          <w:szCs w:val="21"/>
          <w:highlight w:val="none"/>
          <w:lang w:val="en-US" w:eastAsia="zh-CN"/>
        </w:rPr>
        <w:t>乙方</w:t>
      </w:r>
      <w:r>
        <w:rPr>
          <w:rFonts w:hint="eastAsia"/>
          <w:color w:val="auto"/>
          <w:sz w:val="21"/>
          <w:szCs w:val="21"/>
          <w:highlight w:val="none"/>
        </w:rPr>
        <w:t>提交的履约保函的有效期先于合同要求的履约保函有效期到达，</w:t>
      </w:r>
      <w:r>
        <w:rPr>
          <w:rFonts w:hint="eastAsia"/>
          <w:color w:val="auto"/>
          <w:sz w:val="21"/>
          <w:szCs w:val="21"/>
          <w:highlight w:val="none"/>
          <w:lang w:val="en-US" w:eastAsia="zh-CN"/>
        </w:rPr>
        <w:t>乙方</w:t>
      </w:r>
      <w:r>
        <w:rPr>
          <w:rFonts w:hint="eastAsia"/>
          <w:color w:val="auto"/>
          <w:sz w:val="21"/>
          <w:szCs w:val="21"/>
          <w:highlight w:val="none"/>
        </w:rPr>
        <w:t>应在原提交的履约保函有效期满前15天，无条件办理保函延期手续。否则，视为</w:t>
      </w:r>
      <w:r>
        <w:rPr>
          <w:rFonts w:hint="eastAsia"/>
          <w:color w:val="auto"/>
          <w:sz w:val="21"/>
          <w:szCs w:val="21"/>
          <w:highlight w:val="none"/>
          <w:lang w:val="en-US" w:eastAsia="zh-CN"/>
        </w:rPr>
        <w:t>乙方</w:t>
      </w:r>
      <w:r>
        <w:rPr>
          <w:rFonts w:hint="eastAsia"/>
          <w:color w:val="auto"/>
          <w:sz w:val="21"/>
          <w:szCs w:val="21"/>
          <w:highlight w:val="none"/>
        </w:rPr>
        <w:t>违约，</w:t>
      </w:r>
      <w:r>
        <w:rPr>
          <w:rFonts w:hint="eastAsia"/>
          <w:color w:val="auto"/>
          <w:sz w:val="21"/>
          <w:szCs w:val="21"/>
          <w:highlight w:val="none"/>
          <w:lang w:val="en-US" w:eastAsia="zh-CN"/>
        </w:rPr>
        <w:t>甲方</w:t>
      </w:r>
      <w:r>
        <w:rPr>
          <w:rFonts w:hint="eastAsia"/>
          <w:color w:val="auto"/>
          <w:sz w:val="21"/>
          <w:szCs w:val="21"/>
          <w:highlight w:val="none"/>
        </w:rPr>
        <w:t>可在保函到期前将保函金额转为现金存入履约保证金账户。</w:t>
      </w:r>
    </w:p>
    <w:p w14:paraId="6D9D7731">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9.3</w:t>
      </w:r>
      <w:r>
        <w:rPr>
          <w:rFonts w:hint="eastAsia"/>
          <w:color w:val="auto"/>
          <w:sz w:val="21"/>
          <w:szCs w:val="21"/>
          <w:highlight w:val="none"/>
        </w:rPr>
        <w:t>履约担保期限从合同签订之日起至项目服务期结束验收合格并结算完毕后，经双方签字7天内保持有效。</w:t>
      </w:r>
    </w:p>
    <w:p w14:paraId="10C932FA">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9.4</w:t>
      </w:r>
      <w:r>
        <w:rPr>
          <w:rFonts w:hint="eastAsia"/>
          <w:color w:val="auto"/>
          <w:sz w:val="21"/>
          <w:szCs w:val="21"/>
          <w:highlight w:val="none"/>
        </w:rPr>
        <w:t>为取得履约担保所需的费用，由</w:t>
      </w:r>
      <w:r>
        <w:rPr>
          <w:rFonts w:hint="eastAsia"/>
          <w:color w:val="auto"/>
          <w:sz w:val="21"/>
          <w:szCs w:val="21"/>
          <w:highlight w:val="none"/>
          <w:lang w:val="en-US" w:eastAsia="zh-CN"/>
        </w:rPr>
        <w:t>乙方</w:t>
      </w:r>
      <w:r>
        <w:rPr>
          <w:rFonts w:hint="eastAsia"/>
          <w:color w:val="auto"/>
          <w:sz w:val="21"/>
          <w:szCs w:val="21"/>
          <w:highlight w:val="none"/>
        </w:rPr>
        <w:t>承担；若服务期延长，履约担保时间延长，延长费用由</w:t>
      </w:r>
      <w:r>
        <w:rPr>
          <w:rFonts w:hint="eastAsia"/>
          <w:color w:val="auto"/>
          <w:sz w:val="21"/>
          <w:szCs w:val="21"/>
          <w:highlight w:val="none"/>
          <w:lang w:val="en-US" w:eastAsia="zh-CN"/>
        </w:rPr>
        <w:t>乙方</w:t>
      </w:r>
      <w:r>
        <w:rPr>
          <w:rFonts w:hint="eastAsia"/>
          <w:color w:val="auto"/>
          <w:sz w:val="21"/>
          <w:szCs w:val="21"/>
          <w:highlight w:val="none"/>
        </w:rPr>
        <w:t>承担。</w:t>
      </w:r>
    </w:p>
    <w:p w14:paraId="19DBB93E">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9.5</w:t>
      </w:r>
      <w:r>
        <w:rPr>
          <w:rFonts w:hint="eastAsia"/>
          <w:color w:val="auto"/>
          <w:sz w:val="21"/>
          <w:szCs w:val="21"/>
          <w:highlight w:val="none"/>
        </w:rPr>
        <w:t>若</w:t>
      </w:r>
      <w:r>
        <w:rPr>
          <w:rFonts w:hint="eastAsia"/>
          <w:color w:val="auto"/>
          <w:sz w:val="21"/>
          <w:szCs w:val="21"/>
          <w:highlight w:val="none"/>
          <w:lang w:val="en-US" w:eastAsia="zh-CN"/>
        </w:rPr>
        <w:t>乙方</w:t>
      </w:r>
      <w:r>
        <w:rPr>
          <w:rFonts w:hint="eastAsia"/>
          <w:color w:val="auto"/>
          <w:sz w:val="21"/>
          <w:szCs w:val="21"/>
          <w:highlight w:val="none"/>
        </w:rPr>
        <w:t>在合同履行过程中出现食品安全事件、违约等情况，</w:t>
      </w:r>
      <w:r>
        <w:rPr>
          <w:rFonts w:hint="eastAsia"/>
          <w:color w:val="auto"/>
          <w:sz w:val="21"/>
          <w:szCs w:val="21"/>
          <w:highlight w:val="none"/>
          <w:lang w:val="en-US" w:eastAsia="zh-CN"/>
        </w:rPr>
        <w:t>甲方</w:t>
      </w:r>
      <w:r>
        <w:rPr>
          <w:rFonts w:hint="eastAsia"/>
          <w:color w:val="auto"/>
          <w:sz w:val="21"/>
          <w:szCs w:val="21"/>
          <w:highlight w:val="none"/>
        </w:rPr>
        <w:t>在经核查属实后，有权将履约保函金额转为现金存入履约保证金账户；</w:t>
      </w:r>
      <w:r>
        <w:rPr>
          <w:rFonts w:hint="eastAsia"/>
          <w:color w:val="auto"/>
          <w:sz w:val="21"/>
          <w:szCs w:val="21"/>
          <w:highlight w:val="none"/>
          <w:lang w:val="en-US" w:eastAsia="zh-CN"/>
        </w:rPr>
        <w:t>乙方</w:t>
      </w:r>
      <w:r>
        <w:rPr>
          <w:rFonts w:hint="eastAsia"/>
          <w:color w:val="auto"/>
          <w:sz w:val="21"/>
          <w:szCs w:val="21"/>
          <w:highlight w:val="none"/>
        </w:rPr>
        <w:t>造成</w:t>
      </w:r>
      <w:r>
        <w:rPr>
          <w:rFonts w:hint="eastAsia"/>
          <w:color w:val="auto"/>
          <w:sz w:val="21"/>
          <w:szCs w:val="21"/>
          <w:highlight w:val="none"/>
          <w:lang w:val="en-US" w:eastAsia="zh-CN"/>
        </w:rPr>
        <w:t>甲方</w:t>
      </w:r>
      <w:r>
        <w:rPr>
          <w:rFonts w:hint="eastAsia"/>
          <w:color w:val="auto"/>
          <w:sz w:val="21"/>
          <w:szCs w:val="21"/>
          <w:highlight w:val="none"/>
        </w:rPr>
        <w:t>损失的，</w:t>
      </w:r>
      <w:r>
        <w:rPr>
          <w:rFonts w:hint="eastAsia"/>
          <w:color w:val="auto"/>
          <w:sz w:val="21"/>
          <w:szCs w:val="21"/>
          <w:highlight w:val="none"/>
          <w:lang w:val="en-US" w:eastAsia="zh-CN"/>
        </w:rPr>
        <w:t>甲方</w:t>
      </w:r>
      <w:r>
        <w:rPr>
          <w:rFonts w:hint="eastAsia"/>
          <w:color w:val="auto"/>
          <w:sz w:val="21"/>
          <w:szCs w:val="21"/>
          <w:highlight w:val="none"/>
        </w:rPr>
        <w:t>有权立即没收其履约担保，若造成损失超过履约担保的，还应当对超过部分予以赔偿。</w:t>
      </w:r>
    </w:p>
    <w:p w14:paraId="622D0013">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9.6</w:t>
      </w:r>
      <w:r>
        <w:rPr>
          <w:rFonts w:hint="eastAsia"/>
          <w:color w:val="auto"/>
          <w:sz w:val="21"/>
          <w:szCs w:val="21"/>
          <w:highlight w:val="none"/>
        </w:rPr>
        <w:t>下列任何情况发生时，</w:t>
      </w:r>
      <w:r>
        <w:rPr>
          <w:rFonts w:hint="eastAsia"/>
          <w:color w:val="auto"/>
          <w:sz w:val="21"/>
          <w:szCs w:val="21"/>
          <w:highlight w:val="none"/>
          <w:lang w:val="en-US" w:eastAsia="zh-CN"/>
        </w:rPr>
        <w:t>甲方</w:t>
      </w:r>
      <w:r>
        <w:rPr>
          <w:rFonts w:hint="eastAsia"/>
          <w:color w:val="auto"/>
          <w:sz w:val="21"/>
          <w:szCs w:val="21"/>
          <w:highlight w:val="none"/>
        </w:rPr>
        <w:t>有权行使享有的担保权利：</w:t>
      </w:r>
    </w:p>
    <w:p w14:paraId="5B9D25FE">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rPr>
        <w:t>（1）</w:t>
      </w:r>
      <w:r>
        <w:rPr>
          <w:rFonts w:hint="eastAsia"/>
          <w:color w:val="auto"/>
          <w:sz w:val="21"/>
          <w:szCs w:val="21"/>
          <w:highlight w:val="none"/>
          <w:lang w:val="en-US" w:eastAsia="zh-CN"/>
        </w:rPr>
        <w:t>乙方</w:t>
      </w:r>
      <w:r>
        <w:rPr>
          <w:rFonts w:hint="eastAsia"/>
          <w:color w:val="auto"/>
          <w:sz w:val="21"/>
          <w:szCs w:val="21"/>
          <w:highlight w:val="none"/>
        </w:rPr>
        <w:t>将本项目转让给他人，或者在投标文件中未说明，且未经</w:t>
      </w:r>
      <w:r>
        <w:rPr>
          <w:rFonts w:hint="eastAsia"/>
          <w:color w:val="auto"/>
          <w:sz w:val="21"/>
          <w:szCs w:val="21"/>
          <w:highlight w:val="none"/>
          <w:lang w:val="en-US" w:eastAsia="zh-CN"/>
        </w:rPr>
        <w:t>甲方</w:t>
      </w:r>
      <w:r>
        <w:rPr>
          <w:rFonts w:hint="eastAsia"/>
          <w:color w:val="auto"/>
          <w:sz w:val="21"/>
          <w:szCs w:val="21"/>
          <w:highlight w:val="none"/>
        </w:rPr>
        <w:t>同意，将中标项目分包给他人的；</w:t>
      </w:r>
    </w:p>
    <w:p w14:paraId="4687E08D">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rPr>
        <w:t>（2）</w:t>
      </w:r>
      <w:r>
        <w:rPr>
          <w:rFonts w:hint="eastAsia"/>
          <w:color w:val="auto"/>
          <w:sz w:val="21"/>
          <w:szCs w:val="21"/>
          <w:highlight w:val="none"/>
          <w:lang w:val="en-US" w:eastAsia="zh-CN"/>
        </w:rPr>
        <w:t>乙方</w:t>
      </w:r>
      <w:r>
        <w:rPr>
          <w:rFonts w:hint="eastAsia"/>
          <w:color w:val="auto"/>
          <w:sz w:val="21"/>
          <w:szCs w:val="21"/>
          <w:highlight w:val="none"/>
        </w:rPr>
        <w:t>在履行合同期间，违反有关法律法规的规定或合同约定。</w:t>
      </w:r>
    </w:p>
    <w:p w14:paraId="3CEE6277">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lang w:val="en-US" w:eastAsia="zh-CN"/>
        </w:rPr>
      </w:pPr>
      <w:r>
        <w:rPr>
          <w:rFonts w:hint="eastAsia"/>
          <w:color w:val="auto"/>
          <w:sz w:val="21"/>
          <w:szCs w:val="21"/>
          <w:highlight w:val="none"/>
          <w:lang w:val="en-US" w:eastAsia="zh-CN"/>
        </w:rPr>
        <w:t>9.7</w:t>
      </w:r>
      <w:r>
        <w:rPr>
          <w:rFonts w:hint="eastAsia"/>
          <w:color w:val="auto"/>
          <w:sz w:val="21"/>
          <w:szCs w:val="21"/>
          <w:highlight w:val="none"/>
        </w:rPr>
        <w:t>无论因何种原因导致履约担保被甲方扣收，乙方均应在收到甲方书面通知后5个工作日内，向甲方重新足额提交符合本合同要求的履约担保。若乙方未按时补足，</w:t>
      </w:r>
      <w:r>
        <w:rPr>
          <w:rFonts w:hint="eastAsia"/>
          <w:color w:val="auto"/>
          <w:sz w:val="21"/>
          <w:szCs w:val="21"/>
          <w:highlight w:val="none"/>
          <w:lang w:val="en-US" w:eastAsia="zh-CN"/>
        </w:rPr>
        <w:t>甲方有权在未付款项中扣收差额部分</w:t>
      </w:r>
      <w:r>
        <w:rPr>
          <w:rFonts w:hint="eastAsia"/>
          <w:color w:val="auto"/>
          <w:sz w:val="21"/>
          <w:szCs w:val="21"/>
          <w:highlight w:val="none"/>
        </w:rPr>
        <w:t>。</w:t>
      </w:r>
    </w:p>
    <w:p w14:paraId="73771514">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default" w:ascii="宋体" w:hAnsi="宋体" w:cs="宋体"/>
          <w:color w:val="auto"/>
          <w:sz w:val="21"/>
          <w:szCs w:val="21"/>
          <w:highlight w:val="none"/>
          <w:lang w:val="en-US" w:eastAsia="zh-CN"/>
        </w:rPr>
      </w:pPr>
      <w:r>
        <w:rPr>
          <w:rFonts w:hint="eastAsia"/>
          <w:color w:val="auto"/>
          <w:sz w:val="21"/>
          <w:szCs w:val="21"/>
          <w:highlight w:val="none"/>
          <w:lang w:val="en-US" w:eastAsia="zh-CN"/>
        </w:rPr>
        <w:t>9.8</w:t>
      </w:r>
      <w:r>
        <w:rPr>
          <w:rFonts w:hint="eastAsia"/>
          <w:color w:val="auto"/>
          <w:sz w:val="21"/>
          <w:szCs w:val="21"/>
          <w:highlight w:val="none"/>
        </w:rPr>
        <w:t>在整个项目服务期结束后，</w:t>
      </w:r>
      <w:r>
        <w:rPr>
          <w:rFonts w:hint="eastAsia"/>
          <w:color w:val="auto"/>
          <w:sz w:val="21"/>
          <w:szCs w:val="21"/>
          <w:highlight w:val="none"/>
          <w:lang w:val="en-US" w:eastAsia="zh-CN"/>
        </w:rPr>
        <w:t>乙方</w:t>
      </w:r>
      <w:r>
        <w:rPr>
          <w:rFonts w:hint="eastAsia"/>
          <w:color w:val="auto"/>
          <w:sz w:val="21"/>
          <w:szCs w:val="21"/>
          <w:highlight w:val="none"/>
        </w:rPr>
        <w:t>向</w:t>
      </w:r>
      <w:r>
        <w:rPr>
          <w:rFonts w:hint="eastAsia"/>
          <w:color w:val="auto"/>
          <w:sz w:val="21"/>
          <w:szCs w:val="21"/>
          <w:highlight w:val="none"/>
          <w:lang w:val="en-US" w:eastAsia="zh-CN"/>
        </w:rPr>
        <w:t>甲方</w:t>
      </w:r>
      <w:r>
        <w:rPr>
          <w:rFonts w:hint="eastAsia"/>
          <w:color w:val="auto"/>
          <w:sz w:val="21"/>
          <w:szCs w:val="21"/>
          <w:highlight w:val="none"/>
        </w:rPr>
        <w:t>提交退回履约担保的申请，</w:t>
      </w:r>
      <w:r>
        <w:rPr>
          <w:rFonts w:hint="eastAsia"/>
          <w:color w:val="auto"/>
          <w:sz w:val="21"/>
          <w:szCs w:val="21"/>
          <w:highlight w:val="none"/>
          <w:lang w:val="en-US" w:eastAsia="zh-CN"/>
        </w:rPr>
        <w:t>甲方</w:t>
      </w:r>
      <w:r>
        <w:rPr>
          <w:rFonts w:hint="eastAsia"/>
          <w:color w:val="auto"/>
          <w:sz w:val="21"/>
          <w:szCs w:val="21"/>
          <w:highlight w:val="none"/>
        </w:rPr>
        <w:t>办理履约担保退还手续。</w:t>
      </w:r>
    </w:p>
    <w:p w14:paraId="127B2366">
      <w:pPr>
        <w:pStyle w:val="27"/>
        <w:keepNext w:val="0"/>
        <w:keepLines w:val="0"/>
        <w:pageBreakBefore w:val="0"/>
        <w:shd w:val="clear"/>
        <w:kinsoku w:val="0"/>
        <w:wordWrap w:val="0"/>
        <w:overflowPunct/>
        <w:topLinePunct w:val="0"/>
        <w:autoSpaceDE/>
        <w:autoSpaceDN/>
        <w:bidi w:val="0"/>
        <w:adjustRightInd w:val="0"/>
        <w:snapToGrid w:val="0"/>
        <w:spacing w:after="0" w:line="400" w:lineRule="exact"/>
        <w:ind w:firstLine="422" w:firstLineChars="200"/>
        <w:textAlignment w:val="auto"/>
        <w:rPr>
          <w:rFonts w:hint="eastAsia" w:ascii="宋体" w:hAnsi="宋体" w:cs="宋体"/>
          <w:color w:val="auto"/>
          <w:sz w:val="21"/>
          <w:szCs w:val="21"/>
          <w:highlight w:val="none"/>
          <w:lang w:val="en-US" w:eastAsia="zh-CN"/>
        </w:rPr>
      </w:pPr>
      <w:r>
        <w:rPr>
          <w:rFonts w:hint="eastAsia" w:ascii="宋体" w:hAnsi="宋体" w:eastAsia="宋体" w:cs="宋体"/>
          <w:b/>
          <w:color w:val="auto"/>
          <w:sz w:val="21"/>
          <w:szCs w:val="21"/>
          <w:highlight w:val="none"/>
        </w:rPr>
        <w:t>第七条  其它约定</w:t>
      </w:r>
      <w:r>
        <w:rPr>
          <w:rFonts w:hint="eastAsia" w:ascii="宋体" w:hAnsi="宋体" w:cs="宋体"/>
          <w:b/>
          <w:color w:val="auto"/>
          <w:sz w:val="21"/>
          <w:szCs w:val="21"/>
          <w:highlight w:val="none"/>
          <w:lang w:val="en-US" w:eastAsia="zh-CN"/>
        </w:rPr>
        <w:t>及验收标准</w:t>
      </w:r>
    </w:p>
    <w:p w14:paraId="79B0E181">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1.项目验收依次序对照执行标准：</w:t>
      </w:r>
    </w:p>
    <w:p w14:paraId="67E981B3">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1.1符合中华人民共和国国家和履约地相关安全质量标准、行业技术规范标准；</w:t>
      </w:r>
    </w:p>
    <w:p w14:paraId="2E0486EF">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1.2符合招标文件和响应承诺中各方共同认可的各项要求；</w:t>
      </w:r>
    </w:p>
    <w:p w14:paraId="4562B8BC">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1.3符合货物来源国官方颁布标准。</w:t>
      </w:r>
    </w:p>
    <w:p w14:paraId="3FD4A6F1">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1.4上述各类标准与法规必须是有关官方机构最新发布的现行标准版本。 </w:t>
      </w:r>
    </w:p>
    <w:p w14:paraId="27D40647">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2.做好卸货前的检查：</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和</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双方的验收人员卸货前应对场地和验收设备做好准备，并对商品的外观质量进行初步了解。如发现食品有损坏情况等，应在相关单据上记录损坏情况，建议对损坏情况进行拍照存档。保证斤两的准确性，经</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的验货数量为准，</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每次随货送上一式两份的送货单，</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验货后签订确认，</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双方各持一份，作为收货、结算的凭证。</w:t>
      </w:r>
    </w:p>
    <w:p w14:paraId="7FB3B918">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食品运输采用符合国家标准的外包装和运输工具：保持清洁和定期消毒，车厢内无不良气味、异味。冷藏、冷冻食品采用专用冷藏、冷冻载具运输，在运输过程中保持安全的冷藏、冷冻温度，冷冻食品没有曾经解冻痕迹或软化现象，包装呈干爽状态。食品应清洁，无损伤、腐烂现象，外包装完整，无寄生虫或已受虫害现象。</w:t>
      </w:r>
    </w:p>
    <w:p w14:paraId="651715DE">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4.采取现场验收的方式：验收人员应认真检查物资的质量，按索票—验证—抽查—过磅—入库的程序完成验收，</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可提供原件的留原件，原件只有一份而无法提供给</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的查验原件后索取复印件留存。</w:t>
      </w:r>
    </w:p>
    <w:p w14:paraId="6302D843">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5.每批次每种货物均抽查验收。</w:t>
      </w:r>
    </w:p>
    <w:p w14:paraId="5F5F7BFB">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6.按项目需求的描述要求对货物质量进行抽查。</w:t>
      </w:r>
    </w:p>
    <w:p w14:paraId="5ECEEABB">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7.抽查发现食品安全质量问题的处理：</w:t>
      </w:r>
    </w:p>
    <w:p w14:paraId="4B5B09CA">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7.1对危及人身安全的食品质量问题采取零容忍措施，一经发现，当日所送同批次产品全部退货，如水产品中发现河豚鱼，发现腐败变质肉类等；</w:t>
      </w:r>
    </w:p>
    <w:p w14:paraId="3CDFC988">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rPr>
        <w:t>7.2若抽查未发现问题，而在加工食用前发现部分产品质量问题，应立即通知单位伙食物资验收小组及</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，将问题产品退货处理</w:t>
      </w:r>
      <w:r>
        <w:rPr>
          <w:rFonts w:hint="eastAsia" w:ascii="宋体" w:hAnsi="宋体" w:cs="宋体"/>
          <w:color w:val="auto"/>
          <w:sz w:val="21"/>
          <w:szCs w:val="21"/>
          <w:highlight w:val="none"/>
          <w:lang w:val="en-US" w:eastAsia="zh-CN"/>
        </w:rPr>
        <w:t>；</w:t>
      </w:r>
    </w:p>
    <w:p w14:paraId="345A7528">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7.3</w:t>
      </w:r>
      <w:r>
        <w:rPr>
          <w:rFonts w:hint="eastAsia" w:ascii="宋体" w:hAnsi="宋体" w:cs="宋体"/>
          <w:color w:val="auto"/>
          <w:szCs w:val="21"/>
          <w:highlight w:val="none"/>
        </w:rPr>
        <w:t>如有任何货品未能达标，乙方保证当天内，全数更换，并承担所有有关费用。如遇紧急情况，乙方应配合</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及时退换货，如果未及时退换，致使</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自行采购或者找其他供应商送货，由此产生的差价由乙方承担，如果因此影响酒店运营，造成的经济损失由乙方承担。</w:t>
      </w:r>
    </w:p>
    <w:p w14:paraId="7ADC293F">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8.抽查发现资质证照不全问题的处理：</w:t>
      </w:r>
    </w:p>
    <w:p w14:paraId="249BD5B9">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8.1整批产品无政府部门出具的动植物检疫合格证明的全部退货；</w:t>
      </w:r>
    </w:p>
    <w:p w14:paraId="4353DE9B">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8.2抽查发现部分产品无政府部门出具的动植物检疫合格证明，将无动植物检疫合格证明的货物退货；再加抽15%，两次抽查数50%以上没有动植物检疫合格证明的，全部退货；</w:t>
      </w:r>
    </w:p>
    <w:p w14:paraId="3D5A1584">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8.3整批产品有省地市出具的动植物检疫合格证明，随箱产品合格证不齐全的，将无产品合格证明的货物退货；再加抽15%，两次抽查数50%以上没有产品合格证的，全部退货。</w:t>
      </w:r>
    </w:p>
    <w:p w14:paraId="773A71C3">
      <w:pPr>
        <w:keepNext w:val="0"/>
        <w:keepLines w:val="0"/>
        <w:pageBreakBefore w:val="0"/>
        <w:widowControl/>
        <w:shd w:val="clear"/>
        <w:kinsoku w:val="0"/>
        <w:wordWrap w:val="0"/>
        <w:overflowPunct/>
        <w:topLinePunct w:val="0"/>
        <w:autoSpaceDE/>
        <w:autoSpaceDN/>
        <w:bidi w:val="0"/>
        <w:adjustRightInd w:val="0"/>
        <w:snapToGrid w:val="0"/>
        <w:spacing w:after="0"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9.货物的质量问题争议及解决办法：因货物的质量问题发生争议，由东莞市市场监督管理局或国家法定的质量鉴定相关单位进行质量鉴定。货物符合质量标准的，鉴定费由</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承担；货物不符合质量标准的，鉴定费由</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承担，并且</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有权追究</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的相关责任。</w:t>
      </w:r>
    </w:p>
    <w:p w14:paraId="458F53D4">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10.其他约定：</w:t>
      </w:r>
    </w:p>
    <w:p w14:paraId="2F6C4552">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10.1</w:t>
      </w:r>
      <w:r>
        <w:rPr>
          <w:rFonts w:hint="eastAsia" w:ascii="宋体" w:hAnsi="宋体" w:eastAsia="宋体" w:cs="宋体"/>
          <w:color w:val="auto"/>
          <w:sz w:val="21"/>
          <w:szCs w:val="21"/>
          <w:highlight w:val="none"/>
        </w:rPr>
        <w:t>严禁转包，未经甲方书面同意不得分包。</w:t>
      </w:r>
    </w:p>
    <w:p w14:paraId="4ECD2ED2">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10.2</w:t>
      </w:r>
      <w:r>
        <w:rPr>
          <w:rFonts w:hint="eastAsia" w:ascii="宋体" w:hAnsi="宋体" w:eastAsia="宋体" w:cs="宋体"/>
          <w:color w:val="auto"/>
          <w:sz w:val="21"/>
          <w:szCs w:val="21"/>
          <w:highlight w:val="none"/>
        </w:rPr>
        <w:t>乙方全部工作人员，须符合东莞市政府用工标准要求。</w:t>
      </w:r>
    </w:p>
    <w:p w14:paraId="2AC92D0B">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10.3</w:t>
      </w:r>
      <w:r>
        <w:rPr>
          <w:rFonts w:hint="eastAsia" w:ascii="宋体" w:hAnsi="宋体" w:eastAsia="宋体" w:cs="宋体"/>
          <w:color w:val="auto"/>
          <w:sz w:val="21"/>
          <w:szCs w:val="21"/>
          <w:highlight w:val="none"/>
        </w:rPr>
        <w:t>乙方服务人员进行服务期间的过失或故意行为，造成甲方经济损失的，由乙方负责赔偿。</w:t>
      </w:r>
    </w:p>
    <w:p w14:paraId="12A12819">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10.4</w:t>
      </w:r>
      <w:r>
        <w:rPr>
          <w:rFonts w:hint="eastAsia" w:ascii="宋体" w:hAnsi="宋体" w:eastAsia="宋体" w:cs="宋体"/>
          <w:color w:val="auto"/>
          <w:sz w:val="21"/>
          <w:szCs w:val="21"/>
          <w:highlight w:val="none"/>
        </w:rPr>
        <w:t>服务人员的劳动关系隶属乙方，乙方负责服务人员的工资、节假日和超时加班补助费、社会保险、住宿、伙食等。</w:t>
      </w:r>
    </w:p>
    <w:p w14:paraId="45BAFD70">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10.5</w:t>
      </w:r>
      <w:r>
        <w:rPr>
          <w:rFonts w:hint="eastAsia" w:ascii="宋体" w:hAnsi="宋体" w:eastAsia="宋体" w:cs="宋体"/>
          <w:color w:val="auto"/>
          <w:sz w:val="21"/>
          <w:szCs w:val="21"/>
          <w:highlight w:val="none"/>
        </w:rPr>
        <w:t>乙方负责本项目服务人员购买因意外身故或伤残和因意外事故住院治疗保险，并负责办理一切保险赔偿手续。</w:t>
      </w:r>
    </w:p>
    <w:p w14:paraId="154911A8">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10.6乙方须购买</w:t>
      </w:r>
      <w:r>
        <w:rPr>
          <w:rFonts w:hint="eastAsia" w:ascii="宋体" w:hAnsi="宋体" w:cs="宋体"/>
          <w:color w:val="auto"/>
          <w:szCs w:val="21"/>
          <w:highlight w:val="none"/>
        </w:rPr>
        <w:t>食品安全责任险</w:t>
      </w:r>
      <w:r>
        <w:rPr>
          <w:rFonts w:hint="eastAsia" w:ascii="宋体" w:hAnsi="宋体" w:cs="宋体"/>
          <w:color w:val="auto"/>
          <w:sz w:val="21"/>
          <w:szCs w:val="21"/>
          <w:highlight w:val="none"/>
          <w:lang w:val="en-US" w:eastAsia="zh-CN"/>
        </w:rPr>
        <w:t>及商业综合责任险，并在成为甲方正式供应商后于相关采购合同或采购订单的履行期限内始终保持其有效性。</w:t>
      </w:r>
    </w:p>
    <w:p w14:paraId="2978C9AF">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第</w:t>
      </w:r>
      <w:r>
        <w:rPr>
          <w:rFonts w:hint="eastAsia" w:ascii="宋体" w:hAnsi="宋体" w:eastAsia="宋体" w:cs="宋体"/>
          <w:b/>
          <w:color w:val="auto"/>
          <w:sz w:val="21"/>
          <w:szCs w:val="21"/>
          <w:highlight w:val="none"/>
          <w:lang w:eastAsia="zh-CN"/>
        </w:rPr>
        <w:t>八</w:t>
      </w:r>
      <w:r>
        <w:rPr>
          <w:rFonts w:hint="eastAsia" w:ascii="宋体" w:hAnsi="宋体" w:eastAsia="宋体" w:cs="宋体"/>
          <w:b/>
          <w:color w:val="auto"/>
          <w:sz w:val="21"/>
          <w:szCs w:val="21"/>
          <w:highlight w:val="none"/>
        </w:rPr>
        <w:t>条 违约责任</w:t>
      </w:r>
    </w:p>
    <w:p w14:paraId="5AF76751">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1、合同双方任何一方不履行合同条款或不按合同约定履行条款的其它情况，均属违约，由违约方承担违约责任，</w:t>
      </w:r>
      <w:r>
        <w:rPr>
          <w:rFonts w:hint="eastAsia" w:ascii="宋体" w:hAnsi="宋体" w:cs="宋体"/>
          <w:color w:val="auto"/>
          <w:sz w:val="21"/>
          <w:szCs w:val="21"/>
          <w:highlight w:val="none"/>
          <w:lang w:val="en-US" w:eastAsia="zh-CN"/>
        </w:rPr>
        <w:t>除按约定支付违约金外，还需</w:t>
      </w:r>
      <w:r>
        <w:rPr>
          <w:rFonts w:hint="eastAsia" w:ascii="宋体" w:hAnsi="宋体" w:eastAsia="宋体" w:cs="宋体"/>
          <w:color w:val="auto"/>
          <w:sz w:val="21"/>
          <w:szCs w:val="21"/>
          <w:highlight w:val="none"/>
        </w:rPr>
        <w:t>赔偿因其违约造成的损失。该等损失包括但不限于直接经济损失（如采购差价、检验仓储等费用）、对第三方承担的违约责任、因食品安全问题引发的全部赔偿与费用、商誉损失，以及守约方为追究违约方责任所支付的全部合理费用</w:t>
      </w:r>
      <w:r>
        <w:rPr>
          <w:rFonts w:hint="eastAsia" w:ascii="宋体" w:hAnsi="宋体" w:cs="宋体"/>
          <w:color w:val="auto"/>
          <w:sz w:val="21"/>
          <w:szCs w:val="21"/>
          <w:highlight w:val="none"/>
          <w:lang w:val="en-US" w:eastAsia="zh-CN"/>
        </w:rPr>
        <w:t>等。</w:t>
      </w:r>
    </w:p>
    <w:p w14:paraId="1AB9F7ED">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2、由于乙方的原因，导致双方签订的合同终止，乙方因此而遭受的损失，将由乙方独立承担，甲方对此不负任何责任，也不作任何赔偿</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pacing w:val="1"/>
          <w:highlight w:val="none"/>
        </w:rPr>
        <w:t>且乙方应赔偿甲方由此造成的所有</w:t>
      </w:r>
      <w:r>
        <w:rPr>
          <w:rFonts w:hint="eastAsia" w:ascii="宋体" w:hAnsi="宋体" w:eastAsia="宋体" w:cs="宋体"/>
          <w:color w:val="auto"/>
          <w:spacing w:val="68"/>
          <w:highlight w:val="none"/>
          <w:lang w:val="en-US" w:eastAsia="zh-CN"/>
        </w:rPr>
        <w:t>损失</w:t>
      </w:r>
      <w:r>
        <w:rPr>
          <w:rFonts w:hint="eastAsia" w:ascii="宋体" w:hAnsi="宋体" w:eastAsia="宋体" w:cs="宋体"/>
          <w:color w:val="auto"/>
          <w:sz w:val="21"/>
          <w:szCs w:val="21"/>
          <w:highlight w:val="none"/>
        </w:rPr>
        <w:t>。</w:t>
      </w:r>
    </w:p>
    <w:p w14:paraId="2A745C72">
      <w:pPr>
        <w:keepNext w:val="0"/>
        <w:keepLines w:val="0"/>
        <w:pageBreakBefore w:val="0"/>
        <w:kinsoku w:val="0"/>
        <w:wordWrap w:val="0"/>
        <w:overflowPunct/>
        <w:topLinePunct w:val="0"/>
        <w:autoSpaceDE/>
        <w:autoSpaceDN/>
        <w:bidi w:val="0"/>
        <w:adjustRightInd w:val="0"/>
        <w:snapToGrid w:val="0"/>
        <w:spacing w:line="400" w:lineRule="exact"/>
        <w:ind w:firstLine="420" w:firstLineChars="200"/>
        <w:jc w:val="both"/>
        <w:textAlignment w:val="auto"/>
        <w:rPr>
          <w:rFonts w:hint="eastAsia" w:ascii="宋体" w:hAnsi="宋体" w:eastAsia="宋体" w:cs="宋体"/>
          <w:color w:val="auto"/>
          <w:spacing w:val="0"/>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Cs w:val="21"/>
          <w:highlight w:val="none"/>
        </w:rPr>
        <w:t>如未经甲方书面许可，乙方将本合同项下工作整体或主要部分转包及/或分包给第三方的，甲方有权单方解除本合同，且乙方还应按本合同总额的20%支付违约金，给甲方造成损失的，甲方有权向乙方</w:t>
      </w:r>
      <w:r>
        <w:rPr>
          <w:rFonts w:hint="eastAsia" w:ascii="宋体" w:hAnsi="宋体" w:eastAsia="宋体" w:cs="宋体"/>
          <w:color w:val="auto"/>
          <w:spacing w:val="0"/>
          <w:szCs w:val="21"/>
          <w:highlight w:val="none"/>
        </w:rPr>
        <w:t>主张赔偿全部损失</w:t>
      </w:r>
      <w:r>
        <w:rPr>
          <w:rFonts w:hint="eastAsia" w:ascii="宋体" w:hAnsi="宋体" w:eastAsia="宋体" w:cs="宋体"/>
          <w:color w:val="auto"/>
          <w:spacing w:val="0"/>
          <w:szCs w:val="21"/>
          <w:highlight w:val="none"/>
          <w:lang w:eastAsia="zh-CN"/>
        </w:rPr>
        <w:t>。</w:t>
      </w:r>
    </w:p>
    <w:p w14:paraId="042B901F">
      <w:pPr>
        <w:keepNext w:val="0"/>
        <w:keepLines w:val="0"/>
        <w:pageBreakBefore w:val="0"/>
        <w:kinsoku w:val="0"/>
        <w:wordWrap w:val="0"/>
        <w:overflowPunct/>
        <w:topLinePunct w:val="0"/>
        <w:autoSpaceDE/>
        <w:autoSpaceDN/>
        <w:bidi w:val="0"/>
        <w:adjustRightInd w:val="0"/>
        <w:snapToGrid w:val="0"/>
        <w:spacing w:line="400" w:lineRule="exact"/>
        <w:ind w:firstLine="420" w:firstLineChars="200"/>
        <w:jc w:val="both"/>
        <w:textAlignment w:val="auto"/>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lang w:val="en-US" w:eastAsia="zh-CN"/>
        </w:rPr>
        <w:t>4、</w:t>
      </w:r>
      <w:r>
        <w:rPr>
          <w:rFonts w:hint="eastAsia" w:ascii="宋体" w:hAnsi="宋体" w:eastAsia="宋体" w:cs="宋体"/>
          <w:color w:val="auto"/>
          <w:szCs w:val="21"/>
          <w:highlight w:val="none"/>
        </w:rPr>
        <w:t>乙方应保证提供的食材均符合国家及地方食品安全标准，无</w:t>
      </w:r>
      <w:r>
        <w:rPr>
          <w:rFonts w:hint="eastAsia" w:ascii="宋体" w:hAnsi="宋体" w:eastAsia="宋体" w:cs="宋体"/>
          <w:color w:val="auto"/>
          <w:spacing w:val="0"/>
          <w:szCs w:val="21"/>
          <w:highlight w:val="none"/>
        </w:rPr>
        <w:t>任何质量问题(包括但不限于食材的新鲜度、卫生状况、有效期、无有害</w:t>
      </w:r>
      <w:r>
        <w:rPr>
          <w:rFonts w:hint="eastAsia" w:ascii="宋体" w:hAnsi="宋体" w:eastAsia="宋体" w:cs="宋体"/>
          <w:color w:val="auto"/>
          <w:szCs w:val="21"/>
          <w:highlight w:val="none"/>
        </w:rPr>
        <w:t>物质残留等),若乙方提供的食材存在质量问题，乙方应承担相应的赔偿</w:t>
      </w:r>
      <w:r>
        <w:rPr>
          <w:rFonts w:hint="eastAsia" w:ascii="宋体" w:hAnsi="宋体" w:eastAsia="宋体" w:cs="宋体"/>
          <w:color w:val="auto"/>
          <w:spacing w:val="0"/>
          <w:szCs w:val="21"/>
          <w:highlight w:val="none"/>
        </w:rPr>
        <w:t>责任，包括但不限于退货、换货、赔偿直接经济</w:t>
      </w:r>
      <w:r>
        <w:rPr>
          <w:rFonts w:hint="eastAsia" w:ascii="宋体" w:hAnsi="宋体" w:eastAsia="宋体" w:cs="宋体"/>
          <w:color w:val="auto"/>
          <w:szCs w:val="21"/>
          <w:highlight w:val="none"/>
        </w:rPr>
        <w:t>损失及因质量问题引发的</w:t>
      </w:r>
      <w:r>
        <w:rPr>
          <w:rFonts w:hint="eastAsia" w:ascii="宋体" w:hAnsi="宋体" w:eastAsia="宋体" w:cs="宋体"/>
          <w:color w:val="auto"/>
          <w:spacing w:val="0"/>
          <w:szCs w:val="21"/>
          <w:highlight w:val="none"/>
        </w:rPr>
        <w:t>其他合理费用。</w:t>
      </w:r>
    </w:p>
    <w:p w14:paraId="5D4F6767">
      <w:pPr>
        <w:keepNext w:val="0"/>
        <w:keepLines w:val="0"/>
        <w:pageBreakBefore w:val="0"/>
        <w:kinsoku w:val="0"/>
        <w:wordWrap w:val="0"/>
        <w:overflowPunct/>
        <w:topLinePunct w:val="0"/>
        <w:autoSpaceDE/>
        <w:autoSpaceDN/>
        <w:bidi w:val="0"/>
        <w:adjustRightInd w:val="0"/>
        <w:snapToGrid w:val="0"/>
        <w:spacing w:line="400" w:lineRule="exact"/>
        <w:ind w:firstLine="420" w:firstLineChars="200"/>
        <w:jc w:val="both"/>
        <w:textAlignment w:val="auto"/>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5、</w:t>
      </w:r>
      <w:r>
        <w:rPr>
          <w:rFonts w:hint="eastAsia" w:ascii="宋体" w:hAnsi="宋体" w:eastAsia="宋体" w:cs="宋体"/>
          <w:color w:val="auto"/>
          <w:spacing w:val="0"/>
          <w:szCs w:val="21"/>
          <w:highlight w:val="none"/>
        </w:rPr>
        <w:t>甲方有权自应付而未付款项中直接抵扣乙方应付之违约金、赔偿款等</w:t>
      </w:r>
      <w:r>
        <w:rPr>
          <w:rFonts w:hint="eastAsia" w:ascii="宋体" w:hAnsi="宋体" w:eastAsia="宋体" w:cs="宋体"/>
          <w:color w:val="auto"/>
          <w:spacing w:val="0"/>
          <w:szCs w:val="21"/>
          <w:highlight w:val="none"/>
          <w:lang w:eastAsia="zh-CN"/>
        </w:rPr>
        <w:t>。</w:t>
      </w:r>
    </w:p>
    <w:bookmarkEnd w:id="139"/>
    <w:p w14:paraId="20881D72">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bookmarkStart w:id="140" w:name="_Toc86481570"/>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针对</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在服务过程中出现的违反采购文件或合同约定的行为，</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有权对</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收取违约金，违约金从未结配送费中扣除。情节严重的,</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有权单方终止合同,并依法追究</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 xml:space="preserve">法律责任。 </w:t>
      </w:r>
    </w:p>
    <w:p w14:paraId="1D6AEC37">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没有使用专用冷藏、冷冻载具运输配送的，</w:t>
      </w:r>
      <w:r>
        <w:rPr>
          <w:rFonts w:hint="eastAsia" w:ascii="宋体" w:hAnsi="宋体" w:cs="宋体"/>
          <w:color w:val="auto"/>
          <w:szCs w:val="21"/>
          <w:highlight w:val="none"/>
        </w:rPr>
        <w:t>按当批货物货值的5%收取违约金</w:t>
      </w:r>
      <w:r>
        <w:rPr>
          <w:rFonts w:hint="eastAsia" w:ascii="宋体" w:hAnsi="宋体" w:eastAsia="宋体" w:cs="宋体"/>
          <w:color w:val="auto"/>
          <w:sz w:val="21"/>
          <w:szCs w:val="21"/>
          <w:highlight w:val="none"/>
        </w:rPr>
        <w:t>，且</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有权拒收该批次所有货品。</w:t>
      </w:r>
    </w:p>
    <w:p w14:paraId="2ACAE080">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提供过期、变质货品的，问题产品同批次产品全部予以退货，按当批货物货值的5%收取违约金，违约金不足以弥补</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rPr>
        <w:t>损失的，</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还需补足。造成食品安全问题的，</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应依法承担责任，且</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rPr>
        <w:t>有权拒收该批次所有货品。</w:t>
      </w:r>
    </w:p>
    <w:p w14:paraId="528CF22B">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供货数量与</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订单偏差超过±10%但没有事先说明的，每次</w:t>
      </w:r>
      <w:r>
        <w:rPr>
          <w:rFonts w:hint="eastAsia" w:ascii="宋体" w:hAnsi="宋体" w:eastAsia="宋体" w:cs="宋体"/>
          <w:color w:val="auto"/>
          <w:sz w:val="21"/>
          <w:szCs w:val="21"/>
          <w:highlight w:val="none"/>
          <w:lang w:val="en-US" w:eastAsia="zh-CN"/>
        </w:rPr>
        <w:t>提交</w:t>
      </w:r>
      <w:r>
        <w:rPr>
          <w:rFonts w:hint="eastAsia" w:ascii="宋体" w:hAnsi="宋体" w:eastAsia="宋体" w:cs="宋体"/>
          <w:color w:val="auto"/>
          <w:sz w:val="21"/>
          <w:szCs w:val="21"/>
          <w:highlight w:val="none"/>
        </w:rPr>
        <w:t>违约金人民币</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 xml:space="preserve">00元。 </w:t>
      </w:r>
    </w:p>
    <w:p w14:paraId="48EB0C97">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接受了</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的采购订单，但不能按要求提供配送服务，导致</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供餐受影响的，每次</w:t>
      </w:r>
      <w:r>
        <w:rPr>
          <w:rFonts w:hint="eastAsia" w:ascii="宋体" w:hAnsi="宋体" w:cs="宋体"/>
          <w:color w:val="auto"/>
          <w:szCs w:val="21"/>
          <w:highlight w:val="none"/>
        </w:rPr>
        <w:t>按货值的3%处以违约金</w:t>
      </w:r>
      <w:r>
        <w:rPr>
          <w:rFonts w:hint="eastAsia" w:ascii="宋体" w:hAnsi="宋体" w:eastAsia="宋体" w:cs="宋体"/>
          <w:color w:val="auto"/>
          <w:sz w:val="21"/>
          <w:szCs w:val="21"/>
          <w:highlight w:val="none"/>
        </w:rPr>
        <w:t xml:space="preserve">。 </w:t>
      </w:r>
    </w:p>
    <w:p w14:paraId="207432E4">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已经定价的货品，</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称没货，但</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能通过常规途径在市场、超市等场所购买到所需数量的，每次</w:t>
      </w:r>
      <w:r>
        <w:rPr>
          <w:rFonts w:hint="eastAsia" w:ascii="宋体" w:hAnsi="宋体" w:cs="宋体"/>
          <w:color w:val="auto"/>
          <w:szCs w:val="21"/>
          <w:highlight w:val="none"/>
        </w:rPr>
        <w:t>按货值的3%处以违约金</w:t>
      </w:r>
      <w:r>
        <w:rPr>
          <w:rFonts w:hint="eastAsia" w:ascii="宋体" w:hAnsi="宋体" w:eastAsia="宋体" w:cs="宋体"/>
          <w:color w:val="auto"/>
          <w:sz w:val="21"/>
          <w:szCs w:val="21"/>
          <w:highlight w:val="none"/>
        </w:rPr>
        <w:t xml:space="preserve">。 </w:t>
      </w:r>
    </w:p>
    <w:p w14:paraId="2ADC47A7">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货品溯源制度不落实、进货查验记录不全的，每次</w:t>
      </w:r>
      <w:r>
        <w:rPr>
          <w:rFonts w:hint="eastAsia" w:ascii="宋体" w:hAnsi="宋体" w:cs="宋体"/>
          <w:color w:val="auto"/>
          <w:szCs w:val="21"/>
          <w:highlight w:val="none"/>
        </w:rPr>
        <w:t>按货值的3%处以违约金</w:t>
      </w:r>
      <w:r>
        <w:rPr>
          <w:rFonts w:hint="eastAsia" w:ascii="宋体" w:hAnsi="宋体" w:eastAsia="宋体" w:cs="宋体"/>
          <w:color w:val="auto"/>
          <w:sz w:val="21"/>
          <w:szCs w:val="21"/>
          <w:highlight w:val="none"/>
        </w:rPr>
        <w:t xml:space="preserve">。 </w:t>
      </w:r>
    </w:p>
    <w:p w14:paraId="7BB24E31">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上述违约行为单独累计发生已达3次的，再发生时每次</w:t>
      </w:r>
      <w:r>
        <w:rPr>
          <w:rFonts w:hint="eastAsia" w:ascii="宋体" w:hAnsi="宋体" w:eastAsia="宋体" w:cs="宋体"/>
          <w:color w:val="auto"/>
          <w:sz w:val="21"/>
          <w:szCs w:val="21"/>
          <w:highlight w:val="none"/>
          <w:lang w:val="en-US" w:eastAsia="zh-CN"/>
        </w:rPr>
        <w:t>提交</w:t>
      </w:r>
      <w:r>
        <w:rPr>
          <w:rFonts w:hint="eastAsia" w:ascii="宋体" w:hAnsi="宋体" w:eastAsia="宋体" w:cs="宋体"/>
          <w:color w:val="auto"/>
          <w:sz w:val="21"/>
          <w:szCs w:val="21"/>
          <w:highlight w:val="none"/>
        </w:rPr>
        <w:t>违约金人民币</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000元，且</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有权单方终止合同。</w:t>
      </w:r>
    </w:p>
    <w:p w14:paraId="427EDE85">
      <w:pPr>
        <w:keepNext w:val="0"/>
        <w:keepLines w:val="0"/>
        <w:pageBreakBefore w:val="0"/>
        <w:kinsoku w:val="0"/>
        <w:wordWrap w:val="0"/>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无故中途退出，</w:t>
      </w:r>
      <w:bookmarkStart w:id="141" w:name="OLE_LINK3"/>
      <w:r>
        <w:rPr>
          <w:rFonts w:hint="eastAsia" w:ascii="宋体" w:hAnsi="宋体" w:cs="宋体"/>
          <w:color w:val="auto"/>
          <w:sz w:val="21"/>
          <w:szCs w:val="21"/>
          <w:highlight w:val="none"/>
          <w:lang w:val="en-US" w:eastAsia="zh-CN"/>
        </w:rPr>
        <w:t>应向甲方支付合同总额10%的</w:t>
      </w:r>
      <w:bookmarkEnd w:id="141"/>
      <w:r>
        <w:rPr>
          <w:rFonts w:hint="eastAsia" w:ascii="宋体" w:hAnsi="宋体" w:eastAsia="宋体" w:cs="宋体"/>
          <w:color w:val="auto"/>
          <w:sz w:val="21"/>
          <w:szCs w:val="21"/>
          <w:highlight w:val="none"/>
        </w:rPr>
        <w:t>违约金。</w:t>
      </w:r>
    </w:p>
    <w:p w14:paraId="142F1FE9">
      <w:pPr>
        <w:keepNext w:val="0"/>
        <w:keepLines w:val="0"/>
        <w:pageBreakBefore w:val="0"/>
        <w:kinsoku w:val="0"/>
        <w:wordWrap w:val="0"/>
        <w:overflowPunct/>
        <w:topLinePunct w:val="0"/>
        <w:autoSpaceDE/>
        <w:autoSpaceDN/>
        <w:bidi w:val="0"/>
        <w:adjustRightInd w:val="0"/>
        <w:snapToGrid w:val="0"/>
        <w:spacing w:line="400" w:lineRule="exact"/>
        <w:ind w:firstLine="420" w:firstLineChars="20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9）本项目服务期间，乙方必须独立经营，不得以挂靠形式经营，不得存在违法分包、转包等情况，一经发现上述任意情况，甲方有权单方无条件终止合同，没收履约保证金，并将乙方纳入合作黑名单，期限为2年，时间以合同终止日起算，被列入黑名单的单位在规定期限内不得参与东实集团项目投标。</w:t>
      </w:r>
    </w:p>
    <w:p w14:paraId="7D5755A2">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 乙方在投标文件中或本合同项下作出的任何陈述、保证被证实为不真实、不准确或不完整，或其提供的关键资质、许可证明文件失效，且未能在甲方发出书面通知后15个工作日内重新提供有效的文件或令甲方满意的补救措施。在此情况下，乙方应向甲方支付相当于合同总金额10%的违约金。</w:t>
      </w:r>
    </w:p>
    <w:p w14:paraId="0990B667">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11</w:t>
      </w:r>
      <w:r>
        <w:rPr>
          <w:rFonts w:hint="eastAsia" w:ascii="宋体" w:hAnsi="宋体" w:cs="宋体"/>
          <w:color w:val="auto"/>
          <w:szCs w:val="21"/>
          <w:highlight w:val="none"/>
        </w:rPr>
        <w:t>） 乙方进入破产、清算、解散程序，或发生其他严重的经营或财务困难（包括但不限于主要资产被查封、冻结，或停止营业），导致甲方有合理理由认为其无法继续履行本合同主要义务</w:t>
      </w:r>
      <w:r>
        <w:rPr>
          <w:rFonts w:hint="eastAsia" w:ascii="宋体" w:hAnsi="宋体" w:cs="宋体"/>
          <w:color w:val="auto"/>
          <w:szCs w:val="21"/>
          <w:highlight w:val="none"/>
          <w:lang w:val="en-US" w:eastAsia="zh-CN"/>
        </w:rPr>
        <w:t>甲方有权解除合同</w:t>
      </w:r>
      <w:r>
        <w:rPr>
          <w:rFonts w:hint="eastAsia" w:ascii="宋体" w:hAnsi="宋体" w:cs="宋体"/>
          <w:color w:val="auto"/>
          <w:szCs w:val="21"/>
          <w:highlight w:val="none"/>
        </w:rPr>
        <w:t>，乙方应向甲方支付相当于合同总金额10%的违约金。</w:t>
      </w:r>
    </w:p>
    <w:p w14:paraId="106654D9">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 因乙方提供的产品、服务或其行为直接导致发生重大食品安全事故，或因乙方的违法违规经营行为受到市场监管、卫生健康等主管部门作出的责令停产停业、吊销许可证等行政处罚</w:t>
      </w:r>
      <w:r>
        <w:rPr>
          <w:rFonts w:hint="eastAsia" w:ascii="宋体" w:hAnsi="宋体" w:cs="宋体"/>
          <w:color w:val="auto"/>
          <w:szCs w:val="21"/>
          <w:highlight w:val="none"/>
          <w:lang w:val="en-US" w:eastAsia="zh-CN"/>
        </w:rPr>
        <w:t>，甲方有权解除合同</w:t>
      </w:r>
      <w:r>
        <w:rPr>
          <w:rFonts w:hint="eastAsia" w:ascii="宋体" w:hAnsi="宋体" w:cs="宋体"/>
          <w:color w:val="auto"/>
          <w:szCs w:val="21"/>
          <w:highlight w:val="none"/>
        </w:rPr>
        <w:t>，乙方应向甲方支付</w:t>
      </w:r>
      <w:r>
        <w:rPr>
          <w:rFonts w:hint="eastAsia" w:ascii="宋体" w:hAnsi="宋体" w:cs="宋体"/>
          <w:color w:val="auto"/>
          <w:szCs w:val="21"/>
          <w:highlight w:val="none"/>
          <w:lang w:val="en-US" w:eastAsia="zh-CN"/>
        </w:rPr>
        <w:t>合同总额10%</w:t>
      </w:r>
      <w:r>
        <w:rPr>
          <w:rFonts w:hint="eastAsia" w:ascii="宋体" w:hAnsi="宋体" w:cs="宋体"/>
          <w:color w:val="auto"/>
          <w:szCs w:val="21"/>
          <w:highlight w:val="none"/>
        </w:rPr>
        <w:t>的违约金</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并赔偿因此给甲方造成的一切损失</w:t>
      </w:r>
      <w:r>
        <w:rPr>
          <w:rFonts w:hint="eastAsia" w:ascii="宋体" w:hAnsi="宋体" w:cs="宋体"/>
          <w:color w:val="auto"/>
          <w:szCs w:val="21"/>
          <w:highlight w:val="none"/>
          <w:lang w:eastAsia="zh-CN"/>
        </w:rPr>
        <w:t>。</w:t>
      </w:r>
    </w:p>
    <w:p w14:paraId="3CDD0DB3">
      <w:pPr>
        <w:keepNext w:val="0"/>
        <w:keepLines w:val="0"/>
        <w:pageBreakBefore w:val="0"/>
        <w:kinsoku w:val="0"/>
        <w:wordWrap w:val="0"/>
        <w:overflowPunct/>
        <w:topLinePunct w:val="0"/>
        <w:autoSpaceDE/>
        <w:autoSpaceDN/>
        <w:bidi w:val="0"/>
        <w:adjustRightInd w:val="0"/>
        <w:snapToGrid w:val="0"/>
        <w:spacing w:line="400" w:lineRule="exact"/>
        <w:ind w:firstLine="420" w:firstLineChars="200"/>
        <w:textAlignment w:val="auto"/>
        <w:rPr>
          <w:rFonts w:hint="eastAsia" w:ascii="宋体" w:hAnsi="宋体" w:cs="宋体"/>
          <w:color w:val="auto"/>
          <w:sz w:val="21"/>
          <w:szCs w:val="21"/>
          <w:highlight w:val="none"/>
          <w:lang w:val="en-US" w:eastAsia="zh-CN"/>
        </w:rPr>
      </w:pPr>
    </w:p>
    <w:p w14:paraId="60A79EDF">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第</w:t>
      </w:r>
      <w:r>
        <w:rPr>
          <w:rFonts w:hint="eastAsia" w:ascii="宋体" w:hAnsi="宋体" w:eastAsia="宋体" w:cs="宋体"/>
          <w:b/>
          <w:color w:val="auto"/>
          <w:sz w:val="21"/>
          <w:szCs w:val="21"/>
          <w:highlight w:val="none"/>
          <w:lang w:eastAsia="zh-CN"/>
        </w:rPr>
        <w:t>九</w:t>
      </w:r>
      <w:r>
        <w:rPr>
          <w:rFonts w:hint="eastAsia" w:ascii="宋体" w:hAnsi="宋体" w:eastAsia="宋体" w:cs="宋体"/>
          <w:b/>
          <w:color w:val="auto"/>
          <w:sz w:val="21"/>
          <w:szCs w:val="21"/>
          <w:highlight w:val="none"/>
        </w:rPr>
        <w:t>条 争议的解决</w:t>
      </w:r>
    </w:p>
    <w:p w14:paraId="7B73D264">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1、凡与本合同有关而引起的一切争议，甲乙双方应首先通过友好协商解决，如经协商后仍不能达成协议时，任何一方可以向</w:t>
      </w:r>
      <w:r>
        <w:rPr>
          <w:rFonts w:hint="eastAsia" w:ascii="宋体" w:hAnsi="宋体" w:eastAsia="宋体" w:cs="宋体"/>
          <w:color w:val="auto"/>
          <w:spacing w:val="10"/>
          <w:highlight w:val="none"/>
        </w:rPr>
        <w:t>甲方所在地人民</w:t>
      </w:r>
      <w:r>
        <w:rPr>
          <w:rFonts w:hint="eastAsia" w:ascii="宋体" w:hAnsi="宋体" w:eastAsia="宋体" w:cs="宋体"/>
          <w:color w:val="auto"/>
          <w:sz w:val="21"/>
          <w:szCs w:val="21"/>
          <w:highlight w:val="none"/>
        </w:rPr>
        <w:t>法院提出诉讼。守约方为解决争议所支出的</w:t>
      </w:r>
      <w:r>
        <w:rPr>
          <w:rFonts w:hint="eastAsia" w:ascii="宋体" w:hAnsi="宋体" w:cs="宋体"/>
          <w:color w:val="auto"/>
          <w:sz w:val="21"/>
          <w:szCs w:val="21"/>
          <w:highlight w:val="none"/>
          <w:lang w:val="en-US" w:eastAsia="zh-CN"/>
        </w:rPr>
        <w:t>包括但不限于</w:t>
      </w:r>
      <w:r>
        <w:rPr>
          <w:rFonts w:hint="eastAsia" w:ascii="宋体" w:hAnsi="宋体" w:eastAsia="宋体" w:cs="宋体"/>
          <w:color w:val="auto"/>
          <w:sz w:val="21"/>
          <w:szCs w:val="21"/>
          <w:highlight w:val="none"/>
        </w:rPr>
        <w:t>诉讼费、保全费、保险费、律师费</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担保费、鉴定费、差旅费</w:t>
      </w:r>
      <w:r>
        <w:rPr>
          <w:rFonts w:hint="eastAsia" w:ascii="宋体" w:hAnsi="宋体" w:eastAsia="宋体" w:cs="宋体"/>
          <w:color w:val="auto"/>
          <w:sz w:val="21"/>
          <w:szCs w:val="21"/>
          <w:highlight w:val="none"/>
        </w:rPr>
        <w:t>等</w:t>
      </w:r>
      <w:r>
        <w:rPr>
          <w:rFonts w:hint="eastAsia" w:ascii="宋体" w:hAnsi="宋体" w:cs="宋体"/>
          <w:color w:val="auto"/>
          <w:sz w:val="21"/>
          <w:szCs w:val="21"/>
          <w:highlight w:val="none"/>
          <w:lang w:val="en-US" w:eastAsia="zh-CN"/>
        </w:rPr>
        <w:t>维权</w:t>
      </w:r>
      <w:r>
        <w:rPr>
          <w:rFonts w:hint="eastAsia" w:ascii="宋体" w:hAnsi="宋体" w:eastAsia="宋体" w:cs="宋体"/>
          <w:color w:val="auto"/>
          <w:sz w:val="21"/>
          <w:szCs w:val="21"/>
          <w:highlight w:val="none"/>
        </w:rPr>
        <w:t>费用由违约方承担。</w:t>
      </w:r>
    </w:p>
    <w:p w14:paraId="7D5D924F">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、在进行法院审理期间，除提交法院审理的事项外，合同其他部分仍继续履行。</w:t>
      </w:r>
    </w:p>
    <w:p w14:paraId="5E8B87AD">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、本合同按照中华人民共和国的法律进行解释</w:t>
      </w:r>
      <w:r>
        <w:rPr>
          <w:rFonts w:hint="eastAsia" w:ascii="宋体" w:hAnsi="宋体" w:eastAsia="宋体" w:cs="宋体"/>
          <w:color w:val="auto"/>
          <w:sz w:val="21"/>
          <w:szCs w:val="21"/>
          <w:highlight w:val="none"/>
          <w:shd w:val="clear" w:color="auto" w:fill="FFFFFF"/>
        </w:rPr>
        <w:t>。</w:t>
      </w:r>
    </w:p>
    <w:p w14:paraId="64DB8171">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eastAsia" w:ascii="宋体" w:hAnsi="宋体" w:eastAsia="宋体" w:cs="宋体"/>
          <w:b/>
          <w:color w:val="auto"/>
          <w:sz w:val="21"/>
          <w:szCs w:val="21"/>
          <w:highlight w:val="none"/>
        </w:rPr>
      </w:pPr>
      <w:bookmarkStart w:id="142" w:name="_Toc86481569"/>
      <w:r>
        <w:rPr>
          <w:rFonts w:hint="eastAsia" w:ascii="宋体" w:hAnsi="宋体" w:eastAsia="宋体" w:cs="宋体"/>
          <w:b/>
          <w:color w:val="auto"/>
          <w:sz w:val="21"/>
          <w:szCs w:val="21"/>
          <w:highlight w:val="none"/>
        </w:rPr>
        <w:t>第十条 合同生效</w:t>
      </w:r>
      <w:bookmarkEnd w:id="142"/>
    </w:p>
    <w:p w14:paraId="0CDE5001">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1、本合同由双方法定代表人或委托代理人签字盖章后立即生效，具有同等法律效力，合同有效期随服务期结束而自然终止。</w:t>
      </w:r>
    </w:p>
    <w:p w14:paraId="13240895">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2、本合同一式    份，其中甲方    份、乙方    份，</w:t>
      </w:r>
      <w:r>
        <w:rPr>
          <w:rFonts w:hint="eastAsia" w:ascii="宋体" w:hAnsi="宋体" w:eastAsia="宋体" w:cs="宋体"/>
          <w:color w:val="auto"/>
          <w:sz w:val="21"/>
          <w:szCs w:val="21"/>
          <w:highlight w:val="none"/>
          <w:lang w:eastAsia="zh-CN"/>
        </w:rPr>
        <w:t>招标代理机构</w:t>
      </w:r>
      <w:r>
        <w:rPr>
          <w:rFonts w:hint="eastAsia" w:ascii="宋体" w:hAnsi="宋体" w:eastAsia="宋体" w:cs="宋体"/>
          <w:color w:val="auto"/>
          <w:sz w:val="21"/>
          <w:szCs w:val="21"/>
          <w:highlight w:val="none"/>
        </w:rPr>
        <w:t xml:space="preserve"> 壹 份（须在合同签订之日起7个工作日内递交）。</w:t>
      </w:r>
    </w:p>
    <w:p w14:paraId="71C5A4EB">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第十</w:t>
      </w:r>
      <w:r>
        <w:rPr>
          <w:rFonts w:hint="eastAsia" w:ascii="宋体" w:hAnsi="宋体" w:eastAsia="宋体" w:cs="宋体"/>
          <w:b/>
          <w:color w:val="auto"/>
          <w:sz w:val="21"/>
          <w:szCs w:val="21"/>
          <w:highlight w:val="none"/>
          <w:lang w:eastAsia="zh-CN"/>
        </w:rPr>
        <w:t>一</w:t>
      </w:r>
      <w:r>
        <w:rPr>
          <w:rFonts w:hint="eastAsia" w:ascii="宋体" w:hAnsi="宋体" w:eastAsia="宋体" w:cs="宋体"/>
          <w:b/>
          <w:color w:val="auto"/>
          <w:sz w:val="21"/>
          <w:szCs w:val="21"/>
          <w:highlight w:val="none"/>
        </w:rPr>
        <w:t>条 其它</w:t>
      </w:r>
      <w:bookmarkEnd w:id="140"/>
    </w:p>
    <w:p w14:paraId="69C941EF">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1、本合同未尽事宜，双方可签订补充合同，补充合同与所有附件均为合同的有效组成部分，与本合同具有同等法律效力。</w:t>
      </w:r>
    </w:p>
    <w:p w14:paraId="79A59C88">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2、在执行本合同的过程中，所有经甲乙双方签署确认的文件（包括会议纪要、补充协议、往来信函、合同附件等）即成为本合同的有效组成部分，其生效日期为双方签字盖章或确认之日期。</w:t>
      </w:r>
    </w:p>
    <w:p w14:paraId="59AD6F3E">
      <w:pPr>
        <w:keepNext w:val="0"/>
        <w:keepLines w:val="0"/>
        <w:pageBreakBefore w:val="0"/>
        <w:widowControl/>
        <w:shd w:val="clear"/>
        <w:kinsoku w:val="0"/>
        <w:wordWrap w:val="0"/>
        <w:overflowPunct/>
        <w:topLinePunct w:val="0"/>
        <w:autoSpaceDE/>
        <w:autoSpaceDN/>
        <w:bidi w:val="0"/>
        <w:adjustRightInd w:val="0"/>
        <w:snapToGrid w:val="0"/>
        <w:spacing w:after="0" w:line="240" w:lineRule="auto"/>
        <w:ind w:firstLine="400" w:firstLineChars="200"/>
        <w:textAlignment w:val="auto"/>
        <w:rPr>
          <w:rFonts w:hint="eastAsia" w:ascii="宋体" w:hAnsi="宋体" w:eastAsia="宋体" w:cs="宋体"/>
          <w:color w:val="auto"/>
          <w:sz w:val="20"/>
          <w:szCs w:val="20"/>
          <w:highlight w:val="none"/>
        </w:rPr>
      </w:pPr>
    </w:p>
    <w:p w14:paraId="0486E20E">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甲方（盖章）：                     乙方（盖章）：</w:t>
      </w:r>
    </w:p>
    <w:p w14:paraId="13CCF5A1">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法定代表(签字)：                   法定代表(签字)：</w:t>
      </w:r>
    </w:p>
    <w:p w14:paraId="5511D3D6">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地址：                             地址： </w:t>
      </w:r>
    </w:p>
    <w:p w14:paraId="17B21EED">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                             电话：</w:t>
      </w:r>
    </w:p>
    <w:p w14:paraId="2A764E56">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传真：</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传真：</w:t>
      </w:r>
    </w:p>
    <w:p w14:paraId="7F24ADE0">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开户银行：</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                  开户银行：</w:t>
      </w:r>
    </w:p>
    <w:p w14:paraId="10342F23">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账号：                             账号：</w:t>
      </w:r>
    </w:p>
    <w:p w14:paraId="3A6C34F5">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签约时间：</w:t>
      </w:r>
    </w:p>
    <w:p w14:paraId="7E2E2E8C">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签约地点：</w:t>
      </w:r>
    </w:p>
    <w:p w14:paraId="2C3D0091">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p>
    <w:p w14:paraId="122920D8">
      <w:pPr>
        <w:pStyle w:val="9"/>
        <w:spacing w:line="240" w:lineRule="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附件1：</w:t>
      </w:r>
      <w:r>
        <w:rPr>
          <w:rFonts w:hint="eastAsia" w:cs="宋体"/>
          <w:b/>
          <w:bCs w:val="0"/>
          <w:color w:val="auto"/>
          <w:sz w:val="21"/>
          <w:szCs w:val="21"/>
          <w:highlight w:val="none"/>
          <w:lang w:val="en-US" w:eastAsia="zh-CN"/>
        </w:rPr>
        <w:t>供应商</w:t>
      </w:r>
      <w:r>
        <w:rPr>
          <w:rFonts w:hint="eastAsia" w:ascii="宋体" w:hAnsi="宋体" w:eastAsia="宋体" w:cs="宋体"/>
          <w:b/>
          <w:bCs w:val="0"/>
          <w:color w:val="auto"/>
          <w:sz w:val="21"/>
          <w:szCs w:val="21"/>
          <w:highlight w:val="none"/>
        </w:rPr>
        <w:t>评价表</w:t>
      </w:r>
    </w:p>
    <w:tbl>
      <w:tblPr>
        <w:tblStyle w:val="30"/>
        <w:tblW w:w="83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4"/>
        <w:gridCol w:w="3515"/>
        <w:gridCol w:w="928"/>
        <w:gridCol w:w="928"/>
        <w:gridCol w:w="928"/>
        <w:gridCol w:w="1087"/>
      </w:tblGrid>
      <w:tr w14:paraId="51F38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3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7AA84A5">
            <w:pPr>
              <w:keepNext w:val="0"/>
              <w:keepLines w:val="0"/>
              <w:widowControl/>
              <w:suppressLineNumbers w:val="0"/>
              <w:jc w:val="center"/>
              <w:textAlignment w:val="center"/>
              <w:rPr>
                <w:rFonts w:hint="eastAsia" w:ascii="宋体" w:hAnsi="宋体" w:eastAsia="宋体" w:cs="宋体"/>
                <w:b/>
                <w:bCs/>
                <w:i w:val="0"/>
                <w:iCs w:val="0"/>
                <w:color w:val="auto"/>
                <w:sz w:val="32"/>
                <w:szCs w:val="32"/>
                <w:highlight w:val="none"/>
                <w:u w:val="none"/>
              </w:rPr>
            </w:pPr>
            <w:r>
              <w:rPr>
                <w:rFonts w:hint="eastAsia" w:ascii="宋体" w:hAnsi="宋体" w:cs="宋体"/>
                <w:b/>
                <w:bCs/>
                <w:i w:val="0"/>
                <w:iCs w:val="0"/>
                <w:color w:val="auto"/>
                <w:kern w:val="0"/>
                <w:sz w:val="32"/>
                <w:szCs w:val="32"/>
                <w:highlight w:val="none"/>
                <w:u w:val="single"/>
                <w:lang w:val="en-US" w:eastAsia="zh-CN" w:bidi="ar"/>
              </w:rPr>
              <w:t xml:space="preserve">            </w:t>
            </w:r>
            <w:r>
              <w:rPr>
                <w:rFonts w:hint="eastAsia" w:ascii="宋体" w:hAnsi="宋体" w:eastAsia="宋体" w:cs="宋体"/>
                <w:b/>
                <w:bCs/>
                <w:i w:val="0"/>
                <w:iCs w:val="0"/>
                <w:color w:val="auto"/>
                <w:kern w:val="0"/>
                <w:sz w:val="32"/>
                <w:szCs w:val="32"/>
                <w:highlight w:val="none"/>
                <w:u w:val="single"/>
                <w:lang w:val="en-US" w:eastAsia="zh-CN" w:bidi="ar"/>
              </w:rPr>
              <w:t>酒店有限公司</w:t>
            </w:r>
          </w:p>
        </w:tc>
      </w:tr>
      <w:tr w14:paraId="56F6A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83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DD62D53">
            <w:pPr>
              <w:keepNext w:val="0"/>
              <w:keepLines w:val="0"/>
              <w:widowControl/>
              <w:suppressLineNumbers w:val="0"/>
              <w:jc w:val="center"/>
              <w:textAlignment w:val="center"/>
              <w:rPr>
                <w:rFonts w:hint="eastAsia" w:ascii="宋体" w:hAnsi="宋体" w:eastAsia="宋体" w:cs="宋体"/>
                <w:b/>
                <w:bCs/>
                <w:i w:val="0"/>
                <w:iCs w:val="0"/>
                <w:color w:val="auto"/>
                <w:sz w:val="32"/>
                <w:szCs w:val="32"/>
                <w:highlight w:val="none"/>
                <w:u w:val="none"/>
              </w:rPr>
            </w:pPr>
            <w:r>
              <w:rPr>
                <w:rFonts w:hint="eastAsia" w:ascii="宋体" w:hAnsi="宋体" w:eastAsia="宋体" w:cs="宋体"/>
                <w:b/>
                <w:bCs/>
                <w:i w:val="0"/>
                <w:iCs w:val="0"/>
                <w:color w:val="auto"/>
                <w:kern w:val="0"/>
                <w:sz w:val="32"/>
                <w:szCs w:val="32"/>
                <w:highlight w:val="none"/>
                <w:u w:val="none"/>
                <w:lang w:val="en-US" w:eastAsia="zh-CN" w:bidi="ar"/>
              </w:rPr>
              <w:t>供应商评价表</w:t>
            </w:r>
          </w:p>
        </w:tc>
      </w:tr>
      <w:tr w14:paraId="258D6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2E2D8">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供应商名称：</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86180">
            <w:pPr>
              <w:rPr>
                <w:rFonts w:hint="eastAsia" w:ascii="宋体" w:hAnsi="宋体" w:eastAsia="宋体" w:cs="宋体"/>
                <w:b/>
                <w:bCs/>
                <w:i w:val="0"/>
                <w:iCs w:val="0"/>
                <w:color w:val="auto"/>
                <w:sz w:val="22"/>
                <w:szCs w:val="22"/>
                <w:highlight w:val="none"/>
                <w:u w:val="none"/>
              </w:rPr>
            </w:pP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2C42B">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评价时间：</w:t>
            </w: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8EE9F5">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年   月   日</w:t>
            </w:r>
          </w:p>
        </w:tc>
      </w:tr>
      <w:tr w14:paraId="38059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B11AE">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供货品类：</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0543D">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食品类</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B08E5">
            <w:pPr>
              <w:rPr>
                <w:rFonts w:hint="eastAsia" w:ascii="宋体" w:hAnsi="宋体" w:eastAsia="宋体" w:cs="宋体"/>
                <w:b/>
                <w:bCs/>
                <w:i w:val="0"/>
                <w:iCs w:val="0"/>
                <w:color w:val="auto"/>
                <w:sz w:val="22"/>
                <w:szCs w:val="22"/>
                <w:highlight w:val="none"/>
                <w:u w:val="none"/>
              </w:rPr>
            </w:pP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C286E8">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评分部门</w:t>
            </w:r>
          </w:p>
        </w:tc>
      </w:tr>
      <w:tr w14:paraId="4D9B0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D37C3">
            <w:pP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FDD1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依据描述</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EFAF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得分范围</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90A5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使用部门</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4854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财务部</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419A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行政综合部</w:t>
            </w:r>
          </w:p>
        </w:tc>
      </w:tr>
      <w:tr w14:paraId="2651F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5FB704">
            <w:pPr>
              <w:keepNext w:val="0"/>
              <w:keepLines w:val="0"/>
              <w:widowControl/>
              <w:suppressLineNumbers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1、供货及时性</w:t>
            </w:r>
            <w:r>
              <w:rPr>
                <w:rFonts w:hint="eastAsia" w:ascii="宋体" w:hAnsi="宋体" w:cs="宋体"/>
                <w:i w:val="0"/>
                <w:iCs w:val="0"/>
                <w:color w:val="auto"/>
                <w:kern w:val="0"/>
                <w:sz w:val="20"/>
                <w:szCs w:val="20"/>
                <w:highlight w:val="none"/>
                <w:u w:val="none"/>
                <w:lang w:val="en-US" w:eastAsia="zh-CN" w:bidi="ar"/>
              </w:rPr>
              <w:t>（20分）</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27F1F">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(1)每次均能及时到货</w:t>
            </w:r>
            <w:r>
              <w:rPr>
                <w:rFonts w:hint="eastAsia" w:ascii="宋体" w:hAnsi="宋体" w:cs="宋体"/>
                <w:i w:val="0"/>
                <w:iCs w:val="0"/>
                <w:color w:val="auto"/>
                <w:kern w:val="0"/>
                <w:sz w:val="20"/>
                <w:szCs w:val="20"/>
                <w:highlight w:val="none"/>
                <w:u w:val="none"/>
                <w:lang w:val="en-US" w:eastAsia="zh-CN" w:bidi="ar"/>
              </w:rPr>
              <w:t>，并提供完整检测报告</w:t>
            </w:r>
            <w:r>
              <w:rPr>
                <w:rFonts w:hint="eastAsia" w:ascii="宋体" w:hAnsi="宋体" w:eastAsia="宋体" w:cs="宋体"/>
                <w:i w:val="0"/>
                <w:iCs w:val="0"/>
                <w:color w:val="auto"/>
                <w:kern w:val="0"/>
                <w:sz w:val="20"/>
                <w:szCs w:val="20"/>
                <w:highlight w:val="none"/>
                <w:u w:val="none"/>
                <w:lang w:val="en-US" w:eastAsia="zh-CN" w:bidi="ar"/>
              </w:rPr>
              <w:t>。</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2FDB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485A2C">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41FD67">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59C900">
            <w:pPr>
              <w:jc w:val="center"/>
              <w:rPr>
                <w:rFonts w:hint="eastAsia" w:ascii="宋体" w:hAnsi="宋体" w:eastAsia="宋体" w:cs="宋体"/>
                <w:i w:val="0"/>
                <w:iCs w:val="0"/>
                <w:color w:val="auto"/>
                <w:sz w:val="20"/>
                <w:szCs w:val="20"/>
                <w:highlight w:val="none"/>
                <w:u w:val="none"/>
              </w:rPr>
            </w:pPr>
          </w:p>
        </w:tc>
      </w:tr>
      <w:tr w14:paraId="6526A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D43FA0">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34C1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(2)偶尔供货</w:t>
            </w:r>
            <w:r>
              <w:rPr>
                <w:rFonts w:hint="eastAsia" w:ascii="宋体" w:hAnsi="宋体" w:cs="宋体"/>
                <w:i w:val="0"/>
                <w:iCs w:val="0"/>
                <w:color w:val="auto"/>
                <w:kern w:val="0"/>
                <w:sz w:val="20"/>
                <w:szCs w:val="20"/>
                <w:highlight w:val="none"/>
                <w:u w:val="none"/>
                <w:lang w:val="en-US" w:eastAsia="zh-CN" w:bidi="ar"/>
              </w:rPr>
              <w:t>及提供检测报告</w:t>
            </w:r>
            <w:r>
              <w:rPr>
                <w:rFonts w:hint="eastAsia" w:ascii="宋体" w:hAnsi="宋体" w:eastAsia="宋体" w:cs="宋体"/>
                <w:i w:val="0"/>
                <w:iCs w:val="0"/>
                <w:color w:val="auto"/>
                <w:kern w:val="0"/>
                <w:sz w:val="20"/>
                <w:szCs w:val="20"/>
                <w:highlight w:val="none"/>
                <w:u w:val="none"/>
                <w:lang w:val="en-US" w:eastAsia="zh-CN" w:bidi="ar"/>
              </w:rPr>
              <w:t>不及时，但对出品造成较小影响。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54EA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136DF7">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59A25B">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C4FDFE">
            <w:pPr>
              <w:jc w:val="center"/>
              <w:rPr>
                <w:rFonts w:hint="eastAsia" w:ascii="宋体" w:hAnsi="宋体" w:eastAsia="宋体" w:cs="宋体"/>
                <w:i w:val="0"/>
                <w:iCs w:val="0"/>
                <w:color w:val="auto"/>
                <w:sz w:val="20"/>
                <w:szCs w:val="20"/>
                <w:highlight w:val="none"/>
                <w:u w:val="none"/>
              </w:rPr>
            </w:pPr>
          </w:p>
        </w:tc>
      </w:tr>
      <w:tr w14:paraId="305C5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3EB276">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09C8B">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(3)供货</w:t>
            </w:r>
            <w:r>
              <w:rPr>
                <w:rFonts w:hint="eastAsia" w:ascii="宋体" w:hAnsi="宋体" w:cs="宋体"/>
                <w:i w:val="0"/>
                <w:iCs w:val="0"/>
                <w:color w:val="auto"/>
                <w:kern w:val="0"/>
                <w:sz w:val="20"/>
                <w:szCs w:val="20"/>
                <w:highlight w:val="none"/>
                <w:u w:val="none"/>
                <w:lang w:val="en-US" w:eastAsia="zh-CN" w:bidi="ar"/>
              </w:rPr>
              <w:t>及提供检测报告</w:t>
            </w:r>
            <w:r>
              <w:rPr>
                <w:rFonts w:hint="eastAsia" w:ascii="宋体" w:hAnsi="宋体" w:eastAsia="宋体" w:cs="宋体"/>
                <w:i w:val="0"/>
                <w:iCs w:val="0"/>
                <w:color w:val="auto"/>
                <w:kern w:val="0"/>
                <w:sz w:val="20"/>
                <w:szCs w:val="20"/>
                <w:highlight w:val="none"/>
                <w:u w:val="none"/>
                <w:lang w:val="en-US" w:eastAsia="zh-CN" w:bidi="ar"/>
              </w:rPr>
              <w:t>不及时次数过多，且对出品造成较大影响。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6CB0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710772">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AD08D5">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91AC20">
            <w:pPr>
              <w:jc w:val="center"/>
              <w:rPr>
                <w:rFonts w:hint="eastAsia" w:ascii="宋体" w:hAnsi="宋体" w:eastAsia="宋体" w:cs="宋体"/>
                <w:i w:val="0"/>
                <w:iCs w:val="0"/>
                <w:color w:val="auto"/>
                <w:sz w:val="20"/>
                <w:szCs w:val="20"/>
                <w:highlight w:val="none"/>
                <w:u w:val="none"/>
              </w:rPr>
            </w:pPr>
          </w:p>
        </w:tc>
      </w:tr>
      <w:tr w14:paraId="6BB08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C9FAD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2、品类齐全度</w:t>
            </w:r>
            <w:r>
              <w:rPr>
                <w:rFonts w:hint="eastAsia" w:ascii="宋体" w:hAnsi="宋体" w:cs="宋体"/>
                <w:i w:val="0"/>
                <w:iCs w:val="0"/>
                <w:color w:val="auto"/>
                <w:kern w:val="0"/>
                <w:sz w:val="20"/>
                <w:szCs w:val="20"/>
                <w:highlight w:val="none"/>
                <w:u w:val="none"/>
                <w:lang w:val="en-US" w:eastAsia="zh-CN" w:bidi="ar"/>
              </w:rPr>
              <w:t>（20分）</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E4B80">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(1)品类齐全，能充分满足使用要求。</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1F27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8D0FAE">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729C36">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22B7B9">
            <w:pPr>
              <w:jc w:val="center"/>
              <w:rPr>
                <w:rFonts w:hint="eastAsia" w:ascii="宋体" w:hAnsi="宋体" w:eastAsia="宋体" w:cs="宋体"/>
                <w:i w:val="0"/>
                <w:iCs w:val="0"/>
                <w:color w:val="auto"/>
                <w:sz w:val="20"/>
                <w:szCs w:val="20"/>
                <w:highlight w:val="none"/>
                <w:u w:val="none"/>
              </w:rPr>
            </w:pPr>
          </w:p>
        </w:tc>
      </w:tr>
      <w:tr w14:paraId="6FE73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1A70CD">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FE1E7">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(2)品类基本齐全，偶尔与实际需求不相符，但对出品造成较小影响。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4D84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F0D58E">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DC5406">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EC8E6F">
            <w:pPr>
              <w:jc w:val="center"/>
              <w:rPr>
                <w:rFonts w:hint="eastAsia" w:ascii="宋体" w:hAnsi="宋体" w:eastAsia="宋体" w:cs="宋体"/>
                <w:i w:val="0"/>
                <w:iCs w:val="0"/>
                <w:color w:val="auto"/>
                <w:sz w:val="20"/>
                <w:szCs w:val="20"/>
                <w:highlight w:val="none"/>
                <w:u w:val="none"/>
              </w:rPr>
            </w:pPr>
          </w:p>
        </w:tc>
      </w:tr>
      <w:tr w14:paraId="32992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5"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F95775">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0515A">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(3)品类较少，供货差异较大，无法满足正常需求，且对出品造成较大影响。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DC4E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DFFECB">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095648">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32ED8E">
            <w:pPr>
              <w:jc w:val="center"/>
              <w:rPr>
                <w:rFonts w:hint="eastAsia" w:ascii="宋体" w:hAnsi="宋体" w:eastAsia="宋体" w:cs="宋体"/>
                <w:i w:val="0"/>
                <w:iCs w:val="0"/>
                <w:color w:val="auto"/>
                <w:sz w:val="20"/>
                <w:szCs w:val="20"/>
                <w:highlight w:val="none"/>
                <w:u w:val="none"/>
              </w:rPr>
            </w:pPr>
          </w:p>
        </w:tc>
      </w:tr>
      <w:tr w14:paraId="5EA46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70348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r>
              <w:rPr>
                <w:rFonts w:hint="eastAsia" w:ascii="宋体" w:hAnsi="宋体" w:cs="宋体"/>
                <w:color w:val="auto"/>
                <w:sz w:val="20"/>
                <w:szCs w:val="20"/>
                <w:highlight w:val="none"/>
                <w:u w:val="none"/>
                <w:lang w:bidi="ar"/>
              </w:rPr>
              <w:t>产品剩余质保期</w:t>
            </w:r>
            <w:r>
              <w:rPr>
                <w:rFonts w:hint="eastAsia" w:ascii="宋体" w:hAnsi="宋体" w:cs="宋体"/>
                <w:i w:val="0"/>
                <w:iCs w:val="0"/>
                <w:color w:val="auto"/>
                <w:kern w:val="0"/>
                <w:sz w:val="20"/>
                <w:szCs w:val="20"/>
                <w:highlight w:val="none"/>
                <w:u w:val="none"/>
                <w:lang w:val="en-US" w:eastAsia="zh-CN" w:bidi="ar"/>
              </w:rPr>
              <w:t>（20分）</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A1D6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cs="宋体"/>
                <w:color w:val="auto"/>
                <w:sz w:val="20"/>
                <w:szCs w:val="20"/>
                <w:highlight w:val="none"/>
                <w:u w:val="none"/>
                <w:lang w:bidi="ar"/>
              </w:rPr>
              <w:t xml:space="preserve"> (1)产品剩余质保期长，远超行业标准，能充分保障使用周期。</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BE37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289DED">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B138D1">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A311B3">
            <w:pPr>
              <w:jc w:val="center"/>
              <w:rPr>
                <w:rFonts w:hint="eastAsia" w:ascii="宋体" w:hAnsi="宋体" w:eastAsia="宋体" w:cs="宋体"/>
                <w:i w:val="0"/>
                <w:iCs w:val="0"/>
                <w:color w:val="auto"/>
                <w:sz w:val="20"/>
                <w:szCs w:val="20"/>
                <w:highlight w:val="none"/>
                <w:u w:val="none"/>
              </w:rPr>
            </w:pPr>
          </w:p>
        </w:tc>
      </w:tr>
      <w:tr w14:paraId="765FA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2B782D">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56448">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cs="宋体"/>
                <w:color w:val="auto"/>
                <w:sz w:val="20"/>
                <w:szCs w:val="20"/>
                <w:highlight w:val="none"/>
                <w:u w:val="none"/>
                <w:lang w:bidi="ar"/>
              </w:rPr>
              <w:t xml:space="preserve"> (2)产品剩余质保期符合行业标准，基本满足使用需求。</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E747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4C76BE">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6A9C10">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6FA0B5">
            <w:pPr>
              <w:jc w:val="center"/>
              <w:rPr>
                <w:rFonts w:hint="eastAsia" w:ascii="宋体" w:hAnsi="宋体" w:eastAsia="宋体" w:cs="宋体"/>
                <w:i w:val="0"/>
                <w:iCs w:val="0"/>
                <w:color w:val="auto"/>
                <w:sz w:val="20"/>
                <w:szCs w:val="20"/>
                <w:highlight w:val="none"/>
                <w:u w:val="none"/>
              </w:rPr>
            </w:pPr>
          </w:p>
        </w:tc>
      </w:tr>
      <w:tr w14:paraId="78349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FBB5C3">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E6D9C">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cs="宋体"/>
                <w:color w:val="auto"/>
                <w:sz w:val="20"/>
                <w:szCs w:val="20"/>
                <w:highlight w:val="none"/>
                <w:u w:val="none"/>
                <w:lang w:bidi="ar"/>
              </w:rPr>
              <w:t>(3)产品剩余质保期较短，不符合行业标准，无法满足正常使用需求。</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946E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7F6EA5">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707913">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227A8">
            <w:pPr>
              <w:jc w:val="center"/>
              <w:rPr>
                <w:rFonts w:hint="eastAsia" w:ascii="宋体" w:hAnsi="宋体" w:eastAsia="宋体" w:cs="宋体"/>
                <w:i w:val="0"/>
                <w:iCs w:val="0"/>
                <w:color w:val="auto"/>
                <w:sz w:val="20"/>
                <w:szCs w:val="20"/>
                <w:highlight w:val="none"/>
                <w:u w:val="none"/>
              </w:rPr>
            </w:pPr>
          </w:p>
        </w:tc>
      </w:tr>
      <w:tr w14:paraId="7BC23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3DA25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4、实际使用质量情况</w:t>
            </w:r>
            <w:r>
              <w:rPr>
                <w:rFonts w:hint="eastAsia" w:ascii="宋体" w:hAnsi="宋体" w:cs="宋体"/>
                <w:i w:val="0"/>
                <w:iCs w:val="0"/>
                <w:color w:val="auto"/>
                <w:kern w:val="0"/>
                <w:sz w:val="20"/>
                <w:szCs w:val="20"/>
                <w:highlight w:val="none"/>
                <w:u w:val="none"/>
                <w:lang w:val="en-US" w:eastAsia="zh-CN" w:bidi="ar"/>
              </w:rPr>
              <w:t>（20分）</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3B97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(1)包装完好，符合相关安全、环保等管理规定，未出现质量问题。</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FB50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708AE2">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7A2C42">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D0332D">
            <w:pPr>
              <w:jc w:val="center"/>
              <w:rPr>
                <w:rFonts w:hint="eastAsia" w:ascii="宋体" w:hAnsi="宋体" w:eastAsia="宋体" w:cs="宋体"/>
                <w:i w:val="0"/>
                <w:iCs w:val="0"/>
                <w:color w:val="auto"/>
                <w:sz w:val="20"/>
                <w:szCs w:val="20"/>
                <w:highlight w:val="none"/>
                <w:u w:val="none"/>
              </w:rPr>
            </w:pPr>
          </w:p>
        </w:tc>
      </w:tr>
      <w:tr w14:paraId="702F2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5"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98B5C0">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2A7FC">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(2)产品质量合格率低于98%，基本符合相关安全、环保等管理规定，可以让步接收。</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8E54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A9E6AA">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739C42">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1F6631">
            <w:pPr>
              <w:jc w:val="center"/>
              <w:rPr>
                <w:rFonts w:hint="eastAsia" w:ascii="宋体" w:hAnsi="宋体" w:eastAsia="宋体" w:cs="宋体"/>
                <w:i w:val="0"/>
                <w:iCs w:val="0"/>
                <w:color w:val="auto"/>
                <w:sz w:val="20"/>
                <w:szCs w:val="20"/>
                <w:highlight w:val="none"/>
                <w:u w:val="none"/>
              </w:rPr>
            </w:pPr>
          </w:p>
        </w:tc>
      </w:tr>
      <w:tr w14:paraId="28854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551776">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17395">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(3)出现重大质量问题。</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6A2D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7FE2F7">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5368EB">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4DFD0F">
            <w:pPr>
              <w:jc w:val="center"/>
              <w:rPr>
                <w:rFonts w:hint="eastAsia" w:ascii="宋体" w:hAnsi="宋体" w:eastAsia="宋体" w:cs="宋体"/>
                <w:i w:val="0"/>
                <w:iCs w:val="0"/>
                <w:color w:val="auto"/>
                <w:sz w:val="20"/>
                <w:szCs w:val="20"/>
                <w:highlight w:val="none"/>
                <w:u w:val="none"/>
              </w:rPr>
            </w:pPr>
          </w:p>
        </w:tc>
      </w:tr>
      <w:tr w14:paraId="4DA8D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00299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5、售后服务能力</w:t>
            </w:r>
            <w:r>
              <w:rPr>
                <w:rFonts w:hint="eastAsia" w:ascii="宋体" w:hAnsi="宋体" w:cs="宋体"/>
                <w:i w:val="0"/>
                <w:iCs w:val="0"/>
                <w:color w:val="auto"/>
                <w:kern w:val="0"/>
                <w:sz w:val="20"/>
                <w:szCs w:val="20"/>
                <w:highlight w:val="none"/>
                <w:u w:val="none"/>
                <w:lang w:val="en-US" w:eastAsia="zh-CN" w:bidi="ar"/>
              </w:rPr>
              <w:t>（20分）</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081C0">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(1)出现问题，能够及时有效解决，售后服务能力较强。</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F8D6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CAF463">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F27366">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6D8B28">
            <w:pPr>
              <w:jc w:val="center"/>
              <w:rPr>
                <w:rFonts w:hint="eastAsia" w:ascii="宋体" w:hAnsi="宋体" w:eastAsia="宋体" w:cs="宋体"/>
                <w:i w:val="0"/>
                <w:iCs w:val="0"/>
                <w:color w:val="auto"/>
                <w:sz w:val="20"/>
                <w:szCs w:val="20"/>
                <w:highlight w:val="none"/>
                <w:u w:val="none"/>
              </w:rPr>
            </w:pPr>
          </w:p>
        </w:tc>
      </w:tr>
      <w:tr w14:paraId="4834B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3BDA11">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4C81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(2)出现问题时，处理问题及时性一般，售后服务能力一般。</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B606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6B3332">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2ECD37">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9BB392">
            <w:pPr>
              <w:jc w:val="center"/>
              <w:rPr>
                <w:rFonts w:hint="eastAsia" w:ascii="宋体" w:hAnsi="宋体" w:eastAsia="宋体" w:cs="宋体"/>
                <w:i w:val="0"/>
                <w:iCs w:val="0"/>
                <w:color w:val="auto"/>
                <w:sz w:val="20"/>
                <w:szCs w:val="20"/>
                <w:highlight w:val="none"/>
                <w:u w:val="none"/>
              </w:rPr>
            </w:pPr>
          </w:p>
        </w:tc>
      </w:tr>
      <w:tr w14:paraId="00834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E0DBA9">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8B7BE">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(3)出现问题时，处理问题及时性较差，售后服务能力较差。</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7B6A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D0FAE1">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5AD63F">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AB0A3A">
            <w:pPr>
              <w:jc w:val="center"/>
              <w:rPr>
                <w:rFonts w:hint="eastAsia" w:ascii="宋体" w:hAnsi="宋体" w:eastAsia="宋体" w:cs="宋体"/>
                <w:i w:val="0"/>
                <w:iCs w:val="0"/>
                <w:color w:val="auto"/>
                <w:sz w:val="20"/>
                <w:szCs w:val="20"/>
                <w:highlight w:val="none"/>
                <w:u w:val="none"/>
              </w:rPr>
            </w:pPr>
          </w:p>
        </w:tc>
      </w:tr>
      <w:tr w14:paraId="76F1B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E43B4A">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综合得分</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9DFE1">
            <w:pPr>
              <w:jc w:val="center"/>
              <w:rPr>
                <w:rFonts w:hint="eastAsia" w:ascii="宋体" w:hAnsi="宋体" w:eastAsia="宋体" w:cs="宋体"/>
                <w:i w:val="0"/>
                <w:iCs w:val="0"/>
                <w:color w:val="auto"/>
                <w:sz w:val="20"/>
                <w:szCs w:val="20"/>
                <w:highlight w:val="none"/>
                <w:u w:val="none"/>
              </w:rPr>
            </w:pP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AF6DD">
            <w:pPr>
              <w:jc w:val="center"/>
              <w:rPr>
                <w:rFonts w:hint="eastAsia" w:ascii="宋体" w:hAnsi="宋体" w:eastAsia="宋体" w:cs="宋体"/>
                <w:i w:val="0"/>
                <w:iCs w:val="0"/>
                <w:color w:val="auto"/>
                <w:sz w:val="20"/>
                <w:szCs w:val="20"/>
                <w:highlight w:val="none"/>
                <w:u w:val="none"/>
              </w:rPr>
            </w:pP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11F1D">
            <w:pPr>
              <w:jc w:val="center"/>
              <w:rPr>
                <w:rFonts w:hint="eastAsia" w:ascii="宋体" w:hAnsi="宋体" w:eastAsia="宋体" w:cs="宋体"/>
                <w:i w:val="0"/>
                <w:iCs w:val="0"/>
                <w:color w:val="auto"/>
                <w:sz w:val="20"/>
                <w:szCs w:val="20"/>
                <w:highlight w:val="none"/>
                <w:u w:val="none"/>
              </w:rPr>
            </w:pPr>
          </w:p>
        </w:tc>
      </w:tr>
      <w:tr w14:paraId="307E6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AE8A8D">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评分人员签名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D9E35">
            <w:pPr>
              <w:jc w:val="center"/>
              <w:rPr>
                <w:rFonts w:hint="eastAsia" w:ascii="宋体" w:hAnsi="宋体" w:eastAsia="宋体" w:cs="宋体"/>
                <w:i w:val="0"/>
                <w:iCs w:val="0"/>
                <w:color w:val="auto"/>
                <w:sz w:val="20"/>
                <w:szCs w:val="20"/>
                <w:highlight w:val="none"/>
                <w:u w:val="none"/>
              </w:rPr>
            </w:pP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139C8">
            <w:pPr>
              <w:jc w:val="center"/>
              <w:rPr>
                <w:rFonts w:hint="eastAsia" w:ascii="宋体" w:hAnsi="宋体" w:eastAsia="宋体" w:cs="宋体"/>
                <w:i w:val="0"/>
                <w:iCs w:val="0"/>
                <w:color w:val="auto"/>
                <w:sz w:val="20"/>
                <w:szCs w:val="20"/>
                <w:highlight w:val="none"/>
                <w:u w:val="none"/>
              </w:rPr>
            </w:pP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0727D">
            <w:pPr>
              <w:jc w:val="center"/>
              <w:rPr>
                <w:rFonts w:hint="eastAsia" w:ascii="宋体" w:hAnsi="宋体" w:eastAsia="宋体" w:cs="宋体"/>
                <w:i w:val="0"/>
                <w:iCs w:val="0"/>
                <w:color w:val="auto"/>
                <w:sz w:val="20"/>
                <w:szCs w:val="20"/>
                <w:highlight w:val="none"/>
                <w:u w:val="none"/>
              </w:rPr>
            </w:pPr>
          </w:p>
        </w:tc>
      </w:tr>
      <w:tr w14:paraId="5236F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7584A9">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总分</w:t>
            </w: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E3B9AE">
            <w:pPr>
              <w:jc w:val="center"/>
              <w:rPr>
                <w:rFonts w:hint="eastAsia" w:ascii="宋体" w:hAnsi="宋体" w:eastAsia="宋体" w:cs="宋体"/>
                <w:i w:val="0"/>
                <w:iCs w:val="0"/>
                <w:color w:val="auto"/>
                <w:sz w:val="20"/>
                <w:szCs w:val="20"/>
                <w:highlight w:val="none"/>
                <w:u w:val="none"/>
              </w:rPr>
            </w:pPr>
          </w:p>
        </w:tc>
      </w:tr>
      <w:tr w14:paraId="1B9FA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1A3C28">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结论</w:t>
            </w: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484B5D">
            <w:pPr>
              <w:jc w:val="center"/>
              <w:rPr>
                <w:rFonts w:hint="eastAsia" w:ascii="宋体" w:hAnsi="宋体" w:eastAsia="宋体" w:cs="宋体"/>
                <w:i w:val="0"/>
                <w:iCs w:val="0"/>
                <w:color w:val="auto"/>
                <w:sz w:val="20"/>
                <w:szCs w:val="20"/>
                <w:highlight w:val="none"/>
                <w:u w:val="none"/>
              </w:rPr>
            </w:pPr>
          </w:p>
        </w:tc>
      </w:tr>
      <w:tr w14:paraId="48BF9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2" w:hRule="atLeast"/>
        </w:trPr>
        <w:tc>
          <w:tcPr>
            <w:tcW w:w="8360" w:type="dxa"/>
            <w:gridSpan w:val="6"/>
            <w:tcBorders>
              <w:top w:val="nil"/>
              <w:left w:val="nil"/>
              <w:bottom w:val="nil"/>
              <w:right w:val="nil"/>
            </w:tcBorders>
            <w:shd w:val="clear" w:color="auto" w:fill="auto"/>
            <w:vAlign w:val="bottom"/>
          </w:tcPr>
          <w:p w14:paraId="020849EE">
            <w:pPr>
              <w:keepNext w:val="0"/>
              <w:keepLines w:val="0"/>
              <w:widowControl/>
              <w:suppressLineNumbers w:val="0"/>
              <w:jc w:val="left"/>
              <w:textAlignment w:val="bottom"/>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填写说明：此表</w:t>
            </w:r>
            <w:r>
              <w:rPr>
                <w:rFonts w:hint="eastAsia" w:ascii="宋体" w:hAnsi="宋体" w:cs="宋体"/>
                <w:i w:val="0"/>
                <w:iCs w:val="0"/>
                <w:color w:val="auto"/>
                <w:kern w:val="0"/>
                <w:sz w:val="20"/>
                <w:szCs w:val="20"/>
                <w:highlight w:val="none"/>
                <w:u w:val="none"/>
                <w:lang w:val="en-US" w:eastAsia="zh-CN" w:bidi="ar"/>
              </w:rPr>
              <w:t>为</w:t>
            </w:r>
            <w:r>
              <w:rPr>
                <w:rFonts w:hint="eastAsia" w:ascii="宋体" w:hAnsi="宋体" w:eastAsia="宋体" w:cs="宋体"/>
                <w:i w:val="0"/>
                <w:iCs w:val="0"/>
                <w:color w:val="auto"/>
                <w:kern w:val="0"/>
                <w:sz w:val="20"/>
                <w:szCs w:val="20"/>
                <w:highlight w:val="none"/>
                <w:u w:val="none"/>
                <w:lang w:val="en-US" w:eastAsia="zh-CN" w:bidi="ar"/>
              </w:rPr>
              <w:t>供应商评价表</w:t>
            </w:r>
            <w:r>
              <w:rPr>
                <w:rFonts w:hint="eastAsia" w:ascii="宋体" w:hAnsi="宋体" w:cs="宋体"/>
                <w:i w:val="0"/>
                <w:iCs w:val="0"/>
                <w:color w:val="auto"/>
                <w:kern w:val="0"/>
                <w:sz w:val="20"/>
                <w:szCs w:val="20"/>
                <w:highlight w:val="none"/>
                <w:u w:val="none"/>
                <w:lang w:val="en-US" w:eastAsia="zh-CN" w:bidi="ar"/>
              </w:rPr>
              <w:t>，每月考核一次</w:t>
            </w:r>
          </w:p>
          <w:p w14:paraId="6CEE3FF6">
            <w:pPr>
              <w:keepNext w:val="0"/>
              <w:keepLines w:val="0"/>
              <w:widowControl/>
              <w:suppressLineNumbers w:val="0"/>
              <w:jc w:val="left"/>
              <w:textAlignment w:val="bottom"/>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评价结论：</w:t>
            </w:r>
          </w:p>
          <w:p w14:paraId="534148C2">
            <w:pPr>
              <w:keepNext w:val="0"/>
              <w:keepLines w:val="0"/>
              <w:widowControl/>
              <w:numPr>
                <w:ilvl w:val="0"/>
                <w:numId w:val="0"/>
              </w:numPr>
              <w:suppressLineNumbers w:val="0"/>
              <w:jc w:val="left"/>
              <w:textAlignment w:val="bottom"/>
              <w:rPr>
                <w:rFonts w:hint="eastAsia" w:ascii="宋体" w:hAnsi="宋体" w:cs="宋体"/>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lang w:val="en-US" w:eastAsia="zh-CN" w:bidi="ar"/>
              </w:rPr>
              <w:t>1、</w:t>
            </w:r>
            <w:r>
              <w:rPr>
                <w:rFonts w:hint="eastAsia" w:ascii="宋体" w:hAnsi="宋体" w:eastAsia="宋体" w:cs="宋体"/>
                <w:i w:val="0"/>
                <w:iCs w:val="0"/>
                <w:color w:val="auto"/>
                <w:kern w:val="0"/>
                <w:sz w:val="20"/>
                <w:szCs w:val="20"/>
                <w:highlight w:val="none"/>
                <w:u w:val="none"/>
                <w:lang w:val="en-US" w:eastAsia="zh-CN" w:bidi="ar"/>
              </w:rPr>
              <w:t>分数≥</w:t>
            </w:r>
            <w:r>
              <w:rPr>
                <w:rFonts w:hint="eastAsia" w:ascii="宋体" w:hAnsi="宋体" w:cs="宋体"/>
                <w:i w:val="0"/>
                <w:iCs w:val="0"/>
                <w:color w:val="auto"/>
                <w:kern w:val="0"/>
                <w:sz w:val="20"/>
                <w:szCs w:val="20"/>
                <w:highlight w:val="none"/>
                <w:u w:val="none"/>
                <w:lang w:val="en-US" w:eastAsia="zh-CN" w:bidi="ar"/>
              </w:rPr>
              <w:t>9</w:t>
            </w:r>
            <w:r>
              <w:rPr>
                <w:rFonts w:hint="eastAsia" w:ascii="宋体" w:hAnsi="宋体" w:eastAsia="宋体" w:cs="宋体"/>
                <w:i w:val="0"/>
                <w:iCs w:val="0"/>
                <w:color w:val="auto"/>
                <w:kern w:val="0"/>
                <w:sz w:val="20"/>
                <w:szCs w:val="20"/>
                <w:highlight w:val="none"/>
                <w:u w:val="none"/>
                <w:lang w:val="en-US" w:eastAsia="zh-CN" w:bidi="ar"/>
              </w:rPr>
              <w:t>0分，结论:优秀，继续合作</w:t>
            </w:r>
            <w:r>
              <w:rPr>
                <w:rFonts w:hint="eastAsia" w:ascii="宋体" w:hAnsi="宋体" w:cs="宋体"/>
                <w:i w:val="0"/>
                <w:iCs w:val="0"/>
                <w:color w:val="auto"/>
                <w:kern w:val="0"/>
                <w:sz w:val="20"/>
                <w:szCs w:val="20"/>
                <w:highlight w:val="none"/>
                <w:u w:val="none"/>
                <w:lang w:val="en-US" w:eastAsia="zh-CN" w:bidi="ar"/>
              </w:rPr>
              <w:t>。</w:t>
            </w:r>
          </w:p>
          <w:p w14:paraId="1C50EA1C">
            <w:pPr>
              <w:keepNext w:val="0"/>
              <w:keepLines w:val="0"/>
              <w:widowControl/>
              <w:numPr>
                <w:ilvl w:val="0"/>
                <w:numId w:val="0"/>
              </w:numPr>
              <w:suppressLineNumbers w:val="0"/>
              <w:jc w:val="left"/>
              <w:textAlignment w:val="bottom"/>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w:t>
            </w:r>
            <w:r>
              <w:rPr>
                <w:rFonts w:hint="eastAsia" w:ascii="宋体" w:hAnsi="宋体" w:cs="宋体"/>
                <w:i w:val="0"/>
                <w:iCs w:val="0"/>
                <w:color w:val="auto"/>
                <w:kern w:val="0"/>
                <w:sz w:val="20"/>
                <w:szCs w:val="20"/>
                <w:highlight w:val="none"/>
                <w:u w:val="none"/>
                <w:lang w:val="en-US" w:eastAsia="zh-CN" w:bidi="ar"/>
              </w:rPr>
              <w:t>9</w:t>
            </w:r>
            <w:r>
              <w:rPr>
                <w:rFonts w:hint="eastAsia" w:ascii="宋体" w:hAnsi="宋体" w:eastAsia="宋体" w:cs="宋体"/>
                <w:i w:val="0"/>
                <w:iCs w:val="0"/>
                <w:color w:val="auto"/>
                <w:kern w:val="0"/>
                <w:sz w:val="20"/>
                <w:szCs w:val="20"/>
                <w:highlight w:val="none"/>
                <w:u w:val="none"/>
                <w:lang w:val="en-US" w:eastAsia="zh-CN" w:bidi="ar"/>
              </w:rPr>
              <w:t>0分&gt;分数≥</w:t>
            </w:r>
            <w:r>
              <w:rPr>
                <w:rFonts w:hint="eastAsia" w:ascii="宋体" w:hAnsi="宋体" w:cs="宋体"/>
                <w:i w:val="0"/>
                <w:iCs w:val="0"/>
                <w:color w:val="auto"/>
                <w:kern w:val="0"/>
                <w:sz w:val="20"/>
                <w:szCs w:val="20"/>
                <w:highlight w:val="none"/>
                <w:u w:val="none"/>
                <w:lang w:val="en-US" w:eastAsia="zh-CN" w:bidi="ar"/>
              </w:rPr>
              <w:t>8</w:t>
            </w:r>
            <w:r>
              <w:rPr>
                <w:rFonts w:hint="eastAsia" w:ascii="宋体" w:hAnsi="宋体" w:eastAsia="宋体" w:cs="宋体"/>
                <w:i w:val="0"/>
                <w:iCs w:val="0"/>
                <w:color w:val="auto"/>
                <w:kern w:val="0"/>
                <w:sz w:val="20"/>
                <w:szCs w:val="20"/>
                <w:highlight w:val="none"/>
                <w:u w:val="none"/>
                <w:lang w:val="en-US" w:eastAsia="zh-CN" w:bidi="ar"/>
              </w:rPr>
              <w:t>0分，结论:继续合作，</w:t>
            </w:r>
            <w:r>
              <w:rPr>
                <w:rFonts w:hint="eastAsia" w:ascii="宋体" w:hAnsi="宋体" w:cs="宋体"/>
                <w:i w:val="0"/>
                <w:iCs w:val="0"/>
                <w:color w:val="auto"/>
                <w:kern w:val="0"/>
                <w:sz w:val="20"/>
                <w:szCs w:val="20"/>
                <w:highlight w:val="none"/>
                <w:u w:val="none"/>
                <w:lang w:val="en-US" w:eastAsia="zh-CN" w:bidi="ar"/>
              </w:rPr>
              <w:t>问题点限时整改，</w:t>
            </w:r>
          </w:p>
          <w:p w14:paraId="65F4B490">
            <w:pPr>
              <w:keepNext w:val="0"/>
              <w:keepLines w:val="0"/>
              <w:widowControl/>
              <w:numPr>
                <w:ilvl w:val="0"/>
                <w:numId w:val="0"/>
              </w:numPr>
              <w:suppressLineNumbers w:val="0"/>
              <w:jc w:val="left"/>
              <w:textAlignment w:val="bottom"/>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3、</w:t>
            </w:r>
            <w:r>
              <w:rPr>
                <w:rFonts w:hint="eastAsia" w:ascii="宋体" w:hAnsi="宋体" w:eastAsia="宋体" w:cs="宋体"/>
                <w:i w:val="0"/>
                <w:iCs w:val="0"/>
                <w:color w:val="auto"/>
                <w:kern w:val="0"/>
                <w:sz w:val="20"/>
                <w:szCs w:val="20"/>
                <w:highlight w:val="none"/>
                <w:u w:val="none"/>
                <w:lang w:val="en-US" w:eastAsia="zh-CN" w:bidi="ar"/>
              </w:rPr>
              <w:t>80分&gt;分数≥</w:t>
            </w:r>
            <w:r>
              <w:rPr>
                <w:rFonts w:hint="eastAsia" w:ascii="宋体" w:hAnsi="宋体" w:cs="宋体"/>
                <w:i w:val="0"/>
                <w:iCs w:val="0"/>
                <w:color w:val="auto"/>
                <w:kern w:val="0"/>
                <w:sz w:val="20"/>
                <w:szCs w:val="20"/>
                <w:highlight w:val="none"/>
                <w:u w:val="none"/>
                <w:lang w:val="en-US" w:eastAsia="zh-CN" w:bidi="ar"/>
              </w:rPr>
              <w:t>7</w:t>
            </w:r>
            <w:r>
              <w:rPr>
                <w:rFonts w:hint="eastAsia" w:ascii="宋体" w:hAnsi="宋体" w:eastAsia="宋体" w:cs="宋体"/>
                <w:i w:val="0"/>
                <w:iCs w:val="0"/>
                <w:color w:val="auto"/>
                <w:kern w:val="0"/>
                <w:sz w:val="20"/>
                <w:szCs w:val="20"/>
                <w:highlight w:val="none"/>
                <w:u w:val="none"/>
                <w:lang w:val="en-US" w:eastAsia="zh-CN" w:bidi="ar"/>
              </w:rPr>
              <w:t>0分，结论:</w:t>
            </w:r>
            <w:r>
              <w:rPr>
                <w:rFonts w:hint="eastAsia" w:ascii="宋体" w:hAnsi="宋体" w:cs="宋体"/>
                <w:i w:val="0"/>
                <w:iCs w:val="0"/>
                <w:color w:val="auto"/>
                <w:kern w:val="0"/>
                <w:sz w:val="20"/>
                <w:szCs w:val="20"/>
                <w:highlight w:val="none"/>
                <w:u w:val="none"/>
                <w:lang w:val="en-US" w:eastAsia="zh-CN" w:bidi="ar"/>
              </w:rPr>
              <w:t>考核扣款并</w:t>
            </w:r>
            <w:r>
              <w:rPr>
                <w:rFonts w:hint="eastAsia" w:ascii="宋体" w:hAnsi="宋体" w:eastAsia="宋体" w:cs="宋体"/>
                <w:i w:val="0"/>
                <w:iCs w:val="0"/>
                <w:color w:val="auto"/>
                <w:kern w:val="0"/>
                <w:sz w:val="20"/>
                <w:szCs w:val="20"/>
                <w:highlight w:val="none"/>
                <w:u w:val="none"/>
                <w:lang w:val="en-US" w:eastAsia="zh-CN" w:bidi="ar"/>
              </w:rPr>
              <w:t>继续合作，</w:t>
            </w:r>
            <w:r>
              <w:rPr>
                <w:rFonts w:hint="eastAsia" w:ascii="宋体" w:hAnsi="宋体" w:cs="宋体"/>
                <w:i w:val="0"/>
                <w:iCs w:val="0"/>
                <w:color w:val="auto"/>
                <w:kern w:val="0"/>
                <w:sz w:val="20"/>
                <w:szCs w:val="20"/>
                <w:highlight w:val="none"/>
                <w:u w:val="none"/>
                <w:lang w:val="en-US" w:eastAsia="zh-CN" w:bidi="ar"/>
              </w:rPr>
              <w:t>问题点限时整改，</w:t>
            </w:r>
            <w:r>
              <w:rPr>
                <w:rFonts w:hint="eastAsia" w:hAnsi="宋体" w:cs="宋体"/>
                <w:color w:val="auto"/>
                <w:sz w:val="21"/>
                <w:szCs w:val="21"/>
                <w:highlight w:val="none"/>
                <w:lang w:eastAsia="zh-CN"/>
              </w:rPr>
              <w:t>每低</w:t>
            </w:r>
            <w:r>
              <w:rPr>
                <w:rFonts w:hint="eastAsia" w:hAnsi="宋体" w:cs="宋体"/>
                <w:color w:val="auto"/>
                <w:sz w:val="21"/>
                <w:szCs w:val="21"/>
                <w:highlight w:val="none"/>
                <w:lang w:val="en-US" w:eastAsia="zh-CN"/>
              </w:rPr>
              <w:t>于80分1分，扣当月结算金额的千分之一</w:t>
            </w:r>
            <w:r>
              <w:rPr>
                <w:rFonts w:hint="eastAsia" w:ascii="宋体" w:hAnsi="宋体" w:eastAsia="宋体" w:cs="宋体"/>
                <w:i w:val="0"/>
                <w:iCs w:val="0"/>
                <w:color w:val="auto"/>
                <w:kern w:val="0"/>
                <w:sz w:val="20"/>
                <w:szCs w:val="20"/>
                <w:highlight w:val="none"/>
                <w:u w:val="none"/>
                <w:lang w:val="en-US" w:eastAsia="zh-CN" w:bidi="ar"/>
              </w:rPr>
              <w:t>。</w:t>
            </w:r>
          </w:p>
          <w:p w14:paraId="788A1BAB">
            <w:pPr>
              <w:keepNext w:val="0"/>
              <w:keepLines w:val="0"/>
              <w:widowControl/>
              <w:numPr>
                <w:ilvl w:val="0"/>
                <w:numId w:val="0"/>
              </w:numPr>
              <w:suppressLineNumbers w:val="0"/>
              <w:jc w:val="left"/>
              <w:textAlignment w:val="bottom"/>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4、7</w:t>
            </w:r>
            <w:r>
              <w:rPr>
                <w:rFonts w:hint="eastAsia" w:ascii="宋体" w:hAnsi="宋体" w:eastAsia="宋体" w:cs="宋体"/>
                <w:i w:val="0"/>
                <w:iCs w:val="0"/>
                <w:color w:val="auto"/>
                <w:kern w:val="0"/>
                <w:sz w:val="20"/>
                <w:szCs w:val="20"/>
                <w:highlight w:val="none"/>
                <w:u w:val="none"/>
                <w:lang w:val="en-US" w:eastAsia="zh-CN" w:bidi="ar"/>
              </w:rPr>
              <w:t>0分&gt;分数≥</w:t>
            </w: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0分，结论:考核扣款并继续合作，问题点限时整改，每低</w:t>
            </w:r>
            <w:r>
              <w:rPr>
                <w:rFonts w:hint="eastAsia" w:ascii="宋体" w:hAnsi="宋体" w:cs="宋体"/>
                <w:i w:val="0"/>
                <w:iCs w:val="0"/>
                <w:color w:val="auto"/>
                <w:kern w:val="0"/>
                <w:sz w:val="20"/>
                <w:szCs w:val="20"/>
                <w:highlight w:val="none"/>
                <w:u w:val="none"/>
                <w:lang w:val="en-US" w:eastAsia="zh-CN" w:bidi="ar"/>
              </w:rPr>
              <w:t>于80分</w:t>
            </w:r>
            <w:r>
              <w:rPr>
                <w:rFonts w:hint="eastAsia" w:ascii="宋体" w:hAnsi="宋体" w:eastAsia="宋体" w:cs="宋体"/>
                <w:i w:val="0"/>
                <w:iCs w:val="0"/>
                <w:color w:val="auto"/>
                <w:kern w:val="0"/>
                <w:sz w:val="20"/>
                <w:szCs w:val="20"/>
                <w:highlight w:val="none"/>
                <w:u w:val="none"/>
                <w:lang w:val="en-US" w:eastAsia="zh-CN" w:bidi="ar"/>
              </w:rPr>
              <w:t>1分</w:t>
            </w:r>
            <w:r>
              <w:rPr>
                <w:rFonts w:hint="eastAsia" w:ascii="宋体" w:hAnsi="宋体" w:cs="宋体"/>
                <w:i w:val="0"/>
                <w:iCs w:val="0"/>
                <w:color w:val="auto"/>
                <w:kern w:val="0"/>
                <w:sz w:val="20"/>
                <w:szCs w:val="20"/>
                <w:highlight w:val="none"/>
                <w:u w:val="none"/>
                <w:lang w:val="en-US" w:eastAsia="zh-CN" w:bidi="ar"/>
              </w:rPr>
              <w:t>，</w:t>
            </w:r>
            <w:r>
              <w:rPr>
                <w:rFonts w:hint="eastAsia" w:ascii="宋体" w:hAnsi="宋体" w:eastAsia="宋体" w:cs="宋体"/>
                <w:i w:val="0"/>
                <w:iCs w:val="0"/>
                <w:color w:val="auto"/>
                <w:kern w:val="0"/>
                <w:sz w:val="20"/>
                <w:szCs w:val="20"/>
                <w:highlight w:val="none"/>
                <w:u w:val="none"/>
                <w:lang w:val="en-US" w:eastAsia="zh-CN" w:bidi="ar"/>
              </w:rPr>
              <w:t>扣当月结算金额的千分之二。</w:t>
            </w:r>
          </w:p>
          <w:p w14:paraId="289D06AC">
            <w:pPr>
              <w:keepNext w:val="0"/>
              <w:keepLines w:val="0"/>
              <w:widowControl/>
              <w:suppressLineNumbers w:val="0"/>
              <w:jc w:val="left"/>
              <w:textAlignment w:val="bottom"/>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5</w:t>
            </w:r>
            <w:r>
              <w:rPr>
                <w:rFonts w:hint="eastAsia" w:ascii="宋体" w:hAnsi="宋体" w:eastAsia="宋体" w:cs="宋体"/>
                <w:i w:val="0"/>
                <w:iCs w:val="0"/>
                <w:color w:val="auto"/>
                <w:kern w:val="0"/>
                <w:sz w:val="20"/>
                <w:szCs w:val="20"/>
                <w:highlight w:val="none"/>
                <w:u w:val="none"/>
                <w:lang w:val="en-US" w:eastAsia="zh-CN" w:bidi="ar"/>
              </w:rPr>
              <w:t>、60分&gt;分数，或出现重大质量问题，结论:不合格，</w:t>
            </w:r>
            <w:r>
              <w:rPr>
                <w:rFonts w:hint="eastAsia" w:ascii="宋体" w:hAnsi="宋体" w:cs="宋体"/>
                <w:i w:val="0"/>
                <w:iCs w:val="0"/>
                <w:color w:val="auto"/>
                <w:kern w:val="0"/>
                <w:sz w:val="20"/>
                <w:szCs w:val="20"/>
                <w:highlight w:val="none"/>
                <w:u w:val="none"/>
                <w:lang w:val="en-US" w:eastAsia="zh-CN" w:bidi="ar"/>
              </w:rPr>
              <w:t>甲方有权解除合同，</w:t>
            </w:r>
            <w:r>
              <w:rPr>
                <w:rFonts w:hint="eastAsia" w:ascii="宋体" w:hAnsi="宋体" w:eastAsia="宋体" w:cs="宋体"/>
                <w:i w:val="0"/>
                <w:iCs w:val="0"/>
                <w:color w:val="auto"/>
                <w:kern w:val="0"/>
                <w:sz w:val="20"/>
                <w:szCs w:val="20"/>
                <w:highlight w:val="none"/>
                <w:u w:val="none"/>
                <w:lang w:val="en-US" w:eastAsia="zh-CN" w:bidi="ar"/>
              </w:rPr>
              <w:t>停止合作。</w:t>
            </w:r>
          </w:p>
        </w:tc>
      </w:tr>
    </w:tbl>
    <w:p w14:paraId="2760694B">
      <w:pPr>
        <w:pageBreakBefore w:val="0"/>
        <w:shd w:val="clear"/>
        <w:kinsoku/>
        <w:topLinePunct w:val="0"/>
        <w:autoSpaceDE/>
        <w:autoSpaceDN/>
        <w:bidi w:val="0"/>
        <w:spacing w:line="360" w:lineRule="auto"/>
        <w:rPr>
          <w:rFonts w:hint="eastAsia" w:ascii="宋体" w:hAnsi="宋体" w:eastAsia="宋体" w:cs="宋体"/>
          <w:b/>
          <w:color w:val="auto"/>
          <w:sz w:val="21"/>
          <w:szCs w:val="21"/>
          <w:highlight w:val="none"/>
        </w:rPr>
      </w:pPr>
    </w:p>
    <w:p w14:paraId="38317726">
      <w:pPr>
        <w:rPr>
          <w:rFonts w:hint="eastAsia" w:ascii="宋体" w:hAnsi="宋体" w:eastAsia="宋体" w:cs="宋体"/>
          <w:color w:val="auto"/>
          <w:highlight w:val="none"/>
        </w:rPr>
      </w:pPr>
      <w:r>
        <w:rPr>
          <w:rFonts w:hint="eastAsia" w:ascii="宋体" w:hAnsi="宋体" w:eastAsia="宋体" w:cs="宋体"/>
          <w:color w:val="auto"/>
          <w:highlight w:val="none"/>
          <w:lang w:bidi="zh-CN"/>
        </w:rPr>
        <w:br w:type="page"/>
      </w:r>
    </w:p>
    <w:p w14:paraId="19B471D1">
      <w:pPr>
        <w:pStyle w:val="9"/>
        <w:pageBreakBefore w:val="0"/>
        <w:kinsoku/>
        <w:wordWrap/>
        <w:overflowPunct/>
        <w:topLinePunct w:val="0"/>
        <w:autoSpaceDE/>
        <w:autoSpaceDN/>
        <w:bidi w:val="0"/>
        <w:spacing w:before="0"/>
        <w:jc w:val="center"/>
        <w:textAlignment w:val="auto"/>
        <w:rPr>
          <w:rFonts w:hint="default" w:ascii="宋体" w:hAnsi="宋体" w:eastAsia="宋体" w:cs="宋体"/>
          <w:color w:val="auto"/>
          <w:highlight w:val="none"/>
          <w:lang w:val="en-US" w:eastAsia="zh-CN"/>
        </w:rPr>
      </w:pPr>
      <w:r>
        <w:rPr>
          <w:rFonts w:hint="eastAsia" w:cs="宋体"/>
          <w:color w:val="auto"/>
          <w:highlight w:val="none"/>
          <w:lang w:val="en-US" w:eastAsia="zh-CN"/>
        </w:rPr>
        <w:t>以下适用包B</w:t>
      </w:r>
    </w:p>
    <w:p w14:paraId="2225E7E7">
      <w:pPr>
        <w:pStyle w:val="4"/>
        <w:pageBreakBefore w:val="0"/>
        <w:shd w:val="clear"/>
        <w:kinsoku/>
        <w:wordWrap/>
        <w:overflowPunct/>
        <w:topLinePunct w:val="0"/>
        <w:autoSpaceDE/>
        <w:autoSpaceDN/>
        <w:bidi w:val="0"/>
        <w:spacing w:before="0" w:after="0" w:line="36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合同格式</w:t>
      </w:r>
    </w:p>
    <w:p w14:paraId="71B29909">
      <w:pPr>
        <w:keepNext w:val="0"/>
        <w:keepLines w:val="0"/>
        <w:pageBreakBefore w:val="0"/>
        <w:shd w:val="clear"/>
        <w:kinsoku/>
        <w:wordWrap/>
        <w:overflowPunct/>
        <w:topLinePunct w:val="0"/>
        <w:autoSpaceDE/>
        <w:autoSpaceDN/>
        <w:bidi w:val="0"/>
        <w:spacing w:line="400" w:lineRule="exact"/>
        <w:ind w:right="56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合同编号：</w:t>
      </w:r>
    </w:p>
    <w:p w14:paraId="1DD0577E">
      <w:pPr>
        <w:keepNext w:val="0"/>
        <w:keepLines w:val="0"/>
        <w:pageBreakBefore w:val="0"/>
        <w:shd w:val="clear"/>
        <w:kinsoku/>
        <w:wordWrap/>
        <w:overflowPunct/>
        <w:topLinePunct w:val="0"/>
        <w:autoSpaceDE/>
        <w:autoSpaceDN/>
        <w:bidi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w:t>
      </w:r>
    </w:p>
    <w:p w14:paraId="74F0473B">
      <w:pPr>
        <w:keepNext w:val="0"/>
        <w:keepLines w:val="0"/>
        <w:pageBreakBefore w:val="0"/>
        <w:shd w:val="clear"/>
        <w:kinsoku/>
        <w:wordWrap/>
        <w:overflowPunct/>
        <w:topLinePunct w:val="0"/>
        <w:autoSpaceDE/>
        <w:autoSpaceDN/>
        <w:bidi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乙方：“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”为中标单位</w:t>
      </w:r>
    </w:p>
    <w:p w14:paraId="35F4F294">
      <w:pPr>
        <w:keepNext w:val="0"/>
        <w:keepLines w:val="0"/>
        <w:pageBreakBefore w:val="0"/>
        <w:shd w:val="clear"/>
        <w:kinsoku/>
        <w:wordWrap/>
        <w:overflowPunct/>
        <w:topLinePunct w:val="0"/>
        <w:autoSpaceDE/>
        <w:autoSpaceDN/>
        <w:bidi w:val="0"/>
        <w:adjustRightInd/>
        <w:snapToGrid/>
        <w:spacing w:after="0" w:line="400" w:lineRule="exact"/>
        <w:ind w:firstLine="420" w:firstLineChars="200"/>
        <w:textAlignment w:val="auto"/>
        <w:rPr>
          <w:rFonts w:hint="eastAsia" w:ascii="宋体" w:hAnsi="宋体" w:eastAsia="宋体" w:cs="宋体"/>
          <w:color w:val="auto"/>
          <w:sz w:val="21"/>
          <w:szCs w:val="21"/>
          <w:highlight w:val="none"/>
        </w:rPr>
      </w:pPr>
    </w:p>
    <w:p w14:paraId="03EFB8A5">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受甲方委托，</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eastAsia="zh-CN"/>
        </w:rPr>
        <w:t>招标代理机构</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rPr>
        <w:t>组织对</w:t>
      </w:r>
      <w:r>
        <w:rPr>
          <w:rFonts w:hint="eastAsia" w:ascii="宋体" w:hAnsi="宋体" w:eastAsia="宋体" w:cs="宋体"/>
          <w:color w:val="auto"/>
          <w:sz w:val="21"/>
          <w:szCs w:val="21"/>
          <w:highlight w:val="none"/>
          <w:u w:val="single"/>
        </w:rPr>
        <w:t xml:space="preserve">         （项目名称）</w:t>
      </w:r>
      <w:r>
        <w:rPr>
          <w:rFonts w:hint="eastAsia" w:ascii="宋体" w:hAnsi="宋体" w:eastAsia="宋体" w:cs="宋体"/>
          <w:color w:val="auto"/>
          <w:sz w:val="21"/>
          <w:szCs w:val="21"/>
          <w:highlight w:val="none"/>
        </w:rPr>
        <w:t>项目（</w:t>
      </w:r>
      <w:r>
        <w:rPr>
          <w:rFonts w:hint="eastAsia" w:ascii="宋体" w:hAnsi="宋体" w:eastAsia="宋体" w:cs="宋体"/>
          <w:color w:val="auto"/>
          <w:sz w:val="21"/>
          <w:szCs w:val="21"/>
          <w:highlight w:val="none"/>
          <w:lang w:eastAsia="zh-CN"/>
        </w:rPr>
        <w:t>招标项目编号</w:t>
      </w:r>
      <w:r>
        <w:rPr>
          <w:rFonts w:hint="eastAsia" w:ascii="宋体" w:hAnsi="宋体" w:eastAsia="宋体" w:cs="宋体"/>
          <w:color w:val="auto"/>
          <w:sz w:val="21"/>
          <w:szCs w:val="21"/>
          <w:highlight w:val="none"/>
        </w:rPr>
        <w:t>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）进行</w:t>
      </w:r>
      <w:r>
        <w:rPr>
          <w:rFonts w:hint="eastAsia" w:ascii="宋体" w:hAnsi="宋体" w:eastAsia="宋体" w:cs="宋体"/>
          <w:color w:val="auto"/>
          <w:sz w:val="21"/>
          <w:szCs w:val="21"/>
          <w:highlight w:val="none"/>
          <w:lang w:eastAsia="zh-CN"/>
        </w:rPr>
        <w:t>招标</w:t>
      </w:r>
      <w:r>
        <w:rPr>
          <w:rFonts w:hint="eastAsia" w:ascii="宋体" w:hAnsi="宋体" w:eastAsia="宋体" w:cs="宋体"/>
          <w:color w:val="auto"/>
          <w:sz w:val="21"/>
          <w:szCs w:val="21"/>
          <w:highlight w:val="none"/>
        </w:rPr>
        <w:t>，于</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日通过公开招标，经评标委员会评定乙方</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为中标单位。为了保护甲、乙双方合法权益，根据《中华人民共和国</w:t>
      </w:r>
      <w:r>
        <w:rPr>
          <w:rFonts w:hint="eastAsia" w:ascii="宋体" w:hAnsi="宋体" w:eastAsia="宋体" w:cs="宋体"/>
          <w:color w:val="auto"/>
          <w:highlight w:val="none"/>
          <w:lang w:eastAsia="zh-CN"/>
        </w:rPr>
        <w:t>民法典</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等相关法律</w:t>
      </w:r>
      <w:r>
        <w:rPr>
          <w:rFonts w:hint="eastAsia" w:ascii="宋体" w:hAnsi="宋体" w:eastAsia="宋体" w:cs="宋体"/>
          <w:color w:val="auto"/>
          <w:sz w:val="21"/>
          <w:szCs w:val="21"/>
          <w:highlight w:val="none"/>
        </w:rPr>
        <w:t>，在平等自愿的基础上，按照下面的条款和条件，签署本合同。</w:t>
      </w:r>
    </w:p>
    <w:p w14:paraId="4D950F36">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第一条 合同项目</w:t>
      </w:r>
    </w:p>
    <w:p w14:paraId="2342C14D">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1、项目名称：                        ；</w:t>
      </w:r>
    </w:p>
    <w:p w14:paraId="293A362E">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招标项目编号</w:t>
      </w:r>
      <w:r>
        <w:rPr>
          <w:rFonts w:hint="eastAsia" w:ascii="宋体" w:hAnsi="宋体" w:eastAsia="宋体" w:cs="宋体"/>
          <w:color w:val="auto"/>
          <w:sz w:val="21"/>
          <w:szCs w:val="21"/>
          <w:highlight w:val="none"/>
        </w:rPr>
        <w:t>：                   。</w:t>
      </w:r>
    </w:p>
    <w:p w14:paraId="0BA7AE36">
      <w:pPr>
        <w:keepNext w:val="0"/>
        <w:keepLines w:val="0"/>
        <w:pageBreakBefore w:val="0"/>
        <w:widowControl/>
        <w:shd w:val="clear"/>
        <w:kinsoku w:val="0"/>
        <w:wordWrap w:val="0"/>
        <w:overflowPunct/>
        <w:topLinePunct w:val="0"/>
        <w:autoSpaceDE/>
        <w:autoSpaceDN/>
        <w:bidi w:val="0"/>
        <w:adjustRightInd w:val="0"/>
        <w:snapToGrid w:val="0"/>
        <w:spacing w:after="0" w:line="44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第二条 合同组成</w:t>
      </w:r>
    </w:p>
    <w:p w14:paraId="3D3562E6">
      <w:pPr>
        <w:keepNext w:val="0"/>
        <w:keepLines w:val="0"/>
        <w:pageBreakBefore w:val="0"/>
        <w:widowControl/>
        <w:shd w:val="clear"/>
        <w:kinsoku w:val="0"/>
        <w:wordWrap w:val="0"/>
        <w:overflowPunct/>
        <w:topLinePunct w:val="0"/>
        <w:autoSpaceDE/>
        <w:autoSpaceDN/>
        <w:bidi w:val="0"/>
        <w:adjustRightInd w:val="0"/>
        <w:snapToGrid w:val="0"/>
        <w:spacing w:after="0" w:line="44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1、合同文件组成内容包括：本合同书 、招标文件（含招标文件澄清通知）</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中标通知书、投标</w:t>
      </w:r>
      <w:r>
        <w:rPr>
          <w:rFonts w:hint="eastAsia" w:ascii="宋体" w:hAnsi="宋体" w:eastAsia="宋体" w:cs="宋体"/>
          <w:color w:val="auto"/>
          <w:sz w:val="21"/>
          <w:szCs w:val="21"/>
          <w:highlight w:val="none"/>
        </w:rPr>
        <w:t>文件</w:t>
      </w:r>
      <w:r>
        <w:rPr>
          <w:rFonts w:hint="eastAsia" w:ascii="宋体" w:hAnsi="宋体" w:eastAsia="宋体" w:cs="宋体"/>
          <w:color w:val="auto"/>
          <w:highlight w:val="none"/>
        </w:rPr>
        <w:t>（含澄清内容）等。</w:t>
      </w:r>
    </w:p>
    <w:p w14:paraId="5C93AE5E">
      <w:pPr>
        <w:keepNext w:val="0"/>
        <w:keepLines w:val="0"/>
        <w:pageBreakBefore w:val="0"/>
        <w:widowControl/>
        <w:shd w:val="clear"/>
        <w:kinsoku w:val="0"/>
        <w:wordWrap w:val="0"/>
        <w:overflowPunct/>
        <w:topLinePunct w:val="0"/>
        <w:autoSpaceDE/>
        <w:autoSpaceDN/>
        <w:bidi w:val="0"/>
        <w:adjustRightInd w:val="0"/>
        <w:snapToGrid w:val="0"/>
        <w:spacing w:after="0" w:line="440" w:lineRule="exact"/>
        <w:ind w:firstLine="420" w:firstLineChars="200"/>
        <w:textAlignment w:val="auto"/>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当合同文件内容出现含糊不清或不相一致时，应在不影响业务正常进行的情况下，由甲方和</w:t>
      </w:r>
      <w:r>
        <w:rPr>
          <w:rFonts w:hint="eastAsia" w:ascii="宋体" w:hAnsi="宋体" w:eastAsia="宋体" w:cs="宋体"/>
          <w:color w:val="auto"/>
          <w:sz w:val="21"/>
          <w:szCs w:val="21"/>
          <w:highlight w:val="none"/>
        </w:rPr>
        <w:t>乙方</w:t>
      </w:r>
      <w:r>
        <w:rPr>
          <w:rFonts w:hint="eastAsia" w:ascii="宋体" w:hAnsi="宋体" w:eastAsia="宋体" w:cs="宋体"/>
          <w:color w:val="auto"/>
          <w:highlight w:val="none"/>
        </w:rPr>
        <w:t>协商解决。</w:t>
      </w:r>
      <w:r>
        <w:rPr>
          <w:rFonts w:hint="eastAsia" w:ascii="宋体" w:hAnsi="宋体" w:eastAsia="宋体" w:cs="宋体"/>
          <w:color w:val="auto"/>
          <w:sz w:val="21"/>
          <w:szCs w:val="21"/>
          <w:highlight w:val="none"/>
        </w:rPr>
        <w:t>双方</w:t>
      </w:r>
      <w:r>
        <w:rPr>
          <w:rFonts w:hint="eastAsia" w:ascii="宋体" w:hAnsi="宋体" w:eastAsia="宋体" w:cs="宋体"/>
          <w:color w:val="auto"/>
          <w:highlight w:val="none"/>
        </w:rPr>
        <w:t>协商不成时，按本合同第</w:t>
      </w:r>
      <w:r>
        <w:rPr>
          <w:rFonts w:hint="eastAsia" w:ascii="宋体" w:hAnsi="宋体" w:eastAsia="宋体" w:cs="宋体"/>
          <w:color w:val="auto"/>
          <w:highlight w:val="none"/>
          <w:lang w:eastAsia="zh-CN"/>
        </w:rPr>
        <w:t>九</w:t>
      </w:r>
      <w:r>
        <w:rPr>
          <w:rFonts w:hint="eastAsia" w:ascii="宋体" w:hAnsi="宋体" w:eastAsia="宋体" w:cs="宋体"/>
          <w:color w:val="auto"/>
          <w:highlight w:val="none"/>
        </w:rPr>
        <w:t>条关于争议的约定处理。</w:t>
      </w:r>
    </w:p>
    <w:p w14:paraId="75544EF0">
      <w:pPr>
        <w:keepNext w:val="0"/>
        <w:keepLines w:val="0"/>
        <w:pageBreakBefore w:val="0"/>
        <w:widowControl/>
        <w:shd w:val="clear"/>
        <w:kinsoku w:val="0"/>
        <w:wordWrap w:val="0"/>
        <w:overflowPunct/>
        <w:topLinePunct w:val="0"/>
        <w:autoSpaceDE/>
        <w:autoSpaceDN/>
        <w:bidi w:val="0"/>
        <w:adjustRightInd w:val="0"/>
        <w:snapToGrid w:val="0"/>
        <w:spacing w:after="0" w:line="440" w:lineRule="exact"/>
        <w:textAlignment w:val="auto"/>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rPr>
        <w:t>第三条 服务内容、标准及要求</w:t>
      </w:r>
      <w:r>
        <w:rPr>
          <w:rFonts w:hint="eastAsia" w:ascii="宋体" w:hAnsi="宋体" w:cs="宋体"/>
          <w:b/>
          <w:color w:val="auto"/>
          <w:sz w:val="21"/>
          <w:szCs w:val="21"/>
          <w:highlight w:val="none"/>
          <w:lang w:eastAsia="zh-CN"/>
        </w:rPr>
        <w:t>：</w:t>
      </w:r>
      <w:r>
        <w:rPr>
          <w:rFonts w:hint="eastAsia" w:ascii="宋体" w:hAnsi="宋体" w:eastAsia="宋体" w:cs="宋体"/>
          <w:color w:val="auto"/>
          <w:sz w:val="22"/>
          <w:szCs w:val="22"/>
          <w:highlight w:val="none"/>
        </w:rPr>
        <w:t>（按</w:t>
      </w:r>
      <w:r>
        <w:rPr>
          <w:rFonts w:hint="eastAsia" w:ascii="宋体" w:hAnsi="宋体" w:eastAsia="宋体" w:cs="宋体"/>
          <w:color w:val="auto"/>
          <w:sz w:val="22"/>
          <w:szCs w:val="22"/>
          <w:highlight w:val="none"/>
          <w:lang w:val="en-US" w:eastAsia="zh-CN"/>
        </w:rPr>
        <w:t>用户需求书</w:t>
      </w:r>
      <w:r>
        <w:rPr>
          <w:rFonts w:hint="eastAsia" w:ascii="宋体" w:hAnsi="宋体" w:eastAsia="宋体" w:cs="宋体"/>
          <w:color w:val="auto"/>
          <w:sz w:val="22"/>
          <w:szCs w:val="22"/>
          <w:highlight w:val="none"/>
        </w:rPr>
        <w:t>要求</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详见附件</w:t>
      </w:r>
      <w:r>
        <w:rPr>
          <w:rFonts w:hint="eastAsia" w:ascii="宋体" w:hAnsi="宋体" w:eastAsia="宋体" w:cs="宋体"/>
          <w:color w:val="auto"/>
          <w:sz w:val="22"/>
          <w:szCs w:val="22"/>
          <w:highlight w:val="none"/>
        </w:rPr>
        <w:t>）</w:t>
      </w:r>
    </w:p>
    <w:p w14:paraId="053FAB67">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第四条 价格</w:t>
      </w:r>
    </w:p>
    <w:p w14:paraId="52BFFEB8">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shd w:val="clear" w:color="auto" w:fill="FFFFFF"/>
          <w:lang w:eastAsia="zh-CN"/>
        </w:rPr>
      </w:pPr>
      <w:r>
        <w:rPr>
          <w:rFonts w:hint="eastAsia" w:ascii="宋体" w:hAnsi="宋体" w:eastAsia="宋体" w:cs="宋体"/>
          <w:color w:val="auto"/>
          <w:sz w:val="21"/>
          <w:szCs w:val="21"/>
          <w:highlight w:val="none"/>
          <w:shd w:val="clear" w:color="auto" w:fill="FFFFFF"/>
        </w:rPr>
        <w:t>1、合同</w:t>
      </w:r>
      <w:r>
        <w:rPr>
          <w:rFonts w:hint="eastAsia" w:ascii="宋体" w:hAnsi="宋体" w:eastAsia="宋体" w:cs="宋体"/>
          <w:color w:val="auto"/>
          <w:highlight w:val="none"/>
        </w:rPr>
        <w:t>总价</w:t>
      </w:r>
      <w:r>
        <w:rPr>
          <w:rFonts w:hint="eastAsia" w:ascii="宋体" w:hAnsi="宋体" w:eastAsia="宋体" w:cs="宋体"/>
          <w:color w:val="auto"/>
          <w:sz w:val="21"/>
          <w:szCs w:val="21"/>
          <w:highlight w:val="none"/>
          <w:shd w:val="clear" w:color="auto" w:fill="FFFFFF"/>
        </w:rPr>
        <w:t>包含：购货成本、包装配送运输、保险、装卸、退换、雇员费用、质保期售后服务、全额含税发票、合同实施过程中的应预见和不可预见费用等，</w:t>
      </w:r>
      <w:r>
        <w:rPr>
          <w:rFonts w:hint="eastAsia" w:ascii="宋体" w:hAnsi="宋体" w:eastAsia="宋体" w:cs="宋体"/>
          <w:color w:val="auto"/>
          <w:sz w:val="21"/>
          <w:szCs w:val="21"/>
          <w:highlight w:val="none"/>
          <w:shd w:val="clear" w:color="auto" w:fill="FFFFFF"/>
          <w:lang w:val="en-US" w:eastAsia="zh-CN"/>
        </w:rPr>
        <w:t>客用食材</w:t>
      </w:r>
      <w:r>
        <w:rPr>
          <w:rFonts w:hint="eastAsia" w:ascii="宋体" w:hAnsi="宋体" w:eastAsia="宋体" w:cs="宋体"/>
          <w:color w:val="auto"/>
          <w:sz w:val="21"/>
          <w:szCs w:val="21"/>
          <w:highlight w:val="none"/>
          <w:shd w:val="clear" w:color="auto" w:fill="FFFFFF"/>
        </w:rPr>
        <w:t>配送的每天供货种类和供货量由采购人指定，按实际送货种类和</w:t>
      </w:r>
      <w:r>
        <w:rPr>
          <w:rFonts w:hint="eastAsia" w:ascii="宋体" w:hAnsi="宋体" w:cs="宋体"/>
          <w:color w:val="auto"/>
          <w:sz w:val="21"/>
          <w:szCs w:val="21"/>
          <w:highlight w:val="none"/>
          <w:shd w:val="clear" w:color="auto" w:fill="FFFFFF"/>
          <w:lang w:val="en-US" w:eastAsia="zh-CN"/>
        </w:rPr>
        <w:t>验收合格</w:t>
      </w:r>
      <w:r>
        <w:rPr>
          <w:rFonts w:hint="eastAsia" w:ascii="宋体" w:hAnsi="宋体" w:eastAsia="宋体" w:cs="宋体"/>
          <w:color w:val="auto"/>
          <w:sz w:val="21"/>
          <w:szCs w:val="21"/>
          <w:highlight w:val="none"/>
          <w:shd w:val="clear" w:color="auto" w:fill="FFFFFF"/>
        </w:rPr>
        <w:t>数量据实结算</w:t>
      </w:r>
      <w:r>
        <w:rPr>
          <w:rFonts w:hint="eastAsia" w:ascii="宋体" w:hAnsi="宋体" w:eastAsia="宋体" w:cs="宋体"/>
          <w:color w:val="auto"/>
          <w:sz w:val="21"/>
          <w:szCs w:val="21"/>
          <w:highlight w:val="none"/>
          <w:shd w:val="clear" w:color="auto" w:fill="FFFFFF"/>
          <w:lang w:eastAsia="zh-CN"/>
        </w:rPr>
        <w:t>。</w:t>
      </w:r>
    </w:p>
    <w:p w14:paraId="0C64FDEF">
      <w:pPr>
        <w:keepNext w:val="0"/>
        <w:keepLines w:val="0"/>
        <w:pageBreakBefore w:val="0"/>
        <w:widowControl/>
        <w:kinsoku/>
        <w:wordWrap/>
        <w:overflowPunct/>
        <w:topLinePunct w:val="0"/>
        <w:autoSpaceDE/>
        <w:autoSpaceDN/>
        <w:bidi w:val="0"/>
        <w:adjustRightInd w:val="0"/>
        <w:snapToGrid w:val="0"/>
        <w:spacing w:line="440" w:lineRule="exact"/>
        <w:ind w:firstLine="422" w:firstLineChars="200"/>
        <w:textAlignment w:val="auto"/>
        <w:rPr>
          <w:rFonts w:hint="eastAsia" w:ascii="宋体" w:hAnsi="宋体" w:eastAsia="宋体" w:cs="宋体"/>
          <w:color w:val="auto"/>
          <w:highlight w:val="none"/>
          <w:lang w:val="en-US" w:eastAsia="zh-CN"/>
        </w:rPr>
      </w:pPr>
      <w:r>
        <w:rPr>
          <w:rFonts w:hint="eastAsia" w:ascii="宋体" w:hAnsi="宋体" w:cs="宋体"/>
          <w:b/>
          <w:bCs/>
          <w:color w:val="auto"/>
          <w:highlight w:val="none"/>
          <w:lang w:val="en-US" w:eastAsia="zh-CN"/>
        </w:rPr>
        <w:t>2、</w:t>
      </w:r>
      <w:r>
        <w:rPr>
          <w:rFonts w:hint="eastAsia" w:ascii="宋体" w:hAnsi="宋体" w:eastAsia="宋体" w:cs="宋体"/>
          <w:b/>
          <w:bCs/>
          <w:color w:val="auto"/>
          <w:highlight w:val="none"/>
          <w:lang w:val="en-US" w:eastAsia="zh-CN"/>
        </w:rPr>
        <w:t>物资明细表</w:t>
      </w:r>
      <w:r>
        <w:rPr>
          <w:rFonts w:hint="eastAsia" w:ascii="宋体" w:hAnsi="宋体" w:cs="宋体"/>
          <w:b/>
          <w:bCs/>
          <w:color w:val="auto"/>
          <w:highlight w:val="none"/>
          <w:lang w:val="en-US" w:eastAsia="zh-CN"/>
        </w:rPr>
        <w:t>（详见附件）</w:t>
      </w:r>
    </w:p>
    <w:p w14:paraId="549B07DF">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注：①以下数量为预估数量，供货时以甲方实际需求下单为准。</w:t>
      </w:r>
    </w:p>
    <w:p w14:paraId="503DED6C">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cs="宋体"/>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②</w:t>
      </w:r>
      <w:r>
        <w:rPr>
          <w:rFonts w:hint="eastAsia" w:asciiTheme="minorEastAsia" w:hAnsiTheme="minorEastAsia" w:eastAsiaTheme="minorEastAsia"/>
          <w:color w:val="auto"/>
          <w:szCs w:val="21"/>
          <w:highlight w:val="none"/>
        </w:rPr>
        <w:t>结算时统一采用以下方式计算费用：当月含税结算总价 = 当月适用的不含税结算单价 × (1 + 增值税税率) × 当月实际验收合格数量</w:t>
      </w:r>
    </w:p>
    <w:p w14:paraId="21BBDA41">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③甲方需求品种包含但不限于明细表中所列的品种；未列入物资明细表内又需要购买的货品，其单价由甲方及乙方双方以定价原则确定供货价格。</w:t>
      </w:r>
    </w:p>
    <w:p w14:paraId="054FB627">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本合同约定增值税税率：为 %（即乙方在中标时申报并承诺可开具的增值税专用发票税率）。此税率在合同期内固定，除非国家税收法律强制调整。</w:t>
      </w:r>
    </w:p>
    <w:p w14:paraId="060A4C18">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default" w:ascii="宋体" w:hAnsi="宋体" w:eastAsia="宋体" w:cs="宋体"/>
          <w:color w:val="auto"/>
          <w:sz w:val="21"/>
          <w:szCs w:val="21"/>
          <w:highlight w:val="none"/>
          <w:shd w:val="clear" w:color="auto" w:fill="FFFFFF"/>
          <w:lang w:val="en-US" w:eastAsia="zh-CN"/>
        </w:rPr>
      </w:pPr>
      <w:r>
        <w:rPr>
          <w:rFonts w:hint="eastAsia" w:ascii="宋体" w:hAnsi="宋体" w:cs="宋体"/>
          <w:color w:val="auto"/>
          <w:szCs w:val="21"/>
          <w:highlight w:val="none"/>
          <w:lang w:val="en-US" w:eastAsia="zh-CN"/>
        </w:rPr>
        <w:t>4、合同总价：   元。</w:t>
      </w:r>
    </w:p>
    <w:p w14:paraId="2C7AA035">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第五条 服务期限及地点</w:t>
      </w:r>
    </w:p>
    <w:p w14:paraId="4EE730BA">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1、服务期：</w:t>
      </w:r>
      <w:r>
        <w:rPr>
          <w:rFonts w:hint="eastAsia" w:ascii="宋体" w:hAnsi="宋体" w:cs="宋体"/>
          <w:color w:val="auto"/>
          <w:sz w:val="21"/>
          <w:szCs w:val="21"/>
          <w:highlight w:val="none"/>
          <w:lang w:val="en-US" w:eastAsia="zh-CN"/>
        </w:rPr>
        <w:t>24</w:t>
      </w:r>
      <w:r>
        <w:rPr>
          <w:rFonts w:hint="eastAsia" w:ascii="宋体" w:hAnsi="宋体" w:eastAsia="宋体" w:cs="宋体"/>
          <w:color w:val="auto"/>
          <w:sz w:val="21"/>
          <w:szCs w:val="21"/>
          <w:highlight w:val="none"/>
          <w:lang w:val="en-US" w:eastAsia="zh-CN"/>
        </w:rPr>
        <w:t>个月，</w:t>
      </w:r>
      <w:r>
        <w:rPr>
          <w:rFonts w:hint="eastAsia" w:ascii="宋体" w:hAnsi="宋体" w:cs="宋体"/>
          <w:color w:val="auto"/>
          <w:sz w:val="21"/>
          <w:szCs w:val="21"/>
          <w:highlight w:val="none"/>
          <w:lang w:val="en-US" w:eastAsia="zh-CN"/>
        </w:rPr>
        <w:t>即</w:t>
      </w:r>
      <w:r>
        <w:rPr>
          <w:rFonts w:hint="eastAsia" w:ascii="宋体" w:hAnsi="宋体" w:eastAsia="宋体" w:cs="宋体"/>
          <w:color w:val="auto"/>
          <w:sz w:val="21"/>
          <w:szCs w:val="21"/>
          <w:highlight w:val="none"/>
        </w:rPr>
        <w:t>自       年  月  日至     年  月  日止。</w:t>
      </w:r>
      <w:r>
        <w:rPr>
          <w:rFonts w:hint="eastAsia" w:ascii="宋体" w:hAnsi="宋体" w:cs="宋体"/>
          <w:color w:val="auto"/>
          <w:szCs w:val="21"/>
          <w:highlight w:val="none"/>
        </w:rPr>
        <w:t>本项目按实际发生量结算，</w:t>
      </w:r>
      <w:r>
        <w:rPr>
          <w:rFonts w:hint="eastAsia" w:ascii="宋体" w:hAnsi="宋体" w:cs="宋体"/>
          <w:color w:val="auto"/>
          <w:szCs w:val="21"/>
          <w:highlight w:val="none"/>
          <w:lang w:val="en-US" w:eastAsia="zh-CN"/>
        </w:rPr>
        <w:t>若</w:t>
      </w:r>
      <w:r>
        <w:rPr>
          <w:rFonts w:hint="eastAsia" w:ascii="宋体" w:hAnsi="宋体" w:cs="宋体"/>
          <w:color w:val="auto"/>
          <w:szCs w:val="21"/>
          <w:highlight w:val="none"/>
        </w:rPr>
        <w:t>合同期</w:t>
      </w:r>
      <w:r>
        <w:rPr>
          <w:rFonts w:hint="eastAsia" w:ascii="宋体" w:hAnsi="宋体" w:cs="宋体"/>
          <w:color w:val="auto"/>
          <w:szCs w:val="21"/>
          <w:highlight w:val="none"/>
          <w:lang w:val="en-US" w:eastAsia="zh-CN"/>
        </w:rPr>
        <w:t>内</w:t>
      </w:r>
      <w:r>
        <w:rPr>
          <w:rFonts w:hint="eastAsia" w:ascii="宋体" w:hAnsi="宋体" w:cs="宋体"/>
          <w:color w:val="auto"/>
          <w:szCs w:val="21"/>
          <w:highlight w:val="none"/>
        </w:rPr>
        <w:t>结算金额达到</w:t>
      </w:r>
      <w:r>
        <w:rPr>
          <w:rFonts w:hint="eastAsia" w:ascii="宋体" w:hAnsi="宋体" w:cs="宋体"/>
          <w:color w:val="auto"/>
          <w:szCs w:val="21"/>
          <w:highlight w:val="none"/>
          <w:lang w:val="en-US" w:eastAsia="zh-CN"/>
        </w:rPr>
        <w:t>合同总额</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则</w:t>
      </w:r>
      <w:r>
        <w:rPr>
          <w:rFonts w:hint="eastAsia" w:ascii="宋体" w:hAnsi="宋体" w:cs="宋体"/>
          <w:color w:val="auto"/>
          <w:szCs w:val="21"/>
          <w:highlight w:val="none"/>
        </w:rPr>
        <w:t>本项目合同终止。</w:t>
      </w:r>
    </w:p>
    <w:p w14:paraId="01A7FE87">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eastAsia="宋体" w:cs="宋体"/>
          <w:color w:val="auto"/>
          <w:sz w:val="21"/>
          <w:szCs w:val="21"/>
          <w:highlight w:val="none"/>
        </w:rPr>
        <w:t>2、服</w:t>
      </w:r>
      <w:r>
        <w:rPr>
          <w:rFonts w:hint="eastAsia" w:ascii="宋体" w:hAnsi="宋体" w:eastAsia="宋体" w:cs="宋体"/>
          <w:color w:val="auto"/>
          <w:highlight w:val="none"/>
        </w:rPr>
        <w:t>务地点：</w:t>
      </w:r>
      <w:r>
        <w:rPr>
          <w:rFonts w:hint="eastAsia" w:ascii="宋体" w:hAnsi="宋体" w:cs="宋体"/>
          <w:color w:val="auto"/>
          <w:highlight w:val="none"/>
          <w:lang w:val="en-US" w:eastAsia="zh-CN"/>
        </w:rPr>
        <w:t>甲方</w:t>
      </w:r>
      <w:r>
        <w:rPr>
          <w:rFonts w:hint="eastAsia" w:ascii="宋体" w:hAnsi="宋体" w:eastAsia="宋体" w:cs="宋体"/>
          <w:color w:val="auto"/>
          <w:highlight w:val="none"/>
        </w:rPr>
        <w:t>指定地点分别为东莞市迎宾馆（地址：东莞市桃源路）；“莞萃园”中餐厅（地址：东莞鸿福路商圈东实C park三楼）</w:t>
      </w:r>
      <w:r>
        <w:rPr>
          <w:rFonts w:hint="eastAsia" w:ascii="宋体" w:hAnsi="宋体" w:cs="宋体"/>
          <w:color w:val="auto"/>
          <w:highlight w:val="none"/>
          <w:lang w:eastAsia="zh-CN"/>
        </w:rPr>
        <w:t>、</w:t>
      </w:r>
      <w:r>
        <w:rPr>
          <w:rFonts w:hint="eastAsia" w:ascii="宋体" w:hAnsi="宋体" w:cs="宋体"/>
          <w:color w:val="auto"/>
          <w:sz w:val="21"/>
          <w:szCs w:val="21"/>
          <w:highlight w:val="none"/>
          <w:lang w:val="en-US" w:eastAsia="zh-CN"/>
        </w:rPr>
        <w:t>东莞松湖迎宾里酒店有限公司（广东省东莞市松山湖园区博恒二路1号9栋2001室）、</w:t>
      </w:r>
      <w:r>
        <w:rPr>
          <w:rFonts w:hint="eastAsia" w:ascii="宋体" w:hAnsi="宋体" w:cs="宋体"/>
          <w:color w:val="auto"/>
          <w:highlight w:val="none"/>
          <w:lang w:eastAsia="zh-CN"/>
        </w:rPr>
        <w:t>东莞迎宾馆酒店有限公司松山湖分公司（东莞市大学路南大湾区大学（松山湖校区）-东门）。</w:t>
      </w:r>
    </w:p>
    <w:p w14:paraId="1194E030">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default"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rPr>
        <w:t>第六条 付款方式</w:t>
      </w:r>
      <w:r>
        <w:rPr>
          <w:rFonts w:hint="eastAsia" w:ascii="宋体" w:hAnsi="宋体" w:cs="宋体"/>
          <w:b/>
          <w:color w:val="auto"/>
          <w:sz w:val="21"/>
          <w:szCs w:val="21"/>
          <w:highlight w:val="none"/>
          <w:lang w:val="en-US" w:eastAsia="zh-CN"/>
        </w:rPr>
        <w:t>及供货价格要求</w:t>
      </w:r>
    </w:p>
    <w:p w14:paraId="631E5395">
      <w:pPr>
        <w:pStyle w:val="27"/>
        <w:keepNext w:val="0"/>
        <w:keepLines w:val="0"/>
        <w:pageBreakBefore w:val="0"/>
        <w:shd w:val="clear"/>
        <w:kinsoku w:val="0"/>
        <w:wordWrap w:val="0"/>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一）付款方式：</w:t>
      </w:r>
    </w:p>
    <w:p w14:paraId="30AFC6D5">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本合同的付款方式为：采取“先送货后结款”的方式，货款按月进行考核核算，当月含税结算总价 = 当月适用的不含税结算单价 × (1 + 增值税税率) × 当月实际验收合格数量。  </w:t>
      </w:r>
    </w:p>
    <w:p w14:paraId="7AF6433A">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2、每月结束后，</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在10日内根据上月的收货凭证与</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对上月货款进行确认结算。</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根据实际结算金额，开具符合法律规定和合同约定的增值税专用发票，并与其他请款资料一并提交给</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收到并核对无误后，20个工作日内以银行转账方式支付货款。</w:t>
      </w:r>
    </w:p>
    <w:p w14:paraId="779E251A">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3、收款方、发票的销售方、合同乙方均必须与</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名称一致。</w:t>
      </w:r>
    </w:p>
    <w:p w14:paraId="195A8128">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4、按照现行税收政策规定，每次付款前，</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必须提供合法有效、与本合同总价款条款中增值税税率一致（税收政策变化导致税率发生变化的除外）的增值税发票给</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，否则</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有权拒绝付款且不构成违约。</w:t>
      </w:r>
    </w:p>
    <w:p w14:paraId="5D8968D6">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二）</w:t>
      </w:r>
      <w:r>
        <w:rPr>
          <w:rFonts w:hint="eastAsia" w:ascii="宋体" w:hAnsi="宋体" w:eastAsia="宋体" w:cs="宋体"/>
          <w:color w:val="auto"/>
          <w:sz w:val="21"/>
          <w:szCs w:val="21"/>
          <w:highlight w:val="none"/>
          <w:lang w:eastAsia="zh-CN"/>
        </w:rPr>
        <w:t>供货价格要求</w:t>
      </w:r>
      <w:r>
        <w:rPr>
          <w:rFonts w:hint="eastAsia" w:ascii="宋体" w:hAnsi="宋体" w:cs="宋体"/>
          <w:color w:val="auto"/>
          <w:sz w:val="21"/>
          <w:szCs w:val="21"/>
          <w:highlight w:val="none"/>
          <w:lang w:eastAsia="zh-CN"/>
        </w:rPr>
        <w:t>：</w:t>
      </w:r>
    </w:p>
    <w:p w14:paraId="1F34BBF4">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1、本项目的供货价格形式为不含税单价，为</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指定目的地交货价。包含：购货成本、包装配送运输、保险、装卸、退换、雇员费用、</w:t>
      </w:r>
      <w:r>
        <w:rPr>
          <w:rFonts w:hint="eastAsia" w:ascii="宋体" w:hAnsi="宋体" w:eastAsia="宋体" w:cs="宋体"/>
          <w:color w:val="auto"/>
          <w:sz w:val="21"/>
          <w:szCs w:val="21"/>
          <w:highlight w:val="none"/>
        </w:rPr>
        <w:t>损耗费、样品费、包装费</w:t>
      </w:r>
      <w:r>
        <w:rPr>
          <w:rFonts w:hint="eastAsia" w:ascii="宋体" w:hAnsi="宋体" w:cs="宋体"/>
          <w:color w:val="auto"/>
          <w:szCs w:val="21"/>
          <w:highlight w:val="none"/>
        </w:rPr>
        <w:t>、检验检测费</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质保期售后服务等所有成本及合理利润，但不包含增值税。合同实施过程中的应预见和不可预见费用已包含在内，</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将拒绝支付合同约定价格之外的任何费用和补偿。</w:t>
      </w:r>
    </w:p>
    <w:p w14:paraId="7BB7BCC9">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2、中标后，建立价格调整机制，每一年调整一次价格。首个价格周期的结算单价以中标不含税单价执行。后续每个价格周期前5个工作日，根据</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进行的市场零售价抽样调查结果确定新的含税市场基准价。除出现市场上价格涨跌幅超过20%的情况外，原则上双方后续每个价格周期的结算价（不含税价）不得高于首个价格周期的结算单价（不含税价）。新的不含税结算单价按以下公式核定:新的不含税结算单价=新的含税市场基准价/(1+增值税税率)。新的含税市场基准价取深圳市中农数据有限公司(https://www.chinaap.net/#/zn)(天天采配平台)上月公布的每日价格(含费参考价)取平均值(平均值精确到分，即小数点后两位)，或者</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抽样调查的市场价。市场价抽样调查基准价=市场平均价=市场抽样价格之和/价格样本数，原则上价格样本数为3个，但市调时提供该商品的供应商不足3家除外。粮油干调类的市场价抽样调查，可选择大型综合超市或在东莞市细村市场、信立农批市场、宏远批发市场等市场进行市场价抽样调查，核定相同货品的市场平均价格。啤酒饮料类可选择大型综合超市、宏远批发市场等市场进行市场价抽样调查，核定相同货品的市场平均价格。</w:t>
      </w:r>
    </w:p>
    <w:p w14:paraId="4F6FF2F0">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注：①本合同项下的不含税结算单价按以下方式确定：</w:t>
      </w:r>
    </w:p>
    <w:p w14:paraId="14624A33">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（1）首个结算周期（自合同生效起至第一个价格调整日）内，执行中标不含税单价。</w:t>
      </w:r>
    </w:p>
    <w:p w14:paraId="2B1BB207">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（2）后续每个结算周期初，双方根据甲方按采购文件约定方式调查确定的新含税市场基准价，核定新的不含税结算单价，公式如下：</w:t>
      </w:r>
    </w:p>
    <w:p w14:paraId="18CACDAF">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周期内执行的不含税结算单价 = 新含税市场基准价 ÷ (1 + 增值税税率)</w:t>
      </w:r>
    </w:p>
    <w:p w14:paraId="28C03941">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②前述增值税税率以乙方能够向甲方开具的增值税专用发票上载明的税率为准，并在合同中明确约定为 %。若国家税收政策调整，应提供官方文件依据，双方协商调整。</w:t>
      </w:r>
    </w:p>
    <w:p w14:paraId="2A48CE39">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临时需求货品不在核定的供货价格清单内的，</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lang w:val="en-US" w:eastAsia="zh-CN"/>
        </w:rPr>
        <w:t>必须按</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要求供货，供货价格由双方按上述定价原则确定供货价格。</w:t>
      </w:r>
    </w:p>
    <w:p w14:paraId="24F9C482">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lang w:val="en-US" w:eastAsia="zh-CN"/>
        </w:rPr>
        <w:t>不得擅自变更货物品种及产地、包装、规格和重量等，严格按</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要求供应，否则</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有权拒收。对不易购买或暂时短缺的品种，经</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同意，可由乙方通过其它途径采购或使用指定替代品替换。</w:t>
      </w:r>
    </w:p>
    <w:p w14:paraId="6A59DE79">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根据自身的需求，有权终止某类中的某些商品的采购或变更某类商品的采购。</w:t>
      </w:r>
    </w:p>
    <w:p w14:paraId="1E9A3B03">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核定价格后若供货时期市场出现大品类价格升降在20%或以上时，双方均可以书面形式提出价格调整请求(未提出调整请求的部分则以原核定价格执行),双方通过市场调查核实后，按上述定价原则确定新的价格(双方确认生效后开始以新的价格执行，在此之前仍以原核定价格执行),除此之外，双方约定的供货物资价格在有效期内任何一方不得随意更改。若双方市场调查结果显示价格升降幅度不足20%，则暂不予调价，继续按原核定价格执行，至下一次价格调整节点，再按规定的定价原则重新定价。</w:t>
      </w:r>
    </w:p>
    <w:p w14:paraId="54C4AD08">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7、乙方必须为所甲方开通深圳市中农数据有限公司（天天采配平台）账号，具备价格查询功能，由此产生的本项目合同期内相关平台使用费用由乙方承担。</w:t>
      </w:r>
    </w:p>
    <w:p w14:paraId="624C6D68">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color w:val="auto"/>
          <w:sz w:val="21"/>
          <w:szCs w:val="21"/>
          <w:highlight w:val="none"/>
        </w:rPr>
      </w:pPr>
      <w:r>
        <w:rPr>
          <w:rFonts w:hint="eastAsia" w:ascii="宋体" w:hAnsi="宋体" w:cs="宋体"/>
          <w:color w:val="auto"/>
          <w:sz w:val="21"/>
          <w:szCs w:val="21"/>
          <w:highlight w:val="none"/>
          <w:lang w:val="en-US" w:eastAsia="zh-CN"/>
        </w:rPr>
        <w:t>8、</w:t>
      </w:r>
      <w:r>
        <w:rPr>
          <w:rFonts w:hint="eastAsia" w:ascii="宋体" w:hAnsi="宋体" w:cs="宋体"/>
          <w:color w:val="auto"/>
          <w:sz w:val="21"/>
          <w:szCs w:val="21"/>
          <w:highlight w:val="none"/>
        </w:rPr>
        <w:t>履约担保金额为：合同金额的5%</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即（  元）</w:t>
      </w:r>
      <w:r>
        <w:rPr>
          <w:rFonts w:hint="eastAsia" w:ascii="宋体" w:hAnsi="宋体" w:cs="宋体"/>
          <w:color w:val="auto"/>
          <w:sz w:val="21"/>
          <w:szCs w:val="21"/>
          <w:highlight w:val="none"/>
        </w:rPr>
        <w:t>。</w:t>
      </w:r>
    </w:p>
    <w:p w14:paraId="7CC047D8">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8.1</w:t>
      </w:r>
      <w:r>
        <w:rPr>
          <w:rFonts w:hint="eastAsia"/>
          <w:color w:val="auto"/>
          <w:sz w:val="21"/>
          <w:szCs w:val="21"/>
          <w:highlight w:val="none"/>
        </w:rPr>
        <w:t>.履约保证金账户信息：</w:t>
      </w:r>
    </w:p>
    <w:p w14:paraId="0FC2B7C5">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lang w:val="en-US" w:eastAsia="zh-CN"/>
        </w:rPr>
      </w:pPr>
      <w:r>
        <w:rPr>
          <w:rFonts w:hint="eastAsia"/>
          <w:color w:val="auto"/>
          <w:sz w:val="21"/>
          <w:szCs w:val="21"/>
          <w:highlight w:val="none"/>
          <w:lang w:val="en-US" w:eastAsia="zh-CN"/>
        </w:rPr>
        <w:t>账户：</w:t>
      </w:r>
    </w:p>
    <w:p w14:paraId="11D04611">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lang w:val="en-US" w:eastAsia="zh-CN"/>
        </w:rPr>
      </w:pPr>
      <w:r>
        <w:rPr>
          <w:rFonts w:hint="eastAsia"/>
          <w:color w:val="auto"/>
          <w:sz w:val="21"/>
          <w:szCs w:val="21"/>
          <w:highlight w:val="none"/>
          <w:lang w:val="en-US" w:eastAsia="zh-CN"/>
        </w:rPr>
        <w:t>账号：</w:t>
      </w:r>
    </w:p>
    <w:p w14:paraId="4F3E6285">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default"/>
          <w:color w:val="auto"/>
          <w:sz w:val="21"/>
          <w:szCs w:val="21"/>
          <w:highlight w:val="none"/>
          <w:lang w:val="en-US" w:eastAsia="zh-CN"/>
        </w:rPr>
      </w:pPr>
      <w:r>
        <w:rPr>
          <w:rFonts w:hint="eastAsia"/>
          <w:color w:val="auto"/>
          <w:sz w:val="21"/>
          <w:szCs w:val="21"/>
          <w:highlight w:val="none"/>
          <w:lang w:val="en-US" w:eastAsia="zh-CN"/>
        </w:rPr>
        <w:t>开户行：</w:t>
      </w:r>
    </w:p>
    <w:p w14:paraId="710D8955">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8.2乙方</w:t>
      </w:r>
      <w:r>
        <w:rPr>
          <w:rFonts w:hint="eastAsia"/>
          <w:color w:val="auto"/>
          <w:sz w:val="21"/>
          <w:szCs w:val="21"/>
          <w:highlight w:val="none"/>
        </w:rPr>
        <w:t>在采购（合同签署）时提交履约担保，履约担保金额为中标合同金额的5%，如果</w:t>
      </w:r>
      <w:r>
        <w:rPr>
          <w:rFonts w:hint="eastAsia"/>
          <w:color w:val="auto"/>
          <w:sz w:val="21"/>
          <w:szCs w:val="21"/>
          <w:highlight w:val="none"/>
          <w:lang w:val="en-US" w:eastAsia="zh-CN"/>
        </w:rPr>
        <w:t>乙方</w:t>
      </w:r>
      <w:r>
        <w:rPr>
          <w:rFonts w:hint="eastAsia"/>
          <w:color w:val="auto"/>
          <w:sz w:val="21"/>
          <w:szCs w:val="21"/>
          <w:highlight w:val="none"/>
        </w:rPr>
        <w:t>提交的履约保函的有效期先于合同要求的履约保函有效期到达，</w:t>
      </w:r>
      <w:r>
        <w:rPr>
          <w:rFonts w:hint="eastAsia"/>
          <w:color w:val="auto"/>
          <w:sz w:val="21"/>
          <w:szCs w:val="21"/>
          <w:highlight w:val="none"/>
          <w:lang w:val="en-US" w:eastAsia="zh-CN"/>
        </w:rPr>
        <w:t>乙方</w:t>
      </w:r>
      <w:r>
        <w:rPr>
          <w:rFonts w:hint="eastAsia"/>
          <w:color w:val="auto"/>
          <w:sz w:val="21"/>
          <w:szCs w:val="21"/>
          <w:highlight w:val="none"/>
        </w:rPr>
        <w:t>应在原提交的履约保函有效期满前15天，无条件办理保函延期手续。否则，视为</w:t>
      </w:r>
      <w:r>
        <w:rPr>
          <w:rFonts w:hint="eastAsia"/>
          <w:color w:val="auto"/>
          <w:sz w:val="21"/>
          <w:szCs w:val="21"/>
          <w:highlight w:val="none"/>
          <w:lang w:val="en-US" w:eastAsia="zh-CN"/>
        </w:rPr>
        <w:t>乙方</w:t>
      </w:r>
      <w:r>
        <w:rPr>
          <w:rFonts w:hint="eastAsia"/>
          <w:color w:val="auto"/>
          <w:sz w:val="21"/>
          <w:szCs w:val="21"/>
          <w:highlight w:val="none"/>
        </w:rPr>
        <w:t>违约，</w:t>
      </w:r>
      <w:r>
        <w:rPr>
          <w:rFonts w:hint="eastAsia"/>
          <w:color w:val="auto"/>
          <w:sz w:val="21"/>
          <w:szCs w:val="21"/>
          <w:highlight w:val="none"/>
          <w:lang w:val="en-US" w:eastAsia="zh-CN"/>
        </w:rPr>
        <w:t>甲方</w:t>
      </w:r>
      <w:r>
        <w:rPr>
          <w:rFonts w:hint="eastAsia"/>
          <w:color w:val="auto"/>
          <w:sz w:val="21"/>
          <w:szCs w:val="21"/>
          <w:highlight w:val="none"/>
        </w:rPr>
        <w:t>可在保函到期前将保函金额转为现金存入履约保证金账户。</w:t>
      </w:r>
    </w:p>
    <w:p w14:paraId="74FF6FCB">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8.3</w:t>
      </w:r>
      <w:r>
        <w:rPr>
          <w:rFonts w:hint="eastAsia"/>
          <w:color w:val="auto"/>
          <w:sz w:val="21"/>
          <w:szCs w:val="21"/>
          <w:highlight w:val="none"/>
        </w:rPr>
        <w:t>履约担保期限从合同签订之日起至项目服务期结束验收合格并结算完毕后，经双方签字7天内保持有效。</w:t>
      </w:r>
    </w:p>
    <w:p w14:paraId="59C29AA7">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8.4</w:t>
      </w:r>
      <w:r>
        <w:rPr>
          <w:rFonts w:hint="eastAsia"/>
          <w:color w:val="auto"/>
          <w:sz w:val="21"/>
          <w:szCs w:val="21"/>
          <w:highlight w:val="none"/>
        </w:rPr>
        <w:t>履约担保可以采用下列任何一种形式：</w:t>
      </w:r>
    </w:p>
    <w:p w14:paraId="5D0910C2">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rPr>
        <w:t>（1）履约保函。如果</w:t>
      </w:r>
      <w:r>
        <w:rPr>
          <w:rFonts w:hint="eastAsia"/>
          <w:color w:val="auto"/>
          <w:sz w:val="21"/>
          <w:szCs w:val="21"/>
          <w:highlight w:val="none"/>
          <w:lang w:val="en-US" w:eastAsia="zh-CN"/>
        </w:rPr>
        <w:t>乙方</w:t>
      </w:r>
      <w:r>
        <w:rPr>
          <w:rFonts w:hint="eastAsia"/>
          <w:color w:val="auto"/>
          <w:sz w:val="21"/>
          <w:szCs w:val="21"/>
          <w:highlight w:val="none"/>
        </w:rPr>
        <w:t>的履约担保是以银行保函形式提供的，则该银行保函应：</w:t>
      </w:r>
    </w:p>
    <w:p w14:paraId="10E7C55E">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rPr>
        <w:t>①保函应由银行支行或以上银行机构开具。</w:t>
      </w:r>
    </w:p>
    <w:p w14:paraId="2D70CD63">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rPr>
        <w:t>②保函的格式参考投标文件附件中提供的无条件、不可撤销履约保函格式，保函担保期内若项目延期，保函必须延期，办理延期手续时在银行方面所产生费用由中标人负责。</w:t>
      </w:r>
    </w:p>
    <w:p w14:paraId="48CE52CF">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rPr>
        <w:t>③履约保函必须打印，手写、涂改无效。</w:t>
      </w:r>
    </w:p>
    <w:p w14:paraId="3F3F99C0">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rPr>
        <w:t>（2）履约保证金。可采用电汇、银行汇票等银行转账方式提交，但不可以采用现金方式提交。</w:t>
      </w:r>
    </w:p>
    <w:p w14:paraId="2DCA7E4B">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rPr>
        <w:t>①若</w:t>
      </w:r>
      <w:r>
        <w:rPr>
          <w:rFonts w:hint="eastAsia"/>
          <w:color w:val="auto"/>
          <w:sz w:val="21"/>
          <w:szCs w:val="21"/>
          <w:highlight w:val="none"/>
          <w:lang w:val="en-US" w:eastAsia="zh-CN"/>
        </w:rPr>
        <w:t>乙方</w:t>
      </w:r>
      <w:r>
        <w:rPr>
          <w:rFonts w:hint="eastAsia"/>
          <w:color w:val="auto"/>
          <w:sz w:val="21"/>
          <w:szCs w:val="21"/>
          <w:highlight w:val="none"/>
        </w:rPr>
        <w:t>不能按本采购文件（履约担保形式中第（1）点和第（2）点）的规定提交履约担保的，</w:t>
      </w:r>
      <w:r>
        <w:rPr>
          <w:rFonts w:hint="eastAsia"/>
          <w:color w:val="auto"/>
          <w:sz w:val="21"/>
          <w:szCs w:val="21"/>
          <w:highlight w:val="none"/>
          <w:lang w:val="en-US" w:eastAsia="zh-CN"/>
        </w:rPr>
        <w:t>甲方</w:t>
      </w:r>
      <w:r>
        <w:rPr>
          <w:rFonts w:hint="eastAsia"/>
          <w:color w:val="auto"/>
          <w:sz w:val="21"/>
          <w:szCs w:val="21"/>
          <w:highlight w:val="none"/>
        </w:rPr>
        <w:t>将有权取消</w:t>
      </w:r>
      <w:r>
        <w:rPr>
          <w:rFonts w:hint="eastAsia"/>
          <w:color w:val="auto"/>
          <w:sz w:val="21"/>
          <w:szCs w:val="21"/>
          <w:highlight w:val="none"/>
          <w:lang w:val="en-US" w:eastAsia="zh-CN"/>
        </w:rPr>
        <w:t>乙方</w:t>
      </w:r>
      <w:r>
        <w:rPr>
          <w:rFonts w:hint="eastAsia"/>
          <w:color w:val="auto"/>
          <w:sz w:val="21"/>
          <w:szCs w:val="21"/>
          <w:highlight w:val="none"/>
        </w:rPr>
        <w:t>的中标资格（</w:t>
      </w:r>
      <w:r>
        <w:rPr>
          <w:rFonts w:hint="eastAsia"/>
          <w:color w:val="auto"/>
          <w:sz w:val="21"/>
          <w:szCs w:val="21"/>
          <w:highlight w:val="none"/>
          <w:lang w:val="en-US" w:eastAsia="zh-CN"/>
        </w:rPr>
        <w:t>甲方</w:t>
      </w:r>
      <w:r>
        <w:rPr>
          <w:rFonts w:hint="eastAsia"/>
          <w:color w:val="auto"/>
          <w:sz w:val="21"/>
          <w:szCs w:val="21"/>
          <w:highlight w:val="none"/>
        </w:rPr>
        <w:t>可以按照评标委员会提出的中标候选人名单排序依次确定其他中标候选人为</w:t>
      </w:r>
      <w:r>
        <w:rPr>
          <w:rFonts w:hint="eastAsia"/>
          <w:color w:val="auto"/>
          <w:sz w:val="21"/>
          <w:szCs w:val="21"/>
          <w:highlight w:val="none"/>
          <w:lang w:val="en-US" w:eastAsia="zh-CN"/>
        </w:rPr>
        <w:t>乙方</w:t>
      </w:r>
      <w:r>
        <w:rPr>
          <w:rFonts w:hint="eastAsia"/>
          <w:color w:val="auto"/>
          <w:sz w:val="21"/>
          <w:szCs w:val="21"/>
          <w:highlight w:val="none"/>
        </w:rPr>
        <w:t>，也可以重新采购），投标保证金不予退还，给</w:t>
      </w:r>
      <w:r>
        <w:rPr>
          <w:rFonts w:hint="eastAsia"/>
          <w:color w:val="auto"/>
          <w:sz w:val="21"/>
          <w:szCs w:val="21"/>
          <w:highlight w:val="none"/>
          <w:lang w:val="en-US" w:eastAsia="zh-CN"/>
        </w:rPr>
        <w:t>甲方</w:t>
      </w:r>
      <w:r>
        <w:rPr>
          <w:rFonts w:hint="eastAsia"/>
          <w:color w:val="auto"/>
          <w:sz w:val="21"/>
          <w:szCs w:val="21"/>
          <w:highlight w:val="none"/>
        </w:rPr>
        <w:t>造成的损失如果超过投标保证金数额的，还应当对超过部分予以赔偿。</w:t>
      </w:r>
    </w:p>
    <w:p w14:paraId="19EF2A04">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8.5</w:t>
      </w:r>
      <w:r>
        <w:rPr>
          <w:rFonts w:hint="eastAsia"/>
          <w:color w:val="auto"/>
          <w:sz w:val="21"/>
          <w:szCs w:val="21"/>
          <w:highlight w:val="none"/>
        </w:rPr>
        <w:t>为取得履约担保所需的费用，由</w:t>
      </w:r>
      <w:r>
        <w:rPr>
          <w:rFonts w:hint="eastAsia"/>
          <w:color w:val="auto"/>
          <w:sz w:val="21"/>
          <w:szCs w:val="21"/>
          <w:highlight w:val="none"/>
          <w:lang w:val="en-US" w:eastAsia="zh-CN"/>
        </w:rPr>
        <w:t>乙方</w:t>
      </w:r>
      <w:r>
        <w:rPr>
          <w:rFonts w:hint="eastAsia"/>
          <w:color w:val="auto"/>
          <w:sz w:val="21"/>
          <w:szCs w:val="21"/>
          <w:highlight w:val="none"/>
        </w:rPr>
        <w:t>承担；若服务期延长，履约担保时间延长，延长费用由</w:t>
      </w:r>
      <w:r>
        <w:rPr>
          <w:rFonts w:hint="eastAsia"/>
          <w:color w:val="auto"/>
          <w:sz w:val="21"/>
          <w:szCs w:val="21"/>
          <w:highlight w:val="none"/>
          <w:lang w:val="en-US" w:eastAsia="zh-CN"/>
        </w:rPr>
        <w:t>乙方</w:t>
      </w:r>
      <w:r>
        <w:rPr>
          <w:rFonts w:hint="eastAsia"/>
          <w:color w:val="auto"/>
          <w:sz w:val="21"/>
          <w:szCs w:val="21"/>
          <w:highlight w:val="none"/>
        </w:rPr>
        <w:t>承担。</w:t>
      </w:r>
    </w:p>
    <w:p w14:paraId="1B9FCCCD">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8.6</w:t>
      </w:r>
      <w:r>
        <w:rPr>
          <w:rFonts w:hint="eastAsia"/>
          <w:color w:val="auto"/>
          <w:sz w:val="21"/>
          <w:szCs w:val="21"/>
          <w:highlight w:val="none"/>
        </w:rPr>
        <w:t>若</w:t>
      </w:r>
      <w:r>
        <w:rPr>
          <w:rFonts w:hint="eastAsia"/>
          <w:color w:val="auto"/>
          <w:sz w:val="21"/>
          <w:szCs w:val="21"/>
          <w:highlight w:val="none"/>
          <w:lang w:val="en-US" w:eastAsia="zh-CN"/>
        </w:rPr>
        <w:t>乙方</w:t>
      </w:r>
      <w:r>
        <w:rPr>
          <w:rFonts w:hint="eastAsia"/>
          <w:color w:val="auto"/>
          <w:sz w:val="21"/>
          <w:szCs w:val="21"/>
          <w:highlight w:val="none"/>
        </w:rPr>
        <w:t>在合同履行过程中出现食品安全事件、违约等情况，</w:t>
      </w:r>
      <w:r>
        <w:rPr>
          <w:rFonts w:hint="eastAsia"/>
          <w:color w:val="auto"/>
          <w:sz w:val="21"/>
          <w:szCs w:val="21"/>
          <w:highlight w:val="none"/>
          <w:lang w:val="en-US" w:eastAsia="zh-CN"/>
        </w:rPr>
        <w:t>甲方</w:t>
      </w:r>
      <w:r>
        <w:rPr>
          <w:rFonts w:hint="eastAsia"/>
          <w:color w:val="auto"/>
          <w:sz w:val="21"/>
          <w:szCs w:val="21"/>
          <w:highlight w:val="none"/>
        </w:rPr>
        <w:t>在经核查属实后，有权将履约保函金额转为现金存入履约保证金账户；</w:t>
      </w:r>
      <w:r>
        <w:rPr>
          <w:rFonts w:hint="eastAsia"/>
          <w:color w:val="auto"/>
          <w:sz w:val="21"/>
          <w:szCs w:val="21"/>
          <w:highlight w:val="none"/>
          <w:lang w:val="en-US" w:eastAsia="zh-CN"/>
        </w:rPr>
        <w:t>乙方</w:t>
      </w:r>
      <w:r>
        <w:rPr>
          <w:rFonts w:hint="eastAsia"/>
          <w:color w:val="auto"/>
          <w:sz w:val="21"/>
          <w:szCs w:val="21"/>
          <w:highlight w:val="none"/>
        </w:rPr>
        <w:t>造成</w:t>
      </w:r>
      <w:r>
        <w:rPr>
          <w:rFonts w:hint="eastAsia"/>
          <w:color w:val="auto"/>
          <w:sz w:val="21"/>
          <w:szCs w:val="21"/>
          <w:highlight w:val="none"/>
          <w:lang w:val="en-US" w:eastAsia="zh-CN"/>
        </w:rPr>
        <w:t>甲方</w:t>
      </w:r>
      <w:r>
        <w:rPr>
          <w:rFonts w:hint="eastAsia"/>
          <w:color w:val="auto"/>
          <w:sz w:val="21"/>
          <w:szCs w:val="21"/>
          <w:highlight w:val="none"/>
        </w:rPr>
        <w:t>损失的，</w:t>
      </w:r>
      <w:r>
        <w:rPr>
          <w:rFonts w:hint="eastAsia"/>
          <w:color w:val="auto"/>
          <w:sz w:val="21"/>
          <w:szCs w:val="21"/>
          <w:highlight w:val="none"/>
          <w:lang w:val="en-US" w:eastAsia="zh-CN"/>
        </w:rPr>
        <w:t>甲方</w:t>
      </w:r>
      <w:r>
        <w:rPr>
          <w:rFonts w:hint="eastAsia"/>
          <w:color w:val="auto"/>
          <w:sz w:val="21"/>
          <w:szCs w:val="21"/>
          <w:highlight w:val="none"/>
        </w:rPr>
        <w:t>有权立即没收其履约担保，若造成损失超过履约担保的，还应当对超过部分予以赔偿。</w:t>
      </w:r>
    </w:p>
    <w:p w14:paraId="1CF49568">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8.7</w:t>
      </w:r>
      <w:r>
        <w:rPr>
          <w:rFonts w:hint="eastAsia"/>
          <w:color w:val="auto"/>
          <w:sz w:val="21"/>
          <w:szCs w:val="21"/>
          <w:highlight w:val="none"/>
        </w:rPr>
        <w:t>下列任何情况发生时，</w:t>
      </w:r>
      <w:r>
        <w:rPr>
          <w:rFonts w:hint="eastAsia"/>
          <w:color w:val="auto"/>
          <w:sz w:val="21"/>
          <w:szCs w:val="21"/>
          <w:highlight w:val="none"/>
          <w:lang w:val="en-US" w:eastAsia="zh-CN"/>
        </w:rPr>
        <w:t>甲方</w:t>
      </w:r>
      <w:r>
        <w:rPr>
          <w:rFonts w:hint="eastAsia"/>
          <w:color w:val="auto"/>
          <w:sz w:val="21"/>
          <w:szCs w:val="21"/>
          <w:highlight w:val="none"/>
        </w:rPr>
        <w:t>有权行使享有的担保权利：</w:t>
      </w:r>
    </w:p>
    <w:p w14:paraId="06C0DE97">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rPr>
        <w:t>（1）</w:t>
      </w:r>
      <w:r>
        <w:rPr>
          <w:rFonts w:hint="eastAsia"/>
          <w:color w:val="auto"/>
          <w:sz w:val="21"/>
          <w:szCs w:val="21"/>
          <w:highlight w:val="none"/>
          <w:lang w:val="en-US" w:eastAsia="zh-CN"/>
        </w:rPr>
        <w:t>乙方</w:t>
      </w:r>
      <w:r>
        <w:rPr>
          <w:rFonts w:hint="eastAsia"/>
          <w:color w:val="auto"/>
          <w:sz w:val="21"/>
          <w:szCs w:val="21"/>
          <w:highlight w:val="none"/>
        </w:rPr>
        <w:t>将本项目转让给他人，或者在投标文件中未说明，且未经</w:t>
      </w:r>
      <w:r>
        <w:rPr>
          <w:rFonts w:hint="eastAsia"/>
          <w:color w:val="auto"/>
          <w:sz w:val="21"/>
          <w:szCs w:val="21"/>
          <w:highlight w:val="none"/>
          <w:lang w:val="en-US" w:eastAsia="zh-CN"/>
        </w:rPr>
        <w:t>甲方</w:t>
      </w:r>
      <w:r>
        <w:rPr>
          <w:rFonts w:hint="eastAsia"/>
          <w:color w:val="auto"/>
          <w:sz w:val="21"/>
          <w:szCs w:val="21"/>
          <w:highlight w:val="none"/>
        </w:rPr>
        <w:t>同意，将中标项目分包给他人的；</w:t>
      </w:r>
    </w:p>
    <w:p w14:paraId="5BAC040D">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rPr>
        <w:t>（2）</w:t>
      </w:r>
      <w:r>
        <w:rPr>
          <w:rFonts w:hint="eastAsia"/>
          <w:color w:val="auto"/>
          <w:sz w:val="21"/>
          <w:szCs w:val="21"/>
          <w:highlight w:val="none"/>
          <w:lang w:val="en-US" w:eastAsia="zh-CN"/>
        </w:rPr>
        <w:t>乙方</w:t>
      </w:r>
      <w:r>
        <w:rPr>
          <w:rFonts w:hint="eastAsia"/>
          <w:color w:val="auto"/>
          <w:sz w:val="21"/>
          <w:szCs w:val="21"/>
          <w:highlight w:val="none"/>
        </w:rPr>
        <w:t>在履行合同期间，违反有关法律法规的规定或合同约定。</w:t>
      </w:r>
    </w:p>
    <w:p w14:paraId="4EF3B300">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8.8无论因何种原因导致履约担保被甲方扣收，乙方均应在收到甲方书面通知后5个工作日内，向甲方重新足额提交符合本合同要求的履约担保。若乙方未按时补足，甲方有权在未付款项中扣收差额部分。</w:t>
      </w:r>
    </w:p>
    <w:p w14:paraId="4C2C9E0C">
      <w:pPr>
        <w:pStyle w:val="27"/>
        <w:keepNext w:val="0"/>
        <w:keepLines w:val="0"/>
        <w:pageBreakBefore w:val="0"/>
        <w:shd w:val="clear"/>
        <w:kinsoku w:val="0"/>
        <w:wordWrap w:val="0"/>
        <w:overflowPunct/>
        <w:topLinePunct w:val="0"/>
        <w:autoSpaceDE/>
        <w:autoSpaceDN/>
        <w:bidi w:val="0"/>
        <w:adjustRightInd w:val="0"/>
        <w:snapToGrid w:val="0"/>
        <w:spacing w:line="440" w:lineRule="exact"/>
        <w:ind w:firstLine="420" w:firstLineChars="200"/>
        <w:textAlignment w:val="auto"/>
        <w:rPr>
          <w:rFonts w:hint="default" w:ascii="宋体" w:hAnsi="宋体" w:eastAsia="宋体" w:cs="宋体"/>
          <w:color w:val="auto"/>
          <w:sz w:val="21"/>
          <w:szCs w:val="21"/>
          <w:highlight w:val="none"/>
          <w:lang w:val="en-US" w:eastAsia="zh-CN"/>
        </w:rPr>
      </w:pPr>
      <w:r>
        <w:rPr>
          <w:rFonts w:hint="eastAsia"/>
          <w:color w:val="auto"/>
          <w:sz w:val="21"/>
          <w:szCs w:val="21"/>
          <w:highlight w:val="none"/>
          <w:lang w:val="en-US" w:eastAsia="zh-CN"/>
        </w:rPr>
        <w:t>8.9</w:t>
      </w:r>
      <w:r>
        <w:rPr>
          <w:rFonts w:hint="eastAsia"/>
          <w:color w:val="auto"/>
          <w:sz w:val="21"/>
          <w:szCs w:val="21"/>
          <w:highlight w:val="none"/>
        </w:rPr>
        <w:t>在整个项目服务期结束后，</w:t>
      </w:r>
      <w:r>
        <w:rPr>
          <w:rFonts w:hint="eastAsia"/>
          <w:color w:val="auto"/>
          <w:sz w:val="21"/>
          <w:szCs w:val="21"/>
          <w:highlight w:val="none"/>
          <w:lang w:val="en-US" w:eastAsia="zh-CN"/>
        </w:rPr>
        <w:t>乙方</w:t>
      </w:r>
      <w:r>
        <w:rPr>
          <w:rFonts w:hint="eastAsia"/>
          <w:color w:val="auto"/>
          <w:sz w:val="21"/>
          <w:szCs w:val="21"/>
          <w:highlight w:val="none"/>
        </w:rPr>
        <w:t>向</w:t>
      </w:r>
      <w:r>
        <w:rPr>
          <w:rFonts w:hint="eastAsia"/>
          <w:color w:val="auto"/>
          <w:sz w:val="21"/>
          <w:szCs w:val="21"/>
          <w:highlight w:val="none"/>
          <w:lang w:val="en-US" w:eastAsia="zh-CN"/>
        </w:rPr>
        <w:t>甲方</w:t>
      </w:r>
      <w:r>
        <w:rPr>
          <w:rFonts w:hint="eastAsia"/>
          <w:color w:val="auto"/>
          <w:sz w:val="21"/>
          <w:szCs w:val="21"/>
          <w:highlight w:val="none"/>
        </w:rPr>
        <w:t>提交退回履约担保的申请，</w:t>
      </w:r>
      <w:r>
        <w:rPr>
          <w:rFonts w:hint="eastAsia"/>
          <w:color w:val="auto"/>
          <w:sz w:val="21"/>
          <w:szCs w:val="21"/>
          <w:highlight w:val="none"/>
          <w:lang w:val="en-US" w:eastAsia="zh-CN"/>
        </w:rPr>
        <w:t>甲方</w:t>
      </w:r>
      <w:r>
        <w:rPr>
          <w:rFonts w:hint="eastAsia"/>
          <w:color w:val="auto"/>
          <w:sz w:val="21"/>
          <w:szCs w:val="21"/>
          <w:highlight w:val="none"/>
        </w:rPr>
        <w:t>办理履约担保退还手续。</w:t>
      </w:r>
    </w:p>
    <w:p w14:paraId="75D2A2C6">
      <w:pPr>
        <w:pStyle w:val="27"/>
        <w:keepNext w:val="0"/>
        <w:keepLines w:val="0"/>
        <w:pageBreakBefore w:val="0"/>
        <w:shd w:val="clear"/>
        <w:kinsoku w:val="0"/>
        <w:wordWrap w:val="0"/>
        <w:overflowPunct/>
        <w:topLinePunct w:val="0"/>
        <w:autoSpaceDE/>
        <w:autoSpaceDN/>
        <w:bidi w:val="0"/>
        <w:adjustRightInd w:val="0"/>
        <w:snapToGrid w:val="0"/>
        <w:spacing w:line="400" w:lineRule="exact"/>
        <w:textAlignment w:val="auto"/>
        <w:rPr>
          <w:rFonts w:hint="default"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rPr>
        <w:t>第七条  其它约定</w:t>
      </w:r>
      <w:r>
        <w:rPr>
          <w:rFonts w:hint="eastAsia" w:ascii="宋体" w:hAnsi="宋体" w:cs="宋体"/>
          <w:b/>
          <w:color w:val="auto"/>
          <w:sz w:val="21"/>
          <w:szCs w:val="21"/>
          <w:highlight w:val="none"/>
          <w:lang w:val="en-US" w:eastAsia="zh-CN"/>
        </w:rPr>
        <w:t>及验收标准</w:t>
      </w:r>
    </w:p>
    <w:p w14:paraId="3C9D06B8">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一）验收标准：</w:t>
      </w:r>
    </w:p>
    <w:p w14:paraId="643BBE10">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1.项目验收依次序对照执行标准：</w:t>
      </w:r>
    </w:p>
    <w:p w14:paraId="287CE799">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1.1符合中华人民共和国国家和履约地相关安全质量标准、行业技术规范标准；</w:t>
      </w:r>
    </w:p>
    <w:p w14:paraId="25B245DC">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1.2符合招标文件和响应承诺中各方共同认可的各项要求；</w:t>
      </w:r>
    </w:p>
    <w:p w14:paraId="212D6EBE">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1.3符合货物来源国官方颁布标准。</w:t>
      </w:r>
    </w:p>
    <w:p w14:paraId="4AB01528">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1.4上述各类标准与法规必须是有关官方机构最新发布的现行标准版本。 </w:t>
      </w:r>
    </w:p>
    <w:p w14:paraId="5C0BF434">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2.做好卸货前的检查：</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和</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双方的验收人员卸货前应对场地和验收设备做好准备，并对商品的外观质量进行初步了解。如发现食品有损坏情况等，应在相关单据上记录损坏情况，建议对损坏情况进行拍照存档。保证斤两的准确性，经</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的验货数量为准，</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每次随货送上一式两份的送货单，</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验货后签订确认，</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双方各持一份，作为收货、结算的凭证。</w:t>
      </w:r>
    </w:p>
    <w:p w14:paraId="04DC1605">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食品运输采用符合国家标准的外包装和运输工具：保持清洁和定期消毒，车厢内无不良气味、异味。冷藏、冷冻食品采用专用冷藏、冷冻载具运输，在运输过程中保持安全的冷藏、冷冻温度，冷冻食品没有曾经解冻痕迹或软化现象，包装呈干爽状态。食品应清洁，无损伤、腐烂现象，外包装完整，无寄生虫或已受虫害现象。</w:t>
      </w:r>
    </w:p>
    <w:p w14:paraId="3BCC7FD8">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4.采取现场验收的方式：验收人员应认真检查物资的质量，按索票—验证—抽查—过磅—入库的程序完成验收，</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可提供原件的留原件，原件只有一份而无法提供给</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的查验原件后索取复印件留存。</w:t>
      </w:r>
    </w:p>
    <w:p w14:paraId="1997302A">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5.每批次每种货物均抽查验收。</w:t>
      </w:r>
    </w:p>
    <w:p w14:paraId="6F667563">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6.按项目需求的描述要求对货物质量进行抽查。</w:t>
      </w:r>
    </w:p>
    <w:p w14:paraId="619D087E">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7.抽查发现食品安全质量问题的处理：</w:t>
      </w:r>
    </w:p>
    <w:p w14:paraId="4D569E30">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7.1对危及人身安全的食品质量问题采取零容忍措施，一经发现，当日所送同批次产品全部退货，如水产品中发现河豚鱼，发现腐败变质肉类等；</w:t>
      </w:r>
    </w:p>
    <w:p w14:paraId="59BCA528">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7.2若抽查未发现问题，而在加工食用前发现部分产品质量问题，应立即通知单位伙食物资验收小组及</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，将问题产品退货处理。</w:t>
      </w:r>
    </w:p>
    <w:p w14:paraId="49D33C35">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7.3如有任何货品未能达标，乙方保证当天内，全数更换，并承担所有有关费用。如遇紧急情况，乙方应配合酒店及时退换货，如果未及时退换，致使酒店自行采购或者找其他供应商送货，由此产生的差价由乙方承担，如果因此影响酒店运营，造成的经济损失由乙方承担。</w:t>
      </w:r>
    </w:p>
    <w:p w14:paraId="3E1AA8C6">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8.抽查发现资质证照不全问题的处理：</w:t>
      </w:r>
    </w:p>
    <w:p w14:paraId="20DF273D">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8.1整批产品无政府部门出具的动植物检疫合格证明的全部退货；</w:t>
      </w:r>
    </w:p>
    <w:p w14:paraId="5CBC90C2">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8.2抽查发现部分产品无政府部门出具的动植物检疫合格证明，将无动植物检疫合格证明的货物退货；再加抽15%，两次抽查数50%以上没有动植物检疫合格证明的，全部退货；</w:t>
      </w:r>
    </w:p>
    <w:p w14:paraId="3AF73572">
      <w:pPr>
        <w:keepNext w:val="0"/>
        <w:keepLines w:val="0"/>
        <w:pageBreakBefore w:val="0"/>
        <w:widowControl/>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8.3整批产品有省地市出具的动植物检疫合格证明，随箱产品合格证不齐全的，将无产品合格证明的货物退货；再加抽15%，两次抽查数50%以上没有产品合格证的，全部退货。</w:t>
      </w:r>
    </w:p>
    <w:p w14:paraId="3AE48954">
      <w:pPr>
        <w:keepNext w:val="0"/>
        <w:keepLines w:val="0"/>
        <w:pageBreakBefore w:val="0"/>
        <w:widowControl/>
        <w:shd w:val="clear"/>
        <w:kinsoku w:val="0"/>
        <w:wordWrap w:val="0"/>
        <w:overflowPunct/>
        <w:topLinePunct w:val="0"/>
        <w:autoSpaceDE/>
        <w:autoSpaceDN/>
        <w:bidi w:val="0"/>
        <w:adjustRightInd w:val="0"/>
        <w:snapToGrid w:val="0"/>
        <w:spacing w:after="0"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9.货物的质量问题争议及解决办法：因货物的质量问题发生争议，由东莞市市场监督管理局或国家法定的质量鉴定相关单位进行质量鉴定。货物符合质量标准的，鉴定费由</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承担；货物不符合质量标准的，鉴定费由</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承担，并且</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有权追究</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的相关责任。</w:t>
      </w:r>
    </w:p>
    <w:p w14:paraId="01B714B9">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二）其他约定：</w:t>
      </w:r>
    </w:p>
    <w:p w14:paraId="7B7C4DB1">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1、严禁转包，未经甲方书面同意不得分包。</w:t>
      </w:r>
    </w:p>
    <w:p w14:paraId="334BF56C">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2、乙方全部工作人员，须符合东莞市政府用工标准要求。</w:t>
      </w:r>
    </w:p>
    <w:p w14:paraId="0FA24368">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3、乙方服务人员进行服务期间的过失或故意行为，造成甲方经济损失的，由乙方负责赔偿。</w:t>
      </w:r>
    </w:p>
    <w:p w14:paraId="0854D1A4">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4、服务人员的劳动关系隶属乙方，乙方负责服务人员的工资、节假日和超时加班补助费、社会保险、住宿、伙食等。</w:t>
      </w:r>
    </w:p>
    <w:p w14:paraId="5BB5E05A">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5、乙方负责本项目服务人员购买因意外身故或伤残和因意外事故住院治疗保险，并负责办理一切保险赔偿手续。</w:t>
      </w:r>
    </w:p>
    <w:p w14:paraId="6B619F69">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6、乙方须购买食品安全责任险及商业综合责任险，并在成为甲方正式供应商后于相关采购合同或采购订单的履行期限内始终保持其有效性。</w:t>
      </w:r>
    </w:p>
    <w:p w14:paraId="0C8E0CB1">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第</w:t>
      </w:r>
      <w:r>
        <w:rPr>
          <w:rFonts w:hint="eastAsia" w:ascii="宋体" w:hAnsi="宋体" w:eastAsia="宋体" w:cs="宋体"/>
          <w:b/>
          <w:color w:val="auto"/>
          <w:sz w:val="21"/>
          <w:szCs w:val="21"/>
          <w:highlight w:val="none"/>
          <w:lang w:eastAsia="zh-CN"/>
        </w:rPr>
        <w:t>八</w:t>
      </w:r>
      <w:r>
        <w:rPr>
          <w:rFonts w:hint="eastAsia" w:ascii="宋体" w:hAnsi="宋体" w:eastAsia="宋体" w:cs="宋体"/>
          <w:b/>
          <w:color w:val="auto"/>
          <w:sz w:val="21"/>
          <w:szCs w:val="21"/>
          <w:highlight w:val="none"/>
        </w:rPr>
        <w:t>条 违约责任</w:t>
      </w:r>
    </w:p>
    <w:p w14:paraId="055B2F4A">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1、合同双方任何一方不履行合同条款或不按合同约定履行条款的其它情况，均属违约，由违约方承担违约责任，</w:t>
      </w:r>
      <w:r>
        <w:rPr>
          <w:rFonts w:hint="eastAsia" w:ascii="宋体" w:hAnsi="宋体" w:cs="宋体"/>
          <w:color w:val="auto"/>
          <w:sz w:val="21"/>
          <w:szCs w:val="21"/>
          <w:highlight w:val="none"/>
          <w:lang w:val="en-US" w:eastAsia="zh-CN"/>
        </w:rPr>
        <w:t>除按约定支付违约金外，还需</w:t>
      </w:r>
      <w:r>
        <w:rPr>
          <w:rFonts w:hint="eastAsia" w:ascii="宋体" w:hAnsi="宋体" w:eastAsia="宋体" w:cs="宋体"/>
          <w:color w:val="auto"/>
          <w:sz w:val="21"/>
          <w:szCs w:val="21"/>
          <w:highlight w:val="none"/>
        </w:rPr>
        <w:t>赔偿因其违约造成的损失。该等损失包括但不限于直接经济损失（如采购差价、检验仓储等费用）、对第三方承担的违约责任、因食品安全问题引发的全部赔偿与费用、商誉损失，以及守约方为追究违约方责任所支付的全部合理费用</w:t>
      </w:r>
      <w:r>
        <w:rPr>
          <w:rFonts w:hint="eastAsia" w:ascii="宋体" w:hAnsi="宋体" w:cs="宋体"/>
          <w:color w:val="auto"/>
          <w:sz w:val="21"/>
          <w:szCs w:val="21"/>
          <w:highlight w:val="none"/>
          <w:lang w:val="en-US" w:eastAsia="zh-CN"/>
        </w:rPr>
        <w:t>等。</w:t>
      </w:r>
    </w:p>
    <w:p w14:paraId="78A74522">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2、由于乙方的原因，导致双方签订的合同终止，乙方因此而遭受的损失，将由乙方独立承担，甲方对此不负任何责任，也不作任何赔偿</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pacing w:val="1"/>
          <w:highlight w:val="none"/>
        </w:rPr>
        <w:t>且乙方应赔偿甲方由此造成的所有</w:t>
      </w:r>
      <w:r>
        <w:rPr>
          <w:rFonts w:hint="eastAsia" w:ascii="宋体" w:hAnsi="宋体" w:eastAsia="宋体" w:cs="宋体"/>
          <w:color w:val="auto"/>
          <w:spacing w:val="68"/>
          <w:highlight w:val="none"/>
          <w:lang w:val="en-US" w:eastAsia="zh-CN"/>
        </w:rPr>
        <w:t>损失</w:t>
      </w:r>
      <w:r>
        <w:rPr>
          <w:rFonts w:hint="eastAsia" w:ascii="宋体" w:hAnsi="宋体" w:eastAsia="宋体" w:cs="宋体"/>
          <w:color w:val="auto"/>
          <w:sz w:val="21"/>
          <w:szCs w:val="21"/>
          <w:highlight w:val="none"/>
        </w:rPr>
        <w:t>。</w:t>
      </w:r>
    </w:p>
    <w:p w14:paraId="237DAECD">
      <w:pPr>
        <w:keepNext w:val="0"/>
        <w:keepLines w:val="0"/>
        <w:pageBreakBefore w:val="0"/>
        <w:kinsoku w:val="0"/>
        <w:wordWrap w:val="0"/>
        <w:overflowPunct/>
        <w:topLinePunct w:val="0"/>
        <w:autoSpaceDE/>
        <w:autoSpaceDN/>
        <w:bidi w:val="0"/>
        <w:adjustRightInd w:val="0"/>
        <w:snapToGrid w:val="0"/>
        <w:spacing w:line="400" w:lineRule="exact"/>
        <w:ind w:firstLine="420" w:firstLineChars="200"/>
        <w:jc w:val="both"/>
        <w:textAlignment w:val="auto"/>
        <w:rPr>
          <w:rFonts w:hint="eastAsia" w:ascii="宋体" w:hAnsi="宋体" w:eastAsia="宋体" w:cs="宋体"/>
          <w:color w:val="auto"/>
          <w:spacing w:val="0"/>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Cs w:val="21"/>
          <w:highlight w:val="none"/>
        </w:rPr>
        <w:t>如未经甲方书面许可，乙方将本合同项下工作整体或主要部分转包及/或分包给第三方的，甲方有权单方解除本合同，且乙方还应按本合同总额的20%支付违约金，给甲方造成损失的，甲方有权向乙方</w:t>
      </w:r>
      <w:r>
        <w:rPr>
          <w:rFonts w:hint="eastAsia" w:ascii="宋体" w:hAnsi="宋体" w:eastAsia="宋体" w:cs="宋体"/>
          <w:color w:val="auto"/>
          <w:spacing w:val="0"/>
          <w:szCs w:val="21"/>
          <w:highlight w:val="none"/>
        </w:rPr>
        <w:t>主张赔偿全部损失</w:t>
      </w:r>
      <w:r>
        <w:rPr>
          <w:rFonts w:hint="eastAsia" w:ascii="宋体" w:hAnsi="宋体" w:eastAsia="宋体" w:cs="宋体"/>
          <w:color w:val="auto"/>
          <w:spacing w:val="0"/>
          <w:szCs w:val="21"/>
          <w:highlight w:val="none"/>
          <w:lang w:eastAsia="zh-CN"/>
        </w:rPr>
        <w:t>。</w:t>
      </w:r>
    </w:p>
    <w:p w14:paraId="6F8CEB30">
      <w:pPr>
        <w:keepNext w:val="0"/>
        <w:keepLines w:val="0"/>
        <w:pageBreakBefore w:val="0"/>
        <w:kinsoku w:val="0"/>
        <w:wordWrap w:val="0"/>
        <w:overflowPunct/>
        <w:topLinePunct w:val="0"/>
        <w:autoSpaceDE/>
        <w:autoSpaceDN/>
        <w:bidi w:val="0"/>
        <w:adjustRightInd w:val="0"/>
        <w:snapToGrid w:val="0"/>
        <w:spacing w:line="400" w:lineRule="exact"/>
        <w:ind w:firstLine="420" w:firstLineChars="200"/>
        <w:jc w:val="both"/>
        <w:textAlignment w:val="auto"/>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lang w:val="en-US" w:eastAsia="zh-CN"/>
        </w:rPr>
        <w:t>4、</w:t>
      </w:r>
      <w:r>
        <w:rPr>
          <w:rFonts w:hint="eastAsia" w:ascii="宋体" w:hAnsi="宋体" w:eastAsia="宋体" w:cs="宋体"/>
          <w:color w:val="auto"/>
          <w:szCs w:val="21"/>
          <w:highlight w:val="none"/>
        </w:rPr>
        <w:t>乙方应保证提供的食材均符合国家及地方食品安全标准，无</w:t>
      </w:r>
      <w:r>
        <w:rPr>
          <w:rFonts w:hint="eastAsia" w:ascii="宋体" w:hAnsi="宋体" w:eastAsia="宋体" w:cs="宋体"/>
          <w:color w:val="auto"/>
          <w:spacing w:val="0"/>
          <w:szCs w:val="21"/>
          <w:highlight w:val="none"/>
        </w:rPr>
        <w:t>任何质量问题(包括但不限于食材的新鲜度、卫生状况、有效期、无有害</w:t>
      </w:r>
      <w:r>
        <w:rPr>
          <w:rFonts w:hint="eastAsia" w:ascii="宋体" w:hAnsi="宋体" w:eastAsia="宋体" w:cs="宋体"/>
          <w:color w:val="auto"/>
          <w:szCs w:val="21"/>
          <w:highlight w:val="none"/>
        </w:rPr>
        <w:t>物质残留等),若乙方提供的食材存在质量问题，乙方应承担相应的赔偿</w:t>
      </w:r>
      <w:r>
        <w:rPr>
          <w:rFonts w:hint="eastAsia" w:ascii="宋体" w:hAnsi="宋体" w:eastAsia="宋体" w:cs="宋体"/>
          <w:color w:val="auto"/>
          <w:spacing w:val="0"/>
          <w:szCs w:val="21"/>
          <w:highlight w:val="none"/>
        </w:rPr>
        <w:t>责任，包括但不限于退货、换货、赔偿直接经济</w:t>
      </w:r>
      <w:r>
        <w:rPr>
          <w:rFonts w:hint="eastAsia" w:ascii="宋体" w:hAnsi="宋体" w:eastAsia="宋体" w:cs="宋体"/>
          <w:color w:val="auto"/>
          <w:szCs w:val="21"/>
          <w:highlight w:val="none"/>
        </w:rPr>
        <w:t>损失及因质量问题引发的</w:t>
      </w:r>
      <w:r>
        <w:rPr>
          <w:rFonts w:hint="eastAsia" w:ascii="宋体" w:hAnsi="宋体" w:eastAsia="宋体" w:cs="宋体"/>
          <w:color w:val="auto"/>
          <w:spacing w:val="0"/>
          <w:szCs w:val="21"/>
          <w:highlight w:val="none"/>
        </w:rPr>
        <w:t>其他合理费用。</w:t>
      </w:r>
    </w:p>
    <w:p w14:paraId="2F16C31F">
      <w:pPr>
        <w:keepNext w:val="0"/>
        <w:keepLines w:val="0"/>
        <w:pageBreakBefore w:val="0"/>
        <w:kinsoku w:val="0"/>
        <w:wordWrap w:val="0"/>
        <w:overflowPunct/>
        <w:topLinePunct w:val="0"/>
        <w:autoSpaceDE/>
        <w:autoSpaceDN/>
        <w:bidi w:val="0"/>
        <w:adjustRightInd w:val="0"/>
        <w:snapToGrid w:val="0"/>
        <w:spacing w:line="400" w:lineRule="exact"/>
        <w:ind w:firstLine="420" w:firstLineChars="200"/>
        <w:jc w:val="both"/>
        <w:textAlignment w:val="auto"/>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5、</w:t>
      </w:r>
      <w:r>
        <w:rPr>
          <w:rFonts w:hint="eastAsia" w:ascii="宋体" w:hAnsi="宋体" w:eastAsia="宋体" w:cs="宋体"/>
          <w:color w:val="auto"/>
          <w:spacing w:val="0"/>
          <w:szCs w:val="21"/>
          <w:highlight w:val="none"/>
        </w:rPr>
        <w:t>甲方有权自应付而未付款项中直接抵扣乙方应付之违约金、赔偿款等</w:t>
      </w:r>
      <w:r>
        <w:rPr>
          <w:rFonts w:hint="eastAsia" w:ascii="宋体" w:hAnsi="宋体" w:eastAsia="宋体" w:cs="宋体"/>
          <w:color w:val="auto"/>
          <w:spacing w:val="0"/>
          <w:szCs w:val="21"/>
          <w:highlight w:val="none"/>
          <w:lang w:eastAsia="zh-CN"/>
        </w:rPr>
        <w:t>。</w:t>
      </w:r>
    </w:p>
    <w:p w14:paraId="67BEB680">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针对中标人在服务过程中出现的违反采购文件或合同约定的行为，</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有权对中标人收取违约金，违约金从未结配送费中扣除。情节严重的,</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 xml:space="preserve">有权单方终止合同,并依法追究中标人法律责任。 </w:t>
      </w:r>
    </w:p>
    <w:p w14:paraId="124E7A5E">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没有使用专用冷藏、冷冻载具运输配送的，</w:t>
      </w:r>
      <w:r>
        <w:rPr>
          <w:rFonts w:hint="eastAsia" w:ascii="宋体" w:hAnsi="宋体" w:cs="宋体"/>
          <w:color w:val="auto"/>
          <w:szCs w:val="21"/>
          <w:highlight w:val="none"/>
        </w:rPr>
        <w:t>按当批货物货值的5%收取违约金</w:t>
      </w:r>
      <w:r>
        <w:rPr>
          <w:rFonts w:hint="eastAsia" w:ascii="宋体" w:hAnsi="宋体" w:eastAsia="宋体" w:cs="宋体"/>
          <w:color w:val="auto"/>
          <w:sz w:val="21"/>
          <w:szCs w:val="21"/>
          <w:highlight w:val="none"/>
        </w:rPr>
        <w:t>，且</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有权拒收该批次所有货品。</w:t>
      </w:r>
    </w:p>
    <w:p w14:paraId="0C708037">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提供过期、变质货品的，问题产品同批次产品全部予以退货，按当批货物货值的5%收取违约金，违约金不足以弥补</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rPr>
        <w:t>损失的，</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还需补足。造成食品安全问题的，</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应依法承担责任，且</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rPr>
        <w:t>有权拒收该批次所有货品。</w:t>
      </w:r>
    </w:p>
    <w:p w14:paraId="7B775817">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供货数量与</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订单偏差超过±10%但没有事先说明的，每次</w:t>
      </w:r>
      <w:r>
        <w:rPr>
          <w:rFonts w:hint="eastAsia" w:ascii="宋体" w:hAnsi="宋体" w:eastAsia="宋体" w:cs="宋体"/>
          <w:color w:val="auto"/>
          <w:sz w:val="21"/>
          <w:szCs w:val="21"/>
          <w:highlight w:val="none"/>
          <w:lang w:val="en-US" w:eastAsia="zh-CN"/>
        </w:rPr>
        <w:t>提交</w:t>
      </w:r>
      <w:r>
        <w:rPr>
          <w:rFonts w:hint="eastAsia" w:ascii="宋体" w:hAnsi="宋体" w:eastAsia="宋体" w:cs="宋体"/>
          <w:color w:val="auto"/>
          <w:sz w:val="21"/>
          <w:szCs w:val="21"/>
          <w:highlight w:val="none"/>
        </w:rPr>
        <w:t>违约金人民币</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 xml:space="preserve">00元。 </w:t>
      </w:r>
    </w:p>
    <w:p w14:paraId="41693CBF">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接受了</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的采购订单，但不能按要求提供配送服务，导致</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供餐受影响的，每次</w:t>
      </w:r>
      <w:r>
        <w:rPr>
          <w:rFonts w:hint="eastAsia" w:ascii="宋体" w:hAnsi="宋体" w:cs="宋体"/>
          <w:color w:val="auto"/>
          <w:szCs w:val="21"/>
          <w:highlight w:val="none"/>
        </w:rPr>
        <w:t>按货值的3%处以违约金</w:t>
      </w:r>
      <w:r>
        <w:rPr>
          <w:rFonts w:hint="eastAsia" w:ascii="宋体" w:hAnsi="宋体" w:eastAsia="宋体" w:cs="宋体"/>
          <w:color w:val="auto"/>
          <w:sz w:val="21"/>
          <w:szCs w:val="21"/>
          <w:highlight w:val="none"/>
        </w:rPr>
        <w:t xml:space="preserve">。 </w:t>
      </w:r>
    </w:p>
    <w:p w14:paraId="64E7F4EC">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已经定价的货品，</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称没货，但</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能通过常规途径在市场、超市等场所购买到所需数量的，每次</w:t>
      </w:r>
      <w:r>
        <w:rPr>
          <w:rFonts w:hint="eastAsia" w:ascii="宋体" w:hAnsi="宋体" w:cs="宋体"/>
          <w:color w:val="auto"/>
          <w:szCs w:val="21"/>
          <w:highlight w:val="none"/>
        </w:rPr>
        <w:t>按货值的3%处以违约金</w:t>
      </w:r>
      <w:r>
        <w:rPr>
          <w:rFonts w:hint="eastAsia" w:ascii="宋体" w:hAnsi="宋体" w:eastAsia="宋体" w:cs="宋体"/>
          <w:color w:val="auto"/>
          <w:sz w:val="21"/>
          <w:szCs w:val="21"/>
          <w:highlight w:val="none"/>
        </w:rPr>
        <w:t xml:space="preserve">。 </w:t>
      </w:r>
    </w:p>
    <w:p w14:paraId="431DC3C1">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货品溯源制度不落实、进货查验记录不全的，每次</w:t>
      </w:r>
      <w:r>
        <w:rPr>
          <w:rFonts w:hint="eastAsia" w:ascii="宋体" w:hAnsi="宋体" w:cs="宋体"/>
          <w:color w:val="auto"/>
          <w:szCs w:val="21"/>
          <w:highlight w:val="none"/>
        </w:rPr>
        <w:t>按货值的3%处以违约金</w:t>
      </w:r>
      <w:r>
        <w:rPr>
          <w:rFonts w:hint="eastAsia" w:ascii="宋体" w:hAnsi="宋体" w:eastAsia="宋体" w:cs="宋体"/>
          <w:color w:val="auto"/>
          <w:sz w:val="21"/>
          <w:szCs w:val="21"/>
          <w:highlight w:val="none"/>
        </w:rPr>
        <w:t xml:space="preserve">。 </w:t>
      </w:r>
    </w:p>
    <w:p w14:paraId="687CD72A">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上述违约行为单独累计发生已达3次的，再发生时每次</w:t>
      </w:r>
      <w:r>
        <w:rPr>
          <w:rFonts w:hint="eastAsia" w:ascii="宋体" w:hAnsi="宋体" w:eastAsia="宋体" w:cs="宋体"/>
          <w:color w:val="auto"/>
          <w:sz w:val="21"/>
          <w:szCs w:val="21"/>
          <w:highlight w:val="none"/>
          <w:lang w:val="en-US" w:eastAsia="zh-CN"/>
        </w:rPr>
        <w:t>提交</w:t>
      </w:r>
      <w:r>
        <w:rPr>
          <w:rFonts w:hint="eastAsia" w:ascii="宋体" w:hAnsi="宋体" w:eastAsia="宋体" w:cs="宋体"/>
          <w:color w:val="auto"/>
          <w:sz w:val="21"/>
          <w:szCs w:val="21"/>
          <w:highlight w:val="none"/>
        </w:rPr>
        <w:t>违约金人民币</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000元，且</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有权单方终止合同。</w:t>
      </w:r>
    </w:p>
    <w:p w14:paraId="14C532B9">
      <w:pPr>
        <w:keepNext w:val="0"/>
        <w:keepLines w:val="0"/>
        <w:pageBreakBefore w:val="0"/>
        <w:kinsoku w:val="0"/>
        <w:wordWrap w:val="0"/>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无故中途退出，</w:t>
      </w:r>
      <w:r>
        <w:rPr>
          <w:rFonts w:hint="eastAsia" w:ascii="宋体" w:hAnsi="宋体" w:cs="宋体"/>
          <w:color w:val="auto"/>
          <w:sz w:val="21"/>
          <w:szCs w:val="21"/>
          <w:highlight w:val="none"/>
          <w:lang w:val="en-US" w:eastAsia="zh-CN"/>
        </w:rPr>
        <w:t>应向甲方支付合同总额10%的</w:t>
      </w:r>
      <w:r>
        <w:rPr>
          <w:rFonts w:hint="eastAsia" w:ascii="宋体" w:hAnsi="宋体" w:eastAsia="宋体" w:cs="宋体"/>
          <w:color w:val="auto"/>
          <w:sz w:val="21"/>
          <w:szCs w:val="21"/>
          <w:highlight w:val="none"/>
        </w:rPr>
        <w:t>违约金。</w:t>
      </w:r>
    </w:p>
    <w:p w14:paraId="29FC99AD">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9）本项目服务期间，乙方必须独立经营，不得以挂靠形式经营，不得存在违法分包、转包等情况，一经发现上述任意情况，甲方有权单方无条件终止合同，没收履约保证金，并将乙方纳入合作黑名单，期限为2年，时间以合同终止日起算，被列入黑名单的单位在规定期限内不得参与东实集团项目投标。</w:t>
      </w:r>
    </w:p>
    <w:p w14:paraId="2F0D2C2D">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 乙方在投标文件中或本合同项下作出的任何陈述、保证被证实为不真实、不准确或不完整，或其提供的关键资质、许可证明文件失效，且未能在甲方发出书面通知后15个工作日内重新提供有效的文件或令甲方满意的补救措施。在此情况下，乙方应向甲方支付相当于合同总金额10%的违约金。</w:t>
      </w:r>
    </w:p>
    <w:p w14:paraId="63F7458D">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11</w:t>
      </w:r>
      <w:r>
        <w:rPr>
          <w:rFonts w:hint="eastAsia" w:ascii="宋体" w:hAnsi="宋体" w:cs="宋体"/>
          <w:color w:val="auto"/>
          <w:szCs w:val="21"/>
          <w:highlight w:val="none"/>
        </w:rPr>
        <w:t>）乙方进入破产、清算、解散程序，或发生其他严重的经营或财务困难（包括但不限于主要资产被查封、冻结，或停止营业），导致甲方有合理理由认为其无法继续履行本合同主要义务。</w:t>
      </w:r>
      <w:r>
        <w:rPr>
          <w:rFonts w:hint="eastAsia" w:ascii="宋体" w:hAnsi="宋体" w:cs="宋体"/>
          <w:color w:val="auto"/>
          <w:szCs w:val="21"/>
          <w:highlight w:val="none"/>
          <w:lang w:val="en-US" w:eastAsia="zh-CN"/>
        </w:rPr>
        <w:t>甲方有权解除合同</w:t>
      </w:r>
      <w:r>
        <w:rPr>
          <w:rFonts w:hint="eastAsia" w:ascii="宋体" w:hAnsi="宋体" w:cs="宋体"/>
          <w:color w:val="auto"/>
          <w:szCs w:val="21"/>
          <w:highlight w:val="none"/>
        </w:rPr>
        <w:t>，乙方应向甲方支付相当于合同总金额10%的违约金。</w:t>
      </w:r>
    </w:p>
    <w:p w14:paraId="443453F6">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 因乙方提供的产品、服务或其行为直接导致发生重大食品安全事故，或因乙方的违法违规经营行为受到市场监管、卫生健康等主管部门作出的责令停产停业、吊销许可证等行政处罚。甲方有权解除合同，乙方应向甲方支付合同总额</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0%的违约金，并赔偿因此给甲方造成的一切损失</w:t>
      </w:r>
      <w:r>
        <w:rPr>
          <w:rFonts w:hint="eastAsia" w:ascii="宋体" w:hAnsi="宋体" w:cs="宋体"/>
          <w:color w:val="auto"/>
          <w:szCs w:val="21"/>
          <w:highlight w:val="none"/>
          <w:lang w:eastAsia="zh-CN"/>
        </w:rPr>
        <w:t>。</w:t>
      </w:r>
    </w:p>
    <w:p w14:paraId="10959542">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cs="宋体"/>
          <w:color w:val="auto"/>
          <w:sz w:val="21"/>
          <w:szCs w:val="21"/>
          <w:highlight w:val="none"/>
          <w:lang w:val="en-US" w:eastAsia="zh-CN"/>
        </w:rPr>
      </w:pPr>
    </w:p>
    <w:p w14:paraId="0A25C0DF">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第</w:t>
      </w:r>
      <w:r>
        <w:rPr>
          <w:rFonts w:hint="eastAsia" w:ascii="宋体" w:hAnsi="宋体" w:eastAsia="宋体" w:cs="宋体"/>
          <w:b/>
          <w:color w:val="auto"/>
          <w:sz w:val="21"/>
          <w:szCs w:val="21"/>
          <w:highlight w:val="none"/>
          <w:lang w:eastAsia="zh-CN"/>
        </w:rPr>
        <w:t>九</w:t>
      </w:r>
      <w:r>
        <w:rPr>
          <w:rFonts w:hint="eastAsia" w:ascii="宋体" w:hAnsi="宋体" w:eastAsia="宋体" w:cs="宋体"/>
          <w:b/>
          <w:color w:val="auto"/>
          <w:sz w:val="21"/>
          <w:szCs w:val="21"/>
          <w:highlight w:val="none"/>
        </w:rPr>
        <w:t>条 争议的解决</w:t>
      </w:r>
    </w:p>
    <w:p w14:paraId="2F68C3D8">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1、凡与本合同有关而引起的一切争议，甲乙双方应首先通过友好协商解决，如经协商后仍不能达成协议时，任何一方可以向</w:t>
      </w:r>
      <w:r>
        <w:rPr>
          <w:rFonts w:hint="eastAsia" w:ascii="宋体" w:hAnsi="宋体" w:eastAsia="宋体" w:cs="宋体"/>
          <w:color w:val="auto"/>
          <w:spacing w:val="10"/>
          <w:highlight w:val="none"/>
        </w:rPr>
        <w:t>甲方所在地人民</w:t>
      </w:r>
      <w:r>
        <w:rPr>
          <w:rFonts w:hint="eastAsia" w:ascii="宋体" w:hAnsi="宋体" w:eastAsia="宋体" w:cs="宋体"/>
          <w:color w:val="auto"/>
          <w:sz w:val="21"/>
          <w:szCs w:val="21"/>
          <w:highlight w:val="none"/>
        </w:rPr>
        <w:t>法院提出诉讼。守约方为解决争议所支出的包括但不限于诉讼费、保全费、保险费、律师费、担保费、鉴定费、差旅费等维权费用由违约方承担。</w:t>
      </w:r>
    </w:p>
    <w:p w14:paraId="56986E27">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、在进行法院审理期间，除提交法院审理的事项外，合同其他部分仍继续履行。</w:t>
      </w:r>
    </w:p>
    <w:p w14:paraId="62B4F47E">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、本合同按照中华人民共和国的法律进行解释</w:t>
      </w:r>
      <w:r>
        <w:rPr>
          <w:rFonts w:hint="eastAsia" w:ascii="宋体" w:hAnsi="宋体" w:eastAsia="宋体" w:cs="宋体"/>
          <w:color w:val="auto"/>
          <w:sz w:val="21"/>
          <w:szCs w:val="21"/>
          <w:highlight w:val="none"/>
          <w:shd w:val="clear" w:color="auto" w:fill="FFFFFF"/>
        </w:rPr>
        <w:t>。</w:t>
      </w:r>
    </w:p>
    <w:p w14:paraId="51F989A3">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第十条 合同生效</w:t>
      </w:r>
    </w:p>
    <w:p w14:paraId="6E8F9729">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1、本合同由双方法定代表人或委托代理人签字盖章后立即生效，具有同等法律效力，合同有效期随服务期结束而自然终止。</w:t>
      </w:r>
    </w:p>
    <w:p w14:paraId="022A5F07">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2、本合同一式    份，其中甲方    份、乙方    份，</w:t>
      </w:r>
      <w:r>
        <w:rPr>
          <w:rFonts w:hint="eastAsia" w:ascii="宋体" w:hAnsi="宋体" w:eastAsia="宋体" w:cs="宋体"/>
          <w:color w:val="auto"/>
          <w:sz w:val="21"/>
          <w:szCs w:val="21"/>
          <w:highlight w:val="none"/>
          <w:lang w:eastAsia="zh-CN"/>
        </w:rPr>
        <w:t>招标代理机构</w:t>
      </w:r>
      <w:r>
        <w:rPr>
          <w:rFonts w:hint="eastAsia" w:ascii="宋体" w:hAnsi="宋体" w:eastAsia="宋体" w:cs="宋体"/>
          <w:color w:val="auto"/>
          <w:sz w:val="21"/>
          <w:szCs w:val="21"/>
          <w:highlight w:val="none"/>
        </w:rPr>
        <w:t xml:space="preserve"> 壹 份（须在合同签订之日起7个工作日内递交）。</w:t>
      </w:r>
    </w:p>
    <w:p w14:paraId="6F27390A">
      <w:pPr>
        <w:keepNext w:val="0"/>
        <w:keepLines w:val="0"/>
        <w:pageBreakBefore w:val="0"/>
        <w:shd w:val="clear"/>
        <w:kinsoku w:val="0"/>
        <w:wordWrap w:val="0"/>
        <w:overflowPunct/>
        <w:topLinePunct w:val="0"/>
        <w:autoSpaceDE/>
        <w:autoSpaceDN/>
        <w:bidi w:val="0"/>
        <w:adjustRightInd w:val="0"/>
        <w:snapToGrid w:val="0"/>
        <w:spacing w:after="0"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第十</w:t>
      </w:r>
      <w:r>
        <w:rPr>
          <w:rFonts w:hint="eastAsia" w:ascii="宋体" w:hAnsi="宋体" w:eastAsia="宋体" w:cs="宋体"/>
          <w:b/>
          <w:color w:val="auto"/>
          <w:sz w:val="21"/>
          <w:szCs w:val="21"/>
          <w:highlight w:val="none"/>
          <w:lang w:eastAsia="zh-CN"/>
        </w:rPr>
        <w:t>一</w:t>
      </w:r>
      <w:r>
        <w:rPr>
          <w:rFonts w:hint="eastAsia" w:ascii="宋体" w:hAnsi="宋体" w:eastAsia="宋体" w:cs="宋体"/>
          <w:b/>
          <w:color w:val="auto"/>
          <w:sz w:val="21"/>
          <w:szCs w:val="21"/>
          <w:highlight w:val="none"/>
        </w:rPr>
        <w:t>条 其它</w:t>
      </w:r>
    </w:p>
    <w:p w14:paraId="76CD5ED5">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1、本合同未尽事宜，双方可签订补充合同，补充合同与所有附件均为合同的有效组成部分，与本合同具有同等法律效力。</w:t>
      </w:r>
    </w:p>
    <w:p w14:paraId="49C30560">
      <w:pPr>
        <w:keepNext w:val="0"/>
        <w:keepLines w:val="0"/>
        <w:pageBreakBefore w:val="0"/>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2、在执行本合同的过程中，所有经甲乙双方签署确认的文件（包括会议纪要、补充协议、往来信函、合同附件等）即成为本合同的有效组成部分，其生效日期为双方签字盖章或确认之日期。</w:t>
      </w:r>
    </w:p>
    <w:p w14:paraId="4DF1171F">
      <w:pPr>
        <w:keepNext w:val="0"/>
        <w:keepLines w:val="0"/>
        <w:pageBreakBefore w:val="0"/>
        <w:widowControl/>
        <w:shd w:val="clear"/>
        <w:kinsoku w:val="0"/>
        <w:wordWrap w:val="0"/>
        <w:overflowPunct/>
        <w:topLinePunct w:val="0"/>
        <w:autoSpaceDE/>
        <w:autoSpaceDN/>
        <w:bidi w:val="0"/>
        <w:adjustRightInd w:val="0"/>
        <w:snapToGrid w:val="0"/>
        <w:spacing w:after="0" w:line="240" w:lineRule="auto"/>
        <w:ind w:firstLine="400" w:firstLineChars="200"/>
        <w:textAlignment w:val="auto"/>
        <w:rPr>
          <w:rFonts w:hint="eastAsia" w:ascii="宋体" w:hAnsi="宋体" w:eastAsia="宋体" w:cs="宋体"/>
          <w:color w:val="auto"/>
          <w:sz w:val="20"/>
          <w:szCs w:val="20"/>
          <w:highlight w:val="none"/>
        </w:rPr>
      </w:pPr>
    </w:p>
    <w:p w14:paraId="2781A8E8">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甲方（盖章）：                     乙方（盖章）：</w:t>
      </w:r>
    </w:p>
    <w:p w14:paraId="6C8E8AF2">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法定代表(签字)：                   法定代表(签字)：</w:t>
      </w:r>
    </w:p>
    <w:p w14:paraId="7787644D">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地址：                             地址： </w:t>
      </w:r>
    </w:p>
    <w:p w14:paraId="06C68952">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                             电话：</w:t>
      </w:r>
    </w:p>
    <w:p w14:paraId="1529B9EE">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传真：</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传真：</w:t>
      </w:r>
    </w:p>
    <w:p w14:paraId="732CAAD3">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开户银行：</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                  开户银行：</w:t>
      </w:r>
    </w:p>
    <w:p w14:paraId="52BC6FED">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账号：                             账号：</w:t>
      </w:r>
    </w:p>
    <w:p w14:paraId="30930CD6">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签约时间：</w:t>
      </w:r>
    </w:p>
    <w:p w14:paraId="11112364">
      <w:pPr>
        <w:keepNext w:val="0"/>
        <w:keepLines w:val="0"/>
        <w:pageBreakBefore w:val="0"/>
        <w:widowControl/>
        <w:shd w:val="clear"/>
        <w:kinsoku w:val="0"/>
        <w:wordWrap w:val="0"/>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签约地点：</w:t>
      </w:r>
    </w:p>
    <w:p w14:paraId="2D20118F">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p>
    <w:p w14:paraId="153F0C56">
      <w:pPr>
        <w:pStyle w:val="9"/>
        <w:spacing w:line="240" w:lineRule="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附件1：</w:t>
      </w:r>
      <w:r>
        <w:rPr>
          <w:rFonts w:hint="eastAsia" w:cs="宋体"/>
          <w:b/>
          <w:bCs w:val="0"/>
          <w:color w:val="auto"/>
          <w:sz w:val="21"/>
          <w:szCs w:val="21"/>
          <w:highlight w:val="none"/>
          <w:lang w:val="en-US" w:eastAsia="zh-CN"/>
        </w:rPr>
        <w:t>供应商</w:t>
      </w:r>
      <w:r>
        <w:rPr>
          <w:rFonts w:hint="eastAsia" w:ascii="宋体" w:hAnsi="宋体" w:eastAsia="宋体" w:cs="宋体"/>
          <w:b/>
          <w:bCs w:val="0"/>
          <w:color w:val="auto"/>
          <w:sz w:val="21"/>
          <w:szCs w:val="21"/>
          <w:highlight w:val="none"/>
        </w:rPr>
        <w:t>评价表</w:t>
      </w:r>
    </w:p>
    <w:tbl>
      <w:tblPr>
        <w:tblStyle w:val="30"/>
        <w:tblW w:w="83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4"/>
        <w:gridCol w:w="3515"/>
        <w:gridCol w:w="928"/>
        <w:gridCol w:w="928"/>
        <w:gridCol w:w="928"/>
        <w:gridCol w:w="1087"/>
      </w:tblGrid>
      <w:tr w14:paraId="54AB0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83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3CCAEF0">
            <w:pPr>
              <w:keepNext w:val="0"/>
              <w:keepLines w:val="0"/>
              <w:widowControl/>
              <w:suppressLineNumbers w:val="0"/>
              <w:jc w:val="center"/>
              <w:textAlignment w:val="center"/>
              <w:rPr>
                <w:rFonts w:hint="eastAsia" w:ascii="宋体" w:hAnsi="宋体" w:eastAsia="宋体" w:cs="宋体"/>
                <w:b/>
                <w:bCs/>
                <w:i w:val="0"/>
                <w:iCs w:val="0"/>
                <w:color w:val="auto"/>
                <w:sz w:val="32"/>
                <w:szCs w:val="32"/>
                <w:highlight w:val="none"/>
                <w:u w:val="none"/>
              </w:rPr>
            </w:pPr>
            <w:r>
              <w:rPr>
                <w:rFonts w:hint="eastAsia" w:ascii="宋体" w:hAnsi="宋体" w:cs="宋体"/>
                <w:b/>
                <w:bCs/>
                <w:i w:val="0"/>
                <w:iCs w:val="0"/>
                <w:color w:val="auto"/>
                <w:kern w:val="0"/>
                <w:sz w:val="32"/>
                <w:szCs w:val="32"/>
                <w:highlight w:val="none"/>
                <w:u w:val="single"/>
                <w:lang w:val="en-US" w:eastAsia="zh-CN" w:bidi="ar"/>
              </w:rPr>
              <w:t xml:space="preserve">               </w:t>
            </w:r>
            <w:r>
              <w:rPr>
                <w:rFonts w:hint="eastAsia" w:ascii="宋体" w:hAnsi="宋体" w:eastAsia="宋体" w:cs="宋体"/>
                <w:b/>
                <w:bCs/>
                <w:i w:val="0"/>
                <w:iCs w:val="0"/>
                <w:color w:val="auto"/>
                <w:kern w:val="0"/>
                <w:sz w:val="32"/>
                <w:szCs w:val="32"/>
                <w:highlight w:val="none"/>
                <w:u w:val="single"/>
                <w:lang w:val="en-US" w:eastAsia="zh-CN" w:bidi="ar"/>
              </w:rPr>
              <w:t>酒店有限公司</w:t>
            </w:r>
          </w:p>
        </w:tc>
      </w:tr>
      <w:tr w14:paraId="18B18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83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A80ACE1">
            <w:pPr>
              <w:keepNext w:val="0"/>
              <w:keepLines w:val="0"/>
              <w:widowControl/>
              <w:suppressLineNumbers w:val="0"/>
              <w:jc w:val="center"/>
              <w:textAlignment w:val="center"/>
              <w:rPr>
                <w:rFonts w:hint="eastAsia" w:ascii="宋体" w:hAnsi="宋体" w:eastAsia="宋体" w:cs="宋体"/>
                <w:b/>
                <w:bCs/>
                <w:i w:val="0"/>
                <w:iCs w:val="0"/>
                <w:color w:val="auto"/>
                <w:sz w:val="32"/>
                <w:szCs w:val="32"/>
                <w:highlight w:val="none"/>
                <w:u w:val="none"/>
              </w:rPr>
            </w:pPr>
            <w:r>
              <w:rPr>
                <w:rFonts w:hint="eastAsia" w:ascii="宋体" w:hAnsi="宋体" w:eastAsia="宋体" w:cs="宋体"/>
                <w:b/>
                <w:bCs/>
                <w:i w:val="0"/>
                <w:iCs w:val="0"/>
                <w:color w:val="auto"/>
                <w:kern w:val="0"/>
                <w:sz w:val="32"/>
                <w:szCs w:val="32"/>
                <w:highlight w:val="none"/>
                <w:u w:val="none"/>
                <w:lang w:val="en-US" w:eastAsia="zh-CN" w:bidi="ar"/>
              </w:rPr>
              <w:t>供应商评价表</w:t>
            </w:r>
          </w:p>
        </w:tc>
      </w:tr>
      <w:tr w14:paraId="668A2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45093">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供应商名称：</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5B3B9">
            <w:pPr>
              <w:rPr>
                <w:rFonts w:hint="eastAsia" w:ascii="宋体" w:hAnsi="宋体" w:eastAsia="宋体" w:cs="宋体"/>
                <w:b/>
                <w:bCs/>
                <w:i w:val="0"/>
                <w:iCs w:val="0"/>
                <w:color w:val="auto"/>
                <w:sz w:val="22"/>
                <w:szCs w:val="22"/>
                <w:highlight w:val="none"/>
                <w:u w:val="none"/>
              </w:rPr>
            </w:pP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FA982">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评价时间：</w:t>
            </w: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9007F2">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年   月   日</w:t>
            </w:r>
          </w:p>
        </w:tc>
      </w:tr>
      <w:tr w14:paraId="4C536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0AA11">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供货品类：</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699E9">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食品类</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0CA4B">
            <w:pPr>
              <w:rPr>
                <w:rFonts w:hint="eastAsia" w:ascii="宋体" w:hAnsi="宋体" w:eastAsia="宋体" w:cs="宋体"/>
                <w:b/>
                <w:bCs/>
                <w:i w:val="0"/>
                <w:iCs w:val="0"/>
                <w:color w:val="auto"/>
                <w:sz w:val="22"/>
                <w:szCs w:val="22"/>
                <w:highlight w:val="none"/>
                <w:u w:val="none"/>
              </w:rPr>
            </w:pP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FBA6A6">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评分部门</w:t>
            </w:r>
          </w:p>
        </w:tc>
      </w:tr>
      <w:tr w14:paraId="7DC55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58C3C">
            <w:pP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5015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依据描述</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8310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得分范围</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D0C2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使用部门</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7BA4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财务部</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8B64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行政综合部</w:t>
            </w:r>
          </w:p>
        </w:tc>
      </w:tr>
      <w:tr w14:paraId="30519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AECF8B">
            <w:pPr>
              <w:keepNext w:val="0"/>
              <w:keepLines w:val="0"/>
              <w:widowControl/>
              <w:numPr>
                <w:ilvl w:val="0"/>
                <w:numId w:val="10"/>
              </w:numPr>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供货及时性</w:t>
            </w:r>
          </w:p>
          <w:p w14:paraId="3D3CBA8C">
            <w:pPr>
              <w:keepNext w:val="0"/>
              <w:keepLines w:val="0"/>
              <w:widowControl/>
              <w:numPr>
                <w:ilvl w:val="-1"/>
                <w:numId w:val="0"/>
              </w:numPr>
              <w:suppressLineNumbers w:val="0"/>
              <w:jc w:val="both"/>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(20分 )</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3BB69">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(1)每次均能及时到货</w:t>
            </w:r>
            <w:r>
              <w:rPr>
                <w:rFonts w:hint="eastAsia" w:ascii="宋体" w:hAnsi="宋体" w:cs="宋体"/>
                <w:color w:val="auto"/>
                <w:sz w:val="20"/>
                <w:szCs w:val="20"/>
                <w:highlight w:val="none"/>
                <w:u w:val="none"/>
                <w:lang w:bidi="ar"/>
              </w:rPr>
              <w:t>，并提供完整检测报告</w:t>
            </w:r>
            <w:r>
              <w:rPr>
                <w:rFonts w:hint="eastAsia" w:ascii="宋体" w:hAnsi="宋体" w:eastAsia="宋体" w:cs="宋体"/>
                <w:i w:val="0"/>
                <w:iCs w:val="0"/>
                <w:color w:val="auto"/>
                <w:kern w:val="0"/>
                <w:sz w:val="20"/>
                <w:szCs w:val="20"/>
                <w:highlight w:val="none"/>
                <w:u w:val="none"/>
                <w:lang w:val="en-US" w:eastAsia="zh-CN" w:bidi="ar"/>
              </w:rPr>
              <w:t>。</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242F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8016EE">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F7D305">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949BA7">
            <w:pPr>
              <w:jc w:val="center"/>
              <w:rPr>
                <w:rFonts w:hint="eastAsia" w:ascii="宋体" w:hAnsi="宋体" w:eastAsia="宋体" w:cs="宋体"/>
                <w:i w:val="0"/>
                <w:iCs w:val="0"/>
                <w:color w:val="auto"/>
                <w:sz w:val="20"/>
                <w:szCs w:val="20"/>
                <w:highlight w:val="none"/>
                <w:u w:val="none"/>
              </w:rPr>
            </w:pPr>
          </w:p>
        </w:tc>
      </w:tr>
      <w:tr w14:paraId="5B1E7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80E980">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AF0AE">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(2)偶尔供货</w:t>
            </w:r>
            <w:r>
              <w:rPr>
                <w:rFonts w:hint="eastAsia" w:ascii="宋体" w:hAnsi="宋体" w:cs="宋体"/>
                <w:i w:val="0"/>
                <w:iCs w:val="0"/>
                <w:color w:val="auto"/>
                <w:kern w:val="0"/>
                <w:sz w:val="20"/>
                <w:szCs w:val="20"/>
                <w:highlight w:val="none"/>
                <w:u w:val="none"/>
                <w:lang w:val="en-US" w:eastAsia="zh-CN" w:bidi="ar"/>
              </w:rPr>
              <w:t>及提供检测报告</w:t>
            </w:r>
            <w:r>
              <w:rPr>
                <w:rFonts w:hint="eastAsia" w:ascii="宋体" w:hAnsi="宋体" w:eastAsia="宋体" w:cs="宋体"/>
                <w:i w:val="0"/>
                <w:iCs w:val="0"/>
                <w:color w:val="auto"/>
                <w:kern w:val="0"/>
                <w:sz w:val="20"/>
                <w:szCs w:val="20"/>
                <w:highlight w:val="none"/>
                <w:u w:val="none"/>
                <w:lang w:val="en-US" w:eastAsia="zh-CN" w:bidi="ar"/>
              </w:rPr>
              <w:t>不及时，但对出品造成较小影响。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1AFE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962272">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4D0B23">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428EDA">
            <w:pPr>
              <w:jc w:val="center"/>
              <w:rPr>
                <w:rFonts w:hint="eastAsia" w:ascii="宋体" w:hAnsi="宋体" w:eastAsia="宋体" w:cs="宋体"/>
                <w:i w:val="0"/>
                <w:iCs w:val="0"/>
                <w:color w:val="auto"/>
                <w:sz w:val="20"/>
                <w:szCs w:val="20"/>
                <w:highlight w:val="none"/>
                <w:u w:val="none"/>
              </w:rPr>
            </w:pPr>
          </w:p>
        </w:tc>
      </w:tr>
      <w:tr w14:paraId="1942E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ADBDF3">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E9546">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(3)供货</w:t>
            </w:r>
            <w:r>
              <w:rPr>
                <w:rFonts w:hint="eastAsia" w:ascii="宋体" w:hAnsi="宋体" w:cs="宋体"/>
                <w:i w:val="0"/>
                <w:iCs w:val="0"/>
                <w:color w:val="auto"/>
                <w:kern w:val="0"/>
                <w:sz w:val="20"/>
                <w:szCs w:val="20"/>
                <w:highlight w:val="none"/>
                <w:u w:val="none"/>
                <w:lang w:val="en-US" w:eastAsia="zh-CN" w:bidi="ar"/>
              </w:rPr>
              <w:t>及提供检测报告</w:t>
            </w:r>
            <w:r>
              <w:rPr>
                <w:rFonts w:hint="eastAsia" w:ascii="宋体" w:hAnsi="宋体" w:eastAsia="宋体" w:cs="宋体"/>
                <w:i w:val="0"/>
                <w:iCs w:val="0"/>
                <w:color w:val="auto"/>
                <w:kern w:val="0"/>
                <w:sz w:val="20"/>
                <w:szCs w:val="20"/>
                <w:highlight w:val="none"/>
                <w:u w:val="none"/>
                <w:lang w:val="en-US" w:eastAsia="zh-CN" w:bidi="ar"/>
              </w:rPr>
              <w:t>不及时次数过多，且对出品造成较大影响。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D0D2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3E7C7">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70AC89">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824B28">
            <w:pPr>
              <w:jc w:val="center"/>
              <w:rPr>
                <w:rFonts w:hint="eastAsia" w:ascii="宋体" w:hAnsi="宋体" w:eastAsia="宋体" w:cs="宋体"/>
                <w:i w:val="0"/>
                <w:iCs w:val="0"/>
                <w:color w:val="auto"/>
                <w:sz w:val="20"/>
                <w:szCs w:val="20"/>
                <w:highlight w:val="none"/>
                <w:u w:val="none"/>
              </w:rPr>
            </w:pPr>
          </w:p>
        </w:tc>
      </w:tr>
      <w:tr w14:paraId="5F6EB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B728D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2、品类齐全度</w:t>
            </w:r>
            <w:r>
              <w:rPr>
                <w:rFonts w:hint="eastAsia" w:ascii="宋体" w:hAnsi="宋体" w:cs="宋体"/>
                <w:i w:val="0"/>
                <w:iCs w:val="0"/>
                <w:color w:val="auto"/>
                <w:kern w:val="0"/>
                <w:sz w:val="20"/>
                <w:szCs w:val="20"/>
                <w:highlight w:val="none"/>
                <w:u w:val="none"/>
                <w:lang w:val="en-US" w:eastAsia="zh-CN" w:bidi="ar"/>
              </w:rPr>
              <w:t>(20分 )</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2FF3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(1)品类齐全，能充分满足使用要求。</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5D09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DDDC19">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09B976">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7B24C7">
            <w:pPr>
              <w:jc w:val="center"/>
              <w:rPr>
                <w:rFonts w:hint="eastAsia" w:ascii="宋体" w:hAnsi="宋体" w:eastAsia="宋体" w:cs="宋体"/>
                <w:i w:val="0"/>
                <w:iCs w:val="0"/>
                <w:color w:val="auto"/>
                <w:sz w:val="20"/>
                <w:szCs w:val="20"/>
                <w:highlight w:val="none"/>
                <w:u w:val="none"/>
              </w:rPr>
            </w:pPr>
          </w:p>
        </w:tc>
      </w:tr>
      <w:tr w14:paraId="085CE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90794C">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0ADB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(2)品类基本齐全，偶尔与实际需求不相符，但对出品造成较小影响。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B60A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17A206">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DFA61C">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6FBEA3">
            <w:pPr>
              <w:jc w:val="center"/>
              <w:rPr>
                <w:rFonts w:hint="eastAsia" w:ascii="宋体" w:hAnsi="宋体" w:eastAsia="宋体" w:cs="宋体"/>
                <w:i w:val="0"/>
                <w:iCs w:val="0"/>
                <w:color w:val="auto"/>
                <w:sz w:val="20"/>
                <w:szCs w:val="20"/>
                <w:highlight w:val="none"/>
                <w:u w:val="none"/>
              </w:rPr>
            </w:pPr>
          </w:p>
        </w:tc>
      </w:tr>
      <w:tr w14:paraId="121E0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5"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6E687E">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2690A">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(3)品类较少，供货差异较大，无法满足正常需求，且对出品造成较大影响。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5401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1F535D">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FB28C6">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44F83F">
            <w:pPr>
              <w:jc w:val="center"/>
              <w:rPr>
                <w:rFonts w:hint="eastAsia" w:ascii="宋体" w:hAnsi="宋体" w:eastAsia="宋体" w:cs="宋体"/>
                <w:i w:val="0"/>
                <w:iCs w:val="0"/>
                <w:color w:val="auto"/>
                <w:sz w:val="20"/>
                <w:szCs w:val="20"/>
                <w:highlight w:val="none"/>
                <w:u w:val="none"/>
              </w:rPr>
            </w:pPr>
          </w:p>
        </w:tc>
      </w:tr>
      <w:tr w14:paraId="31AB5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53949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r>
              <w:rPr>
                <w:rFonts w:hint="eastAsia" w:ascii="宋体" w:hAnsi="宋体" w:cs="宋体"/>
                <w:color w:val="auto"/>
                <w:sz w:val="20"/>
                <w:szCs w:val="20"/>
                <w:highlight w:val="none"/>
                <w:u w:val="none"/>
                <w:lang w:bidi="ar"/>
              </w:rPr>
              <w:t>产品剩余质保期</w:t>
            </w:r>
            <w:r>
              <w:rPr>
                <w:rFonts w:hint="eastAsia" w:ascii="宋体" w:hAnsi="宋体" w:cs="宋体"/>
                <w:i w:val="0"/>
                <w:iCs w:val="0"/>
                <w:color w:val="auto"/>
                <w:kern w:val="0"/>
                <w:sz w:val="20"/>
                <w:szCs w:val="20"/>
                <w:highlight w:val="none"/>
                <w:u w:val="none"/>
                <w:lang w:val="en-US" w:eastAsia="zh-CN" w:bidi="ar"/>
              </w:rPr>
              <w:t>(20分 )</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94ED3">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cs="宋体"/>
                <w:color w:val="auto"/>
                <w:sz w:val="20"/>
                <w:szCs w:val="20"/>
                <w:highlight w:val="none"/>
                <w:u w:val="none"/>
                <w:lang w:bidi="ar"/>
              </w:rPr>
              <w:t xml:space="preserve"> (1)产品剩余质保期长，远超行业标准，能充分保障使用周期。</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BEC4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B5CBF5">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96D8CA">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E98637">
            <w:pPr>
              <w:jc w:val="center"/>
              <w:rPr>
                <w:rFonts w:hint="eastAsia" w:ascii="宋体" w:hAnsi="宋体" w:eastAsia="宋体" w:cs="宋体"/>
                <w:i w:val="0"/>
                <w:iCs w:val="0"/>
                <w:color w:val="auto"/>
                <w:sz w:val="20"/>
                <w:szCs w:val="20"/>
                <w:highlight w:val="none"/>
                <w:u w:val="none"/>
              </w:rPr>
            </w:pPr>
          </w:p>
        </w:tc>
      </w:tr>
      <w:tr w14:paraId="04ED6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4CA5AD">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9E2F2">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cs="宋体"/>
                <w:color w:val="auto"/>
                <w:sz w:val="20"/>
                <w:szCs w:val="20"/>
                <w:highlight w:val="none"/>
                <w:u w:val="none"/>
                <w:lang w:bidi="ar"/>
              </w:rPr>
              <w:t xml:space="preserve"> (2)产品剩余质保期符合行业标准，基本满足使用需求。</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05E0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5E389">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2B2C1D">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698F4A">
            <w:pPr>
              <w:jc w:val="center"/>
              <w:rPr>
                <w:rFonts w:hint="eastAsia" w:ascii="宋体" w:hAnsi="宋体" w:eastAsia="宋体" w:cs="宋体"/>
                <w:i w:val="0"/>
                <w:iCs w:val="0"/>
                <w:color w:val="auto"/>
                <w:sz w:val="20"/>
                <w:szCs w:val="20"/>
                <w:highlight w:val="none"/>
                <w:u w:val="none"/>
              </w:rPr>
            </w:pPr>
          </w:p>
        </w:tc>
      </w:tr>
      <w:tr w14:paraId="63878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34965A">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5157F">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cs="宋体"/>
                <w:color w:val="auto"/>
                <w:sz w:val="20"/>
                <w:szCs w:val="20"/>
                <w:highlight w:val="none"/>
                <w:u w:val="none"/>
                <w:lang w:bidi="ar"/>
              </w:rPr>
              <w:t>(3)产品剩余质保期较短，不符合行业标准，无法满足正常使用需求。</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7FFA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6226AB">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86DE20">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C8E77C">
            <w:pPr>
              <w:jc w:val="center"/>
              <w:rPr>
                <w:rFonts w:hint="eastAsia" w:ascii="宋体" w:hAnsi="宋体" w:eastAsia="宋体" w:cs="宋体"/>
                <w:i w:val="0"/>
                <w:iCs w:val="0"/>
                <w:color w:val="auto"/>
                <w:sz w:val="20"/>
                <w:szCs w:val="20"/>
                <w:highlight w:val="none"/>
                <w:u w:val="none"/>
              </w:rPr>
            </w:pPr>
          </w:p>
        </w:tc>
      </w:tr>
      <w:tr w14:paraId="62F3F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2FE2F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4、实际使用质量情况</w:t>
            </w:r>
            <w:r>
              <w:rPr>
                <w:rFonts w:hint="eastAsia" w:ascii="宋体" w:hAnsi="宋体" w:cs="宋体"/>
                <w:i w:val="0"/>
                <w:iCs w:val="0"/>
                <w:color w:val="auto"/>
                <w:kern w:val="0"/>
                <w:sz w:val="20"/>
                <w:szCs w:val="20"/>
                <w:highlight w:val="none"/>
                <w:u w:val="none"/>
                <w:lang w:val="en-US" w:eastAsia="zh-CN" w:bidi="ar"/>
              </w:rPr>
              <w:t>(20分 )</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96D67">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(1)包装完好，符合相关安全、环保等管理规定，未出现质量问题。</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5DEE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A211CA">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5484C2">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70693E">
            <w:pPr>
              <w:jc w:val="center"/>
              <w:rPr>
                <w:rFonts w:hint="eastAsia" w:ascii="宋体" w:hAnsi="宋体" w:eastAsia="宋体" w:cs="宋体"/>
                <w:i w:val="0"/>
                <w:iCs w:val="0"/>
                <w:color w:val="auto"/>
                <w:sz w:val="20"/>
                <w:szCs w:val="20"/>
                <w:highlight w:val="none"/>
                <w:u w:val="none"/>
              </w:rPr>
            </w:pPr>
          </w:p>
        </w:tc>
      </w:tr>
      <w:tr w14:paraId="1AA6F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5"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4C4775">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F091B">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(2)产品质量合格率低于98%，基本符合相关安全、环保等管理规定，可以让步接收。</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718C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C5445C">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152612">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91D28B">
            <w:pPr>
              <w:jc w:val="center"/>
              <w:rPr>
                <w:rFonts w:hint="eastAsia" w:ascii="宋体" w:hAnsi="宋体" w:eastAsia="宋体" w:cs="宋体"/>
                <w:i w:val="0"/>
                <w:iCs w:val="0"/>
                <w:color w:val="auto"/>
                <w:sz w:val="20"/>
                <w:szCs w:val="20"/>
                <w:highlight w:val="none"/>
                <w:u w:val="none"/>
              </w:rPr>
            </w:pPr>
          </w:p>
        </w:tc>
      </w:tr>
      <w:tr w14:paraId="3A3FF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71832A">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848C7">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(3)出现重大质量问题。</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E9C4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54344C">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3C8648">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274A9F">
            <w:pPr>
              <w:jc w:val="center"/>
              <w:rPr>
                <w:rFonts w:hint="eastAsia" w:ascii="宋体" w:hAnsi="宋体" w:eastAsia="宋体" w:cs="宋体"/>
                <w:i w:val="0"/>
                <w:iCs w:val="0"/>
                <w:color w:val="auto"/>
                <w:sz w:val="20"/>
                <w:szCs w:val="20"/>
                <w:highlight w:val="none"/>
                <w:u w:val="none"/>
              </w:rPr>
            </w:pPr>
          </w:p>
        </w:tc>
      </w:tr>
      <w:tr w14:paraId="7D579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16B48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5、售后服务能力</w:t>
            </w:r>
            <w:r>
              <w:rPr>
                <w:rFonts w:hint="eastAsia" w:ascii="宋体" w:hAnsi="宋体" w:cs="宋体"/>
                <w:i w:val="0"/>
                <w:iCs w:val="0"/>
                <w:color w:val="auto"/>
                <w:kern w:val="0"/>
                <w:sz w:val="20"/>
                <w:szCs w:val="20"/>
                <w:highlight w:val="none"/>
                <w:u w:val="none"/>
                <w:lang w:val="en-US" w:eastAsia="zh-CN" w:bidi="ar"/>
              </w:rPr>
              <w:t>(20分 )</w:t>
            </w: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8CA43">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(1)出现问题，能够及时有效解决，售后服务能力较强。</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6B91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14-20分</w:t>
            </w: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44921F">
            <w:pPr>
              <w:jc w:val="center"/>
              <w:rPr>
                <w:rFonts w:hint="eastAsia" w:ascii="宋体" w:hAnsi="宋体" w:eastAsia="宋体" w:cs="宋体"/>
                <w:i w:val="0"/>
                <w:iCs w:val="0"/>
                <w:color w:val="auto"/>
                <w:sz w:val="20"/>
                <w:szCs w:val="20"/>
                <w:highlight w:val="none"/>
                <w:u w:val="none"/>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82CF54">
            <w:pPr>
              <w:jc w:val="center"/>
              <w:rPr>
                <w:rFonts w:hint="eastAsia" w:ascii="宋体" w:hAnsi="宋体" w:eastAsia="宋体" w:cs="宋体"/>
                <w:i w:val="0"/>
                <w:iCs w:val="0"/>
                <w:color w:val="auto"/>
                <w:sz w:val="20"/>
                <w:szCs w:val="20"/>
                <w:highlight w:val="none"/>
                <w:u w:val="none"/>
              </w:rPr>
            </w:pPr>
          </w:p>
        </w:tc>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FE8CD2">
            <w:pPr>
              <w:jc w:val="center"/>
              <w:rPr>
                <w:rFonts w:hint="eastAsia" w:ascii="宋体" w:hAnsi="宋体" w:eastAsia="宋体" w:cs="宋体"/>
                <w:i w:val="0"/>
                <w:iCs w:val="0"/>
                <w:color w:val="auto"/>
                <w:sz w:val="20"/>
                <w:szCs w:val="20"/>
                <w:highlight w:val="none"/>
                <w:u w:val="none"/>
              </w:rPr>
            </w:pPr>
          </w:p>
        </w:tc>
      </w:tr>
      <w:tr w14:paraId="5DEC6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86AC4">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9443A">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(2)出现问题时，处理问题及时性一般，售后服务能力一般。</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928E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7-13分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302774">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CA7404">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33EA21">
            <w:pPr>
              <w:jc w:val="center"/>
              <w:rPr>
                <w:rFonts w:hint="eastAsia" w:ascii="宋体" w:hAnsi="宋体" w:eastAsia="宋体" w:cs="宋体"/>
                <w:i w:val="0"/>
                <w:iCs w:val="0"/>
                <w:color w:val="auto"/>
                <w:sz w:val="20"/>
                <w:szCs w:val="20"/>
                <w:highlight w:val="none"/>
                <w:u w:val="none"/>
              </w:rPr>
            </w:pPr>
          </w:p>
        </w:tc>
      </w:tr>
      <w:tr w14:paraId="5E6A0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C3E61B">
            <w:pPr>
              <w:jc w:val="center"/>
              <w:rPr>
                <w:rFonts w:hint="eastAsia" w:ascii="宋体" w:hAnsi="宋体" w:eastAsia="宋体" w:cs="宋体"/>
                <w:i w:val="0"/>
                <w:iCs w:val="0"/>
                <w:color w:val="auto"/>
                <w:sz w:val="20"/>
                <w:szCs w:val="20"/>
                <w:highlight w:val="none"/>
                <w:u w:val="none"/>
              </w:rPr>
            </w:pPr>
          </w:p>
        </w:tc>
        <w:tc>
          <w:tcPr>
            <w:tcW w:w="3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E09C8">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(3)出现问题时，处理问题及时性较差，售后服务能力较差。</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D486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0-6分</w:t>
            </w: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0347C">
            <w:pPr>
              <w:jc w:val="center"/>
              <w:rPr>
                <w:rFonts w:hint="eastAsia" w:ascii="宋体" w:hAnsi="宋体" w:eastAsia="宋体" w:cs="宋体"/>
                <w:i w:val="0"/>
                <w:iCs w:val="0"/>
                <w:color w:val="auto"/>
                <w:sz w:val="20"/>
                <w:szCs w:val="20"/>
                <w:highlight w:val="none"/>
                <w:u w:val="none"/>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D565AF">
            <w:pPr>
              <w:jc w:val="center"/>
              <w:rPr>
                <w:rFonts w:hint="eastAsia" w:ascii="宋体" w:hAnsi="宋体" w:eastAsia="宋体" w:cs="宋体"/>
                <w:i w:val="0"/>
                <w:iCs w:val="0"/>
                <w:color w:val="auto"/>
                <w:sz w:val="20"/>
                <w:szCs w:val="20"/>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FA0346">
            <w:pPr>
              <w:jc w:val="center"/>
              <w:rPr>
                <w:rFonts w:hint="eastAsia" w:ascii="宋体" w:hAnsi="宋体" w:eastAsia="宋体" w:cs="宋体"/>
                <w:i w:val="0"/>
                <w:iCs w:val="0"/>
                <w:color w:val="auto"/>
                <w:sz w:val="20"/>
                <w:szCs w:val="20"/>
                <w:highlight w:val="none"/>
                <w:u w:val="none"/>
              </w:rPr>
            </w:pPr>
          </w:p>
        </w:tc>
      </w:tr>
      <w:tr w14:paraId="2990C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7F8F24">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综合得分</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C27CF">
            <w:pPr>
              <w:jc w:val="center"/>
              <w:rPr>
                <w:rFonts w:hint="eastAsia" w:ascii="宋体" w:hAnsi="宋体" w:eastAsia="宋体" w:cs="宋体"/>
                <w:i w:val="0"/>
                <w:iCs w:val="0"/>
                <w:color w:val="auto"/>
                <w:sz w:val="20"/>
                <w:szCs w:val="20"/>
                <w:highlight w:val="none"/>
                <w:u w:val="none"/>
              </w:rPr>
            </w:pP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65149">
            <w:pPr>
              <w:jc w:val="center"/>
              <w:rPr>
                <w:rFonts w:hint="eastAsia" w:ascii="宋体" w:hAnsi="宋体" w:eastAsia="宋体" w:cs="宋体"/>
                <w:i w:val="0"/>
                <w:iCs w:val="0"/>
                <w:color w:val="auto"/>
                <w:sz w:val="20"/>
                <w:szCs w:val="20"/>
                <w:highlight w:val="none"/>
                <w:u w:val="none"/>
              </w:rPr>
            </w:pP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A1A1D">
            <w:pPr>
              <w:jc w:val="center"/>
              <w:rPr>
                <w:rFonts w:hint="eastAsia" w:ascii="宋体" w:hAnsi="宋体" w:eastAsia="宋体" w:cs="宋体"/>
                <w:i w:val="0"/>
                <w:iCs w:val="0"/>
                <w:color w:val="auto"/>
                <w:sz w:val="20"/>
                <w:szCs w:val="20"/>
                <w:highlight w:val="none"/>
                <w:u w:val="none"/>
              </w:rPr>
            </w:pPr>
          </w:p>
        </w:tc>
      </w:tr>
      <w:tr w14:paraId="21BDB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9990CB">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评分人员签名</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1DAD9">
            <w:pPr>
              <w:jc w:val="center"/>
              <w:rPr>
                <w:rFonts w:hint="eastAsia" w:ascii="宋体" w:hAnsi="宋体" w:eastAsia="宋体" w:cs="宋体"/>
                <w:i w:val="0"/>
                <w:iCs w:val="0"/>
                <w:color w:val="auto"/>
                <w:sz w:val="20"/>
                <w:szCs w:val="20"/>
                <w:highlight w:val="none"/>
                <w:u w:val="none"/>
              </w:rPr>
            </w:pP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97725">
            <w:pPr>
              <w:jc w:val="center"/>
              <w:rPr>
                <w:rFonts w:hint="eastAsia" w:ascii="宋体" w:hAnsi="宋体" w:eastAsia="宋体" w:cs="宋体"/>
                <w:i w:val="0"/>
                <w:iCs w:val="0"/>
                <w:color w:val="auto"/>
                <w:sz w:val="20"/>
                <w:szCs w:val="20"/>
                <w:highlight w:val="none"/>
                <w:u w:val="none"/>
              </w:rPr>
            </w:pP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1170">
            <w:pPr>
              <w:jc w:val="center"/>
              <w:rPr>
                <w:rFonts w:hint="eastAsia" w:ascii="宋体" w:hAnsi="宋体" w:eastAsia="宋体" w:cs="宋体"/>
                <w:i w:val="0"/>
                <w:iCs w:val="0"/>
                <w:color w:val="auto"/>
                <w:sz w:val="20"/>
                <w:szCs w:val="20"/>
                <w:highlight w:val="none"/>
                <w:u w:val="none"/>
              </w:rPr>
            </w:pPr>
          </w:p>
        </w:tc>
      </w:tr>
      <w:tr w14:paraId="74960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651C83">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总分</w:t>
            </w: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4AA725">
            <w:pPr>
              <w:jc w:val="center"/>
              <w:rPr>
                <w:rFonts w:hint="eastAsia" w:ascii="宋体" w:hAnsi="宋体" w:eastAsia="宋体" w:cs="宋体"/>
                <w:i w:val="0"/>
                <w:iCs w:val="0"/>
                <w:color w:val="auto"/>
                <w:sz w:val="20"/>
                <w:szCs w:val="20"/>
                <w:highlight w:val="none"/>
                <w:u w:val="none"/>
              </w:rPr>
            </w:pPr>
          </w:p>
        </w:tc>
      </w:tr>
      <w:tr w14:paraId="54D7C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trPr>
        <w:tc>
          <w:tcPr>
            <w:tcW w:w="54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404110">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结论</w:t>
            </w:r>
          </w:p>
        </w:tc>
        <w:tc>
          <w:tcPr>
            <w:tcW w:w="29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97E534">
            <w:pPr>
              <w:jc w:val="center"/>
              <w:rPr>
                <w:rFonts w:hint="eastAsia" w:ascii="宋体" w:hAnsi="宋体" w:eastAsia="宋体" w:cs="宋体"/>
                <w:i w:val="0"/>
                <w:iCs w:val="0"/>
                <w:color w:val="auto"/>
                <w:sz w:val="20"/>
                <w:szCs w:val="20"/>
                <w:highlight w:val="none"/>
                <w:u w:val="none"/>
              </w:rPr>
            </w:pPr>
          </w:p>
        </w:tc>
      </w:tr>
      <w:tr w14:paraId="070B1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2" w:hRule="atLeast"/>
        </w:trPr>
        <w:tc>
          <w:tcPr>
            <w:tcW w:w="8360" w:type="dxa"/>
            <w:gridSpan w:val="6"/>
            <w:tcBorders>
              <w:top w:val="nil"/>
              <w:left w:val="nil"/>
              <w:bottom w:val="nil"/>
              <w:right w:val="nil"/>
            </w:tcBorders>
            <w:shd w:val="clear" w:color="auto" w:fill="auto"/>
            <w:vAlign w:val="bottom"/>
          </w:tcPr>
          <w:p w14:paraId="5A0BA58F">
            <w:pPr>
              <w:keepNext w:val="0"/>
              <w:keepLines w:val="0"/>
              <w:widowControl/>
              <w:suppressLineNumbers w:val="0"/>
              <w:jc w:val="left"/>
              <w:textAlignment w:val="bottom"/>
              <w:rPr>
                <w:rFonts w:hint="default" w:ascii="宋体" w:hAnsi="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填</w:t>
            </w:r>
            <w:r>
              <w:rPr>
                <w:rFonts w:hint="eastAsia" w:ascii="宋体" w:hAnsi="宋体" w:cs="宋体"/>
                <w:i w:val="0"/>
                <w:iCs w:val="0"/>
                <w:color w:val="auto"/>
                <w:kern w:val="0"/>
                <w:sz w:val="20"/>
                <w:szCs w:val="20"/>
                <w:highlight w:val="none"/>
                <w:u w:val="none"/>
                <w:lang w:val="en-US" w:eastAsia="zh-CN" w:bidi="ar"/>
              </w:rPr>
              <w:t>写说明：此表为供应商评价表，每月考核一次</w:t>
            </w:r>
          </w:p>
          <w:p w14:paraId="747A6035">
            <w:pPr>
              <w:keepNext w:val="0"/>
              <w:keepLines w:val="0"/>
              <w:widowControl/>
              <w:suppressLineNumbers w:val="0"/>
              <w:jc w:val="left"/>
              <w:textAlignment w:val="bottom"/>
              <w:rPr>
                <w:rFonts w:hint="eastAsia" w:ascii="宋体" w:hAnsi="宋体" w:cs="宋体"/>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评价结论：</w:t>
            </w:r>
          </w:p>
          <w:p w14:paraId="47A2B836">
            <w:pPr>
              <w:keepNext w:val="0"/>
              <w:keepLines w:val="0"/>
              <w:widowControl/>
              <w:suppressLineNumbers w:val="0"/>
              <w:jc w:val="left"/>
              <w:textAlignment w:val="bottom"/>
              <w:rPr>
                <w:rFonts w:hint="eastAsia" w:ascii="宋体" w:hAnsi="宋体" w:cs="宋体"/>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1、分数≥90分，结论:优秀，继续合作。</w:t>
            </w:r>
          </w:p>
          <w:p w14:paraId="2E24A971">
            <w:pPr>
              <w:keepNext w:val="0"/>
              <w:keepLines w:val="0"/>
              <w:widowControl/>
              <w:suppressLineNumbers w:val="0"/>
              <w:jc w:val="left"/>
              <w:textAlignment w:val="bottom"/>
              <w:rPr>
                <w:rFonts w:hint="eastAsia" w:ascii="宋体" w:hAnsi="宋体" w:cs="宋体"/>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2、90分&gt;分数≥80分，结论:继续合作，问题点限时整改，</w:t>
            </w:r>
          </w:p>
          <w:p w14:paraId="42822497">
            <w:pPr>
              <w:keepNext w:val="0"/>
              <w:keepLines w:val="0"/>
              <w:widowControl/>
              <w:suppressLineNumbers w:val="0"/>
              <w:jc w:val="left"/>
              <w:textAlignment w:val="bottom"/>
              <w:rPr>
                <w:rFonts w:hint="eastAsia" w:ascii="宋体" w:hAnsi="宋体" w:cs="宋体"/>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3、80分&gt;分数≥70分，结论:考核扣款并继续合作，问题点限时整改，每低于80分1分，扣当月总结算金额的千分之一。</w:t>
            </w:r>
          </w:p>
          <w:p w14:paraId="6413F9ED">
            <w:pPr>
              <w:keepNext w:val="0"/>
              <w:keepLines w:val="0"/>
              <w:widowControl/>
              <w:suppressLineNumbers w:val="0"/>
              <w:jc w:val="left"/>
              <w:textAlignment w:val="bottom"/>
              <w:rPr>
                <w:rFonts w:hint="eastAsia" w:ascii="宋体" w:hAnsi="宋体" w:cs="宋体"/>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4、70分&gt;分数≥60分，结论:考核扣款并继续合作，问题点限时整改，每低于80分1分，扣当月结算金额的千分之二。</w:t>
            </w:r>
          </w:p>
          <w:p w14:paraId="7BE0597A">
            <w:pPr>
              <w:keepNext w:val="0"/>
              <w:keepLines w:val="0"/>
              <w:widowControl/>
              <w:suppressLineNumbers w:val="0"/>
              <w:jc w:val="left"/>
              <w:textAlignment w:val="bottom"/>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5</w:t>
            </w:r>
            <w:r>
              <w:rPr>
                <w:rFonts w:hint="eastAsia" w:ascii="宋体" w:hAnsi="宋体" w:eastAsia="宋体" w:cs="宋体"/>
                <w:i w:val="0"/>
                <w:iCs w:val="0"/>
                <w:color w:val="auto"/>
                <w:kern w:val="0"/>
                <w:sz w:val="20"/>
                <w:szCs w:val="20"/>
                <w:highlight w:val="none"/>
                <w:u w:val="none"/>
                <w:lang w:val="en-US" w:eastAsia="zh-CN" w:bidi="ar"/>
              </w:rPr>
              <w:t>、60分&gt;分数，或出现重大质量问题，结论:不合格，</w:t>
            </w:r>
            <w:r>
              <w:rPr>
                <w:rFonts w:hint="eastAsia" w:ascii="宋体" w:hAnsi="宋体" w:cs="宋体"/>
                <w:i w:val="0"/>
                <w:iCs w:val="0"/>
                <w:color w:val="auto"/>
                <w:kern w:val="0"/>
                <w:sz w:val="20"/>
                <w:szCs w:val="20"/>
                <w:highlight w:val="none"/>
                <w:u w:val="none"/>
                <w:lang w:val="en-US" w:eastAsia="zh-CN" w:bidi="ar"/>
              </w:rPr>
              <w:t>甲方有权解除合同，</w:t>
            </w:r>
            <w:r>
              <w:rPr>
                <w:rFonts w:hint="eastAsia" w:ascii="宋体" w:hAnsi="宋体" w:eastAsia="宋体" w:cs="宋体"/>
                <w:i w:val="0"/>
                <w:iCs w:val="0"/>
                <w:color w:val="auto"/>
                <w:kern w:val="0"/>
                <w:sz w:val="20"/>
                <w:szCs w:val="20"/>
                <w:highlight w:val="none"/>
                <w:u w:val="none"/>
                <w:lang w:val="en-US" w:eastAsia="zh-CN" w:bidi="ar"/>
              </w:rPr>
              <w:t>停止合作。</w:t>
            </w:r>
          </w:p>
        </w:tc>
      </w:tr>
    </w:tbl>
    <w:p w14:paraId="74304E9E">
      <w:pPr>
        <w:rPr>
          <w:rFonts w:hint="eastAsia" w:ascii="宋体" w:hAnsi="宋体" w:eastAsia="宋体" w:cs="宋体"/>
          <w:b/>
          <w:bCs/>
          <w:color w:val="auto"/>
          <w:sz w:val="21"/>
          <w:szCs w:val="21"/>
          <w:highlight w:val="none"/>
          <w:lang w:val="en-US"/>
        </w:rPr>
      </w:pPr>
      <w:r>
        <w:rPr>
          <w:rFonts w:hint="eastAsia" w:ascii="宋体" w:hAnsi="宋体" w:eastAsia="宋体" w:cs="宋体"/>
          <w:b/>
          <w:bCs/>
          <w:color w:val="auto"/>
          <w:sz w:val="21"/>
          <w:szCs w:val="21"/>
          <w:highlight w:val="none"/>
          <w:lang w:val="en-US"/>
        </w:rPr>
        <w:br w:type="page"/>
      </w:r>
    </w:p>
    <w:p w14:paraId="22BE9479">
      <w:pPr>
        <w:pStyle w:val="9"/>
        <w:keepNext w:val="0"/>
        <w:keepLines w:val="0"/>
        <w:pageBreakBefore w:val="0"/>
        <w:kinsoku/>
        <w:wordWrap/>
        <w:overflowPunct/>
        <w:topLinePunct w:val="0"/>
        <w:autoSpaceDE/>
        <w:autoSpaceDN/>
        <w:bidi w:val="0"/>
        <w:spacing w:before="0" w:line="320" w:lineRule="exact"/>
        <w:textAlignment w:val="auto"/>
        <w:rPr>
          <w:rFonts w:hint="eastAsia" w:ascii="宋体" w:hAnsi="宋体" w:eastAsia="宋体" w:cs="宋体"/>
          <w:b/>
          <w:bCs/>
          <w:color w:val="auto"/>
          <w:sz w:val="21"/>
          <w:szCs w:val="21"/>
          <w:highlight w:val="none"/>
          <w:lang w:val="en-US"/>
        </w:rPr>
      </w:pPr>
      <w:r>
        <w:rPr>
          <w:rFonts w:hint="eastAsia" w:ascii="宋体" w:hAnsi="宋体" w:eastAsia="宋体" w:cs="宋体"/>
          <w:b/>
          <w:bCs/>
          <w:color w:val="auto"/>
          <w:sz w:val="21"/>
          <w:szCs w:val="21"/>
          <w:highlight w:val="none"/>
          <w:lang w:val="en-US"/>
        </w:rPr>
        <w:t>附件</w:t>
      </w:r>
      <w:r>
        <w:rPr>
          <w:rFonts w:hint="eastAsia" w:cs="宋体"/>
          <w:b/>
          <w:bCs/>
          <w:color w:val="auto"/>
          <w:sz w:val="21"/>
          <w:szCs w:val="21"/>
          <w:highlight w:val="none"/>
          <w:lang w:val="en-US" w:eastAsia="zh-CN"/>
        </w:rPr>
        <w:t>2</w:t>
      </w:r>
      <w:r>
        <w:rPr>
          <w:rFonts w:hint="eastAsia" w:ascii="宋体" w:hAnsi="宋体" w:eastAsia="宋体" w:cs="宋体"/>
          <w:b/>
          <w:bCs/>
          <w:color w:val="auto"/>
          <w:sz w:val="21"/>
          <w:szCs w:val="21"/>
          <w:highlight w:val="none"/>
          <w:lang w:val="en-US"/>
        </w:rPr>
        <w:t>：阳光合作协议</w:t>
      </w:r>
    </w:p>
    <w:p w14:paraId="023E3BC9">
      <w:pPr>
        <w:ind w:firstLine="562" w:firstLineChars="200"/>
        <w:jc w:val="center"/>
        <w:rPr>
          <w:rFonts w:hint="eastAsia" w:ascii="宋体" w:hAnsi="宋体" w:eastAsia="宋体" w:cs="宋体"/>
          <w:b/>
          <w:color w:val="auto"/>
          <w:sz w:val="28"/>
          <w:szCs w:val="28"/>
          <w:highlight w:val="none"/>
          <w:lang w:eastAsia="zh-CN"/>
        </w:rPr>
      </w:pPr>
      <w:r>
        <w:rPr>
          <w:rFonts w:hint="eastAsia" w:ascii="宋体" w:hAnsi="宋体" w:eastAsia="宋体" w:cs="宋体"/>
          <w:b/>
          <w:color w:val="auto"/>
          <w:sz w:val="28"/>
          <w:szCs w:val="28"/>
          <w:highlight w:val="none"/>
          <w:lang w:eastAsia="zh-CN"/>
        </w:rPr>
        <w:t>阳光合作协议</w:t>
      </w:r>
    </w:p>
    <w:p w14:paraId="27DBC18B">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hAnsi="宋体"/>
          <w:color w:val="auto"/>
          <w:highlight w:val="none"/>
        </w:rPr>
      </w:pPr>
      <w:r>
        <w:rPr>
          <w:rFonts w:hint="eastAsia" w:ascii="宋体" w:hAnsi="宋体"/>
          <w:color w:val="auto"/>
          <w:highlight w:val="none"/>
        </w:rPr>
        <w:t>甲方（采购方全称）：</w:t>
      </w:r>
    </w:p>
    <w:p w14:paraId="79744490">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hAnsi="宋体"/>
          <w:color w:val="auto"/>
          <w:highlight w:val="none"/>
        </w:rPr>
      </w:pPr>
      <w:r>
        <w:rPr>
          <w:rFonts w:hint="eastAsia" w:ascii="宋体" w:hAnsi="宋体"/>
          <w:color w:val="auto"/>
          <w:highlight w:val="none"/>
        </w:rPr>
        <w:t>乙方（供应方全称）：</w:t>
      </w:r>
    </w:p>
    <w:p w14:paraId="5486B5DD">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hint="eastAsia" w:ascii="宋体" w:hAnsi="宋体"/>
          <w:color w:val="auto"/>
          <w:highlight w:val="none"/>
        </w:rPr>
      </w:pPr>
    </w:p>
    <w:p w14:paraId="1483ABF2">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color w:val="auto"/>
          <w:highlight w:val="none"/>
        </w:rPr>
      </w:pPr>
      <w:r>
        <w:rPr>
          <w:rFonts w:hint="eastAsia" w:ascii="宋体" w:hAnsi="宋体"/>
          <w:color w:val="auto"/>
          <w:highlight w:val="none"/>
        </w:rPr>
        <w:t>甲乙双方于</w:t>
      </w:r>
      <w:r>
        <w:rPr>
          <w:rFonts w:hint="eastAsia" w:ascii="宋体" w:hAnsi="宋体"/>
          <w:color w:val="auto"/>
          <w:highlight w:val="none"/>
          <w:lang w:eastAsia="zh-CN"/>
        </w:rPr>
        <w:t>2026</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日签署了</w:t>
      </w:r>
      <w:r>
        <w:rPr>
          <w:rFonts w:hint="eastAsia" w:ascii="宋体" w:hAnsi="宋体"/>
          <w:color w:val="auto"/>
          <w:highlight w:val="none"/>
          <w:u w:val="single"/>
        </w:rPr>
        <w:t xml:space="preserve">  </w:t>
      </w:r>
      <w:r>
        <w:rPr>
          <w:rFonts w:hint="eastAsia" w:ascii="宋体" w:hAnsi="宋体"/>
          <w:color w:val="auto"/>
          <w:highlight w:val="none"/>
          <w:u w:val="single"/>
          <w:lang w:val="en-US" w:eastAsia="zh-CN"/>
        </w:rPr>
        <w:t xml:space="preserve">               </w:t>
      </w:r>
      <w:r>
        <w:rPr>
          <w:rFonts w:hint="eastAsia" w:ascii="宋体" w:hAnsi="宋体"/>
          <w:color w:val="auto"/>
          <w:highlight w:val="none"/>
          <w:u w:val="single"/>
        </w:rPr>
        <w:t xml:space="preserve"> </w:t>
      </w:r>
      <w:r>
        <w:rPr>
          <w:rFonts w:hint="eastAsia" w:ascii="宋体" w:hAnsi="宋体"/>
          <w:color w:val="auto"/>
          <w:highlight w:val="none"/>
        </w:rPr>
        <w:t>项目合同（以下简称原合同），为加强双方阳光合作，保证职员职业安全，甲乙双方经协商签订本协议并作为双方共同遵守的阳光合作行为准则。</w:t>
      </w:r>
    </w:p>
    <w:p w14:paraId="023CFA49">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420" w:leftChars="200"/>
        <w:contextualSpacing/>
        <w:textAlignment w:val="auto"/>
        <w:rPr>
          <w:rFonts w:ascii="宋体" w:hAnsi="宋体"/>
          <w:b/>
          <w:color w:val="auto"/>
          <w:highlight w:val="none"/>
        </w:rPr>
      </w:pPr>
      <w:r>
        <w:rPr>
          <w:rFonts w:hint="eastAsia" w:ascii="宋体" w:hAnsi="宋体"/>
          <w:b/>
          <w:color w:val="auto"/>
          <w:highlight w:val="none"/>
        </w:rPr>
        <w:t>一、甲方责任</w:t>
      </w:r>
    </w:p>
    <w:p w14:paraId="121A929D">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1.甲方有责任向乙方介绍本单位有关采购管理通用原则和本协议的规定。</w:t>
      </w:r>
    </w:p>
    <w:p w14:paraId="5B012EEA">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2.甲方有责任对本单位相关人员进行阳光合作教育。</w:t>
      </w:r>
    </w:p>
    <w:p w14:paraId="4D8D3031">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004D94C9">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4.甲方人员如违反阳光合作管理制度及本协议规定，甲方视情节轻重、影响大小给予行政及经济处罚。</w:t>
      </w:r>
    </w:p>
    <w:p w14:paraId="0B4CD6BC">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5．对于乙方举报甲方人员违反阳光合作规定的情况，甲方应及时进行调查，根据调查情况进行处理，并将调查结果向乙方反馈。</w:t>
      </w:r>
    </w:p>
    <w:p w14:paraId="6F138D22">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6.接受举报的一方应为举报方保密，不得对举报方进行报复，对举报属实和严格遵守《阳光合作协议》的合作方，在同等条件下给予后续合作的优先权。</w:t>
      </w:r>
    </w:p>
    <w:p w14:paraId="49363238">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420" w:leftChars="200"/>
        <w:contextualSpacing/>
        <w:textAlignment w:val="auto"/>
        <w:rPr>
          <w:rFonts w:ascii="宋体" w:hAnsi="宋体"/>
          <w:b/>
          <w:color w:val="auto"/>
          <w:highlight w:val="none"/>
        </w:rPr>
      </w:pPr>
      <w:r>
        <w:rPr>
          <w:rFonts w:hint="eastAsia" w:ascii="宋体" w:hAnsi="宋体"/>
          <w:b/>
          <w:color w:val="auto"/>
          <w:highlight w:val="none"/>
        </w:rPr>
        <w:t>二、乙方责任</w:t>
      </w:r>
    </w:p>
    <w:p w14:paraId="7D4E8A6C">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1.乙方应保证乙方人员了解甲方有关采购管理通用原则和及本协议的规定，并遵照执行。</w:t>
      </w:r>
    </w:p>
    <w:p w14:paraId="48B69349">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2.乙方不得以任何形式给予甲方人员回扣、赠送实物、现金、有价证券、礼券等有价物品或提供旅游等其他可能影响职务行为公正履行的活动（以下统称“财物”）。</w:t>
      </w:r>
    </w:p>
    <w:p w14:paraId="5EBE6E08">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3.乙方有责任接受甲方对乙方在合作期间阳光合作管理执行情况的监督，并对甲方相关调查工作主动配合。</w:t>
      </w:r>
    </w:p>
    <w:p w14:paraId="362E4FB0">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4.乙方有义务就甲方人员任何形式的索取或收受财物行为及时向甲方（直接联系人为东莞实业投资控股集团有限公司</w:t>
      </w:r>
      <w:r>
        <w:rPr>
          <w:rFonts w:hint="eastAsia" w:ascii="宋体" w:hAnsi="宋体"/>
          <w:color w:val="auto"/>
          <w:highlight w:val="none"/>
          <w:lang w:eastAsia="zh-CN"/>
        </w:rPr>
        <w:t>风控法务部</w:t>
      </w:r>
      <w:r>
        <w:rPr>
          <w:rFonts w:hint="eastAsia" w:ascii="宋体" w:hAnsi="宋体"/>
          <w:color w:val="auto"/>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081D43E6">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 xml:space="preserve">5．甲方接受乙方实名或匿名举报，保证为举报者的信息保密，常设举报部门及电话： </w:t>
      </w:r>
    </w:p>
    <w:p w14:paraId="68C20A42">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hint="eastAsia" w:ascii="宋体" w:hAnsi="宋体" w:eastAsia="宋体"/>
          <w:color w:val="auto"/>
          <w:highlight w:val="none"/>
          <w:lang w:eastAsia="zh-CN"/>
        </w:rPr>
      </w:pPr>
      <w:r>
        <w:rPr>
          <w:rFonts w:hint="eastAsia" w:ascii="宋体" w:hAnsi="宋体"/>
          <w:color w:val="auto"/>
          <w:highlight w:val="none"/>
        </w:rPr>
        <w:t>举报受理部门：东莞实业投资控股集团有限公司</w:t>
      </w:r>
      <w:r>
        <w:rPr>
          <w:rFonts w:hint="eastAsia" w:ascii="宋体" w:hAnsi="宋体"/>
          <w:color w:val="auto"/>
          <w:highlight w:val="none"/>
          <w:lang w:eastAsia="zh-CN"/>
        </w:rPr>
        <w:t>风控法务部</w:t>
      </w:r>
    </w:p>
    <w:p w14:paraId="716E46D3">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东实集团举报邮箱：dgsyxf@163.com</w:t>
      </w:r>
    </w:p>
    <w:p w14:paraId="2CAC5C47">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东实集团举报电话：0769-28820703（周一至周五9:00-12:00和14:00-18:00）</w:t>
      </w:r>
    </w:p>
    <w:p w14:paraId="41DB40C8">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邮寄地址：东莞市东城区八一路1号机关二号大院9号楼，东莞实业投资控股集团有限公司</w:t>
      </w:r>
      <w:r>
        <w:rPr>
          <w:rFonts w:hint="eastAsia" w:ascii="宋体" w:hAnsi="宋体"/>
          <w:color w:val="auto"/>
          <w:highlight w:val="none"/>
          <w:lang w:eastAsia="zh-CN"/>
        </w:rPr>
        <w:t>风控法务部</w:t>
      </w:r>
      <w:r>
        <w:rPr>
          <w:rFonts w:hint="eastAsia" w:ascii="宋体" w:hAnsi="宋体"/>
          <w:color w:val="auto"/>
          <w:highlight w:val="none"/>
        </w:rPr>
        <w:t>收，邮编523000。</w:t>
      </w:r>
    </w:p>
    <w:p w14:paraId="7EFA2D22">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420" w:leftChars="200"/>
        <w:contextualSpacing/>
        <w:textAlignment w:val="auto"/>
        <w:rPr>
          <w:rFonts w:ascii="宋体" w:hAnsi="宋体"/>
          <w:b/>
          <w:color w:val="auto"/>
          <w:highlight w:val="none"/>
        </w:rPr>
      </w:pPr>
      <w:r>
        <w:rPr>
          <w:rFonts w:hint="eastAsia" w:ascii="宋体" w:hAnsi="宋体"/>
          <w:b/>
          <w:color w:val="auto"/>
          <w:highlight w:val="none"/>
        </w:rPr>
        <w:t>三、其他</w:t>
      </w:r>
    </w:p>
    <w:p w14:paraId="295C53BE">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1.本协议是原合同的补充协议，与原合同有同等法律效力。</w:t>
      </w:r>
    </w:p>
    <w:p w14:paraId="3C046F2A">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2.</w:t>
      </w:r>
      <w:r>
        <w:rPr>
          <w:rFonts w:ascii="宋体" w:hAnsi="宋体"/>
          <w:color w:val="auto"/>
          <w:highlight w:val="none"/>
        </w:rPr>
        <w:t>本</w:t>
      </w:r>
      <w:r>
        <w:rPr>
          <w:rFonts w:hint="eastAsia" w:ascii="宋体" w:hAnsi="宋体"/>
          <w:color w:val="auto"/>
          <w:highlight w:val="none"/>
        </w:rPr>
        <w:t>协议</w:t>
      </w:r>
      <w:r>
        <w:rPr>
          <w:rFonts w:ascii="宋体" w:hAnsi="宋体"/>
          <w:color w:val="auto"/>
          <w:highlight w:val="none"/>
        </w:rPr>
        <w:t>一式</w:t>
      </w:r>
      <w:r>
        <w:rPr>
          <w:rFonts w:hint="eastAsia" w:ascii="宋体" w:hAnsi="宋体"/>
          <w:color w:val="auto"/>
          <w:highlight w:val="none"/>
          <w:lang w:val="en-US" w:eastAsia="zh-CN"/>
        </w:rPr>
        <w:t>两</w:t>
      </w:r>
      <w:r>
        <w:rPr>
          <w:rFonts w:ascii="宋体" w:hAnsi="宋体"/>
          <w:color w:val="auto"/>
          <w:highlight w:val="none"/>
        </w:rPr>
        <w:t>份，甲方执</w:t>
      </w:r>
      <w:r>
        <w:rPr>
          <w:rFonts w:hint="eastAsia" w:ascii="宋体" w:hAnsi="宋体"/>
          <w:color w:val="auto"/>
          <w:highlight w:val="none"/>
          <w:lang w:val="en-US" w:eastAsia="zh-CN"/>
        </w:rPr>
        <w:t>一</w:t>
      </w:r>
      <w:r>
        <w:rPr>
          <w:rFonts w:ascii="宋体" w:hAnsi="宋体"/>
          <w:color w:val="auto"/>
          <w:highlight w:val="none"/>
        </w:rPr>
        <w:t>份，乙方执</w:t>
      </w:r>
      <w:r>
        <w:rPr>
          <w:rFonts w:hint="eastAsia" w:ascii="宋体" w:hAnsi="宋体"/>
          <w:color w:val="auto"/>
          <w:highlight w:val="none"/>
          <w:lang w:val="en-US" w:eastAsia="zh-CN"/>
        </w:rPr>
        <w:t>一</w:t>
      </w:r>
      <w:r>
        <w:rPr>
          <w:rFonts w:ascii="宋体" w:hAnsi="宋体"/>
          <w:color w:val="auto"/>
          <w:highlight w:val="none"/>
        </w:rPr>
        <w:t>份</w:t>
      </w:r>
      <w:r>
        <w:rPr>
          <w:rFonts w:hint="eastAsia" w:ascii="宋体" w:hAnsi="宋体"/>
          <w:color w:val="auto"/>
          <w:highlight w:val="none"/>
        </w:rPr>
        <w:t>,具有同等法律效力。</w:t>
      </w:r>
    </w:p>
    <w:p w14:paraId="297B3BC8">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3.本协议经双方签署后生效。</w:t>
      </w:r>
    </w:p>
    <w:p w14:paraId="2D1600EE">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color w:val="auto"/>
          <w:highlight w:val="none"/>
        </w:rPr>
      </w:pPr>
      <w:r>
        <w:rPr>
          <w:rFonts w:hint="eastAsia" w:ascii="宋体" w:hAnsi="宋体"/>
          <w:color w:val="auto"/>
          <w:highlight w:val="none"/>
        </w:rPr>
        <w:t>甲方（盖章）：                       乙方（盖章）：</w:t>
      </w:r>
      <w:r>
        <w:rPr>
          <w:rFonts w:ascii="宋体"/>
          <w:color w:val="auto"/>
          <w:highlight w:val="none"/>
        </w:rPr>
        <w:t xml:space="preserve"> </w:t>
      </w:r>
    </w:p>
    <w:p w14:paraId="5F6711A2">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hAnsi="宋体"/>
          <w:color w:val="auto"/>
          <w:highlight w:val="none"/>
        </w:rPr>
      </w:pPr>
    </w:p>
    <w:p w14:paraId="678606FA">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color w:val="auto"/>
          <w:highlight w:val="none"/>
        </w:rPr>
      </w:pPr>
      <w:r>
        <w:rPr>
          <w:rFonts w:hint="eastAsia" w:ascii="宋体" w:hAnsi="宋体"/>
          <w:color w:val="auto"/>
          <w:highlight w:val="none"/>
        </w:rPr>
        <w:t>法定代表人（授权代表）：</w:t>
      </w:r>
      <w:r>
        <w:rPr>
          <w:rFonts w:hint="eastAsia" w:ascii="宋体"/>
          <w:color w:val="auto"/>
          <w:highlight w:val="none"/>
        </w:rPr>
        <w:tab/>
      </w:r>
      <w:r>
        <w:rPr>
          <w:rFonts w:hint="eastAsia" w:ascii="宋体"/>
          <w:color w:val="auto"/>
          <w:highlight w:val="none"/>
        </w:rPr>
        <w:tab/>
      </w:r>
      <w:r>
        <w:rPr>
          <w:rFonts w:hint="eastAsia" w:ascii="宋体" w:hAnsi="宋体"/>
          <w:color w:val="auto"/>
          <w:highlight w:val="none"/>
        </w:rPr>
        <w:t>法定代表人（授权代表）：</w:t>
      </w:r>
    </w:p>
    <w:p w14:paraId="4DD28EB6">
      <w:pPr>
        <w:pStyle w:val="2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ascii="宋体" w:hAnsi="宋体" w:cs="宋体"/>
          <w:b w:val="0"/>
          <w:bCs w:val="0"/>
          <w:caps/>
          <w:color w:val="auto"/>
          <w:spacing w:val="80"/>
          <w:sz w:val="21"/>
          <w:szCs w:val="21"/>
          <w:highlight w:val="none"/>
        </w:rPr>
      </w:pPr>
      <w:r>
        <w:rPr>
          <w:rFonts w:hint="eastAsia" w:ascii="宋体" w:hAnsi="宋体" w:cs="宋体"/>
          <w:b w:val="0"/>
          <w:bCs w:val="0"/>
          <w:color w:val="auto"/>
          <w:sz w:val="21"/>
          <w:szCs w:val="21"/>
          <w:highlight w:val="none"/>
        </w:rPr>
        <w:t>签约日期：</w:t>
      </w:r>
      <w:r>
        <w:rPr>
          <w:rFonts w:hint="eastAsia" w:ascii="宋体" w:hAnsi="宋体" w:cs="宋体"/>
          <w:b w:val="0"/>
          <w:bCs w:val="0"/>
          <w:color w:val="auto"/>
          <w:sz w:val="21"/>
          <w:szCs w:val="21"/>
          <w:highlight w:val="none"/>
          <w:lang w:eastAsia="zh-CN"/>
        </w:rPr>
        <w:t>2026</w:t>
      </w:r>
      <w:r>
        <w:rPr>
          <w:rFonts w:hint="eastAsia" w:ascii="宋体" w:hAnsi="宋体" w:cs="宋体"/>
          <w:b w:val="0"/>
          <w:bCs w:val="0"/>
          <w:color w:val="auto"/>
          <w:sz w:val="21"/>
          <w:szCs w:val="21"/>
          <w:highlight w:val="none"/>
        </w:rPr>
        <w:t xml:space="preserve">年  月  日   </w:t>
      </w:r>
      <w:r>
        <w:rPr>
          <w:rFonts w:hint="eastAsia" w:ascii="宋体" w:hAnsi="宋体" w:cs="宋体"/>
          <w:b w:val="0"/>
          <w:bCs w:val="0"/>
          <w:color w:val="auto"/>
          <w:sz w:val="21"/>
          <w:szCs w:val="21"/>
          <w:highlight w:val="none"/>
        </w:rPr>
        <w:tab/>
      </w:r>
      <w:r>
        <w:rPr>
          <w:rFonts w:hint="eastAsia" w:ascii="宋体" w:hAnsi="宋体" w:cs="宋体"/>
          <w:b w:val="0"/>
          <w:bCs w:val="0"/>
          <w:color w:val="auto"/>
          <w:sz w:val="21"/>
          <w:szCs w:val="21"/>
          <w:highlight w:val="none"/>
        </w:rPr>
        <w:t xml:space="preserve">       签约日期：</w:t>
      </w:r>
      <w:r>
        <w:rPr>
          <w:rFonts w:hint="eastAsia" w:ascii="宋体" w:hAnsi="宋体" w:cs="宋体"/>
          <w:b w:val="0"/>
          <w:bCs w:val="0"/>
          <w:color w:val="auto"/>
          <w:sz w:val="21"/>
          <w:szCs w:val="21"/>
          <w:highlight w:val="none"/>
          <w:lang w:eastAsia="zh-CN"/>
        </w:rPr>
        <w:t>2026</w:t>
      </w:r>
      <w:r>
        <w:rPr>
          <w:rFonts w:hint="eastAsia" w:ascii="宋体" w:hAnsi="宋体" w:cs="宋体"/>
          <w:b w:val="0"/>
          <w:bCs w:val="0"/>
          <w:color w:val="auto"/>
          <w:sz w:val="21"/>
          <w:szCs w:val="21"/>
          <w:highlight w:val="none"/>
        </w:rPr>
        <w:t>年  月  日</w:t>
      </w:r>
    </w:p>
    <w:p w14:paraId="3839B3F1">
      <w:pPr>
        <w:rPr>
          <w:rFonts w:hint="eastAsia" w:ascii="宋体" w:hAnsi="宋体" w:eastAsia="宋体" w:cs="宋体"/>
          <w:b w:val="0"/>
          <w:bCs w:val="0"/>
          <w:color w:val="auto"/>
          <w:sz w:val="20"/>
          <w:szCs w:val="20"/>
          <w:highlight w:val="none"/>
        </w:rPr>
      </w:pPr>
      <w:r>
        <w:rPr>
          <w:rFonts w:hint="eastAsia" w:ascii="宋体" w:hAnsi="宋体" w:eastAsia="宋体" w:cs="宋体"/>
          <w:b w:val="0"/>
          <w:bCs w:val="0"/>
          <w:color w:val="auto"/>
          <w:sz w:val="20"/>
          <w:szCs w:val="20"/>
          <w:highlight w:val="none"/>
        </w:rPr>
        <w:br w:type="page"/>
      </w:r>
    </w:p>
    <w:p w14:paraId="7B0DA189">
      <w:pPr>
        <w:pStyle w:val="29"/>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b w:val="0"/>
          <w:bCs w:val="0"/>
          <w:color w:val="auto"/>
          <w:sz w:val="20"/>
          <w:szCs w:val="20"/>
          <w:highlight w:val="none"/>
          <w:lang w:val="en-US" w:eastAsia="zh-CN"/>
        </w:rPr>
      </w:pPr>
      <w:r>
        <w:rPr>
          <w:rFonts w:hint="eastAsia" w:ascii="宋体" w:hAnsi="宋体" w:cs="宋体"/>
          <w:b w:val="0"/>
          <w:bCs w:val="0"/>
          <w:color w:val="auto"/>
          <w:sz w:val="20"/>
          <w:szCs w:val="20"/>
          <w:highlight w:val="none"/>
          <w:lang w:val="en-US" w:eastAsia="zh-CN"/>
        </w:rPr>
        <w:t>附件3：用户需求书</w:t>
      </w:r>
    </w:p>
    <w:p w14:paraId="6B7BCF4D">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4FAA54B0">
      <w:pPr>
        <w:pStyle w:val="3"/>
        <w:spacing w:before="0" w:after="0" w:line="240" w:lineRule="auto"/>
        <w:rPr>
          <w:rFonts w:hint="eastAsia" w:ascii="宋体" w:hAnsi="宋体" w:eastAsia="宋体" w:cs="宋体"/>
          <w:color w:val="auto"/>
          <w:sz w:val="28"/>
          <w:szCs w:val="28"/>
          <w:highlight w:val="none"/>
        </w:rPr>
      </w:pPr>
      <w:bookmarkStart w:id="143" w:name="_Toc28560"/>
      <w:r>
        <w:rPr>
          <w:rFonts w:hint="eastAsia" w:ascii="宋体" w:hAnsi="宋体" w:eastAsia="宋体" w:cs="宋体"/>
          <w:color w:val="auto"/>
          <w:sz w:val="28"/>
          <w:szCs w:val="28"/>
          <w:highlight w:val="none"/>
        </w:rPr>
        <w:t>第六部分附件－投标文件格式</w:t>
      </w:r>
      <w:bookmarkEnd w:id="143"/>
    </w:p>
    <w:p w14:paraId="4E96A60A">
      <w:pPr>
        <w:rPr>
          <w:rFonts w:hint="eastAsia" w:ascii="宋体" w:hAnsi="宋体" w:eastAsia="宋体" w:cs="宋体"/>
          <w:color w:val="auto"/>
          <w:highlight w:val="none"/>
        </w:rPr>
      </w:pPr>
    </w:p>
    <w:p w14:paraId="670A53CD">
      <w:pPr>
        <w:pStyle w:val="5"/>
        <w:widowControl w:val="0"/>
        <w:overflowPunct w:val="0"/>
        <w:spacing w:line="240" w:lineRule="auto"/>
        <w:rPr>
          <w:rFonts w:hint="eastAsia" w:ascii="宋体" w:hAnsi="宋体" w:eastAsia="宋体" w:cs="宋体"/>
          <w:color w:val="auto"/>
          <w:sz w:val="21"/>
          <w:szCs w:val="21"/>
          <w:highlight w:val="none"/>
        </w:rPr>
      </w:pPr>
      <w:bookmarkStart w:id="144" w:name="_Toc6546"/>
      <w:r>
        <w:rPr>
          <w:rFonts w:hint="eastAsia" w:ascii="宋体" w:hAnsi="宋体" w:eastAsia="宋体" w:cs="宋体"/>
          <w:color w:val="auto"/>
          <w:sz w:val="21"/>
          <w:szCs w:val="21"/>
          <w:highlight w:val="none"/>
        </w:rPr>
        <w:t>投标文件目录</w:t>
      </w:r>
      <w:bookmarkEnd w:id="144"/>
    </w:p>
    <w:p w14:paraId="7EAE25C2">
      <w:pPr>
        <w:jc w:val="center"/>
        <w:rPr>
          <w:rFonts w:hint="eastAsia" w:ascii="宋体" w:hAnsi="宋体" w:eastAsia="宋体" w:cs="宋体"/>
          <w:color w:val="auto"/>
          <w:sz w:val="32"/>
          <w:szCs w:val="32"/>
          <w:highlight w:val="none"/>
        </w:rPr>
      </w:pPr>
    </w:p>
    <w:p w14:paraId="62B84310">
      <w:pPr>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目录</w:t>
      </w:r>
    </w:p>
    <w:p w14:paraId="44A25C94">
      <w:pPr>
        <w:adjustRightInd/>
        <w:snapToGrid/>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格式自理。</w:t>
      </w:r>
    </w:p>
    <w:p w14:paraId="244DC567">
      <w:pPr>
        <w:adjustRightInd/>
        <w:snapToGrid/>
        <w:spacing w:line="276" w:lineRule="auto"/>
        <w:rPr>
          <w:rFonts w:hint="eastAsia" w:ascii="宋体" w:hAnsi="宋体" w:eastAsia="宋体" w:cs="宋体"/>
          <w:color w:val="auto"/>
          <w:szCs w:val="21"/>
          <w:highlight w:val="none"/>
        </w:rPr>
      </w:pPr>
    </w:p>
    <w:p w14:paraId="46E89303">
      <w:pPr>
        <w:adjustRightInd/>
        <w:snapToGrid/>
        <w:spacing w:line="276" w:lineRule="auto"/>
        <w:rPr>
          <w:rFonts w:hint="eastAsia" w:ascii="宋体" w:hAnsi="宋体" w:eastAsia="宋体" w:cs="宋体"/>
          <w:color w:val="auto"/>
          <w:szCs w:val="21"/>
          <w:highlight w:val="none"/>
        </w:rPr>
      </w:pPr>
    </w:p>
    <w:p w14:paraId="4DE4217B">
      <w:pPr>
        <w:adjustRightInd/>
        <w:snapToGrid/>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w:t>
      </w:r>
    </w:p>
    <w:p w14:paraId="31C5E12E">
      <w:pPr>
        <w:adjustRightInd/>
        <w:snapToGrid/>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1、投标人制作的投标文件应当具备目录。</w:t>
      </w:r>
      <w:r>
        <w:rPr>
          <w:rFonts w:hint="eastAsia" w:ascii="宋体" w:hAnsi="宋体" w:eastAsia="宋体" w:cs="宋体"/>
          <w:color w:val="auto"/>
          <w:szCs w:val="21"/>
          <w:highlight w:val="none"/>
        </w:rPr>
        <w:br w:type="page"/>
      </w:r>
    </w:p>
    <w:p w14:paraId="6A11D8A3">
      <w:pPr>
        <w:adjustRightInd/>
        <w:snapToGrid/>
        <w:spacing w:line="276" w:lineRule="auto"/>
        <w:rPr>
          <w:rFonts w:hint="eastAsia" w:ascii="宋体" w:hAnsi="宋体" w:eastAsia="宋体" w:cs="宋体"/>
          <w:color w:val="auto"/>
          <w:szCs w:val="21"/>
          <w:highlight w:val="none"/>
        </w:rPr>
      </w:pPr>
    </w:p>
    <w:p w14:paraId="2C4C9C6D">
      <w:pPr>
        <w:jc w:val="center"/>
        <w:rPr>
          <w:rFonts w:hint="eastAsia" w:ascii="宋体" w:hAnsi="宋体" w:eastAsia="宋体" w:cs="宋体"/>
          <w:color w:val="auto"/>
          <w:sz w:val="52"/>
          <w:szCs w:val="52"/>
          <w:highlight w:val="none"/>
        </w:rPr>
      </w:pPr>
      <w:bookmarkStart w:id="145" w:name="_Toc30918"/>
      <w:bookmarkStart w:id="146" w:name="_Toc18450"/>
      <w:bookmarkStart w:id="147" w:name="_Toc20335"/>
      <w:bookmarkStart w:id="148" w:name="_Toc28154"/>
      <w:bookmarkStart w:id="149" w:name="_Toc21746"/>
    </w:p>
    <w:p w14:paraId="5E0648E5">
      <w:pPr>
        <w:pStyle w:val="3"/>
        <w:spacing w:before="0" w:after="0" w:line="360" w:lineRule="auto"/>
        <w:jc w:val="center"/>
        <w:rPr>
          <w:rFonts w:hint="eastAsia" w:ascii="宋体" w:hAnsi="宋体" w:eastAsia="宋体" w:cs="宋体"/>
          <w:color w:val="auto"/>
          <w:sz w:val="72"/>
          <w:szCs w:val="72"/>
          <w:highlight w:val="none"/>
        </w:rPr>
      </w:pPr>
      <w:bookmarkStart w:id="150" w:name="_Toc17866"/>
      <w:r>
        <w:rPr>
          <w:rFonts w:hint="eastAsia" w:ascii="宋体" w:hAnsi="宋体" w:eastAsia="宋体" w:cs="宋体"/>
          <w:color w:val="auto"/>
          <w:sz w:val="72"/>
          <w:szCs w:val="72"/>
          <w:highlight w:val="none"/>
        </w:rPr>
        <w:t>价格文件</w:t>
      </w:r>
      <w:bookmarkEnd w:id="145"/>
      <w:bookmarkEnd w:id="146"/>
      <w:bookmarkEnd w:id="150"/>
      <w:bookmarkStart w:id="151" w:name="_Hlt10519799"/>
      <w:bookmarkEnd w:id="151"/>
      <w:bookmarkStart w:id="152" w:name="_Hlt10456397"/>
      <w:bookmarkEnd w:id="152"/>
    </w:p>
    <w:p w14:paraId="5DFE5FDF">
      <w:pPr>
        <w:jc w:val="center"/>
        <w:rPr>
          <w:rFonts w:hint="eastAsia" w:ascii="宋体" w:hAnsi="宋体" w:eastAsia="宋体" w:cs="宋体"/>
          <w:color w:val="auto"/>
          <w:sz w:val="72"/>
          <w:szCs w:val="72"/>
          <w:highlight w:val="none"/>
        </w:rPr>
      </w:pPr>
      <w:r>
        <w:rPr>
          <w:rFonts w:hint="eastAsia" w:ascii="宋体" w:hAnsi="宋体" w:eastAsia="宋体" w:cs="宋体"/>
          <w:color w:val="auto"/>
          <w:sz w:val="72"/>
          <w:szCs w:val="72"/>
          <w:highlight w:val="none"/>
        </w:rPr>
        <w:t>（单独装订成册）</w:t>
      </w:r>
      <w:bookmarkEnd w:id="147"/>
      <w:bookmarkEnd w:id="148"/>
      <w:bookmarkEnd w:id="149"/>
    </w:p>
    <w:p w14:paraId="54082D78">
      <w:pPr>
        <w:rPr>
          <w:rFonts w:hint="eastAsia" w:ascii="宋体" w:hAnsi="宋体" w:eastAsia="宋体" w:cs="宋体"/>
          <w:color w:val="auto"/>
          <w:highlight w:val="none"/>
        </w:rPr>
      </w:pPr>
    </w:p>
    <w:p w14:paraId="64839D2A">
      <w:pPr>
        <w:pStyle w:val="9"/>
        <w:rPr>
          <w:rFonts w:hint="eastAsia" w:ascii="宋体" w:hAnsi="宋体" w:eastAsia="宋体" w:cs="宋体"/>
          <w:color w:val="auto"/>
          <w:highlight w:val="none"/>
        </w:rPr>
      </w:pPr>
    </w:p>
    <w:p w14:paraId="6CC68B2D">
      <w:pPr>
        <w:pStyle w:val="10"/>
        <w:keepNext w:val="0"/>
        <w:keepLines w:val="0"/>
        <w:pageBreakBefore w:val="0"/>
        <w:widowControl/>
        <w:kinsoku/>
        <w:wordWrap/>
        <w:overflowPunct/>
        <w:topLinePunct w:val="0"/>
        <w:autoSpaceDE/>
        <w:autoSpaceDN/>
        <w:bidi w:val="0"/>
        <w:adjustRightInd w:val="0"/>
        <w:snapToGrid w:val="0"/>
        <w:spacing w:before="0" w:after="0" w:afterAutospacing="0" w:line="360" w:lineRule="auto"/>
        <w:ind w:left="0" w:firstLine="240"/>
        <w:textAlignment w:val="auto"/>
        <w:rPr>
          <w:rFonts w:hint="eastAsia" w:ascii="宋体" w:hAnsi="宋体" w:eastAsia="宋体" w:cs="宋体"/>
          <w:color w:val="auto"/>
          <w:highlight w:val="none"/>
        </w:rPr>
      </w:pPr>
    </w:p>
    <w:p w14:paraId="0E2C6D26">
      <w:pPr>
        <w:keepNext w:val="0"/>
        <w:keepLines w:val="0"/>
        <w:pageBreakBefore w:val="0"/>
        <w:widowControl/>
        <w:kinsoku/>
        <w:wordWrap/>
        <w:overflowPunct/>
        <w:topLinePunct w:val="0"/>
        <w:autoSpaceDE/>
        <w:autoSpaceDN/>
        <w:bidi w:val="0"/>
        <w:adjustRightInd w:val="0"/>
        <w:snapToGrid w:val="0"/>
        <w:spacing w:afterAutospacing="0" w:line="360" w:lineRule="auto"/>
        <w:ind w:left="0"/>
        <w:textAlignment w:val="auto"/>
        <w:rPr>
          <w:rFonts w:hint="eastAsia" w:ascii="宋体" w:hAnsi="宋体" w:eastAsia="宋体" w:cs="宋体"/>
          <w:b/>
          <w:bCs/>
          <w:color w:val="auto"/>
          <w:spacing w:val="-6"/>
          <w:sz w:val="32"/>
          <w:szCs w:val="32"/>
          <w:highlight w:val="none"/>
        </w:rPr>
      </w:pPr>
      <w:r>
        <w:rPr>
          <w:rFonts w:hint="eastAsia" w:ascii="宋体" w:hAnsi="宋体" w:eastAsia="宋体" w:cs="宋体"/>
          <w:b/>
          <w:bCs/>
          <w:color w:val="auto"/>
          <w:spacing w:val="53"/>
          <w:kern w:val="0"/>
          <w:sz w:val="32"/>
          <w:szCs w:val="32"/>
          <w:highlight w:val="none"/>
          <w:fitText w:val="1600" w:id="124023402"/>
        </w:rPr>
        <w:t>项目名</w:t>
      </w:r>
      <w:r>
        <w:rPr>
          <w:rFonts w:hint="eastAsia" w:ascii="宋体" w:hAnsi="宋体" w:eastAsia="宋体" w:cs="宋体"/>
          <w:b/>
          <w:bCs/>
          <w:color w:val="auto"/>
          <w:spacing w:val="1"/>
          <w:kern w:val="0"/>
          <w:sz w:val="32"/>
          <w:szCs w:val="32"/>
          <w:highlight w:val="none"/>
          <w:fitText w:val="1600" w:id="124023402"/>
        </w:rPr>
        <w:t>称</w:t>
      </w:r>
      <w:r>
        <w:rPr>
          <w:rFonts w:hint="eastAsia" w:ascii="宋体" w:hAnsi="宋体" w:eastAsia="宋体" w:cs="宋体"/>
          <w:b/>
          <w:bCs/>
          <w:color w:val="auto"/>
          <w:spacing w:val="-6"/>
          <w:sz w:val="32"/>
          <w:szCs w:val="32"/>
          <w:highlight w:val="none"/>
        </w:rPr>
        <w:t>：</w:t>
      </w:r>
    </w:p>
    <w:p w14:paraId="133DC6C2">
      <w:pPr>
        <w:keepNext w:val="0"/>
        <w:keepLines w:val="0"/>
        <w:pageBreakBefore w:val="0"/>
        <w:widowControl/>
        <w:kinsoku/>
        <w:wordWrap/>
        <w:overflowPunct/>
        <w:topLinePunct w:val="0"/>
        <w:autoSpaceDE/>
        <w:autoSpaceDN/>
        <w:bidi w:val="0"/>
        <w:adjustRightInd w:val="0"/>
        <w:snapToGrid w:val="0"/>
        <w:spacing w:afterAutospacing="0" w:line="360" w:lineRule="auto"/>
        <w:ind w:left="0"/>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pacing w:val="53"/>
          <w:kern w:val="0"/>
          <w:sz w:val="32"/>
          <w:szCs w:val="32"/>
          <w:highlight w:val="none"/>
          <w:fitText w:val="1600" w:id="1"/>
        </w:rPr>
        <w:t>项目编</w:t>
      </w:r>
      <w:r>
        <w:rPr>
          <w:rFonts w:hint="eastAsia" w:ascii="宋体" w:hAnsi="宋体" w:eastAsia="宋体" w:cs="宋体"/>
          <w:b/>
          <w:bCs/>
          <w:color w:val="auto"/>
          <w:spacing w:val="1"/>
          <w:kern w:val="0"/>
          <w:sz w:val="32"/>
          <w:szCs w:val="32"/>
          <w:highlight w:val="none"/>
          <w:fitText w:val="1600" w:id="1"/>
        </w:rPr>
        <w:t>号</w:t>
      </w:r>
      <w:r>
        <w:rPr>
          <w:rFonts w:hint="eastAsia" w:ascii="宋体" w:hAnsi="宋体" w:eastAsia="宋体" w:cs="宋体"/>
          <w:b/>
          <w:bCs/>
          <w:color w:val="auto"/>
          <w:sz w:val="32"/>
          <w:szCs w:val="32"/>
          <w:highlight w:val="none"/>
        </w:rPr>
        <w:t>：</w:t>
      </w:r>
    </w:p>
    <w:p w14:paraId="3E754F71">
      <w:pPr>
        <w:pStyle w:val="27"/>
        <w:keepNext w:val="0"/>
        <w:keepLines w:val="0"/>
        <w:pageBreakBefore w:val="0"/>
        <w:widowControl/>
        <w:kinsoku/>
        <w:wordWrap/>
        <w:overflowPunct/>
        <w:topLinePunct w:val="0"/>
        <w:autoSpaceDE/>
        <w:autoSpaceDN/>
        <w:bidi w:val="0"/>
        <w:adjustRightInd w:val="0"/>
        <w:snapToGrid w:val="0"/>
        <w:spacing w:afterAutospacing="0" w:line="360" w:lineRule="auto"/>
        <w:ind w:left="0"/>
        <w:jc w:val="left"/>
        <w:textAlignment w:val="auto"/>
        <w:rPr>
          <w:rFonts w:hint="eastAsia" w:ascii="宋体" w:hAnsi="宋体" w:eastAsia="宋体" w:cs="宋体"/>
          <w:b/>
          <w:color w:val="auto"/>
          <w:spacing w:val="1280"/>
          <w:kern w:val="0"/>
          <w:sz w:val="32"/>
          <w:szCs w:val="32"/>
          <w:highlight w:val="none"/>
        </w:rPr>
      </w:pPr>
      <w:r>
        <w:rPr>
          <w:rFonts w:hint="eastAsia" w:ascii="宋体" w:hAnsi="宋体" w:eastAsia="宋体" w:cs="宋体"/>
          <w:b/>
          <w:color w:val="auto"/>
          <w:spacing w:val="106"/>
          <w:kern w:val="0"/>
          <w:sz w:val="32"/>
          <w:szCs w:val="32"/>
          <w:highlight w:val="none"/>
          <w:lang w:bidi="ar"/>
        </w:rPr>
        <w:t>包组号（如有）：</w:t>
      </w:r>
    </w:p>
    <w:p w14:paraId="0D093A20">
      <w:pPr>
        <w:keepNext w:val="0"/>
        <w:keepLines w:val="0"/>
        <w:pageBreakBefore w:val="0"/>
        <w:widowControl/>
        <w:kinsoku/>
        <w:wordWrap/>
        <w:overflowPunct/>
        <w:topLinePunct w:val="0"/>
        <w:autoSpaceDE/>
        <w:autoSpaceDN/>
        <w:bidi w:val="0"/>
        <w:adjustRightInd w:val="0"/>
        <w:snapToGrid w:val="0"/>
        <w:spacing w:afterAutospacing="0" w:line="360" w:lineRule="auto"/>
        <w:ind w:left="0"/>
        <w:textAlignment w:val="auto"/>
        <w:rPr>
          <w:rFonts w:hint="eastAsia" w:ascii="宋体" w:hAnsi="宋体" w:eastAsia="宋体" w:cs="宋体"/>
          <w:b/>
          <w:color w:val="auto"/>
          <w:sz w:val="32"/>
          <w:szCs w:val="32"/>
          <w:highlight w:val="none"/>
        </w:rPr>
      </w:pPr>
      <w:r>
        <w:rPr>
          <w:rFonts w:hint="eastAsia" w:ascii="宋体" w:hAnsi="宋体" w:eastAsia="宋体" w:cs="宋体"/>
          <w:b/>
          <w:color w:val="auto"/>
          <w:spacing w:val="0"/>
          <w:kern w:val="0"/>
          <w:sz w:val="32"/>
          <w:szCs w:val="32"/>
          <w:highlight w:val="none"/>
          <w:fitText w:val="1600" w:id="2"/>
        </w:rPr>
        <w:t>投标人名称</w:t>
      </w:r>
      <w:r>
        <w:rPr>
          <w:rFonts w:hint="eastAsia" w:ascii="宋体" w:hAnsi="宋体" w:eastAsia="宋体" w:cs="宋体"/>
          <w:b/>
          <w:color w:val="auto"/>
          <w:sz w:val="32"/>
          <w:szCs w:val="32"/>
          <w:highlight w:val="none"/>
        </w:rPr>
        <w:t>：</w:t>
      </w:r>
    </w:p>
    <w:p w14:paraId="178AF076">
      <w:pPr>
        <w:keepNext w:val="0"/>
        <w:keepLines w:val="0"/>
        <w:pageBreakBefore w:val="0"/>
        <w:widowControl/>
        <w:kinsoku/>
        <w:wordWrap/>
        <w:overflowPunct/>
        <w:topLinePunct w:val="0"/>
        <w:autoSpaceDE/>
        <w:autoSpaceDN/>
        <w:bidi w:val="0"/>
        <w:adjustRightInd w:val="0"/>
        <w:snapToGrid w:val="0"/>
        <w:spacing w:afterAutospacing="0" w:line="360" w:lineRule="auto"/>
        <w:ind w:left="0"/>
        <w:textAlignment w:val="auto"/>
        <w:rPr>
          <w:rFonts w:hint="eastAsia" w:ascii="宋体" w:hAnsi="宋体" w:eastAsia="宋体" w:cs="宋体"/>
          <w:b/>
          <w:color w:val="auto"/>
          <w:sz w:val="32"/>
          <w:szCs w:val="32"/>
          <w:highlight w:val="none"/>
        </w:rPr>
      </w:pPr>
      <w:r>
        <w:rPr>
          <w:rFonts w:hint="eastAsia" w:ascii="宋体" w:hAnsi="宋体" w:eastAsia="宋体" w:cs="宋体"/>
          <w:b/>
          <w:color w:val="auto"/>
          <w:spacing w:val="32"/>
          <w:kern w:val="0"/>
          <w:sz w:val="32"/>
          <w:szCs w:val="32"/>
          <w:highlight w:val="none"/>
          <w:fitText w:val="1600" w:id="3"/>
        </w:rPr>
        <w:t xml:space="preserve">日    </w:t>
      </w:r>
      <w:r>
        <w:rPr>
          <w:rFonts w:hint="eastAsia" w:ascii="宋体" w:hAnsi="宋体" w:eastAsia="宋体" w:cs="宋体"/>
          <w:b/>
          <w:color w:val="auto"/>
          <w:spacing w:val="0"/>
          <w:kern w:val="0"/>
          <w:sz w:val="32"/>
          <w:szCs w:val="32"/>
          <w:highlight w:val="none"/>
          <w:fitText w:val="1600" w:id="3"/>
        </w:rPr>
        <w:t>期</w:t>
      </w:r>
      <w:r>
        <w:rPr>
          <w:rFonts w:hint="eastAsia" w:ascii="宋体" w:hAnsi="宋体" w:eastAsia="宋体" w:cs="宋体"/>
          <w:b/>
          <w:color w:val="auto"/>
          <w:sz w:val="32"/>
          <w:szCs w:val="32"/>
          <w:highlight w:val="none"/>
        </w:rPr>
        <w:t>：</w:t>
      </w:r>
    </w:p>
    <w:p w14:paraId="65167E84">
      <w:pPr>
        <w:rPr>
          <w:rFonts w:hint="eastAsia" w:ascii="宋体" w:hAnsi="宋体" w:eastAsia="宋体" w:cs="宋体"/>
          <w:color w:val="auto"/>
          <w:highlight w:val="none"/>
        </w:rPr>
      </w:pPr>
    </w:p>
    <w:p w14:paraId="4DE0A4CE">
      <w:pPr>
        <w:pStyle w:val="9"/>
        <w:rPr>
          <w:rFonts w:hint="eastAsia" w:ascii="宋体" w:hAnsi="宋体" w:eastAsia="宋体" w:cs="宋体"/>
          <w:color w:val="auto"/>
          <w:highlight w:val="none"/>
        </w:rPr>
      </w:pPr>
    </w:p>
    <w:p w14:paraId="67F18A3F">
      <w:pPr>
        <w:pStyle w:val="10"/>
        <w:ind w:firstLine="240"/>
        <w:rPr>
          <w:rFonts w:hint="eastAsia" w:ascii="宋体" w:hAnsi="宋体" w:eastAsia="宋体" w:cs="宋体"/>
          <w:color w:val="auto"/>
          <w:highlight w:val="none"/>
        </w:rPr>
      </w:pPr>
    </w:p>
    <w:p w14:paraId="7E0452A5">
      <w:pPr>
        <w:pStyle w:val="23"/>
        <w:rPr>
          <w:rFonts w:hint="eastAsia" w:ascii="宋体" w:hAnsi="宋体" w:eastAsia="宋体" w:cs="宋体"/>
          <w:color w:val="auto"/>
          <w:highlight w:val="none"/>
        </w:rPr>
      </w:pPr>
    </w:p>
    <w:p w14:paraId="2C6C4507">
      <w:pPr>
        <w:rPr>
          <w:rFonts w:hint="eastAsia" w:ascii="宋体" w:hAnsi="宋体" w:eastAsia="宋体" w:cs="宋体"/>
          <w:color w:val="auto"/>
          <w:highlight w:val="none"/>
        </w:rPr>
      </w:pPr>
    </w:p>
    <w:p w14:paraId="6EAF5EDD">
      <w:pPr>
        <w:pStyle w:val="9"/>
        <w:rPr>
          <w:rFonts w:hint="eastAsia" w:ascii="宋体" w:hAnsi="宋体" w:eastAsia="宋体" w:cs="宋体"/>
          <w:color w:val="auto"/>
          <w:highlight w:val="none"/>
        </w:rPr>
      </w:pPr>
    </w:p>
    <w:p w14:paraId="105CE196">
      <w:pPr>
        <w:pStyle w:val="10"/>
        <w:ind w:firstLine="240"/>
        <w:rPr>
          <w:rFonts w:hint="eastAsia" w:ascii="宋体" w:hAnsi="宋体" w:eastAsia="宋体" w:cs="宋体"/>
          <w:color w:val="auto"/>
          <w:highlight w:val="none"/>
        </w:rPr>
      </w:pPr>
    </w:p>
    <w:p w14:paraId="4E5A12A0">
      <w:pPr>
        <w:pStyle w:val="23"/>
        <w:rPr>
          <w:rFonts w:hint="eastAsia" w:ascii="宋体" w:hAnsi="宋体" w:eastAsia="宋体" w:cs="宋体"/>
          <w:color w:val="auto"/>
          <w:highlight w:val="none"/>
        </w:rPr>
      </w:pPr>
    </w:p>
    <w:p w14:paraId="69AC33A4">
      <w:pPr>
        <w:pStyle w:val="23"/>
        <w:ind w:left="0"/>
        <w:rPr>
          <w:rFonts w:hint="eastAsia" w:ascii="宋体" w:hAnsi="宋体" w:eastAsia="宋体" w:cs="宋体"/>
          <w:color w:val="auto"/>
          <w:highlight w:val="none"/>
        </w:rPr>
      </w:pPr>
    </w:p>
    <w:p w14:paraId="6795985D">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4CBD861C">
      <w:pPr>
        <w:pStyle w:val="5"/>
        <w:widowControl w:val="0"/>
        <w:overflowPunct w:val="0"/>
        <w:spacing w:line="240" w:lineRule="auto"/>
        <w:rPr>
          <w:rFonts w:hint="eastAsia" w:ascii="宋体" w:hAnsi="宋体" w:eastAsia="宋体" w:cs="宋体"/>
          <w:color w:val="auto"/>
          <w:sz w:val="21"/>
          <w:szCs w:val="21"/>
          <w:highlight w:val="none"/>
        </w:rPr>
      </w:pPr>
      <w:bookmarkStart w:id="153" w:name="_Toc31644"/>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.开标一览表格式</w:t>
      </w:r>
      <w:bookmarkEnd w:id="153"/>
    </w:p>
    <w:p w14:paraId="4B6800DD">
      <w:pPr>
        <w:jc w:val="center"/>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rPr>
        <w:t>开标一览表</w:t>
      </w:r>
      <w:r>
        <w:rPr>
          <w:rFonts w:hint="eastAsia" w:ascii="宋体" w:hAnsi="宋体" w:cs="宋体"/>
          <w:color w:val="auto"/>
          <w:sz w:val="32"/>
          <w:szCs w:val="32"/>
          <w:highlight w:val="none"/>
          <w:lang w:eastAsia="zh-CN"/>
        </w:rPr>
        <w:t>（</w:t>
      </w:r>
      <w:r>
        <w:rPr>
          <w:rFonts w:hint="eastAsia" w:ascii="宋体" w:hAnsi="宋体" w:cs="宋体"/>
          <w:color w:val="auto"/>
          <w:sz w:val="32"/>
          <w:szCs w:val="32"/>
          <w:highlight w:val="none"/>
          <w:lang w:val="en-US" w:eastAsia="zh-CN"/>
        </w:rPr>
        <w:t>适用包A</w:t>
      </w:r>
      <w:r>
        <w:rPr>
          <w:rFonts w:hint="eastAsia" w:ascii="宋体" w:hAnsi="宋体" w:cs="宋体"/>
          <w:color w:val="auto"/>
          <w:sz w:val="32"/>
          <w:szCs w:val="32"/>
          <w:highlight w:val="none"/>
          <w:lang w:eastAsia="zh-CN"/>
        </w:rPr>
        <w:t>）</w:t>
      </w:r>
    </w:p>
    <w:p w14:paraId="4A629436">
      <w:pPr>
        <w:rPr>
          <w:rFonts w:hint="eastAsia" w:ascii="宋体" w:hAnsi="宋体" w:eastAsia="宋体" w:cs="宋体"/>
          <w:color w:val="auto"/>
          <w:highlight w:val="none"/>
        </w:rPr>
      </w:pPr>
    </w:p>
    <w:p w14:paraId="317FE150">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p>
    <w:p w14:paraId="25BD66B9">
      <w:pPr>
        <w:rPr>
          <w:rFonts w:hint="eastAsia" w:ascii="宋体" w:hAnsi="宋体" w:eastAsia="宋体" w:cs="宋体"/>
          <w:color w:val="auto"/>
          <w:highlight w:val="none"/>
        </w:rPr>
      </w:pPr>
      <w:r>
        <w:rPr>
          <w:rFonts w:hint="eastAsia" w:ascii="宋体" w:hAnsi="宋体" w:eastAsia="宋体" w:cs="宋体"/>
          <w:color w:val="auto"/>
          <w:szCs w:val="21"/>
          <w:highlight w:val="none"/>
        </w:rPr>
        <w:t>采购项目编号：</w:t>
      </w:r>
    </w:p>
    <w:tbl>
      <w:tblPr>
        <w:tblStyle w:val="30"/>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3"/>
        <w:gridCol w:w="2129"/>
        <w:gridCol w:w="1216"/>
        <w:gridCol w:w="1403"/>
        <w:gridCol w:w="2088"/>
      </w:tblGrid>
      <w:tr w14:paraId="272DC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683" w:type="dxa"/>
            <w:vAlign w:val="center"/>
          </w:tcPr>
          <w:p w14:paraId="75C1E832">
            <w:pPr>
              <w:spacing w:line="240" w:lineRule="auto"/>
              <w:jc w:val="center"/>
              <w:rPr>
                <w:rFonts w:hint="eastAsia" w:ascii="宋体" w:hAnsi="宋体" w:eastAsia="宋体" w:cs="宋体"/>
                <w:color w:val="auto"/>
                <w:kern w:val="28"/>
                <w:szCs w:val="21"/>
                <w:highlight w:val="none"/>
              </w:rPr>
            </w:pPr>
            <w:r>
              <w:rPr>
                <w:rFonts w:hint="eastAsia" w:ascii="宋体" w:hAnsi="宋体" w:eastAsia="宋体" w:cs="宋体"/>
                <w:color w:val="auto"/>
                <w:szCs w:val="21"/>
                <w:highlight w:val="none"/>
              </w:rPr>
              <w:t>项目名称</w:t>
            </w:r>
          </w:p>
        </w:tc>
        <w:tc>
          <w:tcPr>
            <w:tcW w:w="2129" w:type="dxa"/>
            <w:vAlign w:val="center"/>
          </w:tcPr>
          <w:p w14:paraId="2BB50B01">
            <w:pPr>
              <w:spacing w:line="240" w:lineRule="auto"/>
              <w:jc w:val="center"/>
              <w:rPr>
                <w:rFonts w:hint="eastAsia" w:ascii="宋体" w:hAnsi="宋体" w:eastAsia="宋体" w:cs="宋体"/>
                <w:color w:val="auto"/>
                <w:kern w:val="28"/>
                <w:szCs w:val="21"/>
                <w:highlight w:val="none"/>
              </w:rPr>
            </w:pPr>
            <w:r>
              <w:rPr>
                <w:rFonts w:hint="eastAsia" w:ascii="宋体" w:hAnsi="宋体" w:cs="宋体"/>
                <w:color w:val="auto"/>
                <w:kern w:val="28"/>
                <w:szCs w:val="21"/>
                <w:highlight w:val="none"/>
                <w:lang w:val="en-US" w:eastAsia="zh-CN"/>
              </w:rPr>
              <w:t>不</w:t>
            </w:r>
            <w:r>
              <w:rPr>
                <w:rFonts w:hint="eastAsia" w:ascii="宋体" w:hAnsi="宋体" w:eastAsia="宋体" w:cs="宋体"/>
                <w:color w:val="auto"/>
                <w:kern w:val="28"/>
                <w:szCs w:val="21"/>
                <w:highlight w:val="none"/>
                <w:lang w:val="en-US" w:eastAsia="zh-CN"/>
              </w:rPr>
              <w:t>含税</w:t>
            </w:r>
            <w:r>
              <w:rPr>
                <w:rFonts w:hint="eastAsia" w:ascii="宋体" w:hAnsi="宋体" w:eastAsia="宋体" w:cs="宋体"/>
                <w:color w:val="auto"/>
                <w:kern w:val="28"/>
                <w:szCs w:val="21"/>
                <w:highlight w:val="none"/>
              </w:rPr>
              <w:t>下浮率（%）</w:t>
            </w:r>
          </w:p>
        </w:tc>
        <w:tc>
          <w:tcPr>
            <w:tcW w:w="1216" w:type="dxa"/>
            <w:vAlign w:val="center"/>
          </w:tcPr>
          <w:p w14:paraId="4B981896">
            <w:pPr>
              <w:spacing w:line="240" w:lineRule="auto"/>
              <w:jc w:val="center"/>
              <w:rPr>
                <w:rFonts w:hint="eastAsia" w:ascii="宋体" w:hAnsi="宋体" w:eastAsia="宋体" w:cs="宋体"/>
                <w:color w:val="auto"/>
                <w:kern w:val="28"/>
                <w:szCs w:val="21"/>
                <w:highlight w:val="none"/>
                <w:lang w:val="en-US" w:eastAsia="zh-CN"/>
              </w:rPr>
            </w:pPr>
            <w:r>
              <w:rPr>
                <w:rFonts w:hint="eastAsia" w:ascii="宋体" w:hAnsi="宋体" w:cs="宋体"/>
                <w:color w:val="auto"/>
                <w:kern w:val="28"/>
                <w:szCs w:val="21"/>
                <w:highlight w:val="none"/>
                <w:lang w:val="en-US" w:eastAsia="zh-CN"/>
              </w:rPr>
              <w:t>增值税</w:t>
            </w:r>
            <w:r>
              <w:rPr>
                <w:rFonts w:hint="eastAsia" w:ascii="宋体" w:hAnsi="宋体" w:eastAsia="宋体" w:cs="宋体"/>
                <w:color w:val="auto"/>
                <w:kern w:val="28"/>
                <w:szCs w:val="21"/>
                <w:highlight w:val="none"/>
                <w:lang w:val="en-US" w:eastAsia="zh-CN"/>
              </w:rPr>
              <w:t>税率</w:t>
            </w:r>
          </w:p>
        </w:tc>
        <w:tc>
          <w:tcPr>
            <w:tcW w:w="1403" w:type="dxa"/>
            <w:vAlign w:val="center"/>
          </w:tcPr>
          <w:p w14:paraId="242176FB">
            <w:pPr>
              <w:spacing w:line="240" w:lineRule="auto"/>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服务期</w:t>
            </w:r>
          </w:p>
        </w:tc>
        <w:tc>
          <w:tcPr>
            <w:tcW w:w="2088" w:type="dxa"/>
            <w:vAlign w:val="center"/>
          </w:tcPr>
          <w:p w14:paraId="61764591">
            <w:pPr>
              <w:spacing w:line="240" w:lineRule="auto"/>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备注</w:t>
            </w:r>
          </w:p>
        </w:tc>
      </w:tr>
      <w:tr w14:paraId="56218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67" w:hRule="atLeast"/>
          <w:jc w:val="center"/>
        </w:trPr>
        <w:tc>
          <w:tcPr>
            <w:tcW w:w="1683" w:type="dxa"/>
            <w:vAlign w:val="center"/>
          </w:tcPr>
          <w:p w14:paraId="6ADD5569">
            <w:pPr>
              <w:spacing w:line="240" w:lineRule="auto"/>
              <w:jc w:val="center"/>
              <w:rPr>
                <w:rFonts w:hint="eastAsia" w:ascii="宋体" w:hAnsi="宋体" w:eastAsia="宋体" w:cs="宋体"/>
                <w:color w:val="auto"/>
                <w:szCs w:val="21"/>
                <w:highlight w:val="none"/>
              </w:rPr>
            </w:pPr>
          </w:p>
        </w:tc>
        <w:tc>
          <w:tcPr>
            <w:tcW w:w="2129" w:type="dxa"/>
            <w:vAlign w:val="center"/>
          </w:tcPr>
          <w:p w14:paraId="719F9CAF">
            <w:pPr>
              <w:spacing w:line="240" w:lineRule="auto"/>
              <w:jc w:val="center"/>
              <w:rPr>
                <w:rFonts w:hint="eastAsia" w:ascii="宋体" w:hAnsi="宋体" w:eastAsia="宋体" w:cs="宋体"/>
                <w:color w:val="auto"/>
                <w:szCs w:val="21"/>
                <w:highlight w:val="none"/>
              </w:rPr>
            </w:pPr>
          </w:p>
        </w:tc>
        <w:tc>
          <w:tcPr>
            <w:tcW w:w="1216" w:type="dxa"/>
            <w:vAlign w:val="center"/>
          </w:tcPr>
          <w:p w14:paraId="4671E42C">
            <w:pPr>
              <w:pStyle w:val="68"/>
              <w:jc w:val="center"/>
              <w:rPr>
                <w:rFonts w:hint="eastAsia" w:ascii="宋体" w:hAnsi="宋体" w:eastAsia="宋体" w:cs="宋体"/>
                <w:color w:val="auto"/>
                <w:sz w:val="21"/>
                <w:szCs w:val="21"/>
                <w:highlight w:val="none"/>
              </w:rPr>
            </w:pPr>
          </w:p>
        </w:tc>
        <w:tc>
          <w:tcPr>
            <w:tcW w:w="1403" w:type="dxa"/>
            <w:vAlign w:val="center"/>
          </w:tcPr>
          <w:p w14:paraId="0FBC9490">
            <w:pPr>
              <w:pStyle w:val="68"/>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tc>
        <w:tc>
          <w:tcPr>
            <w:tcW w:w="2088" w:type="dxa"/>
            <w:vAlign w:val="center"/>
          </w:tcPr>
          <w:p w14:paraId="6898DF5E">
            <w:pPr>
              <w:pStyle w:val="68"/>
              <w:jc w:val="center"/>
              <w:rPr>
                <w:rFonts w:hint="eastAsia" w:ascii="宋体" w:hAnsi="宋体" w:eastAsia="宋体" w:cs="宋体"/>
                <w:color w:val="auto"/>
                <w:sz w:val="21"/>
                <w:szCs w:val="21"/>
                <w:highlight w:val="none"/>
              </w:rPr>
            </w:pPr>
          </w:p>
        </w:tc>
      </w:tr>
    </w:tbl>
    <w:p w14:paraId="458C4EEF">
      <w:pPr>
        <w:rPr>
          <w:rFonts w:hint="eastAsia" w:ascii="宋体" w:hAnsi="宋体" w:eastAsia="宋体" w:cs="宋体"/>
          <w:color w:val="auto"/>
          <w:szCs w:val="21"/>
          <w:highlight w:val="none"/>
        </w:rPr>
      </w:pPr>
    </w:p>
    <w:p w14:paraId="7EBFA389">
      <w:pPr>
        <w:ind w:firstLine="359" w:firstLineChars="171"/>
        <w:rPr>
          <w:rFonts w:hint="eastAsia" w:ascii="宋体" w:hAnsi="宋体" w:eastAsia="宋体" w:cs="宋体"/>
          <w:color w:val="auto"/>
          <w:szCs w:val="21"/>
          <w:highlight w:val="none"/>
        </w:rPr>
      </w:pPr>
    </w:p>
    <w:p w14:paraId="02280745">
      <w:pPr>
        <w:ind w:firstLine="359" w:firstLineChars="171"/>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投标人代表签字：</w:t>
      </w:r>
    </w:p>
    <w:p w14:paraId="2D35FC85">
      <w:pPr>
        <w:ind w:firstLine="359" w:firstLineChars="171"/>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投标人盖章：</w:t>
      </w:r>
    </w:p>
    <w:p w14:paraId="19B5056B">
      <w:pPr>
        <w:ind w:firstLine="359" w:firstLineChars="171"/>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w:t>
      </w:r>
    </w:p>
    <w:p w14:paraId="0A62C2D8">
      <w:pPr>
        <w:ind w:firstLine="359" w:firstLineChars="171"/>
        <w:rPr>
          <w:rFonts w:hint="eastAsia" w:ascii="宋体" w:hAnsi="宋体" w:eastAsia="宋体" w:cs="宋体"/>
          <w:color w:val="auto"/>
          <w:szCs w:val="21"/>
          <w:highlight w:val="none"/>
        </w:rPr>
      </w:pPr>
    </w:p>
    <w:p w14:paraId="4199C8F5">
      <w:pPr>
        <w:ind w:left="391" w:hanging="390" w:hangingChars="186"/>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注：</w:t>
      </w:r>
    </w:p>
    <w:p w14:paraId="16148F5D">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、下浮率有效报价范围：0%-100%之间，下浮率报价不得大于100%，也不得为负数，且是固定唯一值。例：若投标人打八折，即</w:t>
      </w:r>
      <w:r>
        <w:rPr>
          <w:rFonts w:hint="eastAsia" w:ascii="宋体" w:hAnsi="宋体" w:eastAsia="宋体" w:cs="宋体"/>
          <w:color w:val="auto"/>
          <w:szCs w:val="21"/>
          <w:highlight w:val="none"/>
          <w:lang w:eastAsia="zh-CN"/>
        </w:rPr>
        <w:t>投标</w:t>
      </w:r>
      <w:r>
        <w:rPr>
          <w:rFonts w:hint="eastAsia" w:ascii="宋体" w:hAnsi="宋体" w:eastAsia="宋体" w:cs="宋体"/>
          <w:color w:val="auto"/>
          <w:szCs w:val="21"/>
          <w:highlight w:val="none"/>
        </w:rPr>
        <w:t>下浮率为：20%。</w:t>
      </w:r>
    </w:p>
    <w:p w14:paraId="76CD7C0A">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温馨提示：未按采购文件要求报价、填写开标一览表是导致投标人废标的常见问题，请投标人仔细填写，认真核对。</w:t>
      </w:r>
    </w:p>
    <w:p w14:paraId="1F9960D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102F51AF">
      <w:pPr>
        <w:pStyle w:val="5"/>
        <w:widowControl w:val="0"/>
        <w:overflowPunct w:val="0"/>
        <w:spacing w:line="240" w:lineRule="auto"/>
        <w:rPr>
          <w:rFonts w:hint="eastAsia" w:ascii="宋体" w:hAnsi="宋体" w:eastAsia="宋体" w:cs="宋体"/>
          <w:color w:val="auto"/>
          <w:sz w:val="21"/>
          <w:szCs w:val="21"/>
          <w:highlight w:val="none"/>
        </w:rPr>
      </w:pPr>
      <w:bookmarkStart w:id="154" w:name="_Toc12412"/>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.开标一览表格式</w:t>
      </w:r>
    </w:p>
    <w:p w14:paraId="5737893B">
      <w:pPr>
        <w:jc w:val="center"/>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rPr>
        <w:t>开标一览表</w:t>
      </w:r>
      <w:r>
        <w:rPr>
          <w:rFonts w:hint="eastAsia" w:ascii="宋体" w:hAnsi="宋体" w:cs="宋体"/>
          <w:color w:val="auto"/>
          <w:sz w:val="32"/>
          <w:szCs w:val="32"/>
          <w:highlight w:val="none"/>
          <w:lang w:eastAsia="zh-CN"/>
        </w:rPr>
        <w:t>（</w:t>
      </w:r>
      <w:r>
        <w:rPr>
          <w:rFonts w:hint="eastAsia" w:ascii="宋体" w:hAnsi="宋体" w:cs="宋体"/>
          <w:color w:val="auto"/>
          <w:sz w:val="32"/>
          <w:szCs w:val="32"/>
          <w:highlight w:val="none"/>
          <w:lang w:val="en-US" w:eastAsia="zh-CN"/>
        </w:rPr>
        <w:t>适用包B</w:t>
      </w:r>
      <w:r>
        <w:rPr>
          <w:rFonts w:hint="eastAsia" w:ascii="宋体" w:hAnsi="宋体" w:cs="宋体"/>
          <w:color w:val="auto"/>
          <w:sz w:val="32"/>
          <w:szCs w:val="32"/>
          <w:highlight w:val="none"/>
          <w:lang w:eastAsia="zh-CN"/>
        </w:rPr>
        <w:t>）</w:t>
      </w:r>
    </w:p>
    <w:p w14:paraId="21079790">
      <w:pPr>
        <w:rPr>
          <w:rFonts w:hint="eastAsia" w:ascii="宋体" w:hAnsi="宋体" w:eastAsia="宋体" w:cs="宋体"/>
          <w:color w:val="auto"/>
          <w:highlight w:val="none"/>
        </w:rPr>
      </w:pPr>
    </w:p>
    <w:p w14:paraId="771CAB3A">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p>
    <w:p w14:paraId="7A21818B">
      <w:pPr>
        <w:rPr>
          <w:rFonts w:hint="eastAsia" w:ascii="宋体" w:hAnsi="宋体" w:eastAsia="宋体" w:cs="宋体"/>
          <w:color w:val="auto"/>
          <w:highlight w:val="none"/>
        </w:rPr>
      </w:pPr>
      <w:r>
        <w:rPr>
          <w:rFonts w:hint="eastAsia" w:ascii="宋体" w:hAnsi="宋体" w:eastAsia="宋体" w:cs="宋体"/>
          <w:color w:val="auto"/>
          <w:szCs w:val="21"/>
          <w:highlight w:val="none"/>
        </w:rPr>
        <w:t>采购项目编号：</w:t>
      </w:r>
    </w:p>
    <w:tbl>
      <w:tblPr>
        <w:tblStyle w:val="30"/>
        <w:tblW w:w="93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3"/>
        <w:gridCol w:w="2253"/>
        <w:gridCol w:w="966"/>
        <w:gridCol w:w="2150"/>
        <w:gridCol w:w="1317"/>
        <w:gridCol w:w="973"/>
      </w:tblGrid>
      <w:tr w14:paraId="784BB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683" w:type="dxa"/>
            <w:vAlign w:val="center"/>
          </w:tcPr>
          <w:p w14:paraId="35D25F98">
            <w:pPr>
              <w:spacing w:line="240" w:lineRule="auto"/>
              <w:jc w:val="center"/>
              <w:rPr>
                <w:rFonts w:hint="eastAsia" w:ascii="宋体" w:hAnsi="宋体" w:eastAsia="宋体" w:cs="宋体"/>
                <w:color w:val="auto"/>
                <w:kern w:val="28"/>
                <w:szCs w:val="21"/>
                <w:highlight w:val="none"/>
              </w:rPr>
            </w:pPr>
            <w:r>
              <w:rPr>
                <w:rFonts w:hint="eastAsia" w:ascii="宋体" w:hAnsi="宋体" w:eastAsia="宋体" w:cs="宋体"/>
                <w:color w:val="auto"/>
                <w:szCs w:val="21"/>
                <w:highlight w:val="none"/>
              </w:rPr>
              <w:t>项目名称</w:t>
            </w:r>
          </w:p>
        </w:tc>
        <w:tc>
          <w:tcPr>
            <w:tcW w:w="2253" w:type="dxa"/>
            <w:vAlign w:val="center"/>
          </w:tcPr>
          <w:p w14:paraId="3AD2200E">
            <w:pPr>
              <w:spacing w:line="240" w:lineRule="auto"/>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lang w:val="en-US" w:eastAsia="zh-CN"/>
              </w:rPr>
              <w:t>投标</w:t>
            </w:r>
            <w:r>
              <w:rPr>
                <w:rFonts w:hint="eastAsia" w:ascii="宋体" w:hAnsi="宋体" w:cs="宋体"/>
                <w:color w:val="auto"/>
                <w:kern w:val="28"/>
                <w:szCs w:val="21"/>
                <w:highlight w:val="none"/>
                <w:lang w:val="en-US" w:eastAsia="zh-CN"/>
              </w:rPr>
              <w:t>不含税</w:t>
            </w:r>
            <w:r>
              <w:rPr>
                <w:rFonts w:hint="eastAsia" w:ascii="宋体" w:hAnsi="宋体" w:eastAsia="宋体" w:cs="宋体"/>
                <w:color w:val="auto"/>
                <w:kern w:val="28"/>
                <w:szCs w:val="21"/>
                <w:highlight w:val="none"/>
                <w:lang w:val="en-US" w:eastAsia="zh-CN"/>
              </w:rPr>
              <w:t>总价</w:t>
            </w:r>
            <w:r>
              <w:rPr>
                <w:rFonts w:hint="eastAsia" w:ascii="宋体" w:hAnsi="宋体" w:eastAsia="宋体" w:cs="宋体"/>
                <w:color w:val="auto"/>
                <w:kern w:val="28"/>
                <w:szCs w:val="21"/>
                <w:highlight w:val="none"/>
              </w:rPr>
              <w:t>（</w:t>
            </w:r>
            <w:r>
              <w:rPr>
                <w:rFonts w:hint="eastAsia" w:ascii="宋体" w:hAnsi="宋体" w:eastAsia="宋体" w:cs="宋体"/>
                <w:color w:val="auto"/>
                <w:kern w:val="28"/>
                <w:szCs w:val="21"/>
                <w:highlight w:val="none"/>
                <w:lang w:val="en-US" w:eastAsia="zh-CN"/>
              </w:rPr>
              <w:t>元</w:t>
            </w:r>
            <w:r>
              <w:rPr>
                <w:rFonts w:hint="eastAsia" w:ascii="宋体" w:hAnsi="宋体" w:eastAsia="宋体" w:cs="宋体"/>
                <w:color w:val="auto"/>
                <w:kern w:val="28"/>
                <w:szCs w:val="21"/>
                <w:highlight w:val="none"/>
              </w:rPr>
              <w:t>）</w:t>
            </w:r>
          </w:p>
        </w:tc>
        <w:tc>
          <w:tcPr>
            <w:tcW w:w="966" w:type="dxa"/>
            <w:vAlign w:val="center"/>
          </w:tcPr>
          <w:p w14:paraId="66F0135D">
            <w:pPr>
              <w:spacing w:line="240" w:lineRule="auto"/>
              <w:jc w:val="center"/>
              <w:rPr>
                <w:rFonts w:hint="eastAsia" w:ascii="宋体" w:hAnsi="宋体" w:eastAsia="宋体" w:cs="宋体"/>
                <w:color w:val="auto"/>
                <w:kern w:val="28"/>
                <w:szCs w:val="21"/>
                <w:highlight w:val="none"/>
                <w:lang w:val="en-US" w:eastAsia="zh-CN"/>
              </w:rPr>
            </w:pPr>
            <w:r>
              <w:rPr>
                <w:rFonts w:hint="eastAsia" w:ascii="宋体" w:hAnsi="宋体" w:cs="宋体"/>
                <w:color w:val="auto"/>
                <w:kern w:val="28"/>
                <w:szCs w:val="21"/>
                <w:highlight w:val="none"/>
                <w:lang w:val="en-US" w:eastAsia="zh-CN"/>
              </w:rPr>
              <w:t>增值税</w:t>
            </w:r>
            <w:r>
              <w:rPr>
                <w:rFonts w:hint="eastAsia" w:ascii="宋体" w:hAnsi="宋体" w:eastAsia="宋体" w:cs="宋体"/>
                <w:color w:val="auto"/>
                <w:kern w:val="28"/>
                <w:szCs w:val="21"/>
                <w:highlight w:val="none"/>
                <w:lang w:val="en-US" w:eastAsia="zh-CN"/>
              </w:rPr>
              <w:t>税率</w:t>
            </w:r>
          </w:p>
        </w:tc>
        <w:tc>
          <w:tcPr>
            <w:tcW w:w="2150" w:type="dxa"/>
            <w:vAlign w:val="center"/>
          </w:tcPr>
          <w:p w14:paraId="0FAA4C08">
            <w:pPr>
              <w:spacing w:line="240" w:lineRule="auto"/>
              <w:jc w:val="center"/>
              <w:rPr>
                <w:rFonts w:hint="eastAsia" w:ascii="宋体" w:hAnsi="宋体" w:cs="宋体"/>
                <w:color w:val="auto"/>
                <w:kern w:val="28"/>
                <w:szCs w:val="21"/>
                <w:highlight w:val="none"/>
                <w:lang w:val="en-US" w:eastAsia="zh-CN"/>
              </w:rPr>
            </w:pPr>
            <w:r>
              <w:rPr>
                <w:rFonts w:hint="eastAsia" w:ascii="宋体" w:hAnsi="宋体" w:cs="宋体"/>
                <w:color w:val="auto"/>
                <w:kern w:val="28"/>
                <w:szCs w:val="21"/>
                <w:highlight w:val="none"/>
                <w:lang w:val="en-US" w:eastAsia="zh-CN"/>
              </w:rPr>
              <w:t>投标含税总价</w:t>
            </w:r>
          </w:p>
          <w:p w14:paraId="104E202F">
            <w:pPr>
              <w:spacing w:line="240" w:lineRule="auto"/>
              <w:jc w:val="center"/>
              <w:rPr>
                <w:rFonts w:hint="default" w:ascii="宋体" w:hAnsi="宋体" w:eastAsia="宋体" w:cs="宋体"/>
                <w:color w:val="auto"/>
                <w:kern w:val="28"/>
                <w:szCs w:val="21"/>
                <w:highlight w:val="none"/>
                <w:lang w:val="en-US" w:eastAsia="zh-CN"/>
              </w:rPr>
            </w:pPr>
            <w:r>
              <w:rPr>
                <w:rFonts w:hint="eastAsia" w:ascii="宋体" w:hAnsi="宋体" w:cs="宋体"/>
                <w:color w:val="auto"/>
                <w:kern w:val="28"/>
                <w:szCs w:val="21"/>
                <w:highlight w:val="none"/>
                <w:lang w:val="en-US" w:eastAsia="zh-CN"/>
              </w:rPr>
              <w:t>（元）</w:t>
            </w:r>
          </w:p>
        </w:tc>
        <w:tc>
          <w:tcPr>
            <w:tcW w:w="1317" w:type="dxa"/>
            <w:vAlign w:val="center"/>
          </w:tcPr>
          <w:p w14:paraId="6A708311">
            <w:pPr>
              <w:spacing w:line="240" w:lineRule="auto"/>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服务期</w:t>
            </w:r>
          </w:p>
        </w:tc>
        <w:tc>
          <w:tcPr>
            <w:tcW w:w="973" w:type="dxa"/>
            <w:vAlign w:val="center"/>
          </w:tcPr>
          <w:p w14:paraId="41E2ABA4">
            <w:pPr>
              <w:spacing w:line="240" w:lineRule="auto"/>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备注</w:t>
            </w:r>
          </w:p>
        </w:tc>
      </w:tr>
      <w:tr w14:paraId="39A5C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1683" w:type="dxa"/>
            <w:vAlign w:val="center"/>
          </w:tcPr>
          <w:p w14:paraId="6A655ACE">
            <w:pPr>
              <w:spacing w:line="240" w:lineRule="auto"/>
              <w:jc w:val="center"/>
              <w:rPr>
                <w:rFonts w:hint="eastAsia" w:ascii="宋体" w:hAnsi="宋体" w:eastAsia="宋体" w:cs="宋体"/>
                <w:color w:val="auto"/>
                <w:szCs w:val="21"/>
                <w:highlight w:val="none"/>
              </w:rPr>
            </w:pPr>
          </w:p>
        </w:tc>
        <w:tc>
          <w:tcPr>
            <w:tcW w:w="2253" w:type="dxa"/>
            <w:vAlign w:val="center"/>
          </w:tcPr>
          <w:p w14:paraId="4EA52C4C">
            <w:pPr>
              <w:spacing w:line="240" w:lineRule="auto"/>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小写：</w:t>
            </w:r>
          </w:p>
          <w:p w14:paraId="0EC97804">
            <w:pPr>
              <w:spacing w:line="240" w:lineRule="auto"/>
              <w:jc w:val="left"/>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大写：</w:t>
            </w:r>
          </w:p>
        </w:tc>
        <w:tc>
          <w:tcPr>
            <w:tcW w:w="966" w:type="dxa"/>
            <w:vAlign w:val="center"/>
          </w:tcPr>
          <w:p w14:paraId="4C4C93BB">
            <w:pPr>
              <w:pStyle w:val="68"/>
              <w:jc w:val="left"/>
              <w:rPr>
                <w:rFonts w:hint="eastAsia" w:ascii="宋体" w:hAnsi="宋体" w:eastAsia="宋体" w:cs="宋体"/>
                <w:color w:val="auto"/>
                <w:sz w:val="21"/>
                <w:szCs w:val="21"/>
                <w:highlight w:val="none"/>
              </w:rPr>
            </w:pPr>
          </w:p>
        </w:tc>
        <w:tc>
          <w:tcPr>
            <w:tcW w:w="2150" w:type="dxa"/>
            <w:vAlign w:val="center"/>
          </w:tcPr>
          <w:p w14:paraId="12594A5E">
            <w:pPr>
              <w:spacing w:line="240" w:lineRule="auto"/>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小写：</w:t>
            </w:r>
          </w:p>
          <w:p w14:paraId="2159E497">
            <w:pPr>
              <w:pStyle w:val="68"/>
              <w:jc w:val="lef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大写：</w:t>
            </w:r>
          </w:p>
        </w:tc>
        <w:tc>
          <w:tcPr>
            <w:tcW w:w="1317" w:type="dxa"/>
            <w:vAlign w:val="center"/>
          </w:tcPr>
          <w:p w14:paraId="636DC780">
            <w:pPr>
              <w:pStyle w:val="68"/>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tc>
        <w:tc>
          <w:tcPr>
            <w:tcW w:w="973" w:type="dxa"/>
            <w:vAlign w:val="center"/>
          </w:tcPr>
          <w:p w14:paraId="59CC34A6">
            <w:pPr>
              <w:pStyle w:val="68"/>
              <w:jc w:val="center"/>
              <w:rPr>
                <w:rFonts w:hint="eastAsia" w:ascii="宋体" w:hAnsi="宋体" w:eastAsia="宋体" w:cs="宋体"/>
                <w:color w:val="auto"/>
                <w:sz w:val="21"/>
                <w:szCs w:val="21"/>
                <w:highlight w:val="none"/>
              </w:rPr>
            </w:pPr>
          </w:p>
        </w:tc>
      </w:tr>
    </w:tbl>
    <w:p w14:paraId="4584EFCD">
      <w:pPr>
        <w:rPr>
          <w:rFonts w:hint="eastAsia" w:ascii="宋体" w:hAnsi="宋体" w:eastAsia="宋体" w:cs="宋体"/>
          <w:color w:val="auto"/>
          <w:szCs w:val="21"/>
          <w:highlight w:val="none"/>
        </w:rPr>
      </w:pPr>
    </w:p>
    <w:p w14:paraId="0547080B">
      <w:pPr>
        <w:ind w:firstLine="359" w:firstLineChars="171"/>
        <w:rPr>
          <w:rFonts w:hint="eastAsia" w:ascii="宋体" w:hAnsi="宋体" w:eastAsia="宋体" w:cs="宋体"/>
          <w:color w:val="auto"/>
          <w:szCs w:val="21"/>
          <w:highlight w:val="none"/>
        </w:rPr>
      </w:pPr>
    </w:p>
    <w:p w14:paraId="67B0D49E">
      <w:pPr>
        <w:ind w:firstLine="359" w:firstLineChars="171"/>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投标人代表签字：</w:t>
      </w:r>
    </w:p>
    <w:p w14:paraId="70B674CE">
      <w:pPr>
        <w:ind w:firstLine="359" w:firstLineChars="171"/>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投标人盖章：</w:t>
      </w:r>
    </w:p>
    <w:p w14:paraId="65FA9CF4">
      <w:pPr>
        <w:ind w:firstLine="359" w:firstLineChars="171"/>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w:t>
      </w:r>
    </w:p>
    <w:p w14:paraId="2016FF50">
      <w:pPr>
        <w:ind w:firstLine="359" w:firstLineChars="171"/>
        <w:rPr>
          <w:rFonts w:hint="eastAsia" w:ascii="宋体" w:hAnsi="宋体" w:eastAsia="宋体" w:cs="宋体"/>
          <w:color w:val="auto"/>
          <w:szCs w:val="21"/>
          <w:highlight w:val="none"/>
        </w:rPr>
      </w:pPr>
    </w:p>
    <w:p w14:paraId="4D8DD72E">
      <w:pPr>
        <w:ind w:left="391" w:hanging="390" w:hangingChars="186"/>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注：</w:t>
      </w:r>
    </w:p>
    <w:p w14:paraId="50CC0536">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1、投标总价栏须用大写金额和小写金额两种方式表示的投标总价，报价保留小数点后两位。投标总价大小写不一致，以大写为准。投标总价必须准确唯一且应包含采购文件要求的所有费用。</w:t>
      </w:r>
    </w:p>
    <w:p w14:paraId="24C77993">
      <w:pPr>
        <w:ind w:firstLine="420" w:firstLineChars="20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lang w:val="en-US" w:eastAsia="zh-CN"/>
        </w:rPr>
        <w:t>投标人须根据《物资明细表》分别报出不含税投标单价及不含税投标总价（仅用于评审）。不含税投标单价不得超过采购人设定的不含税单价最高限价，含税投标总价不得超过项目预算总价，任一项超出均视为无效投标。</w:t>
      </w:r>
    </w:p>
    <w:p w14:paraId="7F4D5743">
      <w:pPr>
        <w:ind w:firstLine="420" w:firstLineChars="20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不含税总价 = ∑（招标文件《物资明细表》中列明的预估数量 × 投标人填报的不含税投标单价）。此总价仅用于评审环节。</w:t>
      </w:r>
    </w:p>
    <w:p w14:paraId="1FB6A60B">
      <w:pPr>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lang w:val="en-US" w:eastAsia="zh-CN"/>
        </w:rPr>
        <w:t>含税投标总价 = ∑（物资明细表预估数量 × 不含税投标单价 × (1+增值税税率)）</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温馨提示：未按采购文件要求报价、填写开标一览表是导致投标人废标的常见问题，请投标人仔细填写，认真核对。</w:t>
      </w:r>
    </w:p>
    <w:p w14:paraId="3B56765D">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66242038">
      <w:pPr>
        <w:ind w:firstLine="420" w:firstLineChars="2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附件2.分项报价表</w:t>
      </w:r>
    </w:p>
    <w:p w14:paraId="51B70627">
      <w:pPr>
        <w:spacing w:line="480" w:lineRule="auto"/>
        <w:jc w:val="left"/>
        <w:rPr>
          <w:rFonts w:hint="eastAsia" w:ascii="宋体" w:hAnsi="宋体" w:eastAsia="宋体" w:cs="宋体"/>
          <w:color w:val="auto"/>
          <w:sz w:val="22"/>
          <w:szCs w:val="22"/>
          <w:highlight w:val="none"/>
        </w:rPr>
      </w:pPr>
    </w:p>
    <w:p w14:paraId="706AF877">
      <w:pPr>
        <w:spacing w:line="480" w:lineRule="auto"/>
        <w:ind w:firstLine="440" w:firstLineChars="20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、请供应商</w:t>
      </w:r>
      <w:r>
        <w:rPr>
          <w:rFonts w:hint="eastAsia" w:ascii="宋体" w:hAnsi="宋体" w:eastAsia="宋体" w:cs="宋体"/>
          <w:color w:val="auto"/>
          <w:sz w:val="22"/>
          <w:szCs w:val="22"/>
          <w:highlight w:val="none"/>
          <w:lang w:val="en-US" w:eastAsia="zh-CN"/>
        </w:rPr>
        <w:t>根据《物资明细表》</w:t>
      </w:r>
      <w:r>
        <w:rPr>
          <w:rFonts w:hint="eastAsia" w:ascii="宋体" w:hAnsi="宋体" w:eastAsia="宋体" w:cs="宋体"/>
          <w:color w:val="auto"/>
          <w:sz w:val="22"/>
          <w:szCs w:val="22"/>
          <w:highlight w:val="none"/>
        </w:rPr>
        <w:t>进行详细的报价分析。</w:t>
      </w:r>
    </w:p>
    <w:p w14:paraId="63878CDD">
      <w:pPr>
        <w:rPr>
          <w:rFonts w:hint="eastAsia" w:ascii="宋体" w:hAnsi="宋体" w:eastAsia="宋体" w:cs="宋体"/>
          <w:color w:val="auto"/>
          <w:sz w:val="22"/>
          <w:szCs w:val="22"/>
          <w:highlight w:val="none"/>
        </w:rPr>
      </w:pPr>
    </w:p>
    <w:p w14:paraId="50F337B2">
      <w:pPr>
        <w:pStyle w:val="9"/>
        <w:spacing w:after="0" w:line="380" w:lineRule="atLeast"/>
        <w:ind w:firstLine="440" w:firstLineChars="200"/>
        <w:rPr>
          <w:rFonts w:hint="eastAsia" w:ascii="宋体" w:hAnsi="宋体" w:eastAsia="宋体" w:cs="宋体"/>
          <w:color w:val="auto"/>
          <w:sz w:val="22"/>
          <w:szCs w:val="22"/>
          <w:highlight w:val="none"/>
        </w:rPr>
      </w:pPr>
    </w:p>
    <w:p w14:paraId="3B8B2921">
      <w:pPr>
        <w:pStyle w:val="9"/>
        <w:spacing w:after="0" w:line="360" w:lineRule="auto"/>
        <w:rPr>
          <w:rFonts w:hint="eastAsia" w:ascii="宋体" w:hAnsi="宋体" w:eastAsia="宋体" w:cs="宋体"/>
          <w:color w:val="auto"/>
          <w:sz w:val="22"/>
          <w:szCs w:val="22"/>
          <w:highlight w:val="none"/>
        </w:rPr>
      </w:pPr>
    </w:p>
    <w:p w14:paraId="5DB621B0">
      <w:pPr>
        <w:pStyle w:val="9"/>
        <w:spacing w:after="0" w:line="360" w:lineRule="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投标人名称（加盖公章）：</w:t>
      </w:r>
    </w:p>
    <w:p w14:paraId="75F4D738">
      <w:pPr>
        <w:pStyle w:val="9"/>
        <w:spacing w:after="0" w:line="360" w:lineRule="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投标人法定代表人或被授权人（签名或盖私章）：</w:t>
      </w:r>
    </w:p>
    <w:p w14:paraId="7C19F9A8">
      <w:pPr>
        <w:pStyle w:val="9"/>
        <w:spacing w:after="0" w:line="360" w:lineRule="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日       期：</w:t>
      </w:r>
    </w:p>
    <w:p w14:paraId="462A145F">
      <w:pPr>
        <w:rPr>
          <w:rFonts w:hint="eastAsia" w:ascii="宋体" w:hAnsi="宋体" w:eastAsia="宋体" w:cs="宋体"/>
          <w:color w:val="auto"/>
          <w:szCs w:val="21"/>
          <w:highlight w:val="none"/>
        </w:rPr>
      </w:pPr>
    </w:p>
    <w:bookmarkEnd w:id="154"/>
    <w:p w14:paraId="62AB4B71">
      <w:pPr>
        <w:rPr>
          <w:rFonts w:hint="eastAsia" w:ascii="宋体" w:hAnsi="宋体" w:eastAsia="宋体" w:cs="宋体"/>
          <w:color w:val="auto"/>
          <w:sz w:val="52"/>
          <w:szCs w:val="52"/>
          <w:highlight w:val="none"/>
        </w:rPr>
      </w:pPr>
    </w:p>
    <w:p w14:paraId="5682AB06">
      <w:pPr>
        <w:rPr>
          <w:rFonts w:hint="eastAsia" w:ascii="宋体" w:hAnsi="宋体" w:eastAsia="宋体" w:cs="宋体"/>
          <w:color w:val="auto"/>
          <w:sz w:val="72"/>
          <w:szCs w:val="72"/>
          <w:highlight w:val="none"/>
        </w:rPr>
      </w:pPr>
      <w:bookmarkStart w:id="155" w:name="_Toc16168"/>
      <w:r>
        <w:rPr>
          <w:rFonts w:hint="eastAsia" w:ascii="宋体" w:hAnsi="宋体" w:eastAsia="宋体" w:cs="宋体"/>
          <w:color w:val="auto"/>
          <w:sz w:val="72"/>
          <w:szCs w:val="72"/>
          <w:highlight w:val="none"/>
        </w:rPr>
        <w:br w:type="page"/>
      </w:r>
    </w:p>
    <w:p w14:paraId="01744532">
      <w:pPr>
        <w:pStyle w:val="3"/>
        <w:spacing w:before="0" w:after="0" w:line="360" w:lineRule="auto"/>
        <w:jc w:val="center"/>
        <w:rPr>
          <w:rFonts w:hint="eastAsia" w:ascii="宋体" w:hAnsi="宋体" w:eastAsia="宋体" w:cs="宋体"/>
          <w:color w:val="auto"/>
          <w:sz w:val="72"/>
          <w:szCs w:val="72"/>
          <w:highlight w:val="none"/>
        </w:rPr>
      </w:pPr>
    </w:p>
    <w:p w14:paraId="0BCFD16F">
      <w:pPr>
        <w:pStyle w:val="3"/>
        <w:spacing w:before="0" w:after="0" w:line="360" w:lineRule="auto"/>
        <w:jc w:val="center"/>
        <w:rPr>
          <w:rFonts w:hint="eastAsia" w:ascii="宋体" w:hAnsi="宋体" w:eastAsia="宋体" w:cs="宋体"/>
          <w:color w:val="auto"/>
          <w:sz w:val="72"/>
          <w:szCs w:val="72"/>
          <w:highlight w:val="none"/>
        </w:rPr>
      </w:pPr>
    </w:p>
    <w:p w14:paraId="2E5BA493">
      <w:pPr>
        <w:pStyle w:val="3"/>
        <w:spacing w:before="0" w:after="0" w:line="360" w:lineRule="auto"/>
        <w:jc w:val="both"/>
        <w:rPr>
          <w:rFonts w:hint="eastAsia" w:ascii="宋体" w:hAnsi="宋体" w:eastAsia="宋体" w:cs="宋体"/>
          <w:color w:val="auto"/>
          <w:sz w:val="72"/>
          <w:szCs w:val="72"/>
          <w:highlight w:val="none"/>
        </w:rPr>
      </w:pPr>
    </w:p>
    <w:p w14:paraId="19CF6D1A">
      <w:pPr>
        <w:pStyle w:val="3"/>
        <w:spacing w:before="0" w:after="0" w:line="360" w:lineRule="auto"/>
        <w:jc w:val="center"/>
        <w:rPr>
          <w:rFonts w:hint="eastAsia" w:ascii="宋体" w:hAnsi="宋体" w:eastAsia="宋体" w:cs="宋体"/>
          <w:color w:val="auto"/>
          <w:sz w:val="72"/>
          <w:szCs w:val="72"/>
          <w:highlight w:val="none"/>
        </w:rPr>
      </w:pPr>
      <w:r>
        <w:rPr>
          <w:rFonts w:hint="eastAsia" w:ascii="宋体" w:hAnsi="宋体" w:eastAsia="宋体" w:cs="宋体"/>
          <w:color w:val="auto"/>
          <w:sz w:val="72"/>
          <w:szCs w:val="72"/>
          <w:highlight w:val="none"/>
        </w:rPr>
        <w:t>商务文件</w:t>
      </w:r>
      <w:bookmarkEnd w:id="155"/>
    </w:p>
    <w:p w14:paraId="07701FE0">
      <w:pPr>
        <w:jc w:val="center"/>
        <w:rPr>
          <w:rFonts w:hint="eastAsia" w:ascii="宋体" w:hAnsi="宋体" w:eastAsia="宋体" w:cs="宋体"/>
          <w:color w:val="auto"/>
          <w:sz w:val="72"/>
          <w:szCs w:val="72"/>
          <w:highlight w:val="none"/>
        </w:rPr>
      </w:pPr>
      <w:r>
        <w:rPr>
          <w:rFonts w:hint="eastAsia" w:ascii="宋体" w:hAnsi="宋体" w:eastAsia="宋体" w:cs="宋体"/>
          <w:color w:val="auto"/>
          <w:sz w:val="72"/>
          <w:szCs w:val="72"/>
          <w:highlight w:val="none"/>
        </w:rPr>
        <w:t>（单独装订成册）</w:t>
      </w:r>
    </w:p>
    <w:p w14:paraId="0FD53E37">
      <w:pPr>
        <w:rPr>
          <w:rFonts w:hint="eastAsia" w:ascii="宋体" w:hAnsi="宋体" w:eastAsia="宋体" w:cs="宋体"/>
          <w:color w:val="auto"/>
          <w:highlight w:val="none"/>
        </w:rPr>
      </w:pPr>
    </w:p>
    <w:p w14:paraId="4D2F3D8F">
      <w:pPr>
        <w:pStyle w:val="9"/>
        <w:rPr>
          <w:rFonts w:hint="eastAsia" w:ascii="宋体" w:hAnsi="宋体" w:eastAsia="宋体" w:cs="宋体"/>
          <w:color w:val="auto"/>
          <w:highlight w:val="none"/>
        </w:rPr>
      </w:pPr>
    </w:p>
    <w:p w14:paraId="192C8B0F">
      <w:pPr>
        <w:pStyle w:val="10"/>
        <w:ind w:firstLine="240"/>
        <w:rPr>
          <w:rFonts w:hint="eastAsia" w:ascii="宋体" w:hAnsi="宋体" w:eastAsia="宋体" w:cs="宋体"/>
          <w:color w:val="auto"/>
          <w:highlight w:val="none"/>
        </w:rPr>
      </w:pPr>
    </w:p>
    <w:p w14:paraId="4B6E7966">
      <w:pPr>
        <w:rPr>
          <w:rFonts w:hint="eastAsia" w:ascii="宋体" w:hAnsi="宋体" w:eastAsia="宋体" w:cs="宋体"/>
          <w:b/>
          <w:bCs/>
          <w:color w:val="auto"/>
          <w:spacing w:val="-6"/>
          <w:sz w:val="32"/>
          <w:szCs w:val="32"/>
          <w:highlight w:val="none"/>
        </w:rPr>
      </w:pPr>
      <w:r>
        <w:rPr>
          <w:rFonts w:hint="eastAsia" w:ascii="宋体" w:hAnsi="宋体" w:eastAsia="宋体" w:cs="宋体"/>
          <w:b/>
          <w:bCs/>
          <w:color w:val="auto"/>
          <w:spacing w:val="53"/>
          <w:kern w:val="0"/>
          <w:sz w:val="32"/>
          <w:szCs w:val="32"/>
          <w:highlight w:val="none"/>
          <w:fitText w:val="1600" w:id="4"/>
        </w:rPr>
        <w:t>项目名</w:t>
      </w:r>
      <w:r>
        <w:rPr>
          <w:rFonts w:hint="eastAsia" w:ascii="宋体" w:hAnsi="宋体" w:eastAsia="宋体" w:cs="宋体"/>
          <w:b/>
          <w:bCs/>
          <w:color w:val="auto"/>
          <w:spacing w:val="1"/>
          <w:kern w:val="0"/>
          <w:sz w:val="32"/>
          <w:szCs w:val="32"/>
          <w:highlight w:val="none"/>
          <w:fitText w:val="1600" w:id="4"/>
        </w:rPr>
        <w:t>称</w:t>
      </w:r>
      <w:r>
        <w:rPr>
          <w:rFonts w:hint="eastAsia" w:ascii="宋体" w:hAnsi="宋体" w:eastAsia="宋体" w:cs="宋体"/>
          <w:b/>
          <w:bCs/>
          <w:color w:val="auto"/>
          <w:spacing w:val="-6"/>
          <w:sz w:val="32"/>
          <w:szCs w:val="32"/>
          <w:highlight w:val="none"/>
        </w:rPr>
        <w:t>：</w:t>
      </w:r>
    </w:p>
    <w:p w14:paraId="74504C0E">
      <w:pPr>
        <w:rPr>
          <w:rFonts w:hint="eastAsia" w:ascii="宋体" w:hAnsi="宋体" w:eastAsia="宋体" w:cs="宋体"/>
          <w:b/>
          <w:bCs/>
          <w:color w:val="auto"/>
          <w:sz w:val="32"/>
          <w:szCs w:val="32"/>
          <w:highlight w:val="none"/>
        </w:rPr>
      </w:pPr>
      <w:r>
        <w:rPr>
          <w:rFonts w:hint="eastAsia" w:ascii="宋体" w:hAnsi="宋体" w:eastAsia="宋体" w:cs="宋体"/>
          <w:b/>
          <w:bCs/>
          <w:color w:val="auto"/>
          <w:spacing w:val="53"/>
          <w:kern w:val="0"/>
          <w:sz w:val="32"/>
          <w:szCs w:val="32"/>
          <w:highlight w:val="none"/>
          <w:fitText w:val="1600" w:id="5"/>
        </w:rPr>
        <w:t>项目编</w:t>
      </w:r>
      <w:r>
        <w:rPr>
          <w:rFonts w:hint="eastAsia" w:ascii="宋体" w:hAnsi="宋体" w:eastAsia="宋体" w:cs="宋体"/>
          <w:b/>
          <w:bCs/>
          <w:color w:val="auto"/>
          <w:spacing w:val="1"/>
          <w:kern w:val="0"/>
          <w:sz w:val="32"/>
          <w:szCs w:val="32"/>
          <w:highlight w:val="none"/>
          <w:fitText w:val="1600" w:id="5"/>
        </w:rPr>
        <w:t>号</w:t>
      </w:r>
      <w:r>
        <w:rPr>
          <w:rFonts w:hint="eastAsia" w:ascii="宋体" w:hAnsi="宋体" w:eastAsia="宋体" w:cs="宋体"/>
          <w:b/>
          <w:bCs/>
          <w:color w:val="auto"/>
          <w:sz w:val="32"/>
          <w:szCs w:val="32"/>
          <w:highlight w:val="none"/>
        </w:rPr>
        <w:t>：</w:t>
      </w:r>
    </w:p>
    <w:p w14:paraId="49D79484">
      <w:pPr>
        <w:pStyle w:val="9"/>
        <w:ind w:left="0"/>
        <w:rPr>
          <w:rFonts w:hint="eastAsia" w:ascii="宋体" w:hAnsi="宋体" w:eastAsia="宋体" w:cs="宋体"/>
          <w:b/>
          <w:color w:val="auto"/>
          <w:spacing w:val="1280"/>
          <w:sz w:val="32"/>
          <w:szCs w:val="32"/>
          <w:highlight w:val="none"/>
        </w:rPr>
      </w:pPr>
      <w:r>
        <w:rPr>
          <w:rFonts w:hint="eastAsia" w:ascii="宋体" w:hAnsi="宋体" w:eastAsia="宋体" w:cs="宋体"/>
          <w:b/>
          <w:color w:val="auto"/>
          <w:spacing w:val="106"/>
          <w:sz w:val="32"/>
          <w:szCs w:val="32"/>
          <w:highlight w:val="none"/>
          <w:lang w:val="en-US" w:bidi="ar-SA"/>
        </w:rPr>
        <w:t>包组号（如有）：</w:t>
      </w:r>
    </w:p>
    <w:p w14:paraId="3BC341D2">
      <w:pPr>
        <w:rPr>
          <w:rFonts w:hint="eastAsia" w:ascii="宋体" w:hAnsi="宋体" w:eastAsia="宋体" w:cs="宋体"/>
          <w:b/>
          <w:color w:val="auto"/>
          <w:sz w:val="32"/>
          <w:szCs w:val="32"/>
          <w:highlight w:val="none"/>
        </w:rPr>
      </w:pPr>
      <w:r>
        <w:rPr>
          <w:rFonts w:hint="eastAsia" w:ascii="宋体" w:hAnsi="宋体" w:eastAsia="宋体" w:cs="宋体"/>
          <w:b/>
          <w:color w:val="auto"/>
          <w:spacing w:val="0"/>
          <w:kern w:val="0"/>
          <w:sz w:val="32"/>
          <w:szCs w:val="32"/>
          <w:highlight w:val="none"/>
          <w:fitText w:val="1600" w:id="6"/>
        </w:rPr>
        <w:t>投标人名称</w:t>
      </w:r>
      <w:r>
        <w:rPr>
          <w:rFonts w:hint="eastAsia" w:ascii="宋体" w:hAnsi="宋体" w:eastAsia="宋体" w:cs="宋体"/>
          <w:b/>
          <w:color w:val="auto"/>
          <w:sz w:val="32"/>
          <w:szCs w:val="32"/>
          <w:highlight w:val="none"/>
        </w:rPr>
        <w:t>：</w:t>
      </w:r>
    </w:p>
    <w:p w14:paraId="489E9795">
      <w:pPr>
        <w:rPr>
          <w:rFonts w:hint="eastAsia" w:ascii="宋体" w:hAnsi="宋体" w:eastAsia="宋体" w:cs="宋体"/>
          <w:b/>
          <w:color w:val="auto"/>
          <w:sz w:val="32"/>
          <w:szCs w:val="32"/>
          <w:highlight w:val="none"/>
        </w:rPr>
      </w:pPr>
      <w:r>
        <w:rPr>
          <w:rFonts w:hint="eastAsia" w:ascii="宋体" w:hAnsi="宋体" w:eastAsia="宋体" w:cs="宋体"/>
          <w:b/>
          <w:color w:val="auto"/>
          <w:spacing w:val="32"/>
          <w:kern w:val="0"/>
          <w:sz w:val="32"/>
          <w:szCs w:val="32"/>
          <w:highlight w:val="none"/>
          <w:fitText w:val="1600" w:id="7"/>
        </w:rPr>
        <w:t xml:space="preserve">日    </w:t>
      </w:r>
      <w:r>
        <w:rPr>
          <w:rFonts w:hint="eastAsia" w:ascii="宋体" w:hAnsi="宋体" w:eastAsia="宋体" w:cs="宋体"/>
          <w:b/>
          <w:color w:val="auto"/>
          <w:spacing w:val="0"/>
          <w:kern w:val="0"/>
          <w:sz w:val="32"/>
          <w:szCs w:val="32"/>
          <w:highlight w:val="none"/>
          <w:fitText w:val="1600" w:id="7"/>
        </w:rPr>
        <w:t>期</w:t>
      </w:r>
      <w:r>
        <w:rPr>
          <w:rFonts w:hint="eastAsia" w:ascii="宋体" w:hAnsi="宋体" w:eastAsia="宋体" w:cs="宋体"/>
          <w:b/>
          <w:color w:val="auto"/>
          <w:sz w:val="32"/>
          <w:szCs w:val="32"/>
          <w:highlight w:val="none"/>
        </w:rPr>
        <w:t>：</w:t>
      </w:r>
    </w:p>
    <w:p w14:paraId="67BA22CB">
      <w:pPr>
        <w:pStyle w:val="9"/>
        <w:rPr>
          <w:rFonts w:hint="eastAsia" w:ascii="宋体" w:hAnsi="宋体" w:eastAsia="宋体" w:cs="宋体"/>
          <w:b/>
          <w:color w:val="auto"/>
          <w:sz w:val="32"/>
          <w:szCs w:val="32"/>
          <w:highlight w:val="none"/>
        </w:rPr>
      </w:pPr>
    </w:p>
    <w:p w14:paraId="7C2FE002">
      <w:pPr>
        <w:pStyle w:val="10"/>
        <w:ind w:firstLine="321"/>
        <w:rPr>
          <w:rFonts w:hint="eastAsia" w:ascii="宋体" w:hAnsi="宋体" w:eastAsia="宋体" w:cs="宋体"/>
          <w:b/>
          <w:color w:val="auto"/>
          <w:sz w:val="32"/>
          <w:szCs w:val="32"/>
          <w:highlight w:val="none"/>
        </w:rPr>
      </w:pPr>
    </w:p>
    <w:p w14:paraId="2039FCE8">
      <w:pPr>
        <w:pStyle w:val="5"/>
        <w:widowControl w:val="0"/>
        <w:overflowPunct w:val="0"/>
        <w:spacing w:line="240" w:lineRule="auto"/>
        <w:rPr>
          <w:rFonts w:hint="eastAsia" w:ascii="宋体" w:hAnsi="宋体" w:eastAsia="宋体" w:cs="宋体"/>
          <w:color w:val="auto"/>
          <w:sz w:val="21"/>
          <w:szCs w:val="21"/>
          <w:highlight w:val="none"/>
        </w:rPr>
      </w:pPr>
      <w:bookmarkStart w:id="156" w:name="_Toc18480"/>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.投标文件商务部分索引表</w:t>
      </w:r>
      <w:bookmarkEnd w:id="156"/>
    </w:p>
    <w:p w14:paraId="3EDCD19D">
      <w:pPr>
        <w:adjustRightInd/>
        <w:snapToGrid/>
        <w:spacing w:line="276" w:lineRule="auto"/>
        <w:rPr>
          <w:rFonts w:hint="eastAsia" w:ascii="宋体" w:hAnsi="宋体" w:eastAsia="宋体" w:cs="宋体"/>
          <w:color w:val="auto"/>
          <w:szCs w:val="21"/>
          <w:highlight w:val="none"/>
        </w:rPr>
      </w:pPr>
    </w:p>
    <w:p w14:paraId="636D5D8A">
      <w:pPr>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投标文件商务部分索引表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19"/>
        <w:gridCol w:w="1420"/>
        <w:gridCol w:w="1420"/>
        <w:gridCol w:w="1423"/>
      </w:tblGrid>
      <w:tr w14:paraId="35F13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420" w:type="dxa"/>
            <w:vAlign w:val="center"/>
          </w:tcPr>
          <w:p w14:paraId="53DFB47D">
            <w:pPr>
              <w:jc w:val="center"/>
              <w:rPr>
                <w:rFonts w:hint="eastAsia" w:ascii="宋体" w:hAnsi="宋体" w:eastAsia="宋体" w:cs="宋体"/>
                <w:color w:val="auto"/>
                <w:highlight w:val="none"/>
              </w:rPr>
            </w:pPr>
            <w:r>
              <w:rPr>
                <w:rFonts w:hint="eastAsia" w:ascii="宋体" w:hAnsi="宋体" w:eastAsia="宋体" w:cs="宋体"/>
                <w:color w:val="auto"/>
                <w:highlight w:val="none"/>
              </w:rPr>
              <w:t>序号</w:t>
            </w:r>
          </w:p>
        </w:tc>
        <w:tc>
          <w:tcPr>
            <w:tcW w:w="1420" w:type="dxa"/>
            <w:vAlign w:val="center"/>
          </w:tcPr>
          <w:p w14:paraId="1468F918">
            <w:pPr>
              <w:jc w:val="center"/>
              <w:rPr>
                <w:rFonts w:hint="eastAsia" w:ascii="宋体" w:hAnsi="宋体" w:eastAsia="宋体" w:cs="宋体"/>
                <w:color w:val="auto"/>
                <w:highlight w:val="none"/>
                <w:lang w:eastAsia="zh-CN"/>
              </w:rPr>
            </w:pPr>
            <w:r>
              <w:rPr>
                <w:rFonts w:hint="eastAsia" w:ascii="宋体" w:hAnsi="宋体" w:eastAsia="宋体" w:cs="宋体"/>
                <w:color w:val="auto"/>
                <w:highlight w:val="none"/>
              </w:rPr>
              <w:t>评审</w:t>
            </w:r>
            <w:r>
              <w:rPr>
                <w:rFonts w:hint="eastAsia" w:ascii="宋体" w:hAnsi="宋体" w:eastAsia="宋体" w:cs="宋体"/>
                <w:color w:val="auto"/>
                <w:highlight w:val="none"/>
                <w:lang w:val="en-US" w:eastAsia="zh-CN"/>
              </w:rPr>
              <w:t>因素</w:t>
            </w:r>
          </w:p>
        </w:tc>
        <w:tc>
          <w:tcPr>
            <w:tcW w:w="1419" w:type="dxa"/>
            <w:vAlign w:val="center"/>
          </w:tcPr>
          <w:p w14:paraId="4CA4FCB3">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满分</w:t>
            </w:r>
          </w:p>
        </w:tc>
        <w:tc>
          <w:tcPr>
            <w:tcW w:w="1420" w:type="dxa"/>
            <w:vAlign w:val="center"/>
          </w:tcPr>
          <w:p w14:paraId="073440E8">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评分标准</w:t>
            </w:r>
          </w:p>
        </w:tc>
        <w:tc>
          <w:tcPr>
            <w:tcW w:w="1420" w:type="dxa"/>
            <w:vAlign w:val="center"/>
          </w:tcPr>
          <w:p w14:paraId="573FCDD0">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自评分</w:t>
            </w:r>
          </w:p>
        </w:tc>
        <w:tc>
          <w:tcPr>
            <w:tcW w:w="1423" w:type="dxa"/>
            <w:vAlign w:val="center"/>
          </w:tcPr>
          <w:p w14:paraId="631F5ED1">
            <w:pPr>
              <w:jc w:val="center"/>
              <w:rPr>
                <w:rFonts w:hint="eastAsia" w:ascii="宋体" w:hAnsi="宋体" w:eastAsia="宋体" w:cs="宋体"/>
                <w:color w:val="auto"/>
                <w:highlight w:val="none"/>
                <w:lang w:eastAsia="zh-CN"/>
              </w:rPr>
            </w:pPr>
            <w:r>
              <w:rPr>
                <w:rFonts w:hint="eastAsia" w:ascii="宋体" w:hAnsi="宋体" w:eastAsia="宋体" w:cs="宋体"/>
                <w:color w:val="auto"/>
                <w:highlight w:val="none"/>
              </w:rPr>
              <w:t>页码</w:t>
            </w:r>
            <w:r>
              <w:rPr>
                <w:rFonts w:hint="eastAsia" w:ascii="宋体" w:hAnsi="宋体" w:eastAsia="宋体" w:cs="宋体"/>
                <w:color w:val="auto"/>
                <w:highlight w:val="none"/>
                <w:lang w:val="en-US" w:eastAsia="zh-CN"/>
              </w:rPr>
              <w:t>索引</w:t>
            </w:r>
          </w:p>
        </w:tc>
      </w:tr>
      <w:tr w14:paraId="7DF94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420" w:type="dxa"/>
            <w:vAlign w:val="center"/>
          </w:tcPr>
          <w:p w14:paraId="1594A7B5">
            <w:pPr>
              <w:jc w:val="center"/>
              <w:rPr>
                <w:rFonts w:hint="eastAsia" w:ascii="宋体" w:hAnsi="宋体" w:eastAsia="宋体" w:cs="宋体"/>
                <w:color w:val="auto"/>
                <w:highlight w:val="none"/>
              </w:rPr>
            </w:pPr>
          </w:p>
        </w:tc>
        <w:tc>
          <w:tcPr>
            <w:tcW w:w="1420" w:type="dxa"/>
            <w:vAlign w:val="center"/>
          </w:tcPr>
          <w:p w14:paraId="209B5561">
            <w:pPr>
              <w:jc w:val="center"/>
              <w:rPr>
                <w:rFonts w:hint="eastAsia" w:ascii="宋体" w:hAnsi="宋体" w:eastAsia="宋体" w:cs="宋体"/>
                <w:color w:val="auto"/>
                <w:highlight w:val="none"/>
              </w:rPr>
            </w:pPr>
          </w:p>
        </w:tc>
        <w:tc>
          <w:tcPr>
            <w:tcW w:w="1419" w:type="dxa"/>
            <w:vAlign w:val="center"/>
          </w:tcPr>
          <w:p w14:paraId="2264FD6A">
            <w:pPr>
              <w:jc w:val="center"/>
              <w:rPr>
                <w:rFonts w:hint="eastAsia" w:ascii="宋体" w:hAnsi="宋体" w:eastAsia="宋体" w:cs="宋体"/>
                <w:color w:val="auto"/>
                <w:highlight w:val="none"/>
              </w:rPr>
            </w:pPr>
          </w:p>
        </w:tc>
        <w:tc>
          <w:tcPr>
            <w:tcW w:w="1420" w:type="dxa"/>
            <w:vAlign w:val="center"/>
          </w:tcPr>
          <w:p w14:paraId="15C7C6EC">
            <w:pPr>
              <w:jc w:val="center"/>
              <w:rPr>
                <w:rFonts w:hint="eastAsia" w:ascii="宋体" w:hAnsi="宋体" w:eastAsia="宋体" w:cs="宋体"/>
                <w:color w:val="auto"/>
                <w:highlight w:val="none"/>
              </w:rPr>
            </w:pPr>
          </w:p>
        </w:tc>
        <w:tc>
          <w:tcPr>
            <w:tcW w:w="1420" w:type="dxa"/>
            <w:vAlign w:val="center"/>
          </w:tcPr>
          <w:p w14:paraId="3522378E">
            <w:pPr>
              <w:jc w:val="center"/>
              <w:rPr>
                <w:rFonts w:hint="eastAsia" w:ascii="宋体" w:hAnsi="宋体" w:eastAsia="宋体" w:cs="宋体"/>
                <w:color w:val="auto"/>
                <w:highlight w:val="none"/>
              </w:rPr>
            </w:pPr>
          </w:p>
        </w:tc>
        <w:tc>
          <w:tcPr>
            <w:tcW w:w="1423" w:type="dxa"/>
            <w:vAlign w:val="center"/>
          </w:tcPr>
          <w:p w14:paraId="79BE18D9">
            <w:pPr>
              <w:jc w:val="center"/>
              <w:rPr>
                <w:rFonts w:hint="eastAsia" w:ascii="宋体" w:hAnsi="宋体" w:eastAsia="宋体" w:cs="宋体"/>
                <w:color w:val="auto"/>
                <w:highlight w:val="none"/>
              </w:rPr>
            </w:pPr>
          </w:p>
        </w:tc>
      </w:tr>
      <w:tr w14:paraId="0AB18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420" w:type="dxa"/>
            <w:vAlign w:val="center"/>
          </w:tcPr>
          <w:p w14:paraId="02FF19E6">
            <w:pPr>
              <w:jc w:val="center"/>
              <w:rPr>
                <w:rFonts w:hint="eastAsia" w:ascii="宋体" w:hAnsi="宋体" w:eastAsia="宋体" w:cs="宋体"/>
                <w:color w:val="auto"/>
                <w:highlight w:val="none"/>
              </w:rPr>
            </w:pPr>
          </w:p>
        </w:tc>
        <w:tc>
          <w:tcPr>
            <w:tcW w:w="1420" w:type="dxa"/>
            <w:vAlign w:val="center"/>
          </w:tcPr>
          <w:p w14:paraId="1D649D54">
            <w:pPr>
              <w:jc w:val="center"/>
              <w:rPr>
                <w:rFonts w:hint="eastAsia" w:ascii="宋体" w:hAnsi="宋体" w:eastAsia="宋体" w:cs="宋体"/>
                <w:color w:val="auto"/>
                <w:highlight w:val="none"/>
              </w:rPr>
            </w:pPr>
          </w:p>
        </w:tc>
        <w:tc>
          <w:tcPr>
            <w:tcW w:w="1419" w:type="dxa"/>
            <w:vAlign w:val="center"/>
          </w:tcPr>
          <w:p w14:paraId="63ABA883">
            <w:pPr>
              <w:jc w:val="center"/>
              <w:rPr>
                <w:rFonts w:hint="eastAsia" w:ascii="宋体" w:hAnsi="宋体" w:eastAsia="宋体" w:cs="宋体"/>
                <w:color w:val="auto"/>
                <w:highlight w:val="none"/>
              </w:rPr>
            </w:pPr>
          </w:p>
        </w:tc>
        <w:tc>
          <w:tcPr>
            <w:tcW w:w="1420" w:type="dxa"/>
            <w:vAlign w:val="center"/>
          </w:tcPr>
          <w:p w14:paraId="68C16BDE">
            <w:pPr>
              <w:jc w:val="center"/>
              <w:rPr>
                <w:rFonts w:hint="eastAsia" w:ascii="宋体" w:hAnsi="宋体" w:eastAsia="宋体" w:cs="宋体"/>
                <w:color w:val="auto"/>
                <w:highlight w:val="none"/>
              </w:rPr>
            </w:pPr>
          </w:p>
        </w:tc>
        <w:tc>
          <w:tcPr>
            <w:tcW w:w="1420" w:type="dxa"/>
            <w:vAlign w:val="center"/>
          </w:tcPr>
          <w:p w14:paraId="11B8BA03">
            <w:pPr>
              <w:jc w:val="center"/>
              <w:rPr>
                <w:rFonts w:hint="eastAsia" w:ascii="宋体" w:hAnsi="宋体" w:eastAsia="宋体" w:cs="宋体"/>
                <w:color w:val="auto"/>
                <w:highlight w:val="none"/>
              </w:rPr>
            </w:pPr>
          </w:p>
        </w:tc>
        <w:tc>
          <w:tcPr>
            <w:tcW w:w="1423" w:type="dxa"/>
            <w:vAlign w:val="center"/>
          </w:tcPr>
          <w:p w14:paraId="6EC2AA13">
            <w:pPr>
              <w:jc w:val="center"/>
              <w:rPr>
                <w:rFonts w:hint="eastAsia" w:ascii="宋体" w:hAnsi="宋体" w:eastAsia="宋体" w:cs="宋体"/>
                <w:color w:val="auto"/>
                <w:highlight w:val="none"/>
              </w:rPr>
            </w:pPr>
          </w:p>
        </w:tc>
      </w:tr>
      <w:tr w14:paraId="3341B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420" w:type="dxa"/>
            <w:vAlign w:val="center"/>
          </w:tcPr>
          <w:p w14:paraId="6D100662">
            <w:pPr>
              <w:jc w:val="center"/>
              <w:rPr>
                <w:rFonts w:hint="eastAsia" w:ascii="宋体" w:hAnsi="宋体" w:eastAsia="宋体" w:cs="宋体"/>
                <w:color w:val="auto"/>
                <w:highlight w:val="none"/>
              </w:rPr>
            </w:pPr>
          </w:p>
        </w:tc>
        <w:tc>
          <w:tcPr>
            <w:tcW w:w="1420" w:type="dxa"/>
            <w:vAlign w:val="center"/>
          </w:tcPr>
          <w:p w14:paraId="3BBB057B">
            <w:pPr>
              <w:jc w:val="center"/>
              <w:rPr>
                <w:rFonts w:hint="eastAsia" w:ascii="宋体" w:hAnsi="宋体" w:eastAsia="宋体" w:cs="宋体"/>
                <w:color w:val="auto"/>
                <w:highlight w:val="none"/>
              </w:rPr>
            </w:pPr>
          </w:p>
        </w:tc>
        <w:tc>
          <w:tcPr>
            <w:tcW w:w="1419" w:type="dxa"/>
            <w:vAlign w:val="center"/>
          </w:tcPr>
          <w:p w14:paraId="26515FE1">
            <w:pPr>
              <w:jc w:val="center"/>
              <w:rPr>
                <w:rFonts w:hint="eastAsia" w:ascii="宋体" w:hAnsi="宋体" w:eastAsia="宋体" w:cs="宋体"/>
                <w:color w:val="auto"/>
                <w:highlight w:val="none"/>
              </w:rPr>
            </w:pPr>
          </w:p>
        </w:tc>
        <w:tc>
          <w:tcPr>
            <w:tcW w:w="1420" w:type="dxa"/>
            <w:vAlign w:val="center"/>
          </w:tcPr>
          <w:p w14:paraId="6D4C8B7D">
            <w:pPr>
              <w:jc w:val="center"/>
              <w:rPr>
                <w:rFonts w:hint="eastAsia" w:ascii="宋体" w:hAnsi="宋体" w:eastAsia="宋体" w:cs="宋体"/>
                <w:color w:val="auto"/>
                <w:highlight w:val="none"/>
              </w:rPr>
            </w:pPr>
          </w:p>
        </w:tc>
        <w:tc>
          <w:tcPr>
            <w:tcW w:w="1420" w:type="dxa"/>
            <w:vAlign w:val="center"/>
          </w:tcPr>
          <w:p w14:paraId="1886453E">
            <w:pPr>
              <w:jc w:val="center"/>
              <w:rPr>
                <w:rFonts w:hint="eastAsia" w:ascii="宋体" w:hAnsi="宋体" w:eastAsia="宋体" w:cs="宋体"/>
                <w:color w:val="auto"/>
                <w:highlight w:val="none"/>
              </w:rPr>
            </w:pPr>
          </w:p>
        </w:tc>
        <w:tc>
          <w:tcPr>
            <w:tcW w:w="1423" w:type="dxa"/>
            <w:vAlign w:val="center"/>
          </w:tcPr>
          <w:p w14:paraId="7D0AA5A9">
            <w:pPr>
              <w:jc w:val="center"/>
              <w:rPr>
                <w:rFonts w:hint="eastAsia" w:ascii="宋体" w:hAnsi="宋体" w:eastAsia="宋体" w:cs="宋体"/>
                <w:color w:val="auto"/>
                <w:highlight w:val="none"/>
              </w:rPr>
            </w:pPr>
          </w:p>
        </w:tc>
      </w:tr>
      <w:tr w14:paraId="57253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420" w:type="dxa"/>
            <w:vAlign w:val="center"/>
          </w:tcPr>
          <w:p w14:paraId="22B38D6B">
            <w:pPr>
              <w:jc w:val="center"/>
              <w:rPr>
                <w:rFonts w:hint="eastAsia" w:ascii="宋体" w:hAnsi="宋体" w:eastAsia="宋体" w:cs="宋体"/>
                <w:color w:val="auto"/>
                <w:highlight w:val="none"/>
              </w:rPr>
            </w:pPr>
          </w:p>
        </w:tc>
        <w:tc>
          <w:tcPr>
            <w:tcW w:w="1420" w:type="dxa"/>
            <w:vAlign w:val="center"/>
          </w:tcPr>
          <w:p w14:paraId="6E51931B">
            <w:pPr>
              <w:jc w:val="center"/>
              <w:rPr>
                <w:rFonts w:hint="eastAsia" w:ascii="宋体" w:hAnsi="宋体" w:eastAsia="宋体" w:cs="宋体"/>
                <w:color w:val="auto"/>
                <w:highlight w:val="none"/>
              </w:rPr>
            </w:pPr>
          </w:p>
        </w:tc>
        <w:tc>
          <w:tcPr>
            <w:tcW w:w="1419" w:type="dxa"/>
            <w:vAlign w:val="center"/>
          </w:tcPr>
          <w:p w14:paraId="2022F383">
            <w:pPr>
              <w:jc w:val="center"/>
              <w:rPr>
                <w:rFonts w:hint="eastAsia" w:ascii="宋体" w:hAnsi="宋体" w:eastAsia="宋体" w:cs="宋体"/>
                <w:color w:val="auto"/>
                <w:highlight w:val="none"/>
              </w:rPr>
            </w:pPr>
          </w:p>
        </w:tc>
        <w:tc>
          <w:tcPr>
            <w:tcW w:w="1420" w:type="dxa"/>
            <w:vAlign w:val="center"/>
          </w:tcPr>
          <w:p w14:paraId="15CA9F73">
            <w:pPr>
              <w:jc w:val="center"/>
              <w:rPr>
                <w:rFonts w:hint="eastAsia" w:ascii="宋体" w:hAnsi="宋体" w:eastAsia="宋体" w:cs="宋体"/>
                <w:color w:val="auto"/>
                <w:highlight w:val="none"/>
              </w:rPr>
            </w:pPr>
          </w:p>
        </w:tc>
        <w:tc>
          <w:tcPr>
            <w:tcW w:w="1420" w:type="dxa"/>
            <w:vAlign w:val="center"/>
          </w:tcPr>
          <w:p w14:paraId="2D1B6631">
            <w:pPr>
              <w:jc w:val="center"/>
              <w:rPr>
                <w:rFonts w:hint="eastAsia" w:ascii="宋体" w:hAnsi="宋体" w:eastAsia="宋体" w:cs="宋体"/>
                <w:color w:val="auto"/>
                <w:highlight w:val="none"/>
              </w:rPr>
            </w:pPr>
          </w:p>
        </w:tc>
        <w:tc>
          <w:tcPr>
            <w:tcW w:w="1423" w:type="dxa"/>
            <w:vAlign w:val="center"/>
          </w:tcPr>
          <w:p w14:paraId="36696D3D">
            <w:pPr>
              <w:jc w:val="center"/>
              <w:rPr>
                <w:rFonts w:hint="eastAsia" w:ascii="宋体" w:hAnsi="宋体" w:eastAsia="宋体" w:cs="宋体"/>
                <w:color w:val="auto"/>
                <w:highlight w:val="none"/>
              </w:rPr>
            </w:pPr>
          </w:p>
        </w:tc>
      </w:tr>
      <w:tr w14:paraId="47618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420" w:type="dxa"/>
            <w:vAlign w:val="center"/>
          </w:tcPr>
          <w:p w14:paraId="16A844FC">
            <w:pPr>
              <w:jc w:val="center"/>
              <w:rPr>
                <w:rFonts w:hint="eastAsia" w:ascii="宋体" w:hAnsi="宋体" w:eastAsia="宋体" w:cs="宋体"/>
                <w:color w:val="auto"/>
                <w:highlight w:val="none"/>
              </w:rPr>
            </w:pPr>
          </w:p>
        </w:tc>
        <w:tc>
          <w:tcPr>
            <w:tcW w:w="1420" w:type="dxa"/>
            <w:vAlign w:val="center"/>
          </w:tcPr>
          <w:p w14:paraId="769778A2">
            <w:pPr>
              <w:jc w:val="center"/>
              <w:rPr>
                <w:rFonts w:hint="eastAsia" w:ascii="宋体" w:hAnsi="宋体" w:eastAsia="宋体" w:cs="宋体"/>
                <w:color w:val="auto"/>
                <w:highlight w:val="none"/>
              </w:rPr>
            </w:pPr>
          </w:p>
        </w:tc>
        <w:tc>
          <w:tcPr>
            <w:tcW w:w="1419" w:type="dxa"/>
            <w:vAlign w:val="center"/>
          </w:tcPr>
          <w:p w14:paraId="4419F037">
            <w:pPr>
              <w:jc w:val="center"/>
              <w:rPr>
                <w:rFonts w:hint="eastAsia" w:ascii="宋体" w:hAnsi="宋体" w:eastAsia="宋体" w:cs="宋体"/>
                <w:color w:val="auto"/>
                <w:highlight w:val="none"/>
              </w:rPr>
            </w:pPr>
          </w:p>
        </w:tc>
        <w:tc>
          <w:tcPr>
            <w:tcW w:w="1420" w:type="dxa"/>
            <w:vAlign w:val="center"/>
          </w:tcPr>
          <w:p w14:paraId="7F04A213">
            <w:pPr>
              <w:jc w:val="center"/>
              <w:rPr>
                <w:rFonts w:hint="eastAsia" w:ascii="宋体" w:hAnsi="宋体" w:eastAsia="宋体" w:cs="宋体"/>
                <w:color w:val="auto"/>
                <w:highlight w:val="none"/>
              </w:rPr>
            </w:pPr>
          </w:p>
        </w:tc>
        <w:tc>
          <w:tcPr>
            <w:tcW w:w="1420" w:type="dxa"/>
            <w:vAlign w:val="center"/>
          </w:tcPr>
          <w:p w14:paraId="2D77AF89">
            <w:pPr>
              <w:jc w:val="center"/>
              <w:rPr>
                <w:rFonts w:hint="eastAsia" w:ascii="宋体" w:hAnsi="宋体" w:eastAsia="宋体" w:cs="宋体"/>
                <w:color w:val="auto"/>
                <w:highlight w:val="none"/>
              </w:rPr>
            </w:pPr>
          </w:p>
        </w:tc>
        <w:tc>
          <w:tcPr>
            <w:tcW w:w="1423" w:type="dxa"/>
            <w:vAlign w:val="center"/>
          </w:tcPr>
          <w:p w14:paraId="2C0C3C79">
            <w:pPr>
              <w:jc w:val="center"/>
              <w:rPr>
                <w:rFonts w:hint="eastAsia" w:ascii="宋体" w:hAnsi="宋体" w:eastAsia="宋体" w:cs="宋体"/>
                <w:color w:val="auto"/>
                <w:highlight w:val="none"/>
              </w:rPr>
            </w:pPr>
          </w:p>
        </w:tc>
      </w:tr>
      <w:tr w14:paraId="5F6E8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420" w:type="dxa"/>
            <w:vAlign w:val="center"/>
          </w:tcPr>
          <w:p w14:paraId="7C03B52B">
            <w:pPr>
              <w:jc w:val="center"/>
              <w:rPr>
                <w:rFonts w:hint="eastAsia" w:ascii="宋体" w:hAnsi="宋体" w:eastAsia="宋体" w:cs="宋体"/>
                <w:color w:val="auto"/>
                <w:highlight w:val="none"/>
              </w:rPr>
            </w:pPr>
          </w:p>
        </w:tc>
        <w:tc>
          <w:tcPr>
            <w:tcW w:w="1420" w:type="dxa"/>
            <w:vAlign w:val="center"/>
          </w:tcPr>
          <w:p w14:paraId="32317D09">
            <w:pPr>
              <w:jc w:val="center"/>
              <w:rPr>
                <w:rFonts w:hint="eastAsia" w:ascii="宋体" w:hAnsi="宋体" w:eastAsia="宋体" w:cs="宋体"/>
                <w:color w:val="auto"/>
                <w:highlight w:val="none"/>
              </w:rPr>
            </w:pPr>
          </w:p>
        </w:tc>
        <w:tc>
          <w:tcPr>
            <w:tcW w:w="1419" w:type="dxa"/>
            <w:vAlign w:val="center"/>
          </w:tcPr>
          <w:p w14:paraId="30EE2C0C">
            <w:pPr>
              <w:jc w:val="center"/>
              <w:rPr>
                <w:rFonts w:hint="eastAsia" w:ascii="宋体" w:hAnsi="宋体" w:eastAsia="宋体" w:cs="宋体"/>
                <w:color w:val="auto"/>
                <w:highlight w:val="none"/>
              </w:rPr>
            </w:pPr>
          </w:p>
        </w:tc>
        <w:tc>
          <w:tcPr>
            <w:tcW w:w="1420" w:type="dxa"/>
            <w:vAlign w:val="center"/>
          </w:tcPr>
          <w:p w14:paraId="24FBDEE4">
            <w:pPr>
              <w:jc w:val="center"/>
              <w:rPr>
                <w:rFonts w:hint="eastAsia" w:ascii="宋体" w:hAnsi="宋体" w:eastAsia="宋体" w:cs="宋体"/>
                <w:color w:val="auto"/>
                <w:highlight w:val="none"/>
              </w:rPr>
            </w:pPr>
          </w:p>
        </w:tc>
        <w:tc>
          <w:tcPr>
            <w:tcW w:w="1420" w:type="dxa"/>
            <w:vAlign w:val="center"/>
          </w:tcPr>
          <w:p w14:paraId="6E9A20B5">
            <w:pPr>
              <w:jc w:val="center"/>
              <w:rPr>
                <w:rFonts w:hint="eastAsia" w:ascii="宋体" w:hAnsi="宋体" w:eastAsia="宋体" w:cs="宋体"/>
                <w:color w:val="auto"/>
                <w:highlight w:val="none"/>
              </w:rPr>
            </w:pPr>
          </w:p>
        </w:tc>
        <w:tc>
          <w:tcPr>
            <w:tcW w:w="1423" w:type="dxa"/>
            <w:vAlign w:val="center"/>
          </w:tcPr>
          <w:p w14:paraId="64C4F3B1">
            <w:pPr>
              <w:jc w:val="center"/>
              <w:rPr>
                <w:rFonts w:hint="eastAsia" w:ascii="宋体" w:hAnsi="宋体" w:eastAsia="宋体" w:cs="宋体"/>
                <w:color w:val="auto"/>
                <w:highlight w:val="none"/>
              </w:rPr>
            </w:pPr>
          </w:p>
        </w:tc>
      </w:tr>
    </w:tbl>
    <w:p w14:paraId="6AA429BA">
      <w:pPr>
        <w:rPr>
          <w:rFonts w:hint="eastAsia" w:ascii="宋体" w:hAnsi="宋体" w:eastAsia="宋体" w:cs="宋体"/>
          <w:color w:val="auto"/>
          <w:szCs w:val="21"/>
          <w:highlight w:val="none"/>
        </w:rPr>
      </w:pPr>
    </w:p>
    <w:p w14:paraId="383BE739">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w:t>
      </w:r>
    </w:p>
    <w:p w14:paraId="2B839CA5">
      <w:pPr>
        <w:numPr>
          <w:ilvl w:val="0"/>
          <w:numId w:val="11"/>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该表格为参考格式，投标人可按实际情况自行制订评分标准索引表。</w:t>
      </w:r>
    </w:p>
    <w:p w14:paraId="0EAF13B3">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br w:type="page"/>
      </w:r>
    </w:p>
    <w:p w14:paraId="51BEDDC9">
      <w:pPr>
        <w:pStyle w:val="5"/>
        <w:widowControl w:val="0"/>
        <w:overflowPunct w:val="0"/>
        <w:spacing w:line="240" w:lineRule="auto"/>
        <w:rPr>
          <w:rFonts w:hint="eastAsia" w:ascii="宋体" w:hAnsi="宋体" w:eastAsia="宋体" w:cs="宋体"/>
          <w:color w:val="auto"/>
          <w:highlight w:val="none"/>
        </w:rPr>
      </w:pPr>
      <w:bookmarkStart w:id="157" w:name="_Toc27135"/>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.投标书格式</w:t>
      </w:r>
      <w:bookmarkEnd w:id="157"/>
    </w:p>
    <w:p w14:paraId="706997B7">
      <w:pPr>
        <w:jc w:val="center"/>
        <w:rPr>
          <w:rFonts w:hint="eastAsia" w:ascii="宋体" w:hAnsi="宋体" w:eastAsia="宋体" w:cs="宋体"/>
          <w:color w:val="auto"/>
          <w:szCs w:val="21"/>
          <w:highlight w:val="none"/>
        </w:rPr>
      </w:pPr>
      <w:r>
        <w:rPr>
          <w:rFonts w:hint="eastAsia" w:ascii="宋体" w:hAnsi="宋体" w:eastAsia="宋体" w:cs="宋体"/>
          <w:color w:val="auto"/>
          <w:sz w:val="32"/>
          <w:szCs w:val="32"/>
          <w:highlight w:val="none"/>
        </w:rPr>
        <w:t>投标书</w:t>
      </w:r>
    </w:p>
    <w:p w14:paraId="3A79EE34">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致：xxx公司</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w:t>
      </w:r>
    </w:p>
    <w:p w14:paraId="61EEB881">
      <w:pPr>
        <w:rPr>
          <w:rFonts w:hint="eastAsia" w:ascii="宋体" w:hAnsi="宋体" w:eastAsia="宋体" w:cs="宋体"/>
          <w:color w:val="auto"/>
          <w:szCs w:val="21"/>
          <w:highlight w:val="none"/>
        </w:rPr>
      </w:pPr>
    </w:p>
    <w:p w14:paraId="37EE793B">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根据贵方为</w:t>
      </w:r>
      <w:r>
        <w:rPr>
          <w:rFonts w:hint="eastAsia" w:ascii="宋体" w:hAnsi="宋体" w:eastAsia="宋体" w:cs="宋体"/>
          <w:color w:val="auto"/>
          <w:szCs w:val="21"/>
          <w:highlight w:val="none"/>
          <w:u w:val="single"/>
        </w:rPr>
        <w:t>（项目名称）（采购项目编号）</w:t>
      </w:r>
      <w:r>
        <w:rPr>
          <w:rFonts w:hint="eastAsia" w:ascii="宋体" w:hAnsi="宋体" w:eastAsia="宋体" w:cs="宋体"/>
          <w:color w:val="auto"/>
          <w:szCs w:val="21"/>
          <w:highlight w:val="none"/>
        </w:rPr>
        <w:t>项目采购公告/采购邀请，签字代表</w:t>
      </w:r>
      <w:r>
        <w:rPr>
          <w:rFonts w:hint="eastAsia" w:ascii="宋体" w:hAnsi="宋体" w:eastAsia="宋体" w:cs="宋体"/>
          <w:color w:val="auto"/>
          <w:szCs w:val="21"/>
          <w:highlight w:val="none"/>
          <w:u w:val="single"/>
        </w:rPr>
        <w:t>（姓名、职务）</w:t>
      </w:r>
      <w:r>
        <w:rPr>
          <w:rFonts w:hint="eastAsia" w:ascii="宋体" w:hAnsi="宋体" w:eastAsia="宋体" w:cs="宋体"/>
          <w:color w:val="auto"/>
          <w:szCs w:val="21"/>
          <w:highlight w:val="none"/>
        </w:rPr>
        <w:t>经正式授权并代表投标人</w:t>
      </w:r>
      <w:r>
        <w:rPr>
          <w:rFonts w:hint="eastAsia" w:ascii="宋体" w:hAnsi="宋体" w:eastAsia="宋体" w:cs="宋体"/>
          <w:color w:val="auto"/>
          <w:szCs w:val="21"/>
          <w:highlight w:val="none"/>
          <w:u w:val="single"/>
        </w:rPr>
        <w:t>（投标人名称、地址）</w:t>
      </w:r>
      <w:r>
        <w:rPr>
          <w:rFonts w:hint="eastAsia" w:ascii="宋体" w:hAnsi="宋体" w:eastAsia="宋体" w:cs="宋体"/>
          <w:color w:val="auto"/>
          <w:szCs w:val="21"/>
          <w:highlight w:val="none"/>
        </w:rPr>
        <w:t>提交投标文件及“唱标信封”：</w:t>
      </w:r>
    </w:p>
    <w:p w14:paraId="1C5A2A49">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在此，签字代表宣布同意如下： </w:t>
      </w:r>
    </w:p>
    <w:p w14:paraId="399432AD">
      <w:pPr>
        <w:widowControl w:val="0"/>
        <w:numPr>
          <w:ilvl w:val="0"/>
          <w:numId w:val="12"/>
        </w:numPr>
        <w:adjustRightInd/>
        <w:snapToGrid/>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我方将按采购文件的规定履行合同责任和义务。 </w:t>
      </w:r>
    </w:p>
    <w:p w14:paraId="76F09D30">
      <w:pPr>
        <w:widowControl w:val="0"/>
        <w:numPr>
          <w:ilvl w:val="0"/>
          <w:numId w:val="12"/>
        </w:numPr>
        <w:adjustRightInd/>
        <w:snapToGrid/>
        <w:jc w:val="both"/>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6E818BDA">
      <w:pPr>
        <w:widowControl w:val="0"/>
        <w:numPr>
          <w:ilvl w:val="0"/>
          <w:numId w:val="12"/>
        </w:numPr>
        <w:adjustRightInd/>
        <w:snapToGrid/>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本投标有效期为自开标日起</w:t>
      </w:r>
      <w:r>
        <w:rPr>
          <w:rFonts w:hint="eastAsia" w:ascii="宋体" w:hAnsi="宋体" w:eastAsia="宋体" w:cs="宋体"/>
          <w:color w:val="auto"/>
          <w:szCs w:val="21"/>
          <w:highlight w:val="none"/>
          <w:u w:val="single"/>
        </w:rPr>
        <w:t>90</w:t>
      </w:r>
      <w:r>
        <w:rPr>
          <w:rFonts w:hint="eastAsia" w:ascii="宋体" w:hAnsi="宋体" w:eastAsia="宋体" w:cs="宋体"/>
          <w:color w:val="auto"/>
          <w:szCs w:val="21"/>
          <w:highlight w:val="none"/>
        </w:rPr>
        <w:t xml:space="preserve">个日历日。 </w:t>
      </w:r>
    </w:p>
    <w:p w14:paraId="690121B0">
      <w:pPr>
        <w:widowControl w:val="0"/>
        <w:numPr>
          <w:ilvl w:val="0"/>
          <w:numId w:val="12"/>
        </w:numPr>
        <w:adjustRightInd/>
        <w:snapToGrid/>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我方保证遵守投标人须知中关于没收投标保证金的规定。</w:t>
      </w:r>
    </w:p>
    <w:p w14:paraId="69A52DD6">
      <w:pPr>
        <w:widowControl w:val="0"/>
        <w:numPr>
          <w:ilvl w:val="0"/>
          <w:numId w:val="12"/>
        </w:numPr>
        <w:adjustRightInd/>
        <w:snapToGrid/>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我方承诺，与买方聘请的为此项目提供咨询服务的公司及任何附属机构均无关联，我方不是买方的附属机构。 </w:t>
      </w:r>
    </w:p>
    <w:p w14:paraId="33A50305">
      <w:pPr>
        <w:widowControl w:val="0"/>
        <w:numPr>
          <w:ilvl w:val="0"/>
          <w:numId w:val="12"/>
        </w:numPr>
        <w:adjustRightInd/>
        <w:snapToGrid/>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1BA75CA2">
      <w:pPr>
        <w:widowControl w:val="0"/>
        <w:numPr>
          <w:ilvl w:val="0"/>
          <w:numId w:val="12"/>
        </w:numPr>
        <w:adjustRightInd/>
        <w:snapToGrid/>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我方同意提供按照贵方可能要求的与其投标有关的一切数据或资料。</w:t>
      </w:r>
    </w:p>
    <w:p w14:paraId="0801B0C5">
      <w:pPr>
        <w:widowControl w:val="0"/>
        <w:numPr>
          <w:ilvl w:val="0"/>
          <w:numId w:val="12"/>
        </w:numPr>
        <w:adjustRightInd/>
        <w:snapToGrid/>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与本投标有关的一切正式信函请寄：</w:t>
      </w:r>
    </w:p>
    <w:p w14:paraId="4192CCA7">
      <w:pPr>
        <w:rPr>
          <w:rFonts w:hint="eastAsia" w:ascii="宋体" w:hAnsi="宋体" w:eastAsia="宋体" w:cs="宋体"/>
          <w:color w:val="auto"/>
          <w:szCs w:val="21"/>
          <w:highlight w:val="none"/>
        </w:rPr>
      </w:pPr>
    </w:p>
    <w:p w14:paraId="2099856C">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　　　　　　　　　　　　　　　　　　　 电子邮箱：</w:t>
      </w:r>
    </w:p>
    <w:p w14:paraId="704A1B36">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电话/移动电话：　　　　　　　　　　　　　　　</w:t>
      </w:r>
    </w:p>
    <w:p w14:paraId="40544E9C">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投标人法定代表人（或其授权代表）签字： </w:t>
      </w:r>
    </w:p>
    <w:p w14:paraId="5B0C8245">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投标人名称（全称）： </w:t>
      </w:r>
    </w:p>
    <w:p w14:paraId="73C958CA">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投标人盖章： </w:t>
      </w:r>
    </w:p>
    <w:p w14:paraId="1615B0D6">
      <w:pPr>
        <w:rPr>
          <w:rFonts w:hint="eastAsia" w:ascii="宋体" w:hAnsi="宋体" w:eastAsia="宋体" w:cs="宋体"/>
          <w:color w:val="auto"/>
          <w:highlight w:val="none"/>
        </w:rPr>
      </w:pPr>
      <w:r>
        <w:rPr>
          <w:rFonts w:hint="eastAsia" w:ascii="宋体" w:hAnsi="宋体" w:eastAsia="宋体" w:cs="宋体"/>
          <w:color w:val="auto"/>
          <w:szCs w:val="21"/>
          <w:highlight w:val="none"/>
        </w:rPr>
        <w:t>日期：</w:t>
      </w:r>
      <w:r>
        <w:rPr>
          <w:rFonts w:hint="eastAsia" w:ascii="宋体" w:hAnsi="宋体" w:eastAsia="宋体" w:cs="宋体"/>
          <w:color w:val="auto"/>
          <w:highlight w:val="none"/>
        </w:rPr>
        <w:br w:type="page"/>
      </w:r>
    </w:p>
    <w:p w14:paraId="438B0442">
      <w:pPr>
        <w:pStyle w:val="5"/>
        <w:widowControl w:val="0"/>
        <w:overflowPunct w:val="0"/>
        <w:spacing w:line="240" w:lineRule="auto"/>
        <w:rPr>
          <w:rFonts w:hint="eastAsia" w:ascii="宋体" w:hAnsi="宋体" w:eastAsia="宋体" w:cs="宋体"/>
          <w:color w:val="auto"/>
          <w:sz w:val="21"/>
          <w:szCs w:val="21"/>
          <w:highlight w:val="none"/>
        </w:rPr>
      </w:pPr>
      <w:bookmarkStart w:id="158" w:name="_Toc26123"/>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.法定代表人证明书格式</w:t>
      </w:r>
      <w:bookmarkEnd w:id="158"/>
    </w:p>
    <w:p w14:paraId="26A2AB08">
      <w:pPr>
        <w:rPr>
          <w:rFonts w:hint="eastAsia" w:ascii="宋体" w:hAnsi="宋体" w:eastAsia="宋体" w:cs="宋体"/>
          <w:color w:val="auto"/>
          <w:highlight w:val="none"/>
        </w:rPr>
      </w:pPr>
    </w:p>
    <w:p w14:paraId="1906A7AE">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法定代表人证明书</w:t>
      </w:r>
    </w:p>
    <w:p w14:paraId="6FC6C807">
      <w:pPr>
        <w:pStyle w:val="47"/>
        <w:spacing w:line="420" w:lineRule="atLeast"/>
        <w:ind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致：xxx公司（采购人）</w:t>
      </w:r>
      <w:r>
        <w:rPr>
          <w:rFonts w:hint="eastAsia" w:ascii="宋体" w:hAnsi="宋体" w:eastAsia="宋体" w:cs="宋体"/>
          <w:color w:val="auto"/>
          <w:sz w:val="21"/>
          <w:szCs w:val="21"/>
          <w:highlight w:val="none"/>
          <w:lang w:eastAsia="zh-CN"/>
        </w:rPr>
        <w:t>：</w:t>
      </w:r>
    </w:p>
    <w:p w14:paraId="456AF15B">
      <w:pPr>
        <w:pStyle w:val="47"/>
        <w:spacing w:line="420" w:lineRule="atLeast"/>
        <w:ind w:firstLine="433"/>
        <w:rPr>
          <w:rFonts w:hint="eastAsia" w:ascii="宋体" w:hAnsi="宋体" w:eastAsia="宋体" w:cs="宋体"/>
          <w:color w:val="auto"/>
          <w:sz w:val="21"/>
          <w:szCs w:val="21"/>
          <w:highlight w:val="none"/>
        </w:rPr>
      </w:pPr>
    </w:p>
    <w:p w14:paraId="252AB9C0">
      <w:pPr>
        <w:pStyle w:val="47"/>
        <w:spacing w:line="420" w:lineRule="atLeast"/>
        <w:ind w:firstLine="433"/>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投标人名称:</w:t>
      </w:r>
    </w:p>
    <w:p w14:paraId="683365F8">
      <w:pPr>
        <w:pStyle w:val="47"/>
        <w:spacing w:line="420" w:lineRule="atLeast"/>
        <w:ind w:firstLine="433"/>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单 位 性质：</w:t>
      </w:r>
    </w:p>
    <w:p w14:paraId="7607540E">
      <w:pPr>
        <w:pStyle w:val="47"/>
        <w:spacing w:line="420" w:lineRule="atLeast"/>
        <w:ind w:firstLine="433"/>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地      址：</w:t>
      </w:r>
    </w:p>
    <w:p w14:paraId="1525CE24">
      <w:pPr>
        <w:pStyle w:val="47"/>
        <w:spacing w:line="42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成 立 时间：年月日</w:t>
      </w:r>
    </w:p>
    <w:p w14:paraId="7383F80D">
      <w:pPr>
        <w:pStyle w:val="47"/>
        <w:spacing w:line="42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经 营 期限：</w:t>
      </w:r>
    </w:p>
    <w:p w14:paraId="6641C6CD">
      <w:pPr>
        <w:pStyle w:val="47"/>
        <w:spacing w:line="42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姓名：性别：年龄：职务：</w:t>
      </w:r>
    </w:p>
    <w:p w14:paraId="1BB3C160">
      <w:pPr>
        <w:pStyle w:val="47"/>
        <w:spacing w:line="42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系（投标人名称）的法定代表人。</w:t>
      </w:r>
    </w:p>
    <w:p w14:paraId="6313C988">
      <w:pPr>
        <w:spacing w:line="420" w:lineRule="atLeas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特此证明。</w:t>
      </w:r>
    </w:p>
    <w:p w14:paraId="7497EA55">
      <w:pPr>
        <w:pStyle w:val="47"/>
        <w:spacing w:line="500" w:lineRule="atLeast"/>
        <w:ind w:firstLine="3517" w:firstLineChars="1675"/>
        <w:rPr>
          <w:rFonts w:hint="eastAsia" w:ascii="宋体" w:hAnsi="宋体" w:eastAsia="宋体" w:cs="宋体"/>
          <w:color w:val="auto"/>
          <w:sz w:val="21"/>
          <w:szCs w:val="21"/>
          <w:highlight w:val="none"/>
        </w:rPr>
      </w:pPr>
    </w:p>
    <w:p w14:paraId="242FC3DA">
      <w:pPr>
        <w:pStyle w:val="47"/>
        <w:spacing w:line="500" w:lineRule="atLeas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投标人名称（加盖公章）：</w:t>
      </w:r>
    </w:p>
    <w:p w14:paraId="253A9D7C">
      <w:pPr>
        <w:pStyle w:val="47"/>
        <w:spacing w:line="500" w:lineRule="atLeas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法定代表人（签名或盖私章）：</w:t>
      </w:r>
    </w:p>
    <w:p w14:paraId="26DF45F5">
      <w:pPr>
        <w:pStyle w:val="47"/>
        <w:spacing w:line="500" w:lineRule="atLeas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法定代表人联系方式：</w:t>
      </w:r>
    </w:p>
    <w:p w14:paraId="1B705880">
      <w:pPr>
        <w:pStyle w:val="47"/>
        <w:spacing w:line="500" w:lineRule="atLeast"/>
        <w:ind w:firstLine="3517" w:firstLineChars="1675"/>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身份证号码：</w:t>
      </w:r>
    </w:p>
    <w:p w14:paraId="7872841F">
      <w:pPr>
        <w:pStyle w:val="47"/>
        <w:spacing w:line="500" w:lineRule="atLeast"/>
        <w:ind w:firstLine="3507" w:firstLineChars="16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  年  月  日</w:t>
      </w:r>
    </w:p>
    <w:p w14:paraId="0EB74419">
      <w:pPr>
        <w:ind w:firstLine="420" w:firstLineChars="200"/>
        <w:rPr>
          <w:rFonts w:hint="eastAsia" w:ascii="宋体" w:hAnsi="宋体" w:eastAsia="宋体" w:cs="宋体"/>
          <w:color w:val="auto"/>
          <w:szCs w:val="21"/>
          <w:highlight w:val="none"/>
        </w:rPr>
      </w:pPr>
    </w:p>
    <w:p w14:paraId="7C22E55B">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注：法定代表人身份证明书需附法人代表身份证复印件。</w:t>
      </w:r>
    </w:p>
    <w:tbl>
      <w:tblPr>
        <w:tblStyle w:val="30"/>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3E018A7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7754378B">
            <w:pPr>
              <w:pStyle w:val="47"/>
              <w:spacing w:line="460" w:lineRule="exact"/>
              <w:ind w:firstLine="0" w:firstLineChars="0"/>
              <w:jc w:val="center"/>
              <w:rPr>
                <w:rFonts w:hint="eastAsia" w:ascii="宋体" w:hAnsi="宋体" w:eastAsia="宋体" w:cs="宋体"/>
                <w:color w:val="auto"/>
                <w:sz w:val="22"/>
                <w:highlight w:val="none"/>
              </w:rPr>
            </w:pPr>
            <w:r>
              <w:rPr>
                <w:rFonts w:hint="eastAsia" w:ascii="宋体" w:hAnsi="宋体" w:eastAsia="宋体" w:cs="宋体"/>
                <w:color w:val="auto"/>
                <w:sz w:val="22"/>
                <w:highlight w:val="none"/>
              </w:rPr>
              <w:t>正面</w:t>
            </w:r>
          </w:p>
        </w:tc>
        <w:tc>
          <w:tcPr>
            <w:tcW w:w="4182" w:type="dxa"/>
            <w:vAlign w:val="center"/>
          </w:tcPr>
          <w:p w14:paraId="6778ED12">
            <w:pPr>
              <w:pStyle w:val="47"/>
              <w:spacing w:line="460" w:lineRule="exact"/>
              <w:ind w:firstLine="0" w:firstLineChars="0"/>
              <w:jc w:val="center"/>
              <w:rPr>
                <w:rFonts w:hint="eastAsia" w:ascii="宋体" w:hAnsi="宋体" w:eastAsia="宋体" w:cs="宋体"/>
                <w:color w:val="auto"/>
                <w:sz w:val="22"/>
                <w:highlight w:val="none"/>
              </w:rPr>
            </w:pPr>
            <w:r>
              <w:rPr>
                <w:rFonts w:hint="eastAsia" w:ascii="宋体" w:hAnsi="宋体" w:eastAsia="宋体" w:cs="宋体"/>
                <w:color w:val="auto"/>
                <w:sz w:val="22"/>
                <w:highlight w:val="none"/>
              </w:rPr>
              <w:t>背面</w:t>
            </w:r>
          </w:p>
        </w:tc>
      </w:tr>
    </w:tbl>
    <w:p w14:paraId="05D4CFEC">
      <w:pPr>
        <w:rPr>
          <w:rFonts w:hint="eastAsia" w:ascii="宋体" w:hAnsi="宋体" w:eastAsia="宋体" w:cs="宋体"/>
          <w:color w:val="auto"/>
          <w:highlight w:val="none"/>
        </w:rPr>
      </w:pPr>
    </w:p>
    <w:p w14:paraId="72354A79">
      <w:pPr>
        <w:adjustRightInd/>
        <w:snapToGrid/>
        <w:spacing w:line="276" w:lineRule="auto"/>
        <w:rPr>
          <w:rFonts w:hint="eastAsia" w:ascii="宋体" w:hAnsi="宋体" w:eastAsia="宋体" w:cs="宋体"/>
          <w:b/>
          <w:bCs/>
          <w:color w:val="auto"/>
          <w:sz w:val="24"/>
          <w:szCs w:val="28"/>
          <w:highlight w:val="none"/>
        </w:rPr>
      </w:pPr>
      <w:r>
        <w:rPr>
          <w:rFonts w:hint="eastAsia" w:ascii="宋体" w:hAnsi="宋体" w:eastAsia="宋体" w:cs="宋体"/>
          <w:color w:val="auto"/>
          <w:sz w:val="24"/>
          <w:highlight w:val="none"/>
        </w:rPr>
        <w:br w:type="page"/>
      </w:r>
    </w:p>
    <w:p w14:paraId="53838AD3">
      <w:pPr>
        <w:pStyle w:val="5"/>
        <w:widowControl w:val="0"/>
        <w:overflowPunct w:val="0"/>
        <w:spacing w:line="240" w:lineRule="auto"/>
        <w:rPr>
          <w:rFonts w:hint="eastAsia" w:ascii="宋体" w:hAnsi="宋体" w:eastAsia="宋体" w:cs="宋体"/>
          <w:color w:val="auto"/>
          <w:highlight w:val="none"/>
        </w:rPr>
      </w:pPr>
      <w:bookmarkStart w:id="159" w:name="_Toc17649"/>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.法定代表人授权书格式</w:t>
      </w:r>
      <w:bookmarkEnd w:id="159"/>
    </w:p>
    <w:p w14:paraId="62DDA849">
      <w:pPr>
        <w:rPr>
          <w:rFonts w:hint="eastAsia" w:ascii="宋体" w:hAnsi="宋体" w:eastAsia="宋体" w:cs="宋体"/>
          <w:color w:val="auto"/>
          <w:highlight w:val="none"/>
        </w:rPr>
      </w:pPr>
    </w:p>
    <w:p w14:paraId="40D9F3DC">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法定代表人授权书</w:t>
      </w:r>
    </w:p>
    <w:p w14:paraId="61C183D0">
      <w:pPr>
        <w:pStyle w:val="47"/>
        <w:spacing w:line="420" w:lineRule="atLeast"/>
        <w:ind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致：xxx公司（采购人）</w:t>
      </w:r>
      <w:r>
        <w:rPr>
          <w:rFonts w:hint="eastAsia" w:ascii="宋体" w:hAnsi="宋体" w:eastAsia="宋体" w:cs="宋体"/>
          <w:color w:val="auto"/>
          <w:sz w:val="21"/>
          <w:szCs w:val="21"/>
          <w:highlight w:val="none"/>
          <w:lang w:eastAsia="zh-CN"/>
        </w:rPr>
        <w:t>：</w:t>
      </w:r>
    </w:p>
    <w:p w14:paraId="762BE3FE">
      <w:pPr>
        <w:pStyle w:val="47"/>
        <w:spacing w:line="420" w:lineRule="atLeast"/>
        <w:ind w:firstLine="433"/>
        <w:rPr>
          <w:rFonts w:hint="eastAsia" w:ascii="宋体" w:hAnsi="宋体" w:eastAsia="宋体" w:cs="宋体"/>
          <w:color w:val="auto"/>
          <w:sz w:val="21"/>
          <w:szCs w:val="21"/>
          <w:highlight w:val="none"/>
        </w:rPr>
      </w:pPr>
    </w:p>
    <w:p w14:paraId="1BBBFC60">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本授权书声明：注册于</w:t>
      </w:r>
      <w:r>
        <w:rPr>
          <w:rFonts w:hint="eastAsia" w:ascii="宋体" w:hAnsi="宋体" w:eastAsia="宋体" w:cs="宋体"/>
          <w:color w:val="auto"/>
          <w:szCs w:val="21"/>
          <w:highlight w:val="none"/>
          <w:u w:val="single"/>
        </w:rPr>
        <w:t>（国家或地区的名称）</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u w:val="single"/>
        </w:rPr>
        <w:t>（单位名称）</w:t>
      </w:r>
      <w:r>
        <w:rPr>
          <w:rFonts w:hint="eastAsia" w:ascii="宋体" w:hAnsi="宋体" w:eastAsia="宋体" w:cs="宋体"/>
          <w:color w:val="auto"/>
          <w:szCs w:val="21"/>
          <w:highlight w:val="none"/>
        </w:rPr>
        <w:t>的在下面签字的</w:t>
      </w:r>
      <w:r>
        <w:rPr>
          <w:rFonts w:hint="eastAsia" w:ascii="宋体" w:hAnsi="宋体" w:eastAsia="宋体" w:cs="宋体"/>
          <w:color w:val="auto"/>
          <w:szCs w:val="21"/>
          <w:highlight w:val="none"/>
          <w:u w:val="single"/>
        </w:rPr>
        <w:t>（法定代表人姓名、职务）</w:t>
      </w:r>
      <w:r>
        <w:rPr>
          <w:rFonts w:hint="eastAsia" w:ascii="宋体" w:hAnsi="宋体" w:eastAsia="宋体" w:cs="宋体"/>
          <w:color w:val="auto"/>
          <w:szCs w:val="21"/>
          <w:highlight w:val="none"/>
        </w:rPr>
        <w:t>代表本单位授权</w:t>
      </w:r>
      <w:r>
        <w:rPr>
          <w:rFonts w:hint="eastAsia" w:ascii="宋体" w:hAnsi="宋体" w:eastAsia="宋体" w:cs="宋体"/>
          <w:color w:val="auto"/>
          <w:szCs w:val="21"/>
          <w:highlight w:val="none"/>
          <w:u w:val="single"/>
        </w:rPr>
        <w:t>（单位名称）</w:t>
      </w:r>
      <w:r>
        <w:rPr>
          <w:rFonts w:hint="eastAsia" w:ascii="宋体" w:hAnsi="宋体" w:eastAsia="宋体" w:cs="宋体"/>
          <w:color w:val="auto"/>
          <w:szCs w:val="21"/>
          <w:highlight w:val="none"/>
        </w:rPr>
        <w:t>的在下面签字的</w:t>
      </w:r>
      <w:r>
        <w:rPr>
          <w:rFonts w:hint="eastAsia" w:ascii="宋体" w:hAnsi="宋体" w:eastAsia="宋体" w:cs="宋体"/>
          <w:color w:val="auto"/>
          <w:szCs w:val="21"/>
          <w:highlight w:val="none"/>
          <w:u w:val="single"/>
        </w:rPr>
        <w:t>（被授权人的姓名、职务）</w:t>
      </w:r>
      <w:r>
        <w:rPr>
          <w:rFonts w:hint="eastAsia" w:ascii="宋体" w:hAnsi="宋体" w:eastAsia="宋体" w:cs="宋体"/>
          <w:color w:val="auto"/>
          <w:szCs w:val="21"/>
          <w:highlight w:val="none"/>
        </w:rPr>
        <w:t>为本单位的合法代理人，就</w:t>
      </w:r>
      <w:r>
        <w:rPr>
          <w:rFonts w:hint="eastAsia" w:ascii="宋体" w:hAnsi="宋体" w:eastAsia="宋体" w:cs="宋体"/>
          <w:color w:val="auto"/>
          <w:szCs w:val="21"/>
          <w:highlight w:val="none"/>
          <w:u w:val="single"/>
        </w:rPr>
        <w:t>（项目名称）</w:t>
      </w:r>
      <w:r>
        <w:rPr>
          <w:rFonts w:hint="eastAsia" w:ascii="宋体" w:hAnsi="宋体" w:eastAsia="宋体" w:cs="宋体"/>
          <w:color w:val="auto"/>
          <w:szCs w:val="21"/>
          <w:highlight w:val="none"/>
        </w:rPr>
        <w:t>投标及参加项目谈判，以本单位名义处理一切与之有关的事务。</w:t>
      </w:r>
    </w:p>
    <w:p w14:paraId="77F63240">
      <w:pPr>
        <w:ind w:firstLine="315" w:firstLineChars="15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本授权书于</w:t>
      </w:r>
      <w:r>
        <w:rPr>
          <w:rFonts w:hint="eastAsia" w:ascii="宋体" w:hAnsi="宋体" w:eastAsia="宋体" w:cs="宋体"/>
          <w:color w:val="auto"/>
          <w:szCs w:val="21"/>
          <w:highlight w:val="none"/>
          <w:u w:val="single"/>
        </w:rPr>
        <w:t>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w:t>
      </w:r>
      <w:r>
        <w:rPr>
          <w:rFonts w:hint="eastAsia" w:ascii="宋体" w:hAnsi="宋体" w:eastAsia="宋体" w:cs="宋体"/>
          <w:color w:val="auto"/>
          <w:szCs w:val="21"/>
          <w:highlight w:val="none"/>
        </w:rPr>
        <w:t>日签字生效，特此声明。</w:t>
      </w:r>
    </w:p>
    <w:p w14:paraId="1ECF50FC">
      <w:pPr>
        <w:pStyle w:val="47"/>
        <w:spacing w:line="500" w:lineRule="atLeast"/>
        <w:ind w:firstLine="3517" w:firstLineChars="1675"/>
        <w:rPr>
          <w:rFonts w:hint="eastAsia" w:ascii="宋体" w:hAnsi="宋体" w:eastAsia="宋体" w:cs="宋体"/>
          <w:color w:val="auto"/>
          <w:sz w:val="21"/>
          <w:szCs w:val="21"/>
          <w:highlight w:val="none"/>
        </w:rPr>
      </w:pPr>
    </w:p>
    <w:p w14:paraId="5E22331F">
      <w:pPr>
        <w:pStyle w:val="47"/>
        <w:spacing w:line="500" w:lineRule="atLeas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投标人名称（加盖公章）：</w:t>
      </w:r>
    </w:p>
    <w:p w14:paraId="0AD15328">
      <w:pPr>
        <w:pStyle w:val="47"/>
        <w:spacing w:line="500" w:lineRule="atLeast"/>
        <w:ind w:firstLine="3517" w:firstLineChars="1675"/>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法定代表人签字（签名或盖私章）：</w:t>
      </w:r>
    </w:p>
    <w:p w14:paraId="02DE6D63">
      <w:pPr>
        <w:pStyle w:val="47"/>
        <w:spacing w:line="500" w:lineRule="atLeas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被授权人签字：</w:t>
      </w:r>
    </w:p>
    <w:p w14:paraId="5ECCCDE3">
      <w:pPr>
        <w:pStyle w:val="47"/>
        <w:spacing w:line="500" w:lineRule="atLeast"/>
        <w:ind w:firstLine="3517" w:firstLineChars="1675"/>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职务：</w:t>
      </w:r>
    </w:p>
    <w:p w14:paraId="783BAB70">
      <w:pPr>
        <w:pStyle w:val="47"/>
        <w:spacing w:line="500" w:lineRule="atLeas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移动电话： </w:t>
      </w:r>
    </w:p>
    <w:p w14:paraId="6ADAD544">
      <w:pPr>
        <w:pStyle w:val="47"/>
        <w:spacing w:line="500" w:lineRule="atLeas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详细通讯地址：</w:t>
      </w:r>
    </w:p>
    <w:p w14:paraId="4F525F83">
      <w:pPr>
        <w:pStyle w:val="47"/>
        <w:spacing w:line="500" w:lineRule="atLeas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邮箱：                          </w:t>
      </w:r>
    </w:p>
    <w:p w14:paraId="492C9987">
      <w:pPr>
        <w:pStyle w:val="47"/>
        <w:spacing w:line="500" w:lineRule="atLeast"/>
        <w:ind w:firstLine="3507" w:firstLineChars="16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  年  月  日</w:t>
      </w:r>
    </w:p>
    <w:p w14:paraId="06BE84B1">
      <w:pPr>
        <w:pStyle w:val="47"/>
        <w:spacing w:line="460" w:lineRule="exact"/>
        <w:ind w:firstLine="433"/>
        <w:rPr>
          <w:rFonts w:hint="eastAsia" w:ascii="宋体" w:hAnsi="宋体" w:eastAsia="宋体" w:cs="宋体"/>
          <w:color w:val="auto"/>
          <w:sz w:val="21"/>
          <w:szCs w:val="21"/>
          <w:highlight w:val="none"/>
        </w:rPr>
      </w:pPr>
    </w:p>
    <w:p w14:paraId="4F05DC0A">
      <w:pPr>
        <w:ind w:firstLine="420" w:firstLineChars="200"/>
        <w:rPr>
          <w:rFonts w:hint="eastAsia" w:ascii="宋体" w:hAnsi="宋体" w:eastAsia="宋体" w:cs="宋体"/>
          <w:color w:val="auto"/>
          <w:highlight w:val="none"/>
        </w:rPr>
      </w:pPr>
      <w:r>
        <w:rPr>
          <w:rFonts w:hint="eastAsia" w:ascii="宋体" w:hAnsi="宋体" w:eastAsia="宋体" w:cs="宋体"/>
          <w:color w:val="auto"/>
          <w:szCs w:val="21"/>
          <w:highlight w:val="none"/>
        </w:rPr>
        <w:t>须附：被授权人身份证复印件。</w:t>
      </w:r>
    </w:p>
    <w:tbl>
      <w:tblPr>
        <w:tblStyle w:val="30"/>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697DC2C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23C59E52">
            <w:pPr>
              <w:pStyle w:val="47"/>
              <w:spacing w:line="460" w:lineRule="exact"/>
              <w:ind w:firstLine="0" w:firstLineChars="0"/>
              <w:jc w:val="center"/>
              <w:rPr>
                <w:rFonts w:hint="eastAsia" w:ascii="宋体" w:hAnsi="宋体" w:eastAsia="宋体" w:cs="宋体"/>
                <w:color w:val="auto"/>
                <w:sz w:val="22"/>
                <w:highlight w:val="none"/>
              </w:rPr>
            </w:pPr>
            <w:r>
              <w:rPr>
                <w:rFonts w:hint="eastAsia" w:ascii="宋体" w:hAnsi="宋体" w:eastAsia="宋体" w:cs="宋体"/>
                <w:color w:val="auto"/>
                <w:sz w:val="22"/>
                <w:highlight w:val="none"/>
              </w:rPr>
              <w:t>正面</w:t>
            </w:r>
          </w:p>
        </w:tc>
        <w:tc>
          <w:tcPr>
            <w:tcW w:w="4232" w:type="dxa"/>
            <w:vAlign w:val="center"/>
          </w:tcPr>
          <w:p w14:paraId="41EE9FB0">
            <w:pPr>
              <w:pStyle w:val="47"/>
              <w:spacing w:line="460" w:lineRule="exact"/>
              <w:ind w:firstLine="0" w:firstLineChars="0"/>
              <w:jc w:val="center"/>
              <w:rPr>
                <w:rFonts w:hint="eastAsia" w:ascii="宋体" w:hAnsi="宋体" w:eastAsia="宋体" w:cs="宋体"/>
                <w:color w:val="auto"/>
                <w:sz w:val="22"/>
                <w:highlight w:val="none"/>
              </w:rPr>
            </w:pPr>
            <w:r>
              <w:rPr>
                <w:rFonts w:hint="eastAsia" w:ascii="宋体" w:hAnsi="宋体" w:eastAsia="宋体" w:cs="宋体"/>
                <w:color w:val="auto"/>
                <w:sz w:val="22"/>
                <w:highlight w:val="none"/>
              </w:rPr>
              <w:t>背面</w:t>
            </w:r>
          </w:p>
        </w:tc>
      </w:tr>
    </w:tbl>
    <w:p w14:paraId="18DDDF66">
      <w:pPr>
        <w:adjustRightInd/>
        <w:snapToGrid/>
        <w:spacing w:line="276" w:lineRule="auto"/>
        <w:rPr>
          <w:rFonts w:hint="eastAsia" w:ascii="宋体" w:hAnsi="宋体" w:eastAsia="宋体" w:cs="宋体"/>
          <w:color w:val="auto"/>
          <w:highlight w:val="none"/>
        </w:rPr>
      </w:pPr>
      <w:bookmarkStart w:id="160" w:name="_Toc22486"/>
      <w:r>
        <w:rPr>
          <w:rFonts w:hint="eastAsia" w:ascii="宋体" w:hAnsi="宋体" w:eastAsia="宋体" w:cs="宋体"/>
          <w:color w:val="auto"/>
          <w:szCs w:val="21"/>
          <w:highlight w:val="none"/>
        </w:rPr>
        <w:br w:type="page"/>
      </w:r>
    </w:p>
    <w:p w14:paraId="7B3F1EE3">
      <w:pPr>
        <w:pStyle w:val="5"/>
        <w:widowControl w:val="0"/>
        <w:overflowPunct w:val="0"/>
        <w:spacing w:line="240" w:lineRule="auto"/>
        <w:rPr>
          <w:rFonts w:hint="eastAsia" w:ascii="宋体" w:hAnsi="宋体" w:eastAsia="宋体" w:cs="宋体"/>
          <w:color w:val="auto"/>
          <w:sz w:val="21"/>
          <w:szCs w:val="21"/>
          <w:highlight w:val="none"/>
        </w:rPr>
      </w:pPr>
      <w:bookmarkStart w:id="161" w:name="_Toc2254"/>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.资格申明</w:t>
      </w:r>
      <w:bookmarkEnd w:id="161"/>
    </w:p>
    <w:p w14:paraId="4D30DDB5">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资格申明</w:t>
      </w:r>
    </w:p>
    <w:p w14:paraId="3940ACBC">
      <w:pPr>
        <w:pStyle w:val="47"/>
        <w:spacing w:line="420" w:lineRule="atLeas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rPr>
        <w:t xml:space="preserve">  xxx   </w:t>
      </w:r>
      <w:r>
        <w:rPr>
          <w:rFonts w:hint="eastAsia" w:ascii="宋体" w:hAnsi="宋体" w:eastAsia="宋体" w:cs="宋体"/>
          <w:color w:val="auto"/>
          <w:sz w:val="21"/>
          <w:szCs w:val="21"/>
          <w:highlight w:val="none"/>
        </w:rPr>
        <w:t>公司（采购人）：</w:t>
      </w:r>
    </w:p>
    <w:p w14:paraId="16605A75">
      <w:pPr>
        <w:ind w:firstLine="420" w:firstLineChars="200"/>
        <w:rPr>
          <w:rFonts w:hint="eastAsia" w:ascii="宋体" w:hAnsi="宋体" w:eastAsia="宋体" w:cs="宋体"/>
          <w:color w:val="auto"/>
          <w:szCs w:val="21"/>
          <w:highlight w:val="none"/>
        </w:rPr>
      </w:pPr>
    </w:p>
    <w:p w14:paraId="11FA90D8">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我方愿响应贵方关于（项目名称：</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）（采购项目编号：</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）的投标邀请，参与投标，提供用户需求书中规定的货物及相关服务，并按采购文件要求提交所附资格文件且声明和保证如下：</w:t>
      </w:r>
    </w:p>
    <w:p w14:paraId="7A66B733">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一、我方具备投标人邀请中所要求得资格条件，已清楚采购文件所有要求及有关规定；并承诺参加本次采购活动中，如有违法、违规、弄虚作假行为，所造成的损失、不良后果及法律责任，一律由我方承担；</w:t>
      </w:r>
    </w:p>
    <w:p w14:paraId="0E617E6C">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二、我方依法注册，在法律上、财务上和运作上完全独立于</w:t>
      </w:r>
      <w:r>
        <w:rPr>
          <w:rFonts w:hint="eastAsia" w:ascii="宋体" w:hAnsi="宋体" w:eastAsia="宋体" w:cs="宋体"/>
          <w:color w:val="auto"/>
          <w:szCs w:val="21"/>
          <w:highlight w:val="none"/>
          <w:u w:val="single"/>
        </w:rPr>
        <w:t xml:space="preserve">  xxxx   </w:t>
      </w:r>
      <w:r>
        <w:rPr>
          <w:rFonts w:hint="eastAsia" w:ascii="宋体" w:hAnsi="宋体" w:eastAsia="宋体" w:cs="宋体"/>
          <w:color w:val="auto"/>
          <w:szCs w:val="21"/>
          <w:highlight w:val="none"/>
        </w:rPr>
        <w:t>公司（采购人）及</w:t>
      </w:r>
      <w:r>
        <w:rPr>
          <w:rFonts w:hint="eastAsia" w:ascii="宋体" w:hAnsi="宋体" w:eastAsia="宋体" w:cs="宋体"/>
          <w:color w:val="auto"/>
          <w:szCs w:val="21"/>
          <w:highlight w:val="none"/>
          <w:u w:val="single"/>
        </w:rPr>
        <w:t xml:space="preserve">    xxx   </w:t>
      </w:r>
      <w:r>
        <w:rPr>
          <w:rFonts w:hint="eastAsia" w:ascii="宋体" w:hAnsi="宋体" w:eastAsia="宋体" w:cs="宋体"/>
          <w:color w:val="auto"/>
          <w:szCs w:val="21"/>
          <w:highlight w:val="none"/>
        </w:rPr>
        <w:t>公司（采购代理机构）。</w:t>
      </w:r>
    </w:p>
    <w:p w14:paraId="520A4B1C">
      <w:pPr>
        <w:pStyle w:val="47"/>
        <w:spacing w:line="500" w:lineRule="atLeast"/>
        <w:ind w:firstLine="3517" w:firstLineChars="1675"/>
        <w:rPr>
          <w:rFonts w:hint="eastAsia" w:ascii="宋体" w:hAnsi="宋体" w:eastAsia="宋体" w:cs="宋体"/>
          <w:color w:val="auto"/>
          <w:sz w:val="21"/>
          <w:szCs w:val="21"/>
          <w:highlight w:val="none"/>
        </w:rPr>
      </w:pPr>
    </w:p>
    <w:p w14:paraId="32386BD7">
      <w:pPr>
        <w:pStyle w:val="47"/>
        <w:spacing w:line="500" w:lineRule="atLeast"/>
        <w:ind w:firstLine="3517" w:firstLineChars="1675"/>
        <w:rPr>
          <w:rFonts w:hint="eastAsia" w:ascii="宋体" w:hAnsi="宋体" w:eastAsia="宋体" w:cs="宋体"/>
          <w:color w:val="auto"/>
          <w:sz w:val="21"/>
          <w:szCs w:val="21"/>
          <w:highlight w:val="none"/>
        </w:rPr>
      </w:pPr>
    </w:p>
    <w:p w14:paraId="14530511">
      <w:pPr>
        <w:pStyle w:val="47"/>
        <w:spacing w:line="50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投标人名称（加盖公章）：</w:t>
      </w:r>
    </w:p>
    <w:p w14:paraId="37322BE1">
      <w:pPr>
        <w:pStyle w:val="47"/>
        <w:spacing w:line="50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法定代表人签字（签名或盖私章）：</w:t>
      </w:r>
    </w:p>
    <w:p w14:paraId="2CCFFA1B">
      <w:pPr>
        <w:pStyle w:val="47"/>
        <w:spacing w:line="50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期：年月日</w:t>
      </w:r>
    </w:p>
    <w:p w14:paraId="0CB6000D">
      <w:pPr>
        <w:pStyle w:val="47"/>
        <w:spacing w:line="50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br w:type="page"/>
      </w:r>
    </w:p>
    <w:p w14:paraId="626B65AC">
      <w:pPr>
        <w:pStyle w:val="5"/>
        <w:widowControl w:val="0"/>
        <w:overflowPunct w:val="0"/>
        <w:spacing w:line="240" w:lineRule="auto"/>
        <w:rPr>
          <w:rFonts w:hint="eastAsia" w:ascii="宋体" w:hAnsi="宋体" w:eastAsia="宋体" w:cs="宋体"/>
          <w:color w:val="auto"/>
          <w:sz w:val="21"/>
          <w:szCs w:val="21"/>
          <w:highlight w:val="none"/>
        </w:rPr>
      </w:pPr>
      <w:bookmarkStart w:id="162" w:name="_Toc20089"/>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.营业执照</w:t>
      </w:r>
      <w:bookmarkEnd w:id="162"/>
    </w:p>
    <w:p w14:paraId="45910117">
      <w:pPr>
        <w:jc w:val="center"/>
        <w:rPr>
          <w:rFonts w:hint="eastAsia" w:ascii="宋体" w:hAnsi="宋体" w:eastAsia="宋体" w:cs="宋体"/>
          <w:color w:val="auto"/>
          <w:sz w:val="28"/>
          <w:szCs w:val="28"/>
          <w:highlight w:val="none"/>
        </w:rPr>
      </w:pPr>
      <w:bookmarkStart w:id="163" w:name="_Toc17470"/>
      <w:bookmarkStart w:id="164" w:name="_Toc4926"/>
      <w:bookmarkStart w:id="165" w:name="_Toc1511"/>
      <w:bookmarkStart w:id="166" w:name="_Toc24210"/>
      <w:bookmarkStart w:id="167" w:name="_Toc5919"/>
      <w:r>
        <w:rPr>
          <w:rFonts w:hint="eastAsia" w:ascii="宋体" w:hAnsi="宋体" w:eastAsia="宋体" w:cs="宋体"/>
          <w:color w:val="auto"/>
          <w:sz w:val="28"/>
          <w:szCs w:val="28"/>
          <w:highlight w:val="none"/>
        </w:rPr>
        <w:t>营业执照</w:t>
      </w:r>
      <w:bookmarkEnd w:id="163"/>
      <w:bookmarkEnd w:id="164"/>
      <w:bookmarkEnd w:id="165"/>
      <w:bookmarkEnd w:id="166"/>
      <w:bookmarkEnd w:id="167"/>
    </w:p>
    <w:p w14:paraId="0CDC0A81">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6A382810">
      <w:pPr>
        <w:pStyle w:val="5"/>
        <w:widowControl w:val="0"/>
        <w:overflowPunct w:val="0"/>
        <w:spacing w:line="240" w:lineRule="auto"/>
        <w:rPr>
          <w:rFonts w:hint="eastAsia" w:ascii="宋体" w:hAnsi="宋体" w:eastAsia="宋体" w:cs="宋体"/>
          <w:color w:val="auto"/>
          <w:sz w:val="21"/>
          <w:szCs w:val="21"/>
          <w:highlight w:val="none"/>
        </w:rPr>
      </w:pPr>
      <w:bookmarkStart w:id="168" w:name="_Toc28904"/>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.相关资质证明文件</w:t>
      </w:r>
      <w:bookmarkEnd w:id="168"/>
    </w:p>
    <w:p w14:paraId="628E8C1F">
      <w:pPr>
        <w:rPr>
          <w:rFonts w:hint="eastAsia" w:ascii="宋体" w:hAnsi="宋体" w:eastAsia="宋体" w:cs="宋体"/>
          <w:color w:val="auto"/>
          <w:highlight w:val="none"/>
        </w:rPr>
      </w:pPr>
    </w:p>
    <w:p w14:paraId="60DDCBBC">
      <w:pPr>
        <w:jc w:val="center"/>
        <w:rPr>
          <w:rFonts w:hint="eastAsia" w:ascii="宋体" w:hAnsi="宋体" w:eastAsia="宋体" w:cs="宋体"/>
          <w:color w:val="auto"/>
          <w:sz w:val="28"/>
          <w:szCs w:val="28"/>
          <w:highlight w:val="none"/>
        </w:rPr>
      </w:pPr>
      <w:bookmarkStart w:id="169" w:name="_Toc30307"/>
      <w:bookmarkStart w:id="170" w:name="_Toc16233"/>
      <w:bookmarkStart w:id="171" w:name="_Toc16698"/>
      <w:bookmarkStart w:id="172" w:name="_Toc13458"/>
      <w:bookmarkStart w:id="173" w:name="_Toc9592"/>
      <w:r>
        <w:rPr>
          <w:rFonts w:hint="eastAsia" w:ascii="宋体" w:hAnsi="宋体" w:eastAsia="宋体" w:cs="宋体"/>
          <w:color w:val="auto"/>
          <w:sz w:val="28"/>
          <w:szCs w:val="28"/>
          <w:highlight w:val="none"/>
        </w:rPr>
        <w:t>相关资质证明文件</w:t>
      </w:r>
      <w:bookmarkEnd w:id="160"/>
      <w:bookmarkEnd w:id="169"/>
      <w:bookmarkEnd w:id="170"/>
      <w:bookmarkEnd w:id="171"/>
      <w:bookmarkEnd w:id="172"/>
      <w:bookmarkEnd w:id="173"/>
    </w:p>
    <w:p w14:paraId="14707B22">
      <w:pPr>
        <w:numPr>
          <w:ilvl w:val="0"/>
          <w:numId w:val="13"/>
        </w:numPr>
        <w:tabs>
          <w:tab w:val="left" w:pos="1680"/>
        </w:tabs>
        <w:jc w:val="both"/>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符合投标邀请书“投标人资格要求”其他要求对应的证明文件；</w:t>
      </w:r>
    </w:p>
    <w:p w14:paraId="1F0958EC">
      <w:pPr>
        <w:numPr>
          <w:ilvl w:val="0"/>
          <w:numId w:val="13"/>
        </w:numPr>
        <w:tabs>
          <w:tab w:val="left" w:pos="1680"/>
        </w:tabs>
        <w:jc w:val="both"/>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投标人认为必要的文件。</w:t>
      </w:r>
      <w:r>
        <w:rPr>
          <w:rFonts w:hint="eastAsia" w:ascii="宋体" w:hAnsi="宋体" w:eastAsia="宋体" w:cs="宋体"/>
          <w:b/>
          <w:bCs/>
          <w:color w:val="auto"/>
          <w:szCs w:val="21"/>
          <w:highlight w:val="none"/>
        </w:rPr>
        <w:br w:type="page"/>
      </w:r>
    </w:p>
    <w:p w14:paraId="79E57D41">
      <w:pPr>
        <w:pStyle w:val="5"/>
        <w:widowControl w:val="0"/>
        <w:overflowPunct w:val="0"/>
        <w:spacing w:line="240" w:lineRule="auto"/>
        <w:rPr>
          <w:rFonts w:hint="eastAsia" w:ascii="宋体" w:hAnsi="宋体" w:eastAsia="宋体" w:cs="宋体"/>
          <w:color w:val="auto"/>
          <w:highlight w:val="none"/>
        </w:rPr>
      </w:pPr>
      <w:bookmarkStart w:id="174" w:name="_Toc31163"/>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.在经营活动中没有重大违法记录的书面声明格式</w:t>
      </w:r>
      <w:bookmarkEnd w:id="174"/>
    </w:p>
    <w:p w14:paraId="7588DBE4">
      <w:pPr>
        <w:rPr>
          <w:rFonts w:hint="eastAsia" w:ascii="宋体" w:hAnsi="宋体" w:eastAsia="宋体" w:cs="宋体"/>
          <w:color w:val="auto"/>
          <w:highlight w:val="none"/>
        </w:rPr>
      </w:pPr>
    </w:p>
    <w:p w14:paraId="34CA4D71">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投标人在经营活动中前三年内未有重大违法记录、没有不良信用记录的声明函</w:t>
      </w:r>
    </w:p>
    <w:p w14:paraId="0659C0D8">
      <w:pPr>
        <w:ind w:firstLine="420" w:firstLineChars="200"/>
        <w:rPr>
          <w:rFonts w:hint="eastAsia" w:ascii="宋体" w:hAnsi="宋体" w:eastAsia="宋体" w:cs="宋体"/>
          <w:color w:val="auto"/>
          <w:szCs w:val="21"/>
          <w:highlight w:val="none"/>
        </w:rPr>
      </w:pPr>
    </w:p>
    <w:p w14:paraId="02357539">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xxxxxx公司</w:t>
      </w:r>
      <w:r>
        <w:rPr>
          <w:rFonts w:hint="eastAsia" w:ascii="宋体" w:hAnsi="宋体" w:eastAsia="宋体" w:cs="宋体"/>
          <w:color w:val="auto"/>
          <w:sz w:val="21"/>
          <w:szCs w:val="21"/>
          <w:highlight w:val="none"/>
        </w:rPr>
        <w:t>（采购人）</w:t>
      </w:r>
      <w:r>
        <w:rPr>
          <w:rFonts w:hint="eastAsia" w:ascii="宋体" w:hAnsi="宋体" w:eastAsia="宋体" w:cs="宋体"/>
          <w:color w:val="auto"/>
          <w:szCs w:val="21"/>
          <w:highlight w:val="none"/>
        </w:rPr>
        <w:t>：</w:t>
      </w:r>
    </w:p>
    <w:p w14:paraId="2D134F0F">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我公司郑重承诺：在参加“</w:t>
      </w:r>
      <w:r>
        <w:rPr>
          <w:rFonts w:hint="eastAsia" w:ascii="宋体" w:hAnsi="宋体" w:eastAsia="宋体" w:cs="宋体"/>
          <w:color w:val="auto"/>
          <w:szCs w:val="21"/>
          <w:highlight w:val="none"/>
          <w:u w:val="single"/>
        </w:rPr>
        <w:t xml:space="preserve">       （采购项目名称）</w:t>
      </w:r>
      <w:r>
        <w:rPr>
          <w:rFonts w:hint="eastAsia" w:ascii="宋体" w:hAnsi="宋体" w:eastAsia="宋体" w:cs="宋体"/>
          <w:color w:val="auto"/>
          <w:szCs w:val="21"/>
          <w:highlight w:val="none"/>
        </w:rPr>
        <w:t>” （项目编号:</w:t>
      </w:r>
      <w:r>
        <w:rPr>
          <w:rFonts w:hint="eastAsia" w:ascii="宋体" w:hAnsi="宋体" w:eastAsia="宋体" w:cs="宋体"/>
          <w:color w:val="auto"/>
          <w:szCs w:val="21"/>
          <w:highlight w:val="none"/>
          <w:lang w:val="en-US" w:eastAsia="zh-CN"/>
        </w:rPr>
        <w:t>XX</w:t>
      </w:r>
      <w:r>
        <w:rPr>
          <w:rFonts w:hint="eastAsia" w:ascii="宋体" w:hAnsi="宋体" w:eastAsia="宋体" w:cs="宋体"/>
          <w:color w:val="auto"/>
          <w:szCs w:val="21"/>
          <w:highlight w:val="none"/>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72DECD3D">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我公司以上承诺均为真实有效，绝无任何虚假、伪造的成份，否则，愿承担相应的后果和法律责任。</w:t>
      </w:r>
    </w:p>
    <w:p w14:paraId="1198C90C">
      <w:pPr>
        <w:ind w:firstLine="420" w:firstLineChars="200"/>
        <w:rPr>
          <w:rFonts w:hint="eastAsia" w:ascii="宋体" w:hAnsi="宋体" w:eastAsia="宋体" w:cs="宋体"/>
          <w:color w:val="auto"/>
          <w:szCs w:val="21"/>
          <w:highlight w:val="none"/>
        </w:rPr>
      </w:pPr>
    </w:p>
    <w:p w14:paraId="2B877580">
      <w:pPr>
        <w:rPr>
          <w:rFonts w:hint="eastAsia" w:ascii="宋体" w:hAnsi="宋体" w:eastAsia="宋体" w:cs="宋体"/>
          <w:color w:val="auto"/>
          <w:szCs w:val="21"/>
          <w:highlight w:val="none"/>
        </w:rPr>
      </w:pPr>
    </w:p>
    <w:p w14:paraId="5C2119D4">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投标人名称（盖章）：</w:t>
      </w:r>
    </w:p>
    <w:p w14:paraId="137ED3F0">
      <w:pPr>
        <w:rPr>
          <w:rFonts w:hint="eastAsia" w:ascii="宋体" w:hAnsi="宋体" w:eastAsia="宋体" w:cs="宋体"/>
          <w:color w:val="auto"/>
          <w:szCs w:val="21"/>
          <w:highlight w:val="none"/>
        </w:rPr>
      </w:pPr>
    </w:p>
    <w:p w14:paraId="4AC625A0">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w:t>
      </w:r>
    </w:p>
    <w:p w14:paraId="349834F5">
      <w:pPr>
        <w:rPr>
          <w:rFonts w:hint="eastAsia" w:ascii="宋体" w:hAnsi="宋体" w:eastAsia="宋体" w:cs="宋体"/>
          <w:color w:val="auto"/>
          <w:highlight w:val="none"/>
        </w:rPr>
      </w:pPr>
    </w:p>
    <w:p w14:paraId="7FA8F422">
      <w:pPr>
        <w:rPr>
          <w:rFonts w:hint="eastAsia" w:ascii="宋体" w:hAnsi="宋体" w:eastAsia="宋体" w:cs="宋体"/>
          <w:color w:val="auto"/>
          <w:szCs w:val="21"/>
          <w:highlight w:val="none"/>
        </w:rPr>
      </w:pPr>
    </w:p>
    <w:p w14:paraId="7A126EF3">
      <w:pPr>
        <w:pStyle w:val="9"/>
        <w:rPr>
          <w:rFonts w:hint="eastAsia" w:ascii="宋体" w:hAnsi="宋体" w:eastAsia="宋体" w:cs="宋体"/>
          <w:color w:val="auto"/>
          <w:sz w:val="21"/>
          <w:szCs w:val="21"/>
          <w:highlight w:val="none"/>
        </w:rPr>
      </w:pPr>
    </w:p>
    <w:p w14:paraId="07FF507D">
      <w:pPr>
        <w:rPr>
          <w:rFonts w:hint="eastAsia" w:ascii="宋体" w:hAnsi="宋体" w:eastAsia="宋体" w:cs="宋体"/>
          <w:color w:val="auto"/>
          <w:szCs w:val="21"/>
          <w:highlight w:val="none"/>
        </w:rPr>
      </w:pPr>
    </w:p>
    <w:p w14:paraId="19B8E07F">
      <w:pPr>
        <w:pStyle w:val="9"/>
        <w:rPr>
          <w:rFonts w:hint="eastAsia" w:ascii="宋体" w:hAnsi="宋体" w:eastAsia="宋体" w:cs="宋体"/>
          <w:color w:val="auto"/>
          <w:sz w:val="21"/>
          <w:szCs w:val="21"/>
          <w:highlight w:val="none"/>
        </w:rPr>
      </w:pPr>
    </w:p>
    <w:p w14:paraId="7505A14A">
      <w:pPr>
        <w:rPr>
          <w:rFonts w:hint="eastAsia" w:ascii="宋体" w:hAnsi="宋体" w:eastAsia="宋体" w:cs="宋体"/>
          <w:color w:val="auto"/>
          <w:szCs w:val="21"/>
          <w:highlight w:val="none"/>
        </w:rPr>
      </w:pPr>
    </w:p>
    <w:p w14:paraId="5BB66E11">
      <w:pPr>
        <w:pStyle w:val="9"/>
        <w:rPr>
          <w:rFonts w:hint="eastAsia" w:ascii="宋体" w:hAnsi="宋体" w:eastAsia="宋体" w:cs="宋体"/>
          <w:color w:val="auto"/>
          <w:sz w:val="21"/>
          <w:szCs w:val="21"/>
          <w:highlight w:val="none"/>
        </w:rPr>
      </w:pPr>
    </w:p>
    <w:p w14:paraId="4995E8CC">
      <w:pPr>
        <w:rPr>
          <w:rFonts w:hint="eastAsia" w:ascii="宋体" w:hAnsi="宋体" w:eastAsia="宋体" w:cs="宋体"/>
          <w:color w:val="auto"/>
          <w:szCs w:val="21"/>
          <w:highlight w:val="none"/>
        </w:rPr>
      </w:pPr>
    </w:p>
    <w:p w14:paraId="4EFA94C6">
      <w:pPr>
        <w:pStyle w:val="9"/>
        <w:rPr>
          <w:rFonts w:hint="eastAsia" w:ascii="宋体" w:hAnsi="宋体" w:eastAsia="宋体" w:cs="宋体"/>
          <w:color w:val="auto"/>
          <w:sz w:val="21"/>
          <w:szCs w:val="21"/>
          <w:highlight w:val="none"/>
        </w:rPr>
      </w:pPr>
    </w:p>
    <w:p w14:paraId="6E019A87">
      <w:pPr>
        <w:rPr>
          <w:rFonts w:hint="eastAsia" w:ascii="宋体" w:hAnsi="宋体" w:eastAsia="宋体" w:cs="宋体"/>
          <w:color w:val="auto"/>
          <w:szCs w:val="21"/>
          <w:highlight w:val="none"/>
        </w:rPr>
      </w:pPr>
    </w:p>
    <w:p w14:paraId="75E1EE5B">
      <w:pPr>
        <w:pStyle w:val="9"/>
        <w:rPr>
          <w:rFonts w:hint="eastAsia" w:ascii="宋体" w:hAnsi="宋体" w:eastAsia="宋体" w:cs="宋体"/>
          <w:color w:val="auto"/>
          <w:sz w:val="21"/>
          <w:szCs w:val="21"/>
          <w:highlight w:val="none"/>
        </w:rPr>
      </w:pPr>
    </w:p>
    <w:p w14:paraId="01A0A0FE">
      <w:pPr>
        <w:rPr>
          <w:rFonts w:hint="eastAsia" w:ascii="宋体" w:hAnsi="宋体" w:eastAsia="宋体" w:cs="宋体"/>
          <w:color w:val="auto"/>
          <w:highlight w:val="none"/>
        </w:rPr>
      </w:pPr>
    </w:p>
    <w:p w14:paraId="289BB7A0">
      <w:pPr>
        <w:pStyle w:val="5"/>
        <w:widowControl w:val="0"/>
        <w:overflowPunct w:val="0"/>
        <w:spacing w:line="240" w:lineRule="auto"/>
        <w:rPr>
          <w:rFonts w:hint="eastAsia" w:ascii="宋体" w:hAnsi="宋体" w:eastAsia="宋体" w:cs="宋体"/>
          <w:color w:val="auto"/>
          <w:highlight w:val="none"/>
        </w:rPr>
      </w:pPr>
      <w:bookmarkStart w:id="175" w:name="_Toc28558"/>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.承诺书格式</w:t>
      </w:r>
      <w:bookmarkEnd w:id="175"/>
    </w:p>
    <w:p w14:paraId="27CC0F3E">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承诺书</w:t>
      </w:r>
    </w:p>
    <w:p w14:paraId="1BCE7955">
      <w:pPr>
        <w:pStyle w:val="47"/>
        <w:spacing w:line="420" w:lineRule="atLeas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致xxx公司（采购人）：</w:t>
      </w:r>
    </w:p>
    <w:p w14:paraId="2DDDEF17">
      <w:pPr>
        <w:jc w:val="center"/>
        <w:rPr>
          <w:rFonts w:hint="eastAsia" w:ascii="宋体" w:hAnsi="宋体" w:eastAsia="宋体" w:cs="宋体"/>
          <w:color w:val="auto"/>
          <w:szCs w:val="21"/>
          <w:highlight w:val="none"/>
        </w:rPr>
      </w:pPr>
    </w:p>
    <w:p w14:paraId="7080C4CB">
      <w:pPr>
        <w:pStyle w:val="47"/>
        <w:spacing w:line="420" w:lineRule="exac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我方已完整阅读了</w:t>
      </w:r>
      <w:r>
        <w:rPr>
          <w:rFonts w:hint="eastAsia" w:ascii="宋体" w:hAnsi="宋体" w:eastAsia="宋体" w:cs="宋体"/>
          <w:color w:val="auto"/>
          <w:sz w:val="21"/>
          <w:szCs w:val="21"/>
          <w:highlight w:val="none"/>
          <w:u w:val="single"/>
        </w:rPr>
        <w:t xml:space="preserve">  （项目名称）     </w:t>
      </w:r>
      <w:r>
        <w:rPr>
          <w:rFonts w:hint="eastAsia" w:ascii="宋体" w:hAnsi="宋体" w:eastAsia="宋体" w:cs="宋体"/>
          <w:color w:val="auto"/>
          <w:sz w:val="21"/>
          <w:szCs w:val="21"/>
          <w:highlight w:val="none"/>
        </w:rPr>
        <w:t>项目（项目编号：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hAnsi="宋体" w:eastAsia="宋体" w:cs="宋体"/>
          <w:color w:val="auto"/>
          <w:sz w:val="21"/>
          <w:szCs w:val="21"/>
          <w:highlight w:val="none"/>
        </w:rPr>
        <w:cr/>
      </w:r>
    </w:p>
    <w:p w14:paraId="6D81D3FA">
      <w:pPr>
        <w:pStyle w:val="47"/>
        <w:spacing w:line="420" w:lineRule="exact"/>
        <w:ind w:firstLine="433"/>
        <w:rPr>
          <w:rFonts w:hint="eastAsia" w:ascii="宋体" w:hAnsi="宋体" w:eastAsia="宋体" w:cs="宋体"/>
          <w:color w:val="auto"/>
          <w:sz w:val="21"/>
          <w:szCs w:val="21"/>
          <w:highlight w:val="none"/>
        </w:rPr>
      </w:pPr>
    </w:p>
    <w:p w14:paraId="602374FA">
      <w:pPr>
        <w:ind w:right="561"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投标人名称（加盖公章）：</w:t>
      </w:r>
    </w:p>
    <w:p w14:paraId="23E9C37F">
      <w:pPr>
        <w:ind w:right="561"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法定代表人或被授权人（签名或盖私章）：</w:t>
      </w:r>
    </w:p>
    <w:p w14:paraId="7419AEBD">
      <w:pPr>
        <w:ind w:right="561"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      期：</w:t>
      </w:r>
    </w:p>
    <w:p w14:paraId="0D85084D">
      <w:pPr>
        <w:rPr>
          <w:rFonts w:hint="eastAsia" w:ascii="宋体" w:hAnsi="宋体" w:eastAsia="宋体" w:cs="宋体"/>
          <w:color w:val="auto"/>
          <w:highlight w:val="none"/>
        </w:rPr>
      </w:pPr>
    </w:p>
    <w:p w14:paraId="2C5DB547">
      <w:pPr>
        <w:rPr>
          <w:rFonts w:hint="eastAsia" w:ascii="宋体" w:hAnsi="宋体" w:eastAsia="宋体" w:cs="宋体"/>
          <w:color w:val="auto"/>
          <w:szCs w:val="21"/>
          <w:highlight w:val="none"/>
        </w:rPr>
      </w:pPr>
    </w:p>
    <w:p w14:paraId="154DFF7C">
      <w:pPr>
        <w:pStyle w:val="9"/>
        <w:rPr>
          <w:rFonts w:hint="eastAsia" w:ascii="宋体" w:hAnsi="宋体" w:eastAsia="宋体" w:cs="宋体"/>
          <w:color w:val="auto"/>
          <w:sz w:val="21"/>
          <w:szCs w:val="21"/>
          <w:highlight w:val="none"/>
        </w:rPr>
      </w:pPr>
    </w:p>
    <w:p w14:paraId="35B3E141">
      <w:pPr>
        <w:rPr>
          <w:rFonts w:hint="eastAsia" w:ascii="宋体" w:hAnsi="宋体" w:eastAsia="宋体" w:cs="宋体"/>
          <w:color w:val="auto"/>
          <w:szCs w:val="21"/>
          <w:highlight w:val="none"/>
        </w:rPr>
      </w:pPr>
    </w:p>
    <w:p w14:paraId="71A552F7">
      <w:pPr>
        <w:pStyle w:val="9"/>
        <w:rPr>
          <w:rFonts w:hint="eastAsia" w:ascii="宋体" w:hAnsi="宋体" w:eastAsia="宋体" w:cs="宋体"/>
          <w:color w:val="auto"/>
          <w:sz w:val="21"/>
          <w:szCs w:val="21"/>
          <w:highlight w:val="none"/>
        </w:rPr>
      </w:pPr>
    </w:p>
    <w:p w14:paraId="211262F1">
      <w:pPr>
        <w:rPr>
          <w:rFonts w:hint="eastAsia" w:ascii="宋体" w:hAnsi="宋体" w:eastAsia="宋体" w:cs="宋体"/>
          <w:color w:val="auto"/>
          <w:szCs w:val="21"/>
          <w:highlight w:val="none"/>
        </w:rPr>
      </w:pPr>
    </w:p>
    <w:p w14:paraId="3952CCDA">
      <w:pPr>
        <w:pStyle w:val="9"/>
        <w:rPr>
          <w:rFonts w:hint="eastAsia" w:ascii="宋体" w:hAnsi="宋体" w:eastAsia="宋体" w:cs="宋体"/>
          <w:color w:val="auto"/>
          <w:sz w:val="21"/>
          <w:szCs w:val="21"/>
          <w:highlight w:val="none"/>
        </w:rPr>
      </w:pPr>
    </w:p>
    <w:p w14:paraId="02D25FD1">
      <w:pPr>
        <w:rPr>
          <w:rFonts w:hint="eastAsia" w:ascii="宋体" w:hAnsi="宋体" w:eastAsia="宋体" w:cs="宋体"/>
          <w:color w:val="auto"/>
          <w:szCs w:val="21"/>
          <w:highlight w:val="none"/>
        </w:rPr>
      </w:pPr>
    </w:p>
    <w:p w14:paraId="4D8DAC49">
      <w:pPr>
        <w:pStyle w:val="9"/>
        <w:rPr>
          <w:rFonts w:hint="eastAsia" w:ascii="宋体" w:hAnsi="宋体" w:eastAsia="宋体" w:cs="宋体"/>
          <w:color w:val="auto"/>
          <w:sz w:val="21"/>
          <w:szCs w:val="21"/>
          <w:highlight w:val="none"/>
        </w:rPr>
      </w:pPr>
    </w:p>
    <w:p w14:paraId="48E5D222">
      <w:pPr>
        <w:rPr>
          <w:rFonts w:hint="eastAsia" w:ascii="宋体" w:hAnsi="宋体" w:eastAsia="宋体" w:cs="宋体"/>
          <w:color w:val="auto"/>
          <w:szCs w:val="21"/>
          <w:highlight w:val="none"/>
        </w:rPr>
      </w:pPr>
    </w:p>
    <w:p w14:paraId="73E0BA4D">
      <w:pPr>
        <w:pStyle w:val="9"/>
        <w:rPr>
          <w:rFonts w:hint="eastAsia" w:ascii="宋体" w:hAnsi="宋体" w:eastAsia="宋体" w:cs="宋体"/>
          <w:color w:val="auto"/>
          <w:sz w:val="21"/>
          <w:szCs w:val="21"/>
          <w:highlight w:val="none"/>
        </w:rPr>
      </w:pPr>
    </w:p>
    <w:p w14:paraId="318E93BC">
      <w:pPr>
        <w:rPr>
          <w:rFonts w:hint="eastAsia" w:ascii="宋体" w:hAnsi="宋体" w:eastAsia="宋体" w:cs="宋体"/>
          <w:color w:val="auto"/>
          <w:szCs w:val="21"/>
          <w:highlight w:val="none"/>
        </w:rPr>
      </w:pPr>
    </w:p>
    <w:p w14:paraId="5B797CD1">
      <w:pPr>
        <w:pStyle w:val="9"/>
        <w:rPr>
          <w:rFonts w:hint="eastAsia" w:ascii="宋体" w:hAnsi="宋体" w:eastAsia="宋体" w:cs="宋体"/>
          <w:color w:val="auto"/>
          <w:sz w:val="21"/>
          <w:szCs w:val="21"/>
          <w:highlight w:val="none"/>
        </w:rPr>
      </w:pPr>
    </w:p>
    <w:p w14:paraId="5CFEC766">
      <w:pPr>
        <w:rPr>
          <w:rFonts w:hint="eastAsia" w:ascii="宋体" w:hAnsi="宋体" w:eastAsia="宋体" w:cs="宋体"/>
          <w:color w:val="auto"/>
          <w:szCs w:val="21"/>
          <w:highlight w:val="none"/>
        </w:rPr>
      </w:pPr>
    </w:p>
    <w:p w14:paraId="3815FA5A">
      <w:pPr>
        <w:pStyle w:val="9"/>
        <w:rPr>
          <w:rFonts w:hint="eastAsia" w:ascii="宋体" w:hAnsi="宋体" w:eastAsia="宋体" w:cs="宋体"/>
          <w:color w:val="auto"/>
          <w:sz w:val="21"/>
          <w:szCs w:val="21"/>
          <w:highlight w:val="none"/>
        </w:rPr>
      </w:pPr>
    </w:p>
    <w:p w14:paraId="011326D4">
      <w:pPr>
        <w:rPr>
          <w:rFonts w:hint="eastAsia" w:ascii="宋体" w:hAnsi="宋体" w:eastAsia="宋体" w:cs="宋体"/>
          <w:color w:val="auto"/>
          <w:szCs w:val="21"/>
          <w:highlight w:val="none"/>
        </w:rPr>
      </w:pPr>
    </w:p>
    <w:p w14:paraId="7AE45482">
      <w:pPr>
        <w:pStyle w:val="9"/>
        <w:rPr>
          <w:rFonts w:hint="eastAsia" w:ascii="宋体" w:hAnsi="宋体" w:eastAsia="宋体" w:cs="宋体"/>
          <w:color w:val="auto"/>
          <w:sz w:val="21"/>
          <w:szCs w:val="21"/>
          <w:highlight w:val="none"/>
        </w:rPr>
      </w:pPr>
    </w:p>
    <w:p w14:paraId="126DC2B1">
      <w:pPr>
        <w:rPr>
          <w:rFonts w:hint="eastAsia" w:ascii="宋体" w:hAnsi="宋体" w:eastAsia="宋体" w:cs="宋体"/>
          <w:color w:val="auto"/>
          <w:highlight w:val="none"/>
        </w:rPr>
      </w:pPr>
    </w:p>
    <w:p w14:paraId="477F9684">
      <w:pPr>
        <w:rPr>
          <w:rFonts w:hint="eastAsia"/>
          <w:color w:val="auto"/>
          <w:highlight w:val="none"/>
          <w:lang w:val="en-US" w:eastAsia="zh-CN"/>
        </w:rPr>
      </w:pPr>
      <w:r>
        <w:rPr>
          <w:rFonts w:hint="eastAsia" w:ascii="宋体" w:hAnsi="宋体" w:eastAsia="宋体" w:cs="宋体"/>
          <w:color w:val="auto"/>
          <w:sz w:val="21"/>
          <w:szCs w:val="21"/>
          <w:highlight w:val="none"/>
        </w:rPr>
        <w:br w:type="page"/>
      </w:r>
    </w:p>
    <w:p w14:paraId="5A760B8C">
      <w:pPr>
        <w:pStyle w:val="5"/>
        <w:widowControl w:val="0"/>
        <w:overflowPunct w:val="0"/>
        <w:spacing w:line="240" w:lineRule="auto"/>
        <w:rPr>
          <w:rFonts w:hint="eastAsia" w:ascii="宋体" w:hAnsi="宋体" w:eastAsia="宋体" w:cs="宋体"/>
          <w:color w:val="auto"/>
          <w:sz w:val="21"/>
          <w:szCs w:val="21"/>
          <w:highlight w:val="none"/>
        </w:rPr>
      </w:pPr>
      <w:bookmarkStart w:id="176" w:name="_Toc31513"/>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.商务需求条款偏离表格式</w:t>
      </w:r>
      <w:bookmarkEnd w:id="176"/>
    </w:p>
    <w:p w14:paraId="496B1D29">
      <w:pPr>
        <w:jc w:val="center"/>
        <w:rPr>
          <w:rFonts w:hint="eastAsia" w:ascii="宋体" w:hAnsi="宋体" w:eastAsia="宋体" w:cs="宋体"/>
          <w:color w:val="auto"/>
          <w:sz w:val="28"/>
          <w:szCs w:val="28"/>
          <w:highlight w:val="none"/>
        </w:rPr>
      </w:pPr>
    </w:p>
    <w:p w14:paraId="2A1A22CD">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商务需求条款偏离表</w:t>
      </w:r>
    </w:p>
    <w:tbl>
      <w:tblPr>
        <w:tblStyle w:val="30"/>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275F7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41751321">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1620" w:type="dxa"/>
            <w:vAlign w:val="center"/>
          </w:tcPr>
          <w:p w14:paraId="50E37E21">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服务项目名称</w:t>
            </w:r>
          </w:p>
        </w:tc>
        <w:tc>
          <w:tcPr>
            <w:tcW w:w="1360" w:type="dxa"/>
            <w:vAlign w:val="center"/>
          </w:tcPr>
          <w:p w14:paraId="166DA76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采购要求</w:t>
            </w:r>
          </w:p>
        </w:tc>
        <w:tc>
          <w:tcPr>
            <w:tcW w:w="1587" w:type="dxa"/>
            <w:vAlign w:val="center"/>
          </w:tcPr>
          <w:p w14:paraId="657529DD">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投标实际响应</w:t>
            </w:r>
          </w:p>
        </w:tc>
        <w:tc>
          <w:tcPr>
            <w:tcW w:w="1133" w:type="dxa"/>
            <w:vAlign w:val="center"/>
          </w:tcPr>
          <w:p w14:paraId="76B28C70">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是否偏离</w:t>
            </w:r>
          </w:p>
        </w:tc>
        <w:tc>
          <w:tcPr>
            <w:tcW w:w="1730" w:type="dxa"/>
            <w:vAlign w:val="center"/>
          </w:tcPr>
          <w:p w14:paraId="4109B2C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说明</w:t>
            </w:r>
          </w:p>
        </w:tc>
      </w:tr>
      <w:tr w14:paraId="0DB50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BD71B52">
            <w:pPr>
              <w:jc w:val="center"/>
              <w:rPr>
                <w:rFonts w:hint="eastAsia" w:ascii="宋体" w:hAnsi="宋体" w:eastAsia="宋体" w:cs="宋体"/>
                <w:color w:val="auto"/>
                <w:szCs w:val="21"/>
                <w:highlight w:val="none"/>
              </w:rPr>
            </w:pPr>
          </w:p>
        </w:tc>
        <w:tc>
          <w:tcPr>
            <w:tcW w:w="1620" w:type="dxa"/>
            <w:vAlign w:val="center"/>
          </w:tcPr>
          <w:p w14:paraId="2ABFBD85">
            <w:pPr>
              <w:jc w:val="center"/>
              <w:rPr>
                <w:rFonts w:hint="eastAsia" w:ascii="宋体" w:hAnsi="宋体" w:eastAsia="宋体" w:cs="宋体"/>
                <w:color w:val="auto"/>
                <w:szCs w:val="21"/>
                <w:highlight w:val="none"/>
              </w:rPr>
            </w:pPr>
          </w:p>
        </w:tc>
        <w:tc>
          <w:tcPr>
            <w:tcW w:w="1360" w:type="dxa"/>
            <w:vAlign w:val="center"/>
          </w:tcPr>
          <w:p w14:paraId="538E468E">
            <w:pPr>
              <w:jc w:val="center"/>
              <w:rPr>
                <w:rFonts w:hint="eastAsia" w:ascii="宋体" w:hAnsi="宋体" w:eastAsia="宋体" w:cs="宋体"/>
                <w:color w:val="auto"/>
                <w:szCs w:val="21"/>
                <w:highlight w:val="none"/>
              </w:rPr>
            </w:pPr>
          </w:p>
        </w:tc>
        <w:tc>
          <w:tcPr>
            <w:tcW w:w="1587" w:type="dxa"/>
            <w:vAlign w:val="center"/>
          </w:tcPr>
          <w:p w14:paraId="3C7495EF">
            <w:pPr>
              <w:jc w:val="center"/>
              <w:rPr>
                <w:rFonts w:hint="eastAsia" w:ascii="宋体" w:hAnsi="宋体" w:eastAsia="宋体" w:cs="宋体"/>
                <w:color w:val="auto"/>
                <w:szCs w:val="21"/>
                <w:highlight w:val="none"/>
              </w:rPr>
            </w:pPr>
          </w:p>
        </w:tc>
        <w:tc>
          <w:tcPr>
            <w:tcW w:w="1133" w:type="dxa"/>
            <w:vAlign w:val="center"/>
          </w:tcPr>
          <w:p w14:paraId="4A350F56">
            <w:pPr>
              <w:jc w:val="center"/>
              <w:rPr>
                <w:rFonts w:hint="eastAsia" w:ascii="宋体" w:hAnsi="宋体" w:eastAsia="宋体" w:cs="宋体"/>
                <w:color w:val="auto"/>
                <w:szCs w:val="21"/>
                <w:highlight w:val="none"/>
              </w:rPr>
            </w:pPr>
          </w:p>
        </w:tc>
        <w:tc>
          <w:tcPr>
            <w:tcW w:w="1730" w:type="dxa"/>
            <w:vAlign w:val="center"/>
          </w:tcPr>
          <w:p w14:paraId="569E137A">
            <w:pPr>
              <w:jc w:val="center"/>
              <w:rPr>
                <w:rFonts w:hint="eastAsia" w:ascii="宋体" w:hAnsi="宋体" w:eastAsia="宋体" w:cs="宋体"/>
                <w:color w:val="auto"/>
                <w:szCs w:val="21"/>
                <w:highlight w:val="none"/>
              </w:rPr>
            </w:pPr>
          </w:p>
        </w:tc>
      </w:tr>
      <w:tr w14:paraId="350FE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448D754">
            <w:pPr>
              <w:jc w:val="center"/>
              <w:rPr>
                <w:rFonts w:hint="eastAsia" w:ascii="宋体" w:hAnsi="宋体" w:eastAsia="宋体" w:cs="宋体"/>
                <w:color w:val="auto"/>
                <w:szCs w:val="21"/>
                <w:highlight w:val="none"/>
              </w:rPr>
            </w:pPr>
          </w:p>
        </w:tc>
        <w:tc>
          <w:tcPr>
            <w:tcW w:w="1620" w:type="dxa"/>
            <w:vAlign w:val="center"/>
          </w:tcPr>
          <w:p w14:paraId="60F6B0E7">
            <w:pPr>
              <w:jc w:val="center"/>
              <w:rPr>
                <w:rFonts w:hint="eastAsia" w:ascii="宋体" w:hAnsi="宋体" w:eastAsia="宋体" w:cs="宋体"/>
                <w:color w:val="auto"/>
                <w:szCs w:val="21"/>
                <w:highlight w:val="none"/>
              </w:rPr>
            </w:pPr>
          </w:p>
        </w:tc>
        <w:tc>
          <w:tcPr>
            <w:tcW w:w="1360" w:type="dxa"/>
            <w:vAlign w:val="center"/>
          </w:tcPr>
          <w:p w14:paraId="3EB18001">
            <w:pPr>
              <w:jc w:val="center"/>
              <w:rPr>
                <w:rFonts w:hint="eastAsia" w:ascii="宋体" w:hAnsi="宋体" w:eastAsia="宋体" w:cs="宋体"/>
                <w:color w:val="auto"/>
                <w:szCs w:val="21"/>
                <w:highlight w:val="none"/>
              </w:rPr>
            </w:pPr>
          </w:p>
        </w:tc>
        <w:tc>
          <w:tcPr>
            <w:tcW w:w="1587" w:type="dxa"/>
            <w:vAlign w:val="center"/>
          </w:tcPr>
          <w:p w14:paraId="07F0AE32">
            <w:pPr>
              <w:jc w:val="center"/>
              <w:rPr>
                <w:rFonts w:hint="eastAsia" w:ascii="宋体" w:hAnsi="宋体" w:eastAsia="宋体" w:cs="宋体"/>
                <w:color w:val="auto"/>
                <w:szCs w:val="21"/>
                <w:highlight w:val="none"/>
              </w:rPr>
            </w:pPr>
          </w:p>
        </w:tc>
        <w:tc>
          <w:tcPr>
            <w:tcW w:w="1133" w:type="dxa"/>
            <w:vAlign w:val="center"/>
          </w:tcPr>
          <w:p w14:paraId="0F977F83">
            <w:pPr>
              <w:jc w:val="center"/>
              <w:rPr>
                <w:rFonts w:hint="eastAsia" w:ascii="宋体" w:hAnsi="宋体" w:eastAsia="宋体" w:cs="宋体"/>
                <w:color w:val="auto"/>
                <w:szCs w:val="21"/>
                <w:highlight w:val="none"/>
              </w:rPr>
            </w:pPr>
          </w:p>
        </w:tc>
        <w:tc>
          <w:tcPr>
            <w:tcW w:w="1730" w:type="dxa"/>
            <w:vAlign w:val="center"/>
          </w:tcPr>
          <w:p w14:paraId="19BDCADF">
            <w:pPr>
              <w:jc w:val="center"/>
              <w:rPr>
                <w:rFonts w:hint="eastAsia" w:ascii="宋体" w:hAnsi="宋体" w:eastAsia="宋体" w:cs="宋体"/>
                <w:color w:val="auto"/>
                <w:szCs w:val="21"/>
                <w:highlight w:val="none"/>
              </w:rPr>
            </w:pPr>
          </w:p>
        </w:tc>
      </w:tr>
      <w:tr w14:paraId="60D35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77C473B">
            <w:pPr>
              <w:jc w:val="center"/>
              <w:rPr>
                <w:rFonts w:hint="eastAsia" w:ascii="宋体" w:hAnsi="宋体" w:eastAsia="宋体" w:cs="宋体"/>
                <w:color w:val="auto"/>
                <w:szCs w:val="21"/>
                <w:highlight w:val="none"/>
              </w:rPr>
            </w:pPr>
          </w:p>
        </w:tc>
        <w:tc>
          <w:tcPr>
            <w:tcW w:w="1620" w:type="dxa"/>
            <w:vAlign w:val="center"/>
          </w:tcPr>
          <w:p w14:paraId="2C9CDC11">
            <w:pPr>
              <w:jc w:val="center"/>
              <w:rPr>
                <w:rFonts w:hint="eastAsia" w:ascii="宋体" w:hAnsi="宋体" w:eastAsia="宋体" w:cs="宋体"/>
                <w:color w:val="auto"/>
                <w:szCs w:val="21"/>
                <w:highlight w:val="none"/>
              </w:rPr>
            </w:pPr>
          </w:p>
        </w:tc>
        <w:tc>
          <w:tcPr>
            <w:tcW w:w="1360" w:type="dxa"/>
            <w:vAlign w:val="center"/>
          </w:tcPr>
          <w:p w14:paraId="73FF7B6D">
            <w:pPr>
              <w:jc w:val="center"/>
              <w:rPr>
                <w:rFonts w:hint="eastAsia" w:ascii="宋体" w:hAnsi="宋体" w:eastAsia="宋体" w:cs="宋体"/>
                <w:color w:val="auto"/>
                <w:szCs w:val="21"/>
                <w:highlight w:val="none"/>
              </w:rPr>
            </w:pPr>
          </w:p>
        </w:tc>
        <w:tc>
          <w:tcPr>
            <w:tcW w:w="1587" w:type="dxa"/>
            <w:vAlign w:val="center"/>
          </w:tcPr>
          <w:p w14:paraId="4AA63346">
            <w:pPr>
              <w:jc w:val="center"/>
              <w:rPr>
                <w:rFonts w:hint="eastAsia" w:ascii="宋体" w:hAnsi="宋体" w:eastAsia="宋体" w:cs="宋体"/>
                <w:color w:val="auto"/>
                <w:szCs w:val="21"/>
                <w:highlight w:val="none"/>
              </w:rPr>
            </w:pPr>
          </w:p>
        </w:tc>
        <w:tc>
          <w:tcPr>
            <w:tcW w:w="1133" w:type="dxa"/>
            <w:vAlign w:val="center"/>
          </w:tcPr>
          <w:p w14:paraId="4BE6E37A">
            <w:pPr>
              <w:jc w:val="center"/>
              <w:rPr>
                <w:rFonts w:hint="eastAsia" w:ascii="宋体" w:hAnsi="宋体" w:eastAsia="宋体" w:cs="宋体"/>
                <w:color w:val="auto"/>
                <w:szCs w:val="21"/>
                <w:highlight w:val="none"/>
              </w:rPr>
            </w:pPr>
          </w:p>
        </w:tc>
        <w:tc>
          <w:tcPr>
            <w:tcW w:w="1730" w:type="dxa"/>
            <w:vAlign w:val="center"/>
          </w:tcPr>
          <w:p w14:paraId="0A7B9DB8">
            <w:pPr>
              <w:jc w:val="center"/>
              <w:rPr>
                <w:rFonts w:hint="eastAsia" w:ascii="宋体" w:hAnsi="宋体" w:eastAsia="宋体" w:cs="宋体"/>
                <w:color w:val="auto"/>
                <w:szCs w:val="21"/>
                <w:highlight w:val="none"/>
              </w:rPr>
            </w:pPr>
          </w:p>
        </w:tc>
      </w:tr>
      <w:tr w14:paraId="1DC53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91737FC">
            <w:pPr>
              <w:jc w:val="center"/>
              <w:rPr>
                <w:rFonts w:hint="eastAsia" w:ascii="宋体" w:hAnsi="宋体" w:eastAsia="宋体" w:cs="宋体"/>
                <w:color w:val="auto"/>
                <w:szCs w:val="21"/>
                <w:highlight w:val="none"/>
              </w:rPr>
            </w:pPr>
          </w:p>
        </w:tc>
        <w:tc>
          <w:tcPr>
            <w:tcW w:w="1620" w:type="dxa"/>
            <w:vAlign w:val="center"/>
          </w:tcPr>
          <w:p w14:paraId="0119FEFA">
            <w:pPr>
              <w:jc w:val="center"/>
              <w:rPr>
                <w:rFonts w:hint="eastAsia" w:ascii="宋体" w:hAnsi="宋体" w:eastAsia="宋体" w:cs="宋体"/>
                <w:color w:val="auto"/>
                <w:szCs w:val="21"/>
                <w:highlight w:val="none"/>
              </w:rPr>
            </w:pPr>
          </w:p>
        </w:tc>
        <w:tc>
          <w:tcPr>
            <w:tcW w:w="1360" w:type="dxa"/>
            <w:vAlign w:val="center"/>
          </w:tcPr>
          <w:p w14:paraId="45A5CF64">
            <w:pPr>
              <w:jc w:val="center"/>
              <w:rPr>
                <w:rFonts w:hint="eastAsia" w:ascii="宋体" w:hAnsi="宋体" w:eastAsia="宋体" w:cs="宋体"/>
                <w:color w:val="auto"/>
                <w:szCs w:val="21"/>
                <w:highlight w:val="none"/>
              </w:rPr>
            </w:pPr>
          </w:p>
        </w:tc>
        <w:tc>
          <w:tcPr>
            <w:tcW w:w="1587" w:type="dxa"/>
            <w:vAlign w:val="center"/>
          </w:tcPr>
          <w:p w14:paraId="2CD4000E">
            <w:pPr>
              <w:jc w:val="center"/>
              <w:rPr>
                <w:rFonts w:hint="eastAsia" w:ascii="宋体" w:hAnsi="宋体" w:eastAsia="宋体" w:cs="宋体"/>
                <w:color w:val="auto"/>
                <w:szCs w:val="21"/>
                <w:highlight w:val="none"/>
              </w:rPr>
            </w:pPr>
          </w:p>
        </w:tc>
        <w:tc>
          <w:tcPr>
            <w:tcW w:w="1133" w:type="dxa"/>
            <w:vAlign w:val="center"/>
          </w:tcPr>
          <w:p w14:paraId="3921B005">
            <w:pPr>
              <w:jc w:val="center"/>
              <w:rPr>
                <w:rFonts w:hint="eastAsia" w:ascii="宋体" w:hAnsi="宋体" w:eastAsia="宋体" w:cs="宋体"/>
                <w:color w:val="auto"/>
                <w:szCs w:val="21"/>
                <w:highlight w:val="none"/>
              </w:rPr>
            </w:pPr>
          </w:p>
        </w:tc>
        <w:tc>
          <w:tcPr>
            <w:tcW w:w="1730" w:type="dxa"/>
            <w:vAlign w:val="center"/>
          </w:tcPr>
          <w:p w14:paraId="772D0734">
            <w:pPr>
              <w:jc w:val="center"/>
              <w:rPr>
                <w:rFonts w:hint="eastAsia" w:ascii="宋体" w:hAnsi="宋体" w:eastAsia="宋体" w:cs="宋体"/>
                <w:color w:val="auto"/>
                <w:szCs w:val="21"/>
                <w:highlight w:val="none"/>
              </w:rPr>
            </w:pPr>
          </w:p>
        </w:tc>
      </w:tr>
      <w:tr w14:paraId="61524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A051FAC">
            <w:pPr>
              <w:jc w:val="center"/>
              <w:rPr>
                <w:rFonts w:hint="eastAsia" w:ascii="宋体" w:hAnsi="宋体" w:eastAsia="宋体" w:cs="宋体"/>
                <w:color w:val="auto"/>
                <w:szCs w:val="21"/>
                <w:highlight w:val="none"/>
              </w:rPr>
            </w:pPr>
          </w:p>
        </w:tc>
        <w:tc>
          <w:tcPr>
            <w:tcW w:w="1620" w:type="dxa"/>
            <w:vAlign w:val="center"/>
          </w:tcPr>
          <w:p w14:paraId="11535762">
            <w:pPr>
              <w:jc w:val="center"/>
              <w:rPr>
                <w:rFonts w:hint="eastAsia" w:ascii="宋体" w:hAnsi="宋体" w:eastAsia="宋体" w:cs="宋体"/>
                <w:color w:val="auto"/>
                <w:szCs w:val="21"/>
                <w:highlight w:val="none"/>
              </w:rPr>
            </w:pPr>
          </w:p>
        </w:tc>
        <w:tc>
          <w:tcPr>
            <w:tcW w:w="1360" w:type="dxa"/>
            <w:vAlign w:val="center"/>
          </w:tcPr>
          <w:p w14:paraId="0A756A04">
            <w:pPr>
              <w:jc w:val="center"/>
              <w:rPr>
                <w:rFonts w:hint="eastAsia" w:ascii="宋体" w:hAnsi="宋体" w:eastAsia="宋体" w:cs="宋体"/>
                <w:color w:val="auto"/>
                <w:szCs w:val="21"/>
                <w:highlight w:val="none"/>
              </w:rPr>
            </w:pPr>
          </w:p>
        </w:tc>
        <w:tc>
          <w:tcPr>
            <w:tcW w:w="1587" w:type="dxa"/>
            <w:vAlign w:val="center"/>
          </w:tcPr>
          <w:p w14:paraId="24DB49AB">
            <w:pPr>
              <w:jc w:val="center"/>
              <w:rPr>
                <w:rFonts w:hint="eastAsia" w:ascii="宋体" w:hAnsi="宋体" w:eastAsia="宋体" w:cs="宋体"/>
                <w:color w:val="auto"/>
                <w:szCs w:val="21"/>
                <w:highlight w:val="none"/>
              </w:rPr>
            </w:pPr>
          </w:p>
        </w:tc>
        <w:tc>
          <w:tcPr>
            <w:tcW w:w="1133" w:type="dxa"/>
            <w:vAlign w:val="center"/>
          </w:tcPr>
          <w:p w14:paraId="275EADA9">
            <w:pPr>
              <w:jc w:val="center"/>
              <w:rPr>
                <w:rFonts w:hint="eastAsia" w:ascii="宋体" w:hAnsi="宋体" w:eastAsia="宋体" w:cs="宋体"/>
                <w:color w:val="auto"/>
                <w:szCs w:val="21"/>
                <w:highlight w:val="none"/>
              </w:rPr>
            </w:pPr>
          </w:p>
        </w:tc>
        <w:tc>
          <w:tcPr>
            <w:tcW w:w="1730" w:type="dxa"/>
            <w:vAlign w:val="center"/>
          </w:tcPr>
          <w:p w14:paraId="36F748BC">
            <w:pPr>
              <w:jc w:val="center"/>
              <w:rPr>
                <w:rFonts w:hint="eastAsia" w:ascii="宋体" w:hAnsi="宋体" w:eastAsia="宋体" w:cs="宋体"/>
                <w:color w:val="auto"/>
                <w:szCs w:val="21"/>
                <w:highlight w:val="none"/>
              </w:rPr>
            </w:pPr>
          </w:p>
        </w:tc>
      </w:tr>
      <w:tr w14:paraId="63538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9B5D14F">
            <w:pPr>
              <w:jc w:val="center"/>
              <w:rPr>
                <w:rFonts w:hint="eastAsia" w:ascii="宋体" w:hAnsi="宋体" w:eastAsia="宋体" w:cs="宋体"/>
                <w:color w:val="auto"/>
                <w:szCs w:val="21"/>
                <w:highlight w:val="none"/>
              </w:rPr>
            </w:pPr>
          </w:p>
        </w:tc>
        <w:tc>
          <w:tcPr>
            <w:tcW w:w="1620" w:type="dxa"/>
            <w:vAlign w:val="center"/>
          </w:tcPr>
          <w:p w14:paraId="73AA1410">
            <w:pPr>
              <w:jc w:val="center"/>
              <w:rPr>
                <w:rFonts w:hint="eastAsia" w:ascii="宋体" w:hAnsi="宋体" w:eastAsia="宋体" w:cs="宋体"/>
                <w:color w:val="auto"/>
                <w:szCs w:val="21"/>
                <w:highlight w:val="none"/>
              </w:rPr>
            </w:pPr>
          </w:p>
        </w:tc>
        <w:tc>
          <w:tcPr>
            <w:tcW w:w="1360" w:type="dxa"/>
            <w:vAlign w:val="center"/>
          </w:tcPr>
          <w:p w14:paraId="1CB0FFE2">
            <w:pPr>
              <w:jc w:val="center"/>
              <w:rPr>
                <w:rFonts w:hint="eastAsia" w:ascii="宋体" w:hAnsi="宋体" w:eastAsia="宋体" w:cs="宋体"/>
                <w:color w:val="auto"/>
                <w:szCs w:val="21"/>
                <w:highlight w:val="none"/>
              </w:rPr>
            </w:pPr>
          </w:p>
        </w:tc>
        <w:tc>
          <w:tcPr>
            <w:tcW w:w="1587" w:type="dxa"/>
            <w:vAlign w:val="center"/>
          </w:tcPr>
          <w:p w14:paraId="558D7D2B">
            <w:pPr>
              <w:jc w:val="center"/>
              <w:rPr>
                <w:rFonts w:hint="eastAsia" w:ascii="宋体" w:hAnsi="宋体" w:eastAsia="宋体" w:cs="宋体"/>
                <w:color w:val="auto"/>
                <w:szCs w:val="21"/>
                <w:highlight w:val="none"/>
              </w:rPr>
            </w:pPr>
          </w:p>
        </w:tc>
        <w:tc>
          <w:tcPr>
            <w:tcW w:w="1133" w:type="dxa"/>
            <w:vAlign w:val="center"/>
          </w:tcPr>
          <w:p w14:paraId="34A5E55C">
            <w:pPr>
              <w:jc w:val="center"/>
              <w:rPr>
                <w:rFonts w:hint="eastAsia" w:ascii="宋体" w:hAnsi="宋体" w:eastAsia="宋体" w:cs="宋体"/>
                <w:color w:val="auto"/>
                <w:szCs w:val="21"/>
                <w:highlight w:val="none"/>
              </w:rPr>
            </w:pPr>
          </w:p>
        </w:tc>
        <w:tc>
          <w:tcPr>
            <w:tcW w:w="1730" w:type="dxa"/>
            <w:vAlign w:val="center"/>
          </w:tcPr>
          <w:p w14:paraId="4B19560C">
            <w:pPr>
              <w:jc w:val="center"/>
              <w:rPr>
                <w:rFonts w:hint="eastAsia" w:ascii="宋体" w:hAnsi="宋体" w:eastAsia="宋体" w:cs="宋体"/>
                <w:color w:val="auto"/>
                <w:szCs w:val="21"/>
                <w:highlight w:val="none"/>
              </w:rPr>
            </w:pPr>
          </w:p>
        </w:tc>
      </w:tr>
      <w:tr w14:paraId="31D54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9728585">
            <w:pPr>
              <w:jc w:val="center"/>
              <w:rPr>
                <w:rFonts w:hint="eastAsia" w:ascii="宋体" w:hAnsi="宋体" w:eastAsia="宋体" w:cs="宋体"/>
                <w:color w:val="auto"/>
                <w:szCs w:val="21"/>
                <w:highlight w:val="none"/>
              </w:rPr>
            </w:pPr>
          </w:p>
        </w:tc>
        <w:tc>
          <w:tcPr>
            <w:tcW w:w="1620" w:type="dxa"/>
            <w:vAlign w:val="center"/>
          </w:tcPr>
          <w:p w14:paraId="31669E91">
            <w:pPr>
              <w:jc w:val="center"/>
              <w:rPr>
                <w:rFonts w:hint="eastAsia" w:ascii="宋体" w:hAnsi="宋体" w:eastAsia="宋体" w:cs="宋体"/>
                <w:color w:val="auto"/>
                <w:szCs w:val="21"/>
                <w:highlight w:val="none"/>
              </w:rPr>
            </w:pPr>
          </w:p>
        </w:tc>
        <w:tc>
          <w:tcPr>
            <w:tcW w:w="1360" w:type="dxa"/>
            <w:vAlign w:val="center"/>
          </w:tcPr>
          <w:p w14:paraId="7A28EE05">
            <w:pPr>
              <w:jc w:val="center"/>
              <w:rPr>
                <w:rFonts w:hint="eastAsia" w:ascii="宋体" w:hAnsi="宋体" w:eastAsia="宋体" w:cs="宋体"/>
                <w:color w:val="auto"/>
                <w:szCs w:val="21"/>
                <w:highlight w:val="none"/>
              </w:rPr>
            </w:pPr>
          </w:p>
        </w:tc>
        <w:tc>
          <w:tcPr>
            <w:tcW w:w="1587" w:type="dxa"/>
            <w:vAlign w:val="center"/>
          </w:tcPr>
          <w:p w14:paraId="15A69F33">
            <w:pPr>
              <w:jc w:val="center"/>
              <w:rPr>
                <w:rFonts w:hint="eastAsia" w:ascii="宋体" w:hAnsi="宋体" w:eastAsia="宋体" w:cs="宋体"/>
                <w:color w:val="auto"/>
                <w:szCs w:val="21"/>
                <w:highlight w:val="none"/>
              </w:rPr>
            </w:pPr>
          </w:p>
        </w:tc>
        <w:tc>
          <w:tcPr>
            <w:tcW w:w="1133" w:type="dxa"/>
            <w:vAlign w:val="center"/>
          </w:tcPr>
          <w:p w14:paraId="704DC397">
            <w:pPr>
              <w:jc w:val="center"/>
              <w:rPr>
                <w:rFonts w:hint="eastAsia" w:ascii="宋体" w:hAnsi="宋体" w:eastAsia="宋体" w:cs="宋体"/>
                <w:color w:val="auto"/>
                <w:szCs w:val="21"/>
                <w:highlight w:val="none"/>
              </w:rPr>
            </w:pPr>
          </w:p>
        </w:tc>
        <w:tc>
          <w:tcPr>
            <w:tcW w:w="1730" w:type="dxa"/>
            <w:vAlign w:val="center"/>
          </w:tcPr>
          <w:p w14:paraId="1AAC6AA1">
            <w:pPr>
              <w:jc w:val="center"/>
              <w:rPr>
                <w:rFonts w:hint="eastAsia" w:ascii="宋体" w:hAnsi="宋体" w:eastAsia="宋体" w:cs="宋体"/>
                <w:color w:val="auto"/>
                <w:szCs w:val="21"/>
                <w:highlight w:val="none"/>
              </w:rPr>
            </w:pPr>
          </w:p>
        </w:tc>
      </w:tr>
      <w:tr w14:paraId="66E17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62AA25A">
            <w:pPr>
              <w:jc w:val="center"/>
              <w:rPr>
                <w:rFonts w:hint="eastAsia" w:ascii="宋体" w:hAnsi="宋体" w:eastAsia="宋体" w:cs="宋体"/>
                <w:color w:val="auto"/>
                <w:szCs w:val="21"/>
                <w:highlight w:val="none"/>
              </w:rPr>
            </w:pPr>
          </w:p>
        </w:tc>
        <w:tc>
          <w:tcPr>
            <w:tcW w:w="1620" w:type="dxa"/>
            <w:vAlign w:val="center"/>
          </w:tcPr>
          <w:p w14:paraId="36F19CA6">
            <w:pPr>
              <w:jc w:val="center"/>
              <w:rPr>
                <w:rFonts w:hint="eastAsia" w:ascii="宋体" w:hAnsi="宋体" w:eastAsia="宋体" w:cs="宋体"/>
                <w:color w:val="auto"/>
                <w:szCs w:val="21"/>
                <w:highlight w:val="none"/>
              </w:rPr>
            </w:pPr>
          </w:p>
        </w:tc>
        <w:tc>
          <w:tcPr>
            <w:tcW w:w="1360" w:type="dxa"/>
            <w:vAlign w:val="center"/>
          </w:tcPr>
          <w:p w14:paraId="5E5FE56D">
            <w:pPr>
              <w:jc w:val="center"/>
              <w:rPr>
                <w:rFonts w:hint="eastAsia" w:ascii="宋体" w:hAnsi="宋体" w:eastAsia="宋体" w:cs="宋体"/>
                <w:color w:val="auto"/>
                <w:szCs w:val="21"/>
                <w:highlight w:val="none"/>
              </w:rPr>
            </w:pPr>
          </w:p>
        </w:tc>
        <w:tc>
          <w:tcPr>
            <w:tcW w:w="1587" w:type="dxa"/>
            <w:vAlign w:val="center"/>
          </w:tcPr>
          <w:p w14:paraId="3B4F2F85">
            <w:pPr>
              <w:jc w:val="center"/>
              <w:rPr>
                <w:rFonts w:hint="eastAsia" w:ascii="宋体" w:hAnsi="宋体" w:eastAsia="宋体" w:cs="宋体"/>
                <w:color w:val="auto"/>
                <w:szCs w:val="21"/>
                <w:highlight w:val="none"/>
              </w:rPr>
            </w:pPr>
          </w:p>
        </w:tc>
        <w:tc>
          <w:tcPr>
            <w:tcW w:w="1133" w:type="dxa"/>
            <w:vAlign w:val="center"/>
          </w:tcPr>
          <w:p w14:paraId="3E941BB2">
            <w:pPr>
              <w:jc w:val="center"/>
              <w:rPr>
                <w:rFonts w:hint="eastAsia" w:ascii="宋体" w:hAnsi="宋体" w:eastAsia="宋体" w:cs="宋体"/>
                <w:color w:val="auto"/>
                <w:szCs w:val="21"/>
                <w:highlight w:val="none"/>
              </w:rPr>
            </w:pPr>
          </w:p>
        </w:tc>
        <w:tc>
          <w:tcPr>
            <w:tcW w:w="1730" w:type="dxa"/>
            <w:vAlign w:val="center"/>
          </w:tcPr>
          <w:p w14:paraId="0BEA0F3D">
            <w:pPr>
              <w:jc w:val="center"/>
              <w:rPr>
                <w:rFonts w:hint="eastAsia" w:ascii="宋体" w:hAnsi="宋体" w:eastAsia="宋体" w:cs="宋体"/>
                <w:color w:val="auto"/>
                <w:szCs w:val="21"/>
                <w:highlight w:val="none"/>
              </w:rPr>
            </w:pPr>
          </w:p>
        </w:tc>
      </w:tr>
      <w:tr w14:paraId="11F0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69091B7">
            <w:pPr>
              <w:jc w:val="center"/>
              <w:rPr>
                <w:rFonts w:hint="eastAsia" w:ascii="宋体" w:hAnsi="宋体" w:eastAsia="宋体" w:cs="宋体"/>
                <w:color w:val="auto"/>
                <w:szCs w:val="21"/>
                <w:highlight w:val="none"/>
              </w:rPr>
            </w:pPr>
          </w:p>
        </w:tc>
        <w:tc>
          <w:tcPr>
            <w:tcW w:w="1620" w:type="dxa"/>
            <w:vAlign w:val="center"/>
          </w:tcPr>
          <w:p w14:paraId="7EC21A10">
            <w:pPr>
              <w:jc w:val="center"/>
              <w:rPr>
                <w:rFonts w:hint="eastAsia" w:ascii="宋体" w:hAnsi="宋体" w:eastAsia="宋体" w:cs="宋体"/>
                <w:color w:val="auto"/>
                <w:szCs w:val="21"/>
                <w:highlight w:val="none"/>
              </w:rPr>
            </w:pPr>
          </w:p>
        </w:tc>
        <w:tc>
          <w:tcPr>
            <w:tcW w:w="1360" w:type="dxa"/>
            <w:vAlign w:val="center"/>
          </w:tcPr>
          <w:p w14:paraId="3087336F">
            <w:pPr>
              <w:jc w:val="center"/>
              <w:rPr>
                <w:rFonts w:hint="eastAsia" w:ascii="宋体" w:hAnsi="宋体" w:eastAsia="宋体" w:cs="宋体"/>
                <w:color w:val="auto"/>
                <w:szCs w:val="21"/>
                <w:highlight w:val="none"/>
              </w:rPr>
            </w:pPr>
          </w:p>
        </w:tc>
        <w:tc>
          <w:tcPr>
            <w:tcW w:w="1587" w:type="dxa"/>
            <w:vAlign w:val="center"/>
          </w:tcPr>
          <w:p w14:paraId="6F5F0F30">
            <w:pPr>
              <w:jc w:val="center"/>
              <w:rPr>
                <w:rFonts w:hint="eastAsia" w:ascii="宋体" w:hAnsi="宋体" w:eastAsia="宋体" w:cs="宋体"/>
                <w:color w:val="auto"/>
                <w:szCs w:val="21"/>
                <w:highlight w:val="none"/>
              </w:rPr>
            </w:pPr>
          </w:p>
        </w:tc>
        <w:tc>
          <w:tcPr>
            <w:tcW w:w="1133" w:type="dxa"/>
            <w:vAlign w:val="center"/>
          </w:tcPr>
          <w:p w14:paraId="2F197024">
            <w:pPr>
              <w:jc w:val="center"/>
              <w:rPr>
                <w:rFonts w:hint="eastAsia" w:ascii="宋体" w:hAnsi="宋体" w:eastAsia="宋体" w:cs="宋体"/>
                <w:color w:val="auto"/>
                <w:szCs w:val="21"/>
                <w:highlight w:val="none"/>
              </w:rPr>
            </w:pPr>
          </w:p>
        </w:tc>
        <w:tc>
          <w:tcPr>
            <w:tcW w:w="1730" w:type="dxa"/>
            <w:vAlign w:val="center"/>
          </w:tcPr>
          <w:p w14:paraId="32AAC24E">
            <w:pPr>
              <w:jc w:val="center"/>
              <w:rPr>
                <w:rFonts w:hint="eastAsia" w:ascii="宋体" w:hAnsi="宋体" w:eastAsia="宋体" w:cs="宋体"/>
                <w:color w:val="auto"/>
                <w:szCs w:val="21"/>
                <w:highlight w:val="none"/>
              </w:rPr>
            </w:pPr>
          </w:p>
        </w:tc>
      </w:tr>
      <w:tr w14:paraId="12A48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0A7C5E7">
            <w:pPr>
              <w:jc w:val="center"/>
              <w:rPr>
                <w:rFonts w:hint="eastAsia" w:ascii="宋体" w:hAnsi="宋体" w:eastAsia="宋体" w:cs="宋体"/>
                <w:color w:val="auto"/>
                <w:szCs w:val="21"/>
                <w:highlight w:val="none"/>
              </w:rPr>
            </w:pPr>
          </w:p>
        </w:tc>
        <w:tc>
          <w:tcPr>
            <w:tcW w:w="1620" w:type="dxa"/>
            <w:vAlign w:val="center"/>
          </w:tcPr>
          <w:p w14:paraId="776EF12B">
            <w:pPr>
              <w:jc w:val="center"/>
              <w:rPr>
                <w:rFonts w:hint="eastAsia" w:ascii="宋体" w:hAnsi="宋体" w:eastAsia="宋体" w:cs="宋体"/>
                <w:color w:val="auto"/>
                <w:szCs w:val="21"/>
                <w:highlight w:val="none"/>
              </w:rPr>
            </w:pPr>
          </w:p>
        </w:tc>
        <w:tc>
          <w:tcPr>
            <w:tcW w:w="1360" w:type="dxa"/>
            <w:vAlign w:val="center"/>
          </w:tcPr>
          <w:p w14:paraId="5A4354C8">
            <w:pPr>
              <w:jc w:val="center"/>
              <w:rPr>
                <w:rFonts w:hint="eastAsia" w:ascii="宋体" w:hAnsi="宋体" w:eastAsia="宋体" w:cs="宋体"/>
                <w:color w:val="auto"/>
                <w:szCs w:val="21"/>
                <w:highlight w:val="none"/>
              </w:rPr>
            </w:pPr>
          </w:p>
        </w:tc>
        <w:tc>
          <w:tcPr>
            <w:tcW w:w="1587" w:type="dxa"/>
            <w:vAlign w:val="center"/>
          </w:tcPr>
          <w:p w14:paraId="6D0F8685">
            <w:pPr>
              <w:jc w:val="center"/>
              <w:rPr>
                <w:rFonts w:hint="eastAsia" w:ascii="宋体" w:hAnsi="宋体" w:eastAsia="宋体" w:cs="宋体"/>
                <w:color w:val="auto"/>
                <w:szCs w:val="21"/>
                <w:highlight w:val="none"/>
              </w:rPr>
            </w:pPr>
          </w:p>
        </w:tc>
        <w:tc>
          <w:tcPr>
            <w:tcW w:w="1133" w:type="dxa"/>
            <w:vAlign w:val="center"/>
          </w:tcPr>
          <w:p w14:paraId="1981FC0D">
            <w:pPr>
              <w:jc w:val="center"/>
              <w:rPr>
                <w:rFonts w:hint="eastAsia" w:ascii="宋体" w:hAnsi="宋体" w:eastAsia="宋体" w:cs="宋体"/>
                <w:color w:val="auto"/>
                <w:szCs w:val="21"/>
                <w:highlight w:val="none"/>
              </w:rPr>
            </w:pPr>
          </w:p>
        </w:tc>
        <w:tc>
          <w:tcPr>
            <w:tcW w:w="1730" w:type="dxa"/>
            <w:vAlign w:val="center"/>
          </w:tcPr>
          <w:p w14:paraId="07F52D7E">
            <w:pPr>
              <w:jc w:val="center"/>
              <w:rPr>
                <w:rFonts w:hint="eastAsia" w:ascii="宋体" w:hAnsi="宋体" w:eastAsia="宋体" w:cs="宋体"/>
                <w:color w:val="auto"/>
                <w:szCs w:val="21"/>
                <w:highlight w:val="none"/>
              </w:rPr>
            </w:pPr>
          </w:p>
        </w:tc>
      </w:tr>
    </w:tbl>
    <w:p w14:paraId="7D3D59BC">
      <w:pPr>
        <w:rPr>
          <w:rFonts w:hint="eastAsia" w:ascii="宋体" w:hAnsi="宋体" w:eastAsia="宋体" w:cs="宋体"/>
          <w:color w:val="auto"/>
          <w:szCs w:val="21"/>
          <w:highlight w:val="none"/>
        </w:rPr>
      </w:pPr>
    </w:p>
    <w:p w14:paraId="02472A6E">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投标人代表签字：</w:t>
      </w:r>
    </w:p>
    <w:p w14:paraId="34D4C68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投标人盖章：</w:t>
      </w:r>
    </w:p>
    <w:p w14:paraId="5C24399D">
      <w:pPr>
        <w:rPr>
          <w:rFonts w:hint="eastAsia" w:ascii="宋体" w:hAnsi="宋体" w:eastAsia="宋体" w:cs="宋体"/>
          <w:color w:val="auto"/>
          <w:szCs w:val="21"/>
          <w:highlight w:val="none"/>
        </w:rPr>
      </w:pPr>
    </w:p>
    <w:p w14:paraId="1BF39ABB">
      <w:pPr>
        <w:ind w:left="718" w:hanging="718" w:hangingChars="342"/>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w:t>
      </w:r>
    </w:p>
    <w:p w14:paraId="46639516">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1、投标人应对照采购文件商务需求书中商务要求，说明已对采购文件的商务内容做出了实质性的响应。</w:t>
      </w:r>
    </w:p>
    <w:p w14:paraId="7CA46E6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2、不论出于何种原因此表未填写完整，投标人都被认为已清楚了解采购文件“商务需求书”的内容并对采购人所需的服务要求作全面响应，投标人必须承担完成“商务需求书”所描述内容的义务，因此对投标人投标产生负面影响的，投标人自行承担后果。</w:t>
      </w:r>
    </w:p>
    <w:p w14:paraId="77788B1B">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3、如有偏离，应在“偏离情况”栏内注明“正”、“负”或“无”，并在“说明”栏内予以说明。</w:t>
      </w:r>
    </w:p>
    <w:p w14:paraId="1A52EDDF">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4、如投标人差异内容较多可另附页说明。</w:t>
      </w:r>
    </w:p>
    <w:p w14:paraId="2991FA2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5、如投标人对用户需求书商务要求的条款全部响应的，也可以在表格下面用文字总括性的说明。</w:t>
      </w:r>
    </w:p>
    <w:p w14:paraId="10E5A0B5">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6939AD8F">
      <w:pPr>
        <w:pStyle w:val="5"/>
        <w:widowControl w:val="0"/>
        <w:overflowPunct w:val="0"/>
        <w:spacing w:line="240" w:lineRule="auto"/>
        <w:rPr>
          <w:rFonts w:hint="eastAsia" w:ascii="宋体" w:hAnsi="宋体" w:eastAsia="宋体" w:cs="宋体"/>
          <w:color w:val="auto"/>
          <w:sz w:val="30"/>
          <w:szCs w:val="30"/>
          <w:highlight w:val="none"/>
        </w:rPr>
      </w:pPr>
      <w:bookmarkStart w:id="177" w:name="_Toc30621"/>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.业绩表</w:t>
      </w:r>
      <w:bookmarkEnd w:id="177"/>
    </w:p>
    <w:p w14:paraId="6C261A6F">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业绩表</w:t>
      </w:r>
    </w:p>
    <w:tbl>
      <w:tblPr>
        <w:tblStyle w:val="31"/>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975"/>
        <w:gridCol w:w="1427"/>
      </w:tblGrid>
      <w:tr w14:paraId="558B3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4E14CAE2">
            <w:pPr>
              <w:adjustRightInd/>
              <w:snapToGrid/>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1705" w:type="dxa"/>
            <w:vAlign w:val="center"/>
          </w:tcPr>
          <w:p w14:paraId="1125E9B8">
            <w:pPr>
              <w:adjustRightInd/>
              <w:snapToGrid/>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1706" w:type="dxa"/>
            <w:vAlign w:val="center"/>
          </w:tcPr>
          <w:p w14:paraId="7581E9C3">
            <w:pPr>
              <w:adjustRightInd/>
              <w:snapToGrid/>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项目金额</w:t>
            </w:r>
          </w:p>
        </w:tc>
        <w:tc>
          <w:tcPr>
            <w:tcW w:w="1975" w:type="dxa"/>
            <w:vAlign w:val="center"/>
          </w:tcPr>
          <w:p w14:paraId="612FF72E">
            <w:pPr>
              <w:adjustRightInd/>
              <w:snapToGrid/>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项目合同签订时间</w:t>
            </w:r>
          </w:p>
        </w:tc>
        <w:tc>
          <w:tcPr>
            <w:tcW w:w="1427" w:type="dxa"/>
            <w:vAlign w:val="center"/>
          </w:tcPr>
          <w:p w14:paraId="56F61252">
            <w:pPr>
              <w:adjustRightInd/>
              <w:snapToGrid/>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p>
        </w:tc>
      </w:tr>
      <w:tr w14:paraId="33933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222E83AD">
            <w:pPr>
              <w:adjustRightInd/>
              <w:snapToGrid/>
              <w:jc w:val="center"/>
              <w:rPr>
                <w:rFonts w:hint="eastAsia" w:ascii="宋体" w:hAnsi="宋体" w:eastAsia="宋体" w:cs="宋体"/>
                <w:color w:val="auto"/>
                <w:szCs w:val="21"/>
                <w:highlight w:val="none"/>
              </w:rPr>
            </w:pPr>
          </w:p>
        </w:tc>
        <w:tc>
          <w:tcPr>
            <w:tcW w:w="1705" w:type="dxa"/>
            <w:vAlign w:val="center"/>
          </w:tcPr>
          <w:p w14:paraId="1823CDFF">
            <w:pPr>
              <w:adjustRightInd/>
              <w:snapToGrid/>
              <w:jc w:val="center"/>
              <w:rPr>
                <w:rFonts w:hint="eastAsia" w:ascii="宋体" w:hAnsi="宋体" w:eastAsia="宋体" w:cs="宋体"/>
                <w:color w:val="auto"/>
                <w:szCs w:val="21"/>
                <w:highlight w:val="none"/>
              </w:rPr>
            </w:pPr>
          </w:p>
        </w:tc>
        <w:tc>
          <w:tcPr>
            <w:tcW w:w="1706" w:type="dxa"/>
            <w:vAlign w:val="center"/>
          </w:tcPr>
          <w:p w14:paraId="7AAB2001">
            <w:pPr>
              <w:adjustRightInd/>
              <w:snapToGrid/>
              <w:jc w:val="center"/>
              <w:rPr>
                <w:rFonts w:hint="eastAsia" w:ascii="宋体" w:hAnsi="宋体" w:eastAsia="宋体" w:cs="宋体"/>
                <w:color w:val="auto"/>
                <w:szCs w:val="21"/>
                <w:highlight w:val="none"/>
              </w:rPr>
            </w:pPr>
          </w:p>
        </w:tc>
        <w:tc>
          <w:tcPr>
            <w:tcW w:w="1975" w:type="dxa"/>
            <w:vAlign w:val="center"/>
          </w:tcPr>
          <w:p w14:paraId="366CE7A0">
            <w:pPr>
              <w:adjustRightInd/>
              <w:snapToGrid/>
              <w:jc w:val="center"/>
              <w:rPr>
                <w:rFonts w:hint="eastAsia" w:ascii="宋体" w:hAnsi="宋体" w:eastAsia="宋体" w:cs="宋体"/>
                <w:color w:val="auto"/>
                <w:szCs w:val="21"/>
                <w:highlight w:val="none"/>
              </w:rPr>
            </w:pPr>
          </w:p>
        </w:tc>
        <w:tc>
          <w:tcPr>
            <w:tcW w:w="1427" w:type="dxa"/>
            <w:vAlign w:val="center"/>
          </w:tcPr>
          <w:p w14:paraId="0C1E2A6A">
            <w:pPr>
              <w:adjustRightInd/>
              <w:snapToGrid/>
              <w:jc w:val="center"/>
              <w:rPr>
                <w:rFonts w:hint="eastAsia" w:ascii="宋体" w:hAnsi="宋体" w:eastAsia="宋体" w:cs="宋体"/>
                <w:color w:val="auto"/>
                <w:szCs w:val="21"/>
                <w:highlight w:val="none"/>
              </w:rPr>
            </w:pPr>
          </w:p>
        </w:tc>
      </w:tr>
      <w:tr w14:paraId="481F3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0625683B">
            <w:pPr>
              <w:adjustRightInd/>
              <w:snapToGrid/>
              <w:rPr>
                <w:rFonts w:hint="eastAsia" w:ascii="宋体" w:hAnsi="宋体" w:eastAsia="宋体" w:cs="宋体"/>
                <w:color w:val="auto"/>
                <w:szCs w:val="21"/>
                <w:highlight w:val="none"/>
              </w:rPr>
            </w:pPr>
          </w:p>
        </w:tc>
        <w:tc>
          <w:tcPr>
            <w:tcW w:w="1705" w:type="dxa"/>
          </w:tcPr>
          <w:p w14:paraId="6C35E437">
            <w:pPr>
              <w:adjustRightInd/>
              <w:snapToGrid/>
              <w:rPr>
                <w:rFonts w:hint="eastAsia" w:ascii="宋体" w:hAnsi="宋体" w:eastAsia="宋体" w:cs="宋体"/>
                <w:color w:val="auto"/>
                <w:szCs w:val="21"/>
                <w:highlight w:val="none"/>
              </w:rPr>
            </w:pPr>
          </w:p>
        </w:tc>
        <w:tc>
          <w:tcPr>
            <w:tcW w:w="1706" w:type="dxa"/>
          </w:tcPr>
          <w:p w14:paraId="4AFCE1D9">
            <w:pPr>
              <w:adjustRightInd/>
              <w:snapToGrid/>
              <w:rPr>
                <w:rFonts w:hint="eastAsia" w:ascii="宋体" w:hAnsi="宋体" w:eastAsia="宋体" w:cs="宋体"/>
                <w:color w:val="auto"/>
                <w:szCs w:val="21"/>
                <w:highlight w:val="none"/>
              </w:rPr>
            </w:pPr>
          </w:p>
        </w:tc>
        <w:tc>
          <w:tcPr>
            <w:tcW w:w="1975" w:type="dxa"/>
          </w:tcPr>
          <w:p w14:paraId="641C0CDD">
            <w:pPr>
              <w:adjustRightInd/>
              <w:snapToGrid/>
              <w:rPr>
                <w:rFonts w:hint="eastAsia" w:ascii="宋体" w:hAnsi="宋体" w:eastAsia="宋体" w:cs="宋体"/>
                <w:color w:val="auto"/>
                <w:szCs w:val="21"/>
                <w:highlight w:val="none"/>
              </w:rPr>
            </w:pPr>
          </w:p>
        </w:tc>
        <w:tc>
          <w:tcPr>
            <w:tcW w:w="1427" w:type="dxa"/>
          </w:tcPr>
          <w:p w14:paraId="093CC83A">
            <w:pPr>
              <w:adjustRightInd/>
              <w:snapToGrid/>
              <w:rPr>
                <w:rFonts w:hint="eastAsia" w:ascii="宋体" w:hAnsi="宋体" w:eastAsia="宋体" w:cs="宋体"/>
                <w:color w:val="auto"/>
                <w:szCs w:val="21"/>
                <w:highlight w:val="none"/>
              </w:rPr>
            </w:pPr>
          </w:p>
        </w:tc>
      </w:tr>
      <w:tr w14:paraId="27327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1AC661A1">
            <w:pPr>
              <w:adjustRightInd/>
              <w:snapToGrid/>
              <w:rPr>
                <w:rFonts w:hint="eastAsia" w:ascii="宋体" w:hAnsi="宋体" w:eastAsia="宋体" w:cs="宋体"/>
                <w:color w:val="auto"/>
                <w:szCs w:val="21"/>
                <w:highlight w:val="none"/>
              </w:rPr>
            </w:pPr>
          </w:p>
        </w:tc>
        <w:tc>
          <w:tcPr>
            <w:tcW w:w="1705" w:type="dxa"/>
          </w:tcPr>
          <w:p w14:paraId="225F6C03">
            <w:pPr>
              <w:adjustRightInd/>
              <w:snapToGrid/>
              <w:rPr>
                <w:rFonts w:hint="eastAsia" w:ascii="宋体" w:hAnsi="宋体" w:eastAsia="宋体" w:cs="宋体"/>
                <w:color w:val="auto"/>
                <w:szCs w:val="21"/>
                <w:highlight w:val="none"/>
              </w:rPr>
            </w:pPr>
          </w:p>
        </w:tc>
        <w:tc>
          <w:tcPr>
            <w:tcW w:w="1706" w:type="dxa"/>
          </w:tcPr>
          <w:p w14:paraId="02321DF5">
            <w:pPr>
              <w:adjustRightInd/>
              <w:snapToGrid/>
              <w:rPr>
                <w:rFonts w:hint="eastAsia" w:ascii="宋体" w:hAnsi="宋体" w:eastAsia="宋体" w:cs="宋体"/>
                <w:color w:val="auto"/>
                <w:szCs w:val="21"/>
                <w:highlight w:val="none"/>
              </w:rPr>
            </w:pPr>
          </w:p>
        </w:tc>
        <w:tc>
          <w:tcPr>
            <w:tcW w:w="1975" w:type="dxa"/>
          </w:tcPr>
          <w:p w14:paraId="33B2F68C">
            <w:pPr>
              <w:adjustRightInd/>
              <w:snapToGrid/>
              <w:rPr>
                <w:rFonts w:hint="eastAsia" w:ascii="宋体" w:hAnsi="宋体" w:eastAsia="宋体" w:cs="宋体"/>
                <w:color w:val="auto"/>
                <w:szCs w:val="21"/>
                <w:highlight w:val="none"/>
              </w:rPr>
            </w:pPr>
          </w:p>
        </w:tc>
        <w:tc>
          <w:tcPr>
            <w:tcW w:w="1427" w:type="dxa"/>
          </w:tcPr>
          <w:p w14:paraId="47F9CAA6">
            <w:pPr>
              <w:adjustRightInd/>
              <w:snapToGrid/>
              <w:rPr>
                <w:rFonts w:hint="eastAsia" w:ascii="宋体" w:hAnsi="宋体" w:eastAsia="宋体" w:cs="宋体"/>
                <w:color w:val="auto"/>
                <w:szCs w:val="21"/>
                <w:highlight w:val="none"/>
              </w:rPr>
            </w:pPr>
          </w:p>
        </w:tc>
      </w:tr>
      <w:tr w14:paraId="7436C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9043799">
            <w:pPr>
              <w:adjustRightInd/>
              <w:snapToGrid/>
              <w:rPr>
                <w:rFonts w:hint="eastAsia" w:ascii="宋体" w:hAnsi="宋体" w:eastAsia="宋体" w:cs="宋体"/>
                <w:color w:val="auto"/>
                <w:szCs w:val="21"/>
                <w:highlight w:val="none"/>
              </w:rPr>
            </w:pPr>
          </w:p>
        </w:tc>
        <w:tc>
          <w:tcPr>
            <w:tcW w:w="1705" w:type="dxa"/>
          </w:tcPr>
          <w:p w14:paraId="59654DC8">
            <w:pPr>
              <w:adjustRightInd/>
              <w:snapToGrid/>
              <w:rPr>
                <w:rFonts w:hint="eastAsia" w:ascii="宋体" w:hAnsi="宋体" w:eastAsia="宋体" w:cs="宋体"/>
                <w:color w:val="auto"/>
                <w:szCs w:val="21"/>
                <w:highlight w:val="none"/>
              </w:rPr>
            </w:pPr>
          </w:p>
        </w:tc>
        <w:tc>
          <w:tcPr>
            <w:tcW w:w="1706" w:type="dxa"/>
          </w:tcPr>
          <w:p w14:paraId="60FC88FC">
            <w:pPr>
              <w:adjustRightInd/>
              <w:snapToGrid/>
              <w:rPr>
                <w:rFonts w:hint="eastAsia" w:ascii="宋体" w:hAnsi="宋体" w:eastAsia="宋体" w:cs="宋体"/>
                <w:color w:val="auto"/>
                <w:szCs w:val="21"/>
                <w:highlight w:val="none"/>
              </w:rPr>
            </w:pPr>
          </w:p>
        </w:tc>
        <w:tc>
          <w:tcPr>
            <w:tcW w:w="1975" w:type="dxa"/>
          </w:tcPr>
          <w:p w14:paraId="32EDEE00">
            <w:pPr>
              <w:adjustRightInd/>
              <w:snapToGrid/>
              <w:rPr>
                <w:rFonts w:hint="eastAsia" w:ascii="宋体" w:hAnsi="宋体" w:eastAsia="宋体" w:cs="宋体"/>
                <w:color w:val="auto"/>
                <w:szCs w:val="21"/>
                <w:highlight w:val="none"/>
              </w:rPr>
            </w:pPr>
          </w:p>
        </w:tc>
        <w:tc>
          <w:tcPr>
            <w:tcW w:w="1427" w:type="dxa"/>
          </w:tcPr>
          <w:p w14:paraId="4BF3387B">
            <w:pPr>
              <w:adjustRightInd/>
              <w:snapToGrid/>
              <w:rPr>
                <w:rFonts w:hint="eastAsia" w:ascii="宋体" w:hAnsi="宋体" w:eastAsia="宋体" w:cs="宋体"/>
                <w:color w:val="auto"/>
                <w:szCs w:val="21"/>
                <w:highlight w:val="none"/>
              </w:rPr>
            </w:pPr>
          </w:p>
        </w:tc>
      </w:tr>
      <w:tr w14:paraId="4F0E5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AFE1E7D">
            <w:pPr>
              <w:adjustRightInd/>
              <w:snapToGrid/>
              <w:rPr>
                <w:rFonts w:hint="eastAsia" w:ascii="宋体" w:hAnsi="宋体" w:eastAsia="宋体" w:cs="宋体"/>
                <w:color w:val="auto"/>
                <w:szCs w:val="21"/>
                <w:highlight w:val="none"/>
              </w:rPr>
            </w:pPr>
          </w:p>
        </w:tc>
        <w:tc>
          <w:tcPr>
            <w:tcW w:w="1705" w:type="dxa"/>
          </w:tcPr>
          <w:p w14:paraId="2A8C7F17">
            <w:pPr>
              <w:adjustRightInd/>
              <w:snapToGrid/>
              <w:rPr>
                <w:rFonts w:hint="eastAsia" w:ascii="宋体" w:hAnsi="宋体" w:eastAsia="宋体" w:cs="宋体"/>
                <w:color w:val="auto"/>
                <w:szCs w:val="21"/>
                <w:highlight w:val="none"/>
              </w:rPr>
            </w:pPr>
          </w:p>
        </w:tc>
        <w:tc>
          <w:tcPr>
            <w:tcW w:w="1706" w:type="dxa"/>
          </w:tcPr>
          <w:p w14:paraId="2C78E91C">
            <w:pPr>
              <w:adjustRightInd/>
              <w:snapToGrid/>
              <w:rPr>
                <w:rFonts w:hint="eastAsia" w:ascii="宋体" w:hAnsi="宋体" w:eastAsia="宋体" w:cs="宋体"/>
                <w:color w:val="auto"/>
                <w:szCs w:val="21"/>
                <w:highlight w:val="none"/>
              </w:rPr>
            </w:pPr>
          </w:p>
        </w:tc>
        <w:tc>
          <w:tcPr>
            <w:tcW w:w="1975" w:type="dxa"/>
          </w:tcPr>
          <w:p w14:paraId="28D8B13A">
            <w:pPr>
              <w:adjustRightInd/>
              <w:snapToGrid/>
              <w:rPr>
                <w:rFonts w:hint="eastAsia" w:ascii="宋体" w:hAnsi="宋体" w:eastAsia="宋体" w:cs="宋体"/>
                <w:color w:val="auto"/>
                <w:szCs w:val="21"/>
                <w:highlight w:val="none"/>
              </w:rPr>
            </w:pPr>
          </w:p>
        </w:tc>
        <w:tc>
          <w:tcPr>
            <w:tcW w:w="1427" w:type="dxa"/>
          </w:tcPr>
          <w:p w14:paraId="2B6128F2">
            <w:pPr>
              <w:adjustRightInd/>
              <w:snapToGrid/>
              <w:rPr>
                <w:rFonts w:hint="eastAsia" w:ascii="宋体" w:hAnsi="宋体" w:eastAsia="宋体" w:cs="宋体"/>
                <w:color w:val="auto"/>
                <w:szCs w:val="21"/>
                <w:highlight w:val="none"/>
              </w:rPr>
            </w:pPr>
          </w:p>
        </w:tc>
      </w:tr>
      <w:tr w14:paraId="1B7B6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5ED3A85">
            <w:pPr>
              <w:adjustRightInd/>
              <w:snapToGrid/>
              <w:rPr>
                <w:rFonts w:hint="eastAsia" w:ascii="宋体" w:hAnsi="宋体" w:eastAsia="宋体" w:cs="宋体"/>
                <w:color w:val="auto"/>
                <w:szCs w:val="21"/>
                <w:highlight w:val="none"/>
              </w:rPr>
            </w:pPr>
          </w:p>
        </w:tc>
        <w:tc>
          <w:tcPr>
            <w:tcW w:w="1705" w:type="dxa"/>
          </w:tcPr>
          <w:p w14:paraId="58143F70">
            <w:pPr>
              <w:adjustRightInd/>
              <w:snapToGrid/>
              <w:rPr>
                <w:rFonts w:hint="eastAsia" w:ascii="宋体" w:hAnsi="宋体" w:eastAsia="宋体" w:cs="宋体"/>
                <w:color w:val="auto"/>
                <w:szCs w:val="21"/>
                <w:highlight w:val="none"/>
              </w:rPr>
            </w:pPr>
          </w:p>
        </w:tc>
        <w:tc>
          <w:tcPr>
            <w:tcW w:w="1706" w:type="dxa"/>
          </w:tcPr>
          <w:p w14:paraId="4B5B2866">
            <w:pPr>
              <w:adjustRightInd/>
              <w:snapToGrid/>
              <w:rPr>
                <w:rFonts w:hint="eastAsia" w:ascii="宋体" w:hAnsi="宋体" w:eastAsia="宋体" w:cs="宋体"/>
                <w:color w:val="auto"/>
                <w:szCs w:val="21"/>
                <w:highlight w:val="none"/>
              </w:rPr>
            </w:pPr>
          </w:p>
        </w:tc>
        <w:tc>
          <w:tcPr>
            <w:tcW w:w="1975" w:type="dxa"/>
          </w:tcPr>
          <w:p w14:paraId="4D5CE139">
            <w:pPr>
              <w:adjustRightInd/>
              <w:snapToGrid/>
              <w:rPr>
                <w:rFonts w:hint="eastAsia" w:ascii="宋体" w:hAnsi="宋体" w:eastAsia="宋体" w:cs="宋体"/>
                <w:color w:val="auto"/>
                <w:szCs w:val="21"/>
                <w:highlight w:val="none"/>
              </w:rPr>
            </w:pPr>
          </w:p>
        </w:tc>
        <w:tc>
          <w:tcPr>
            <w:tcW w:w="1427" w:type="dxa"/>
          </w:tcPr>
          <w:p w14:paraId="528EEA92">
            <w:pPr>
              <w:adjustRightInd/>
              <w:snapToGrid/>
              <w:rPr>
                <w:rFonts w:hint="eastAsia" w:ascii="宋体" w:hAnsi="宋体" w:eastAsia="宋体" w:cs="宋体"/>
                <w:color w:val="auto"/>
                <w:szCs w:val="21"/>
                <w:highlight w:val="none"/>
              </w:rPr>
            </w:pPr>
          </w:p>
        </w:tc>
      </w:tr>
    </w:tbl>
    <w:p w14:paraId="139F8BAE">
      <w:pPr>
        <w:pStyle w:val="44"/>
        <w:rPr>
          <w:rFonts w:hint="eastAsia" w:ascii="宋体" w:hAnsi="宋体" w:eastAsia="宋体" w:cs="宋体"/>
          <w:color w:val="auto"/>
          <w:szCs w:val="21"/>
          <w:highlight w:val="none"/>
        </w:rPr>
      </w:pPr>
    </w:p>
    <w:p w14:paraId="6C41A7B0">
      <w:pPr>
        <w:pStyle w:val="44"/>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w:t>
      </w:r>
    </w:p>
    <w:p w14:paraId="4B63A810">
      <w:pPr>
        <w:pStyle w:val="44"/>
        <w:numPr>
          <w:ilvl w:val="0"/>
          <w:numId w:val="14"/>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该表格为参考格式，投标人可按实际情况自行制订。</w:t>
      </w:r>
    </w:p>
    <w:p w14:paraId="4BDAF1E2">
      <w:pPr>
        <w:pStyle w:val="44"/>
        <w:numPr>
          <w:ilvl w:val="0"/>
          <w:numId w:val="14"/>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业绩表所列出的材料应为真实准确的，并应提供相关证明材料复印件加盖公章。请勿提供虚假、过期材料，否则将依据相关规定严肃处理。</w:t>
      </w:r>
    </w:p>
    <w:p w14:paraId="6EEBD1AB">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7F340276">
      <w:pPr>
        <w:pStyle w:val="5"/>
        <w:widowControl w:val="0"/>
        <w:overflowPunct w:val="0"/>
        <w:spacing w:line="240" w:lineRule="auto"/>
        <w:rPr>
          <w:rFonts w:hint="eastAsia" w:ascii="宋体" w:hAnsi="宋体" w:eastAsia="宋体" w:cs="宋体"/>
          <w:color w:val="auto"/>
          <w:highlight w:val="none"/>
        </w:rPr>
      </w:pPr>
      <w:bookmarkStart w:id="178" w:name="_Toc12820"/>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.联合体协议书</w:t>
      </w:r>
      <w:r>
        <w:rPr>
          <w:rFonts w:hint="eastAsia" w:ascii="宋体" w:hAnsi="宋体" w:eastAsia="宋体" w:cs="宋体"/>
          <w:color w:val="auto"/>
          <w:highlight w:val="none"/>
        </w:rPr>
        <w:t>（如有）</w:t>
      </w:r>
      <w:bookmarkEnd w:id="178"/>
    </w:p>
    <w:p w14:paraId="4453BA24">
      <w:pPr>
        <w:rPr>
          <w:rFonts w:hint="eastAsia" w:ascii="宋体" w:hAnsi="宋体" w:eastAsia="宋体" w:cs="宋体"/>
          <w:color w:val="auto"/>
          <w:highlight w:val="none"/>
        </w:rPr>
      </w:pPr>
    </w:p>
    <w:p w14:paraId="124868A5">
      <w:pPr>
        <w:jc w:val="center"/>
        <w:rPr>
          <w:rFonts w:hint="eastAsia" w:ascii="宋体" w:hAnsi="宋体" w:eastAsia="宋体" w:cs="宋体"/>
          <w:color w:val="auto"/>
          <w:highlight w:val="none"/>
        </w:rPr>
      </w:pPr>
      <w:r>
        <w:rPr>
          <w:rFonts w:hint="eastAsia" w:ascii="宋体" w:hAnsi="宋体" w:eastAsia="宋体" w:cs="宋体"/>
          <w:b/>
          <w:bCs/>
          <w:color w:val="auto"/>
          <w:highlight w:val="none"/>
        </w:rPr>
        <w:t>联合体共同投标协议书</w:t>
      </w:r>
    </w:p>
    <w:p w14:paraId="41E2E8E7">
      <w:pPr>
        <w:jc w:val="center"/>
        <w:rPr>
          <w:rFonts w:hint="eastAsia" w:ascii="宋体" w:hAnsi="宋体" w:eastAsia="宋体" w:cs="宋体"/>
          <w:color w:val="auto"/>
          <w:highlight w:val="none"/>
        </w:rPr>
      </w:pPr>
    </w:p>
    <w:p w14:paraId="540898F6">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立约方：（甲公司全称）</w:t>
      </w:r>
    </w:p>
    <w:p w14:paraId="19F30715">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（乙公司全称）</w:t>
      </w:r>
    </w:p>
    <w:p w14:paraId="7025F769">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（……公司全称）</w:t>
      </w:r>
    </w:p>
    <w:p w14:paraId="06DADE7F">
      <w:pPr>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rPr>
        <w:t>（甲公司全称）、（乙公司全称）、（……公司全称）</w:t>
      </w:r>
      <w:r>
        <w:rPr>
          <w:rFonts w:hint="eastAsia" w:ascii="宋体" w:hAnsi="宋体" w:eastAsia="宋体" w:cs="宋体"/>
          <w:color w:val="auto"/>
          <w:szCs w:val="21"/>
          <w:highlight w:val="none"/>
        </w:rPr>
        <w:t>自愿组成联合体，以一个投标人的身份共同参加</w:t>
      </w:r>
      <w:r>
        <w:rPr>
          <w:rFonts w:hint="eastAsia" w:ascii="宋体" w:hAnsi="宋体" w:eastAsia="宋体" w:cs="宋体"/>
          <w:color w:val="auto"/>
          <w:szCs w:val="21"/>
          <w:highlight w:val="none"/>
          <w:u w:val="single"/>
        </w:rPr>
        <w:t>（xxxx项目） （项目编号：xxxx）</w:t>
      </w:r>
      <w:r>
        <w:rPr>
          <w:rFonts w:hint="eastAsia" w:ascii="宋体" w:hAnsi="宋体" w:eastAsia="宋体" w:cs="宋体"/>
          <w:color w:val="auto"/>
          <w:szCs w:val="21"/>
          <w:highlight w:val="none"/>
        </w:rPr>
        <w:t>的招标活动。经各方充分协商一致，就项目的投标和合同实施阶段的有关事务协商一致订立协议如下：</w:t>
      </w:r>
    </w:p>
    <w:p w14:paraId="50300BD5">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一、联合体各方关系</w:t>
      </w:r>
    </w:p>
    <w:p w14:paraId="33E9DB7C">
      <w:pPr>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rPr>
        <w:t>1.（甲公司全称）、（乙公司全称）、（……公司全称）</w:t>
      </w:r>
      <w:r>
        <w:rPr>
          <w:rFonts w:hint="eastAsia" w:ascii="宋体" w:hAnsi="宋体" w:eastAsia="宋体" w:cs="宋体"/>
          <w:color w:val="auto"/>
          <w:szCs w:val="21"/>
          <w:highlight w:val="none"/>
        </w:rPr>
        <w:t>共同组成一个联合体，以一个投标人的身份共同参加本项目的投标。</w:t>
      </w:r>
      <w:r>
        <w:rPr>
          <w:rFonts w:hint="eastAsia" w:ascii="宋体" w:hAnsi="宋体" w:eastAsia="宋体" w:cs="宋体"/>
          <w:color w:val="auto"/>
          <w:szCs w:val="21"/>
          <w:highlight w:val="none"/>
          <w:u w:val="single"/>
        </w:rPr>
        <w:t>（甲公司全称）、（乙公司全称）、（……公司全称）</w:t>
      </w:r>
      <w:r>
        <w:rPr>
          <w:rFonts w:hint="eastAsia" w:ascii="宋体" w:hAnsi="宋体" w:eastAsia="宋体" w:cs="宋体"/>
          <w:color w:val="auto"/>
          <w:szCs w:val="21"/>
          <w:highlight w:val="none"/>
        </w:rPr>
        <w:t>作为联合体成员，若中标，联合体各方共同与</w:t>
      </w:r>
      <w:r>
        <w:rPr>
          <w:rFonts w:hint="eastAsia" w:ascii="宋体" w:hAnsi="宋体" w:eastAsia="宋体" w:cs="宋体"/>
          <w:color w:val="auto"/>
          <w:szCs w:val="21"/>
          <w:highlight w:val="none"/>
          <w:u w:val="single"/>
        </w:rPr>
        <w:t>（采购人）</w:t>
      </w:r>
      <w:r>
        <w:rPr>
          <w:rFonts w:hint="eastAsia" w:ascii="宋体" w:hAnsi="宋体" w:eastAsia="宋体" w:cs="宋体"/>
          <w:color w:val="auto"/>
          <w:szCs w:val="21"/>
          <w:highlight w:val="none"/>
        </w:rPr>
        <w:t>签订合同。</w:t>
      </w:r>
    </w:p>
    <w:p w14:paraId="4C0DC50E">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2.本次投标中，以</w:t>
      </w:r>
      <w:r>
        <w:rPr>
          <w:rFonts w:hint="eastAsia" w:ascii="宋体" w:hAnsi="宋体" w:eastAsia="宋体" w:cs="宋体"/>
          <w:color w:val="auto"/>
          <w:szCs w:val="21"/>
          <w:highlight w:val="none"/>
          <w:u w:val="single"/>
        </w:rPr>
        <w:t>（公司全称）</w:t>
      </w:r>
      <w:r>
        <w:rPr>
          <w:rFonts w:hint="eastAsia" w:ascii="宋体" w:hAnsi="宋体" w:eastAsia="宋体" w:cs="宋体"/>
          <w:color w:val="auto"/>
          <w:szCs w:val="21"/>
          <w:highlight w:val="none"/>
        </w:rPr>
        <w:t>为联合体牵头人。</w:t>
      </w:r>
    </w:p>
    <w:p w14:paraId="298EDB0E">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二、联合体内部有关事项约定如下：</w:t>
      </w:r>
    </w:p>
    <w:p w14:paraId="0DA3820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141101FA">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2.联合体将严格按照文件的各项要求，递交投标文件，切实执行一切合同文件，共同承担合同规定的一切义务和责任，同时按照内部职责的划分，承担自身所负的责任和风险，在法律上承担连带责任。</w:t>
      </w:r>
    </w:p>
    <w:p w14:paraId="47911DC7">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3.如中标，联合体各方共同与（采购人）签订合同书，并就中标项目向采购人负有连带的和各自的法律责任；</w:t>
      </w:r>
    </w:p>
    <w:p w14:paraId="56B7E74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4.联合体各成员单位内部的职责分工如下：</w:t>
      </w:r>
    </w:p>
    <w:p w14:paraId="4B062C7F">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p w14:paraId="3A46F443">
      <w:pPr>
        <w:rPr>
          <w:rFonts w:hint="eastAsia" w:ascii="宋体" w:hAnsi="宋体" w:eastAsia="宋体" w:cs="宋体"/>
          <w:color w:val="auto"/>
          <w:highlight w:val="none"/>
        </w:rPr>
      </w:pPr>
      <w:r>
        <w:rPr>
          <w:rFonts w:hint="eastAsia" w:ascii="宋体" w:hAnsi="宋体" w:eastAsia="宋体" w:cs="宋体"/>
          <w:color w:val="auto"/>
          <w:szCs w:val="21"/>
          <w:highlight w:val="none"/>
        </w:rPr>
        <w:t>（2）</w:t>
      </w:r>
    </w:p>
    <w:p w14:paraId="477CE14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4789781D">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四、联合体如因违约过失责任而导致采购人经济损失或被索赔时，本联合体任何一方均同意无条件优先清偿采购人的一切债务和经济赔偿。</w:t>
      </w:r>
    </w:p>
    <w:p w14:paraId="311CD66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五、联合体中标后，本联合体协议是合同的附件，对联合体各成员单位有合同约束力。</w:t>
      </w:r>
    </w:p>
    <w:p w14:paraId="7F3CC37C">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六、本协议在自签署之日起生效，投标有效期内有效，如获中标资格，本协议有效期延续至合同履行完毕之日。</w:t>
      </w:r>
    </w:p>
    <w:p w14:paraId="50EEDEA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七、本协议书一式____份，联合体成员和采购人各执一份。 </w:t>
      </w:r>
    </w:p>
    <w:p w14:paraId="2438D51A">
      <w:pPr>
        <w:rPr>
          <w:rFonts w:hint="eastAsia" w:ascii="宋体" w:hAnsi="宋体" w:eastAsia="宋体" w:cs="宋体"/>
          <w:color w:val="auto"/>
          <w:szCs w:val="21"/>
          <w:highlight w:val="none"/>
        </w:rPr>
      </w:pPr>
    </w:p>
    <w:p w14:paraId="6D8F88CA">
      <w:pPr>
        <w:pStyle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注：本协议书由委托人签字的，应附法定代表人签字的授权委托书。</w:t>
      </w:r>
    </w:p>
    <w:p w14:paraId="73701D76">
      <w:pPr>
        <w:pStyle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牵头人名称：_______________________（盖单位公章）</w:t>
      </w:r>
    </w:p>
    <w:p w14:paraId="4D8D3E24">
      <w:pPr>
        <w:pStyle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法定代表人或其委托代理人：_____________（签字）</w:t>
      </w:r>
    </w:p>
    <w:p w14:paraId="2DA5242C">
      <w:pPr>
        <w:pStyle w:val="9"/>
        <w:rPr>
          <w:rFonts w:hint="eastAsia" w:ascii="宋体" w:hAnsi="宋体" w:eastAsia="宋体" w:cs="宋体"/>
          <w:color w:val="auto"/>
          <w:sz w:val="21"/>
          <w:szCs w:val="21"/>
          <w:highlight w:val="none"/>
        </w:rPr>
      </w:pPr>
    </w:p>
    <w:p w14:paraId="34F7ABB7">
      <w:pPr>
        <w:pStyle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成员一名称：_______________________（盖单位公章）</w:t>
      </w:r>
    </w:p>
    <w:p w14:paraId="15721F79">
      <w:pPr>
        <w:pStyle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法定代表人或其委托代理人：_____________（签字）</w:t>
      </w:r>
    </w:p>
    <w:p w14:paraId="3C9F271E">
      <w:pPr>
        <w:pStyle w:val="9"/>
        <w:rPr>
          <w:rFonts w:hint="eastAsia" w:ascii="宋体" w:hAnsi="宋体" w:eastAsia="宋体" w:cs="宋体"/>
          <w:color w:val="auto"/>
          <w:sz w:val="21"/>
          <w:szCs w:val="21"/>
          <w:highlight w:val="none"/>
        </w:rPr>
      </w:pPr>
    </w:p>
    <w:p w14:paraId="126B27D1">
      <w:pPr>
        <w:pStyle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成员二名称：_______________________（盖单位公章）</w:t>
      </w:r>
    </w:p>
    <w:p w14:paraId="71520520">
      <w:pPr>
        <w:pStyle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法定代表人或其委托代理人：_____________（签字）</w:t>
      </w:r>
    </w:p>
    <w:p w14:paraId="488B40B7">
      <w:pPr>
        <w:pStyle w:val="9"/>
        <w:ind w:firstLine="210" w:firstLineChars="1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p w14:paraId="6050C899">
      <w:pPr>
        <w:pStyle w:val="9"/>
        <w:rPr>
          <w:rFonts w:hint="eastAsia" w:ascii="宋体" w:hAnsi="宋体" w:eastAsia="宋体" w:cs="宋体"/>
          <w:color w:val="auto"/>
          <w:highlight w:val="none"/>
          <w:lang w:val="en-US"/>
        </w:rPr>
        <w:sectPr>
          <w:headerReference r:id="rId10" w:type="first"/>
          <w:footerReference r:id="rId12" w:type="first"/>
          <w:headerReference r:id="rId9" w:type="default"/>
          <w:footerReference r:id="rId11" w:type="default"/>
          <w:pgSz w:w="11906" w:h="16838"/>
          <w:pgMar w:top="1440" w:right="1800" w:bottom="1440" w:left="1800" w:header="708" w:footer="708" w:gutter="0"/>
          <w:cols w:space="708" w:num="1"/>
          <w:titlePg/>
          <w:docGrid w:type="lines" w:linePitch="360" w:charSpace="0"/>
        </w:sectPr>
      </w:pPr>
      <w:r>
        <w:rPr>
          <w:rFonts w:hint="eastAsia" w:ascii="宋体" w:hAnsi="宋体" w:eastAsia="宋体" w:cs="宋体"/>
          <w:color w:val="auto"/>
          <w:sz w:val="21"/>
          <w:szCs w:val="21"/>
          <w:highlight w:val="none"/>
        </w:rPr>
        <w:t xml:space="preserve">        年     月     日</w:t>
      </w:r>
    </w:p>
    <w:p w14:paraId="70CCEAFF">
      <w:pPr>
        <w:pStyle w:val="9"/>
        <w:rPr>
          <w:rFonts w:hint="eastAsia" w:ascii="宋体" w:hAnsi="宋体" w:eastAsia="宋体" w:cs="宋体"/>
          <w:color w:val="auto"/>
          <w:highlight w:val="none"/>
        </w:rPr>
      </w:pPr>
    </w:p>
    <w:p w14:paraId="2F080BE8">
      <w:pPr>
        <w:pStyle w:val="3"/>
        <w:spacing w:before="0" w:after="0" w:line="360" w:lineRule="auto"/>
        <w:jc w:val="center"/>
        <w:rPr>
          <w:rFonts w:hint="eastAsia" w:ascii="宋体" w:hAnsi="宋体" w:eastAsia="宋体" w:cs="宋体"/>
          <w:color w:val="auto"/>
          <w:sz w:val="72"/>
          <w:szCs w:val="72"/>
          <w:highlight w:val="none"/>
        </w:rPr>
      </w:pPr>
      <w:bookmarkStart w:id="179" w:name="_Toc2650"/>
      <w:r>
        <w:rPr>
          <w:rFonts w:hint="eastAsia" w:ascii="宋体" w:hAnsi="宋体" w:eastAsia="宋体" w:cs="宋体"/>
          <w:color w:val="auto"/>
          <w:sz w:val="72"/>
          <w:szCs w:val="72"/>
          <w:highlight w:val="none"/>
        </w:rPr>
        <w:t>技术文件</w:t>
      </w:r>
      <w:bookmarkEnd w:id="179"/>
    </w:p>
    <w:p w14:paraId="2911CFFC">
      <w:pPr>
        <w:jc w:val="center"/>
        <w:rPr>
          <w:rFonts w:hint="eastAsia" w:ascii="宋体" w:hAnsi="宋体" w:eastAsia="宋体" w:cs="宋体"/>
          <w:color w:val="auto"/>
          <w:sz w:val="72"/>
          <w:szCs w:val="72"/>
          <w:highlight w:val="none"/>
        </w:rPr>
      </w:pPr>
      <w:r>
        <w:rPr>
          <w:rFonts w:hint="eastAsia" w:ascii="宋体" w:hAnsi="宋体" w:eastAsia="宋体" w:cs="宋体"/>
          <w:color w:val="auto"/>
          <w:sz w:val="72"/>
          <w:szCs w:val="72"/>
          <w:highlight w:val="none"/>
        </w:rPr>
        <w:t>（单独装订成册）</w:t>
      </w:r>
    </w:p>
    <w:p w14:paraId="736DD3D6">
      <w:pPr>
        <w:rPr>
          <w:rFonts w:hint="eastAsia" w:ascii="宋体" w:hAnsi="宋体" w:eastAsia="宋体" w:cs="宋体"/>
          <w:color w:val="auto"/>
          <w:highlight w:val="none"/>
        </w:rPr>
      </w:pPr>
    </w:p>
    <w:p w14:paraId="23C197ED">
      <w:pPr>
        <w:pStyle w:val="9"/>
        <w:rPr>
          <w:rFonts w:hint="eastAsia" w:ascii="宋体" w:hAnsi="宋体" w:eastAsia="宋体" w:cs="宋体"/>
          <w:color w:val="auto"/>
          <w:highlight w:val="none"/>
        </w:rPr>
      </w:pPr>
    </w:p>
    <w:p w14:paraId="6124EB0D">
      <w:pPr>
        <w:pStyle w:val="10"/>
        <w:ind w:firstLine="240"/>
        <w:rPr>
          <w:rFonts w:hint="eastAsia" w:ascii="宋体" w:hAnsi="宋体" w:eastAsia="宋体" w:cs="宋体"/>
          <w:color w:val="auto"/>
          <w:highlight w:val="none"/>
        </w:rPr>
      </w:pPr>
    </w:p>
    <w:p w14:paraId="192BE59E">
      <w:pPr>
        <w:rPr>
          <w:rFonts w:hint="eastAsia" w:ascii="宋体" w:hAnsi="宋体" w:eastAsia="宋体" w:cs="宋体"/>
          <w:b/>
          <w:bCs/>
          <w:color w:val="auto"/>
          <w:spacing w:val="-6"/>
          <w:sz w:val="32"/>
          <w:szCs w:val="32"/>
          <w:highlight w:val="none"/>
        </w:rPr>
      </w:pPr>
      <w:r>
        <w:rPr>
          <w:rFonts w:hint="eastAsia" w:ascii="宋体" w:hAnsi="宋体" w:eastAsia="宋体" w:cs="宋体"/>
          <w:b/>
          <w:bCs/>
          <w:color w:val="auto"/>
          <w:spacing w:val="53"/>
          <w:kern w:val="0"/>
          <w:sz w:val="32"/>
          <w:szCs w:val="32"/>
          <w:highlight w:val="none"/>
          <w:fitText w:val="1600" w:id="8"/>
        </w:rPr>
        <w:t>项目名</w:t>
      </w:r>
      <w:r>
        <w:rPr>
          <w:rFonts w:hint="eastAsia" w:ascii="宋体" w:hAnsi="宋体" w:eastAsia="宋体" w:cs="宋体"/>
          <w:b/>
          <w:bCs/>
          <w:color w:val="auto"/>
          <w:spacing w:val="1"/>
          <w:kern w:val="0"/>
          <w:sz w:val="32"/>
          <w:szCs w:val="32"/>
          <w:highlight w:val="none"/>
          <w:fitText w:val="1600" w:id="8"/>
        </w:rPr>
        <w:t>称</w:t>
      </w:r>
      <w:r>
        <w:rPr>
          <w:rFonts w:hint="eastAsia" w:ascii="宋体" w:hAnsi="宋体" w:eastAsia="宋体" w:cs="宋体"/>
          <w:b/>
          <w:bCs/>
          <w:color w:val="auto"/>
          <w:spacing w:val="-6"/>
          <w:sz w:val="32"/>
          <w:szCs w:val="32"/>
          <w:highlight w:val="none"/>
        </w:rPr>
        <w:t>：</w:t>
      </w:r>
    </w:p>
    <w:p w14:paraId="0CB4D9FC">
      <w:pPr>
        <w:rPr>
          <w:rFonts w:hint="eastAsia" w:ascii="宋体" w:hAnsi="宋体" w:eastAsia="宋体" w:cs="宋体"/>
          <w:b/>
          <w:bCs/>
          <w:color w:val="auto"/>
          <w:sz w:val="32"/>
          <w:szCs w:val="32"/>
          <w:highlight w:val="none"/>
        </w:rPr>
      </w:pPr>
      <w:r>
        <w:rPr>
          <w:rFonts w:hint="eastAsia" w:ascii="宋体" w:hAnsi="宋体" w:eastAsia="宋体" w:cs="宋体"/>
          <w:b/>
          <w:bCs/>
          <w:color w:val="auto"/>
          <w:spacing w:val="53"/>
          <w:kern w:val="0"/>
          <w:sz w:val="32"/>
          <w:szCs w:val="32"/>
          <w:highlight w:val="none"/>
          <w:fitText w:val="1600" w:id="9"/>
        </w:rPr>
        <w:t>项目编</w:t>
      </w:r>
      <w:r>
        <w:rPr>
          <w:rFonts w:hint="eastAsia" w:ascii="宋体" w:hAnsi="宋体" w:eastAsia="宋体" w:cs="宋体"/>
          <w:b/>
          <w:bCs/>
          <w:color w:val="auto"/>
          <w:spacing w:val="1"/>
          <w:kern w:val="0"/>
          <w:sz w:val="32"/>
          <w:szCs w:val="32"/>
          <w:highlight w:val="none"/>
          <w:fitText w:val="1600" w:id="9"/>
        </w:rPr>
        <w:t>号</w:t>
      </w:r>
      <w:r>
        <w:rPr>
          <w:rFonts w:hint="eastAsia" w:ascii="宋体" w:hAnsi="宋体" w:eastAsia="宋体" w:cs="宋体"/>
          <w:b/>
          <w:bCs/>
          <w:color w:val="auto"/>
          <w:sz w:val="32"/>
          <w:szCs w:val="32"/>
          <w:highlight w:val="none"/>
        </w:rPr>
        <w:t>：</w:t>
      </w:r>
    </w:p>
    <w:p w14:paraId="051BF5C4">
      <w:pPr>
        <w:pStyle w:val="9"/>
        <w:ind w:left="0"/>
        <w:rPr>
          <w:rFonts w:hint="eastAsia" w:ascii="宋体" w:hAnsi="宋体" w:eastAsia="宋体" w:cs="宋体"/>
          <w:b/>
          <w:color w:val="auto"/>
          <w:spacing w:val="1280"/>
          <w:sz w:val="32"/>
          <w:szCs w:val="32"/>
          <w:highlight w:val="none"/>
        </w:rPr>
      </w:pPr>
      <w:r>
        <w:rPr>
          <w:rFonts w:hint="eastAsia" w:ascii="宋体" w:hAnsi="宋体" w:eastAsia="宋体" w:cs="宋体"/>
          <w:b/>
          <w:color w:val="auto"/>
          <w:spacing w:val="106"/>
          <w:sz w:val="32"/>
          <w:szCs w:val="32"/>
          <w:highlight w:val="none"/>
          <w:lang w:val="en-US" w:bidi="ar-SA"/>
        </w:rPr>
        <w:t>包组号（如有）：</w:t>
      </w:r>
    </w:p>
    <w:p w14:paraId="1848020D">
      <w:pPr>
        <w:rPr>
          <w:rFonts w:hint="eastAsia" w:ascii="宋体" w:hAnsi="宋体" w:eastAsia="宋体" w:cs="宋体"/>
          <w:b/>
          <w:color w:val="auto"/>
          <w:sz w:val="32"/>
          <w:szCs w:val="32"/>
          <w:highlight w:val="none"/>
        </w:rPr>
      </w:pPr>
      <w:r>
        <w:rPr>
          <w:rFonts w:hint="eastAsia" w:ascii="宋体" w:hAnsi="宋体" w:eastAsia="宋体" w:cs="宋体"/>
          <w:b/>
          <w:color w:val="auto"/>
          <w:spacing w:val="0"/>
          <w:kern w:val="0"/>
          <w:sz w:val="32"/>
          <w:szCs w:val="32"/>
          <w:highlight w:val="none"/>
          <w:fitText w:val="1600" w:id="10"/>
        </w:rPr>
        <w:t>投标人名称</w:t>
      </w:r>
      <w:r>
        <w:rPr>
          <w:rFonts w:hint="eastAsia" w:ascii="宋体" w:hAnsi="宋体" w:eastAsia="宋体" w:cs="宋体"/>
          <w:b/>
          <w:color w:val="auto"/>
          <w:sz w:val="32"/>
          <w:szCs w:val="32"/>
          <w:highlight w:val="none"/>
        </w:rPr>
        <w:t>：</w:t>
      </w:r>
    </w:p>
    <w:p w14:paraId="1C1103A9">
      <w:pPr>
        <w:rPr>
          <w:rFonts w:hint="eastAsia" w:ascii="宋体" w:hAnsi="宋体" w:eastAsia="宋体" w:cs="宋体"/>
          <w:b/>
          <w:color w:val="auto"/>
          <w:sz w:val="32"/>
          <w:szCs w:val="32"/>
          <w:highlight w:val="none"/>
        </w:rPr>
      </w:pPr>
      <w:r>
        <w:rPr>
          <w:rFonts w:hint="eastAsia" w:ascii="宋体" w:hAnsi="宋体" w:eastAsia="宋体" w:cs="宋体"/>
          <w:b/>
          <w:color w:val="auto"/>
          <w:spacing w:val="32"/>
          <w:kern w:val="0"/>
          <w:sz w:val="32"/>
          <w:szCs w:val="32"/>
          <w:highlight w:val="none"/>
          <w:fitText w:val="1600" w:id="11"/>
        </w:rPr>
        <w:t xml:space="preserve">日    </w:t>
      </w:r>
      <w:r>
        <w:rPr>
          <w:rFonts w:hint="eastAsia" w:ascii="宋体" w:hAnsi="宋体" w:eastAsia="宋体" w:cs="宋体"/>
          <w:b/>
          <w:color w:val="auto"/>
          <w:spacing w:val="0"/>
          <w:kern w:val="0"/>
          <w:sz w:val="32"/>
          <w:szCs w:val="32"/>
          <w:highlight w:val="none"/>
          <w:fitText w:val="1600" w:id="11"/>
        </w:rPr>
        <w:t>期</w:t>
      </w:r>
      <w:r>
        <w:rPr>
          <w:rFonts w:hint="eastAsia" w:ascii="宋体" w:hAnsi="宋体" w:eastAsia="宋体" w:cs="宋体"/>
          <w:b/>
          <w:color w:val="auto"/>
          <w:sz w:val="32"/>
          <w:szCs w:val="32"/>
          <w:highlight w:val="none"/>
        </w:rPr>
        <w:t>：</w:t>
      </w:r>
    </w:p>
    <w:p w14:paraId="4DF90E4B">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57B5875E">
      <w:pPr>
        <w:pStyle w:val="5"/>
        <w:widowControl w:val="0"/>
        <w:overflowPunct w:val="0"/>
        <w:spacing w:line="240" w:lineRule="auto"/>
        <w:rPr>
          <w:rFonts w:hint="eastAsia" w:ascii="宋体" w:hAnsi="宋体" w:eastAsia="宋体" w:cs="宋体"/>
          <w:color w:val="auto"/>
          <w:sz w:val="21"/>
          <w:szCs w:val="21"/>
          <w:highlight w:val="none"/>
        </w:rPr>
      </w:pPr>
      <w:bookmarkStart w:id="180" w:name="_Toc25467"/>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.技术规格偏离表格式</w:t>
      </w:r>
      <w:bookmarkEnd w:id="180"/>
    </w:p>
    <w:p w14:paraId="3E5A6E50">
      <w:pPr>
        <w:jc w:val="center"/>
        <w:rPr>
          <w:rFonts w:hint="eastAsia" w:ascii="宋体" w:hAnsi="宋体" w:eastAsia="宋体" w:cs="宋体"/>
          <w:color w:val="auto"/>
          <w:sz w:val="28"/>
          <w:szCs w:val="28"/>
          <w:highlight w:val="none"/>
        </w:rPr>
      </w:pPr>
    </w:p>
    <w:p w14:paraId="3F438CBA">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技术规格偏离表</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4F073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7AB2439D">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1902" w:type="dxa"/>
            <w:vAlign w:val="center"/>
          </w:tcPr>
          <w:p w14:paraId="5AAD87E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服务项目名称</w:t>
            </w:r>
          </w:p>
        </w:tc>
        <w:tc>
          <w:tcPr>
            <w:tcW w:w="1370" w:type="dxa"/>
            <w:vAlign w:val="center"/>
          </w:tcPr>
          <w:p w14:paraId="02643B96">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采购要求</w:t>
            </w:r>
          </w:p>
        </w:tc>
        <w:tc>
          <w:tcPr>
            <w:tcW w:w="1629" w:type="dxa"/>
            <w:vAlign w:val="center"/>
          </w:tcPr>
          <w:p w14:paraId="23591F70">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投标实际响应</w:t>
            </w:r>
          </w:p>
        </w:tc>
        <w:tc>
          <w:tcPr>
            <w:tcW w:w="1239" w:type="dxa"/>
            <w:vAlign w:val="center"/>
          </w:tcPr>
          <w:p w14:paraId="2E9E66C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是否偏离</w:t>
            </w:r>
          </w:p>
        </w:tc>
        <w:tc>
          <w:tcPr>
            <w:tcW w:w="1544" w:type="dxa"/>
            <w:vAlign w:val="center"/>
          </w:tcPr>
          <w:p w14:paraId="699DC2E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说明</w:t>
            </w:r>
          </w:p>
        </w:tc>
      </w:tr>
      <w:tr w14:paraId="0FA9D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606A150">
            <w:pPr>
              <w:jc w:val="center"/>
              <w:rPr>
                <w:rFonts w:hint="eastAsia" w:ascii="宋体" w:hAnsi="宋体" w:eastAsia="宋体" w:cs="宋体"/>
                <w:color w:val="auto"/>
                <w:szCs w:val="21"/>
                <w:highlight w:val="none"/>
              </w:rPr>
            </w:pPr>
          </w:p>
        </w:tc>
        <w:tc>
          <w:tcPr>
            <w:tcW w:w="1902" w:type="dxa"/>
            <w:vAlign w:val="center"/>
          </w:tcPr>
          <w:p w14:paraId="1DFC1433">
            <w:pPr>
              <w:jc w:val="center"/>
              <w:rPr>
                <w:rFonts w:hint="eastAsia" w:ascii="宋体" w:hAnsi="宋体" w:eastAsia="宋体" w:cs="宋体"/>
                <w:color w:val="auto"/>
                <w:szCs w:val="21"/>
                <w:highlight w:val="none"/>
              </w:rPr>
            </w:pPr>
          </w:p>
        </w:tc>
        <w:tc>
          <w:tcPr>
            <w:tcW w:w="1370" w:type="dxa"/>
            <w:vAlign w:val="center"/>
          </w:tcPr>
          <w:p w14:paraId="41488E87">
            <w:pPr>
              <w:jc w:val="center"/>
              <w:rPr>
                <w:rFonts w:hint="eastAsia" w:ascii="宋体" w:hAnsi="宋体" w:eastAsia="宋体" w:cs="宋体"/>
                <w:color w:val="auto"/>
                <w:szCs w:val="21"/>
                <w:highlight w:val="none"/>
              </w:rPr>
            </w:pPr>
          </w:p>
        </w:tc>
        <w:tc>
          <w:tcPr>
            <w:tcW w:w="1629" w:type="dxa"/>
            <w:vAlign w:val="center"/>
          </w:tcPr>
          <w:p w14:paraId="585AA161">
            <w:pPr>
              <w:jc w:val="center"/>
              <w:rPr>
                <w:rFonts w:hint="eastAsia" w:ascii="宋体" w:hAnsi="宋体" w:eastAsia="宋体" w:cs="宋体"/>
                <w:color w:val="auto"/>
                <w:szCs w:val="21"/>
                <w:highlight w:val="none"/>
              </w:rPr>
            </w:pPr>
          </w:p>
        </w:tc>
        <w:tc>
          <w:tcPr>
            <w:tcW w:w="1239" w:type="dxa"/>
            <w:vAlign w:val="center"/>
          </w:tcPr>
          <w:p w14:paraId="0693D68A">
            <w:pPr>
              <w:jc w:val="center"/>
              <w:rPr>
                <w:rFonts w:hint="eastAsia" w:ascii="宋体" w:hAnsi="宋体" w:eastAsia="宋体" w:cs="宋体"/>
                <w:color w:val="auto"/>
                <w:szCs w:val="21"/>
                <w:highlight w:val="none"/>
              </w:rPr>
            </w:pPr>
          </w:p>
        </w:tc>
        <w:tc>
          <w:tcPr>
            <w:tcW w:w="1544" w:type="dxa"/>
            <w:vAlign w:val="center"/>
          </w:tcPr>
          <w:p w14:paraId="3E3E86D4">
            <w:pPr>
              <w:jc w:val="center"/>
              <w:rPr>
                <w:rFonts w:hint="eastAsia" w:ascii="宋体" w:hAnsi="宋体" w:eastAsia="宋体" w:cs="宋体"/>
                <w:color w:val="auto"/>
                <w:szCs w:val="21"/>
                <w:highlight w:val="none"/>
              </w:rPr>
            </w:pPr>
          </w:p>
        </w:tc>
      </w:tr>
      <w:tr w14:paraId="08454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1BF1030">
            <w:pPr>
              <w:jc w:val="center"/>
              <w:rPr>
                <w:rFonts w:hint="eastAsia" w:ascii="宋体" w:hAnsi="宋体" w:eastAsia="宋体" w:cs="宋体"/>
                <w:color w:val="auto"/>
                <w:szCs w:val="21"/>
                <w:highlight w:val="none"/>
              </w:rPr>
            </w:pPr>
          </w:p>
        </w:tc>
        <w:tc>
          <w:tcPr>
            <w:tcW w:w="1902" w:type="dxa"/>
            <w:vAlign w:val="center"/>
          </w:tcPr>
          <w:p w14:paraId="2ACA5DB3">
            <w:pPr>
              <w:jc w:val="center"/>
              <w:rPr>
                <w:rFonts w:hint="eastAsia" w:ascii="宋体" w:hAnsi="宋体" w:eastAsia="宋体" w:cs="宋体"/>
                <w:color w:val="auto"/>
                <w:szCs w:val="21"/>
                <w:highlight w:val="none"/>
              </w:rPr>
            </w:pPr>
          </w:p>
        </w:tc>
        <w:tc>
          <w:tcPr>
            <w:tcW w:w="1370" w:type="dxa"/>
            <w:vAlign w:val="center"/>
          </w:tcPr>
          <w:p w14:paraId="5EC9EFB8">
            <w:pPr>
              <w:jc w:val="center"/>
              <w:rPr>
                <w:rFonts w:hint="eastAsia" w:ascii="宋体" w:hAnsi="宋体" w:eastAsia="宋体" w:cs="宋体"/>
                <w:color w:val="auto"/>
                <w:szCs w:val="21"/>
                <w:highlight w:val="none"/>
              </w:rPr>
            </w:pPr>
          </w:p>
        </w:tc>
        <w:tc>
          <w:tcPr>
            <w:tcW w:w="1629" w:type="dxa"/>
            <w:vAlign w:val="center"/>
          </w:tcPr>
          <w:p w14:paraId="35349D93">
            <w:pPr>
              <w:jc w:val="center"/>
              <w:rPr>
                <w:rFonts w:hint="eastAsia" w:ascii="宋体" w:hAnsi="宋体" w:eastAsia="宋体" w:cs="宋体"/>
                <w:color w:val="auto"/>
                <w:szCs w:val="21"/>
                <w:highlight w:val="none"/>
              </w:rPr>
            </w:pPr>
          </w:p>
        </w:tc>
        <w:tc>
          <w:tcPr>
            <w:tcW w:w="1239" w:type="dxa"/>
            <w:vAlign w:val="center"/>
          </w:tcPr>
          <w:p w14:paraId="05A62713">
            <w:pPr>
              <w:jc w:val="center"/>
              <w:rPr>
                <w:rFonts w:hint="eastAsia" w:ascii="宋体" w:hAnsi="宋体" w:eastAsia="宋体" w:cs="宋体"/>
                <w:color w:val="auto"/>
                <w:szCs w:val="21"/>
                <w:highlight w:val="none"/>
              </w:rPr>
            </w:pPr>
          </w:p>
        </w:tc>
        <w:tc>
          <w:tcPr>
            <w:tcW w:w="1544" w:type="dxa"/>
            <w:vAlign w:val="center"/>
          </w:tcPr>
          <w:p w14:paraId="7FC72DB9">
            <w:pPr>
              <w:jc w:val="center"/>
              <w:rPr>
                <w:rFonts w:hint="eastAsia" w:ascii="宋体" w:hAnsi="宋体" w:eastAsia="宋体" w:cs="宋体"/>
                <w:color w:val="auto"/>
                <w:szCs w:val="21"/>
                <w:highlight w:val="none"/>
              </w:rPr>
            </w:pPr>
          </w:p>
        </w:tc>
      </w:tr>
      <w:tr w14:paraId="22F78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8A3E916">
            <w:pPr>
              <w:jc w:val="center"/>
              <w:rPr>
                <w:rFonts w:hint="eastAsia" w:ascii="宋体" w:hAnsi="宋体" w:eastAsia="宋体" w:cs="宋体"/>
                <w:color w:val="auto"/>
                <w:szCs w:val="21"/>
                <w:highlight w:val="none"/>
              </w:rPr>
            </w:pPr>
          </w:p>
        </w:tc>
        <w:tc>
          <w:tcPr>
            <w:tcW w:w="1902" w:type="dxa"/>
            <w:vAlign w:val="center"/>
          </w:tcPr>
          <w:p w14:paraId="6AE8FFD0">
            <w:pPr>
              <w:jc w:val="center"/>
              <w:rPr>
                <w:rFonts w:hint="eastAsia" w:ascii="宋体" w:hAnsi="宋体" w:eastAsia="宋体" w:cs="宋体"/>
                <w:color w:val="auto"/>
                <w:szCs w:val="21"/>
                <w:highlight w:val="none"/>
              </w:rPr>
            </w:pPr>
          </w:p>
        </w:tc>
        <w:tc>
          <w:tcPr>
            <w:tcW w:w="1370" w:type="dxa"/>
            <w:vAlign w:val="center"/>
          </w:tcPr>
          <w:p w14:paraId="6C2F1987">
            <w:pPr>
              <w:jc w:val="center"/>
              <w:rPr>
                <w:rFonts w:hint="eastAsia" w:ascii="宋体" w:hAnsi="宋体" w:eastAsia="宋体" w:cs="宋体"/>
                <w:color w:val="auto"/>
                <w:szCs w:val="21"/>
                <w:highlight w:val="none"/>
              </w:rPr>
            </w:pPr>
          </w:p>
        </w:tc>
        <w:tc>
          <w:tcPr>
            <w:tcW w:w="1629" w:type="dxa"/>
            <w:vAlign w:val="center"/>
          </w:tcPr>
          <w:p w14:paraId="3583A315">
            <w:pPr>
              <w:jc w:val="center"/>
              <w:rPr>
                <w:rFonts w:hint="eastAsia" w:ascii="宋体" w:hAnsi="宋体" w:eastAsia="宋体" w:cs="宋体"/>
                <w:color w:val="auto"/>
                <w:szCs w:val="21"/>
                <w:highlight w:val="none"/>
              </w:rPr>
            </w:pPr>
          </w:p>
        </w:tc>
        <w:tc>
          <w:tcPr>
            <w:tcW w:w="1239" w:type="dxa"/>
            <w:vAlign w:val="center"/>
          </w:tcPr>
          <w:p w14:paraId="33A40E14">
            <w:pPr>
              <w:jc w:val="center"/>
              <w:rPr>
                <w:rFonts w:hint="eastAsia" w:ascii="宋体" w:hAnsi="宋体" w:eastAsia="宋体" w:cs="宋体"/>
                <w:color w:val="auto"/>
                <w:szCs w:val="21"/>
                <w:highlight w:val="none"/>
              </w:rPr>
            </w:pPr>
          </w:p>
        </w:tc>
        <w:tc>
          <w:tcPr>
            <w:tcW w:w="1544" w:type="dxa"/>
            <w:vAlign w:val="center"/>
          </w:tcPr>
          <w:p w14:paraId="5CCD1FF4">
            <w:pPr>
              <w:jc w:val="center"/>
              <w:rPr>
                <w:rFonts w:hint="eastAsia" w:ascii="宋体" w:hAnsi="宋体" w:eastAsia="宋体" w:cs="宋体"/>
                <w:color w:val="auto"/>
                <w:szCs w:val="21"/>
                <w:highlight w:val="none"/>
              </w:rPr>
            </w:pPr>
          </w:p>
        </w:tc>
      </w:tr>
      <w:tr w14:paraId="6D5D2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8A70965">
            <w:pPr>
              <w:jc w:val="center"/>
              <w:rPr>
                <w:rFonts w:hint="eastAsia" w:ascii="宋体" w:hAnsi="宋体" w:eastAsia="宋体" w:cs="宋体"/>
                <w:color w:val="auto"/>
                <w:szCs w:val="21"/>
                <w:highlight w:val="none"/>
              </w:rPr>
            </w:pPr>
          </w:p>
        </w:tc>
        <w:tc>
          <w:tcPr>
            <w:tcW w:w="1902" w:type="dxa"/>
            <w:vAlign w:val="center"/>
          </w:tcPr>
          <w:p w14:paraId="6D4A60BF">
            <w:pPr>
              <w:jc w:val="center"/>
              <w:rPr>
                <w:rFonts w:hint="eastAsia" w:ascii="宋体" w:hAnsi="宋体" w:eastAsia="宋体" w:cs="宋体"/>
                <w:color w:val="auto"/>
                <w:szCs w:val="21"/>
                <w:highlight w:val="none"/>
              </w:rPr>
            </w:pPr>
          </w:p>
        </w:tc>
        <w:tc>
          <w:tcPr>
            <w:tcW w:w="1370" w:type="dxa"/>
            <w:vAlign w:val="center"/>
          </w:tcPr>
          <w:p w14:paraId="3089FAFB">
            <w:pPr>
              <w:jc w:val="center"/>
              <w:rPr>
                <w:rFonts w:hint="eastAsia" w:ascii="宋体" w:hAnsi="宋体" w:eastAsia="宋体" w:cs="宋体"/>
                <w:color w:val="auto"/>
                <w:szCs w:val="21"/>
                <w:highlight w:val="none"/>
              </w:rPr>
            </w:pPr>
          </w:p>
        </w:tc>
        <w:tc>
          <w:tcPr>
            <w:tcW w:w="1629" w:type="dxa"/>
            <w:vAlign w:val="center"/>
          </w:tcPr>
          <w:p w14:paraId="678B3ABB">
            <w:pPr>
              <w:jc w:val="center"/>
              <w:rPr>
                <w:rFonts w:hint="eastAsia" w:ascii="宋体" w:hAnsi="宋体" w:eastAsia="宋体" w:cs="宋体"/>
                <w:color w:val="auto"/>
                <w:szCs w:val="21"/>
                <w:highlight w:val="none"/>
              </w:rPr>
            </w:pPr>
          </w:p>
        </w:tc>
        <w:tc>
          <w:tcPr>
            <w:tcW w:w="1239" w:type="dxa"/>
            <w:vAlign w:val="center"/>
          </w:tcPr>
          <w:p w14:paraId="60658757">
            <w:pPr>
              <w:jc w:val="center"/>
              <w:rPr>
                <w:rFonts w:hint="eastAsia" w:ascii="宋体" w:hAnsi="宋体" w:eastAsia="宋体" w:cs="宋体"/>
                <w:color w:val="auto"/>
                <w:szCs w:val="21"/>
                <w:highlight w:val="none"/>
              </w:rPr>
            </w:pPr>
          </w:p>
        </w:tc>
        <w:tc>
          <w:tcPr>
            <w:tcW w:w="1544" w:type="dxa"/>
            <w:vAlign w:val="center"/>
          </w:tcPr>
          <w:p w14:paraId="330791C2">
            <w:pPr>
              <w:jc w:val="center"/>
              <w:rPr>
                <w:rFonts w:hint="eastAsia" w:ascii="宋体" w:hAnsi="宋体" w:eastAsia="宋体" w:cs="宋体"/>
                <w:color w:val="auto"/>
                <w:szCs w:val="21"/>
                <w:highlight w:val="none"/>
              </w:rPr>
            </w:pPr>
          </w:p>
        </w:tc>
      </w:tr>
      <w:tr w14:paraId="0737B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F67CAA5">
            <w:pPr>
              <w:jc w:val="center"/>
              <w:rPr>
                <w:rFonts w:hint="eastAsia" w:ascii="宋体" w:hAnsi="宋体" w:eastAsia="宋体" w:cs="宋体"/>
                <w:color w:val="auto"/>
                <w:szCs w:val="21"/>
                <w:highlight w:val="none"/>
              </w:rPr>
            </w:pPr>
          </w:p>
        </w:tc>
        <w:tc>
          <w:tcPr>
            <w:tcW w:w="1902" w:type="dxa"/>
            <w:vAlign w:val="center"/>
          </w:tcPr>
          <w:p w14:paraId="0A7959AA">
            <w:pPr>
              <w:jc w:val="center"/>
              <w:rPr>
                <w:rFonts w:hint="eastAsia" w:ascii="宋体" w:hAnsi="宋体" w:eastAsia="宋体" w:cs="宋体"/>
                <w:color w:val="auto"/>
                <w:szCs w:val="21"/>
                <w:highlight w:val="none"/>
              </w:rPr>
            </w:pPr>
          </w:p>
        </w:tc>
        <w:tc>
          <w:tcPr>
            <w:tcW w:w="1370" w:type="dxa"/>
            <w:vAlign w:val="center"/>
          </w:tcPr>
          <w:p w14:paraId="7F8012DE">
            <w:pPr>
              <w:jc w:val="center"/>
              <w:rPr>
                <w:rFonts w:hint="eastAsia" w:ascii="宋体" w:hAnsi="宋体" w:eastAsia="宋体" w:cs="宋体"/>
                <w:color w:val="auto"/>
                <w:szCs w:val="21"/>
                <w:highlight w:val="none"/>
              </w:rPr>
            </w:pPr>
          </w:p>
        </w:tc>
        <w:tc>
          <w:tcPr>
            <w:tcW w:w="1629" w:type="dxa"/>
            <w:vAlign w:val="center"/>
          </w:tcPr>
          <w:p w14:paraId="3C11CD9C">
            <w:pPr>
              <w:jc w:val="center"/>
              <w:rPr>
                <w:rFonts w:hint="eastAsia" w:ascii="宋体" w:hAnsi="宋体" w:eastAsia="宋体" w:cs="宋体"/>
                <w:color w:val="auto"/>
                <w:szCs w:val="21"/>
                <w:highlight w:val="none"/>
              </w:rPr>
            </w:pPr>
          </w:p>
        </w:tc>
        <w:tc>
          <w:tcPr>
            <w:tcW w:w="1239" w:type="dxa"/>
            <w:vAlign w:val="center"/>
          </w:tcPr>
          <w:p w14:paraId="3BD2FA41">
            <w:pPr>
              <w:jc w:val="center"/>
              <w:rPr>
                <w:rFonts w:hint="eastAsia" w:ascii="宋体" w:hAnsi="宋体" w:eastAsia="宋体" w:cs="宋体"/>
                <w:color w:val="auto"/>
                <w:szCs w:val="21"/>
                <w:highlight w:val="none"/>
              </w:rPr>
            </w:pPr>
          </w:p>
        </w:tc>
        <w:tc>
          <w:tcPr>
            <w:tcW w:w="1544" w:type="dxa"/>
            <w:vAlign w:val="center"/>
          </w:tcPr>
          <w:p w14:paraId="207FEBFA">
            <w:pPr>
              <w:jc w:val="center"/>
              <w:rPr>
                <w:rFonts w:hint="eastAsia" w:ascii="宋体" w:hAnsi="宋体" w:eastAsia="宋体" w:cs="宋体"/>
                <w:color w:val="auto"/>
                <w:szCs w:val="21"/>
                <w:highlight w:val="none"/>
              </w:rPr>
            </w:pPr>
          </w:p>
        </w:tc>
      </w:tr>
      <w:tr w14:paraId="68548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995FCB6">
            <w:pPr>
              <w:jc w:val="center"/>
              <w:rPr>
                <w:rFonts w:hint="eastAsia" w:ascii="宋体" w:hAnsi="宋体" w:eastAsia="宋体" w:cs="宋体"/>
                <w:color w:val="auto"/>
                <w:szCs w:val="21"/>
                <w:highlight w:val="none"/>
              </w:rPr>
            </w:pPr>
          </w:p>
        </w:tc>
        <w:tc>
          <w:tcPr>
            <w:tcW w:w="1902" w:type="dxa"/>
            <w:vAlign w:val="center"/>
          </w:tcPr>
          <w:p w14:paraId="4414F5EF">
            <w:pPr>
              <w:jc w:val="center"/>
              <w:rPr>
                <w:rFonts w:hint="eastAsia" w:ascii="宋体" w:hAnsi="宋体" w:eastAsia="宋体" w:cs="宋体"/>
                <w:color w:val="auto"/>
                <w:szCs w:val="21"/>
                <w:highlight w:val="none"/>
              </w:rPr>
            </w:pPr>
          </w:p>
        </w:tc>
        <w:tc>
          <w:tcPr>
            <w:tcW w:w="1370" w:type="dxa"/>
            <w:vAlign w:val="center"/>
          </w:tcPr>
          <w:p w14:paraId="3768E888">
            <w:pPr>
              <w:jc w:val="center"/>
              <w:rPr>
                <w:rFonts w:hint="eastAsia" w:ascii="宋体" w:hAnsi="宋体" w:eastAsia="宋体" w:cs="宋体"/>
                <w:color w:val="auto"/>
                <w:szCs w:val="21"/>
                <w:highlight w:val="none"/>
              </w:rPr>
            </w:pPr>
          </w:p>
        </w:tc>
        <w:tc>
          <w:tcPr>
            <w:tcW w:w="1629" w:type="dxa"/>
            <w:vAlign w:val="center"/>
          </w:tcPr>
          <w:p w14:paraId="6B8E0DAE">
            <w:pPr>
              <w:jc w:val="center"/>
              <w:rPr>
                <w:rFonts w:hint="eastAsia" w:ascii="宋体" w:hAnsi="宋体" w:eastAsia="宋体" w:cs="宋体"/>
                <w:color w:val="auto"/>
                <w:szCs w:val="21"/>
                <w:highlight w:val="none"/>
              </w:rPr>
            </w:pPr>
          </w:p>
        </w:tc>
        <w:tc>
          <w:tcPr>
            <w:tcW w:w="1239" w:type="dxa"/>
            <w:vAlign w:val="center"/>
          </w:tcPr>
          <w:p w14:paraId="4F463F63">
            <w:pPr>
              <w:jc w:val="center"/>
              <w:rPr>
                <w:rFonts w:hint="eastAsia" w:ascii="宋体" w:hAnsi="宋体" w:eastAsia="宋体" w:cs="宋体"/>
                <w:color w:val="auto"/>
                <w:szCs w:val="21"/>
                <w:highlight w:val="none"/>
              </w:rPr>
            </w:pPr>
          </w:p>
        </w:tc>
        <w:tc>
          <w:tcPr>
            <w:tcW w:w="1544" w:type="dxa"/>
            <w:vAlign w:val="center"/>
          </w:tcPr>
          <w:p w14:paraId="73202920">
            <w:pPr>
              <w:jc w:val="center"/>
              <w:rPr>
                <w:rFonts w:hint="eastAsia" w:ascii="宋体" w:hAnsi="宋体" w:eastAsia="宋体" w:cs="宋体"/>
                <w:color w:val="auto"/>
                <w:szCs w:val="21"/>
                <w:highlight w:val="none"/>
              </w:rPr>
            </w:pPr>
          </w:p>
        </w:tc>
      </w:tr>
      <w:tr w14:paraId="53BC9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EE80845">
            <w:pPr>
              <w:jc w:val="center"/>
              <w:rPr>
                <w:rFonts w:hint="eastAsia" w:ascii="宋体" w:hAnsi="宋体" w:eastAsia="宋体" w:cs="宋体"/>
                <w:color w:val="auto"/>
                <w:szCs w:val="21"/>
                <w:highlight w:val="none"/>
              </w:rPr>
            </w:pPr>
          </w:p>
        </w:tc>
        <w:tc>
          <w:tcPr>
            <w:tcW w:w="1902" w:type="dxa"/>
            <w:vAlign w:val="center"/>
          </w:tcPr>
          <w:p w14:paraId="2A92DF40">
            <w:pPr>
              <w:jc w:val="center"/>
              <w:rPr>
                <w:rFonts w:hint="eastAsia" w:ascii="宋体" w:hAnsi="宋体" w:eastAsia="宋体" w:cs="宋体"/>
                <w:color w:val="auto"/>
                <w:szCs w:val="21"/>
                <w:highlight w:val="none"/>
              </w:rPr>
            </w:pPr>
          </w:p>
        </w:tc>
        <w:tc>
          <w:tcPr>
            <w:tcW w:w="1370" w:type="dxa"/>
            <w:vAlign w:val="center"/>
          </w:tcPr>
          <w:p w14:paraId="1519CB18">
            <w:pPr>
              <w:jc w:val="center"/>
              <w:rPr>
                <w:rFonts w:hint="eastAsia" w:ascii="宋体" w:hAnsi="宋体" w:eastAsia="宋体" w:cs="宋体"/>
                <w:color w:val="auto"/>
                <w:szCs w:val="21"/>
                <w:highlight w:val="none"/>
              </w:rPr>
            </w:pPr>
          </w:p>
        </w:tc>
        <w:tc>
          <w:tcPr>
            <w:tcW w:w="1629" w:type="dxa"/>
            <w:vAlign w:val="center"/>
          </w:tcPr>
          <w:p w14:paraId="27062AFE">
            <w:pPr>
              <w:jc w:val="center"/>
              <w:rPr>
                <w:rFonts w:hint="eastAsia" w:ascii="宋体" w:hAnsi="宋体" w:eastAsia="宋体" w:cs="宋体"/>
                <w:color w:val="auto"/>
                <w:szCs w:val="21"/>
                <w:highlight w:val="none"/>
              </w:rPr>
            </w:pPr>
          </w:p>
        </w:tc>
        <w:tc>
          <w:tcPr>
            <w:tcW w:w="1239" w:type="dxa"/>
            <w:vAlign w:val="center"/>
          </w:tcPr>
          <w:p w14:paraId="018A5076">
            <w:pPr>
              <w:jc w:val="center"/>
              <w:rPr>
                <w:rFonts w:hint="eastAsia" w:ascii="宋体" w:hAnsi="宋体" w:eastAsia="宋体" w:cs="宋体"/>
                <w:color w:val="auto"/>
                <w:szCs w:val="21"/>
                <w:highlight w:val="none"/>
              </w:rPr>
            </w:pPr>
          </w:p>
        </w:tc>
        <w:tc>
          <w:tcPr>
            <w:tcW w:w="1544" w:type="dxa"/>
            <w:vAlign w:val="center"/>
          </w:tcPr>
          <w:p w14:paraId="7BF586FA">
            <w:pPr>
              <w:jc w:val="center"/>
              <w:rPr>
                <w:rFonts w:hint="eastAsia" w:ascii="宋体" w:hAnsi="宋体" w:eastAsia="宋体" w:cs="宋体"/>
                <w:color w:val="auto"/>
                <w:szCs w:val="21"/>
                <w:highlight w:val="none"/>
              </w:rPr>
            </w:pPr>
          </w:p>
        </w:tc>
      </w:tr>
      <w:tr w14:paraId="67226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B31C25D">
            <w:pPr>
              <w:jc w:val="center"/>
              <w:rPr>
                <w:rFonts w:hint="eastAsia" w:ascii="宋体" w:hAnsi="宋体" w:eastAsia="宋体" w:cs="宋体"/>
                <w:color w:val="auto"/>
                <w:szCs w:val="21"/>
                <w:highlight w:val="none"/>
              </w:rPr>
            </w:pPr>
          </w:p>
        </w:tc>
        <w:tc>
          <w:tcPr>
            <w:tcW w:w="1902" w:type="dxa"/>
            <w:vAlign w:val="center"/>
          </w:tcPr>
          <w:p w14:paraId="674AC1D6">
            <w:pPr>
              <w:jc w:val="center"/>
              <w:rPr>
                <w:rFonts w:hint="eastAsia" w:ascii="宋体" w:hAnsi="宋体" w:eastAsia="宋体" w:cs="宋体"/>
                <w:color w:val="auto"/>
                <w:szCs w:val="21"/>
                <w:highlight w:val="none"/>
              </w:rPr>
            </w:pPr>
          </w:p>
        </w:tc>
        <w:tc>
          <w:tcPr>
            <w:tcW w:w="1370" w:type="dxa"/>
            <w:vAlign w:val="center"/>
          </w:tcPr>
          <w:p w14:paraId="14CF7BA7">
            <w:pPr>
              <w:jc w:val="center"/>
              <w:rPr>
                <w:rFonts w:hint="eastAsia" w:ascii="宋体" w:hAnsi="宋体" w:eastAsia="宋体" w:cs="宋体"/>
                <w:color w:val="auto"/>
                <w:szCs w:val="21"/>
                <w:highlight w:val="none"/>
              </w:rPr>
            </w:pPr>
          </w:p>
        </w:tc>
        <w:tc>
          <w:tcPr>
            <w:tcW w:w="1629" w:type="dxa"/>
            <w:vAlign w:val="center"/>
          </w:tcPr>
          <w:p w14:paraId="4BF041E9">
            <w:pPr>
              <w:jc w:val="center"/>
              <w:rPr>
                <w:rFonts w:hint="eastAsia" w:ascii="宋体" w:hAnsi="宋体" w:eastAsia="宋体" w:cs="宋体"/>
                <w:color w:val="auto"/>
                <w:szCs w:val="21"/>
                <w:highlight w:val="none"/>
              </w:rPr>
            </w:pPr>
          </w:p>
        </w:tc>
        <w:tc>
          <w:tcPr>
            <w:tcW w:w="1239" w:type="dxa"/>
            <w:vAlign w:val="center"/>
          </w:tcPr>
          <w:p w14:paraId="7E89992E">
            <w:pPr>
              <w:jc w:val="center"/>
              <w:rPr>
                <w:rFonts w:hint="eastAsia" w:ascii="宋体" w:hAnsi="宋体" w:eastAsia="宋体" w:cs="宋体"/>
                <w:color w:val="auto"/>
                <w:szCs w:val="21"/>
                <w:highlight w:val="none"/>
              </w:rPr>
            </w:pPr>
          </w:p>
        </w:tc>
        <w:tc>
          <w:tcPr>
            <w:tcW w:w="1544" w:type="dxa"/>
            <w:vAlign w:val="center"/>
          </w:tcPr>
          <w:p w14:paraId="5BBDF545">
            <w:pPr>
              <w:jc w:val="center"/>
              <w:rPr>
                <w:rFonts w:hint="eastAsia" w:ascii="宋体" w:hAnsi="宋体" w:eastAsia="宋体" w:cs="宋体"/>
                <w:color w:val="auto"/>
                <w:szCs w:val="21"/>
                <w:highlight w:val="none"/>
              </w:rPr>
            </w:pPr>
          </w:p>
        </w:tc>
      </w:tr>
      <w:tr w14:paraId="5FF10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19A390A">
            <w:pPr>
              <w:jc w:val="center"/>
              <w:rPr>
                <w:rFonts w:hint="eastAsia" w:ascii="宋体" w:hAnsi="宋体" w:eastAsia="宋体" w:cs="宋体"/>
                <w:color w:val="auto"/>
                <w:szCs w:val="21"/>
                <w:highlight w:val="none"/>
              </w:rPr>
            </w:pPr>
          </w:p>
        </w:tc>
        <w:tc>
          <w:tcPr>
            <w:tcW w:w="1902" w:type="dxa"/>
            <w:vAlign w:val="center"/>
          </w:tcPr>
          <w:p w14:paraId="7E0A0AC5">
            <w:pPr>
              <w:jc w:val="center"/>
              <w:rPr>
                <w:rFonts w:hint="eastAsia" w:ascii="宋体" w:hAnsi="宋体" w:eastAsia="宋体" w:cs="宋体"/>
                <w:color w:val="auto"/>
                <w:szCs w:val="21"/>
                <w:highlight w:val="none"/>
              </w:rPr>
            </w:pPr>
          </w:p>
        </w:tc>
        <w:tc>
          <w:tcPr>
            <w:tcW w:w="1370" w:type="dxa"/>
            <w:vAlign w:val="center"/>
          </w:tcPr>
          <w:p w14:paraId="2ACF4FE9">
            <w:pPr>
              <w:jc w:val="center"/>
              <w:rPr>
                <w:rFonts w:hint="eastAsia" w:ascii="宋体" w:hAnsi="宋体" w:eastAsia="宋体" w:cs="宋体"/>
                <w:color w:val="auto"/>
                <w:szCs w:val="21"/>
                <w:highlight w:val="none"/>
              </w:rPr>
            </w:pPr>
          </w:p>
        </w:tc>
        <w:tc>
          <w:tcPr>
            <w:tcW w:w="1629" w:type="dxa"/>
            <w:vAlign w:val="center"/>
          </w:tcPr>
          <w:p w14:paraId="0A601DEF">
            <w:pPr>
              <w:jc w:val="center"/>
              <w:rPr>
                <w:rFonts w:hint="eastAsia" w:ascii="宋体" w:hAnsi="宋体" w:eastAsia="宋体" w:cs="宋体"/>
                <w:color w:val="auto"/>
                <w:szCs w:val="21"/>
                <w:highlight w:val="none"/>
              </w:rPr>
            </w:pPr>
          </w:p>
        </w:tc>
        <w:tc>
          <w:tcPr>
            <w:tcW w:w="1239" w:type="dxa"/>
            <w:vAlign w:val="center"/>
          </w:tcPr>
          <w:p w14:paraId="4751B6E6">
            <w:pPr>
              <w:jc w:val="center"/>
              <w:rPr>
                <w:rFonts w:hint="eastAsia" w:ascii="宋体" w:hAnsi="宋体" w:eastAsia="宋体" w:cs="宋体"/>
                <w:color w:val="auto"/>
                <w:szCs w:val="21"/>
                <w:highlight w:val="none"/>
              </w:rPr>
            </w:pPr>
          </w:p>
        </w:tc>
        <w:tc>
          <w:tcPr>
            <w:tcW w:w="1544" w:type="dxa"/>
            <w:vAlign w:val="center"/>
          </w:tcPr>
          <w:p w14:paraId="7D0BB44A">
            <w:pPr>
              <w:jc w:val="center"/>
              <w:rPr>
                <w:rFonts w:hint="eastAsia" w:ascii="宋体" w:hAnsi="宋体" w:eastAsia="宋体" w:cs="宋体"/>
                <w:color w:val="auto"/>
                <w:szCs w:val="21"/>
                <w:highlight w:val="none"/>
              </w:rPr>
            </w:pPr>
          </w:p>
        </w:tc>
      </w:tr>
      <w:tr w14:paraId="7D82D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EB0002E">
            <w:pPr>
              <w:jc w:val="center"/>
              <w:rPr>
                <w:rFonts w:hint="eastAsia" w:ascii="宋体" w:hAnsi="宋体" w:eastAsia="宋体" w:cs="宋体"/>
                <w:color w:val="auto"/>
                <w:szCs w:val="21"/>
                <w:highlight w:val="none"/>
              </w:rPr>
            </w:pPr>
          </w:p>
        </w:tc>
        <w:tc>
          <w:tcPr>
            <w:tcW w:w="1902" w:type="dxa"/>
            <w:vAlign w:val="center"/>
          </w:tcPr>
          <w:p w14:paraId="11BDF01D">
            <w:pPr>
              <w:jc w:val="center"/>
              <w:rPr>
                <w:rFonts w:hint="eastAsia" w:ascii="宋体" w:hAnsi="宋体" w:eastAsia="宋体" w:cs="宋体"/>
                <w:color w:val="auto"/>
                <w:szCs w:val="21"/>
                <w:highlight w:val="none"/>
              </w:rPr>
            </w:pPr>
          </w:p>
        </w:tc>
        <w:tc>
          <w:tcPr>
            <w:tcW w:w="1370" w:type="dxa"/>
            <w:vAlign w:val="center"/>
          </w:tcPr>
          <w:p w14:paraId="788AB2AB">
            <w:pPr>
              <w:jc w:val="center"/>
              <w:rPr>
                <w:rFonts w:hint="eastAsia" w:ascii="宋体" w:hAnsi="宋体" w:eastAsia="宋体" w:cs="宋体"/>
                <w:color w:val="auto"/>
                <w:szCs w:val="21"/>
                <w:highlight w:val="none"/>
              </w:rPr>
            </w:pPr>
          </w:p>
        </w:tc>
        <w:tc>
          <w:tcPr>
            <w:tcW w:w="1629" w:type="dxa"/>
            <w:vAlign w:val="center"/>
          </w:tcPr>
          <w:p w14:paraId="56A9A440">
            <w:pPr>
              <w:jc w:val="center"/>
              <w:rPr>
                <w:rFonts w:hint="eastAsia" w:ascii="宋体" w:hAnsi="宋体" w:eastAsia="宋体" w:cs="宋体"/>
                <w:color w:val="auto"/>
                <w:szCs w:val="21"/>
                <w:highlight w:val="none"/>
              </w:rPr>
            </w:pPr>
          </w:p>
        </w:tc>
        <w:tc>
          <w:tcPr>
            <w:tcW w:w="1239" w:type="dxa"/>
            <w:vAlign w:val="center"/>
          </w:tcPr>
          <w:p w14:paraId="65E07D8D">
            <w:pPr>
              <w:jc w:val="center"/>
              <w:rPr>
                <w:rFonts w:hint="eastAsia" w:ascii="宋体" w:hAnsi="宋体" w:eastAsia="宋体" w:cs="宋体"/>
                <w:color w:val="auto"/>
                <w:szCs w:val="21"/>
                <w:highlight w:val="none"/>
              </w:rPr>
            </w:pPr>
          </w:p>
        </w:tc>
        <w:tc>
          <w:tcPr>
            <w:tcW w:w="1544" w:type="dxa"/>
            <w:vAlign w:val="center"/>
          </w:tcPr>
          <w:p w14:paraId="389E2E82">
            <w:pPr>
              <w:jc w:val="center"/>
              <w:rPr>
                <w:rFonts w:hint="eastAsia" w:ascii="宋体" w:hAnsi="宋体" w:eastAsia="宋体" w:cs="宋体"/>
                <w:color w:val="auto"/>
                <w:szCs w:val="21"/>
                <w:highlight w:val="none"/>
              </w:rPr>
            </w:pPr>
          </w:p>
        </w:tc>
      </w:tr>
    </w:tbl>
    <w:p w14:paraId="20A00E63">
      <w:pPr>
        <w:rPr>
          <w:rFonts w:hint="eastAsia" w:ascii="宋体" w:hAnsi="宋体" w:eastAsia="宋体" w:cs="宋体"/>
          <w:color w:val="auto"/>
          <w:szCs w:val="21"/>
          <w:highlight w:val="none"/>
        </w:rPr>
      </w:pPr>
    </w:p>
    <w:p w14:paraId="4CEB566C">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投标人代表签字：</w:t>
      </w:r>
    </w:p>
    <w:p w14:paraId="3B40E380">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投标人盖章：</w:t>
      </w:r>
    </w:p>
    <w:p w14:paraId="50D83B6B">
      <w:pPr>
        <w:ind w:firstLine="178" w:firstLineChars="85"/>
        <w:rPr>
          <w:rFonts w:hint="eastAsia" w:ascii="宋体" w:hAnsi="宋体" w:eastAsia="宋体" w:cs="宋体"/>
          <w:color w:val="auto"/>
          <w:szCs w:val="21"/>
          <w:highlight w:val="none"/>
        </w:rPr>
      </w:pPr>
    </w:p>
    <w:p w14:paraId="6AC4D47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w:t>
      </w:r>
    </w:p>
    <w:p w14:paraId="46FE852D">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44EE0DA6">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2、不论出于何种原因此表未填写完整，投标人都被认为已清楚了解采购文件“技术需求书”的内容并对采购人所需的服务要求作全面响应，投标人必须承担完成“技术需求书”所描述内容的义务，因此对投标人投标产生负面影响的，投标人自行承担后果。</w:t>
      </w:r>
    </w:p>
    <w:p w14:paraId="6782DAD2">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3、如有偏离，应在“偏离情况”栏内注明“正”、“负”或“无”，并在“说明”栏内予以说明。</w:t>
      </w:r>
    </w:p>
    <w:p w14:paraId="2F8A3FEE">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4、如投标人差异内容较多可另附页说明。</w:t>
      </w:r>
    </w:p>
    <w:p w14:paraId="75D7FCCF">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5、如投标人对用户需求书商务要求的条款全部响应的，也可以在表格下面用文字总括性的说明。</w:t>
      </w:r>
    </w:p>
    <w:p w14:paraId="67359405">
      <w:pPr>
        <w:adjustRightInd/>
        <w:snapToGrid/>
        <w:spacing w:line="276" w:lineRule="auto"/>
        <w:rPr>
          <w:rFonts w:hint="eastAsia" w:ascii="宋体" w:hAnsi="宋体" w:eastAsia="宋体" w:cs="宋体"/>
          <w:color w:val="auto"/>
          <w:highlight w:val="none"/>
        </w:rPr>
      </w:pPr>
    </w:p>
    <w:p w14:paraId="3576472F">
      <w:pPr>
        <w:adjustRightInd/>
        <w:snapToGrid/>
        <w:spacing w:line="240" w:lineRule="auto"/>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52BB8EE9">
      <w:pPr>
        <w:pStyle w:val="5"/>
        <w:widowControl w:val="0"/>
        <w:overflowPunct w:val="0"/>
        <w:spacing w:line="240" w:lineRule="auto"/>
        <w:rPr>
          <w:rFonts w:hint="eastAsia" w:ascii="宋体" w:hAnsi="宋体" w:eastAsia="宋体" w:cs="宋体"/>
          <w:color w:val="auto"/>
          <w:sz w:val="21"/>
          <w:szCs w:val="21"/>
          <w:highlight w:val="none"/>
        </w:rPr>
      </w:pPr>
      <w:bookmarkStart w:id="181" w:name="_Toc1900"/>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.项目实施方案格式</w:t>
      </w:r>
      <w:bookmarkEnd w:id="181"/>
    </w:p>
    <w:p w14:paraId="6DA046DE">
      <w:pPr>
        <w:jc w:val="center"/>
        <w:rPr>
          <w:rFonts w:hint="eastAsia" w:ascii="宋体" w:hAnsi="宋体" w:eastAsia="宋体" w:cs="宋体"/>
          <w:color w:val="auto"/>
          <w:sz w:val="32"/>
          <w:szCs w:val="32"/>
          <w:highlight w:val="none"/>
        </w:rPr>
      </w:pPr>
    </w:p>
    <w:p w14:paraId="0BE61809">
      <w:pPr>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项目实施方案</w:t>
      </w:r>
    </w:p>
    <w:p w14:paraId="5D54E252">
      <w:pPr>
        <w:jc w:val="center"/>
        <w:rPr>
          <w:rFonts w:hint="eastAsia" w:ascii="宋体" w:hAnsi="宋体" w:eastAsia="宋体" w:cs="宋体"/>
          <w:color w:val="auto"/>
          <w:sz w:val="32"/>
          <w:szCs w:val="32"/>
          <w:highlight w:val="none"/>
        </w:rPr>
      </w:pPr>
    </w:p>
    <w:p w14:paraId="1FA4D63C">
      <w:pPr>
        <w:ind w:left="718" w:leftChars="200" w:hanging="298" w:hangingChars="142"/>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1、为完成本项目投标人临时投入的设备</w:t>
      </w:r>
    </w:p>
    <w:p w14:paraId="51696A6A">
      <w:pPr>
        <w:ind w:left="718" w:leftChars="200" w:hanging="298" w:hangingChars="142"/>
        <w:rPr>
          <w:rFonts w:hint="eastAsia" w:ascii="宋体" w:hAnsi="宋体" w:eastAsia="宋体" w:cs="宋体"/>
          <w:color w:val="auto"/>
          <w:szCs w:val="21"/>
          <w:highlight w:val="none"/>
        </w:rPr>
      </w:pPr>
      <w:r>
        <w:rPr>
          <w:rFonts w:hint="eastAsia" w:ascii="宋体" w:hAnsi="宋体" w:eastAsia="宋体" w:cs="宋体"/>
          <w:color w:val="auto"/>
          <w:szCs w:val="21"/>
          <w:highlight w:val="none"/>
        </w:rPr>
        <w:t>2、为完成本项目投标人投入的人员以及具体工作安排</w:t>
      </w:r>
    </w:p>
    <w:p w14:paraId="0C1BD377">
      <w:pPr>
        <w:ind w:left="718" w:leftChars="200" w:hanging="298" w:hangingChars="142"/>
        <w:rPr>
          <w:rFonts w:hint="eastAsia" w:ascii="宋体" w:hAnsi="宋体" w:eastAsia="宋体" w:cs="宋体"/>
          <w:color w:val="auto"/>
          <w:szCs w:val="21"/>
          <w:highlight w:val="none"/>
        </w:rPr>
      </w:pPr>
      <w:r>
        <w:rPr>
          <w:rFonts w:hint="eastAsia" w:ascii="宋体" w:hAnsi="宋体" w:eastAsia="宋体" w:cs="宋体"/>
          <w:color w:val="auto"/>
          <w:szCs w:val="21"/>
          <w:highlight w:val="none"/>
        </w:rPr>
        <w:t>3、投标人为本项目制定的具体项目实施方案与项目实施流程</w:t>
      </w:r>
    </w:p>
    <w:p w14:paraId="3D38D991">
      <w:pPr>
        <w:ind w:left="718" w:leftChars="200" w:hanging="298" w:hangingChars="142"/>
        <w:rPr>
          <w:rFonts w:hint="eastAsia" w:ascii="宋体" w:hAnsi="宋体" w:eastAsia="宋体" w:cs="宋体"/>
          <w:color w:val="auto"/>
          <w:szCs w:val="21"/>
          <w:highlight w:val="none"/>
        </w:rPr>
      </w:pPr>
      <w:r>
        <w:rPr>
          <w:rFonts w:hint="eastAsia" w:ascii="宋体" w:hAnsi="宋体" w:eastAsia="宋体" w:cs="宋体"/>
          <w:color w:val="auto"/>
          <w:szCs w:val="21"/>
          <w:highlight w:val="none"/>
        </w:rPr>
        <w:t>4、服务方案</w:t>
      </w:r>
    </w:p>
    <w:p w14:paraId="1D584965">
      <w:pPr>
        <w:ind w:left="718" w:leftChars="200" w:hanging="298" w:hangingChars="142"/>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p w14:paraId="635137C3">
      <w:pPr>
        <w:ind w:left="718" w:leftChars="200" w:hanging="298" w:hangingChars="142"/>
        <w:rPr>
          <w:rFonts w:hint="eastAsia" w:ascii="宋体" w:hAnsi="宋体" w:eastAsia="宋体" w:cs="宋体"/>
          <w:color w:val="auto"/>
          <w:szCs w:val="21"/>
          <w:highlight w:val="none"/>
        </w:rPr>
      </w:pPr>
      <w:r>
        <w:rPr>
          <w:rFonts w:hint="eastAsia" w:ascii="宋体" w:hAnsi="宋体" w:eastAsia="宋体" w:cs="宋体"/>
          <w:color w:val="auto"/>
          <w:szCs w:val="21"/>
          <w:highlight w:val="none"/>
        </w:rPr>
        <w:t>自行编写。</w:t>
      </w:r>
    </w:p>
    <w:p w14:paraId="7CA454E6">
      <w:pPr>
        <w:ind w:left="718" w:leftChars="200" w:hanging="298" w:hangingChars="142"/>
        <w:rPr>
          <w:rFonts w:hint="eastAsia" w:ascii="宋体" w:hAnsi="宋体" w:eastAsia="宋体" w:cs="宋体"/>
          <w:color w:val="auto"/>
          <w:szCs w:val="21"/>
          <w:highlight w:val="none"/>
        </w:rPr>
      </w:pPr>
    </w:p>
    <w:p w14:paraId="7BEA6FB5">
      <w:pPr>
        <w:ind w:left="718" w:leftChars="200" w:hanging="298" w:hangingChars="142"/>
        <w:rPr>
          <w:rFonts w:hint="eastAsia" w:ascii="宋体" w:hAnsi="宋体" w:eastAsia="宋体" w:cs="宋体"/>
          <w:color w:val="auto"/>
          <w:szCs w:val="21"/>
          <w:highlight w:val="none"/>
        </w:rPr>
      </w:pPr>
    </w:p>
    <w:p w14:paraId="78785978">
      <w:pPr>
        <w:ind w:left="718" w:leftChars="200" w:hanging="298" w:hangingChars="142"/>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32B921DA">
      <w:pPr>
        <w:pStyle w:val="5"/>
        <w:widowControl w:val="0"/>
        <w:overflowPunct w:val="0"/>
        <w:spacing w:line="240" w:lineRule="auto"/>
        <w:rPr>
          <w:rFonts w:hint="eastAsia" w:ascii="宋体" w:hAnsi="宋体" w:eastAsia="宋体" w:cs="宋体"/>
          <w:color w:val="auto"/>
          <w:sz w:val="21"/>
          <w:szCs w:val="21"/>
          <w:highlight w:val="none"/>
        </w:rPr>
      </w:pPr>
      <w:bookmarkStart w:id="182" w:name="_Toc19979"/>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.实施本项目的有关人员资料表格式</w:t>
      </w:r>
      <w:bookmarkEnd w:id="182"/>
    </w:p>
    <w:p w14:paraId="6E05402B">
      <w:pPr>
        <w:jc w:val="center"/>
        <w:rPr>
          <w:rFonts w:hint="eastAsia" w:ascii="宋体" w:hAnsi="宋体" w:eastAsia="宋体" w:cs="宋体"/>
          <w:color w:val="auto"/>
          <w:szCs w:val="21"/>
          <w:highlight w:val="none"/>
        </w:rPr>
      </w:pPr>
    </w:p>
    <w:p w14:paraId="5CBFF943">
      <w:pPr>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实施本项目的有关人员资料表</w:t>
      </w:r>
    </w:p>
    <w:tbl>
      <w:tblPr>
        <w:tblStyle w:val="30"/>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27E65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C20918C">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702" w:type="dxa"/>
            <w:vAlign w:val="center"/>
          </w:tcPr>
          <w:p w14:paraId="041988F1">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1861" w:type="dxa"/>
            <w:vAlign w:val="center"/>
          </w:tcPr>
          <w:p w14:paraId="78F9EA71">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本项目拟任岗位</w:t>
            </w:r>
          </w:p>
        </w:tc>
        <w:tc>
          <w:tcPr>
            <w:tcW w:w="702" w:type="dxa"/>
            <w:vAlign w:val="center"/>
          </w:tcPr>
          <w:p w14:paraId="750AAC9E">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性别</w:t>
            </w:r>
          </w:p>
        </w:tc>
        <w:tc>
          <w:tcPr>
            <w:tcW w:w="702" w:type="dxa"/>
            <w:vAlign w:val="center"/>
          </w:tcPr>
          <w:p w14:paraId="4B881A60">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年龄</w:t>
            </w:r>
          </w:p>
        </w:tc>
        <w:tc>
          <w:tcPr>
            <w:tcW w:w="1164" w:type="dxa"/>
            <w:vAlign w:val="center"/>
          </w:tcPr>
          <w:p w14:paraId="3A745A2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技术职称</w:t>
            </w:r>
          </w:p>
        </w:tc>
        <w:tc>
          <w:tcPr>
            <w:tcW w:w="818" w:type="dxa"/>
            <w:vAlign w:val="center"/>
          </w:tcPr>
          <w:p w14:paraId="36FBDE3B">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专 业</w:t>
            </w:r>
          </w:p>
        </w:tc>
        <w:tc>
          <w:tcPr>
            <w:tcW w:w="1165" w:type="dxa"/>
            <w:vAlign w:val="center"/>
          </w:tcPr>
          <w:p w14:paraId="1BC4E96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资质证书</w:t>
            </w:r>
          </w:p>
        </w:tc>
        <w:tc>
          <w:tcPr>
            <w:tcW w:w="703" w:type="dxa"/>
            <w:tcBorders>
              <w:right w:val="single" w:color="auto" w:sz="6" w:space="0"/>
            </w:tcBorders>
            <w:vAlign w:val="center"/>
          </w:tcPr>
          <w:p w14:paraId="30726B14">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p>
        </w:tc>
      </w:tr>
      <w:tr w14:paraId="0E19E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5A84F91">
            <w:pPr>
              <w:spacing w:line="288" w:lineRule="auto"/>
              <w:jc w:val="center"/>
              <w:rPr>
                <w:rFonts w:hint="eastAsia" w:ascii="宋体" w:hAnsi="宋体" w:eastAsia="宋体" w:cs="宋体"/>
                <w:color w:val="auto"/>
                <w:szCs w:val="21"/>
                <w:highlight w:val="none"/>
              </w:rPr>
            </w:pPr>
          </w:p>
        </w:tc>
        <w:tc>
          <w:tcPr>
            <w:tcW w:w="702" w:type="dxa"/>
            <w:vAlign w:val="center"/>
          </w:tcPr>
          <w:p w14:paraId="22845F36">
            <w:pPr>
              <w:spacing w:line="288" w:lineRule="auto"/>
              <w:jc w:val="center"/>
              <w:rPr>
                <w:rFonts w:hint="eastAsia" w:ascii="宋体" w:hAnsi="宋体" w:eastAsia="宋体" w:cs="宋体"/>
                <w:color w:val="auto"/>
                <w:szCs w:val="21"/>
                <w:highlight w:val="none"/>
              </w:rPr>
            </w:pPr>
          </w:p>
        </w:tc>
        <w:tc>
          <w:tcPr>
            <w:tcW w:w="1861" w:type="dxa"/>
            <w:vAlign w:val="center"/>
          </w:tcPr>
          <w:p w14:paraId="50D38BA4">
            <w:pPr>
              <w:spacing w:line="288" w:lineRule="auto"/>
              <w:jc w:val="center"/>
              <w:rPr>
                <w:rFonts w:hint="eastAsia" w:ascii="宋体" w:hAnsi="宋体" w:eastAsia="宋体" w:cs="宋体"/>
                <w:color w:val="auto"/>
                <w:szCs w:val="21"/>
                <w:highlight w:val="none"/>
              </w:rPr>
            </w:pPr>
          </w:p>
        </w:tc>
        <w:tc>
          <w:tcPr>
            <w:tcW w:w="702" w:type="dxa"/>
            <w:vAlign w:val="center"/>
          </w:tcPr>
          <w:p w14:paraId="3C7478DE">
            <w:pPr>
              <w:spacing w:line="288" w:lineRule="auto"/>
              <w:jc w:val="center"/>
              <w:rPr>
                <w:rFonts w:hint="eastAsia" w:ascii="宋体" w:hAnsi="宋体" w:eastAsia="宋体" w:cs="宋体"/>
                <w:color w:val="auto"/>
                <w:szCs w:val="21"/>
                <w:highlight w:val="none"/>
              </w:rPr>
            </w:pPr>
          </w:p>
        </w:tc>
        <w:tc>
          <w:tcPr>
            <w:tcW w:w="702" w:type="dxa"/>
            <w:vAlign w:val="center"/>
          </w:tcPr>
          <w:p w14:paraId="281A1D40">
            <w:pPr>
              <w:spacing w:line="288" w:lineRule="auto"/>
              <w:jc w:val="center"/>
              <w:rPr>
                <w:rFonts w:hint="eastAsia" w:ascii="宋体" w:hAnsi="宋体" w:eastAsia="宋体" w:cs="宋体"/>
                <w:color w:val="auto"/>
                <w:szCs w:val="21"/>
                <w:highlight w:val="none"/>
              </w:rPr>
            </w:pPr>
          </w:p>
        </w:tc>
        <w:tc>
          <w:tcPr>
            <w:tcW w:w="1164" w:type="dxa"/>
            <w:vAlign w:val="center"/>
          </w:tcPr>
          <w:p w14:paraId="6216B520">
            <w:pPr>
              <w:spacing w:line="288" w:lineRule="auto"/>
              <w:jc w:val="center"/>
              <w:rPr>
                <w:rFonts w:hint="eastAsia" w:ascii="宋体" w:hAnsi="宋体" w:eastAsia="宋体" w:cs="宋体"/>
                <w:color w:val="auto"/>
                <w:szCs w:val="21"/>
                <w:highlight w:val="none"/>
              </w:rPr>
            </w:pPr>
          </w:p>
        </w:tc>
        <w:tc>
          <w:tcPr>
            <w:tcW w:w="818" w:type="dxa"/>
            <w:vAlign w:val="center"/>
          </w:tcPr>
          <w:p w14:paraId="49969A3C">
            <w:pPr>
              <w:spacing w:line="288" w:lineRule="auto"/>
              <w:jc w:val="center"/>
              <w:rPr>
                <w:rFonts w:hint="eastAsia" w:ascii="宋体" w:hAnsi="宋体" w:eastAsia="宋体" w:cs="宋体"/>
                <w:color w:val="auto"/>
                <w:szCs w:val="21"/>
                <w:highlight w:val="none"/>
              </w:rPr>
            </w:pPr>
          </w:p>
        </w:tc>
        <w:tc>
          <w:tcPr>
            <w:tcW w:w="1165" w:type="dxa"/>
            <w:vAlign w:val="center"/>
          </w:tcPr>
          <w:p w14:paraId="0AEB3037">
            <w:pPr>
              <w:spacing w:line="288" w:lineRule="auto"/>
              <w:jc w:val="center"/>
              <w:rPr>
                <w:rFonts w:hint="eastAsia" w:ascii="宋体" w:hAnsi="宋体" w:eastAsia="宋体" w:cs="宋体"/>
                <w:color w:val="auto"/>
                <w:szCs w:val="21"/>
                <w:highlight w:val="none"/>
              </w:rPr>
            </w:pPr>
          </w:p>
        </w:tc>
        <w:tc>
          <w:tcPr>
            <w:tcW w:w="703" w:type="dxa"/>
            <w:tcBorders>
              <w:right w:val="single" w:color="auto" w:sz="6" w:space="0"/>
            </w:tcBorders>
            <w:vAlign w:val="center"/>
          </w:tcPr>
          <w:p w14:paraId="0C5A25CD">
            <w:pPr>
              <w:spacing w:line="288" w:lineRule="auto"/>
              <w:jc w:val="center"/>
              <w:rPr>
                <w:rFonts w:hint="eastAsia" w:ascii="宋体" w:hAnsi="宋体" w:eastAsia="宋体" w:cs="宋体"/>
                <w:color w:val="auto"/>
                <w:szCs w:val="21"/>
                <w:highlight w:val="none"/>
              </w:rPr>
            </w:pPr>
          </w:p>
        </w:tc>
      </w:tr>
      <w:tr w14:paraId="0ADC1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9AD5123">
            <w:pPr>
              <w:spacing w:line="288" w:lineRule="auto"/>
              <w:jc w:val="center"/>
              <w:rPr>
                <w:rFonts w:hint="eastAsia" w:ascii="宋体" w:hAnsi="宋体" w:eastAsia="宋体" w:cs="宋体"/>
                <w:color w:val="auto"/>
                <w:szCs w:val="21"/>
                <w:highlight w:val="none"/>
              </w:rPr>
            </w:pPr>
          </w:p>
        </w:tc>
        <w:tc>
          <w:tcPr>
            <w:tcW w:w="702" w:type="dxa"/>
            <w:vAlign w:val="center"/>
          </w:tcPr>
          <w:p w14:paraId="7F713789">
            <w:pPr>
              <w:spacing w:line="288" w:lineRule="auto"/>
              <w:jc w:val="center"/>
              <w:rPr>
                <w:rFonts w:hint="eastAsia" w:ascii="宋体" w:hAnsi="宋体" w:eastAsia="宋体" w:cs="宋体"/>
                <w:color w:val="auto"/>
                <w:szCs w:val="21"/>
                <w:highlight w:val="none"/>
              </w:rPr>
            </w:pPr>
          </w:p>
        </w:tc>
        <w:tc>
          <w:tcPr>
            <w:tcW w:w="1861" w:type="dxa"/>
            <w:vAlign w:val="center"/>
          </w:tcPr>
          <w:p w14:paraId="2A155FDF">
            <w:pPr>
              <w:spacing w:line="288" w:lineRule="auto"/>
              <w:jc w:val="center"/>
              <w:rPr>
                <w:rFonts w:hint="eastAsia" w:ascii="宋体" w:hAnsi="宋体" w:eastAsia="宋体" w:cs="宋体"/>
                <w:color w:val="auto"/>
                <w:szCs w:val="21"/>
                <w:highlight w:val="none"/>
              </w:rPr>
            </w:pPr>
          </w:p>
        </w:tc>
        <w:tc>
          <w:tcPr>
            <w:tcW w:w="702" w:type="dxa"/>
            <w:vAlign w:val="center"/>
          </w:tcPr>
          <w:p w14:paraId="663D8405">
            <w:pPr>
              <w:spacing w:line="288" w:lineRule="auto"/>
              <w:jc w:val="center"/>
              <w:rPr>
                <w:rFonts w:hint="eastAsia" w:ascii="宋体" w:hAnsi="宋体" w:eastAsia="宋体" w:cs="宋体"/>
                <w:color w:val="auto"/>
                <w:szCs w:val="21"/>
                <w:highlight w:val="none"/>
              </w:rPr>
            </w:pPr>
          </w:p>
        </w:tc>
        <w:tc>
          <w:tcPr>
            <w:tcW w:w="702" w:type="dxa"/>
            <w:vAlign w:val="center"/>
          </w:tcPr>
          <w:p w14:paraId="1F4D091F">
            <w:pPr>
              <w:spacing w:line="288" w:lineRule="auto"/>
              <w:jc w:val="center"/>
              <w:rPr>
                <w:rFonts w:hint="eastAsia" w:ascii="宋体" w:hAnsi="宋体" w:eastAsia="宋体" w:cs="宋体"/>
                <w:color w:val="auto"/>
                <w:szCs w:val="21"/>
                <w:highlight w:val="none"/>
              </w:rPr>
            </w:pPr>
          </w:p>
        </w:tc>
        <w:tc>
          <w:tcPr>
            <w:tcW w:w="1164" w:type="dxa"/>
            <w:vAlign w:val="center"/>
          </w:tcPr>
          <w:p w14:paraId="7648C672">
            <w:pPr>
              <w:spacing w:line="288" w:lineRule="auto"/>
              <w:jc w:val="center"/>
              <w:rPr>
                <w:rFonts w:hint="eastAsia" w:ascii="宋体" w:hAnsi="宋体" w:eastAsia="宋体" w:cs="宋体"/>
                <w:color w:val="auto"/>
                <w:szCs w:val="21"/>
                <w:highlight w:val="none"/>
              </w:rPr>
            </w:pPr>
          </w:p>
        </w:tc>
        <w:tc>
          <w:tcPr>
            <w:tcW w:w="818" w:type="dxa"/>
            <w:vAlign w:val="center"/>
          </w:tcPr>
          <w:p w14:paraId="7B780517">
            <w:pPr>
              <w:spacing w:line="288" w:lineRule="auto"/>
              <w:jc w:val="center"/>
              <w:rPr>
                <w:rFonts w:hint="eastAsia" w:ascii="宋体" w:hAnsi="宋体" w:eastAsia="宋体" w:cs="宋体"/>
                <w:color w:val="auto"/>
                <w:szCs w:val="21"/>
                <w:highlight w:val="none"/>
              </w:rPr>
            </w:pPr>
          </w:p>
        </w:tc>
        <w:tc>
          <w:tcPr>
            <w:tcW w:w="1165" w:type="dxa"/>
            <w:vAlign w:val="center"/>
          </w:tcPr>
          <w:p w14:paraId="150E3FED">
            <w:pPr>
              <w:spacing w:line="288" w:lineRule="auto"/>
              <w:jc w:val="center"/>
              <w:rPr>
                <w:rFonts w:hint="eastAsia" w:ascii="宋体" w:hAnsi="宋体" w:eastAsia="宋体" w:cs="宋体"/>
                <w:color w:val="auto"/>
                <w:szCs w:val="21"/>
                <w:highlight w:val="none"/>
              </w:rPr>
            </w:pPr>
          </w:p>
        </w:tc>
        <w:tc>
          <w:tcPr>
            <w:tcW w:w="703" w:type="dxa"/>
            <w:tcBorders>
              <w:right w:val="single" w:color="auto" w:sz="6" w:space="0"/>
            </w:tcBorders>
            <w:vAlign w:val="center"/>
          </w:tcPr>
          <w:p w14:paraId="55DDE411">
            <w:pPr>
              <w:spacing w:line="288" w:lineRule="auto"/>
              <w:jc w:val="center"/>
              <w:rPr>
                <w:rFonts w:hint="eastAsia" w:ascii="宋体" w:hAnsi="宋体" w:eastAsia="宋体" w:cs="宋体"/>
                <w:color w:val="auto"/>
                <w:szCs w:val="21"/>
                <w:highlight w:val="none"/>
              </w:rPr>
            </w:pPr>
          </w:p>
        </w:tc>
      </w:tr>
      <w:tr w14:paraId="1E61A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C444586">
            <w:pPr>
              <w:spacing w:line="288" w:lineRule="auto"/>
              <w:jc w:val="center"/>
              <w:rPr>
                <w:rFonts w:hint="eastAsia" w:ascii="宋体" w:hAnsi="宋体" w:eastAsia="宋体" w:cs="宋体"/>
                <w:color w:val="auto"/>
                <w:szCs w:val="21"/>
                <w:highlight w:val="none"/>
              </w:rPr>
            </w:pPr>
          </w:p>
        </w:tc>
        <w:tc>
          <w:tcPr>
            <w:tcW w:w="702" w:type="dxa"/>
            <w:vAlign w:val="center"/>
          </w:tcPr>
          <w:p w14:paraId="6594B278">
            <w:pPr>
              <w:spacing w:line="288" w:lineRule="auto"/>
              <w:jc w:val="center"/>
              <w:rPr>
                <w:rFonts w:hint="eastAsia" w:ascii="宋体" w:hAnsi="宋体" w:eastAsia="宋体" w:cs="宋体"/>
                <w:color w:val="auto"/>
                <w:szCs w:val="21"/>
                <w:highlight w:val="none"/>
              </w:rPr>
            </w:pPr>
          </w:p>
        </w:tc>
        <w:tc>
          <w:tcPr>
            <w:tcW w:w="1861" w:type="dxa"/>
            <w:vAlign w:val="center"/>
          </w:tcPr>
          <w:p w14:paraId="10C78977">
            <w:pPr>
              <w:spacing w:line="288" w:lineRule="auto"/>
              <w:jc w:val="center"/>
              <w:rPr>
                <w:rFonts w:hint="eastAsia" w:ascii="宋体" w:hAnsi="宋体" w:eastAsia="宋体" w:cs="宋体"/>
                <w:color w:val="auto"/>
                <w:szCs w:val="21"/>
                <w:highlight w:val="none"/>
              </w:rPr>
            </w:pPr>
          </w:p>
        </w:tc>
        <w:tc>
          <w:tcPr>
            <w:tcW w:w="702" w:type="dxa"/>
            <w:vAlign w:val="center"/>
          </w:tcPr>
          <w:p w14:paraId="2F6D0DAA">
            <w:pPr>
              <w:spacing w:line="288" w:lineRule="auto"/>
              <w:jc w:val="center"/>
              <w:rPr>
                <w:rFonts w:hint="eastAsia" w:ascii="宋体" w:hAnsi="宋体" w:eastAsia="宋体" w:cs="宋体"/>
                <w:color w:val="auto"/>
                <w:szCs w:val="21"/>
                <w:highlight w:val="none"/>
              </w:rPr>
            </w:pPr>
          </w:p>
        </w:tc>
        <w:tc>
          <w:tcPr>
            <w:tcW w:w="702" w:type="dxa"/>
            <w:vAlign w:val="center"/>
          </w:tcPr>
          <w:p w14:paraId="3B5475CE">
            <w:pPr>
              <w:spacing w:line="288" w:lineRule="auto"/>
              <w:jc w:val="center"/>
              <w:rPr>
                <w:rFonts w:hint="eastAsia" w:ascii="宋体" w:hAnsi="宋体" w:eastAsia="宋体" w:cs="宋体"/>
                <w:color w:val="auto"/>
                <w:szCs w:val="21"/>
                <w:highlight w:val="none"/>
              </w:rPr>
            </w:pPr>
          </w:p>
        </w:tc>
        <w:tc>
          <w:tcPr>
            <w:tcW w:w="1164" w:type="dxa"/>
            <w:vAlign w:val="center"/>
          </w:tcPr>
          <w:p w14:paraId="49593711">
            <w:pPr>
              <w:spacing w:line="288" w:lineRule="auto"/>
              <w:jc w:val="center"/>
              <w:rPr>
                <w:rFonts w:hint="eastAsia" w:ascii="宋体" w:hAnsi="宋体" w:eastAsia="宋体" w:cs="宋体"/>
                <w:color w:val="auto"/>
                <w:szCs w:val="21"/>
                <w:highlight w:val="none"/>
              </w:rPr>
            </w:pPr>
          </w:p>
        </w:tc>
        <w:tc>
          <w:tcPr>
            <w:tcW w:w="818" w:type="dxa"/>
            <w:vAlign w:val="center"/>
          </w:tcPr>
          <w:p w14:paraId="70AC7EBB">
            <w:pPr>
              <w:spacing w:line="288" w:lineRule="auto"/>
              <w:jc w:val="center"/>
              <w:rPr>
                <w:rFonts w:hint="eastAsia" w:ascii="宋体" w:hAnsi="宋体" w:eastAsia="宋体" w:cs="宋体"/>
                <w:color w:val="auto"/>
                <w:szCs w:val="21"/>
                <w:highlight w:val="none"/>
              </w:rPr>
            </w:pPr>
          </w:p>
        </w:tc>
        <w:tc>
          <w:tcPr>
            <w:tcW w:w="1165" w:type="dxa"/>
            <w:vAlign w:val="center"/>
          </w:tcPr>
          <w:p w14:paraId="057A6AC6">
            <w:pPr>
              <w:spacing w:line="288" w:lineRule="auto"/>
              <w:jc w:val="center"/>
              <w:rPr>
                <w:rFonts w:hint="eastAsia" w:ascii="宋体" w:hAnsi="宋体" w:eastAsia="宋体" w:cs="宋体"/>
                <w:color w:val="auto"/>
                <w:szCs w:val="21"/>
                <w:highlight w:val="none"/>
              </w:rPr>
            </w:pPr>
          </w:p>
        </w:tc>
        <w:tc>
          <w:tcPr>
            <w:tcW w:w="703" w:type="dxa"/>
            <w:tcBorders>
              <w:right w:val="single" w:color="auto" w:sz="6" w:space="0"/>
            </w:tcBorders>
            <w:vAlign w:val="center"/>
          </w:tcPr>
          <w:p w14:paraId="00FCD9A7">
            <w:pPr>
              <w:spacing w:line="288" w:lineRule="auto"/>
              <w:jc w:val="center"/>
              <w:rPr>
                <w:rFonts w:hint="eastAsia" w:ascii="宋体" w:hAnsi="宋体" w:eastAsia="宋体" w:cs="宋体"/>
                <w:color w:val="auto"/>
                <w:szCs w:val="21"/>
                <w:highlight w:val="none"/>
              </w:rPr>
            </w:pPr>
          </w:p>
        </w:tc>
      </w:tr>
      <w:tr w14:paraId="6037A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04237EB">
            <w:pPr>
              <w:spacing w:line="288" w:lineRule="auto"/>
              <w:jc w:val="center"/>
              <w:rPr>
                <w:rFonts w:hint="eastAsia" w:ascii="宋体" w:hAnsi="宋体" w:eastAsia="宋体" w:cs="宋体"/>
                <w:color w:val="auto"/>
                <w:szCs w:val="21"/>
                <w:highlight w:val="none"/>
              </w:rPr>
            </w:pPr>
          </w:p>
        </w:tc>
        <w:tc>
          <w:tcPr>
            <w:tcW w:w="702" w:type="dxa"/>
            <w:vAlign w:val="center"/>
          </w:tcPr>
          <w:p w14:paraId="51F2E32D">
            <w:pPr>
              <w:spacing w:line="288" w:lineRule="auto"/>
              <w:jc w:val="center"/>
              <w:rPr>
                <w:rFonts w:hint="eastAsia" w:ascii="宋体" w:hAnsi="宋体" w:eastAsia="宋体" w:cs="宋体"/>
                <w:color w:val="auto"/>
                <w:szCs w:val="21"/>
                <w:highlight w:val="none"/>
              </w:rPr>
            </w:pPr>
          </w:p>
        </w:tc>
        <w:tc>
          <w:tcPr>
            <w:tcW w:w="1861" w:type="dxa"/>
            <w:vAlign w:val="center"/>
          </w:tcPr>
          <w:p w14:paraId="3614D56C">
            <w:pPr>
              <w:spacing w:line="288" w:lineRule="auto"/>
              <w:jc w:val="center"/>
              <w:rPr>
                <w:rFonts w:hint="eastAsia" w:ascii="宋体" w:hAnsi="宋体" w:eastAsia="宋体" w:cs="宋体"/>
                <w:color w:val="auto"/>
                <w:szCs w:val="21"/>
                <w:highlight w:val="none"/>
              </w:rPr>
            </w:pPr>
          </w:p>
        </w:tc>
        <w:tc>
          <w:tcPr>
            <w:tcW w:w="702" w:type="dxa"/>
            <w:vAlign w:val="center"/>
          </w:tcPr>
          <w:p w14:paraId="5A4F060B">
            <w:pPr>
              <w:spacing w:line="288" w:lineRule="auto"/>
              <w:jc w:val="center"/>
              <w:rPr>
                <w:rFonts w:hint="eastAsia" w:ascii="宋体" w:hAnsi="宋体" w:eastAsia="宋体" w:cs="宋体"/>
                <w:color w:val="auto"/>
                <w:szCs w:val="21"/>
                <w:highlight w:val="none"/>
              </w:rPr>
            </w:pPr>
          </w:p>
        </w:tc>
        <w:tc>
          <w:tcPr>
            <w:tcW w:w="702" w:type="dxa"/>
            <w:vAlign w:val="center"/>
          </w:tcPr>
          <w:p w14:paraId="60A793C4">
            <w:pPr>
              <w:spacing w:line="288" w:lineRule="auto"/>
              <w:jc w:val="center"/>
              <w:rPr>
                <w:rFonts w:hint="eastAsia" w:ascii="宋体" w:hAnsi="宋体" w:eastAsia="宋体" w:cs="宋体"/>
                <w:color w:val="auto"/>
                <w:szCs w:val="21"/>
                <w:highlight w:val="none"/>
              </w:rPr>
            </w:pPr>
          </w:p>
        </w:tc>
        <w:tc>
          <w:tcPr>
            <w:tcW w:w="1164" w:type="dxa"/>
            <w:vAlign w:val="center"/>
          </w:tcPr>
          <w:p w14:paraId="725B5D58">
            <w:pPr>
              <w:spacing w:line="288" w:lineRule="auto"/>
              <w:jc w:val="center"/>
              <w:rPr>
                <w:rFonts w:hint="eastAsia" w:ascii="宋体" w:hAnsi="宋体" w:eastAsia="宋体" w:cs="宋体"/>
                <w:color w:val="auto"/>
                <w:szCs w:val="21"/>
                <w:highlight w:val="none"/>
              </w:rPr>
            </w:pPr>
          </w:p>
        </w:tc>
        <w:tc>
          <w:tcPr>
            <w:tcW w:w="818" w:type="dxa"/>
            <w:vAlign w:val="center"/>
          </w:tcPr>
          <w:p w14:paraId="547D1228">
            <w:pPr>
              <w:spacing w:line="288" w:lineRule="auto"/>
              <w:jc w:val="center"/>
              <w:rPr>
                <w:rFonts w:hint="eastAsia" w:ascii="宋体" w:hAnsi="宋体" w:eastAsia="宋体" w:cs="宋体"/>
                <w:color w:val="auto"/>
                <w:szCs w:val="21"/>
                <w:highlight w:val="none"/>
              </w:rPr>
            </w:pPr>
          </w:p>
        </w:tc>
        <w:tc>
          <w:tcPr>
            <w:tcW w:w="1165" w:type="dxa"/>
            <w:vAlign w:val="center"/>
          </w:tcPr>
          <w:p w14:paraId="43D532AE">
            <w:pPr>
              <w:spacing w:line="288" w:lineRule="auto"/>
              <w:jc w:val="center"/>
              <w:rPr>
                <w:rFonts w:hint="eastAsia" w:ascii="宋体" w:hAnsi="宋体" w:eastAsia="宋体" w:cs="宋体"/>
                <w:color w:val="auto"/>
                <w:szCs w:val="21"/>
                <w:highlight w:val="none"/>
              </w:rPr>
            </w:pPr>
          </w:p>
        </w:tc>
        <w:tc>
          <w:tcPr>
            <w:tcW w:w="703" w:type="dxa"/>
            <w:tcBorders>
              <w:right w:val="single" w:color="auto" w:sz="6" w:space="0"/>
            </w:tcBorders>
            <w:vAlign w:val="center"/>
          </w:tcPr>
          <w:p w14:paraId="5C430E71">
            <w:pPr>
              <w:spacing w:line="288" w:lineRule="auto"/>
              <w:jc w:val="center"/>
              <w:rPr>
                <w:rFonts w:hint="eastAsia" w:ascii="宋体" w:hAnsi="宋体" w:eastAsia="宋体" w:cs="宋体"/>
                <w:color w:val="auto"/>
                <w:szCs w:val="21"/>
                <w:highlight w:val="none"/>
              </w:rPr>
            </w:pPr>
          </w:p>
        </w:tc>
      </w:tr>
      <w:tr w14:paraId="579BA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0A238C8">
            <w:pPr>
              <w:spacing w:line="288" w:lineRule="auto"/>
              <w:jc w:val="center"/>
              <w:rPr>
                <w:rFonts w:hint="eastAsia" w:ascii="宋体" w:hAnsi="宋体" w:eastAsia="宋体" w:cs="宋体"/>
                <w:color w:val="auto"/>
                <w:szCs w:val="21"/>
                <w:highlight w:val="none"/>
              </w:rPr>
            </w:pPr>
          </w:p>
        </w:tc>
        <w:tc>
          <w:tcPr>
            <w:tcW w:w="702" w:type="dxa"/>
            <w:vAlign w:val="center"/>
          </w:tcPr>
          <w:p w14:paraId="7F8BFA75">
            <w:pPr>
              <w:spacing w:line="288" w:lineRule="auto"/>
              <w:jc w:val="center"/>
              <w:rPr>
                <w:rFonts w:hint="eastAsia" w:ascii="宋体" w:hAnsi="宋体" w:eastAsia="宋体" w:cs="宋体"/>
                <w:color w:val="auto"/>
                <w:szCs w:val="21"/>
                <w:highlight w:val="none"/>
              </w:rPr>
            </w:pPr>
          </w:p>
        </w:tc>
        <w:tc>
          <w:tcPr>
            <w:tcW w:w="1861" w:type="dxa"/>
            <w:vAlign w:val="center"/>
          </w:tcPr>
          <w:p w14:paraId="280C23D4">
            <w:pPr>
              <w:spacing w:line="288" w:lineRule="auto"/>
              <w:jc w:val="center"/>
              <w:rPr>
                <w:rFonts w:hint="eastAsia" w:ascii="宋体" w:hAnsi="宋体" w:eastAsia="宋体" w:cs="宋体"/>
                <w:color w:val="auto"/>
                <w:szCs w:val="21"/>
                <w:highlight w:val="none"/>
              </w:rPr>
            </w:pPr>
          </w:p>
        </w:tc>
        <w:tc>
          <w:tcPr>
            <w:tcW w:w="702" w:type="dxa"/>
            <w:vAlign w:val="center"/>
          </w:tcPr>
          <w:p w14:paraId="6DFC6F74">
            <w:pPr>
              <w:spacing w:line="288" w:lineRule="auto"/>
              <w:jc w:val="center"/>
              <w:rPr>
                <w:rFonts w:hint="eastAsia" w:ascii="宋体" w:hAnsi="宋体" w:eastAsia="宋体" w:cs="宋体"/>
                <w:color w:val="auto"/>
                <w:szCs w:val="21"/>
                <w:highlight w:val="none"/>
              </w:rPr>
            </w:pPr>
          </w:p>
        </w:tc>
        <w:tc>
          <w:tcPr>
            <w:tcW w:w="702" w:type="dxa"/>
            <w:vAlign w:val="center"/>
          </w:tcPr>
          <w:p w14:paraId="51991118">
            <w:pPr>
              <w:spacing w:line="288" w:lineRule="auto"/>
              <w:jc w:val="center"/>
              <w:rPr>
                <w:rFonts w:hint="eastAsia" w:ascii="宋体" w:hAnsi="宋体" w:eastAsia="宋体" w:cs="宋体"/>
                <w:color w:val="auto"/>
                <w:szCs w:val="21"/>
                <w:highlight w:val="none"/>
              </w:rPr>
            </w:pPr>
          </w:p>
        </w:tc>
        <w:tc>
          <w:tcPr>
            <w:tcW w:w="1164" w:type="dxa"/>
            <w:vAlign w:val="center"/>
          </w:tcPr>
          <w:p w14:paraId="7D290C17">
            <w:pPr>
              <w:spacing w:line="288" w:lineRule="auto"/>
              <w:jc w:val="center"/>
              <w:rPr>
                <w:rFonts w:hint="eastAsia" w:ascii="宋体" w:hAnsi="宋体" w:eastAsia="宋体" w:cs="宋体"/>
                <w:color w:val="auto"/>
                <w:szCs w:val="21"/>
                <w:highlight w:val="none"/>
              </w:rPr>
            </w:pPr>
          </w:p>
        </w:tc>
        <w:tc>
          <w:tcPr>
            <w:tcW w:w="818" w:type="dxa"/>
            <w:vAlign w:val="center"/>
          </w:tcPr>
          <w:p w14:paraId="67376317">
            <w:pPr>
              <w:spacing w:line="288" w:lineRule="auto"/>
              <w:jc w:val="center"/>
              <w:rPr>
                <w:rFonts w:hint="eastAsia" w:ascii="宋体" w:hAnsi="宋体" w:eastAsia="宋体" w:cs="宋体"/>
                <w:color w:val="auto"/>
                <w:szCs w:val="21"/>
                <w:highlight w:val="none"/>
              </w:rPr>
            </w:pPr>
          </w:p>
        </w:tc>
        <w:tc>
          <w:tcPr>
            <w:tcW w:w="1165" w:type="dxa"/>
            <w:vAlign w:val="center"/>
          </w:tcPr>
          <w:p w14:paraId="718FD472">
            <w:pPr>
              <w:spacing w:line="288" w:lineRule="auto"/>
              <w:jc w:val="center"/>
              <w:rPr>
                <w:rFonts w:hint="eastAsia" w:ascii="宋体" w:hAnsi="宋体" w:eastAsia="宋体" w:cs="宋体"/>
                <w:color w:val="auto"/>
                <w:szCs w:val="21"/>
                <w:highlight w:val="none"/>
              </w:rPr>
            </w:pPr>
          </w:p>
        </w:tc>
        <w:tc>
          <w:tcPr>
            <w:tcW w:w="703" w:type="dxa"/>
            <w:tcBorders>
              <w:right w:val="single" w:color="auto" w:sz="6" w:space="0"/>
            </w:tcBorders>
            <w:vAlign w:val="center"/>
          </w:tcPr>
          <w:p w14:paraId="5A09D843">
            <w:pPr>
              <w:spacing w:line="288" w:lineRule="auto"/>
              <w:jc w:val="center"/>
              <w:rPr>
                <w:rFonts w:hint="eastAsia" w:ascii="宋体" w:hAnsi="宋体" w:eastAsia="宋体" w:cs="宋体"/>
                <w:color w:val="auto"/>
                <w:szCs w:val="21"/>
                <w:highlight w:val="none"/>
              </w:rPr>
            </w:pPr>
          </w:p>
        </w:tc>
      </w:tr>
      <w:tr w14:paraId="5A493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F5AAD7E">
            <w:pPr>
              <w:spacing w:line="288" w:lineRule="auto"/>
              <w:jc w:val="center"/>
              <w:rPr>
                <w:rFonts w:hint="eastAsia" w:ascii="宋体" w:hAnsi="宋体" w:eastAsia="宋体" w:cs="宋体"/>
                <w:color w:val="auto"/>
                <w:szCs w:val="21"/>
                <w:highlight w:val="none"/>
              </w:rPr>
            </w:pPr>
          </w:p>
        </w:tc>
        <w:tc>
          <w:tcPr>
            <w:tcW w:w="702" w:type="dxa"/>
            <w:vAlign w:val="center"/>
          </w:tcPr>
          <w:p w14:paraId="41CE893B">
            <w:pPr>
              <w:spacing w:line="288" w:lineRule="auto"/>
              <w:jc w:val="center"/>
              <w:rPr>
                <w:rFonts w:hint="eastAsia" w:ascii="宋体" w:hAnsi="宋体" w:eastAsia="宋体" w:cs="宋体"/>
                <w:color w:val="auto"/>
                <w:szCs w:val="21"/>
                <w:highlight w:val="none"/>
              </w:rPr>
            </w:pPr>
          </w:p>
        </w:tc>
        <w:tc>
          <w:tcPr>
            <w:tcW w:w="1861" w:type="dxa"/>
            <w:vAlign w:val="center"/>
          </w:tcPr>
          <w:p w14:paraId="7820C252">
            <w:pPr>
              <w:spacing w:line="288" w:lineRule="auto"/>
              <w:jc w:val="center"/>
              <w:rPr>
                <w:rFonts w:hint="eastAsia" w:ascii="宋体" w:hAnsi="宋体" w:eastAsia="宋体" w:cs="宋体"/>
                <w:color w:val="auto"/>
                <w:szCs w:val="21"/>
                <w:highlight w:val="none"/>
              </w:rPr>
            </w:pPr>
          </w:p>
        </w:tc>
        <w:tc>
          <w:tcPr>
            <w:tcW w:w="702" w:type="dxa"/>
            <w:vAlign w:val="center"/>
          </w:tcPr>
          <w:p w14:paraId="6437B49C">
            <w:pPr>
              <w:spacing w:line="288" w:lineRule="auto"/>
              <w:jc w:val="center"/>
              <w:rPr>
                <w:rFonts w:hint="eastAsia" w:ascii="宋体" w:hAnsi="宋体" w:eastAsia="宋体" w:cs="宋体"/>
                <w:color w:val="auto"/>
                <w:szCs w:val="21"/>
                <w:highlight w:val="none"/>
              </w:rPr>
            </w:pPr>
          </w:p>
        </w:tc>
        <w:tc>
          <w:tcPr>
            <w:tcW w:w="702" w:type="dxa"/>
            <w:vAlign w:val="center"/>
          </w:tcPr>
          <w:p w14:paraId="18A24B9A">
            <w:pPr>
              <w:spacing w:line="288" w:lineRule="auto"/>
              <w:jc w:val="center"/>
              <w:rPr>
                <w:rFonts w:hint="eastAsia" w:ascii="宋体" w:hAnsi="宋体" w:eastAsia="宋体" w:cs="宋体"/>
                <w:color w:val="auto"/>
                <w:szCs w:val="21"/>
                <w:highlight w:val="none"/>
              </w:rPr>
            </w:pPr>
          </w:p>
        </w:tc>
        <w:tc>
          <w:tcPr>
            <w:tcW w:w="1164" w:type="dxa"/>
            <w:vAlign w:val="center"/>
          </w:tcPr>
          <w:p w14:paraId="6591AD6D">
            <w:pPr>
              <w:spacing w:line="288" w:lineRule="auto"/>
              <w:jc w:val="center"/>
              <w:rPr>
                <w:rFonts w:hint="eastAsia" w:ascii="宋体" w:hAnsi="宋体" w:eastAsia="宋体" w:cs="宋体"/>
                <w:color w:val="auto"/>
                <w:szCs w:val="21"/>
                <w:highlight w:val="none"/>
              </w:rPr>
            </w:pPr>
          </w:p>
        </w:tc>
        <w:tc>
          <w:tcPr>
            <w:tcW w:w="818" w:type="dxa"/>
            <w:vAlign w:val="center"/>
          </w:tcPr>
          <w:p w14:paraId="36BD81C7">
            <w:pPr>
              <w:spacing w:line="288" w:lineRule="auto"/>
              <w:jc w:val="center"/>
              <w:rPr>
                <w:rFonts w:hint="eastAsia" w:ascii="宋体" w:hAnsi="宋体" w:eastAsia="宋体" w:cs="宋体"/>
                <w:color w:val="auto"/>
                <w:szCs w:val="21"/>
                <w:highlight w:val="none"/>
              </w:rPr>
            </w:pPr>
          </w:p>
        </w:tc>
        <w:tc>
          <w:tcPr>
            <w:tcW w:w="1165" w:type="dxa"/>
            <w:vAlign w:val="center"/>
          </w:tcPr>
          <w:p w14:paraId="4B396F9C">
            <w:pPr>
              <w:spacing w:line="288" w:lineRule="auto"/>
              <w:jc w:val="center"/>
              <w:rPr>
                <w:rFonts w:hint="eastAsia" w:ascii="宋体" w:hAnsi="宋体" w:eastAsia="宋体" w:cs="宋体"/>
                <w:color w:val="auto"/>
                <w:szCs w:val="21"/>
                <w:highlight w:val="none"/>
              </w:rPr>
            </w:pPr>
          </w:p>
        </w:tc>
        <w:tc>
          <w:tcPr>
            <w:tcW w:w="703" w:type="dxa"/>
            <w:tcBorders>
              <w:right w:val="single" w:color="auto" w:sz="6" w:space="0"/>
            </w:tcBorders>
            <w:vAlign w:val="center"/>
          </w:tcPr>
          <w:p w14:paraId="4EB494C0">
            <w:pPr>
              <w:spacing w:line="288" w:lineRule="auto"/>
              <w:jc w:val="center"/>
              <w:rPr>
                <w:rFonts w:hint="eastAsia" w:ascii="宋体" w:hAnsi="宋体" w:eastAsia="宋体" w:cs="宋体"/>
                <w:color w:val="auto"/>
                <w:szCs w:val="21"/>
                <w:highlight w:val="none"/>
              </w:rPr>
            </w:pPr>
          </w:p>
        </w:tc>
      </w:tr>
      <w:tr w14:paraId="6504F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20F3614">
            <w:pPr>
              <w:spacing w:line="288" w:lineRule="auto"/>
              <w:jc w:val="center"/>
              <w:rPr>
                <w:rFonts w:hint="eastAsia" w:ascii="宋体" w:hAnsi="宋体" w:eastAsia="宋体" w:cs="宋体"/>
                <w:color w:val="auto"/>
                <w:szCs w:val="21"/>
                <w:highlight w:val="none"/>
              </w:rPr>
            </w:pPr>
          </w:p>
        </w:tc>
        <w:tc>
          <w:tcPr>
            <w:tcW w:w="702" w:type="dxa"/>
            <w:vAlign w:val="center"/>
          </w:tcPr>
          <w:p w14:paraId="0781B948">
            <w:pPr>
              <w:spacing w:line="288" w:lineRule="auto"/>
              <w:jc w:val="center"/>
              <w:rPr>
                <w:rFonts w:hint="eastAsia" w:ascii="宋体" w:hAnsi="宋体" w:eastAsia="宋体" w:cs="宋体"/>
                <w:color w:val="auto"/>
                <w:szCs w:val="21"/>
                <w:highlight w:val="none"/>
              </w:rPr>
            </w:pPr>
          </w:p>
        </w:tc>
        <w:tc>
          <w:tcPr>
            <w:tcW w:w="1861" w:type="dxa"/>
            <w:vAlign w:val="center"/>
          </w:tcPr>
          <w:p w14:paraId="36629D80">
            <w:pPr>
              <w:spacing w:line="288" w:lineRule="auto"/>
              <w:jc w:val="center"/>
              <w:rPr>
                <w:rFonts w:hint="eastAsia" w:ascii="宋体" w:hAnsi="宋体" w:eastAsia="宋体" w:cs="宋体"/>
                <w:color w:val="auto"/>
                <w:szCs w:val="21"/>
                <w:highlight w:val="none"/>
              </w:rPr>
            </w:pPr>
          </w:p>
        </w:tc>
        <w:tc>
          <w:tcPr>
            <w:tcW w:w="702" w:type="dxa"/>
            <w:vAlign w:val="center"/>
          </w:tcPr>
          <w:p w14:paraId="04242279">
            <w:pPr>
              <w:spacing w:line="288" w:lineRule="auto"/>
              <w:jc w:val="center"/>
              <w:rPr>
                <w:rFonts w:hint="eastAsia" w:ascii="宋体" w:hAnsi="宋体" w:eastAsia="宋体" w:cs="宋体"/>
                <w:color w:val="auto"/>
                <w:szCs w:val="21"/>
                <w:highlight w:val="none"/>
              </w:rPr>
            </w:pPr>
          </w:p>
        </w:tc>
        <w:tc>
          <w:tcPr>
            <w:tcW w:w="702" w:type="dxa"/>
            <w:vAlign w:val="center"/>
          </w:tcPr>
          <w:p w14:paraId="5EFE4729">
            <w:pPr>
              <w:spacing w:line="288" w:lineRule="auto"/>
              <w:jc w:val="center"/>
              <w:rPr>
                <w:rFonts w:hint="eastAsia" w:ascii="宋体" w:hAnsi="宋体" w:eastAsia="宋体" w:cs="宋体"/>
                <w:color w:val="auto"/>
                <w:szCs w:val="21"/>
                <w:highlight w:val="none"/>
              </w:rPr>
            </w:pPr>
          </w:p>
        </w:tc>
        <w:tc>
          <w:tcPr>
            <w:tcW w:w="1164" w:type="dxa"/>
            <w:vAlign w:val="center"/>
          </w:tcPr>
          <w:p w14:paraId="0AA9B0C3">
            <w:pPr>
              <w:spacing w:line="288" w:lineRule="auto"/>
              <w:jc w:val="center"/>
              <w:rPr>
                <w:rFonts w:hint="eastAsia" w:ascii="宋体" w:hAnsi="宋体" w:eastAsia="宋体" w:cs="宋体"/>
                <w:color w:val="auto"/>
                <w:szCs w:val="21"/>
                <w:highlight w:val="none"/>
              </w:rPr>
            </w:pPr>
          </w:p>
        </w:tc>
        <w:tc>
          <w:tcPr>
            <w:tcW w:w="818" w:type="dxa"/>
            <w:vAlign w:val="center"/>
          </w:tcPr>
          <w:p w14:paraId="5B4937E2">
            <w:pPr>
              <w:spacing w:line="288" w:lineRule="auto"/>
              <w:jc w:val="center"/>
              <w:rPr>
                <w:rFonts w:hint="eastAsia" w:ascii="宋体" w:hAnsi="宋体" w:eastAsia="宋体" w:cs="宋体"/>
                <w:color w:val="auto"/>
                <w:szCs w:val="21"/>
                <w:highlight w:val="none"/>
              </w:rPr>
            </w:pPr>
          </w:p>
        </w:tc>
        <w:tc>
          <w:tcPr>
            <w:tcW w:w="1165" w:type="dxa"/>
            <w:vAlign w:val="center"/>
          </w:tcPr>
          <w:p w14:paraId="0AB74B06">
            <w:pPr>
              <w:spacing w:line="288" w:lineRule="auto"/>
              <w:jc w:val="center"/>
              <w:rPr>
                <w:rFonts w:hint="eastAsia" w:ascii="宋体" w:hAnsi="宋体" w:eastAsia="宋体" w:cs="宋体"/>
                <w:color w:val="auto"/>
                <w:szCs w:val="21"/>
                <w:highlight w:val="none"/>
              </w:rPr>
            </w:pPr>
          </w:p>
        </w:tc>
        <w:tc>
          <w:tcPr>
            <w:tcW w:w="703" w:type="dxa"/>
            <w:tcBorders>
              <w:right w:val="single" w:color="auto" w:sz="6" w:space="0"/>
            </w:tcBorders>
            <w:vAlign w:val="center"/>
          </w:tcPr>
          <w:p w14:paraId="075127BA">
            <w:pPr>
              <w:spacing w:line="288" w:lineRule="auto"/>
              <w:jc w:val="center"/>
              <w:rPr>
                <w:rFonts w:hint="eastAsia" w:ascii="宋体" w:hAnsi="宋体" w:eastAsia="宋体" w:cs="宋体"/>
                <w:color w:val="auto"/>
                <w:szCs w:val="21"/>
                <w:highlight w:val="none"/>
              </w:rPr>
            </w:pPr>
          </w:p>
        </w:tc>
      </w:tr>
      <w:tr w14:paraId="6AB7E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FC5DE9A">
            <w:pPr>
              <w:spacing w:line="288" w:lineRule="auto"/>
              <w:jc w:val="center"/>
              <w:rPr>
                <w:rFonts w:hint="eastAsia" w:ascii="宋体" w:hAnsi="宋体" w:eastAsia="宋体" w:cs="宋体"/>
                <w:color w:val="auto"/>
                <w:szCs w:val="21"/>
                <w:highlight w:val="none"/>
              </w:rPr>
            </w:pPr>
          </w:p>
        </w:tc>
        <w:tc>
          <w:tcPr>
            <w:tcW w:w="702" w:type="dxa"/>
            <w:vAlign w:val="center"/>
          </w:tcPr>
          <w:p w14:paraId="35F2398F">
            <w:pPr>
              <w:spacing w:line="288" w:lineRule="auto"/>
              <w:jc w:val="center"/>
              <w:rPr>
                <w:rFonts w:hint="eastAsia" w:ascii="宋体" w:hAnsi="宋体" w:eastAsia="宋体" w:cs="宋体"/>
                <w:color w:val="auto"/>
                <w:szCs w:val="21"/>
                <w:highlight w:val="none"/>
              </w:rPr>
            </w:pPr>
          </w:p>
        </w:tc>
        <w:tc>
          <w:tcPr>
            <w:tcW w:w="1861" w:type="dxa"/>
            <w:vAlign w:val="center"/>
          </w:tcPr>
          <w:p w14:paraId="16F40AD1">
            <w:pPr>
              <w:spacing w:line="288" w:lineRule="auto"/>
              <w:jc w:val="center"/>
              <w:rPr>
                <w:rFonts w:hint="eastAsia" w:ascii="宋体" w:hAnsi="宋体" w:eastAsia="宋体" w:cs="宋体"/>
                <w:color w:val="auto"/>
                <w:szCs w:val="21"/>
                <w:highlight w:val="none"/>
              </w:rPr>
            </w:pPr>
          </w:p>
        </w:tc>
        <w:tc>
          <w:tcPr>
            <w:tcW w:w="702" w:type="dxa"/>
            <w:vAlign w:val="center"/>
          </w:tcPr>
          <w:p w14:paraId="52EF4B2C">
            <w:pPr>
              <w:spacing w:line="288" w:lineRule="auto"/>
              <w:jc w:val="center"/>
              <w:rPr>
                <w:rFonts w:hint="eastAsia" w:ascii="宋体" w:hAnsi="宋体" w:eastAsia="宋体" w:cs="宋体"/>
                <w:color w:val="auto"/>
                <w:szCs w:val="21"/>
                <w:highlight w:val="none"/>
              </w:rPr>
            </w:pPr>
          </w:p>
        </w:tc>
        <w:tc>
          <w:tcPr>
            <w:tcW w:w="702" w:type="dxa"/>
            <w:vAlign w:val="center"/>
          </w:tcPr>
          <w:p w14:paraId="77E884AA">
            <w:pPr>
              <w:spacing w:line="288" w:lineRule="auto"/>
              <w:jc w:val="center"/>
              <w:rPr>
                <w:rFonts w:hint="eastAsia" w:ascii="宋体" w:hAnsi="宋体" w:eastAsia="宋体" w:cs="宋体"/>
                <w:color w:val="auto"/>
                <w:szCs w:val="21"/>
                <w:highlight w:val="none"/>
              </w:rPr>
            </w:pPr>
          </w:p>
        </w:tc>
        <w:tc>
          <w:tcPr>
            <w:tcW w:w="1164" w:type="dxa"/>
            <w:vAlign w:val="center"/>
          </w:tcPr>
          <w:p w14:paraId="2C3C52ED">
            <w:pPr>
              <w:spacing w:line="288" w:lineRule="auto"/>
              <w:jc w:val="center"/>
              <w:rPr>
                <w:rFonts w:hint="eastAsia" w:ascii="宋体" w:hAnsi="宋体" w:eastAsia="宋体" w:cs="宋体"/>
                <w:color w:val="auto"/>
                <w:szCs w:val="21"/>
                <w:highlight w:val="none"/>
              </w:rPr>
            </w:pPr>
          </w:p>
        </w:tc>
        <w:tc>
          <w:tcPr>
            <w:tcW w:w="818" w:type="dxa"/>
            <w:vAlign w:val="center"/>
          </w:tcPr>
          <w:p w14:paraId="3EC25FD3">
            <w:pPr>
              <w:spacing w:line="288" w:lineRule="auto"/>
              <w:jc w:val="center"/>
              <w:rPr>
                <w:rFonts w:hint="eastAsia" w:ascii="宋体" w:hAnsi="宋体" w:eastAsia="宋体" w:cs="宋体"/>
                <w:color w:val="auto"/>
                <w:szCs w:val="21"/>
                <w:highlight w:val="none"/>
              </w:rPr>
            </w:pPr>
          </w:p>
        </w:tc>
        <w:tc>
          <w:tcPr>
            <w:tcW w:w="1165" w:type="dxa"/>
            <w:vAlign w:val="center"/>
          </w:tcPr>
          <w:p w14:paraId="5C35533E">
            <w:pPr>
              <w:spacing w:line="288" w:lineRule="auto"/>
              <w:jc w:val="center"/>
              <w:rPr>
                <w:rFonts w:hint="eastAsia" w:ascii="宋体" w:hAnsi="宋体" w:eastAsia="宋体" w:cs="宋体"/>
                <w:color w:val="auto"/>
                <w:szCs w:val="21"/>
                <w:highlight w:val="none"/>
              </w:rPr>
            </w:pPr>
          </w:p>
        </w:tc>
        <w:tc>
          <w:tcPr>
            <w:tcW w:w="703" w:type="dxa"/>
            <w:tcBorders>
              <w:right w:val="single" w:color="auto" w:sz="6" w:space="0"/>
            </w:tcBorders>
            <w:vAlign w:val="center"/>
          </w:tcPr>
          <w:p w14:paraId="254F1CED">
            <w:pPr>
              <w:spacing w:line="288" w:lineRule="auto"/>
              <w:jc w:val="center"/>
              <w:rPr>
                <w:rFonts w:hint="eastAsia" w:ascii="宋体" w:hAnsi="宋体" w:eastAsia="宋体" w:cs="宋体"/>
                <w:color w:val="auto"/>
                <w:szCs w:val="21"/>
                <w:highlight w:val="none"/>
              </w:rPr>
            </w:pPr>
          </w:p>
        </w:tc>
      </w:tr>
      <w:tr w14:paraId="45918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0CC3530">
            <w:pPr>
              <w:spacing w:line="288" w:lineRule="auto"/>
              <w:jc w:val="center"/>
              <w:rPr>
                <w:rFonts w:hint="eastAsia" w:ascii="宋体" w:hAnsi="宋体" w:eastAsia="宋体" w:cs="宋体"/>
                <w:color w:val="auto"/>
                <w:szCs w:val="21"/>
                <w:highlight w:val="none"/>
              </w:rPr>
            </w:pPr>
          </w:p>
        </w:tc>
        <w:tc>
          <w:tcPr>
            <w:tcW w:w="702" w:type="dxa"/>
            <w:vAlign w:val="center"/>
          </w:tcPr>
          <w:p w14:paraId="16F0798B">
            <w:pPr>
              <w:spacing w:line="288" w:lineRule="auto"/>
              <w:jc w:val="center"/>
              <w:rPr>
                <w:rFonts w:hint="eastAsia" w:ascii="宋体" w:hAnsi="宋体" w:eastAsia="宋体" w:cs="宋体"/>
                <w:color w:val="auto"/>
                <w:szCs w:val="21"/>
                <w:highlight w:val="none"/>
              </w:rPr>
            </w:pPr>
          </w:p>
        </w:tc>
        <w:tc>
          <w:tcPr>
            <w:tcW w:w="1861" w:type="dxa"/>
            <w:vAlign w:val="center"/>
          </w:tcPr>
          <w:p w14:paraId="0688DCA6">
            <w:pPr>
              <w:spacing w:line="288" w:lineRule="auto"/>
              <w:jc w:val="center"/>
              <w:rPr>
                <w:rFonts w:hint="eastAsia" w:ascii="宋体" w:hAnsi="宋体" w:eastAsia="宋体" w:cs="宋体"/>
                <w:color w:val="auto"/>
                <w:szCs w:val="21"/>
                <w:highlight w:val="none"/>
              </w:rPr>
            </w:pPr>
          </w:p>
        </w:tc>
        <w:tc>
          <w:tcPr>
            <w:tcW w:w="702" w:type="dxa"/>
            <w:vAlign w:val="center"/>
          </w:tcPr>
          <w:p w14:paraId="7E0EE2B5">
            <w:pPr>
              <w:spacing w:line="288" w:lineRule="auto"/>
              <w:jc w:val="center"/>
              <w:rPr>
                <w:rFonts w:hint="eastAsia" w:ascii="宋体" w:hAnsi="宋体" w:eastAsia="宋体" w:cs="宋体"/>
                <w:color w:val="auto"/>
                <w:szCs w:val="21"/>
                <w:highlight w:val="none"/>
              </w:rPr>
            </w:pPr>
          </w:p>
        </w:tc>
        <w:tc>
          <w:tcPr>
            <w:tcW w:w="702" w:type="dxa"/>
            <w:vAlign w:val="center"/>
          </w:tcPr>
          <w:p w14:paraId="00A44704">
            <w:pPr>
              <w:spacing w:line="288" w:lineRule="auto"/>
              <w:jc w:val="center"/>
              <w:rPr>
                <w:rFonts w:hint="eastAsia" w:ascii="宋体" w:hAnsi="宋体" w:eastAsia="宋体" w:cs="宋体"/>
                <w:color w:val="auto"/>
                <w:szCs w:val="21"/>
                <w:highlight w:val="none"/>
              </w:rPr>
            </w:pPr>
          </w:p>
        </w:tc>
        <w:tc>
          <w:tcPr>
            <w:tcW w:w="1164" w:type="dxa"/>
            <w:vAlign w:val="center"/>
          </w:tcPr>
          <w:p w14:paraId="76BFC537">
            <w:pPr>
              <w:spacing w:line="288" w:lineRule="auto"/>
              <w:jc w:val="center"/>
              <w:rPr>
                <w:rFonts w:hint="eastAsia" w:ascii="宋体" w:hAnsi="宋体" w:eastAsia="宋体" w:cs="宋体"/>
                <w:color w:val="auto"/>
                <w:szCs w:val="21"/>
                <w:highlight w:val="none"/>
              </w:rPr>
            </w:pPr>
          </w:p>
        </w:tc>
        <w:tc>
          <w:tcPr>
            <w:tcW w:w="818" w:type="dxa"/>
            <w:vAlign w:val="center"/>
          </w:tcPr>
          <w:p w14:paraId="1B2E94AE">
            <w:pPr>
              <w:spacing w:line="288" w:lineRule="auto"/>
              <w:jc w:val="center"/>
              <w:rPr>
                <w:rFonts w:hint="eastAsia" w:ascii="宋体" w:hAnsi="宋体" w:eastAsia="宋体" w:cs="宋体"/>
                <w:color w:val="auto"/>
                <w:szCs w:val="21"/>
                <w:highlight w:val="none"/>
              </w:rPr>
            </w:pPr>
          </w:p>
        </w:tc>
        <w:tc>
          <w:tcPr>
            <w:tcW w:w="1165" w:type="dxa"/>
            <w:vAlign w:val="center"/>
          </w:tcPr>
          <w:p w14:paraId="7EB9C9E4">
            <w:pPr>
              <w:spacing w:line="288" w:lineRule="auto"/>
              <w:jc w:val="center"/>
              <w:rPr>
                <w:rFonts w:hint="eastAsia" w:ascii="宋体" w:hAnsi="宋体" w:eastAsia="宋体" w:cs="宋体"/>
                <w:color w:val="auto"/>
                <w:szCs w:val="21"/>
                <w:highlight w:val="none"/>
              </w:rPr>
            </w:pPr>
          </w:p>
        </w:tc>
        <w:tc>
          <w:tcPr>
            <w:tcW w:w="703" w:type="dxa"/>
            <w:tcBorders>
              <w:right w:val="single" w:color="auto" w:sz="6" w:space="0"/>
            </w:tcBorders>
            <w:vAlign w:val="center"/>
          </w:tcPr>
          <w:p w14:paraId="3A62ACE6">
            <w:pPr>
              <w:spacing w:line="288" w:lineRule="auto"/>
              <w:jc w:val="center"/>
              <w:rPr>
                <w:rFonts w:hint="eastAsia" w:ascii="宋体" w:hAnsi="宋体" w:eastAsia="宋体" w:cs="宋体"/>
                <w:color w:val="auto"/>
                <w:szCs w:val="21"/>
                <w:highlight w:val="none"/>
              </w:rPr>
            </w:pPr>
          </w:p>
        </w:tc>
      </w:tr>
      <w:tr w14:paraId="4E0DF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A3862E9">
            <w:pPr>
              <w:spacing w:line="288" w:lineRule="auto"/>
              <w:jc w:val="center"/>
              <w:rPr>
                <w:rFonts w:hint="eastAsia" w:ascii="宋体" w:hAnsi="宋体" w:eastAsia="宋体" w:cs="宋体"/>
                <w:color w:val="auto"/>
                <w:szCs w:val="21"/>
                <w:highlight w:val="none"/>
              </w:rPr>
            </w:pPr>
          </w:p>
        </w:tc>
        <w:tc>
          <w:tcPr>
            <w:tcW w:w="702" w:type="dxa"/>
            <w:vAlign w:val="center"/>
          </w:tcPr>
          <w:p w14:paraId="1F031F35">
            <w:pPr>
              <w:spacing w:line="288" w:lineRule="auto"/>
              <w:jc w:val="center"/>
              <w:rPr>
                <w:rFonts w:hint="eastAsia" w:ascii="宋体" w:hAnsi="宋体" w:eastAsia="宋体" w:cs="宋体"/>
                <w:color w:val="auto"/>
                <w:szCs w:val="21"/>
                <w:highlight w:val="none"/>
              </w:rPr>
            </w:pPr>
          </w:p>
        </w:tc>
        <w:tc>
          <w:tcPr>
            <w:tcW w:w="1861" w:type="dxa"/>
            <w:vAlign w:val="center"/>
          </w:tcPr>
          <w:p w14:paraId="7DAC9E33">
            <w:pPr>
              <w:spacing w:line="288" w:lineRule="auto"/>
              <w:jc w:val="center"/>
              <w:rPr>
                <w:rFonts w:hint="eastAsia" w:ascii="宋体" w:hAnsi="宋体" w:eastAsia="宋体" w:cs="宋体"/>
                <w:color w:val="auto"/>
                <w:szCs w:val="21"/>
                <w:highlight w:val="none"/>
              </w:rPr>
            </w:pPr>
          </w:p>
        </w:tc>
        <w:tc>
          <w:tcPr>
            <w:tcW w:w="702" w:type="dxa"/>
            <w:vAlign w:val="center"/>
          </w:tcPr>
          <w:p w14:paraId="0D2E0BDD">
            <w:pPr>
              <w:spacing w:line="288" w:lineRule="auto"/>
              <w:jc w:val="center"/>
              <w:rPr>
                <w:rFonts w:hint="eastAsia" w:ascii="宋体" w:hAnsi="宋体" w:eastAsia="宋体" w:cs="宋体"/>
                <w:color w:val="auto"/>
                <w:szCs w:val="21"/>
                <w:highlight w:val="none"/>
              </w:rPr>
            </w:pPr>
          </w:p>
        </w:tc>
        <w:tc>
          <w:tcPr>
            <w:tcW w:w="702" w:type="dxa"/>
            <w:vAlign w:val="center"/>
          </w:tcPr>
          <w:p w14:paraId="1372EE7E">
            <w:pPr>
              <w:spacing w:line="288" w:lineRule="auto"/>
              <w:jc w:val="center"/>
              <w:rPr>
                <w:rFonts w:hint="eastAsia" w:ascii="宋体" w:hAnsi="宋体" w:eastAsia="宋体" w:cs="宋体"/>
                <w:color w:val="auto"/>
                <w:szCs w:val="21"/>
                <w:highlight w:val="none"/>
              </w:rPr>
            </w:pPr>
          </w:p>
        </w:tc>
        <w:tc>
          <w:tcPr>
            <w:tcW w:w="1164" w:type="dxa"/>
            <w:vAlign w:val="center"/>
          </w:tcPr>
          <w:p w14:paraId="3FD7EF1F">
            <w:pPr>
              <w:spacing w:line="288" w:lineRule="auto"/>
              <w:jc w:val="center"/>
              <w:rPr>
                <w:rFonts w:hint="eastAsia" w:ascii="宋体" w:hAnsi="宋体" w:eastAsia="宋体" w:cs="宋体"/>
                <w:color w:val="auto"/>
                <w:szCs w:val="21"/>
                <w:highlight w:val="none"/>
              </w:rPr>
            </w:pPr>
          </w:p>
        </w:tc>
        <w:tc>
          <w:tcPr>
            <w:tcW w:w="818" w:type="dxa"/>
            <w:vAlign w:val="center"/>
          </w:tcPr>
          <w:p w14:paraId="7339960B">
            <w:pPr>
              <w:spacing w:line="288" w:lineRule="auto"/>
              <w:jc w:val="center"/>
              <w:rPr>
                <w:rFonts w:hint="eastAsia" w:ascii="宋体" w:hAnsi="宋体" w:eastAsia="宋体" w:cs="宋体"/>
                <w:color w:val="auto"/>
                <w:szCs w:val="21"/>
                <w:highlight w:val="none"/>
              </w:rPr>
            </w:pPr>
          </w:p>
        </w:tc>
        <w:tc>
          <w:tcPr>
            <w:tcW w:w="1165" w:type="dxa"/>
            <w:vAlign w:val="center"/>
          </w:tcPr>
          <w:p w14:paraId="59C251E0">
            <w:pPr>
              <w:spacing w:line="288" w:lineRule="auto"/>
              <w:jc w:val="center"/>
              <w:rPr>
                <w:rFonts w:hint="eastAsia" w:ascii="宋体" w:hAnsi="宋体" w:eastAsia="宋体" w:cs="宋体"/>
                <w:color w:val="auto"/>
                <w:szCs w:val="21"/>
                <w:highlight w:val="none"/>
              </w:rPr>
            </w:pPr>
          </w:p>
        </w:tc>
        <w:tc>
          <w:tcPr>
            <w:tcW w:w="703" w:type="dxa"/>
            <w:tcBorders>
              <w:right w:val="single" w:color="auto" w:sz="6" w:space="0"/>
            </w:tcBorders>
            <w:vAlign w:val="center"/>
          </w:tcPr>
          <w:p w14:paraId="559624D2">
            <w:pPr>
              <w:spacing w:line="288" w:lineRule="auto"/>
              <w:jc w:val="center"/>
              <w:rPr>
                <w:rFonts w:hint="eastAsia" w:ascii="宋体" w:hAnsi="宋体" w:eastAsia="宋体" w:cs="宋体"/>
                <w:color w:val="auto"/>
                <w:szCs w:val="21"/>
                <w:highlight w:val="none"/>
              </w:rPr>
            </w:pPr>
          </w:p>
        </w:tc>
      </w:tr>
    </w:tbl>
    <w:p w14:paraId="162567FB">
      <w:pPr>
        <w:ind w:firstLine="178" w:firstLineChars="85"/>
        <w:rPr>
          <w:rFonts w:hint="eastAsia" w:ascii="宋体" w:hAnsi="宋体" w:eastAsia="宋体" w:cs="宋体"/>
          <w:color w:val="auto"/>
          <w:szCs w:val="21"/>
          <w:highlight w:val="none"/>
        </w:rPr>
      </w:pPr>
    </w:p>
    <w:p w14:paraId="524E31C9">
      <w:pPr>
        <w:ind w:firstLine="178" w:firstLineChars="85"/>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附有关证明文件（复印件加盖公章）</w:t>
      </w:r>
    </w:p>
    <w:p w14:paraId="6D76A49D">
      <w:pPr>
        <w:ind w:firstLine="178" w:firstLineChars="85"/>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投标人代表签字：</w:t>
      </w:r>
    </w:p>
    <w:p w14:paraId="517D99BD">
      <w:pPr>
        <w:ind w:firstLine="178" w:firstLineChars="85"/>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投标人盖章：</w:t>
      </w:r>
    </w:p>
    <w:p w14:paraId="393125BE">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w:t>
      </w:r>
    </w:p>
    <w:p w14:paraId="31B7AD9D">
      <w:pPr>
        <w:pStyle w:val="44"/>
        <w:numPr>
          <w:ilvl w:val="0"/>
          <w:numId w:val="15"/>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投标人可按项目的实际需要提供本表格。</w:t>
      </w:r>
    </w:p>
    <w:p w14:paraId="7C72455D">
      <w:pPr>
        <w:pStyle w:val="44"/>
        <w:numPr>
          <w:ilvl w:val="0"/>
          <w:numId w:val="15"/>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该表格为参考格式，投标人可按实际情况自行制订。</w:t>
      </w:r>
    </w:p>
    <w:p w14:paraId="1078CD34">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3、投标人若未提供或未填写完整则视为完全响应采购文件的人员要求，因此对投标人投标产生负面影响的，投标人自行承担后果。</w:t>
      </w:r>
    </w:p>
    <w:p w14:paraId="5FC42473">
      <w:pPr>
        <w:pStyle w:val="44"/>
        <w:numPr>
          <w:ilvl w:val="0"/>
          <w:numId w:val="15"/>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0C2B7CAE">
      <w:pPr>
        <w:pStyle w:val="5"/>
        <w:widowControl w:val="0"/>
        <w:overflowPunct w:val="0"/>
        <w:spacing w:line="240" w:lineRule="auto"/>
        <w:rPr>
          <w:rFonts w:hint="eastAsia" w:ascii="宋体" w:hAnsi="宋体" w:eastAsia="宋体" w:cs="宋体"/>
          <w:color w:val="auto"/>
          <w:highlight w:val="none"/>
        </w:rPr>
      </w:pPr>
      <w:bookmarkStart w:id="183" w:name="_Toc24973"/>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.投标保证金汇入情况说明格式</w:t>
      </w:r>
      <w:bookmarkEnd w:id="183"/>
    </w:p>
    <w:p w14:paraId="17794D97">
      <w:pPr>
        <w:rPr>
          <w:rFonts w:hint="eastAsia" w:ascii="宋体" w:hAnsi="宋体" w:eastAsia="宋体" w:cs="宋体"/>
          <w:color w:val="auto"/>
          <w:highlight w:val="none"/>
        </w:rPr>
      </w:pPr>
    </w:p>
    <w:p w14:paraId="421F01C7">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投标保证金汇入情况说明</w:t>
      </w:r>
    </w:p>
    <w:p w14:paraId="05D3751C">
      <w:pPr>
        <w:spacing w:line="48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致：xxxxxx公司：</w:t>
      </w:r>
    </w:p>
    <w:p w14:paraId="1FE3B159">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本单位已按</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项目（采购项目编号：）的采购文件要求，于年月日前以</w:t>
      </w:r>
      <w:r>
        <w:rPr>
          <w:rFonts w:hint="eastAsia" w:ascii="宋体" w:hAnsi="宋体" w:eastAsia="宋体" w:cs="宋体"/>
          <w:color w:val="auto"/>
          <w:szCs w:val="21"/>
          <w:highlight w:val="none"/>
          <w:u w:val="single"/>
        </w:rPr>
        <w:t xml:space="preserve">           （付款形式）</w:t>
      </w:r>
      <w:r>
        <w:rPr>
          <w:rFonts w:hint="eastAsia" w:ascii="宋体" w:hAnsi="宋体" w:eastAsia="宋体" w:cs="宋体"/>
          <w:color w:val="auto"/>
          <w:szCs w:val="21"/>
          <w:highlight w:val="none"/>
        </w:rPr>
        <w:t>方式汇入指定</w:t>
      </w:r>
      <w:r>
        <w:rPr>
          <w:rFonts w:hint="eastAsia" w:ascii="宋体" w:hAnsi="宋体" w:eastAsia="宋体" w:cs="宋体"/>
          <w:color w:val="auto"/>
          <w:szCs w:val="21"/>
          <w:highlight w:val="none"/>
          <w:lang w:val="en-US" w:eastAsia="zh-CN"/>
        </w:rPr>
        <w:t>账</w:t>
      </w:r>
      <w:r>
        <w:rPr>
          <w:rFonts w:hint="eastAsia" w:ascii="宋体" w:hAnsi="宋体" w:eastAsia="宋体" w:cs="宋体"/>
          <w:color w:val="auto"/>
          <w:szCs w:val="21"/>
          <w:highlight w:val="none"/>
        </w:rPr>
        <w:t>户（</w:t>
      </w:r>
      <w:r>
        <w:rPr>
          <w:rFonts w:hint="eastAsia" w:ascii="宋体" w:hAnsi="宋体" w:eastAsia="宋体" w:cs="宋体"/>
          <w:color w:val="auto"/>
          <w:szCs w:val="21"/>
          <w:highlight w:val="none"/>
          <w:lang w:val="en-US" w:eastAsia="zh-CN"/>
        </w:rPr>
        <w:t>账</w:t>
      </w:r>
      <w:r>
        <w:rPr>
          <w:rFonts w:hint="eastAsia" w:ascii="宋体" w:hAnsi="宋体" w:eastAsia="宋体" w:cs="宋体"/>
          <w:color w:val="auto"/>
          <w:szCs w:val="21"/>
          <w:highlight w:val="none"/>
        </w:rPr>
        <w:t>户名称：</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账</w:t>
      </w:r>
      <w:r>
        <w:rPr>
          <w:rFonts w:hint="eastAsia" w:ascii="宋体" w:hAnsi="宋体" w:eastAsia="宋体" w:cs="宋体"/>
          <w:color w:val="auto"/>
          <w:szCs w:val="21"/>
          <w:highlight w:val="none"/>
        </w:rPr>
        <w:t>号：</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,开户银行：</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p>
    <w:p w14:paraId="5FA34495">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本单位投标保证金的汇款情况：（详见附件－投标保证金进</w:t>
      </w:r>
      <w:r>
        <w:rPr>
          <w:rFonts w:hint="eastAsia" w:ascii="宋体" w:hAnsi="宋体" w:eastAsia="宋体" w:cs="宋体"/>
          <w:color w:val="auto"/>
          <w:szCs w:val="21"/>
          <w:highlight w:val="none"/>
          <w:lang w:val="en-US" w:eastAsia="zh-CN"/>
        </w:rPr>
        <w:t>账</w:t>
      </w:r>
      <w:r>
        <w:rPr>
          <w:rFonts w:hint="eastAsia" w:ascii="宋体" w:hAnsi="宋体" w:eastAsia="宋体" w:cs="宋体"/>
          <w:color w:val="auto"/>
          <w:szCs w:val="21"/>
          <w:highlight w:val="none"/>
        </w:rPr>
        <w:t>单）</w:t>
      </w:r>
    </w:p>
    <w:p w14:paraId="37F9E27F">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汇出时间：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w:t>
      </w:r>
    </w:p>
    <w:p w14:paraId="52B365A1">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汇款金额：（大写）人民币</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元（小写：￥</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w:t>
      </w:r>
    </w:p>
    <w:p w14:paraId="4110A3A8">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汇款</w:t>
      </w:r>
      <w:r>
        <w:rPr>
          <w:rFonts w:hint="eastAsia" w:ascii="宋体" w:hAnsi="宋体" w:eastAsia="宋体" w:cs="宋体"/>
          <w:color w:val="auto"/>
          <w:szCs w:val="21"/>
          <w:highlight w:val="none"/>
          <w:lang w:val="en-US" w:eastAsia="zh-CN"/>
        </w:rPr>
        <w:t>账</w:t>
      </w:r>
      <w:r>
        <w:rPr>
          <w:rFonts w:hint="eastAsia" w:ascii="宋体" w:hAnsi="宋体" w:eastAsia="宋体" w:cs="宋体"/>
          <w:color w:val="auto"/>
          <w:szCs w:val="21"/>
          <w:highlight w:val="none"/>
        </w:rPr>
        <w:t>户名称：</w:t>
      </w:r>
      <w:r>
        <w:rPr>
          <w:rFonts w:hint="eastAsia" w:ascii="宋体" w:hAnsi="宋体" w:eastAsia="宋体" w:cs="宋体"/>
          <w:color w:val="auto"/>
          <w:szCs w:val="21"/>
          <w:highlight w:val="none"/>
          <w:u w:val="single"/>
        </w:rPr>
        <w:t xml:space="preserve">  （必须是投标时使用的</w:t>
      </w:r>
      <w:r>
        <w:rPr>
          <w:rFonts w:hint="eastAsia" w:ascii="宋体" w:hAnsi="宋体" w:eastAsia="宋体" w:cs="宋体"/>
          <w:color w:val="auto"/>
          <w:szCs w:val="21"/>
          <w:highlight w:val="none"/>
          <w:lang w:val="en-US" w:eastAsia="zh-CN"/>
        </w:rPr>
        <w:t>账</w:t>
      </w:r>
      <w:r>
        <w:rPr>
          <w:rFonts w:hint="eastAsia" w:ascii="宋体" w:hAnsi="宋体" w:eastAsia="宋体" w:cs="宋体"/>
          <w:color w:val="auto"/>
          <w:szCs w:val="21"/>
          <w:highlight w:val="none"/>
          <w:u w:val="single"/>
        </w:rPr>
        <w:t xml:space="preserve">户名）   </w:t>
      </w:r>
    </w:p>
    <w:p w14:paraId="6D483F3B">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账</w:t>
      </w:r>
      <w:r>
        <w:rPr>
          <w:rFonts w:hint="eastAsia" w:ascii="宋体" w:hAnsi="宋体" w:eastAsia="宋体" w:cs="宋体"/>
          <w:color w:val="auto"/>
          <w:szCs w:val="21"/>
          <w:highlight w:val="none"/>
        </w:rPr>
        <w:t xml:space="preserve">        号：</w:t>
      </w:r>
      <w:r>
        <w:rPr>
          <w:rFonts w:hint="eastAsia" w:ascii="宋体" w:hAnsi="宋体" w:eastAsia="宋体" w:cs="宋体"/>
          <w:color w:val="auto"/>
          <w:szCs w:val="21"/>
          <w:highlight w:val="none"/>
          <w:u w:val="single"/>
        </w:rPr>
        <w:t xml:space="preserve">  （必须是投标时使用的</w:t>
      </w:r>
      <w:r>
        <w:rPr>
          <w:rFonts w:hint="eastAsia" w:ascii="宋体" w:hAnsi="宋体" w:eastAsia="宋体" w:cs="宋体"/>
          <w:color w:val="auto"/>
          <w:szCs w:val="21"/>
          <w:highlight w:val="none"/>
          <w:lang w:val="en-US" w:eastAsia="zh-CN"/>
        </w:rPr>
        <w:t>账</w:t>
      </w:r>
      <w:r>
        <w:rPr>
          <w:rFonts w:hint="eastAsia" w:ascii="宋体" w:hAnsi="宋体" w:eastAsia="宋体" w:cs="宋体"/>
          <w:color w:val="auto"/>
          <w:szCs w:val="21"/>
          <w:highlight w:val="none"/>
          <w:u w:val="single"/>
        </w:rPr>
        <w:t xml:space="preserve">号）        </w:t>
      </w:r>
    </w:p>
    <w:p w14:paraId="57F61B45">
      <w:pPr>
        <w:spacing w:line="480" w:lineRule="auto"/>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开 户  银 行：</w:t>
      </w:r>
      <w:r>
        <w:rPr>
          <w:rFonts w:hint="eastAsia" w:ascii="宋体" w:hAnsi="宋体" w:eastAsia="宋体" w:cs="宋体"/>
          <w:color w:val="auto"/>
          <w:szCs w:val="21"/>
          <w:highlight w:val="none"/>
          <w:u w:val="single"/>
        </w:rPr>
        <w:t xml:space="preserve">  （  XX 银行 XX 分行 XX 支行   ）</w:t>
      </w:r>
    </w:p>
    <w:p w14:paraId="601F161F">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本单位谨承诺上述资料是正确、真实的，如因上述证明与事实不符导致的一切损失，本单位保证承担赔偿等一切法律责任。</w:t>
      </w:r>
    </w:p>
    <w:p w14:paraId="25DE7C4F">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投标保证金退回时，请按上述资料退回。</w:t>
      </w:r>
    </w:p>
    <w:p w14:paraId="774559B4">
      <w:pPr>
        <w:spacing w:line="480" w:lineRule="auto"/>
        <w:ind w:right="844" w:rightChars="402"/>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（单位公章）</w:t>
      </w:r>
    </w:p>
    <w:p w14:paraId="2ACDCB46">
      <w:pPr>
        <w:spacing w:line="480" w:lineRule="auto"/>
        <w:ind w:right="628" w:rightChars="299"/>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 月 日</w:t>
      </w:r>
    </w:p>
    <w:p w14:paraId="3AD52CE6">
      <w:pPr>
        <w:spacing w:line="48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单位名称：</w:t>
      </w:r>
    </w:p>
    <w:p w14:paraId="658D437E">
      <w:pPr>
        <w:spacing w:line="48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单位地址：</w:t>
      </w:r>
    </w:p>
    <w:p w14:paraId="58FC00C3">
      <w:pPr>
        <w:spacing w:line="48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联系人：</w:t>
      </w:r>
    </w:p>
    <w:p w14:paraId="10A8D8FC">
      <w:pPr>
        <w:spacing w:line="48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单位电话： 联系人手机：</w:t>
      </w:r>
    </w:p>
    <w:p w14:paraId="0C155088">
      <w:pPr>
        <w:rPr>
          <w:rFonts w:hint="eastAsia" w:ascii="宋体" w:hAnsi="宋体" w:eastAsia="宋体" w:cs="宋体"/>
          <w:color w:val="auto"/>
          <w:szCs w:val="21"/>
          <w:highlight w:val="none"/>
        </w:rPr>
      </w:pPr>
    </w:p>
    <w:p w14:paraId="3CD11E26">
      <w:pPr>
        <w:spacing w:line="38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16F1BEEB">
      <w:pPr>
        <w:spacing w:line="38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附：我方投标保证金汇款凭证</w:t>
      </w:r>
    </w:p>
    <w:tbl>
      <w:tblPr>
        <w:tblStyle w:val="30"/>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4175B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4AECBAB4">
            <w:pPr>
              <w:tabs>
                <w:tab w:val="left" w:pos="3885"/>
              </w:tabs>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（粘贴汇款单或转账凭证复印件，并在骑缝上加盖投标人公章，或是直接把转账凭证复印到此张纸上）</w:t>
            </w:r>
          </w:p>
        </w:tc>
      </w:tr>
    </w:tbl>
    <w:p w14:paraId="32DB8180">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0ED33791">
      <w:pPr>
        <w:rPr>
          <w:rFonts w:hint="eastAsia" w:ascii="宋体" w:hAnsi="宋体" w:eastAsia="宋体" w:cs="宋体"/>
          <w:color w:val="auto"/>
          <w:szCs w:val="21"/>
          <w:highlight w:val="none"/>
        </w:rPr>
      </w:pPr>
    </w:p>
    <w:p w14:paraId="2F8412A3">
      <w:pPr>
        <w:rPr>
          <w:rFonts w:hint="eastAsia" w:ascii="宋体" w:hAnsi="宋体" w:eastAsia="宋体" w:cs="宋体"/>
          <w:color w:val="auto"/>
          <w:szCs w:val="21"/>
          <w:highlight w:val="none"/>
        </w:rPr>
      </w:pPr>
    </w:p>
    <w:p w14:paraId="17CDC17E">
      <w:pPr>
        <w:rPr>
          <w:rFonts w:hint="eastAsia" w:ascii="宋体" w:hAnsi="宋体" w:eastAsia="宋体" w:cs="宋体"/>
          <w:color w:val="auto"/>
          <w:szCs w:val="21"/>
          <w:highlight w:val="none"/>
        </w:rPr>
      </w:pPr>
    </w:p>
    <w:p w14:paraId="7363C039">
      <w:pPr>
        <w:rPr>
          <w:rFonts w:hint="eastAsia" w:ascii="宋体" w:hAnsi="宋体" w:eastAsia="宋体" w:cs="宋体"/>
          <w:color w:val="auto"/>
          <w:szCs w:val="21"/>
          <w:highlight w:val="none"/>
        </w:rPr>
      </w:pPr>
    </w:p>
    <w:p w14:paraId="0ADA5CC9">
      <w:pPr>
        <w:rPr>
          <w:rFonts w:hint="eastAsia" w:ascii="宋体" w:hAnsi="宋体" w:eastAsia="宋体" w:cs="宋体"/>
          <w:color w:val="auto"/>
          <w:szCs w:val="21"/>
          <w:highlight w:val="none"/>
        </w:rPr>
      </w:pPr>
    </w:p>
    <w:p w14:paraId="59547E3D">
      <w:pPr>
        <w:rPr>
          <w:rFonts w:hint="eastAsia" w:ascii="宋体" w:hAnsi="宋体" w:eastAsia="宋体" w:cs="宋体"/>
          <w:color w:val="auto"/>
          <w:szCs w:val="21"/>
          <w:highlight w:val="none"/>
        </w:rPr>
      </w:pPr>
    </w:p>
    <w:p w14:paraId="06EBA32A">
      <w:pPr>
        <w:rPr>
          <w:rFonts w:hint="eastAsia" w:ascii="宋体" w:hAnsi="宋体" w:eastAsia="宋体" w:cs="宋体"/>
          <w:color w:val="auto"/>
          <w:szCs w:val="21"/>
          <w:highlight w:val="none"/>
        </w:rPr>
      </w:pPr>
    </w:p>
    <w:p w14:paraId="436AA08E">
      <w:pPr>
        <w:rPr>
          <w:rFonts w:hint="eastAsia" w:ascii="宋体" w:hAnsi="宋体" w:eastAsia="宋体" w:cs="宋体"/>
          <w:color w:val="auto"/>
          <w:szCs w:val="21"/>
          <w:highlight w:val="none"/>
        </w:rPr>
      </w:pPr>
    </w:p>
    <w:p w14:paraId="78A92729">
      <w:pPr>
        <w:rPr>
          <w:rFonts w:hint="eastAsia" w:ascii="宋体" w:hAnsi="宋体" w:eastAsia="宋体" w:cs="宋体"/>
          <w:color w:val="auto"/>
          <w:szCs w:val="21"/>
          <w:highlight w:val="none"/>
        </w:rPr>
      </w:pPr>
    </w:p>
    <w:p w14:paraId="04C4BE45">
      <w:pPr>
        <w:rPr>
          <w:rFonts w:hint="eastAsia" w:ascii="宋体" w:hAnsi="宋体" w:eastAsia="宋体" w:cs="宋体"/>
          <w:color w:val="auto"/>
          <w:szCs w:val="21"/>
          <w:highlight w:val="none"/>
        </w:rPr>
      </w:pPr>
    </w:p>
    <w:p w14:paraId="1B252A60">
      <w:pPr>
        <w:rPr>
          <w:rFonts w:hint="eastAsia" w:ascii="宋体" w:hAnsi="宋体" w:eastAsia="宋体" w:cs="宋体"/>
          <w:color w:val="auto"/>
          <w:szCs w:val="21"/>
          <w:highlight w:val="none"/>
        </w:rPr>
      </w:pPr>
    </w:p>
    <w:p w14:paraId="1B7258DA">
      <w:pPr>
        <w:rPr>
          <w:rFonts w:hint="eastAsia" w:ascii="宋体" w:hAnsi="宋体" w:eastAsia="宋体" w:cs="宋体"/>
          <w:color w:val="auto"/>
          <w:szCs w:val="21"/>
          <w:highlight w:val="none"/>
        </w:rPr>
      </w:pPr>
    </w:p>
    <w:p w14:paraId="04A1A797">
      <w:pPr>
        <w:rPr>
          <w:rFonts w:hint="eastAsia" w:ascii="宋体" w:hAnsi="宋体" w:eastAsia="宋体" w:cs="宋体"/>
          <w:color w:val="auto"/>
          <w:szCs w:val="21"/>
          <w:highlight w:val="none"/>
        </w:rPr>
      </w:pPr>
    </w:p>
    <w:p w14:paraId="7B5DC9AD">
      <w:pPr>
        <w:rPr>
          <w:rFonts w:hint="eastAsia" w:ascii="宋体" w:hAnsi="宋体" w:eastAsia="宋体" w:cs="宋体"/>
          <w:color w:val="auto"/>
          <w:szCs w:val="21"/>
          <w:highlight w:val="none"/>
        </w:rPr>
      </w:pPr>
    </w:p>
    <w:p w14:paraId="02FC43F9">
      <w:pPr>
        <w:rPr>
          <w:rFonts w:hint="eastAsia" w:ascii="宋体" w:hAnsi="宋体" w:eastAsia="宋体" w:cs="宋体"/>
          <w:color w:val="auto"/>
          <w:szCs w:val="21"/>
          <w:highlight w:val="none"/>
        </w:rPr>
      </w:pPr>
    </w:p>
    <w:p w14:paraId="691002E9">
      <w:pPr>
        <w:rPr>
          <w:rFonts w:hint="eastAsia" w:ascii="宋体" w:hAnsi="宋体" w:eastAsia="宋体" w:cs="宋体"/>
          <w:color w:val="auto"/>
          <w:szCs w:val="21"/>
          <w:highlight w:val="none"/>
        </w:rPr>
      </w:pPr>
    </w:p>
    <w:p w14:paraId="0C008DDF">
      <w:pPr>
        <w:rPr>
          <w:rFonts w:hint="eastAsia" w:ascii="宋体" w:hAnsi="宋体" w:eastAsia="宋体" w:cs="宋体"/>
          <w:color w:val="auto"/>
          <w:szCs w:val="21"/>
          <w:highlight w:val="none"/>
        </w:rPr>
      </w:pPr>
    </w:p>
    <w:p w14:paraId="39E0985F">
      <w:pPr>
        <w:rPr>
          <w:rFonts w:hint="eastAsia" w:ascii="宋体" w:hAnsi="宋体" w:eastAsia="宋体" w:cs="宋体"/>
          <w:color w:val="auto"/>
          <w:szCs w:val="21"/>
          <w:highlight w:val="none"/>
        </w:rPr>
      </w:pPr>
    </w:p>
    <w:p w14:paraId="1A549F68">
      <w:pPr>
        <w:rPr>
          <w:rFonts w:hint="eastAsia" w:ascii="宋体" w:hAnsi="宋体" w:eastAsia="宋体" w:cs="宋体"/>
          <w:color w:val="auto"/>
          <w:szCs w:val="21"/>
          <w:highlight w:val="none"/>
        </w:rPr>
      </w:pPr>
    </w:p>
    <w:p w14:paraId="754DCDD9">
      <w:pPr>
        <w:rPr>
          <w:rFonts w:hint="eastAsia" w:ascii="宋体" w:hAnsi="宋体" w:eastAsia="宋体" w:cs="宋体"/>
          <w:color w:val="auto"/>
          <w:szCs w:val="21"/>
          <w:highlight w:val="none"/>
        </w:rPr>
      </w:pPr>
    </w:p>
    <w:p w14:paraId="001053B4">
      <w:pPr>
        <w:rPr>
          <w:rFonts w:hint="eastAsia" w:ascii="宋体" w:hAnsi="宋体" w:eastAsia="宋体" w:cs="宋体"/>
          <w:color w:val="auto"/>
          <w:szCs w:val="21"/>
          <w:highlight w:val="none"/>
        </w:rPr>
      </w:pPr>
    </w:p>
    <w:p w14:paraId="31604437">
      <w:pPr>
        <w:pStyle w:val="5"/>
        <w:numPr>
          <w:ilvl w:val="255"/>
          <w:numId w:val="0"/>
        </w:numPr>
        <w:tabs>
          <w:tab w:val="left" w:pos="720"/>
          <w:tab w:val="left" w:pos="3840"/>
        </w:tabs>
        <w:ind w:left="283"/>
        <w:jc w:val="both"/>
        <w:rPr>
          <w:rFonts w:hint="eastAsia" w:ascii="宋体" w:hAnsi="宋体" w:eastAsia="宋体" w:cs="宋体"/>
          <w:color w:val="auto"/>
          <w:sz w:val="21"/>
          <w:szCs w:val="21"/>
          <w:highlight w:val="none"/>
        </w:rPr>
      </w:pPr>
      <w:bookmarkStart w:id="184" w:name="_Toc18296"/>
      <w:bookmarkStart w:id="185" w:name="_Toc4866"/>
      <w:bookmarkStart w:id="186" w:name="_Toc1562"/>
      <w:bookmarkStart w:id="187" w:name="_Toc17028"/>
      <w:bookmarkStart w:id="188" w:name="_Toc14605"/>
      <w:bookmarkStart w:id="189" w:name="_Toc28623"/>
      <w:bookmarkStart w:id="190" w:name="_Toc25861"/>
      <w:bookmarkStart w:id="191" w:name="_Toc29855"/>
      <w:bookmarkStart w:id="192" w:name="_Toc19947"/>
      <w:bookmarkStart w:id="193" w:name="_Toc2144"/>
      <w:bookmarkStart w:id="194" w:name="_Toc13527"/>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18</w:t>
      </w:r>
      <w:r>
        <w:rPr>
          <w:rFonts w:hint="eastAsia" w:ascii="宋体" w:hAnsi="宋体" w:eastAsia="宋体" w:cs="宋体"/>
          <w:color w:val="auto"/>
          <w:sz w:val="21"/>
          <w:szCs w:val="21"/>
          <w:highlight w:val="none"/>
        </w:rPr>
        <w:t>.不可撤销履约保函</w:t>
      </w:r>
      <w:bookmarkEnd w:id="184"/>
      <w:bookmarkEnd w:id="185"/>
      <w:bookmarkEnd w:id="186"/>
      <w:bookmarkEnd w:id="187"/>
      <w:bookmarkEnd w:id="188"/>
      <w:bookmarkEnd w:id="189"/>
      <w:bookmarkEnd w:id="190"/>
      <w:bookmarkEnd w:id="191"/>
      <w:bookmarkEnd w:id="192"/>
      <w:bookmarkEnd w:id="193"/>
      <w:bookmarkEnd w:id="194"/>
    </w:p>
    <w:p w14:paraId="6FBA1B38">
      <w:pPr>
        <w:jc w:val="center"/>
        <w:rPr>
          <w:rFonts w:hint="eastAsia" w:ascii="宋体" w:hAnsi="宋体" w:eastAsia="宋体" w:cs="宋体"/>
          <w:color w:val="auto"/>
          <w:highlight w:val="none"/>
        </w:rPr>
      </w:pPr>
      <w:r>
        <w:rPr>
          <w:rFonts w:hint="eastAsia" w:ascii="宋体" w:hAnsi="宋体" w:eastAsia="宋体" w:cs="宋体"/>
          <w:color w:val="auto"/>
          <w:highlight w:val="none"/>
        </w:rPr>
        <w:t>银行编号：</w:t>
      </w:r>
    </w:p>
    <w:p w14:paraId="2A8C9702">
      <w:pPr>
        <w:rPr>
          <w:rFonts w:hint="eastAsia"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（甲方）</w:t>
      </w:r>
    </w:p>
    <w:p w14:paraId="4351C6EF">
      <w:pPr>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鉴于</w:t>
      </w:r>
      <w:r>
        <w:rPr>
          <w:rFonts w:hint="eastAsia" w:ascii="宋体" w:hAnsi="宋体" w:eastAsia="宋体" w:cs="宋体"/>
          <w:color w:val="auto"/>
          <w:highlight w:val="none"/>
          <w:u w:val="single"/>
        </w:rPr>
        <w:t xml:space="preserve">         （地址：          ，下称 “乙方” ）</w:t>
      </w:r>
      <w:r>
        <w:rPr>
          <w:rFonts w:hint="eastAsia" w:ascii="宋体" w:hAnsi="宋体" w:eastAsia="宋体" w:cs="宋体"/>
          <w:color w:val="auto"/>
          <w:highlight w:val="none"/>
        </w:rPr>
        <w:t>已保证按</w:t>
      </w:r>
      <w:r>
        <w:rPr>
          <w:rFonts w:hint="eastAsia" w:ascii="宋体" w:hAnsi="宋体" w:eastAsia="宋体" w:cs="宋体"/>
          <w:color w:val="auto"/>
          <w:highlight w:val="none"/>
          <w:u w:val="single"/>
        </w:rPr>
        <w:t xml:space="preserve">        承包合同书（合同编号：    ）</w:t>
      </w:r>
      <w:r>
        <w:rPr>
          <w:rFonts w:hint="eastAsia" w:ascii="宋体" w:hAnsi="宋体" w:eastAsia="宋体" w:cs="宋体"/>
          <w:color w:val="auto"/>
          <w:highlight w:val="none"/>
        </w:rPr>
        <w:t>中规定的义务履行合同。</w:t>
      </w:r>
    </w:p>
    <w:p w14:paraId="5F8D7873">
      <w:pPr>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根据上述合同约定，乙方应向甲方提供一份金额为合同总价的</w:t>
      </w:r>
      <w:r>
        <w:rPr>
          <w:rFonts w:hint="eastAsia" w:ascii="宋体" w:hAnsi="宋体" w:cs="宋体"/>
          <w:color w:val="auto"/>
          <w:highlight w:val="none"/>
          <w:lang w:val="en-US" w:eastAsia="zh-CN"/>
        </w:rPr>
        <w:t>5</w:t>
      </w:r>
      <w:r>
        <w:rPr>
          <w:rFonts w:hint="eastAsia" w:ascii="宋体" w:hAnsi="宋体" w:eastAsia="宋体" w:cs="宋体"/>
          <w:color w:val="auto"/>
          <w:highlight w:val="none"/>
        </w:rPr>
        <w:t>%即</w:t>
      </w:r>
      <w:r>
        <w:rPr>
          <w:rFonts w:hint="eastAsia" w:ascii="宋体" w:hAnsi="宋体" w:eastAsia="宋体" w:cs="宋体"/>
          <w:color w:val="auto"/>
          <w:highlight w:val="none"/>
          <w:u w:val="single"/>
        </w:rPr>
        <w:t>人民币      （RMB    元）</w:t>
      </w:r>
      <w:r>
        <w:rPr>
          <w:rFonts w:hint="eastAsia" w:ascii="宋体" w:hAnsi="宋体" w:eastAsia="宋体" w:cs="宋体"/>
          <w:color w:val="auto"/>
          <w:highlight w:val="none"/>
        </w:rPr>
        <w:t>的</w:t>
      </w:r>
      <w:r>
        <w:rPr>
          <w:rFonts w:hint="eastAsia" w:ascii="宋体" w:hAnsi="宋体" w:eastAsia="宋体" w:cs="宋体"/>
          <w:bCs/>
          <w:color w:val="auto"/>
          <w:highlight w:val="none"/>
        </w:rPr>
        <w:t>不可撤销</w:t>
      </w:r>
      <w:r>
        <w:rPr>
          <w:rFonts w:hint="eastAsia" w:ascii="宋体" w:hAnsi="宋体" w:eastAsia="宋体" w:cs="宋体"/>
          <w:color w:val="auto"/>
          <w:highlight w:val="none"/>
        </w:rPr>
        <w:t>银行履约保函，作为乙方履行上述合同的担保。</w:t>
      </w:r>
    </w:p>
    <w:p w14:paraId="55BFA041">
      <w:pPr>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我方</w:t>
      </w:r>
      <w:r>
        <w:rPr>
          <w:rFonts w:hint="eastAsia" w:ascii="宋体" w:hAnsi="宋体" w:eastAsia="宋体" w:cs="宋体"/>
          <w:color w:val="auto"/>
          <w:highlight w:val="none"/>
          <w:u w:val="single"/>
        </w:rPr>
        <w:t xml:space="preserve">            （银行名称）</w:t>
      </w:r>
      <w:r>
        <w:rPr>
          <w:rFonts w:hint="eastAsia" w:ascii="宋体" w:hAnsi="宋体" w:eastAsia="宋体" w:cs="宋体"/>
          <w:color w:val="auto"/>
          <w:highlight w:val="none"/>
        </w:rPr>
        <w:t>，受乙方的委托，不仅作为连带责任保证人而且作为主要的责任人，无条件和不可撤销地同意在甲方提出因乙方没有履行上述合同规定，而要求扣划保证金的书面要求后，7个工作日内为甲方扣划金额不超过</w:t>
      </w:r>
      <w:r>
        <w:rPr>
          <w:rFonts w:hint="eastAsia" w:ascii="宋体" w:hAnsi="宋体" w:eastAsia="宋体" w:cs="宋体"/>
          <w:color w:val="auto"/>
          <w:highlight w:val="none"/>
          <w:u w:val="single"/>
        </w:rPr>
        <w:t>人民币          （RMB       元）</w:t>
      </w:r>
      <w:r>
        <w:rPr>
          <w:rFonts w:hint="eastAsia" w:ascii="宋体" w:hAnsi="宋体" w:eastAsia="宋体" w:cs="宋体"/>
          <w:color w:val="auto"/>
          <w:highlight w:val="none"/>
        </w:rPr>
        <w:t>的保证金。</w:t>
      </w:r>
    </w:p>
    <w:p w14:paraId="56DD4662">
      <w:pPr>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我方还同意，任何甲方与乙方之间可能对合同条款的修改、规范或其他合同文件的变动补充，都不能免除我方按本保函所承担的责任。因此，有关上述变动、补充和修改无须通知我方。</w:t>
      </w:r>
    </w:p>
    <w:p w14:paraId="42960A3B">
      <w:pPr>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本保函从上述合同签订之日起至项目服务期结束验收合格并完成结算后，双方签字之日起7天内保持有效。</w:t>
      </w:r>
    </w:p>
    <w:p w14:paraId="38535DDD">
      <w:pPr>
        <w:ind w:firstLine="2824" w:firstLineChars="1345"/>
        <w:rPr>
          <w:rFonts w:hint="eastAsia" w:ascii="宋体" w:hAnsi="宋体" w:eastAsia="宋体" w:cs="宋体"/>
          <w:color w:val="auto"/>
          <w:highlight w:val="none"/>
        </w:rPr>
      </w:pPr>
    </w:p>
    <w:p w14:paraId="69B9CAFF">
      <w:pPr>
        <w:ind w:firstLine="5040" w:firstLineChars="2400"/>
        <w:rPr>
          <w:rFonts w:hint="eastAsia" w:ascii="宋体" w:hAnsi="宋体" w:eastAsia="宋体" w:cs="宋体"/>
          <w:color w:val="auto"/>
          <w:highlight w:val="none"/>
        </w:rPr>
      </w:pPr>
      <w:r>
        <w:rPr>
          <w:rFonts w:hint="eastAsia" w:ascii="宋体" w:hAnsi="宋体" w:eastAsia="宋体" w:cs="宋体"/>
          <w:color w:val="auto"/>
          <w:highlight w:val="none"/>
        </w:rPr>
        <w:t>保证人：（盖章）</w:t>
      </w:r>
      <w:r>
        <w:rPr>
          <w:rFonts w:hint="eastAsia" w:ascii="宋体" w:hAnsi="宋体" w:eastAsia="宋体" w:cs="宋体"/>
          <w:color w:val="auto"/>
          <w:highlight w:val="none"/>
          <w:u w:val="single"/>
        </w:rPr>
        <w:t xml:space="preserve">                        </w:t>
      </w:r>
    </w:p>
    <w:p w14:paraId="7C06CF52">
      <w:pPr>
        <w:ind w:firstLine="5040" w:firstLineChars="2400"/>
        <w:rPr>
          <w:rFonts w:hint="eastAsia" w:ascii="宋体" w:hAnsi="宋体" w:eastAsia="宋体" w:cs="宋体"/>
          <w:color w:val="auto"/>
          <w:highlight w:val="none"/>
        </w:rPr>
      </w:pPr>
      <w:r>
        <w:rPr>
          <w:rFonts w:hint="eastAsia" w:ascii="宋体" w:hAnsi="宋体" w:eastAsia="宋体" w:cs="宋体"/>
          <w:color w:val="auto"/>
          <w:highlight w:val="none"/>
        </w:rPr>
        <w:t>负责人：（签字）</w:t>
      </w:r>
      <w:r>
        <w:rPr>
          <w:rFonts w:hint="eastAsia" w:ascii="宋体" w:hAnsi="宋体" w:eastAsia="宋体" w:cs="宋体"/>
          <w:color w:val="auto"/>
          <w:highlight w:val="none"/>
          <w:u w:val="single"/>
        </w:rPr>
        <w:t xml:space="preserve">                        </w:t>
      </w:r>
    </w:p>
    <w:p w14:paraId="6891141D">
      <w:pPr>
        <w:ind w:firstLine="5040" w:firstLineChars="2400"/>
        <w:rPr>
          <w:rFonts w:hint="eastAsia" w:ascii="宋体" w:hAnsi="宋体" w:eastAsia="宋体" w:cs="宋体"/>
          <w:color w:val="auto"/>
          <w:highlight w:val="none"/>
        </w:rPr>
      </w:pPr>
      <w:r>
        <w:rPr>
          <w:rFonts w:hint="eastAsia" w:ascii="宋体" w:hAnsi="宋体" w:eastAsia="宋体" w:cs="宋体"/>
          <w:color w:val="auto"/>
          <w:highlight w:val="none"/>
        </w:rPr>
        <w:t>联系人：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w:t>
      </w:r>
    </w:p>
    <w:p w14:paraId="53CB96EC">
      <w:pPr>
        <w:ind w:firstLine="5040" w:firstLineChars="2400"/>
        <w:rPr>
          <w:rFonts w:hint="eastAsia" w:ascii="宋体" w:hAnsi="宋体" w:eastAsia="宋体" w:cs="宋体"/>
          <w:color w:val="auto"/>
          <w:highlight w:val="none"/>
        </w:rPr>
      </w:pP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2A2F5DA9">
      <w:pPr>
        <w:ind w:firstLine="5040" w:firstLineChars="2400"/>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xml:space="preserve">                               </w:t>
      </w:r>
    </w:p>
    <w:p w14:paraId="5E374C62">
      <w:pPr>
        <w:pStyle w:val="11"/>
        <w:rPr>
          <w:rFonts w:hint="eastAsia" w:ascii="宋体" w:hAnsi="宋体" w:eastAsia="宋体" w:cs="宋体"/>
          <w:color w:val="auto"/>
          <w:szCs w:val="24"/>
          <w:highlight w:val="none"/>
        </w:rPr>
      </w:pPr>
      <w:r>
        <w:rPr>
          <w:rFonts w:hint="eastAsia" w:ascii="宋体" w:hAnsi="宋体" w:eastAsia="宋体" w:cs="宋体"/>
          <w:color w:val="auto"/>
          <w:szCs w:val="24"/>
          <w:highlight w:val="none"/>
        </w:rPr>
        <w:t>说明：投标人在投标时不需提交正式保函，在投标文件中盖投标人公章确认保函格式即可，乙方</w:t>
      </w:r>
      <w:r>
        <w:rPr>
          <w:rFonts w:hint="eastAsia" w:ascii="宋体" w:hAnsi="宋体" w:eastAsia="宋体" w:cs="宋体"/>
          <w:color w:val="auto"/>
          <w:highlight w:val="none"/>
        </w:rPr>
        <w:t>在签订合同时</w:t>
      </w:r>
      <w:r>
        <w:rPr>
          <w:rFonts w:hint="eastAsia" w:ascii="宋体" w:hAnsi="宋体" w:eastAsia="宋体" w:cs="宋体"/>
          <w:color w:val="auto"/>
          <w:szCs w:val="24"/>
          <w:highlight w:val="none"/>
        </w:rPr>
        <w:t>提交正式保函。</w:t>
      </w:r>
    </w:p>
    <w:p w14:paraId="370EA1FD">
      <w:pPr>
        <w:rPr>
          <w:rFonts w:hint="eastAsia" w:ascii="宋体" w:hAnsi="宋体" w:eastAsia="宋体" w:cs="宋体"/>
          <w:color w:val="auto"/>
          <w:szCs w:val="21"/>
          <w:highlight w:val="none"/>
        </w:rPr>
      </w:pPr>
    </w:p>
    <w:p w14:paraId="6674BD04">
      <w:pPr>
        <w:rPr>
          <w:rFonts w:hint="eastAsia" w:ascii="宋体" w:hAnsi="宋体" w:eastAsia="宋体" w:cs="宋体"/>
          <w:color w:val="auto"/>
          <w:szCs w:val="21"/>
          <w:highlight w:val="none"/>
        </w:rPr>
        <w:sectPr>
          <w:pgSz w:w="11906" w:h="16838"/>
          <w:pgMar w:top="1440" w:right="1800" w:bottom="1440" w:left="1800" w:header="708" w:footer="708" w:gutter="0"/>
          <w:cols w:space="708" w:num="1"/>
          <w:titlePg/>
          <w:docGrid w:type="lines" w:linePitch="360" w:charSpace="0"/>
        </w:sectPr>
      </w:pPr>
    </w:p>
    <w:p w14:paraId="57DBC03C">
      <w:pPr>
        <w:pStyle w:val="5"/>
        <w:numPr>
          <w:ilvl w:val="255"/>
          <w:numId w:val="0"/>
        </w:numPr>
        <w:tabs>
          <w:tab w:val="left" w:pos="720"/>
          <w:tab w:val="left" w:pos="3840"/>
        </w:tabs>
        <w:ind w:left="283"/>
        <w:jc w:val="both"/>
        <w:rPr>
          <w:rFonts w:hint="eastAsia" w:ascii="宋体" w:hAnsi="宋体" w:eastAsia="宋体" w:cs="宋体"/>
          <w:color w:val="auto"/>
          <w:sz w:val="21"/>
          <w:szCs w:val="21"/>
          <w:highlight w:val="none"/>
        </w:rPr>
      </w:pPr>
      <w:bookmarkStart w:id="195" w:name="_Toc1466"/>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19</w:t>
      </w:r>
      <w:r>
        <w:rPr>
          <w:rFonts w:hint="eastAsia" w:ascii="宋体" w:hAnsi="宋体" w:eastAsia="宋体" w:cs="宋体"/>
          <w:color w:val="auto"/>
          <w:sz w:val="21"/>
          <w:szCs w:val="21"/>
          <w:highlight w:val="none"/>
        </w:rPr>
        <w:t>.预付款保函（适用于预付款支付）</w:t>
      </w:r>
      <w:bookmarkEnd w:id="195"/>
    </w:p>
    <w:p w14:paraId="7CF827D1">
      <w:pPr>
        <w:pStyle w:val="11"/>
        <w:rPr>
          <w:rFonts w:hint="eastAsia" w:ascii="宋体" w:hAnsi="宋体" w:eastAsia="宋体" w:cs="宋体"/>
          <w:color w:val="auto"/>
          <w:szCs w:val="24"/>
          <w:highlight w:val="none"/>
        </w:rPr>
      </w:pPr>
    </w:p>
    <w:p w14:paraId="4AAD0495">
      <w:pPr>
        <w:jc w:val="center"/>
        <w:rPr>
          <w:rFonts w:hint="eastAsia" w:ascii="宋体" w:hAnsi="宋体" w:eastAsia="宋体" w:cs="宋体"/>
          <w:color w:val="auto"/>
          <w:sz w:val="28"/>
          <w:szCs w:val="28"/>
          <w:highlight w:val="none"/>
        </w:rPr>
      </w:pPr>
      <w:bookmarkStart w:id="196" w:name="_Toc29054"/>
      <w:bookmarkStart w:id="197" w:name="_Toc6877"/>
      <w:bookmarkStart w:id="198" w:name="_Toc27545"/>
      <w:bookmarkStart w:id="199" w:name="_Toc1039"/>
      <w:bookmarkStart w:id="200" w:name="_Toc7374"/>
      <w:bookmarkStart w:id="201" w:name="_Toc10315"/>
      <w:bookmarkStart w:id="202" w:name="_Toc20669"/>
      <w:bookmarkStart w:id="203" w:name="_Toc3295"/>
      <w:bookmarkStart w:id="204" w:name="_Toc5034"/>
      <w:bookmarkStart w:id="205" w:name="_Toc31418"/>
      <w:bookmarkStart w:id="206" w:name="_Toc29728"/>
      <w:bookmarkStart w:id="207" w:name="_Toc25494"/>
      <w:r>
        <w:rPr>
          <w:rFonts w:hint="eastAsia" w:ascii="宋体" w:hAnsi="宋体" w:eastAsia="宋体" w:cs="宋体"/>
          <w:color w:val="auto"/>
          <w:sz w:val="28"/>
          <w:szCs w:val="28"/>
          <w:highlight w:val="none"/>
        </w:rPr>
        <w:t>不可撤销预付款保函</w:t>
      </w:r>
      <w:bookmarkEnd w:id="196"/>
      <w:bookmarkEnd w:id="197"/>
      <w:bookmarkEnd w:id="198"/>
      <w:bookmarkEnd w:id="199"/>
      <w:bookmarkEnd w:id="200"/>
      <w:bookmarkEnd w:id="201"/>
      <w:bookmarkEnd w:id="202"/>
      <w:bookmarkEnd w:id="203"/>
      <w:bookmarkEnd w:id="204"/>
      <w:bookmarkEnd w:id="205"/>
      <w:bookmarkEnd w:id="206"/>
      <w:bookmarkEnd w:id="207"/>
    </w:p>
    <w:p w14:paraId="66051B0D">
      <w:pPr>
        <w:ind w:firstLine="63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银行编号：</w:t>
      </w:r>
      <w:r>
        <w:rPr>
          <w:rFonts w:hint="eastAsia" w:ascii="宋体" w:hAnsi="宋体" w:eastAsia="宋体" w:cs="宋体"/>
          <w:color w:val="auto"/>
          <w:szCs w:val="21"/>
          <w:highlight w:val="none"/>
          <w:u w:val="single"/>
        </w:rPr>
        <w:t xml:space="preserve">             </w:t>
      </w:r>
    </w:p>
    <w:p w14:paraId="15D09735">
      <w:pPr>
        <w:ind w:firstLine="6300"/>
        <w:rPr>
          <w:rFonts w:hint="eastAsia" w:ascii="宋体" w:hAnsi="宋体" w:eastAsia="宋体" w:cs="宋体"/>
          <w:color w:val="auto"/>
          <w:szCs w:val="21"/>
          <w:highlight w:val="none"/>
        </w:rPr>
      </w:pPr>
    </w:p>
    <w:p w14:paraId="2959F837">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（下称“采购人”）</w:t>
      </w:r>
    </w:p>
    <w:p w14:paraId="4287735C">
      <w:pPr>
        <w:ind w:firstLine="437"/>
        <w:rPr>
          <w:rFonts w:hint="eastAsia" w:ascii="宋体" w:hAnsi="宋体" w:eastAsia="宋体" w:cs="宋体"/>
          <w:color w:val="auto"/>
          <w:szCs w:val="21"/>
          <w:highlight w:val="none"/>
        </w:rPr>
      </w:pPr>
      <w:r>
        <w:rPr>
          <w:rFonts w:hint="eastAsia" w:ascii="宋体" w:hAnsi="宋体" w:eastAsia="宋体" w:cs="宋体"/>
          <w:color w:val="auto"/>
          <w:szCs w:val="21"/>
          <w:highlight w:val="none"/>
        </w:rPr>
        <w:t>鉴于</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4"/>
          <w:highlight w:val="none"/>
          <w:u w:val="single"/>
        </w:rPr>
        <w:t>（地址：          ，下称 “中标人” ）</w:t>
      </w:r>
      <w:r>
        <w:rPr>
          <w:rFonts w:hint="eastAsia" w:ascii="宋体" w:hAnsi="宋体" w:eastAsia="宋体" w:cs="宋体"/>
          <w:color w:val="auto"/>
          <w:szCs w:val="21"/>
          <w:highlight w:val="none"/>
        </w:rPr>
        <w:t>，已保证按</w:t>
      </w:r>
      <w:r>
        <w:rPr>
          <w:rFonts w:hint="eastAsia" w:ascii="宋体" w:hAnsi="宋体" w:eastAsia="宋体" w:cs="宋体"/>
          <w:color w:val="auto"/>
          <w:szCs w:val="21"/>
          <w:highlight w:val="none"/>
          <w:u w:val="single"/>
        </w:rPr>
        <w:t xml:space="preserve">          承包合同书（合同编号：    ）</w:t>
      </w:r>
      <w:r>
        <w:rPr>
          <w:rFonts w:hint="eastAsia" w:ascii="宋体" w:hAnsi="宋体" w:eastAsia="宋体" w:cs="宋体"/>
          <w:color w:val="auto"/>
          <w:szCs w:val="21"/>
          <w:highlight w:val="none"/>
        </w:rPr>
        <w:t>中规定的义务履行合同。</w:t>
      </w:r>
    </w:p>
    <w:p w14:paraId="557BF228">
      <w:pPr>
        <w:ind w:firstLine="437"/>
        <w:rPr>
          <w:rFonts w:hint="eastAsia" w:ascii="宋体" w:hAnsi="宋体" w:eastAsia="宋体" w:cs="宋体"/>
          <w:color w:val="auto"/>
          <w:szCs w:val="21"/>
          <w:highlight w:val="none"/>
        </w:rPr>
      </w:pPr>
      <w:r>
        <w:rPr>
          <w:rFonts w:hint="eastAsia" w:ascii="宋体" w:hAnsi="宋体" w:eastAsia="宋体" w:cs="宋体"/>
          <w:color w:val="auto"/>
          <w:szCs w:val="24"/>
          <w:highlight w:val="none"/>
        </w:rPr>
        <w:t>根据上述合同（招标文件）规定，中标人应向采购人提供一份金额为合同总价的</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 即人民币</w:t>
      </w:r>
      <w:r>
        <w:rPr>
          <w:rFonts w:hint="eastAsia" w:ascii="宋体" w:hAnsi="宋体" w:eastAsia="宋体" w:cs="宋体"/>
          <w:color w:val="auto"/>
          <w:szCs w:val="21"/>
          <w:highlight w:val="none"/>
          <w:u w:val="single"/>
        </w:rPr>
        <w:t xml:space="preserve">      （RMB      元）</w:t>
      </w:r>
      <w:r>
        <w:rPr>
          <w:rFonts w:hint="eastAsia" w:ascii="宋体" w:hAnsi="宋体" w:eastAsia="宋体" w:cs="宋体"/>
          <w:color w:val="auto"/>
          <w:szCs w:val="21"/>
          <w:highlight w:val="none"/>
        </w:rPr>
        <w:t>的不可撤销银行预付款保函，以保证中标人履行合同的相关条款。</w:t>
      </w:r>
    </w:p>
    <w:p w14:paraId="1024A57D">
      <w:pPr>
        <w:ind w:firstLine="437"/>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w:t>
      </w:r>
      <w:r>
        <w:rPr>
          <w:rFonts w:hint="eastAsia" w:ascii="宋体" w:hAnsi="宋体" w:eastAsia="宋体" w:cs="宋体"/>
          <w:color w:val="auto"/>
          <w:szCs w:val="21"/>
          <w:highlight w:val="none"/>
          <w:u w:val="single"/>
        </w:rPr>
        <w:t xml:space="preserve">  （银行名称）  </w:t>
      </w:r>
      <w:r>
        <w:rPr>
          <w:rFonts w:hint="eastAsia" w:ascii="宋体" w:hAnsi="宋体" w:eastAsia="宋体" w:cs="宋体"/>
          <w:color w:val="auto"/>
          <w:szCs w:val="21"/>
          <w:highlight w:val="none"/>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3B28766F">
      <w:pPr>
        <w:ind w:firstLine="437"/>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我方还同意，任何采购人与中标人之间可能对合同条款的修改、规范或其他合同文件的变动补充，都不能免除我方按本保函所承担的责任。因此，有关上述变动、补充和修改无须通知我方。</w:t>
      </w:r>
    </w:p>
    <w:p w14:paraId="18276E2B">
      <w:pPr>
        <w:ind w:firstLine="437"/>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本保函有效期从保函开立之日起至采购人向中标人抵扣完所有预付款之日止。</w:t>
      </w:r>
    </w:p>
    <w:p w14:paraId="4315AB94">
      <w:pPr>
        <w:rPr>
          <w:rFonts w:hint="eastAsia" w:ascii="宋体" w:hAnsi="宋体" w:eastAsia="宋体" w:cs="宋体"/>
          <w:color w:val="auto"/>
          <w:szCs w:val="21"/>
          <w:highlight w:val="none"/>
        </w:rPr>
      </w:pPr>
    </w:p>
    <w:p w14:paraId="63637B11">
      <w:pPr>
        <w:ind w:firstLine="437"/>
        <w:rPr>
          <w:rFonts w:hint="eastAsia" w:ascii="宋体" w:hAnsi="宋体" w:eastAsia="宋体" w:cs="宋体"/>
          <w:color w:val="auto"/>
          <w:szCs w:val="21"/>
          <w:highlight w:val="none"/>
        </w:rPr>
      </w:pPr>
    </w:p>
    <w:p w14:paraId="01FB0849">
      <w:pPr>
        <w:ind w:firstLine="4860"/>
        <w:rPr>
          <w:rFonts w:hint="eastAsia" w:ascii="宋体" w:hAnsi="宋体" w:eastAsia="宋体" w:cs="宋体"/>
          <w:color w:val="auto"/>
          <w:szCs w:val="21"/>
          <w:highlight w:val="none"/>
        </w:rPr>
      </w:pPr>
      <w:r>
        <w:rPr>
          <w:rFonts w:hint="eastAsia" w:ascii="宋体" w:hAnsi="宋体" w:eastAsia="宋体" w:cs="宋体"/>
          <w:color w:val="auto"/>
          <w:szCs w:val="21"/>
          <w:highlight w:val="none"/>
        </w:rPr>
        <w:t>保证人：（公章）</w:t>
      </w:r>
      <w:r>
        <w:rPr>
          <w:rFonts w:hint="eastAsia" w:ascii="宋体" w:hAnsi="宋体" w:eastAsia="宋体" w:cs="宋体"/>
          <w:color w:val="auto"/>
          <w:szCs w:val="21"/>
          <w:highlight w:val="none"/>
          <w:u w:val="single"/>
        </w:rPr>
        <w:t xml:space="preserve">                     </w:t>
      </w:r>
    </w:p>
    <w:p w14:paraId="28EDDC23">
      <w:pPr>
        <w:ind w:firstLine="486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负责人：（签字）</w:t>
      </w:r>
      <w:r>
        <w:rPr>
          <w:rFonts w:hint="eastAsia" w:ascii="宋体" w:hAnsi="宋体" w:eastAsia="宋体" w:cs="宋体"/>
          <w:color w:val="auto"/>
          <w:szCs w:val="21"/>
          <w:highlight w:val="none"/>
          <w:u w:val="single"/>
        </w:rPr>
        <w:t xml:space="preserve">                     </w:t>
      </w:r>
    </w:p>
    <w:p w14:paraId="09231851">
      <w:pPr>
        <w:ind w:firstLine="486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联系电话：</w:t>
      </w:r>
      <w:r>
        <w:rPr>
          <w:rFonts w:hint="eastAsia" w:ascii="宋体" w:hAnsi="宋体" w:eastAsia="宋体" w:cs="宋体"/>
          <w:color w:val="auto"/>
          <w:szCs w:val="21"/>
          <w:highlight w:val="none"/>
          <w:u w:val="single"/>
        </w:rPr>
        <w:t xml:space="preserve">                          </w:t>
      </w:r>
    </w:p>
    <w:p w14:paraId="33841F70">
      <w:pPr>
        <w:ind w:firstLine="486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r>
        <w:rPr>
          <w:rFonts w:hint="eastAsia" w:ascii="宋体" w:hAnsi="宋体" w:eastAsia="宋体" w:cs="宋体"/>
          <w:color w:val="auto"/>
          <w:szCs w:val="21"/>
          <w:highlight w:val="none"/>
          <w:u w:val="single"/>
        </w:rPr>
        <w:t xml:space="preserve">                              </w:t>
      </w:r>
    </w:p>
    <w:p w14:paraId="38A5C6AE">
      <w:pPr>
        <w:ind w:firstLine="486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日期：</w:t>
      </w:r>
      <w:r>
        <w:rPr>
          <w:rFonts w:hint="eastAsia" w:ascii="宋体" w:hAnsi="宋体" w:eastAsia="宋体" w:cs="宋体"/>
          <w:color w:val="auto"/>
          <w:szCs w:val="21"/>
          <w:highlight w:val="none"/>
          <w:u w:val="single"/>
        </w:rPr>
        <w:t xml:space="preserve">                              </w:t>
      </w:r>
    </w:p>
    <w:p w14:paraId="2E742E79">
      <w:pPr>
        <w:pStyle w:val="11"/>
        <w:rPr>
          <w:rFonts w:hint="eastAsia" w:ascii="宋体" w:hAnsi="宋体" w:eastAsia="宋体" w:cs="宋体"/>
          <w:color w:val="auto"/>
          <w:szCs w:val="21"/>
          <w:highlight w:val="none"/>
        </w:rPr>
      </w:pPr>
    </w:p>
    <w:p w14:paraId="1D02A5A9">
      <w:pPr>
        <w:pStyle w:val="11"/>
        <w:rPr>
          <w:rFonts w:hint="eastAsia" w:ascii="宋体" w:hAnsi="宋体" w:eastAsia="宋体" w:cs="宋体"/>
          <w:color w:val="auto"/>
          <w:szCs w:val="21"/>
          <w:highlight w:val="none"/>
        </w:rPr>
      </w:pPr>
    </w:p>
    <w:p w14:paraId="3CB30558">
      <w:pPr>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说明：投标人在投标文件中盖投标人公章确认保函内容即可，如中标再由银行出具保函。</w:t>
      </w:r>
    </w:p>
    <w:p w14:paraId="6038D930">
      <w:pPr>
        <w:rPr>
          <w:rFonts w:hint="eastAsia" w:ascii="宋体" w:hAnsi="宋体" w:eastAsia="宋体" w:cs="宋体"/>
          <w:color w:val="auto"/>
          <w:szCs w:val="21"/>
          <w:highlight w:val="none"/>
        </w:rPr>
        <w:sectPr>
          <w:pgSz w:w="11906" w:h="16838"/>
          <w:pgMar w:top="1440" w:right="1800" w:bottom="1440" w:left="1800" w:header="708" w:footer="708" w:gutter="0"/>
          <w:cols w:space="708" w:num="1"/>
          <w:titlePg/>
          <w:docGrid w:type="lines" w:linePitch="360" w:charSpace="0"/>
        </w:sectPr>
      </w:pPr>
    </w:p>
    <w:p w14:paraId="09FB536B">
      <w:pPr>
        <w:pStyle w:val="9"/>
        <w:rPr>
          <w:rFonts w:hint="eastAsia" w:ascii="宋体" w:hAnsi="宋体" w:eastAsia="宋体" w:cs="宋体"/>
          <w:color w:val="auto"/>
          <w:highlight w:val="none"/>
        </w:rPr>
      </w:pPr>
      <w:bookmarkStart w:id="208" w:name="_Toc1968"/>
    </w:p>
    <w:p w14:paraId="61646957">
      <w:pPr>
        <w:jc w:val="center"/>
        <w:outlineLvl w:val="1"/>
        <w:rPr>
          <w:rFonts w:hint="eastAsia" w:ascii="宋体" w:hAnsi="宋体" w:eastAsia="宋体" w:cs="宋体"/>
          <w:color w:val="auto"/>
          <w:sz w:val="72"/>
          <w:szCs w:val="72"/>
          <w:highlight w:val="none"/>
        </w:rPr>
      </w:pPr>
      <w:bookmarkStart w:id="209" w:name="_Toc5690"/>
      <w:r>
        <w:rPr>
          <w:rFonts w:hint="eastAsia" w:ascii="宋体" w:hAnsi="宋体" w:eastAsia="宋体" w:cs="宋体"/>
          <w:color w:val="auto"/>
          <w:sz w:val="72"/>
          <w:szCs w:val="72"/>
          <w:highlight w:val="none"/>
        </w:rPr>
        <w:t>唱标信封</w:t>
      </w:r>
      <w:bookmarkEnd w:id="209"/>
    </w:p>
    <w:p w14:paraId="070AC281">
      <w:pPr>
        <w:jc w:val="center"/>
        <w:rPr>
          <w:rFonts w:hint="eastAsia" w:ascii="宋体" w:hAnsi="宋体" w:eastAsia="宋体" w:cs="宋体"/>
          <w:color w:val="auto"/>
          <w:sz w:val="52"/>
          <w:szCs w:val="52"/>
          <w:highlight w:val="none"/>
        </w:rPr>
      </w:pPr>
      <w:r>
        <w:rPr>
          <w:rFonts w:hint="eastAsia" w:ascii="宋体" w:hAnsi="宋体" w:eastAsia="宋体" w:cs="宋体"/>
          <w:color w:val="auto"/>
          <w:sz w:val="52"/>
          <w:szCs w:val="52"/>
          <w:highlight w:val="none"/>
        </w:rPr>
        <w:t>（单独装订成册，单独封装）</w:t>
      </w:r>
    </w:p>
    <w:p w14:paraId="05F10E90">
      <w:pPr>
        <w:rPr>
          <w:rFonts w:hint="eastAsia" w:ascii="宋体" w:hAnsi="宋体" w:eastAsia="宋体" w:cs="宋体"/>
          <w:color w:val="auto"/>
          <w:highlight w:val="none"/>
        </w:rPr>
      </w:pPr>
    </w:p>
    <w:p w14:paraId="57001519">
      <w:pPr>
        <w:pStyle w:val="9"/>
        <w:rPr>
          <w:rFonts w:hint="eastAsia" w:ascii="宋体" w:hAnsi="宋体" w:eastAsia="宋体" w:cs="宋体"/>
          <w:color w:val="auto"/>
          <w:highlight w:val="none"/>
        </w:rPr>
      </w:pPr>
    </w:p>
    <w:p w14:paraId="13684CA8">
      <w:pPr>
        <w:pStyle w:val="10"/>
        <w:ind w:firstLine="240"/>
        <w:rPr>
          <w:rFonts w:hint="eastAsia" w:ascii="宋体" w:hAnsi="宋体" w:eastAsia="宋体" w:cs="宋体"/>
          <w:color w:val="auto"/>
          <w:highlight w:val="none"/>
        </w:rPr>
      </w:pPr>
    </w:p>
    <w:p w14:paraId="2FF4D64A">
      <w:pPr>
        <w:pStyle w:val="10"/>
        <w:ind w:firstLine="240"/>
        <w:rPr>
          <w:rFonts w:hint="eastAsia" w:ascii="宋体" w:hAnsi="宋体" w:eastAsia="宋体" w:cs="宋体"/>
          <w:color w:val="auto"/>
          <w:highlight w:val="none"/>
        </w:rPr>
      </w:pPr>
    </w:p>
    <w:p w14:paraId="5FDE9E02">
      <w:pPr>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106"/>
          <w:sz w:val="32"/>
          <w:szCs w:val="32"/>
          <w:highlight w:val="none"/>
        </w:rPr>
        <w:t>项目名</w:t>
      </w:r>
      <w:r>
        <w:rPr>
          <w:rFonts w:hint="eastAsia" w:ascii="宋体" w:hAnsi="宋体" w:eastAsia="宋体" w:cs="宋体"/>
          <w:b/>
          <w:color w:val="auto"/>
          <w:spacing w:val="2"/>
          <w:sz w:val="32"/>
          <w:szCs w:val="32"/>
          <w:highlight w:val="none"/>
        </w:rPr>
        <w:t>称</w:t>
      </w:r>
      <w:r>
        <w:rPr>
          <w:rFonts w:hint="eastAsia" w:ascii="宋体" w:hAnsi="宋体" w:eastAsia="宋体" w:cs="宋体"/>
          <w:b/>
          <w:color w:val="auto"/>
          <w:spacing w:val="-6"/>
          <w:sz w:val="32"/>
          <w:szCs w:val="32"/>
          <w:highlight w:val="none"/>
        </w:rPr>
        <w:t>：</w:t>
      </w:r>
    </w:p>
    <w:p w14:paraId="129035EA">
      <w:pPr>
        <w:rPr>
          <w:rFonts w:hint="eastAsia" w:ascii="宋体" w:hAnsi="宋体" w:eastAsia="宋体" w:cs="宋体"/>
          <w:b/>
          <w:color w:val="auto"/>
          <w:sz w:val="32"/>
          <w:szCs w:val="32"/>
          <w:highlight w:val="none"/>
        </w:rPr>
      </w:pPr>
      <w:r>
        <w:rPr>
          <w:rFonts w:hint="eastAsia" w:ascii="宋体" w:hAnsi="宋体" w:eastAsia="宋体" w:cs="宋体"/>
          <w:b/>
          <w:color w:val="auto"/>
          <w:spacing w:val="106"/>
          <w:sz w:val="32"/>
          <w:szCs w:val="32"/>
          <w:highlight w:val="none"/>
        </w:rPr>
        <w:t>项目编</w:t>
      </w:r>
      <w:r>
        <w:rPr>
          <w:rFonts w:hint="eastAsia" w:ascii="宋体" w:hAnsi="宋体" w:eastAsia="宋体" w:cs="宋体"/>
          <w:b/>
          <w:color w:val="auto"/>
          <w:spacing w:val="2"/>
          <w:sz w:val="32"/>
          <w:szCs w:val="32"/>
          <w:highlight w:val="none"/>
        </w:rPr>
        <w:t>号</w:t>
      </w:r>
      <w:r>
        <w:rPr>
          <w:rFonts w:hint="eastAsia" w:ascii="宋体" w:hAnsi="宋体" w:eastAsia="宋体" w:cs="宋体"/>
          <w:b/>
          <w:color w:val="auto"/>
          <w:sz w:val="32"/>
          <w:szCs w:val="32"/>
          <w:highlight w:val="none"/>
        </w:rPr>
        <w:t>：</w:t>
      </w:r>
    </w:p>
    <w:p w14:paraId="635B89CA">
      <w:pPr>
        <w:pStyle w:val="9"/>
        <w:ind w:left="0"/>
        <w:rPr>
          <w:rFonts w:hint="eastAsia" w:ascii="宋体" w:hAnsi="宋体" w:eastAsia="宋体" w:cs="宋体"/>
          <w:b/>
          <w:color w:val="auto"/>
          <w:spacing w:val="106"/>
          <w:sz w:val="32"/>
          <w:szCs w:val="32"/>
          <w:highlight w:val="none"/>
          <w:lang w:val="en-US" w:bidi="ar-SA"/>
        </w:rPr>
      </w:pPr>
      <w:r>
        <w:rPr>
          <w:rFonts w:hint="eastAsia" w:ascii="宋体" w:hAnsi="宋体" w:eastAsia="宋体" w:cs="宋体"/>
          <w:b/>
          <w:color w:val="auto"/>
          <w:spacing w:val="106"/>
          <w:sz w:val="32"/>
          <w:szCs w:val="32"/>
          <w:highlight w:val="none"/>
          <w:lang w:val="en-US" w:bidi="ar-SA"/>
        </w:rPr>
        <w:t>包组号（如有）：</w:t>
      </w:r>
    </w:p>
    <w:p w14:paraId="66AEEDA5">
      <w:pP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投标人名称：</w:t>
      </w:r>
    </w:p>
    <w:p w14:paraId="47C0D7FD">
      <w:pPr>
        <w:rPr>
          <w:rFonts w:hint="eastAsia" w:ascii="宋体" w:hAnsi="宋体" w:eastAsia="宋体" w:cs="宋体"/>
          <w:b/>
          <w:color w:val="auto"/>
          <w:sz w:val="32"/>
          <w:szCs w:val="32"/>
          <w:highlight w:val="none"/>
        </w:rPr>
      </w:pPr>
      <w:r>
        <w:rPr>
          <w:rFonts w:hint="eastAsia" w:ascii="宋体" w:hAnsi="宋体" w:eastAsia="宋体" w:cs="宋体"/>
          <w:b/>
          <w:color w:val="auto"/>
          <w:spacing w:val="64"/>
          <w:sz w:val="32"/>
          <w:szCs w:val="32"/>
          <w:highlight w:val="none"/>
        </w:rPr>
        <w:t xml:space="preserve">日    </w:t>
      </w:r>
      <w:r>
        <w:rPr>
          <w:rFonts w:hint="eastAsia" w:ascii="宋体" w:hAnsi="宋体" w:eastAsia="宋体" w:cs="宋体"/>
          <w:b/>
          <w:color w:val="auto"/>
          <w:sz w:val="32"/>
          <w:szCs w:val="32"/>
          <w:highlight w:val="none"/>
        </w:rPr>
        <w:t>期：</w:t>
      </w:r>
    </w:p>
    <w:p w14:paraId="43313F8E">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bookmarkEnd w:id="208"/>
    <w:p w14:paraId="66B58D91">
      <w:pPr>
        <w:pStyle w:val="5"/>
        <w:numPr>
          <w:ilvl w:val="255"/>
          <w:numId w:val="0"/>
        </w:numPr>
        <w:tabs>
          <w:tab w:val="left" w:pos="720"/>
          <w:tab w:val="left" w:pos="3840"/>
        </w:tabs>
        <w:ind w:left="283"/>
        <w:jc w:val="both"/>
        <w:rPr>
          <w:rFonts w:hint="eastAsia" w:ascii="宋体" w:hAnsi="宋体" w:eastAsia="宋体" w:cs="宋体"/>
          <w:color w:val="auto"/>
          <w:sz w:val="21"/>
          <w:szCs w:val="21"/>
          <w:highlight w:val="none"/>
        </w:rPr>
      </w:pPr>
      <w:bookmarkStart w:id="210" w:name="_Toc28911"/>
      <w:r>
        <w:rPr>
          <w:rFonts w:hint="eastAsia" w:ascii="宋体" w:hAnsi="宋体" w:eastAsia="宋体" w:cs="宋体"/>
          <w:color w:val="auto"/>
          <w:sz w:val="21"/>
          <w:szCs w:val="21"/>
          <w:highlight w:val="none"/>
        </w:rPr>
        <w:t>附件2</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.唱标信封内装（内容务必与投标文件正本一致）</w:t>
      </w:r>
      <w:bookmarkEnd w:id="210"/>
    </w:p>
    <w:p w14:paraId="74A6BAB4">
      <w:pPr>
        <w:numPr>
          <w:ilvl w:val="0"/>
          <w:numId w:val="16"/>
        </w:numPr>
        <w:ind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开标一览表加盖公章；</w:t>
      </w:r>
    </w:p>
    <w:p w14:paraId="1D2C5AF4">
      <w:pPr>
        <w:numPr>
          <w:ilvl w:val="0"/>
          <w:numId w:val="16"/>
        </w:numPr>
        <w:ind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法定代表人证明书加盖公章；</w:t>
      </w:r>
    </w:p>
    <w:p w14:paraId="7F72F91F">
      <w:pPr>
        <w:numPr>
          <w:ilvl w:val="0"/>
          <w:numId w:val="16"/>
        </w:numPr>
        <w:ind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法定代表人授权委托书加盖公章（法定代表人投标的除外）；</w:t>
      </w:r>
    </w:p>
    <w:p w14:paraId="5BD20FBA">
      <w:pPr>
        <w:numPr>
          <w:ilvl w:val="0"/>
          <w:numId w:val="16"/>
        </w:numPr>
        <w:ind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投标保证金汇入情况说明（含银行汇款凭证）或投标保函加盖公章；</w:t>
      </w:r>
    </w:p>
    <w:p w14:paraId="618810FD">
      <w:pPr>
        <w:numPr>
          <w:ilvl w:val="0"/>
          <w:numId w:val="16"/>
        </w:numPr>
        <w:ind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投标文件电子文件（U盘，须含盖章版PDF投标文件和WORD版投标文件各一版，文字采用WORD文档，计算表格采用 EXCEL文档。）</w:t>
      </w:r>
    </w:p>
    <w:p w14:paraId="46A89DB6">
      <w:pPr>
        <w:rPr>
          <w:rFonts w:hint="eastAsia" w:ascii="宋体" w:hAnsi="宋体" w:eastAsia="宋体" w:cs="宋体"/>
          <w:color w:val="auto"/>
          <w:szCs w:val="21"/>
          <w:highlight w:val="none"/>
        </w:rPr>
      </w:pPr>
    </w:p>
    <w:p w14:paraId="7DCF3E4D">
      <w:pPr>
        <w:pStyle w:val="9"/>
        <w:rPr>
          <w:rFonts w:hint="eastAsia" w:ascii="宋体" w:hAnsi="宋体" w:eastAsia="宋体" w:cs="宋体"/>
          <w:color w:val="auto"/>
          <w:highlight w:val="none"/>
        </w:rPr>
      </w:pPr>
    </w:p>
    <w:sectPr>
      <w:pgSz w:w="11906" w:h="16838"/>
      <w:pgMar w:top="1440" w:right="1800" w:bottom="1440" w:left="1800" w:header="708" w:footer="708" w:gutter="0"/>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68FE5">
    <w:pPr>
      <w:pStyle w:val="18"/>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EB6C55">
                          <w:pPr>
                            <w:pStyle w:val="18"/>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5EB6C55">
                    <w:pPr>
                      <w:pStyle w:val="18"/>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CF316D">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66CE36">
    <w:pPr>
      <w:pStyle w:val="18"/>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639410">
                          <w:pPr>
                            <w:pStyle w:val="1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4B639410">
                    <w:pPr>
                      <w:pStyle w:val="18"/>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18796">
    <w:pPr>
      <w:pStyle w:val="1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14:paraId="0B02A6B9">
                          <w:pPr>
                            <w:pStyle w:val="18"/>
                            <w:jc w:val="center"/>
                            <w:rPr>
                              <w:rFonts w:hint="eastAsia"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rPr>
                            <w:t xml:space="preserve"> 页 共 </w:t>
                          </w:r>
                          <w:r>
                            <w:rPr>
                              <w:rFonts w:hint="eastAsia" w:ascii="宋体" w:hAnsi="宋体" w:eastAsia="宋体" w:cs="宋体"/>
                            </w:rPr>
                            <w:fldChar w:fldCharType="begin"/>
                          </w:r>
                          <w:r>
                            <w:rPr>
                              <w:rFonts w:hint="eastAsia" w:ascii="宋体" w:hAnsi="宋体" w:eastAsia="宋体" w:cs="宋体"/>
                            </w:rPr>
                            <w:instrText xml:space="preserve"> NUMPAGES  \* MERGEFORMAT </w:instrText>
                          </w:r>
                          <w:r>
                            <w:rPr>
                              <w:rFonts w:hint="eastAsia" w:ascii="宋体" w:hAnsi="宋体" w:eastAsia="宋体" w:cs="宋体"/>
                            </w:rPr>
                            <w:fldChar w:fldCharType="separate"/>
                          </w:r>
                          <w:r>
                            <w:rPr>
                              <w:rFonts w:hint="eastAsia" w:ascii="宋体" w:hAnsi="宋体" w:eastAsia="宋体" w:cs="宋体"/>
                            </w:rPr>
                            <w:t>185</w:t>
                          </w:r>
                          <w:r>
                            <w:rPr>
                              <w:rFonts w:hint="eastAsia" w:ascii="宋体" w:hAnsi="宋体" w:eastAsia="宋体" w:cs="宋体"/>
                            </w:rPr>
                            <w:fldChar w:fldCharType="end"/>
                          </w:r>
                          <w:r>
                            <w:rPr>
                              <w:rFonts w:hint="eastAsia" w:ascii="宋体" w:hAnsi="宋体" w:eastAsia="宋体" w:cs="宋体"/>
                            </w:rPr>
                            <w:t xml:space="preserve"> 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59264;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xsfqk0wAAAAUBAAAPAAAAAAAAAAEAIAAAACIAAABkcnMvZG93bnJl&#10;di54bWxQSwECFAAUAAAACACHTuJARcufEMkBAACQAwAADgAAAAAAAAABACAAAAAiAQAAZHJzL2Uy&#10;b0RvYy54bWxQSwUGAAAAAAYABgBZAQAAXQUAAAAA&#10;">
              <v:fill on="f" focussize="0,0"/>
              <v:stroke on="f"/>
              <v:imagedata o:title=""/>
              <o:lock v:ext="edit" aspectratio="f"/>
              <v:textbox inset="0mm,0mm,0mm,0mm" style="mso-fit-shape-to-text:t;">
                <w:txbxContent>
                  <w:p w14:paraId="0B02A6B9">
                    <w:pPr>
                      <w:pStyle w:val="18"/>
                      <w:jc w:val="center"/>
                      <w:rPr>
                        <w:rFonts w:hint="eastAsia"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rPr>
                      <w:t xml:space="preserve"> 页 共 </w:t>
                    </w:r>
                    <w:r>
                      <w:rPr>
                        <w:rFonts w:hint="eastAsia" w:ascii="宋体" w:hAnsi="宋体" w:eastAsia="宋体" w:cs="宋体"/>
                      </w:rPr>
                      <w:fldChar w:fldCharType="begin"/>
                    </w:r>
                    <w:r>
                      <w:rPr>
                        <w:rFonts w:hint="eastAsia" w:ascii="宋体" w:hAnsi="宋体" w:eastAsia="宋体" w:cs="宋体"/>
                      </w:rPr>
                      <w:instrText xml:space="preserve"> NUMPAGES  \* MERGEFORMAT </w:instrText>
                    </w:r>
                    <w:r>
                      <w:rPr>
                        <w:rFonts w:hint="eastAsia" w:ascii="宋体" w:hAnsi="宋体" w:eastAsia="宋体" w:cs="宋体"/>
                      </w:rPr>
                      <w:fldChar w:fldCharType="separate"/>
                    </w:r>
                    <w:r>
                      <w:rPr>
                        <w:rFonts w:hint="eastAsia" w:ascii="宋体" w:hAnsi="宋体" w:eastAsia="宋体" w:cs="宋体"/>
                      </w:rPr>
                      <w:t>185</w:t>
                    </w:r>
                    <w:r>
                      <w:rPr>
                        <w:rFonts w:hint="eastAsia" w:ascii="宋体" w:hAnsi="宋体" w:eastAsia="宋体" w:cs="宋体"/>
                      </w:rPr>
                      <w:fldChar w:fldCharType="end"/>
                    </w:r>
                    <w:r>
                      <w:rPr>
                        <w:rFonts w:hint="eastAsia" w:ascii="宋体" w:hAnsi="宋体" w:eastAsia="宋体" w:cs="宋体"/>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14671">
    <w:pPr>
      <w:pStyle w:val="1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14:paraId="4D114446">
                          <w:pPr>
                            <w:pStyle w:val="18"/>
                            <w:jc w:val="center"/>
                            <w:rPr>
                              <w:rFonts w:hint="eastAsia"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rPr>
                            <w:t xml:space="preserve"> 页 共 </w:t>
                          </w:r>
                          <w:r>
                            <w:rPr>
                              <w:rFonts w:hint="eastAsia" w:ascii="宋体" w:hAnsi="宋体" w:eastAsia="宋体" w:cs="宋体"/>
                            </w:rPr>
                            <w:fldChar w:fldCharType="begin"/>
                          </w:r>
                          <w:r>
                            <w:rPr>
                              <w:rFonts w:hint="eastAsia" w:ascii="宋体" w:hAnsi="宋体" w:eastAsia="宋体" w:cs="宋体"/>
                            </w:rPr>
                            <w:instrText xml:space="preserve"> NUMPAGES  \* MERGEFORMAT </w:instrText>
                          </w:r>
                          <w:r>
                            <w:rPr>
                              <w:rFonts w:hint="eastAsia" w:ascii="宋体" w:hAnsi="宋体" w:eastAsia="宋体" w:cs="宋体"/>
                            </w:rPr>
                            <w:fldChar w:fldCharType="separate"/>
                          </w:r>
                          <w:r>
                            <w:rPr>
                              <w:rFonts w:hint="eastAsia" w:ascii="宋体" w:hAnsi="宋体" w:eastAsia="宋体" w:cs="宋体"/>
                            </w:rPr>
                            <w:t>185</w:t>
                          </w:r>
                          <w:r>
                            <w:rPr>
                              <w:rFonts w:hint="eastAsia" w:ascii="宋体" w:hAnsi="宋体" w:eastAsia="宋体" w:cs="宋体"/>
                            </w:rPr>
                            <w:fldChar w:fldCharType="end"/>
                          </w:r>
                          <w:r>
                            <w:rPr>
                              <w:rFonts w:hint="eastAsia" w:ascii="宋体" w:hAnsi="宋体" w:eastAsia="宋体" w:cs="宋体"/>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0288;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YIEizSAAAABQEAAA8AAAAAAAAAAQAgAAAAIgAAAGRycy9kb3ducmV2&#10;LnhtbFBLAQIUABQAAAAIAIdO4kB4R5WwyQEAAJADAAAOAAAAAAAAAAEAIAAAACEBAABkcnMvZTJv&#10;RG9jLnhtbFBLBQYAAAAABgAGAFkBAABcBQAAAAA=&#10;">
              <v:fill on="f" focussize="0,0"/>
              <v:stroke on="f"/>
              <v:imagedata o:title=""/>
              <o:lock v:ext="edit" aspectratio="f"/>
              <v:textbox inset="0mm,0mm,0mm,0mm" style="mso-fit-shape-to-text:t;">
                <w:txbxContent>
                  <w:p w14:paraId="4D114446">
                    <w:pPr>
                      <w:pStyle w:val="18"/>
                      <w:jc w:val="center"/>
                      <w:rPr>
                        <w:rFonts w:hint="eastAsia"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rPr>
                      <w:t xml:space="preserve"> 页 共 </w:t>
                    </w:r>
                    <w:r>
                      <w:rPr>
                        <w:rFonts w:hint="eastAsia" w:ascii="宋体" w:hAnsi="宋体" w:eastAsia="宋体" w:cs="宋体"/>
                      </w:rPr>
                      <w:fldChar w:fldCharType="begin"/>
                    </w:r>
                    <w:r>
                      <w:rPr>
                        <w:rFonts w:hint="eastAsia" w:ascii="宋体" w:hAnsi="宋体" w:eastAsia="宋体" w:cs="宋体"/>
                      </w:rPr>
                      <w:instrText xml:space="preserve"> NUMPAGES  \* MERGEFORMAT </w:instrText>
                    </w:r>
                    <w:r>
                      <w:rPr>
                        <w:rFonts w:hint="eastAsia" w:ascii="宋体" w:hAnsi="宋体" w:eastAsia="宋体" w:cs="宋体"/>
                      </w:rPr>
                      <w:fldChar w:fldCharType="separate"/>
                    </w:r>
                    <w:r>
                      <w:rPr>
                        <w:rFonts w:hint="eastAsia" w:ascii="宋体" w:hAnsi="宋体" w:eastAsia="宋体" w:cs="宋体"/>
                      </w:rPr>
                      <w:t>185</w:t>
                    </w:r>
                    <w:r>
                      <w:rPr>
                        <w:rFonts w:hint="eastAsia" w:ascii="宋体" w:hAnsi="宋体" w:eastAsia="宋体" w:cs="宋体"/>
                      </w:rPr>
                      <w:fldChar w:fldCharType="end"/>
                    </w:r>
                    <w:r>
                      <w:rPr>
                        <w:rFonts w:hint="eastAsia" w:ascii="宋体" w:hAnsi="宋体" w:eastAsia="宋体" w:cs="宋体"/>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AE1A1D">
    <w:pPr>
      <w:pStyle w:val="1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5BF15E">
    <w:pPr>
      <w:pStyle w:val="19"/>
    </w:pPr>
  </w:p>
  <w:p w14:paraId="3F426C68">
    <w:pPr>
      <w:pStyle w:val="19"/>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EBF526">
    <w:pPr>
      <w:pStyle w:val="1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8DB3BC"/>
    <w:multiLevelType w:val="singleLevel"/>
    <w:tmpl w:val="A18DB3BC"/>
    <w:lvl w:ilvl="0" w:tentative="0">
      <w:start w:val="1"/>
      <w:numFmt w:val="decimal"/>
      <w:lvlText w:val="%1."/>
      <w:lvlJc w:val="left"/>
      <w:pPr>
        <w:tabs>
          <w:tab w:val="left" w:pos="312"/>
        </w:tabs>
      </w:pPr>
    </w:lvl>
  </w:abstractNum>
  <w:abstractNum w:abstractNumId="1">
    <w:nsid w:val="C9555E15"/>
    <w:multiLevelType w:val="singleLevel"/>
    <w:tmpl w:val="C9555E15"/>
    <w:lvl w:ilvl="0" w:tentative="0">
      <w:start w:val="1"/>
      <w:numFmt w:val="decimal"/>
      <w:lvlText w:val="(%1)"/>
      <w:lvlJc w:val="left"/>
      <w:pPr>
        <w:ind w:left="425" w:hanging="425"/>
      </w:pPr>
      <w:rPr>
        <w:rFonts w:hint="default"/>
      </w:rPr>
    </w:lvl>
  </w:abstractNum>
  <w:abstractNum w:abstractNumId="2">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CFF174A5"/>
    <w:multiLevelType w:val="singleLevel"/>
    <w:tmpl w:val="CFF174A5"/>
    <w:lvl w:ilvl="0" w:tentative="0">
      <w:start w:val="1"/>
      <w:numFmt w:val="decimal"/>
      <w:suff w:val="nothing"/>
      <w:lvlText w:val="%1、"/>
      <w:lvlJc w:val="left"/>
    </w:lvl>
  </w:abstractNum>
  <w:abstractNum w:abstractNumId="4">
    <w:nsid w:val="D0047B7E"/>
    <w:multiLevelType w:val="singleLevel"/>
    <w:tmpl w:val="D0047B7E"/>
    <w:lvl w:ilvl="0" w:tentative="0">
      <w:start w:val="1"/>
      <w:numFmt w:val="decimal"/>
      <w:suff w:val="nothing"/>
      <w:lvlText w:val="%1、"/>
      <w:lvlJc w:val="left"/>
    </w:lvl>
  </w:abstractNum>
  <w:abstractNum w:abstractNumId="5">
    <w:nsid w:val="DBA15F51"/>
    <w:multiLevelType w:val="singleLevel"/>
    <w:tmpl w:val="DBA15F51"/>
    <w:lvl w:ilvl="0" w:tentative="0">
      <w:start w:val="1"/>
      <w:numFmt w:val="decimal"/>
      <w:suff w:val="nothing"/>
      <w:lvlText w:val="%1、"/>
      <w:lvlJc w:val="left"/>
    </w:lvl>
  </w:abstractNum>
  <w:abstractNum w:abstractNumId="6">
    <w:nsid w:val="F671B60D"/>
    <w:multiLevelType w:val="singleLevel"/>
    <w:tmpl w:val="F671B60D"/>
    <w:lvl w:ilvl="0" w:tentative="0">
      <w:start w:val="1"/>
      <w:numFmt w:val="decimal"/>
      <w:suff w:val="nothing"/>
      <w:lvlText w:val="%1、"/>
      <w:lvlJc w:val="left"/>
    </w:lvl>
  </w:abstractNum>
  <w:abstractNum w:abstractNumId="7">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9">
    <w:nsid w:val="13387DFE"/>
    <w:multiLevelType w:val="multilevel"/>
    <w:tmpl w:val="13387DFE"/>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0">
    <w:nsid w:val="20D2348B"/>
    <w:multiLevelType w:val="singleLevel"/>
    <w:tmpl w:val="20D2348B"/>
    <w:lvl w:ilvl="0" w:tentative="0">
      <w:start w:val="1"/>
      <w:numFmt w:val="chineseCounting"/>
      <w:suff w:val="nothing"/>
      <w:lvlText w:val="（%1）"/>
      <w:lvlJc w:val="left"/>
      <w:rPr>
        <w:rFonts w:hint="eastAsia"/>
      </w:rPr>
    </w:lvl>
  </w:abstractNum>
  <w:abstractNum w:abstractNumId="11">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2">
    <w:nsid w:val="3F88662E"/>
    <w:multiLevelType w:val="singleLevel"/>
    <w:tmpl w:val="3F88662E"/>
    <w:lvl w:ilvl="0" w:tentative="0">
      <w:start w:val="1"/>
      <w:numFmt w:val="decimal"/>
      <w:suff w:val="space"/>
      <w:lvlText w:val="%1)"/>
      <w:lvlJc w:val="left"/>
    </w:lvl>
  </w:abstractNum>
  <w:abstractNum w:abstractNumId="13">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5">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6"/>
  </w:num>
  <w:num w:numId="3">
    <w:abstractNumId w:val="13"/>
  </w:num>
  <w:num w:numId="4">
    <w:abstractNumId w:val="11"/>
  </w:num>
  <w:num w:numId="5">
    <w:abstractNumId w:val="2"/>
  </w:num>
  <w:num w:numId="6">
    <w:abstractNumId w:val="12"/>
  </w:num>
  <w:num w:numId="7">
    <w:abstractNumId w:val="8"/>
  </w:num>
  <w:num w:numId="8">
    <w:abstractNumId w:val="1"/>
  </w:num>
  <w:num w:numId="9">
    <w:abstractNumId w:val="9"/>
  </w:num>
  <w:num w:numId="10">
    <w:abstractNumId w:val="5"/>
  </w:num>
  <w:num w:numId="11">
    <w:abstractNumId w:val="3"/>
  </w:num>
  <w:num w:numId="12">
    <w:abstractNumId w:val="7"/>
  </w:num>
  <w:num w:numId="13">
    <w:abstractNumId w:val="10"/>
  </w:num>
  <w:num w:numId="14">
    <w:abstractNumId w:val="4"/>
  </w:num>
  <w:num w:numId="15">
    <w:abstractNumId w:val="15"/>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4MDE5MGFmMzViNjkyNzQ3ZWViOGQ5Y2MxNjliMTMifQ=="/>
  </w:docVars>
  <w:rsids>
    <w:rsidRoot w:val="00172A27"/>
    <w:rsid w:val="00005A66"/>
    <w:rsid w:val="00006462"/>
    <w:rsid w:val="000300E4"/>
    <w:rsid w:val="0003307E"/>
    <w:rsid w:val="000336BA"/>
    <w:rsid w:val="000359A1"/>
    <w:rsid w:val="0005185D"/>
    <w:rsid w:val="0007500F"/>
    <w:rsid w:val="0008282E"/>
    <w:rsid w:val="00084F6D"/>
    <w:rsid w:val="00093A13"/>
    <w:rsid w:val="000A363F"/>
    <w:rsid w:val="000A42A8"/>
    <w:rsid w:val="000A5063"/>
    <w:rsid w:val="000A5DBD"/>
    <w:rsid w:val="000C4524"/>
    <w:rsid w:val="000D44A6"/>
    <w:rsid w:val="000E2CB7"/>
    <w:rsid w:val="000F0E98"/>
    <w:rsid w:val="000F1444"/>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A06D8"/>
    <w:rsid w:val="001A2D42"/>
    <w:rsid w:val="001A2EF7"/>
    <w:rsid w:val="001B1F14"/>
    <w:rsid w:val="001B41CF"/>
    <w:rsid w:val="001B5860"/>
    <w:rsid w:val="001C1135"/>
    <w:rsid w:val="001C15AE"/>
    <w:rsid w:val="001C4661"/>
    <w:rsid w:val="001C5689"/>
    <w:rsid w:val="001C6E4B"/>
    <w:rsid w:val="001F0070"/>
    <w:rsid w:val="001F4B02"/>
    <w:rsid w:val="001F6BC7"/>
    <w:rsid w:val="002065A7"/>
    <w:rsid w:val="0021149E"/>
    <w:rsid w:val="00213021"/>
    <w:rsid w:val="00216BE9"/>
    <w:rsid w:val="00221E7A"/>
    <w:rsid w:val="0022503E"/>
    <w:rsid w:val="00225BB4"/>
    <w:rsid w:val="00226313"/>
    <w:rsid w:val="002373BB"/>
    <w:rsid w:val="00240F5F"/>
    <w:rsid w:val="00247224"/>
    <w:rsid w:val="00247AE0"/>
    <w:rsid w:val="00260AC1"/>
    <w:rsid w:val="0026312D"/>
    <w:rsid w:val="0027078E"/>
    <w:rsid w:val="0028395F"/>
    <w:rsid w:val="00284156"/>
    <w:rsid w:val="00285643"/>
    <w:rsid w:val="002867A1"/>
    <w:rsid w:val="002901F8"/>
    <w:rsid w:val="00290F04"/>
    <w:rsid w:val="002920A4"/>
    <w:rsid w:val="002B4087"/>
    <w:rsid w:val="002B5F6C"/>
    <w:rsid w:val="002C6C78"/>
    <w:rsid w:val="002D1594"/>
    <w:rsid w:val="002D3F9C"/>
    <w:rsid w:val="002D503C"/>
    <w:rsid w:val="002D7E27"/>
    <w:rsid w:val="002E17E5"/>
    <w:rsid w:val="002E6B7E"/>
    <w:rsid w:val="002F0FC9"/>
    <w:rsid w:val="0030669E"/>
    <w:rsid w:val="003101A3"/>
    <w:rsid w:val="00320CEA"/>
    <w:rsid w:val="00323B43"/>
    <w:rsid w:val="00326831"/>
    <w:rsid w:val="003274CE"/>
    <w:rsid w:val="003361E9"/>
    <w:rsid w:val="003430F6"/>
    <w:rsid w:val="00353842"/>
    <w:rsid w:val="0035595E"/>
    <w:rsid w:val="00381C26"/>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51EB4"/>
    <w:rsid w:val="00460B31"/>
    <w:rsid w:val="00462105"/>
    <w:rsid w:val="00475A80"/>
    <w:rsid w:val="00475BB4"/>
    <w:rsid w:val="00490B9E"/>
    <w:rsid w:val="00497577"/>
    <w:rsid w:val="004A05D7"/>
    <w:rsid w:val="004A2B28"/>
    <w:rsid w:val="004A69F1"/>
    <w:rsid w:val="004B3550"/>
    <w:rsid w:val="004B3F06"/>
    <w:rsid w:val="004C7FD6"/>
    <w:rsid w:val="004D08C0"/>
    <w:rsid w:val="004D1669"/>
    <w:rsid w:val="004D1736"/>
    <w:rsid w:val="004D51A2"/>
    <w:rsid w:val="004D5AFB"/>
    <w:rsid w:val="004E04FD"/>
    <w:rsid w:val="004F1BB7"/>
    <w:rsid w:val="0050759C"/>
    <w:rsid w:val="00510827"/>
    <w:rsid w:val="005267F1"/>
    <w:rsid w:val="005269A9"/>
    <w:rsid w:val="00532034"/>
    <w:rsid w:val="00545D9A"/>
    <w:rsid w:val="00546A42"/>
    <w:rsid w:val="0055408D"/>
    <w:rsid w:val="0057492D"/>
    <w:rsid w:val="0058523E"/>
    <w:rsid w:val="00590819"/>
    <w:rsid w:val="00593D68"/>
    <w:rsid w:val="005A208B"/>
    <w:rsid w:val="005A555E"/>
    <w:rsid w:val="005A7612"/>
    <w:rsid w:val="005B58A6"/>
    <w:rsid w:val="005C57E1"/>
    <w:rsid w:val="005C702E"/>
    <w:rsid w:val="005D01B8"/>
    <w:rsid w:val="005D066B"/>
    <w:rsid w:val="005D2D85"/>
    <w:rsid w:val="005D52E7"/>
    <w:rsid w:val="005F021D"/>
    <w:rsid w:val="005F20A4"/>
    <w:rsid w:val="005F4EAE"/>
    <w:rsid w:val="005F573A"/>
    <w:rsid w:val="005F660B"/>
    <w:rsid w:val="005F7EB1"/>
    <w:rsid w:val="00604B81"/>
    <w:rsid w:val="0061246F"/>
    <w:rsid w:val="00613417"/>
    <w:rsid w:val="00613B25"/>
    <w:rsid w:val="0061545F"/>
    <w:rsid w:val="006175DE"/>
    <w:rsid w:val="006215AC"/>
    <w:rsid w:val="00621821"/>
    <w:rsid w:val="00621C19"/>
    <w:rsid w:val="00622362"/>
    <w:rsid w:val="00622497"/>
    <w:rsid w:val="006276AD"/>
    <w:rsid w:val="006347A6"/>
    <w:rsid w:val="006378D4"/>
    <w:rsid w:val="00641E8C"/>
    <w:rsid w:val="0064416A"/>
    <w:rsid w:val="006476E3"/>
    <w:rsid w:val="00650DDC"/>
    <w:rsid w:val="00652983"/>
    <w:rsid w:val="0065365D"/>
    <w:rsid w:val="006546D0"/>
    <w:rsid w:val="006576FD"/>
    <w:rsid w:val="00662AE5"/>
    <w:rsid w:val="00664F6B"/>
    <w:rsid w:val="006731D2"/>
    <w:rsid w:val="00680EB0"/>
    <w:rsid w:val="00682986"/>
    <w:rsid w:val="00691701"/>
    <w:rsid w:val="00691AE0"/>
    <w:rsid w:val="0069491E"/>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6E96"/>
    <w:rsid w:val="00723B11"/>
    <w:rsid w:val="007343A7"/>
    <w:rsid w:val="00734BB2"/>
    <w:rsid w:val="00737823"/>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59D"/>
    <w:rsid w:val="007F2CD8"/>
    <w:rsid w:val="007F4DC5"/>
    <w:rsid w:val="00806380"/>
    <w:rsid w:val="0081104F"/>
    <w:rsid w:val="0081319A"/>
    <w:rsid w:val="00822299"/>
    <w:rsid w:val="0083486A"/>
    <w:rsid w:val="00837E35"/>
    <w:rsid w:val="00841378"/>
    <w:rsid w:val="00842B87"/>
    <w:rsid w:val="00845BEB"/>
    <w:rsid w:val="008472E6"/>
    <w:rsid w:val="008518B4"/>
    <w:rsid w:val="00853463"/>
    <w:rsid w:val="008548BD"/>
    <w:rsid w:val="0086026F"/>
    <w:rsid w:val="008640F5"/>
    <w:rsid w:val="0087704E"/>
    <w:rsid w:val="008907DA"/>
    <w:rsid w:val="008A0587"/>
    <w:rsid w:val="008A7273"/>
    <w:rsid w:val="008B55B9"/>
    <w:rsid w:val="008B7726"/>
    <w:rsid w:val="008C05BA"/>
    <w:rsid w:val="008D429E"/>
    <w:rsid w:val="008D5A10"/>
    <w:rsid w:val="008E319F"/>
    <w:rsid w:val="008E619C"/>
    <w:rsid w:val="008F6E0E"/>
    <w:rsid w:val="00906F49"/>
    <w:rsid w:val="00907417"/>
    <w:rsid w:val="00914604"/>
    <w:rsid w:val="00916A34"/>
    <w:rsid w:val="0092092D"/>
    <w:rsid w:val="00923533"/>
    <w:rsid w:val="00930A38"/>
    <w:rsid w:val="00934170"/>
    <w:rsid w:val="00942948"/>
    <w:rsid w:val="009474B5"/>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3304"/>
    <w:rsid w:val="00A275C2"/>
    <w:rsid w:val="00A3295D"/>
    <w:rsid w:val="00A4012F"/>
    <w:rsid w:val="00A4190E"/>
    <w:rsid w:val="00A42E91"/>
    <w:rsid w:val="00A50383"/>
    <w:rsid w:val="00A61230"/>
    <w:rsid w:val="00A668C8"/>
    <w:rsid w:val="00A74ED3"/>
    <w:rsid w:val="00A813C5"/>
    <w:rsid w:val="00A824E6"/>
    <w:rsid w:val="00A832CD"/>
    <w:rsid w:val="00A858DC"/>
    <w:rsid w:val="00A94D14"/>
    <w:rsid w:val="00AA0EAD"/>
    <w:rsid w:val="00AB19CE"/>
    <w:rsid w:val="00AB2133"/>
    <w:rsid w:val="00AB3969"/>
    <w:rsid w:val="00AC0E7A"/>
    <w:rsid w:val="00AC187B"/>
    <w:rsid w:val="00AE310E"/>
    <w:rsid w:val="00AE4FC5"/>
    <w:rsid w:val="00AF1B1B"/>
    <w:rsid w:val="00AF5F1F"/>
    <w:rsid w:val="00B027A4"/>
    <w:rsid w:val="00B04202"/>
    <w:rsid w:val="00B236B3"/>
    <w:rsid w:val="00B26806"/>
    <w:rsid w:val="00B31B24"/>
    <w:rsid w:val="00B4287F"/>
    <w:rsid w:val="00B4315F"/>
    <w:rsid w:val="00B43306"/>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3E74"/>
    <w:rsid w:val="00BD630F"/>
    <w:rsid w:val="00BD7C1B"/>
    <w:rsid w:val="00BE0825"/>
    <w:rsid w:val="00BE2EE6"/>
    <w:rsid w:val="00BF17FD"/>
    <w:rsid w:val="00BF2820"/>
    <w:rsid w:val="00BF41D4"/>
    <w:rsid w:val="00BF5AFB"/>
    <w:rsid w:val="00C16734"/>
    <w:rsid w:val="00C17B47"/>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32B5"/>
    <w:rsid w:val="00CB57AD"/>
    <w:rsid w:val="00CC009D"/>
    <w:rsid w:val="00CC584A"/>
    <w:rsid w:val="00CC5E4E"/>
    <w:rsid w:val="00CD0EAB"/>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650"/>
    <w:rsid w:val="00E83A31"/>
    <w:rsid w:val="00E93BF5"/>
    <w:rsid w:val="00E97CC0"/>
    <w:rsid w:val="00EA22B8"/>
    <w:rsid w:val="00EA2524"/>
    <w:rsid w:val="00EA33E7"/>
    <w:rsid w:val="00EC092D"/>
    <w:rsid w:val="00EC0DF8"/>
    <w:rsid w:val="00EC7F91"/>
    <w:rsid w:val="00ED378B"/>
    <w:rsid w:val="00EE08F9"/>
    <w:rsid w:val="00EE70B3"/>
    <w:rsid w:val="00EF24AA"/>
    <w:rsid w:val="00EF728A"/>
    <w:rsid w:val="00EF7D0D"/>
    <w:rsid w:val="00F00FF7"/>
    <w:rsid w:val="00F01C6F"/>
    <w:rsid w:val="00F02093"/>
    <w:rsid w:val="00F068E3"/>
    <w:rsid w:val="00F10B5F"/>
    <w:rsid w:val="00F218C1"/>
    <w:rsid w:val="00F321EB"/>
    <w:rsid w:val="00F32B00"/>
    <w:rsid w:val="00F346CF"/>
    <w:rsid w:val="00F3610C"/>
    <w:rsid w:val="00F36839"/>
    <w:rsid w:val="00F52A5F"/>
    <w:rsid w:val="00F55954"/>
    <w:rsid w:val="00F57308"/>
    <w:rsid w:val="00F61962"/>
    <w:rsid w:val="00F62865"/>
    <w:rsid w:val="00F64022"/>
    <w:rsid w:val="00F64660"/>
    <w:rsid w:val="00F74FF3"/>
    <w:rsid w:val="00F97062"/>
    <w:rsid w:val="00F9745D"/>
    <w:rsid w:val="00FA07A9"/>
    <w:rsid w:val="00FA54B2"/>
    <w:rsid w:val="00FC0FCB"/>
    <w:rsid w:val="00FC529F"/>
    <w:rsid w:val="00FC66E1"/>
    <w:rsid w:val="00FC7B53"/>
    <w:rsid w:val="00FD48CC"/>
    <w:rsid w:val="00FE62D1"/>
    <w:rsid w:val="00FE7B94"/>
    <w:rsid w:val="00FF0736"/>
    <w:rsid w:val="00FF2515"/>
    <w:rsid w:val="00FF26BF"/>
    <w:rsid w:val="013C51B0"/>
    <w:rsid w:val="01651C23"/>
    <w:rsid w:val="018023CE"/>
    <w:rsid w:val="01881AD6"/>
    <w:rsid w:val="019127B6"/>
    <w:rsid w:val="01B71A01"/>
    <w:rsid w:val="01CD0B9D"/>
    <w:rsid w:val="01DC03CE"/>
    <w:rsid w:val="01DE1359"/>
    <w:rsid w:val="01E36F4E"/>
    <w:rsid w:val="0208150E"/>
    <w:rsid w:val="021000FB"/>
    <w:rsid w:val="02287D63"/>
    <w:rsid w:val="024179E7"/>
    <w:rsid w:val="0246437B"/>
    <w:rsid w:val="027F6AB2"/>
    <w:rsid w:val="02985CD5"/>
    <w:rsid w:val="02A30D8D"/>
    <w:rsid w:val="02A741FD"/>
    <w:rsid w:val="02C16E5D"/>
    <w:rsid w:val="02D964CF"/>
    <w:rsid w:val="02DE5ECF"/>
    <w:rsid w:val="02EF1E8A"/>
    <w:rsid w:val="03082F4B"/>
    <w:rsid w:val="032E6AB8"/>
    <w:rsid w:val="03457CFC"/>
    <w:rsid w:val="035E6F6D"/>
    <w:rsid w:val="03707410"/>
    <w:rsid w:val="039170C0"/>
    <w:rsid w:val="039240A3"/>
    <w:rsid w:val="03A0770F"/>
    <w:rsid w:val="03A27726"/>
    <w:rsid w:val="03A448B8"/>
    <w:rsid w:val="03B34A78"/>
    <w:rsid w:val="03C01631"/>
    <w:rsid w:val="03C656A9"/>
    <w:rsid w:val="03F33148"/>
    <w:rsid w:val="04074FB1"/>
    <w:rsid w:val="042F3419"/>
    <w:rsid w:val="04406715"/>
    <w:rsid w:val="04491596"/>
    <w:rsid w:val="047B4012"/>
    <w:rsid w:val="04822497"/>
    <w:rsid w:val="04897DBE"/>
    <w:rsid w:val="048E7480"/>
    <w:rsid w:val="04912485"/>
    <w:rsid w:val="04974587"/>
    <w:rsid w:val="049A0C65"/>
    <w:rsid w:val="04A07C4B"/>
    <w:rsid w:val="04DF1036"/>
    <w:rsid w:val="04E24985"/>
    <w:rsid w:val="050C01DF"/>
    <w:rsid w:val="05316537"/>
    <w:rsid w:val="053A5A77"/>
    <w:rsid w:val="0599183C"/>
    <w:rsid w:val="05A97DEC"/>
    <w:rsid w:val="05B23978"/>
    <w:rsid w:val="05C81981"/>
    <w:rsid w:val="05DB7F00"/>
    <w:rsid w:val="05DF3859"/>
    <w:rsid w:val="05FC20B9"/>
    <w:rsid w:val="060043AE"/>
    <w:rsid w:val="060C3203"/>
    <w:rsid w:val="06281344"/>
    <w:rsid w:val="062C3F70"/>
    <w:rsid w:val="062D4EC8"/>
    <w:rsid w:val="068A5878"/>
    <w:rsid w:val="069A210C"/>
    <w:rsid w:val="069B4E4A"/>
    <w:rsid w:val="06A26008"/>
    <w:rsid w:val="06BC41F2"/>
    <w:rsid w:val="06F415CC"/>
    <w:rsid w:val="070E26CD"/>
    <w:rsid w:val="070E48A8"/>
    <w:rsid w:val="07197D08"/>
    <w:rsid w:val="071E5C55"/>
    <w:rsid w:val="075C1FE5"/>
    <w:rsid w:val="077005AB"/>
    <w:rsid w:val="078F4581"/>
    <w:rsid w:val="07A715F3"/>
    <w:rsid w:val="07AA45D1"/>
    <w:rsid w:val="07BF027F"/>
    <w:rsid w:val="07DB04B1"/>
    <w:rsid w:val="07E572F4"/>
    <w:rsid w:val="07F06C60"/>
    <w:rsid w:val="08031A31"/>
    <w:rsid w:val="080E2872"/>
    <w:rsid w:val="08164EB7"/>
    <w:rsid w:val="08251EAA"/>
    <w:rsid w:val="08420CAE"/>
    <w:rsid w:val="08716E9D"/>
    <w:rsid w:val="089A5AE8"/>
    <w:rsid w:val="08A96637"/>
    <w:rsid w:val="08AA0601"/>
    <w:rsid w:val="08BA4530"/>
    <w:rsid w:val="09061A75"/>
    <w:rsid w:val="090E6DE2"/>
    <w:rsid w:val="09182241"/>
    <w:rsid w:val="09325D4D"/>
    <w:rsid w:val="095F1030"/>
    <w:rsid w:val="09774987"/>
    <w:rsid w:val="09855177"/>
    <w:rsid w:val="09A17D47"/>
    <w:rsid w:val="09BF1E8A"/>
    <w:rsid w:val="09C175FE"/>
    <w:rsid w:val="09EE5125"/>
    <w:rsid w:val="09FB6BE7"/>
    <w:rsid w:val="0A3D7585"/>
    <w:rsid w:val="0A462748"/>
    <w:rsid w:val="0A4D0C81"/>
    <w:rsid w:val="0A723E95"/>
    <w:rsid w:val="0A733243"/>
    <w:rsid w:val="0AA534D5"/>
    <w:rsid w:val="0AA650EB"/>
    <w:rsid w:val="0AA7129C"/>
    <w:rsid w:val="0AAF6F0E"/>
    <w:rsid w:val="0AED48FD"/>
    <w:rsid w:val="0AF47339"/>
    <w:rsid w:val="0B0E131B"/>
    <w:rsid w:val="0B121934"/>
    <w:rsid w:val="0B1F4D52"/>
    <w:rsid w:val="0B22594B"/>
    <w:rsid w:val="0B27506F"/>
    <w:rsid w:val="0B3061AD"/>
    <w:rsid w:val="0B620C86"/>
    <w:rsid w:val="0B7F2D66"/>
    <w:rsid w:val="0B9610F4"/>
    <w:rsid w:val="0BBF77A4"/>
    <w:rsid w:val="0BD16C8D"/>
    <w:rsid w:val="0BDF26F7"/>
    <w:rsid w:val="0BED0558"/>
    <w:rsid w:val="0C027DB2"/>
    <w:rsid w:val="0C297E67"/>
    <w:rsid w:val="0C2B4952"/>
    <w:rsid w:val="0C2D3A23"/>
    <w:rsid w:val="0C46133C"/>
    <w:rsid w:val="0C516C55"/>
    <w:rsid w:val="0C5D161C"/>
    <w:rsid w:val="0C7B2220"/>
    <w:rsid w:val="0CB67D83"/>
    <w:rsid w:val="0CCF79BE"/>
    <w:rsid w:val="0CD20599"/>
    <w:rsid w:val="0CE53018"/>
    <w:rsid w:val="0CFD33F5"/>
    <w:rsid w:val="0D0B5B12"/>
    <w:rsid w:val="0D133046"/>
    <w:rsid w:val="0D153F28"/>
    <w:rsid w:val="0D1F14CA"/>
    <w:rsid w:val="0D1F511A"/>
    <w:rsid w:val="0D305390"/>
    <w:rsid w:val="0D3A0F98"/>
    <w:rsid w:val="0D4379A9"/>
    <w:rsid w:val="0D5D37FD"/>
    <w:rsid w:val="0D6A24FF"/>
    <w:rsid w:val="0D6A4502"/>
    <w:rsid w:val="0D701E19"/>
    <w:rsid w:val="0D73052D"/>
    <w:rsid w:val="0D7415CA"/>
    <w:rsid w:val="0D8458C4"/>
    <w:rsid w:val="0D890E47"/>
    <w:rsid w:val="0DC64A00"/>
    <w:rsid w:val="0DC83A03"/>
    <w:rsid w:val="0DCD2251"/>
    <w:rsid w:val="0DCF786E"/>
    <w:rsid w:val="0DEB5FFA"/>
    <w:rsid w:val="0DF75C46"/>
    <w:rsid w:val="0DFC60BA"/>
    <w:rsid w:val="0E045D30"/>
    <w:rsid w:val="0E057FDC"/>
    <w:rsid w:val="0E1C06B2"/>
    <w:rsid w:val="0E35000C"/>
    <w:rsid w:val="0E3E5A73"/>
    <w:rsid w:val="0E69691B"/>
    <w:rsid w:val="0E7900C2"/>
    <w:rsid w:val="0E995AE0"/>
    <w:rsid w:val="0EB868A4"/>
    <w:rsid w:val="0EBB5484"/>
    <w:rsid w:val="0EBD5AA3"/>
    <w:rsid w:val="0EC248F6"/>
    <w:rsid w:val="0F085784"/>
    <w:rsid w:val="0F275B4C"/>
    <w:rsid w:val="0F5723EF"/>
    <w:rsid w:val="0F746C29"/>
    <w:rsid w:val="0F7C5FF6"/>
    <w:rsid w:val="0F9079E9"/>
    <w:rsid w:val="0FBD0C1A"/>
    <w:rsid w:val="0FC53244"/>
    <w:rsid w:val="0FC63FBD"/>
    <w:rsid w:val="0FDD003F"/>
    <w:rsid w:val="0FEB39D9"/>
    <w:rsid w:val="0FF63282"/>
    <w:rsid w:val="0FF87EA4"/>
    <w:rsid w:val="0FFF7484"/>
    <w:rsid w:val="10007DD4"/>
    <w:rsid w:val="100B77ED"/>
    <w:rsid w:val="102121EA"/>
    <w:rsid w:val="102203EB"/>
    <w:rsid w:val="10305890"/>
    <w:rsid w:val="103D5A1A"/>
    <w:rsid w:val="10437371"/>
    <w:rsid w:val="106C564D"/>
    <w:rsid w:val="10767478"/>
    <w:rsid w:val="107B7B8F"/>
    <w:rsid w:val="107C67CE"/>
    <w:rsid w:val="10912D03"/>
    <w:rsid w:val="109D68CB"/>
    <w:rsid w:val="10A949B8"/>
    <w:rsid w:val="10B93BB1"/>
    <w:rsid w:val="10C55FD8"/>
    <w:rsid w:val="10CB4D26"/>
    <w:rsid w:val="11144AFE"/>
    <w:rsid w:val="11200D07"/>
    <w:rsid w:val="11576737"/>
    <w:rsid w:val="116A3F32"/>
    <w:rsid w:val="11786AB5"/>
    <w:rsid w:val="118049D4"/>
    <w:rsid w:val="1182036D"/>
    <w:rsid w:val="118561F8"/>
    <w:rsid w:val="118916FB"/>
    <w:rsid w:val="118A241B"/>
    <w:rsid w:val="11914FAF"/>
    <w:rsid w:val="11A8021A"/>
    <w:rsid w:val="11B21219"/>
    <w:rsid w:val="11B4024C"/>
    <w:rsid w:val="11C6025A"/>
    <w:rsid w:val="11DA73AF"/>
    <w:rsid w:val="11FC1ECD"/>
    <w:rsid w:val="120340A9"/>
    <w:rsid w:val="12253502"/>
    <w:rsid w:val="122B57AA"/>
    <w:rsid w:val="12457C5E"/>
    <w:rsid w:val="124D097B"/>
    <w:rsid w:val="12511265"/>
    <w:rsid w:val="126561B4"/>
    <w:rsid w:val="12744159"/>
    <w:rsid w:val="127A3FFC"/>
    <w:rsid w:val="127D0E25"/>
    <w:rsid w:val="127E0B34"/>
    <w:rsid w:val="1283614B"/>
    <w:rsid w:val="12856FF3"/>
    <w:rsid w:val="129671FB"/>
    <w:rsid w:val="12A576FF"/>
    <w:rsid w:val="12C60D80"/>
    <w:rsid w:val="13002221"/>
    <w:rsid w:val="130523B3"/>
    <w:rsid w:val="13065C60"/>
    <w:rsid w:val="13097496"/>
    <w:rsid w:val="13154AD2"/>
    <w:rsid w:val="131F7A3A"/>
    <w:rsid w:val="1326001B"/>
    <w:rsid w:val="132645D0"/>
    <w:rsid w:val="134312FF"/>
    <w:rsid w:val="13455ABC"/>
    <w:rsid w:val="134E6E6F"/>
    <w:rsid w:val="134F26C3"/>
    <w:rsid w:val="1370322B"/>
    <w:rsid w:val="139176CE"/>
    <w:rsid w:val="13BA0460"/>
    <w:rsid w:val="13BB41AE"/>
    <w:rsid w:val="13C24F9B"/>
    <w:rsid w:val="13C45A18"/>
    <w:rsid w:val="13C9247B"/>
    <w:rsid w:val="13C92A4D"/>
    <w:rsid w:val="13DE55D1"/>
    <w:rsid w:val="13E0285C"/>
    <w:rsid w:val="13FC4407"/>
    <w:rsid w:val="141554C8"/>
    <w:rsid w:val="143B2E0B"/>
    <w:rsid w:val="14637E34"/>
    <w:rsid w:val="147C1943"/>
    <w:rsid w:val="148054E9"/>
    <w:rsid w:val="14861046"/>
    <w:rsid w:val="14892735"/>
    <w:rsid w:val="14906D6C"/>
    <w:rsid w:val="14955E9E"/>
    <w:rsid w:val="14C447F8"/>
    <w:rsid w:val="14CC769D"/>
    <w:rsid w:val="14D764D5"/>
    <w:rsid w:val="14F43330"/>
    <w:rsid w:val="14FC0436"/>
    <w:rsid w:val="14FC1EC2"/>
    <w:rsid w:val="151D010A"/>
    <w:rsid w:val="152138DB"/>
    <w:rsid w:val="152509D7"/>
    <w:rsid w:val="15436F05"/>
    <w:rsid w:val="155541C5"/>
    <w:rsid w:val="15691FE3"/>
    <w:rsid w:val="15763699"/>
    <w:rsid w:val="15802E15"/>
    <w:rsid w:val="158B5DDD"/>
    <w:rsid w:val="15A41986"/>
    <w:rsid w:val="15A524B3"/>
    <w:rsid w:val="15B11221"/>
    <w:rsid w:val="15B4283E"/>
    <w:rsid w:val="15C16EB3"/>
    <w:rsid w:val="15CB76C9"/>
    <w:rsid w:val="15D359D7"/>
    <w:rsid w:val="15D97BC0"/>
    <w:rsid w:val="160E7A2C"/>
    <w:rsid w:val="16111028"/>
    <w:rsid w:val="161F7731"/>
    <w:rsid w:val="16257519"/>
    <w:rsid w:val="163C77BE"/>
    <w:rsid w:val="16573587"/>
    <w:rsid w:val="167911C0"/>
    <w:rsid w:val="1679588C"/>
    <w:rsid w:val="168C2855"/>
    <w:rsid w:val="16903443"/>
    <w:rsid w:val="16994962"/>
    <w:rsid w:val="16A233CF"/>
    <w:rsid w:val="16A71041"/>
    <w:rsid w:val="16A844A2"/>
    <w:rsid w:val="16AA24BF"/>
    <w:rsid w:val="171D3FE1"/>
    <w:rsid w:val="1742794A"/>
    <w:rsid w:val="17680CAB"/>
    <w:rsid w:val="176E4128"/>
    <w:rsid w:val="1783371F"/>
    <w:rsid w:val="178D7563"/>
    <w:rsid w:val="17B61794"/>
    <w:rsid w:val="17C52CBF"/>
    <w:rsid w:val="17C93012"/>
    <w:rsid w:val="17E62B67"/>
    <w:rsid w:val="17F6116D"/>
    <w:rsid w:val="17F9073D"/>
    <w:rsid w:val="180F4499"/>
    <w:rsid w:val="18167A61"/>
    <w:rsid w:val="1818666E"/>
    <w:rsid w:val="181D4023"/>
    <w:rsid w:val="182201B4"/>
    <w:rsid w:val="18221ECE"/>
    <w:rsid w:val="18303840"/>
    <w:rsid w:val="183C3D90"/>
    <w:rsid w:val="18422F56"/>
    <w:rsid w:val="18504A07"/>
    <w:rsid w:val="1859036F"/>
    <w:rsid w:val="186155FB"/>
    <w:rsid w:val="18660328"/>
    <w:rsid w:val="18681814"/>
    <w:rsid w:val="186B56B7"/>
    <w:rsid w:val="18964AD3"/>
    <w:rsid w:val="18B0649B"/>
    <w:rsid w:val="18C8297B"/>
    <w:rsid w:val="18D418FC"/>
    <w:rsid w:val="18ED3A0A"/>
    <w:rsid w:val="18FC7745"/>
    <w:rsid w:val="19027053"/>
    <w:rsid w:val="191677A6"/>
    <w:rsid w:val="19353F17"/>
    <w:rsid w:val="19836A30"/>
    <w:rsid w:val="19DD405E"/>
    <w:rsid w:val="1A460CF5"/>
    <w:rsid w:val="1A7A6BB4"/>
    <w:rsid w:val="1A7F297D"/>
    <w:rsid w:val="1A9B268C"/>
    <w:rsid w:val="1A9D6244"/>
    <w:rsid w:val="1AA722C3"/>
    <w:rsid w:val="1AAF6004"/>
    <w:rsid w:val="1AB16AC1"/>
    <w:rsid w:val="1ABF1CEA"/>
    <w:rsid w:val="1AE12417"/>
    <w:rsid w:val="1AF72677"/>
    <w:rsid w:val="1AF916A0"/>
    <w:rsid w:val="1B014DDE"/>
    <w:rsid w:val="1B0320FB"/>
    <w:rsid w:val="1B034A52"/>
    <w:rsid w:val="1B037D10"/>
    <w:rsid w:val="1B0B13D3"/>
    <w:rsid w:val="1B45344E"/>
    <w:rsid w:val="1B591D2B"/>
    <w:rsid w:val="1B5D76FB"/>
    <w:rsid w:val="1B632FBD"/>
    <w:rsid w:val="1B683578"/>
    <w:rsid w:val="1B8C0040"/>
    <w:rsid w:val="1BBA4E52"/>
    <w:rsid w:val="1BCD10E5"/>
    <w:rsid w:val="1BD9519A"/>
    <w:rsid w:val="1BDE2F66"/>
    <w:rsid w:val="1C167ACF"/>
    <w:rsid w:val="1C2A22B3"/>
    <w:rsid w:val="1C533032"/>
    <w:rsid w:val="1C750ECE"/>
    <w:rsid w:val="1CA56AF4"/>
    <w:rsid w:val="1CE1575A"/>
    <w:rsid w:val="1CF03400"/>
    <w:rsid w:val="1D066E8E"/>
    <w:rsid w:val="1D196139"/>
    <w:rsid w:val="1D2E2708"/>
    <w:rsid w:val="1D3B1C99"/>
    <w:rsid w:val="1D5E02D1"/>
    <w:rsid w:val="1D7B74A7"/>
    <w:rsid w:val="1D7F0ED0"/>
    <w:rsid w:val="1DA31EB7"/>
    <w:rsid w:val="1DA55D97"/>
    <w:rsid w:val="1DBB6100"/>
    <w:rsid w:val="1DBE6816"/>
    <w:rsid w:val="1DC67725"/>
    <w:rsid w:val="1DCB4FF1"/>
    <w:rsid w:val="1DDC11E4"/>
    <w:rsid w:val="1DF5452A"/>
    <w:rsid w:val="1E010AF7"/>
    <w:rsid w:val="1E1C405A"/>
    <w:rsid w:val="1E2E29E0"/>
    <w:rsid w:val="1E301173"/>
    <w:rsid w:val="1E884D18"/>
    <w:rsid w:val="1EAA6E5D"/>
    <w:rsid w:val="1EAC6A29"/>
    <w:rsid w:val="1EBB27C0"/>
    <w:rsid w:val="1ED8781E"/>
    <w:rsid w:val="1EDD3235"/>
    <w:rsid w:val="1EE7283A"/>
    <w:rsid w:val="1F0B3813"/>
    <w:rsid w:val="1F1102B0"/>
    <w:rsid w:val="1F2F1047"/>
    <w:rsid w:val="1F43381C"/>
    <w:rsid w:val="1F4477FA"/>
    <w:rsid w:val="1F752F47"/>
    <w:rsid w:val="1F7D6A3D"/>
    <w:rsid w:val="1F8359DC"/>
    <w:rsid w:val="1F8A4FBC"/>
    <w:rsid w:val="1FA4148D"/>
    <w:rsid w:val="1FC10FAB"/>
    <w:rsid w:val="1FC65577"/>
    <w:rsid w:val="1FD82385"/>
    <w:rsid w:val="20121621"/>
    <w:rsid w:val="20137213"/>
    <w:rsid w:val="201636E2"/>
    <w:rsid w:val="202E3F6D"/>
    <w:rsid w:val="2032134B"/>
    <w:rsid w:val="20325F7E"/>
    <w:rsid w:val="20437A56"/>
    <w:rsid w:val="204778E7"/>
    <w:rsid w:val="204E554F"/>
    <w:rsid w:val="20546774"/>
    <w:rsid w:val="20590035"/>
    <w:rsid w:val="207B4905"/>
    <w:rsid w:val="2080575F"/>
    <w:rsid w:val="20851B47"/>
    <w:rsid w:val="209A2C3D"/>
    <w:rsid w:val="20D364EF"/>
    <w:rsid w:val="20E5011E"/>
    <w:rsid w:val="20FC799E"/>
    <w:rsid w:val="21286DA7"/>
    <w:rsid w:val="2134683B"/>
    <w:rsid w:val="21623BED"/>
    <w:rsid w:val="21627873"/>
    <w:rsid w:val="21677220"/>
    <w:rsid w:val="21C82E72"/>
    <w:rsid w:val="21DE0801"/>
    <w:rsid w:val="21DE339D"/>
    <w:rsid w:val="22154DDD"/>
    <w:rsid w:val="221D4DB5"/>
    <w:rsid w:val="22327245"/>
    <w:rsid w:val="22336873"/>
    <w:rsid w:val="22396826"/>
    <w:rsid w:val="223A7D4B"/>
    <w:rsid w:val="225471A3"/>
    <w:rsid w:val="225E34DC"/>
    <w:rsid w:val="227D1295"/>
    <w:rsid w:val="229B678A"/>
    <w:rsid w:val="22AB3B7D"/>
    <w:rsid w:val="22AF3A08"/>
    <w:rsid w:val="22F92F75"/>
    <w:rsid w:val="23164DB9"/>
    <w:rsid w:val="232807AB"/>
    <w:rsid w:val="23405992"/>
    <w:rsid w:val="235E49EB"/>
    <w:rsid w:val="236C1630"/>
    <w:rsid w:val="23775858"/>
    <w:rsid w:val="239634D6"/>
    <w:rsid w:val="239E037C"/>
    <w:rsid w:val="23B65725"/>
    <w:rsid w:val="23BB4E7D"/>
    <w:rsid w:val="23C172D6"/>
    <w:rsid w:val="23CB1286"/>
    <w:rsid w:val="23D77537"/>
    <w:rsid w:val="23E6195D"/>
    <w:rsid w:val="23F04F64"/>
    <w:rsid w:val="24257892"/>
    <w:rsid w:val="242654AA"/>
    <w:rsid w:val="244119C2"/>
    <w:rsid w:val="24814CBE"/>
    <w:rsid w:val="248D4C07"/>
    <w:rsid w:val="24AC168B"/>
    <w:rsid w:val="24BB6664"/>
    <w:rsid w:val="24D34D10"/>
    <w:rsid w:val="24EC64CB"/>
    <w:rsid w:val="250E1318"/>
    <w:rsid w:val="25103738"/>
    <w:rsid w:val="251B6BFD"/>
    <w:rsid w:val="251B7FA6"/>
    <w:rsid w:val="25227FFF"/>
    <w:rsid w:val="253F46D8"/>
    <w:rsid w:val="254D0389"/>
    <w:rsid w:val="25553A68"/>
    <w:rsid w:val="255A49A8"/>
    <w:rsid w:val="25695674"/>
    <w:rsid w:val="25724B1D"/>
    <w:rsid w:val="25884C5D"/>
    <w:rsid w:val="258C3BEC"/>
    <w:rsid w:val="25A03144"/>
    <w:rsid w:val="25B2479F"/>
    <w:rsid w:val="25C15C5D"/>
    <w:rsid w:val="25CC175F"/>
    <w:rsid w:val="25D329B9"/>
    <w:rsid w:val="25E5427A"/>
    <w:rsid w:val="261849A4"/>
    <w:rsid w:val="26276A31"/>
    <w:rsid w:val="26366F9D"/>
    <w:rsid w:val="263B1230"/>
    <w:rsid w:val="2642752B"/>
    <w:rsid w:val="26485508"/>
    <w:rsid w:val="26554808"/>
    <w:rsid w:val="265C6F87"/>
    <w:rsid w:val="265E685B"/>
    <w:rsid w:val="26607D95"/>
    <w:rsid w:val="26700955"/>
    <w:rsid w:val="26864004"/>
    <w:rsid w:val="26A16AE9"/>
    <w:rsid w:val="26A605D9"/>
    <w:rsid w:val="26AA5F44"/>
    <w:rsid w:val="26AD0500"/>
    <w:rsid w:val="26B121A3"/>
    <w:rsid w:val="26B859A7"/>
    <w:rsid w:val="26E464C3"/>
    <w:rsid w:val="26E92E35"/>
    <w:rsid w:val="26FE1DEC"/>
    <w:rsid w:val="27076787"/>
    <w:rsid w:val="272E3097"/>
    <w:rsid w:val="272E6F74"/>
    <w:rsid w:val="27384AB7"/>
    <w:rsid w:val="273B7A3B"/>
    <w:rsid w:val="27532679"/>
    <w:rsid w:val="27541040"/>
    <w:rsid w:val="27616FE8"/>
    <w:rsid w:val="277E6655"/>
    <w:rsid w:val="2780046C"/>
    <w:rsid w:val="27933DEA"/>
    <w:rsid w:val="27A232CA"/>
    <w:rsid w:val="27B36A67"/>
    <w:rsid w:val="27B61DAC"/>
    <w:rsid w:val="27BE5E11"/>
    <w:rsid w:val="27D9633F"/>
    <w:rsid w:val="27EA4896"/>
    <w:rsid w:val="27F531EF"/>
    <w:rsid w:val="280B2E27"/>
    <w:rsid w:val="281E404F"/>
    <w:rsid w:val="28302479"/>
    <w:rsid w:val="2846581F"/>
    <w:rsid w:val="284A5CA4"/>
    <w:rsid w:val="286550ED"/>
    <w:rsid w:val="286602C8"/>
    <w:rsid w:val="28665C95"/>
    <w:rsid w:val="28736F5F"/>
    <w:rsid w:val="28B01D1E"/>
    <w:rsid w:val="28C2628C"/>
    <w:rsid w:val="28CC3373"/>
    <w:rsid w:val="28E219C5"/>
    <w:rsid w:val="28F47F99"/>
    <w:rsid w:val="28F579BA"/>
    <w:rsid w:val="28FB4835"/>
    <w:rsid w:val="290B3EB9"/>
    <w:rsid w:val="292728C1"/>
    <w:rsid w:val="292827E1"/>
    <w:rsid w:val="294E392A"/>
    <w:rsid w:val="2950768C"/>
    <w:rsid w:val="297A5FC4"/>
    <w:rsid w:val="29916F47"/>
    <w:rsid w:val="29B51252"/>
    <w:rsid w:val="29C410CB"/>
    <w:rsid w:val="29E14657"/>
    <w:rsid w:val="29E474B8"/>
    <w:rsid w:val="29ED574B"/>
    <w:rsid w:val="29F64FFC"/>
    <w:rsid w:val="29FA2D3E"/>
    <w:rsid w:val="29FE5CE6"/>
    <w:rsid w:val="2A1C2CB5"/>
    <w:rsid w:val="2A1C2D11"/>
    <w:rsid w:val="2A225DF1"/>
    <w:rsid w:val="2A2B114A"/>
    <w:rsid w:val="2A743AE8"/>
    <w:rsid w:val="2A8D4F8F"/>
    <w:rsid w:val="2A917B34"/>
    <w:rsid w:val="2A9308A8"/>
    <w:rsid w:val="2A9F5AB8"/>
    <w:rsid w:val="2AA50EF4"/>
    <w:rsid w:val="2AB04FE8"/>
    <w:rsid w:val="2AB10C99"/>
    <w:rsid w:val="2AC13AEE"/>
    <w:rsid w:val="2AC86999"/>
    <w:rsid w:val="2AD74E8C"/>
    <w:rsid w:val="2AE3766F"/>
    <w:rsid w:val="2AEC612E"/>
    <w:rsid w:val="2B0268A7"/>
    <w:rsid w:val="2B060F9E"/>
    <w:rsid w:val="2B0D4CF3"/>
    <w:rsid w:val="2B0E56AB"/>
    <w:rsid w:val="2B51141C"/>
    <w:rsid w:val="2B590601"/>
    <w:rsid w:val="2B710DB7"/>
    <w:rsid w:val="2B7408CF"/>
    <w:rsid w:val="2B7E4054"/>
    <w:rsid w:val="2B8E1990"/>
    <w:rsid w:val="2BBA6A76"/>
    <w:rsid w:val="2BCC03D1"/>
    <w:rsid w:val="2BD31A99"/>
    <w:rsid w:val="2BDF1FBA"/>
    <w:rsid w:val="2C092ACA"/>
    <w:rsid w:val="2C0C6D59"/>
    <w:rsid w:val="2C5B0D4B"/>
    <w:rsid w:val="2C8903AA"/>
    <w:rsid w:val="2C987C56"/>
    <w:rsid w:val="2CA156F3"/>
    <w:rsid w:val="2CC11460"/>
    <w:rsid w:val="2CC15BAA"/>
    <w:rsid w:val="2CC72A61"/>
    <w:rsid w:val="2CDC3153"/>
    <w:rsid w:val="2CDF621C"/>
    <w:rsid w:val="2CE136D7"/>
    <w:rsid w:val="2CFE7A11"/>
    <w:rsid w:val="2CFF149A"/>
    <w:rsid w:val="2D0624DF"/>
    <w:rsid w:val="2D201865"/>
    <w:rsid w:val="2D2B1461"/>
    <w:rsid w:val="2D2B6EDE"/>
    <w:rsid w:val="2D437777"/>
    <w:rsid w:val="2D4B5CEA"/>
    <w:rsid w:val="2D4C5B4C"/>
    <w:rsid w:val="2D542188"/>
    <w:rsid w:val="2D652658"/>
    <w:rsid w:val="2D964A56"/>
    <w:rsid w:val="2DB37703"/>
    <w:rsid w:val="2DC16E0A"/>
    <w:rsid w:val="2DC80C49"/>
    <w:rsid w:val="2DCA6355"/>
    <w:rsid w:val="2DDE5766"/>
    <w:rsid w:val="2DDE6BE5"/>
    <w:rsid w:val="2DE9306E"/>
    <w:rsid w:val="2E030E17"/>
    <w:rsid w:val="2E166748"/>
    <w:rsid w:val="2E2054A0"/>
    <w:rsid w:val="2E482374"/>
    <w:rsid w:val="2E491580"/>
    <w:rsid w:val="2E556F01"/>
    <w:rsid w:val="2E7F543C"/>
    <w:rsid w:val="2E8345A7"/>
    <w:rsid w:val="2E8E20B4"/>
    <w:rsid w:val="2EAA7BAE"/>
    <w:rsid w:val="2EC1207D"/>
    <w:rsid w:val="2ED06066"/>
    <w:rsid w:val="2ED1223D"/>
    <w:rsid w:val="2F000139"/>
    <w:rsid w:val="2F1B303D"/>
    <w:rsid w:val="2F3E36CD"/>
    <w:rsid w:val="2F3F11F4"/>
    <w:rsid w:val="2F522CD5"/>
    <w:rsid w:val="2F5E0754"/>
    <w:rsid w:val="2F9F42DC"/>
    <w:rsid w:val="2FBB4121"/>
    <w:rsid w:val="2FBC2844"/>
    <w:rsid w:val="2FBE3786"/>
    <w:rsid w:val="2FC32F68"/>
    <w:rsid w:val="2FD6418B"/>
    <w:rsid w:val="2FDF1D56"/>
    <w:rsid w:val="2FF37AB3"/>
    <w:rsid w:val="30210B8A"/>
    <w:rsid w:val="30224DC7"/>
    <w:rsid w:val="303B4C3F"/>
    <w:rsid w:val="3073310C"/>
    <w:rsid w:val="30980BBB"/>
    <w:rsid w:val="309D6BE6"/>
    <w:rsid w:val="30AA1790"/>
    <w:rsid w:val="30BA3403"/>
    <w:rsid w:val="30E6401D"/>
    <w:rsid w:val="30EE385E"/>
    <w:rsid w:val="30F85AFE"/>
    <w:rsid w:val="31031402"/>
    <w:rsid w:val="31170995"/>
    <w:rsid w:val="31264A30"/>
    <w:rsid w:val="312651F8"/>
    <w:rsid w:val="314174A5"/>
    <w:rsid w:val="31862EE3"/>
    <w:rsid w:val="31884E67"/>
    <w:rsid w:val="318E0F57"/>
    <w:rsid w:val="31A0275E"/>
    <w:rsid w:val="31A67308"/>
    <w:rsid w:val="31AF440F"/>
    <w:rsid w:val="31B91526"/>
    <w:rsid w:val="31BA7402"/>
    <w:rsid w:val="31D12C3D"/>
    <w:rsid w:val="31EF0041"/>
    <w:rsid w:val="320107F5"/>
    <w:rsid w:val="324175CB"/>
    <w:rsid w:val="325D20BC"/>
    <w:rsid w:val="326A0524"/>
    <w:rsid w:val="327B7EDF"/>
    <w:rsid w:val="3287538B"/>
    <w:rsid w:val="3296737C"/>
    <w:rsid w:val="32AB70C5"/>
    <w:rsid w:val="32BA306B"/>
    <w:rsid w:val="32EF2122"/>
    <w:rsid w:val="32F17F41"/>
    <w:rsid w:val="330B6B63"/>
    <w:rsid w:val="332038B4"/>
    <w:rsid w:val="33240E2C"/>
    <w:rsid w:val="33247607"/>
    <w:rsid w:val="333014B0"/>
    <w:rsid w:val="33427CD9"/>
    <w:rsid w:val="335D0AF5"/>
    <w:rsid w:val="336570B8"/>
    <w:rsid w:val="336917EF"/>
    <w:rsid w:val="336B2EA4"/>
    <w:rsid w:val="336B3E67"/>
    <w:rsid w:val="3370088C"/>
    <w:rsid w:val="33813D19"/>
    <w:rsid w:val="33872039"/>
    <w:rsid w:val="339A687B"/>
    <w:rsid w:val="33D25689"/>
    <w:rsid w:val="33DC2F78"/>
    <w:rsid w:val="34103DF6"/>
    <w:rsid w:val="34192013"/>
    <w:rsid w:val="3428227C"/>
    <w:rsid w:val="343230D5"/>
    <w:rsid w:val="3439428E"/>
    <w:rsid w:val="34571EF7"/>
    <w:rsid w:val="34686BBF"/>
    <w:rsid w:val="347918A5"/>
    <w:rsid w:val="34802E4C"/>
    <w:rsid w:val="349D37D5"/>
    <w:rsid w:val="34A61BDE"/>
    <w:rsid w:val="34AF2977"/>
    <w:rsid w:val="34B561E0"/>
    <w:rsid w:val="34BB7B5F"/>
    <w:rsid w:val="34FD36E3"/>
    <w:rsid w:val="3522586C"/>
    <w:rsid w:val="355303D6"/>
    <w:rsid w:val="35572473"/>
    <w:rsid w:val="35602226"/>
    <w:rsid w:val="35645FFF"/>
    <w:rsid w:val="356B72E7"/>
    <w:rsid w:val="356D2AC8"/>
    <w:rsid w:val="3572424F"/>
    <w:rsid w:val="35734CF3"/>
    <w:rsid w:val="35866014"/>
    <w:rsid w:val="359E5CE0"/>
    <w:rsid w:val="35AB75E3"/>
    <w:rsid w:val="35D275C3"/>
    <w:rsid w:val="35E50FBB"/>
    <w:rsid w:val="35FF0568"/>
    <w:rsid w:val="362B215D"/>
    <w:rsid w:val="366666CA"/>
    <w:rsid w:val="367070F4"/>
    <w:rsid w:val="367801A9"/>
    <w:rsid w:val="36807FCC"/>
    <w:rsid w:val="36921BCD"/>
    <w:rsid w:val="36AD519D"/>
    <w:rsid w:val="36B57705"/>
    <w:rsid w:val="36B93E53"/>
    <w:rsid w:val="36DC1DD3"/>
    <w:rsid w:val="36F3711D"/>
    <w:rsid w:val="36FC25DD"/>
    <w:rsid w:val="36FC3865"/>
    <w:rsid w:val="37090CD6"/>
    <w:rsid w:val="37122320"/>
    <w:rsid w:val="373249C5"/>
    <w:rsid w:val="3754697A"/>
    <w:rsid w:val="37636A21"/>
    <w:rsid w:val="376712E7"/>
    <w:rsid w:val="37742F8A"/>
    <w:rsid w:val="377C03A4"/>
    <w:rsid w:val="37A103ED"/>
    <w:rsid w:val="37A367C3"/>
    <w:rsid w:val="37BD33EE"/>
    <w:rsid w:val="37C5022A"/>
    <w:rsid w:val="37CD1A92"/>
    <w:rsid w:val="37DB68CB"/>
    <w:rsid w:val="37E02B23"/>
    <w:rsid w:val="37E345A6"/>
    <w:rsid w:val="37EA5E6E"/>
    <w:rsid w:val="37EC6A58"/>
    <w:rsid w:val="37FB2268"/>
    <w:rsid w:val="37FF016F"/>
    <w:rsid w:val="38172D0E"/>
    <w:rsid w:val="382A6E2D"/>
    <w:rsid w:val="38415FDC"/>
    <w:rsid w:val="38600F6C"/>
    <w:rsid w:val="386E4145"/>
    <w:rsid w:val="387C5ABE"/>
    <w:rsid w:val="38883C0B"/>
    <w:rsid w:val="38B66D0C"/>
    <w:rsid w:val="38BA148C"/>
    <w:rsid w:val="38D41643"/>
    <w:rsid w:val="38EA2AE8"/>
    <w:rsid w:val="38EB6119"/>
    <w:rsid w:val="39044996"/>
    <w:rsid w:val="39243934"/>
    <w:rsid w:val="392C6D9B"/>
    <w:rsid w:val="393B020C"/>
    <w:rsid w:val="39506E15"/>
    <w:rsid w:val="396678D9"/>
    <w:rsid w:val="39790BE6"/>
    <w:rsid w:val="397A0ADB"/>
    <w:rsid w:val="397B107A"/>
    <w:rsid w:val="39844799"/>
    <w:rsid w:val="39954B2B"/>
    <w:rsid w:val="39DA2245"/>
    <w:rsid w:val="39E66E3B"/>
    <w:rsid w:val="39F72DF7"/>
    <w:rsid w:val="39FD4CC2"/>
    <w:rsid w:val="3A296F45"/>
    <w:rsid w:val="3A433BC0"/>
    <w:rsid w:val="3A51228C"/>
    <w:rsid w:val="3A545E48"/>
    <w:rsid w:val="3A552E60"/>
    <w:rsid w:val="3A5D642F"/>
    <w:rsid w:val="3A744447"/>
    <w:rsid w:val="3A78219D"/>
    <w:rsid w:val="3A995C5C"/>
    <w:rsid w:val="3AB210FC"/>
    <w:rsid w:val="3ACA4067"/>
    <w:rsid w:val="3AD4275C"/>
    <w:rsid w:val="3ADB7381"/>
    <w:rsid w:val="3AF04A37"/>
    <w:rsid w:val="3B043A1D"/>
    <w:rsid w:val="3B1E01C3"/>
    <w:rsid w:val="3B362E8C"/>
    <w:rsid w:val="3B3E5B8A"/>
    <w:rsid w:val="3B664D91"/>
    <w:rsid w:val="3B793A48"/>
    <w:rsid w:val="3B7E3699"/>
    <w:rsid w:val="3B85393E"/>
    <w:rsid w:val="3BA66882"/>
    <w:rsid w:val="3BB371F1"/>
    <w:rsid w:val="3BCA4B8A"/>
    <w:rsid w:val="3BCD72F7"/>
    <w:rsid w:val="3BFC2F5F"/>
    <w:rsid w:val="3C232710"/>
    <w:rsid w:val="3C355C54"/>
    <w:rsid w:val="3C37146A"/>
    <w:rsid w:val="3C3D3625"/>
    <w:rsid w:val="3C414142"/>
    <w:rsid w:val="3C5B725E"/>
    <w:rsid w:val="3C84047F"/>
    <w:rsid w:val="3C88055A"/>
    <w:rsid w:val="3C9E57AB"/>
    <w:rsid w:val="3CAF79B9"/>
    <w:rsid w:val="3CB35097"/>
    <w:rsid w:val="3CF5701D"/>
    <w:rsid w:val="3CF737A2"/>
    <w:rsid w:val="3D10295A"/>
    <w:rsid w:val="3D121CF5"/>
    <w:rsid w:val="3D184041"/>
    <w:rsid w:val="3D370C2A"/>
    <w:rsid w:val="3D414FC0"/>
    <w:rsid w:val="3D4F12A7"/>
    <w:rsid w:val="3D5D5FB0"/>
    <w:rsid w:val="3D762284"/>
    <w:rsid w:val="3D790934"/>
    <w:rsid w:val="3D7B5F78"/>
    <w:rsid w:val="3D7D049C"/>
    <w:rsid w:val="3D8449A1"/>
    <w:rsid w:val="3DD716B3"/>
    <w:rsid w:val="3DE063BD"/>
    <w:rsid w:val="3DE20EAE"/>
    <w:rsid w:val="3DEF3701"/>
    <w:rsid w:val="3E0572FD"/>
    <w:rsid w:val="3E0720FE"/>
    <w:rsid w:val="3E2819F6"/>
    <w:rsid w:val="3E287A22"/>
    <w:rsid w:val="3E5A7FE7"/>
    <w:rsid w:val="3E7D40EF"/>
    <w:rsid w:val="3E955A6A"/>
    <w:rsid w:val="3E964D81"/>
    <w:rsid w:val="3EA03A5D"/>
    <w:rsid w:val="3EA11583"/>
    <w:rsid w:val="3EA55DCA"/>
    <w:rsid w:val="3ED907E0"/>
    <w:rsid w:val="3EE51414"/>
    <w:rsid w:val="3EED24A3"/>
    <w:rsid w:val="3EF66B2E"/>
    <w:rsid w:val="3F217914"/>
    <w:rsid w:val="3F3643C1"/>
    <w:rsid w:val="3F744EE9"/>
    <w:rsid w:val="3FD10810"/>
    <w:rsid w:val="3FD70BB0"/>
    <w:rsid w:val="3FDF5517"/>
    <w:rsid w:val="3FE45BCB"/>
    <w:rsid w:val="3FF77E17"/>
    <w:rsid w:val="3FFB2F15"/>
    <w:rsid w:val="3FFB55AC"/>
    <w:rsid w:val="40017152"/>
    <w:rsid w:val="40162BAB"/>
    <w:rsid w:val="401C5F9D"/>
    <w:rsid w:val="401C690C"/>
    <w:rsid w:val="401D7195"/>
    <w:rsid w:val="405C1C05"/>
    <w:rsid w:val="40645645"/>
    <w:rsid w:val="407A652F"/>
    <w:rsid w:val="40825D97"/>
    <w:rsid w:val="40836C36"/>
    <w:rsid w:val="40870EA3"/>
    <w:rsid w:val="408966EF"/>
    <w:rsid w:val="409928E7"/>
    <w:rsid w:val="40997CFE"/>
    <w:rsid w:val="40C34607"/>
    <w:rsid w:val="40CE3DC0"/>
    <w:rsid w:val="40D7455A"/>
    <w:rsid w:val="40E743E5"/>
    <w:rsid w:val="40EB4012"/>
    <w:rsid w:val="41075C9E"/>
    <w:rsid w:val="410A1661"/>
    <w:rsid w:val="410F2828"/>
    <w:rsid w:val="412D5EA0"/>
    <w:rsid w:val="414C2FD9"/>
    <w:rsid w:val="415A62F5"/>
    <w:rsid w:val="416D78C7"/>
    <w:rsid w:val="41734CBA"/>
    <w:rsid w:val="417F4E1A"/>
    <w:rsid w:val="418B0C8A"/>
    <w:rsid w:val="41A82190"/>
    <w:rsid w:val="41DE5999"/>
    <w:rsid w:val="41E1181A"/>
    <w:rsid w:val="41E32A20"/>
    <w:rsid w:val="41FA3241"/>
    <w:rsid w:val="420F7A65"/>
    <w:rsid w:val="4216611A"/>
    <w:rsid w:val="42220C2D"/>
    <w:rsid w:val="422E62A5"/>
    <w:rsid w:val="42321B6A"/>
    <w:rsid w:val="423619A3"/>
    <w:rsid w:val="423E300F"/>
    <w:rsid w:val="425656C8"/>
    <w:rsid w:val="4257273C"/>
    <w:rsid w:val="42687ACE"/>
    <w:rsid w:val="4270145E"/>
    <w:rsid w:val="427F6631"/>
    <w:rsid w:val="428D7381"/>
    <w:rsid w:val="429E6041"/>
    <w:rsid w:val="42B67C1B"/>
    <w:rsid w:val="42BF4B02"/>
    <w:rsid w:val="42FD694D"/>
    <w:rsid w:val="43034DFA"/>
    <w:rsid w:val="430B16C1"/>
    <w:rsid w:val="43352ACB"/>
    <w:rsid w:val="434210FC"/>
    <w:rsid w:val="43760EAB"/>
    <w:rsid w:val="437D6687"/>
    <w:rsid w:val="438351F5"/>
    <w:rsid w:val="438D35EA"/>
    <w:rsid w:val="43A0005B"/>
    <w:rsid w:val="43BC1E57"/>
    <w:rsid w:val="43BC439B"/>
    <w:rsid w:val="43D23F8D"/>
    <w:rsid w:val="43D43F1D"/>
    <w:rsid w:val="43D63A7D"/>
    <w:rsid w:val="43FA5777"/>
    <w:rsid w:val="44023422"/>
    <w:rsid w:val="44184A2D"/>
    <w:rsid w:val="441C1611"/>
    <w:rsid w:val="44290050"/>
    <w:rsid w:val="443C440B"/>
    <w:rsid w:val="44514F52"/>
    <w:rsid w:val="446F16D3"/>
    <w:rsid w:val="44761C8F"/>
    <w:rsid w:val="448D3D2F"/>
    <w:rsid w:val="449722E3"/>
    <w:rsid w:val="449D7B09"/>
    <w:rsid w:val="44AE3FD4"/>
    <w:rsid w:val="44CC0C37"/>
    <w:rsid w:val="44CD30D2"/>
    <w:rsid w:val="44D0586F"/>
    <w:rsid w:val="44FA2D53"/>
    <w:rsid w:val="4527575A"/>
    <w:rsid w:val="45390767"/>
    <w:rsid w:val="453942C3"/>
    <w:rsid w:val="453C4912"/>
    <w:rsid w:val="45687813"/>
    <w:rsid w:val="4571374F"/>
    <w:rsid w:val="458B1BB0"/>
    <w:rsid w:val="458C33C1"/>
    <w:rsid w:val="45A41560"/>
    <w:rsid w:val="45AD31D6"/>
    <w:rsid w:val="45B93426"/>
    <w:rsid w:val="45BD3146"/>
    <w:rsid w:val="45CF1361"/>
    <w:rsid w:val="462F612A"/>
    <w:rsid w:val="464C6420"/>
    <w:rsid w:val="46552F9B"/>
    <w:rsid w:val="466F7C95"/>
    <w:rsid w:val="467A0297"/>
    <w:rsid w:val="468679DC"/>
    <w:rsid w:val="468B7125"/>
    <w:rsid w:val="46B506EF"/>
    <w:rsid w:val="46C4691F"/>
    <w:rsid w:val="46C525FE"/>
    <w:rsid w:val="46CB53EF"/>
    <w:rsid w:val="46EE513F"/>
    <w:rsid w:val="470F5A71"/>
    <w:rsid w:val="473154FF"/>
    <w:rsid w:val="47372A84"/>
    <w:rsid w:val="47685427"/>
    <w:rsid w:val="476C4065"/>
    <w:rsid w:val="476D294A"/>
    <w:rsid w:val="4779499C"/>
    <w:rsid w:val="477B6530"/>
    <w:rsid w:val="47801172"/>
    <w:rsid w:val="479D1D34"/>
    <w:rsid w:val="47B609C0"/>
    <w:rsid w:val="47EC3B04"/>
    <w:rsid w:val="47EC6277"/>
    <w:rsid w:val="48021483"/>
    <w:rsid w:val="481A219B"/>
    <w:rsid w:val="481E59F2"/>
    <w:rsid w:val="482254E2"/>
    <w:rsid w:val="482A25E9"/>
    <w:rsid w:val="482D31EA"/>
    <w:rsid w:val="483F7A5A"/>
    <w:rsid w:val="48403CD8"/>
    <w:rsid w:val="48447D02"/>
    <w:rsid w:val="485853A8"/>
    <w:rsid w:val="485970A0"/>
    <w:rsid w:val="48643D4D"/>
    <w:rsid w:val="486A6E89"/>
    <w:rsid w:val="48823516"/>
    <w:rsid w:val="48877686"/>
    <w:rsid w:val="488B498B"/>
    <w:rsid w:val="48B176C2"/>
    <w:rsid w:val="48B65C71"/>
    <w:rsid w:val="48D550F0"/>
    <w:rsid w:val="48E83DF3"/>
    <w:rsid w:val="48FB1909"/>
    <w:rsid w:val="491F266E"/>
    <w:rsid w:val="492E6A57"/>
    <w:rsid w:val="495839AA"/>
    <w:rsid w:val="49700A6F"/>
    <w:rsid w:val="49771AFE"/>
    <w:rsid w:val="497A75A0"/>
    <w:rsid w:val="49802948"/>
    <w:rsid w:val="4986089F"/>
    <w:rsid w:val="498B5309"/>
    <w:rsid w:val="499F0AAB"/>
    <w:rsid w:val="49C154CE"/>
    <w:rsid w:val="49C33FF5"/>
    <w:rsid w:val="49D93387"/>
    <w:rsid w:val="49DB11EC"/>
    <w:rsid w:val="49E31DD1"/>
    <w:rsid w:val="4A0030EE"/>
    <w:rsid w:val="4A0568D6"/>
    <w:rsid w:val="4A0C4F3C"/>
    <w:rsid w:val="4A162478"/>
    <w:rsid w:val="4A171EC9"/>
    <w:rsid w:val="4A1A1689"/>
    <w:rsid w:val="4A1D4B49"/>
    <w:rsid w:val="4A484D41"/>
    <w:rsid w:val="4A606EBB"/>
    <w:rsid w:val="4A6D15F8"/>
    <w:rsid w:val="4A7617B6"/>
    <w:rsid w:val="4A8C4FB8"/>
    <w:rsid w:val="4A9A25BD"/>
    <w:rsid w:val="4A9E0551"/>
    <w:rsid w:val="4AB542AE"/>
    <w:rsid w:val="4AF72FEA"/>
    <w:rsid w:val="4B1477B3"/>
    <w:rsid w:val="4B1F062C"/>
    <w:rsid w:val="4B243D9D"/>
    <w:rsid w:val="4B281425"/>
    <w:rsid w:val="4B29658A"/>
    <w:rsid w:val="4B6F66A1"/>
    <w:rsid w:val="4B85213F"/>
    <w:rsid w:val="4B8C2DEB"/>
    <w:rsid w:val="4B8F5DC2"/>
    <w:rsid w:val="4B966D92"/>
    <w:rsid w:val="4BD016F9"/>
    <w:rsid w:val="4BFA3C9F"/>
    <w:rsid w:val="4BFA7F6C"/>
    <w:rsid w:val="4BFF3E23"/>
    <w:rsid w:val="4C107F48"/>
    <w:rsid w:val="4C3117D0"/>
    <w:rsid w:val="4C3277BC"/>
    <w:rsid w:val="4C414F41"/>
    <w:rsid w:val="4C5C442D"/>
    <w:rsid w:val="4C6562E6"/>
    <w:rsid w:val="4C6D42A9"/>
    <w:rsid w:val="4C716A38"/>
    <w:rsid w:val="4CC0351C"/>
    <w:rsid w:val="4CC353EB"/>
    <w:rsid w:val="4CE64E14"/>
    <w:rsid w:val="4CE95763"/>
    <w:rsid w:val="4CE95EE5"/>
    <w:rsid w:val="4CF36F3C"/>
    <w:rsid w:val="4CF3744D"/>
    <w:rsid w:val="4D007BC8"/>
    <w:rsid w:val="4D0602E5"/>
    <w:rsid w:val="4D1470BD"/>
    <w:rsid w:val="4D154882"/>
    <w:rsid w:val="4D1C3C50"/>
    <w:rsid w:val="4D220AF6"/>
    <w:rsid w:val="4D4E0B28"/>
    <w:rsid w:val="4D603399"/>
    <w:rsid w:val="4D6A7284"/>
    <w:rsid w:val="4D6E30E1"/>
    <w:rsid w:val="4D867EE1"/>
    <w:rsid w:val="4D884895"/>
    <w:rsid w:val="4DB27309"/>
    <w:rsid w:val="4DBC1F35"/>
    <w:rsid w:val="4DBC4C65"/>
    <w:rsid w:val="4DC6360B"/>
    <w:rsid w:val="4DC9105D"/>
    <w:rsid w:val="4DDC3853"/>
    <w:rsid w:val="4DE2009B"/>
    <w:rsid w:val="4DF86974"/>
    <w:rsid w:val="4E0F235E"/>
    <w:rsid w:val="4E157689"/>
    <w:rsid w:val="4E265601"/>
    <w:rsid w:val="4E471216"/>
    <w:rsid w:val="4E533FA5"/>
    <w:rsid w:val="4E550010"/>
    <w:rsid w:val="4E5F14CB"/>
    <w:rsid w:val="4E656CF6"/>
    <w:rsid w:val="4E6808B0"/>
    <w:rsid w:val="4E780BC4"/>
    <w:rsid w:val="4EBA42F2"/>
    <w:rsid w:val="4EC00DDD"/>
    <w:rsid w:val="4ED908C5"/>
    <w:rsid w:val="4EF265BE"/>
    <w:rsid w:val="4EFB1C45"/>
    <w:rsid w:val="4F0C2A48"/>
    <w:rsid w:val="4F212511"/>
    <w:rsid w:val="4F26273B"/>
    <w:rsid w:val="4F2D3A8A"/>
    <w:rsid w:val="4F32478A"/>
    <w:rsid w:val="4F3705F8"/>
    <w:rsid w:val="4F442421"/>
    <w:rsid w:val="4F493C9D"/>
    <w:rsid w:val="4F5D292B"/>
    <w:rsid w:val="4F913A9A"/>
    <w:rsid w:val="4F9714A0"/>
    <w:rsid w:val="4FA15035"/>
    <w:rsid w:val="4FAA3F91"/>
    <w:rsid w:val="4FAC3540"/>
    <w:rsid w:val="4FB56C3C"/>
    <w:rsid w:val="4FCF1583"/>
    <w:rsid w:val="4FD23E66"/>
    <w:rsid w:val="4FD44D1B"/>
    <w:rsid w:val="4FDC066D"/>
    <w:rsid w:val="4FFA7625"/>
    <w:rsid w:val="501F0559"/>
    <w:rsid w:val="501F49FD"/>
    <w:rsid w:val="50245B70"/>
    <w:rsid w:val="50453E7E"/>
    <w:rsid w:val="504E50E8"/>
    <w:rsid w:val="50594CF7"/>
    <w:rsid w:val="507D2599"/>
    <w:rsid w:val="508D31AF"/>
    <w:rsid w:val="508D37BE"/>
    <w:rsid w:val="5096229D"/>
    <w:rsid w:val="509E157D"/>
    <w:rsid w:val="50A6165E"/>
    <w:rsid w:val="50B57674"/>
    <w:rsid w:val="50BB1603"/>
    <w:rsid w:val="50D931FE"/>
    <w:rsid w:val="50DC4184"/>
    <w:rsid w:val="50E253E0"/>
    <w:rsid w:val="50FB6146"/>
    <w:rsid w:val="512F4CA0"/>
    <w:rsid w:val="51361FFF"/>
    <w:rsid w:val="513D4C38"/>
    <w:rsid w:val="514C3EA7"/>
    <w:rsid w:val="51861C61"/>
    <w:rsid w:val="51AC4D00"/>
    <w:rsid w:val="51FF3C99"/>
    <w:rsid w:val="522A20E4"/>
    <w:rsid w:val="52363D4D"/>
    <w:rsid w:val="524A2AC9"/>
    <w:rsid w:val="52521A20"/>
    <w:rsid w:val="528604EC"/>
    <w:rsid w:val="529E2C3A"/>
    <w:rsid w:val="52AC4ABC"/>
    <w:rsid w:val="52C201B9"/>
    <w:rsid w:val="52DB7620"/>
    <w:rsid w:val="52E57A12"/>
    <w:rsid w:val="52EF06B7"/>
    <w:rsid w:val="52F20B62"/>
    <w:rsid w:val="52F42171"/>
    <w:rsid w:val="531C4FCC"/>
    <w:rsid w:val="53284E0A"/>
    <w:rsid w:val="53637A88"/>
    <w:rsid w:val="537C5523"/>
    <w:rsid w:val="53827E49"/>
    <w:rsid w:val="538A6BB9"/>
    <w:rsid w:val="539964FD"/>
    <w:rsid w:val="539C1B81"/>
    <w:rsid w:val="539D7755"/>
    <w:rsid w:val="53A447B1"/>
    <w:rsid w:val="53AE750F"/>
    <w:rsid w:val="53B316E5"/>
    <w:rsid w:val="53B37937"/>
    <w:rsid w:val="53C27B7A"/>
    <w:rsid w:val="53D224B3"/>
    <w:rsid w:val="53F81D96"/>
    <w:rsid w:val="541D5DE8"/>
    <w:rsid w:val="541F57C4"/>
    <w:rsid w:val="544B5214"/>
    <w:rsid w:val="546F523C"/>
    <w:rsid w:val="54782FBD"/>
    <w:rsid w:val="547C4479"/>
    <w:rsid w:val="5483138F"/>
    <w:rsid w:val="5488523A"/>
    <w:rsid w:val="549A6BFA"/>
    <w:rsid w:val="54B34A13"/>
    <w:rsid w:val="54C341E7"/>
    <w:rsid w:val="54CC0E1C"/>
    <w:rsid w:val="54D933CD"/>
    <w:rsid w:val="55046EB5"/>
    <w:rsid w:val="551751CF"/>
    <w:rsid w:val="55175CA3"/>
    <w:rsid w:val="5522558F"/>
    <w:rsid w:val="55244D7F"/>
    <w:rsid w:val="55305397"/>
    <w:rsid w:val="55362287"/>
    <w:rsid w:val="55432F3C"/>
    <w:rsid w:val="55840674"/>
    <w:rsid w:val="558465DA"/>
    <w:rsid w:val="55A37FFD"/>
    <w:rsid w:val="55A82B13"/>
    <w:rsid w:val="55AE22F1"/>
    <w:rsid w:val="55C3227E"/>
    <w:rsid w:val="55CE1AA9"/>
    <w:rsid w:val="55E0347B"/>
    <w:rsid w:val="55F6381F"/>
    <w:rsid w:val="55FA2961"/>
    <w:rsid w:val="5602250F"/>
    <w:rsid w:val="56041FEA"/>
    <w:rsid w:val="564220BA"/>
    <w:rsid w:val="56574EF1"/>
    <w:rsid w:val="565E7F4F"/>
    <w:rsid w:val="565F3DA6"/>
    <w:rsid w:val="566118CC"/>
    <w:rsid w:val="56711F73"/>
    <w:rsid w:val="56914056"/>
    <w:rsid w:val="56B61E36"/>
    <w:rsid w:val="56C1236A"/>
    <w:rsid w:val="56C36589"/>
    <w:rsid w:val="56ED4321"/>
    <w:rsid w:val="570D55B0"/>
    <w:rsid w:val="57250D60"/>
    <w:rsid w:val="57293C95"/>
    <w:rsid w:val="572A6381"/>
    <w:rsid w:val="572B41B4"/>
    <w:rsid w:val="57365868"/>
    <w:rsid w:val="573C1959"/>
    <w:rsid w:val="57430FD1"/>
    <w:rsid w:val="57554571"/>
    <w:rsid w:val="57D165DD"/>
    <w:rsid w:val="57E24A90"/>
    <w:rsid w:val="57F65317"/>
    <w:rsid w:val="57FC2169"/>
    <w:rsid w:val="58024015"/>
    <w:rsid w:val="58096275"/>
    <w:rsid w:val="58185802"/>
    <w:rsid w:val="5819544F"/>
    <w:rsid w:val="582D6D32"/>
    <w:rsid w:val="582E6EF7"/>
    <w:rsid w:val="584E30E6"/>
    <w:rsid w:val="58546EFD"/>
    <w:rsid w:val="5881703E"/>
    <w:rsid w:val="58E26731"/>
    <w:rsid w:val="58EB1371"/>
    <w:rsid w:val="59091D98"/>
    <w:rsid w:val="590B05CA"/>
    <w:rsid w:val="590E4A97"/>
    <w:rsid w:val="591250FF"/>
    <w:rsid w:val="591E1CF6"/>
    <w:rsid w:val="5920012C"/>
    <w:rsid w:val="593700E7"/>
    <w:rsid w:val="595578DE"/>
    <w:rsid w:val="59710721"/>
    <w:rsid w:val="597B384D"/>
    <w:rsid w:val="59996DA8"/>
    <w:rsid w:val="59AD7291"/>
    <w:rsid w:val="59C30F1B"/>
    <w:rsid w:val="59CE4759"/>
    <w:rsid w:val="59D90B78"/>
    <w:rsid w:val="5A250E62"/>
    <w:rsid w:val="5A322A6E"/>
    <w:rsid w:val="5A814766"/>
    <w:rsid w:val="5A8C20D0"/>
    <w:rsid w:val="5ABC29E4"/>
    <w:rsid w:val="5AC7121C"/>
    <w:rsid w:val="5AD90B8D"/>
    <w:rsid w:val="5AE12927"/>
    <w:rsid w:val="5AE35472"/>
    <w:rsid w:val="5AF41CF3"/>
    <w:rsid w:val="5AF87CC9"/>
    <w:rsid w:val="5B07329F"/>
    <w:rsid w:val="5B0F2F87"/>
    <w:rsid w:val="5B104342"/>
    <w:rsid w:val="5B10790A"/>
    <w:rsid w:val="5B4E1A44"/>
    <w:rsid w:val="5B7C4AB2"/>
    <w:rsid w:val="5B873201"/>
    <w:rsid w:val="5B967767"/>
    <w:rsid w:val="5B9D1624"/>
    <w:rsid w:val="5BA2386D"/>
    <w:rsid w:val="5BBF73E2"/>
    <w:rsid w:val="5BEE5378"/>
    <w:rsid w:val="5C0C2FF6"/>
    <w:rsid w:val="5C0D04A9"/>
    <w:rsid w:val="5C1241CC"/>
    <w:rsid w:val="5C286807"/>
    <w:rsid w:val="5C34339E"/>
    <w:rsid w:val="5C355656"/>
    <w:rsid w:val="5C370E72"/>
    <w:rsid w:val="5C446BC8"/>
    <w:rsid w:val="5C464B7B"/>
    <w:rsid w:val="5C4B56E1"/>
    <w:rsid w:val="5C6A7000"/>
    <w:rsid w:val="5C7146B1"/>
    <w:rsid w:val="5C72307C"/>
    <w:rsid w:val="5C7C2768"/>
    <w:rsid w:val="5C7E0A6F"/>
    <w:rsid w:val="5CAD3BC1"/>
    <w:rsid w:val="5CAE62DC"/>
    <w:rsid w:val="5CB23AE6"/>
    <w:rsid w:val="5CED5863"/>
    <w:rsid w:val="5CF41904"/>
    <w:rsid w:val="5D0D6DF5"/>
    <w:rsid w:val="5D15202C"/>
    <w:rsid w:val="5D1E5184"/>
    <w:rsid w:val="5D236D42"/>
    <w:rsid w:val="5D3166D4"/>
    <w:rsid w:val="5D4A5E05"/>
    <w:rsid w:val="5D580A8A"/>
    <w:rsid w:val="5D7E6D71"/>
    <w:rsid w:val="5D893B14"/>
    <w:rsid w:val="5DB42C29"/>
    <w:rsid w:val="5DB46785"/>
    <w:rsid w:val="5E1219F7"/>
    <w:rsid w:val="5E18541D"/>
    <w:rsid w:val="5E232FE9"/>
    <w:rsid w:val="5E291636"/>
    <w:rsid w:val="5E48511F"/>
    <w:rsid w:val="5E655B72"/>
    <w:rsid w:val="5E8B0770"/>
    <w:rsid w:val="5EA06921"/>
    <w:rsid w:val="5EBA259F"/>
    <w:rsid w:val="5EBF3EFF"/>
    <w:rsid w:val="5EE1082B"/>
    <w:rsid w:val="5EE97BB4"/>
    <w:rsid w:val="5EED3E21"/>
    <w:rsid w:val="5EF55BC9"/>
    <w:rsid w:val="5EFD48FF"/>
    <w:rsid w:val="5F085DDA"/>
    <w:rsid w:val="5F0C446A"/>
    <w:rsid w:val="5F1D5E84"/>
    <w:rsid w:val="5F2E2D52"/>
    <w:rsid w:val="5F5226F9"/>
    <w:rsid w:val="5F54198B"/>
    <w:rsid w:val="5F6C74C2"/>
    <w:rsid w:val="5F742670"/>
    <w:rsid w:val="5F950838"/>
    <w:rsid w:val="5F9A19AB"/>
    <w:rsid w:val="5F9D1350"/>
    <w:rsid w:val="5FA44AD1"/>
    <w:rsid w:val="5FA647F3"/>
    <w:rsid w:val="5FA97E40"/>
    <w:rsid w:val="5FBE370A"/>
    <w:rsid w:val="5FC61F2E"/>
    <w:rsid w:val="5FC83407"/>
    <w:rsid w:val="5FD56E87"/>
    <w:rsid w:val="5FD70E51"/>
    <w:rsid w:val="5FE64BF0"/>
    <w:rsid w:val="5FF0558C"/>
    <w:rsid w:val="60015A45"/>
    <w:rsid w:val="601A27F4"/>
    <w:rsid w:val="60236BFB"/>
    <w:rsid w:val="60292845"/>
    <w:rsid w:val="603251B8"/>
    <w:rsid w:val="606F2632"/>
    <w:rsid w:val="6071543B"/>
    <w:rsid w:val="607921FE"/>
    <w:rsid w:val="607E12CC"/>
    <w:rsid w:val="608F62AE"/>
    <w:rsid w:val="609B5BC6"/>
    <w:rsid w:val="60A97567"/>
    <w:rsid w:val="60B9251B"/>
    <w:rsid w:val="60DA29A7"/>
    <w:rsid w:val="60E236C1"/>
    <w:rsid w:val="60E37983"/>
    <w:rsid w:val="61260B6B"/>
    <w:rsid w:val="61281051"/>
    <w:rsid w:val="612B3ABB"/>
    <w:rsid w:val="612E1A5D"/>
    <w:rsid w:val="614E5D7E"/>
    <w:rsid w:val="61596D72"/>
    <w:rsid w:val="615F2EAC"/>
    <w:rsid w:val="61816046"/>
    <w:rsid w:val="61BD04E4"/>
    <w:rsid w:val="61C81AB1"/>
    <w:rsid w:val="61F07A07"/>
    <w:rsid w:val="620B0059"/>
    <w:rsid w:val="62391564"/>
    <w:rsid w:val="624A22BE"/>
    <w:rsid w:val="625C73EB"/>
    <w:rsid w:val="6263230B"/>
    <w:rsid w:val="626E235A"/>
    <w:rsid w:val="626F60D5"/>
    <w:rsid w:val="62816669"/>
    <w:rsid w:val="6282086D"/>
    <w:rsid w:val="629007F7"/>
    <w:rsid w:val="629372B1"/>
    <w:rsid w:val="62AB4D99"/>
    <w:rsid w:val="62B36CD7"/>
    <w:rsid w:val="62BA0953"/>
    <w:rsid w:val="62D03A7C"/>
    <w:rsid w:val="62F42FAE"/>
    <w:rsid w:val="62F648FE"/>
    <w:rsid w:val="63167A4F"/>
    <w:rsid w:val="631D2BD6"/>
    <w:rsid w:val="632D11C2"/>
    <w:rsid w:val="6330458A"/>
    <w:rsid w:val="635356F3"/>
    <w:rsid w:val="636B1FDC"/>
    <w:rsid w:val="637D5B70"/>
    <w:rsid w:val="63825E77"/>
    <w:rsid w:val="63A10995"/>
    <w:rsid w:val="63C23EFA"/>
    <w:rsid w:val="63D255DA"/>
    <w:rsid w:val="63D2584B"/>
    <w:rsid w:val="63EB2168"/>
    <w:rsid w:val="63F854C1"/>
    <w:rsid w:val="63FB5857"/>
    <w:rsid w:val="64076B79"/>
    <w:rsid w:val="640B7654"/>
    <w:rsid w:val="64116D46"/>
    <w:rsid w:val="643A070A"/>
    <w:rsid w:val="64410A96"/>
    <w:rsid w:val="644C573D"/>
    <w:rsid w:val="64507EFB"/>
    <w:rsid w:val="646D2528"/>
    <w:rsid w:val="65032F85"/>
    <w:rsid w:val="65051FBC"/>
    <w:rsid w:val="65091869"/>
    <w:rsid w:val="651304A7"/>
    <w:rsid w:val="65136B50"/>
    <w:rsid w:val="6531690D"/>
    <w:rsid w:val="65320485"/>
    <w:rsid w:val="655A12F3"/>
    <w:rsid w:val="656F7435"/>
    <w:rsid w:val="657E2A35"/>
    <w:rsid w:val="65A94E9D"/>
    <w:rsid w:val="65B96B3F"/>
    <w:rsid w:val="65BE1071"/>
    <w:rsid w:val="65C60A92"/>
    <w:rsid w:val="65DB19DF"/>
    <w:rsid w:val="660451CE"/>
    <w:rsid w:val="66083B12"/>
    <w:rsid w:val="662F1115"/>
    <w:rsid w:val="664B3BEB"/>
    <w:rsid w:val="665346B7"/>
    <w:rsid w:val="667C7CCE"/>
    <w:rsid w:val="668F3467"/>
    <w:rsid w:val="66A12460"/>
    <w:rsid w:val="66BE2423"/>
    <w:rsid w:val="66DD6702"/>
    <w:rsid w:val="66E856F1"/>
    <w:rsid w:val="66FB0BAD"/>
    <w:rsid w:val="670E4E0D"/>
    <w:rsid w:val="67185FD7"/>
    <w:rsid w:val="671B1623"/>
    <w:rsid w:val="671E6EBA"/>
    <w:rsid w:val="6731269C"/>
    <w:rsid w:val="6747066A"/>
    <w:rsid w:val="675352AA"/>
    <w:rsid w:val="6759400B"/>
    <w:rsid w:val="675E528D"/>
    <w:rsid w:val="676315FA"/>
    <w:rsid w:val="676C598C"/>
    <w:rsid w:val="67966EFB"/>
    <w:rsid w:val="679E7FA1"/>
    <w:rsid w:val="67A32389"/>
    <w:rsid w:val="67B657F0"/>
    <w:rsid w:val="67B768D0"/>
    <w:rsid w:val="67C36227"/>
    <w:rsid w:val="67C779FD"/>
    <w:rsid w:val="67C85DAF"/>
    <w:rsid w:val="68281CFE"/>
    <w:rsid w:val="682A2352"/>
    <w:rsid w:val="682A2630"/>
    <w:rsid w:val="682D5AB2"/>
    <w:rsid w:val="682E4A5B"/>
    <w:rsid w:val="682E7AFD"/>
    <w:rsid w:val="6865354C"/>
    <w:rsid w:val="68707071"/>
    <w:rsid w:val="687A4379"/>
    <w:rsid w:val="687B015C"/>
    <w:rsid w:val="687E3889"/>
    <w:rsid w:val="6884222C"/>
    <w:rsid w:val="68A957C8"/>
    <w:rsid w:val="68AD17BB"/>
    <w:rsid w:val="68D6620B"/>
    <w:rsid w:val="68D94D22"/>
    <w:rsid w:val="68F06F2B"/>
    <w:rsid w:val="69011241"/>
    <w:rsid w:val="692B2E4A"/>
    <w:rsid w:val="696577CD"/>
    <w:rsid w:val="696A0B34"/>
    <w:rsid w:val="697D65C5"/>
    <w:rsid w:val="69820A4E"/>
    <w:rsid w:val="69821807"/>
    <w:rsid w:val="698D6A17"/>
    <w:rsid w:val="699026E3"/>
    <w:rsid w:val="69987E08"/>
    <w:rsid w:val="699E0BED"/>
    <w:rsid w:val="699F0522"/>
    <w:rsid w:val="69D37590"/>
    <w:rsid w:val="69F954C1"/>
    <w:rsid w:val="69FD7559"/>
    <w:rsid w:val="6A1260FA"/>
    <w:rsid w:val="6A1E1E73"/>
    <w:rsid w:val="6A2031B6"/>
    <w:rsid w:val="6A2151A2"/>
    <w:rsid w:val="6A2F57D7"/>
    <w:rsid w:val="6A3924BB"/>
    <w:rsid w:val="6A3C1D40"/>
    <w:rsid w:val="6A525130"/>
    <w:rsid w:val="6A6432E1"/>
    <w:rsid w:val="6AA23DFF"/>
    <w:rsid w:val="6AAA6F38"/>
    <w:rsid w:val="6AC61F6F"/>
    <w:rsid w:val="6AD34E53"/>
    <w:rsid w:val="6AD83EA1"/>
    <w:rsid w:val="6ADE74F0"/>
    <w:rsid w:val="6AF900C6"/>
    <w:rsid w:val="6B1D62E8"/>
    <w:rsid w:val="6B667183"/>
    <w:rsid w:val="6B723594"/>
    <w:rsid w:val="6B7F4EFD"/>
    <w:rsid w:val="6B805156"/>
    <w:rsid w:val="6B945E48"/>
    <w:rsid w:val="6B974A7B"/>
    <w:rsid w:val="6B975BE9"/>
    <w:rsid w:val="6BD50977"/>
    <w:rsid w:val="6BDF70C3"/>
    <w:rsid w:val="6BE450D3"/>
    <w:rsid w:val="6BE60C84"/>
    <w:rsid w:val="6C0307FF"/>
    <w:rsid w:val="6C4F0900"/>
    <w:rsid w:val="6C6C32E1"/>
    <w:rsid w:val="6C6E3E15"/>
    <w:rsid w:val="6C8B1F5D"/>
    <w:rsid w:val="6C9D0D2C"/>
    <w:rsid w:val="6CA85D3A"/>
    <w:rsid w:val="6CAA3931"/>
    <w:rsid w:val="6CC27409"/>
    <w:rsid w:val="6CD3634A"/>
    <w:rsid w:val="6CE2512E"/>
    <w:rsid w:val="6CEA06D7"/>
    <w:rsid w:val="6CF36E25"/>
    <w:rsid w:val="6CF70607"/>
    <w:rsid w:val="6D081438"/>
    <w:rsid w:val="6D325918"/>
    <w:rsid w:val="6D3933CA"/>
    <w:rsid w:val="6D401810"/>
    <w:rsid w:val="6D433529"/>
    <w:rsid w:val="6D6261FE"/>
    <w:rsid w:val="6D7B222A"/>
    <w:rsid w:val="6D7B61EC"/>
    <w:rsid w:val="6D8E03AA"/>
    <w:rsid w:val="6DBB089F"/>
    <w:rsid w:val="6DC63038"/>
    <w:rsid w:val="6DDC5608"/>
    <w:rsid w:val="6DE30DE0"/>
    <w:rsid w:val="6DE6130A"/>
    <w:rsid w:val="6DE74955"/>
    <w:rsid w:val="6DFC695B"/>
    <w:rsid w:val="6E09491E"/>
    <w:rsid w:val="6E0D3655"/>
    <w:rsid w:val="6E1119D2"/>
    <w:rsid w:val="6E1A437E"/>
    <w:rsid w:val="6E3A144E"/>
    <w:rsid w:val="6E527C89"/>
    <w:rsid w:val="6E5606D3"/>
    <w:rsid w:val="6E5F4465"/>
    <w:rsid w:val="6E8B1663"/>
    <w:rsid w:val="6E8C54DA"/>
    <w:rsid w:val="6EB752BD"/>
    <w:rsid w:val="6EBC36EB"/>
    <w:rsid w:val="6EF11E03"/>
    <w:rsid w:val="6EF1241D"/>
    <w:rsid w:val="6EF82916"/>
    <w:rsid w:val="6F0B2DE7"/>
    <w:rsid w:val="6F111C62"/>
    <w:rsid w:val="6F2176E5"/>
    <w:rsid w:val="6F3A2A5F"/>
    <w:rsid w:val="6F3D6958"/>
    <w:rsid w:val="6F3F60CB"/>
    <w:rsid w:val="6F4F7F03"/>
    <w:rsid w:val="6F5523A2"/>
    <w:rsid w:val="6F592303"/>
    <w:rsid w:val="6F5F5B74"/>
    <w:rsid w:val="6F682400"/>
    <w:rsid w:val="6F7E22F3"/>
    <w:rsid w:val="6F8E7CC5"/>
    <w:rsid w:val="6F9600A4"/>
    <w:rsid w:val="6F98032D"/>
    <w:rsid w:val="6F9B1C65"/>
    <w:rsid w:val="6FA44937"/>
    <w:rsid w:val="6FAD3FB9"/>
    <w:rsid w:val="6FB1072E"/>
    <w:rsid w:val="6FE15721"/>
    <w:rsid w:val="6FE82C9C"/>
    <w:rsid w:val="6FF70753"/>
    <w:rsid w:val="6FFB146E"/>
    <w:rsid w:val="700B382A"/>
    <w:rsid w:val="70104BD7"/>
    <w:rsid w:val="70160742"/>
    <w:rsid w:val="701C2725"/>
    <w:rsid w:val="7030610F"/>
    <w:rsid w:val="70390D6C"/>
    <w:rsid w:val="70471F20"/>
    <w:rsid w:val="705005D7"/>
    <w:rsid w:val="70612DB4"/>
    <w:rsid w:val="706516C3"/>
    <w:rsid w:val="70657DB3"/>
    <w:rsid w:val="70660714"/>
    <w:rsid w:val="70896E68"/>
    <w:rsid w:val="708A4844"/>
    <w:rsid w:val="70C94DCA"/>
    <w:rsid w:val="70E05E9D"/>
    <w:rsid w:val="71073061"/>
    <w:rsid w:val="711A201F"/>
    <w:rsid w:val="71215AE9"/>
    <w:rsid w:val="712864E5"/>
    <w:rsid w:val="71396ACC"/>
    <w:rsid w:val="715B60E9"/>
    <w:rsid w:val="716F0EE9"/>
    <w:rsid w:val="716F7056"/>
    <w:rsid w:val="717F6C52"/>
    <w:rsid w:val="719409A7"/>
    <w:rsid w:val="7196674D"/>
    <w:rsid w:val="719E245E"/>
    <w:rsid w:val="71BA3FE5"/>
    <w:rsid w:val="71EA1FED"/>
    <w:rsid w:val="72165C6B"/>
    <w:rsid w:val="722021E3"/>
    <w:rsid w:val="72290340"/>
    <w:rsid w:val="722C6DDA"/>
    <w:rsid w:val="72515945"/>
    <w:rsid w:val="72553257"/>
    <w:rsid w:val="729243CB"/>
    <w:rsid w:val="72A609F2"/>
    <w:rsid w:val="72B27B5F"/>
    <w:rsid w:val="72BA2638"/>
    <w:rsid w:val="72E661B1"/>
    <w:rsid w:val="730313F6"/>
    <w:rsid w:val="730E4732"/>
    <w:rsid w:val="73134697"/>
    <w:rsid w:val="73370D24"/>
    <w:rsid w:val="73397FB3"/>
    <w:rsid w:val="73472C84"/>
    <w:rsid w:val="7359268C"/>
    <w:rsid w:val="735F327A"/>
    <w:rsid w:val="7366631C"/>
    <w:rsid w:val="736C263C"/>
    <w:rsid w:val="73723640"/>
    <w:rsid w:val="737311F5"/>
    <w:rsid w:val="738375AF"/>
    <w:rsid w:val="739503EB"/>
    <w:rsid w:val="73A05B28"/>
    <w:rsid w:val="73C07D69"/>
    <w:rsid w:val="73C979D4"/>
    <w:rsid w:val="73CC2623"/>
    <w:rsid w:val="73DC335B"/>
    <w:rsid w:val="73ED07EB"/>
    <w:rsid w:val="73F423CB"/>
    <w:rsid w:val="74031DBD"/>
    <w:rsid w:val="740B60EC"/>
    <w:rsid w:val="74122000"/>
    <w:rsid w:val="742B4004"/>
    <w:rsid w:val="745E7D35"/>
    <w:rsid w:val="7465362D"/>
    <w:rsid w:val="7475188D"/>
    <w:rsid w:val="747A24D7"/>
    <w:rsid w:val="747C4DB2"/>
    <w:rsid w:val="749E16A8"/>
    <w:rsid w:val="74AC41CB"/>
    <w:rsid w:val="74B42AE4"/>
    <w:rsid w:val="74C54993"/>
    <w:rsid w:val="74D06A8A"/>
    <w:rsid w:val="74D43250"/>
    <w:rsid w:val="74EB68F6"/>
    <w:rsid w:val="74F213D7"/>
    <w:rsid w:val="7501454E"/>
    <w:rsid w:val="750802B1"/>
    <w:rsid w:val="750A429D"/>
    <w:rsid w:val="752739E7"/>
    <w:rsid w:val="75306BE1"/>
    <w:rsid w:val="75474B47"/>
    <w:rsid w:val="75533AB0"/>
    <w:rsid w:val="75614792"/>
    <w:rsid w:val="75717F13"/>
    <w:rsid w:val="75761866"/>
    <w:rsid w:val="75784473"/>
    <w:rsid w:val="75956A44"/>
    <w:rsid w:val="75B10995"/>
    <w:rsid w:val="75B161B3"/>
    <w:rsid w:val="75B96BD7"/>
    <w:rsid w:val="75CA2B92"/>
    <w:rsid w:val="75D43A11"/>
    <w:rsid w:val="75DC6C44"/>
    <w:rsid w:val="75F05CC0"/>
    <w:rsid w:val="762A3631"/>
    <w:rsid w:val="762F6A19"/>
    <w:rsid w:val="76341B33"/>
    <w:rsid w:val="76736B32"/>
    <w:rsid w:val="76807C04"/>
    <w:rsid w:val="76AF35EE"/>
    <w:rsid w:val="76C27A74"/>
    <w:rsid w:val="76C726A5"/>
    <w:rsid w:val="76E3765E"/>
    <w:rsid w:val="76FB4FCD"/>
    <w:rsid w:val="76FC2AFA"/>
    <w:rsid w:val="7718743B"/>
    <w:rsid w:val="77527424"/>
    <w:rsid w:val="77653671"/>
    <w:rsid w:val="776D0EF5"/>
    <w:rsid w:val="77707007"/>
    <w:rsid w:val="778546CC"/>
    <w:rsid w:val="778B6B46"/>
    <w:rsid w:val="77A337B9"/>
    <w:rsid w:val="77B551B3"/>
    <w:rsid w:val="77B56730"/>
    <w:rsid w:val="77B92EBE"/>
    <w:rsid w:val="77C04A8B"/>
    <w:rsid w:val="77D85DB3"/>
    <w:rsid w:val="77E433BD"/>
    <w:rsid w:val="77EB1B74"/>
    <w:rsid w:val="77EC16DB"/>
    <w:rsid w:val="782A3EA3"/>
    <w:rsid w:val="78490703"/>
    <w:rsid w:val="787038CC"/>
    <w:rsid w:val="78A50513"/>
    <w:rsid w:val="78C43087"/>
    <w:rsid w:val="78CA3838"/>
    <w:rsid w:val="78D37FAF"/>
    <w:rsid w:val="78EF7AB5"/>
    <w:rsid w:val="78F0365D"/>
    <w:rsid w:val="790D6849"/>
    <w:rsid w:val="79134850"/>
    <w:rsid w:val="795767E3"/>
    <w:rsid w:val="79586707"/>
    <w:rsid w:val="796518DD"/>
    <w:rsid w:val="79724BEF"/>
    <w:rsid w:val="797264AC"/>
    <w:rsid w:val="79AA0532"/>
    <w:rsid w:val="79D35D8D"/>
    <w:rsid w:val="79DE02B7"/>
    <w:rsid w:val="79E602AF"/>
    <w:rsid w:val="79FA22BC"/>
    <w:rsid w:val="79FE1DDD"/>
    <w:rsid w:val="7A075767"/>
    <w:rsid w:val="7A0C15B3"/>
    <w:rsid w:val="7A212062"/>
    <w:rsid w:val="7A2522C9"/>
    <w:rsid w:val="7A282A11"/>
    <w:rsid w:val="7A3A59B8"/>
    <w:rsid w:val="7A57076C"/>
    <w:rsid w:val="7A5D0F75"/>
    <w:rsid w:val="7A715CD2"/>
    <w:rsid w:val="7A7716CC"/>
    <w:rsid w:val="7A921E9A"/>
    <w:rsid w:val="7A9E53BF"/>
    <w:rsid w:val="7AA914B9"/>
    <w:rsid w:val="7AB06C9C"/>
    <w:rsid w:val="7ABF2475"/>
    <w:rsid w:val="7AC21562"/>
    <w:rsid w:val="7AC70407"/>
    <w:rsid w:val="7AD474A4"/>
    <w:rsid w:val="7AD51A66"/>
    <w:rsid w:val="7AD848DD"/>
    <w:rsid w:val="7AFC38DE"/>
    <w:rsid w:val="7B303E8C"/>
    <w:rsid w:val="7B3670E0"/>
    <w:rsid w:val="7B6E1531"/>
    <w:rsid w:val="7B7D6B6D"/>
    <w:rsid w:val="7B865D50"/>
    <w:rsid w:val="7B8D34C3"/>
    <w:rsid w:val="7B9559F0"/>
    <w:rsid w:val="7B971D84"/>
    <w:rsid w:val="7B980684"/>
    <w:rsid w:val="7BAB0CB7"/>
    <w:rsid w:val="7BB4028F"/>
    <w:rsid w:val="7BC1107E"/>
    <w:rsid w:val="7BCB5265"/>
    <w:rsid w:val="7BD06A28"/>
    <w:rsid w:val="7BDD385E"/>
    <w:rsid w:val="7BF22E42"/>
    <w:rsid w:val="7BF32F03"/>
    <w:rsid w:val="7BF50D2C"/>
    <w:rsid w:val="7C066F4E"/>
    <w:rsid w:val="7C1724A5"/>
    <w:rsid w:val="7C8561DF"/>
    <w:rsid w:val="7CA109FD"/>
    <w:rsid w:val="7CA54112"/>
    <w:rsid w:val="7CA553D9"/>
    <w:rsid w:val="7CAB27F5"/>
    <w:rsid w:val="7CAF438A"/>
    <w:rsid w:val="7CCE726D"/>
    <w:rsid w:val="7CD71EA3"/>
    <w:rsid w:val="7CE50CE4"/>
    <w:rsid w:val="7CE94EE1"/>
    <w:rsid w:val="7CEE5733"/>
    <w:rsid w:val="7CF877E9"/>
    <w:rsid w:val="7D134762"/>
    <w:rsid w:val="7D244CB3"/>
    <w:rsid w:val="7D28572D"/>
    <w:rsid w:val="7D2E5ABF"/>
    <w:rsid w:val="7D4A45B8"/>
    <w:rsid w:val="7D535AC7"/>
    <w:rsid w:val="7D964A74"/>
    <w:rsid w:val="7DB67EA0"/>
    <w:rsid w:val="7DC4436B"/>
    <w:rsid w:val="7DD10ED1"/>
    <w:rsid w:val="7DFB43EA"/>
    <w:rsid w:val="7E007625"/>
    <w:rsid w:val="7E0737C8"/>
    <w:rsid w:val="7E131C51"/>
    <w:rsid w:val="7E176B90"/>
    <w:rsid w:val="7E2142A2"/>
    <w:rsid w:val="7E240411"/>
    <w:rsid w:val="7E48335A"/>
    <w:rsid w:val="7E527BC8"/>
    <w:rsid w:val="7E755665"/>
    <w:rsid w:val="7E797DE5"/>
    <w:rsid w:val="7E7B0BF2"/>
    <w:rsid w:val="7E8D75B6"/>
    <w:rsid w:val="7E8E672B"/>
    <w:rsid w:val="7E9E5A62"/>
    <w:rsid w:val="7EA27DDF"/>
    <w:rsid w:val="7EC67BB0"/>
    <w:rsid w:val="7ED809AD"/>
    <w:rsid w:val="7EF760EE"/>
    <w:rsid w:val="7F030EC3"/>
    <w:rsid w:val="7F043CC7"/>
    <w:rsid w:val="7F2536B5"/>
    <w:rsid w:val="7F2C3CE7"/>
    <w:rsid w:val="7F2F688E"/>
    <w:rsid w:val="7F5A01CA"/>
    <w:rsid w:val="7F5D499F"/>
    <w:rsid w:val="7F75661B"/>
    <w:rsid w:val="7FB17429"/>
    <w:rsid w:val="7FC237CA"/>
    <w:rsid w:val="7FD954A6"/>
    <w:rsid w:val="7FF1276A"/>
    <w:rsid w:val="97FEA5F5"/>
    <w:rsid w:val="EFEEE92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2">
    <w:name w:val="heading 1"/>
    <w:basedOn w:val="1"/>
    <w:next w:val="1"/>
    <w:link w:val="76"/>
    <w:autoRedefine/>
    <w:qFormat/>
    <w:uiPriority w:val="9"/>
    <w:pPr>
      <w:keepNext/>
      <w:keepLines/>
      <w:spacing w:before="340" w:after="330" w:line="576" w:lineRule="auto"/>
      <w:outlineLvl w:val="0"/>
    </w:pPr>
    <w:rPr>
      <w:b/>
      <w:kern w:val="44"/>
      <w:sz w:val="44"/>
    </w:rPr>
  </w:style>
  <w:style w:type="paragraph" w:styleId="3">
    <w:name w:val="heading 2"/>
    <w:basedOn w:val="1"/>
    <w:next w:val="1"/>
    <w:link w:val="42"/>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5"/>
    <w:autoRedefine/>
    <w:unhideWhenUsed/>
    <w:qFormat/>
    <w:uiPriority w:val="9"/>
    <w:pPr>
      <w:keepNext/>
      <w:keepLines/>
      <w:outlineLvl w:val="3"/>
    </w:pPr>
    <w:rPr>
      <w:rFonts w:asciiTheme="majorHAnsi" w:hAnsiTheme="majorHAnsi" w:cstheme="majorBidi"/>
      <w:b/>
      <w:bCs/>
      <w:sz w:val="24"/>
      <w:szCs w:val="28"/>
    </w:rPr>
  </w:style>
  <w:style w:type="paragraph" w:styleId="6">
    <w:name w:val="heading 5"/>
    <w:basedOn w:val="1"/>
    <w:next w:val="1"/>
    <w:link w:val="75"/>
    <w:autoRedefine/>
    <w:semiHidden/>
    <w:unhideWhenUsed/>
    <w:qFormat/>
    <w:uiPriority w:val="9"/>
    <w:pPr>
      <w:keepNext/>
      <w:keepLines/>
      <w:spacing w:before="280" w:after="290" w:line="372" w:lineRule="auto"/>
      <w:outlineLvl w:val="4"/>
    </w:pPr>
    <w:rPr>
      <w:b/>
      <w:sz w:val="28"/>
    </w:rPr>
  </w:style>
  <w:style w:type="character" w:default="1" w:styleId="32">
    <w:name w:val="Default Paragraph Font"/>
    <w:autoRedefine/>
    <w:semiHidden/>
    <w:unhideWhenUsed/>
    <w:qFormat/>
    <w:uiPriority w:val="1"/>
  </w:style>
  <w:style w:type="table" w:default="1" w:styleId="30">
    <w:name w:val="Normal Table"/>
    <w:autoRedefine/>
    <w:semiHidden/>
    <w:unhideWhenUsed/>
    <w:qFormat/>
    <w:uiPriority w:val="99"/>
    <w:tblPr>
      <w:tblCellMar>
        <w:top w:w="0" w:type="dxa"/>
        <w:left w:w="108" w:type="dxa"/>
        <w:bottom w:w="0" w:type="dxa"/>
        <w:right w:w="108" w:type="dxa"/>
      </w:tblCellMar>
    </w:tblPr>
  </w:style>
  <w:style w:type="paragraph" w:styleId="7">
    <w:name w:val="toc 7"/>
    <w:basedOn w:val="1"/>
    <w:next w:val="1"/>
    <w:autoRedefine/>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8">
    <w:name w:val="annotation text"/>
    <w:basedOn w:val="1"/>
    <w:link w:val="64"/>
    <w:autoRedefine/>
    <w:unhideWhenUsed/>
    <w:qFormat/>
    <w:uiPriority w:val="99"/>
  </w:style>
  <w:style w:type="paragraph" w:styleId="9">
    <w:name w:val="Body Text"/>
    <w:basedOn w:val="1"/>
    <w:next w:val="10"/>
    <w:link w:val="67"/>
    <w:autoRedefine/>
    <w:qFormat/>
    <w:uiPriority w:val="1"/>
    <w:pPr>
      <w:spacing w:before="161"/>
      <w:ind w:left="120"/>
    </w:pPr>
    <w:rPr>
      <w:rFonts w:ascii="宋体" w:hAnsi="宋体" w:cs="宋体"/>
      <w:sz w:val="24"/>
      <w:lang w:val="zh-CN" w:bidi="zh-CN"/>
    </w:rPr>
  </w:style>
  <w:style w:type="paragraph" w:styleId="10">
    <w:name w:val="Body Text First Indent"/>
    <w:basedOn w:val="9"/>
    <w:next w:val="1"/>
    <w:autoRedefine/>
    <w:qFormat/>
    <w:uiPriority w:val="0"/>
    <w:pPr>
      <w:spacing w:after="120"/>
      <w:ind w:firstLine="420" w:firstLineChars="100"/>
    </w:pPr>
    <w:rPr>
      <w:bCs/>
      <w:szCs w:val="21"/>
    </w:rPr>
  </w:style>
  <w:style w:type="paragraph" w:styleId="11">
    <w:name w:val="Body Text Indent"/>
    <w:basedOn w:val="1"/>
    <w:next w:val="12"/>
    <w:autoRedefine/>
    <w:qFormat/>
    <w:uiPriority w:val="0"/>
    <w:pPr>
      <w:ind w:left="359" w:leftChars="171" w:firstLine="179" w:firstLineChars="85"/>
    </w:pPr>
    <w:rPr>
      <w:rFonts w:ascii="宋体" w:hAnsi="宋体"/>
      <w:b/>
      <w:bCs/>
      <w:szCs w:val="26"/>
    </w:rPr>
  </w:style>
  <w:style w:type="paragraph" w:styleId="12">
    <w:name w:val="envelope return"/>
    <w:basedOn w:val="1"/>
    <w:autoRedefine/>
    <w:qFormat/>
    <w:uiPriority w:val="0"/>
  </w:style>
  <w:style w:type="paragraph" w:styleId="13">
    <w:name w:val="toc 5"/>
    <w:basedOn w:val="1"/>
    <w:next w:val="1"/>
    <w:autoRedefine/>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4">
    <w:name w:val="toc 3"/>
    <w:basedOn w:val="1"/>
    <w:next w:val="1"/>
    <w:autoRedefine/>
    <w:unhideWhenUsed/>
    <w:qFormat/>
    <w:uiPriority w:val="39"/>
    <w:pPr>
      <w:tabs>
        <w:tab w:val="right" w:leader="dot" w:pos="8296"/>
      </w:tabs>
      <w:ind w:left="838" w:leftChars="381"/>
    </w:pPr>
    <w:rPr>
      <w:szCs w:val="21"/>
    </w:rPr>
  </w:style>
  <w:style w:type="paragraph" w:styleId="15">
    <w:name w:val="Plain Text"/>
    <w:basedOn w:val="1"/>
    <w:link w:val="56"/>
    <w:autoRedefine/>
    <w:qFormat/>
    <w:uiPriority w:val="0"/>
    <w:pPr>
      <w:widowControl w:val="0"/>
      <w:adjustRightInd/>
      <w:snapToGrid/>
      <w:jc w:val="both"/>
    </w:pPr>
    <w:rPr>
      <w:rFonts w:ascii="宋体" w:hAnsi="Courier New" w:cs="Times New Roman"/>
      <w:b/>
      <w:kern w:val="2"/>
      <w:szCs w:val="20"/>
    </w:rPr>
  </w:style>
  <w:style w:type="paragraph" w:styleId="16">
    <w:name w:val="toc 8"/>
    <w:basedOn w:val="1"/>
    <w:next w:val="1"/>
    <w:autoRedefine/>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7">
    <w:name w:val="Balloon Text"/>
    <w:basedOn w:val="1"/>
    <w:link w:val="59"/>
    <w:autoRedefine/>
    <w:semiHidden/>
    <w:unhideWhenUsed/>
    <w:qFormat/>
    <w:uiPriority w:val="99"/>
    <w:rPr>
      <w:sz w:val="18"/>
      <w:szCs w:val="18"/>
    </w:rPr>
  </w:style>
  <w:style w:type="paragraph" w:styleId="18">
    <w:name w:val="footer"/>
    <w:basedOn w:val="1"/>
    <w:link w:val="58"/>
    <w:autoRedefine/>
    <w:unhideWhenUsed/>
    <w:qFormat/>
    <w:uiPriority w:val="99"/>
    <w:pPr>
      <w:tabs>
        <w:tab w:val="center" w:pos="4153"/>
        <w:tab w:val="right" w:pos="8306"/>
      </w:tabs>
    </w:pPr>
    <w:rPr>
      <w:sz w:val="18"/>
      <w:szCs w:val="18"/>
    </w:rPr>
  </w:style>
  <w:style w:type="paragraph" w:styleId="19">
    <w:name w:val="header"/>
    <w:basedOn w:val="1"/>
    <w:link w:val="57"/>
    <w:autoRedefine/>
    <w:unhideWhenUsed/>
    <w:qFormat/>
    <w:uiPriority w:val="99"/>
    <w:pPr>
      <w:pBdr>
        <w:bottom w:val="single" w:color="auto" w:sz="6" w:space="1"/>
      </w:pBdr>
      <w:tabs>
        <w:tab w:val="center" w:pos="4153"/>
        <w:tab w:val="right" w:pos="8306"/>
      </w:tabs>
      <w:jc w:val="center"/>
    </w:pPr>
    <w:rPr>
      <w:sz w:val="18"/>
      <w:szCs w:val="18"/>
    </w:rPr>
  </w:style>
  <w:style w:type="paragraph" w:styleId="20">
    <w:name w:val="toc 1"/>
    <w:basedOn w:val="1"/>
    <w:next w:val="1"/>
    <w:autoRedefine/>
    <w:unhideWhenUsed/>
    <w:qFormat/>
    <w:uiPriority w:val="39"/>
  </w:style>
  <w:style w:type="paragraph" w:styleId="21">
    <w:name w:val="toc 4"/>
    <w:basedOn w:val="1"/>
    <w:next w:val="1"/>
    <w:autoRedefine/>
    <w:unhideWhenUsed/>
    <w:qFormat/>
    <w:uiPriority w:val="39"/>
    <w:pPr>
      <w:tabs>
        <w:tab w:val="right" w:leader="dot" w:pos="8296"/>
      </w:tabs>
      <w:spacing w:after="120"/>
      <w:ind w:left="1320" w:leftChars="600"/>
    </w:pPr>
  </w:style>
  <w:style w:type="paragraph" w:styleId="22">
    <w:name w:val="footnote text"/>
    <w:basedOn w:val="1"/>
    <w:autoRedefine/>
    <w:semiHidden/>
    <w:unhideWhenUsed/>
    <w:qFormat/>
    <w:uiPriority w:val="99"/>
    <w:rPr>
      <w:sz w:val="18"/>
    </w:rPr>
  </w:style>
  <w:style w:type="paragraph" w:styleId="23">
    <w:name w:val="toc 6"/>
    <w:basedOn w:val="1"/>
    <w:next w:val="1"/>
    <w:autoRedefine/>
    <w:qFormat/>
    <w:uiPriority w:val="39"/>
    <w:pPr>
      <w:ind w:left="1200"/>
    </w:pPr>
    <w:rPr>
      <w:rFonts w:ascii="Calibri" w:cs="Calibri"/>
      <w:sz w:val="18"/>
      <w:szCs w:val="18"/>
    </w:rPr>
  </w:style>
  <w:style w:type="paragraph" w:styleId="24">
    <w:name w:val="toc 2"/>
    <w:basedOn w:val="1"/>
    <w:next w:val="1"/>
    <w:autoRedefine/>
    <w:unhideWhenUsed/>
    <w:qFormat/>
    <w:uiPriority w:val="39"/>
    <w:pPr>
      <w:tabs>
        <w:tab w:val="right" w:leader="dot" w:pos="8296"/>
      </w:tabs>
      <w:ind w:left="440" w:leftChars="200"/>
      <w:jc w:val="center"/>
    </w:pPr>
    <w:rPr>
      <w:rFonts w:ascii="宋体" w:hAnsi="宋体"/>
      <w:sz w:val="30"/>
      <w:szCs w:val="30"/>
    </w:rPr>
  </w:style>
  <w:style w:type="paragraph" w:styleId="25">
    <w:name w:val="toc 9"/>
    <w:basedOn w:val="1"/>
    <w:next w:val="1"/>
    <w:autoRedefine/>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6">
    <w:name w:val="Body Text 2"/>
    <w:basedOn w:val="1"/>
    <w:autoRedefine/>
    <w:qFormat/>
    <w:uiPriority w:val="0"/>
    <w:pPr>
      <w:spacing w:line="360" w:lineRule="auto"/>
    </w:pPr>
    <w:rPr>
      <w:sz w:val="24"/>
    </w:rPr>
  </w:style>
  <w:style w:type="paragraph" w:styleId="27">
    <w:name w:val="Normal (Web)"/>
    <w:basedOn w:val="1"/>
    <w:link w:val="61"/>
    <w:autoRedefine/>
    <w:qFormat/>
    <w:uiPriority w:val="0"/>
    <w:pPr>
      <w:widowControl w:val="0"/>
      <w:adjustRightInd/>
      <w:snapToGrid/>
      <w:jc w:val="both"/>
    </w:pPr>
    <w:rPr>
      <w:rFonts w:asciiTheme="minorHAnsi" w:hAnsiTheme="minorHAnsi"/>
      <w:kern w:val="2"/>
      <w:sz w:val="24"/>
      <w:szCs w:val="24"/>
    </w:rPr>
  </w:style>
  <w:style w:type="paragraph" w:styleId="28">
    <w:name w:val="annotation subject"/>
    <w:basedOn w:val="8"/>
    <w:next w:val="8"/>
    <w:link w:val="65"/>
    <w:autoRedefine/>
    <w:semiHidden/>
    <w:unhideWhenUsed/>
    <w:qFormat/>
    <w:uiPriority w:val="99"/>
    <w:rPr>
      <w:b/>
      <w:bCs/>
    </w:rPr>
  </w:style>
  <w:style w:type="paragraph" w:styleId="29">
    <w:name w:val="Body Text First Indent 2"/>
    <w:basedOn w:val="11"/>
    <w:autoRedefine/>
    <w:qFormat/>
    <w:uiPriority w:val="0"/>
    <w:pPr>
      <w:ind w:left="0" w:leftChars="0" w:firstLine="420" w:firstLineChars="200"/>
    </w:pPr>
    <w:rPr>
      <w:rFonts w:ascii="Tahoma" w:hAnsi="Tahoma"/>
      <w:sz w:val="28"/>
    </w:rPr>
  </w:style>
  <w:style w:type="table" w:styleId="31">
    <w:name w:val="Table Grid"/>
    <w:basedOn w:val="30"/>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basedOn w:val="32"/>
    <w:autoRedefine/>
    <w:qFormat/>
    <w:uiPriority w:val="22"/>
    <w:rPr>
      <w:b/>
    </w:rPr>
  </w:style>
  <w:style w:type="character" w:styleId="34">
    <w:name w:val="page number"/>
    <w:basedOn w:val="32"/>
    <w:autoRedefine/>
    <w:qFormat/>
    <w:uiPriority w:val="0"/>
  </w:style>
  <w:style w:type="character" w:styleId="35">
    <w:name w:val="Emphasis"/>
    <w:basedOn w:val="32"/>
    <w:autoRedefine/>
    <w:qFormat/>
    <w:uiPriority w:val="20"/>
    <w:rPr>
      <w:i/>
      <w:iCs/>
    </w:rPr>
  </w:style>
  <w:style w:type="character" w:styleId="36">
    <w:name w:val="Hyperlink"/>
    <w:autoRedefine/>
    <w:qFormat/>
    <w:uiPriority w:val="99"/>
    <w:rPr>
      <w:rFonts w:hint="eastAsia" w:ascii="宋体" w:hAnsi="宋体" w:eastAsia="宋体" w:cs="宋体"/>
      <w:b/>
      <w:color w:val="0031C1"/>
      <w:kern w:val="0"/>
      <w:sz w:val="18"/>
      <w:szCs w:val="18"/>
      <w:u w:val="none"/>
      <w:lang w:eastAsia="en-US"/>
    </w:rPr>
  </w:style>
  <w:style w:type="character" w:styleId="37">
    <w:name w:val="annotation reference"/>
    <w:basedOn w:val="32"/>
    <w:autoRedefine/>
    <w:semiHidden/>
    <w:unhideWhenUsed/>
    <w:qFormat/>
    <w:uiPriority w:val="99"/>
    <w:rPr>
      <w:sz w:val="21"/>
      <w:szCs w:val="21"/>
    </w:rPr>
  </w:style>
  <w:style w:type="character" w:styleId="38">
    <w:name w:val="footnote reference"/>
    <w:basedOn w:val="32"/>
    <w:autoRedefine/>
    <w:semiHidden/>
    <w:unhideWhenUsed/>
    <w:qFormat/>
    <w:uiPriority w:val="99"/>
    <w:rPr>
      <w:vertAlign w:val="superscript"/>
    </w:rPr>
  </w:style>
  <w:style w:type="paragraph" w:customStyle="1" w:styleId="39">
    <w:name w:val="文档正文"/>
    <w:basedOn w:val="1"/>
    <w:autoRedefine/>
    <w:qFormat/>
    <w:uiPriority w:val="0"/>
    <w:pPr>
      <w:spacing w:line="360" w:lineRule="auto"/>
    </w:pPr>
    <w:rPr>
      <w:rFonts w:cs="Arial"/>
      <w:bCs/>
    </w:rPr>
  </w:style>
  <w:style w:type="paragraph" w:customStyle="1" w:styleId="40">
    <w:name w:val="样式 正文首行缩进 + 首行缩进:  1 字符"/>
    <w:basedOn w:val="1"/>
    <w:next w:val="1"/>
    <w:autoRedefine/>
    <w:qFormat/>
    <w:uiPriority w:val="0"/>
    <w:pPr>
      <w:ind w:firstLine="200" w:firstLineChars="200"/>
    </w:pPr>
    <w:rPr>
      <w:rFonts w:cs="宋体"/>
      <w:szCs w:val="20"/>
    </w:rPr>
  </w:style>
  <w:style w:type="paragraph" w:customStyle="1" w:styleId="41">
    <w:name w:val="首行缩进"/>
    <w:basedOn w:val="1"/>
    <w:autoRedefine/>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2">
    <w:name w:val="标题 2 字符"/>
    <w:basedOn w:val="32"/>
    <w:link w:val="3"/>
    <w:autoRedefine/>
    <w:qFormat/>
    <w:uiPriority w:val="9"/>
    <w:rPr>
      <w:rFonts w:asciiTheme="majorHAnsi" w:hAnsiTheme="majorHAnsi" w:eastAsiaTheme="majorEastAsia" w:cstheme="majorBidi"/>
      <w:b/>
      <w:bCs/>
      <w:sz w:val="32"/>
      <w:szCs w:val="32"/>
    </w:rPr>
  </w:style>
  <w:style w:type="character" w:customStyle="1" w:styleId="43">
    <w:name w:val="标题 3 字符"/>
    <w:basedOn w:val="32"/>
    <w:link w:val="4"/>
    <w:autoRedefine/>
    <w:qFormat/>
    <w:uiPriority w:val="9"/>
    <w:rPr>
      <w:rFonts w:ascii="Tahoma" w:hAnsi="Tahoma"/>
      <w:b/>
      <w:bCs/>
      <w:sz w:val="32"/>
      <w:szCs w:val="32"/>
    </w:rPr>
  </w:style>
  <w:style w:type="paragraph" w:styleId="44">
    <w:name w:val="List Paragraph"/>
    <w:basedOn w:val="1"/>
    <w:link w:val="66"/>
    <w:autoRedefine/>
    <w:qFormat/>
    <w:uiPriority w:val="0"/>
    <w:pPr>
      <w:ind w:firstLine="420" w:firstLineChars="200"/>
    </w:pPr>
  </w:style>
  <w:style w:type="character" w:customStyle="1" w:styleId="45">
    <w:name w:val="标题 4 字符"/>
    <w:basedOn w:val="32"/>
    <w:link w:val="5"/>
    <w:autoRedefine/>
    <w:qFormat/>
    <w:uiPriority w:val="9"/>
    <w:rPr>
      <w:rFonts w:eastAsia="宋体" w:asciiTheme="majorHAnsi" w:hAnsiTheme="majorHAnsi" w:cstheme="majorBidi"/>
      <w:b/>
      <w:bCs/>
      <w:sz w:val="24"/>
      <w:szCs w:val="28"/>
    </w:rPr>
  </w:style>
  <w:style w:type="character" w:customStyle="1" w:styleId="46">
    <w:name w:val="正文缩进2格 Char"/>
    <w:link w:val="47"/>
    <w:autoRedefine/>
    <w:qFormat/>
    <w:uiPriority w:val="0"/>
    <w:rPr>
      <w:rFonts w:ascii="仿宋_GB2312" w:hAnsi="宋体" w:eastAsia="仿宋_GB2312"/>
      <w:kern w:val="2"/>
      <w:sz w:val="31"/>
    </w:rPr>
  </w:style>
  <w:style w:type="paragraph" w:customStyle="1" w:styleId="47">
    <w:name w:val="正文缩进2格"/>
    <w:basedOn w:val="1"/>
    <w:link w:val="46"/>
    <w:autoRedefine/>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8">
    <w:name w:val="正文缩进4格"/>
    <w:basedOn w:val="47"/>
    <w:autoRedefine/>
    <w:qFormat/>
    <w:uiPriority w:val="0"/>
    <w:pPr>
      <w:ind w:left="2" w:firstLine="538" w:firstLineChars="192"/>
    </w:pPr>
    <w:rPr>
      <w:color w:val="0000FF"/>
      <w:sz w:val="28"/>
    </w:rPr>
  </w:style>
  <w:style w:type="character" w:customStyle="1" w:styleId="49">
    <w:name w:val="正文缩进2格 Char Char"/>
    <w:autoRedefine/>
    <w:qFormat/>
    <w:uiPriority w:val="0"/>
    <w:rPr>
      <w:rFonts w:ascii="仿宋_GB2312" w:hAnsi="宋体" w:eastAsia="仿宋_GB2312" w:cs="Times New Roman"/>
      <w:b/>
      <w:kern w:val="2"/>
      <w:sz w:val="31"/>
      <w:szCs w:val="28"/>
      <w:lang w:val="en-US" w:eastAsia="zh-CN" w:bidi="ar-SA"/>
    </w:rPr>
  </w:style>
  <w:style w:type="paragraph" w:customStyle="1" w:styleId="50">
    <w:name w:val="_Style 3"/>
    <w:basedOn w:val="1"/>
    <w:autoRedefine/>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1">
    <w:name w:val="标题1"/>
    <w:autoRedefine/>
    <w:qFormat/>
    <w:uiPriority w:val="0"/>
    <w:rPr>
      <w:rFonts w:ascii="Times New Roman" w:hAnsi="Times New Roman" w:eastAsia="宋体" w:cs="Times New Roman"/>
      <w:b/>
      <w:kern w:val="0"/>
      <w:sz w:val="24"/>
      <w:szCs w:val="20"/>
      <w:lang w:eastAsia="en-US"/>
    </w:rPr>
  </w:style>
  <w:style w:type="character" w:customStyle="1" w:styleId="52">
    <w:name w:val="标题 3.1 Char"/>
    <w:link w:val="53"/>
    <w:autoRedefine/>
    <w:qFormat/>
    <w:uiPriority w:val="0"/>
    <w:rPr>
      <w:rFonts w:ascii="宋体" w:hAnsi="宋体" w:eastAsia="宋体"/>
      <w:b/>
      <w:color w:val="FF0000"/>
      <w:kern w:val="2"/>
      <w:sz w:val="32"/>
    </w:rPr>
  </w:style>
  <w:style w:type="paragraph" w:customStyle="1" w:styleId="53">
    <w:name w:val="标题 3.1"/>
    <w:basedOn w:val="4"/>
    <w:link w:val="52"/>
    <w:autoRedefine/>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4">
    <w:name w:val="样式 楷体_GB2312 小四"/>
    <w:autoRedefine/>
    <w:qFormat/>
    <w:uiPriority w:val="0"/>
    <w:rPr>
      <w:rFonts w:ascii="楷体_GB2312" w:hAnsi="楷体_GB2312" w:eastAsia="仿宋_GB2312"/>
      <w:sz w:val="24"/>
    </w:rPr>
  </w:style>
  <w:style w:type="character" w:customStyle="1" w:styleId="55">
    <w:name w:val="纯文本 Char"/>
    <w:autoRedefine/>
    <w:qFormat/>
    <w:uiPriority w:val="0"/>
    <w:rPr>
      <w:rFonts w:ascii="宋体" w:hAnsi="Courier New" w:eastAsia="宋体" w:cs="Times New Roman"/>
      <w:b/>
      <w:kern w:val="2"/>
      <w:sz w:val="21"/>
      <w:szCs w:val="20"/>
    </w:rPr>
  </w:style>
  <w:style w:type="character" w:customStyle="1" w:styleId="56">
    <w:name w:val="纯文本 字符"/>
    <w:basedOn w:val="32"/>
    <w:link w:val="15"/>
    <w:autoRedefine/>
    <w:semiHidden/>
    <w:qFormat/>
    <w:uiPriority w:val="99"/>
    <w:rPr>
      <w:rFonts w:ascii="宋体" w:hAnsi="Courier New" w:eastAsia="宋体" w:cs="Courier New"/>
      <w:sz w:val="21"/>
      <w:szCs w:val="21"/>
    </w:rPr>
  </w:style>
  <w:style w:type="character" w:customStyle="1" w:styleId="57">
    <w:name w:val="页眉 字符"/>
    <w:basedOn w:val="32"/>
    <w:link w:val="19"/>
    <w:autoRedefine/>
    <w:qFormat/>
    <w:uiPriority w:val="99"/>
    <w:rPr>
      <w:rFonts w:ascii="Tahoma" w:hAnsi="Tahoma"/>
      <w:sz w:val="18"/>
      <w:szCs w:val="18"/>
    </w:rPr>
  </w:style>
  <w:style w:type="character" w:customStyle="1" w:styleId="58">
    <w:name w:val="页脚 字符"/>
    <w:basedOn w:val="32"/>
    <w:link w:val="18"/>
    <w:autoRedefine/>
    <w:qFormat/>
    <w:uiPriority w:val="99"/>
    <w:rPr>
      <w:rFonts w:ascii="Tahoma" w:hAnsi="Tahoma"/>
      <w:sz w:val="18"/>
      <w:szCs w:val="18"/>
    </w:rPr>
  </w:style>
  <w:style w:type="character" w:customStyle="1" w:styleId="59">
    <w:name w:val="批注框文本 字符"/>
    <w:basedOn w:val="32"/>
    <w:link w:val="17"/>
    <w:autoRedefine/>
    <w:semiHidden/>
    <w:qFormat/>
    <w:uiPriority w:val="99"/>
    <w:rPr>
      <w:rFonts w:ascii="Tahoma" w:hAnsi="Tahoma"/>
      <w:sz w:val="18"/>
      <w:szCs w:val="18"/>
    </w:rPr>
  </w:style>
  <w:style w:type="paragraph" w:customStyle="1" w:styleId="60">
    <w:name w:val="Char Char2 Char"/>
    <w:basedOn w:val="1"/>
    <w:autoRedefine/>
    <w:qFormat/>
    <w:uiPriority w:val="0"/>
    <w:pPr>
      <w:widowControl w:val="0"/>
      <w:adjustRightInd/>
      <w:snapToGrid/>
      <w:jc w:val="both"/>
    </w:pPr>
    <w:rPr>
      <w:rFonts w:ascii="宋体" w:hAnsi="宋体" w:cs="Times New Roman"/>
      <w:b/>
      <w:kern w:val="2"/>
      <w:sz w:val="28"/>
      <w:szCs w:val="28"/>
    </w:rPr>
  </w:style>
  <w:style w:type="character" w:customStyle="1" w:styleId="61">
    <w:name w:val="普通(网站) 字符"/>
    <w:link w:val="27"/>
    <w:autoRedefine/>
    <w:qFormat/>
    <w:uiPriority w:val="0"/>
    <w:rPr>
      <w:rFonts w:eastAsia="宋体"/>
      <w:kern w:val="2"/>
      <w:sz w:val="24"/>
      <w:szCs w:val="24"/>
    </w:rPr>
  </w:style>
  <w:style w:type="paragraph" w:customStyle="1" w:styleId="62">
    <w:name w:val="列出段落1"/>
    <w:basedOn w:val="1"/>
    <w:autoRedefine/>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3">
    <w:name w:val="p141"/>
    <w:autoRedefine/>
    <w:qFormat/>
    <w:uiPriority w:val="0"/>
    <w:rPr>
      <w:sz w:val="21"/>
      <w:szCs w:val="21"/>
    </w:rPr>
  </w:style>
  <w:style w:type="character" w:customStyle="1" w:styleId="64">
    <w:name w:val="批注文字 字符"/>
    <w:basedOn w:val="32"/>
    <w:link w:val="8"/>
    <w:autoRedefine/>
    <w:qFormat/>
    <w:uiPriority w:val="99"/>
    <w:rPr>
      <w:rFonts w:ascii="Tahoma" w:hAnsi="Tahoma" w:eastAsia="微软雅黑" w:cstheme="minorBidi"/>
      <w:sz w:val="22"/>
      <w:szCs w:val="22"/>
    </w:rPr>
  </w:style>
  <w:style w:type="character" w:customStyle="1" w:styleId="65">
    <w:name w:val="批注主题 字符"/>
    <w:basedOn w:val="64"/>
    <w:link w:val="28"/>
    <w:autoRedefine/>
    <w:semiHidden/>
    <w:qFormat/>
    <w:uiPriority w:val="99"/>
    <w:rPr>
      <w:rFonts w:ascii="Tahoma" w:hAnsi="Tahoma" w:eastAsia="微软雅黑" w:cstheme="minorBidi"/>
      <w:b/>
      <w:bCs/>
      <w:sz w:val="22"/>
      <w:szCs w:val="22"/>
    </w:rPr>
  </w:style>
  <w:style w:type="character" w:customStyle="1" w:styleId="66">
    <w:name w:val="列表段落 字符"/>
    <w:link w:val="44"/>
    <w:autoRedefine/>
    <w:qFormat/>
    <w:uiPriority w:val="0"/>
    <w:rPr>
      <w:rFonts w:ascii="Tahoma" w:hAnsi="Tahoma" w:eastAsia="微软雅黑" w:cstheme="minorBidi"/>
      <w:sz w:val="22"/>
      <w:szCs w:val="22"/>
    </w:rPr>
  </w:style>
  <w:style w:type="character" w:customStyle="1" w:styleId="67">
    <w:name w:val="正文文本 字符"/>
    <w:basedOn w:val="32"/>
    <w:link w:val="9"/>
    <w:autoRedefine/>
    <w:qFormat/>
    <w:uiPriority w:val="1"/>
    <w:rPr>
      <w:rFonts w:ascii="宋体" w:hAnsi="宋体" w:cs="宋体"/>
      <w:sz w:val="24"/>
      <w:szCs w:val="22"/>
      <w:lang w:val="zh-CN" w:bidi="zh-CN"/>
    </w:rPr>
  </w:style>
  <w:style w:type="paragraph" w:customStyle="1" w:styleId="6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9">
    <w:name w:val="_Style 1"/>
    <w:basedOn w:val="1"/>
    <w:autoRedefine/>
    <w:qFormat/>
    <w:uiPriority w:val="0"/>
    <w:pPr>
      <w:ind w:firstLine="420" w:firstLineChars="200"/>
    </w:pPr>
  </w:style>
  <w:style w:type="paragraph" w:customStyle="1" w:styleId="70">
    <w:name w:val="列出段落2"/>
    <w:basedOn w:val="1"/>
    <w:autoRedefine/>
    <w:qFormat/>
    <w:uiPriority w:val="0"/>
    <w:pPr>
      <w:ind w:firstLine="420" w:firstLineChars="200"/>
    </w:pPr>
  </w:style>
  <w:style w:type="paragraph" w:customStyle="1" w:styleId="71">
    <w:name w:val="p0"/>
    <w:basedOn w:val="1"/>
    <w:autoRedefine/>
    <w:qFormat/>
    <w:uiPriority w:val="0"/>
    <w:rPr>
      <w:szCs w:val="21"/>
    </w:rPr>
  </w:style>
  <w:style w:type="paragraph" w:customStyle="1" w:styleId="72">
    <w:name w:val="正文文本缩进 21"/>
    <w:basedOn w:val="1"/>
    <w:autoRedefine/>
    <w:qFormat/>
    <w:uiPriority w:val="0"/>
    <w:pPr>
      <w:spacing w:line="480" w:lineRule="auto"/>
      <w:ind w:firstLine="540"/>
    </w:pPr>
    <w:rPr>
      <w:rFonts w:ascii="Calibri" w:hAnsi="Calibri"/>
      <w:sz w:val="20"/>
      <w:szCs w:val="20"/>
    </w:rPr>
  </w:style>
  <w:style w:type="paragraph" w:customStyle="1" w:styleId="73">
    <w:name w:val="_Style 2"/>
    <w:basedOn w:val="1"/>
    <w:autoRedefine/>
    <w:qFormat/>
    <w:uiPriority w:val="0"/>
    <w:pPr>
      <w:ind w:firstLine="420" w:firstLineChars="200"/>
    </w:pPr>
  </w:style>
  <w:style w:type="paragraph" w:customStyle="1" w:styleId="74">
    <w:name w:val="msolistparagraph"/>
    <w:basedOn w:val="1"/>
    <w:autoRedefine/>
    <w:qFormat/>
    <w:uiPriority w:val="0"/>
    <w:pPr>
      <w:ind w:firstLine="420" w:firstLineChars="200"/>
    </w:pPr>
    <w:rPr>
      <w:rFonts w:hint="eastAsia" w:hAnsi="宋体"/>
    </w:rPr>
  </w:style>
  <w:style w:type="character" w:customStyle="1" w:styleId="75">
    <w:name w:val="标题 5 字符"/>
    <w:link w:val="6"/>
    <w:autoRedefine/>
    <w:qFormat/>
    <w:uiPriority w:val="0"/>
    <w:rPr>
      <w:b/>
      <w:sz w:val="28"/>
    </w:rPr>
  </w:style>
  <w:style w:type="character" w:customStyle="1" w:styleId="76">
    <w:name w:val="标题 1 字符"/>
    <w:link w:val="2"/>
    <w:autoRedefine/>
    <w:qFormat/>
    <w:uiPriority w:val="9"/>
    <w:rPr>
      <w:b/>
      <w:kern w:val="44"/>
      <w:sz w:val="44"/>
    </w:rPr>
  </w:style>
  <w:style w:type="paragraph" w:customStyle="1" w:styleId="77">
    <w:name w:val="修订1"/>
    <w:autoRedefine/>
    <w:hidden/>
    <w:semiHidden/>
    <w:qFormat/>
    <w:uiPriority w:val="99"/>
    <w:rPr>
      <w:rFonts w:ascii="Tahoma" w:hAnsi="Tahoma" w:eastAsia="宋体" w:cstheme="minorBidi"/>
      <w:sz w:val="21"/>
      <w:szCs w:val="22"/>
      <w:lang w:val="en-US" w:eastAsia="zh-CN" w:bidi="ar-SA"/>
    </w:rPr>
  </w:style>
  <w:style w:type="paragraph" w:customStyle="1" w:styleId="78">
    <w:name w:val="表格文字"/>
    <w:basedOn w:val="1"/>
    <w:autoRedefine/>
    <w:qFormat/>
    <w:uiPriority w:val="0"/>
    <w:pPr>
      <w:adjustRightInd/>
      <w:spacing w:before="25" w:after="25"/>
    </w:pPr>
    <w:rPr>
      <w:rFonts w:ascii="Times New Roman"/>
      <w:bCs/>
      <w:spacing w:val="10"/>
      <w:szCs w:val="20"/>
    </w:rPr>
  </w:style>
  <w:style w:type="paragraph" w:customStyle="1" w:styleId="79">
    <w:name w:val="纯文本1"/>
    <w:basedOn w:val="80"/>
    <w:autoRedefine/>
    <w:qFormat/>
    <w:uiPriority w:val="0"/>
    <w:rPr>
      <w:rFonts w:ascii="宋体" w:hAnsi="Courier New"/>
      <w:szCs w:val="20"/>
    </w:rPr>
  </w:style>
  <w:style w:type="paragraph" w:customStyle="1" w:styleId="80">
    <w:name w:val="正文 New"/>
    <w:autoRedefine/>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1">
    <w:name w:val="正文2"/>
    <w:autoRedefine/>
    <w:qFormat/>
    <w:uiPriority w:val="0"/>
    <w:pPr>
      <w:jc w:val="both"/>
    </w:pPr>
    <w:rPr>
      <w:rFonts w:ascii="Times New Roman" w:hAnsi="Times New Roman" w:eastAsia="宋体" w:cs="Times New Roman"/>
      <w:kern w:val="2"/>
      <w:sz w:val="21"/>
      <w:szCs w:val="21"/>
      <w:lang w:val="en-US" w:eastAsia="zh-CN" w:bidi="ar-SA"/>
    </w:rPr>
  </w:style>
  <w:style w:type="table" w:customStyle="1" w:styleId="82">
    <w:name w:val="Table Normal"/>
    <w:autoRedefine/>
    <w:semiHidden/>
    <w:unhideWhenUsed/>
    <w:qFormat/>
    <w:uiPriority w:val="2"/>
    <w:tblPr>
      <w:tblCellMar>
        <w:top w:w="0" w:type="dxa"/>
        <w:left w:w="0" w:type="dxa"/>
        <w:bottom w:w="0" w:type="dxa"/>
        <w:right w:w="0" w:type="dxa"/>
      </w:tblCellMar>
    </w:tblPr>
  </w:style>
  <w:style w:type="paragraph" w:customStyle="1" w:styleId="83">
    <w:name w:val="Table Paragraph"/>
    <w:basedOn w:val="1"/>
    <w:autoRedefine/>
    <w:qFormat/>
    <w:uiPriority w:val="1"/>
  </w:style>
  <w:style w:type="paragraph" w:customStyle="1" w:styleId="84">
    <w:name w:val="正文文本缩进1"/>
    <w:basedOn w:val="80"/>
    <w:autoRedefine/>
    <w:qFormat/>
    <w:uiPriority w:val="0"/>
    <w:pPr>
      <w:spacing w:after="120"/>
      <w:ind w:left="420" w:leftChars="200"/>
    </w:pPr>
  </w:style>
  <w:style w:type="paragraph" w:customStyle="1" w:styleId="85">
    <w:name w:val="正文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86">
    <w:name w:val="纯文本2"/>
    <w:basedOn w:val="80"/>
    <w:autoRedefine/>
    <w:qFormat/>
    <w:uiPriority w:val="0"/>
    <w:rPr>
      <w:rFonts w:ascii="宋体" w:hAnsi="Courier New"/>
      <w:szCs w:val="20"/>
    </w:rPr>
  </w:style>
  <w:style w:type="character" w:customStyle="1" w:styleId="87">
    <w:name w:val="font141"/>
    <w:autoRedefine/>
    <w:qFormat/>
    <w:uiPriority w:val="0"/>
    <w:rPr>
      <w:rFonts w:hint="default" w:ascii="Times New Roman" w:hAnsi="Times New Roman" w:cs="Times New Roman"/>
      <w:color w:val="000000"/>
      <w:sz w:val="18"/>
      <w:szCs w:val="18"/>
      <w:u w:val="none"/>
    </w:rPr>
  </w:style>
  <w:style w:type="character" w:customStyle="1" w:styleId="88">
    <w:name w:val="font71"/>
    <w:autoRedefine/>
    <w:qFormat/>
    <w:uiPriority w:val="0"/>
    <w:rPr>
      <w:rFonts w:hint="eastAsia" w:ascii="宋体" w:hAnsi="宋体" w:eastAsia="宋体" w:cs="宋体"/>
      <w:color w:val="000000"/>
      <w:sz w:val="18"/>
      <w:szCs w:val="18"/>
      <w:u w:val="none"/>
    </w:rPr>
  </w:style>
  <w:style w:type="paragraph" w:customStyle="1" w:styleId="89">
    <w:name w:val="Table Text"/>
    <w:basedOn w:val="1"/>
    <w:autoRedefine/>
    <w:semiHidden/>
    <w:qFormat/>
    <w:uiPriority w:val="0"/>
    <w:rPr>
      <w:rFonts w:ascii="宋体" w:hAnsi="宋体" w:eastAsia="宋体" w:cs="宋体"/>
      <w:sz w:val="28"/>
      <w:szCs w:val="28"/>
      <w:lang w:val="en-US" w:eastAsia="en-US" w:bidi="ar-SA"/>
    </w:rPr>
  </w:style>
  <w:style w:type="paragraph" w:customStyle="1" w:styleId="90">
    <w:name w:val="Normal-1"/>
    <w:basedOn w:val="1"/>
    <w:autoRedefine/>
    <w:qFormat/>
    <w:uiPriority w:val="0"/>
    <w:pPr>
      <w:spacing w:after="156" w:afterLines="50" w:line="312" w:lineRule="auto"/>
      <w:ind w:firstLine="200" w:firstLineChars="200"/>
    </w:pPr>
    <w:rPr>
      <w:rFonts w:ascii="Arial" w:hAnsi="Arial" w:eastAsia="宋体" w:cs="Arial"/>
      <w:sz w:val="24"/>
      <w:szCs w:val="22"/>
    </w:rPr>
  </w:style>
  <w:style w:type="paragraph" w:customStyle="1" w:styleId="91">
    <w:name w:val="表格字体"/>
    <w:basedOn w:val="1"/>
    <w:autoRedefine/>
    <w:qFormat/>
    <w:uiPriority w:val="0"/>
    <w:pPr>
      <w:autoSpaceDE/>
      <w:autoSpaceDN/>
      <w:snapToGrid w:val="0"/>
    </w:pPr>
    <w:rPr>
      <w:rFonts w:ascii="微软雅黑" w:hAnsi="微软雅黑" w:eastAsia="仿宋"/>
      <w:kern w:val="2"/>
      <w:sz w:val="20"/>
      <w:szCs w:val="22"/>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134</Pages>
  <Words>6269</Words>
  <Characters>7000</Characters>
  <Lines>66</Lines>
  <Paragraphs>65</Paragraphs>
  <TotalTime>5</TotalTime>
  <ScaleCrop>false</ScaleCrop>
  <LinksUpToDate>false</LinksUpToDate>
  <CharactersWithSpaces>7210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2022-10-29T01:19:00Z</dcterms:created>
  <dc:creator>MyPC</dc:creator>
  <cp:lastModifiedBy>01</cp:lastModifiedBy>
  <cp:lastPrinted>2025-07-17T00:47:00Z</cp:lastPrinted>
  <dcterms:modified xsi:type="dcterms:W3CDTF">2025-12-31T02:08:20Z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DC05452A288240629542244DB3054A0E_13</vt:lpwstr>
  </property>
  <property fmtid="{D5CDD505-2E9C-101B-9397-08002B2CF9AE}" pid="4" name="KSOTemplateDocerSaveRecord">
    <vt:lpwstr>eyJoZGlkIjoiYTRjMjIwYTRjOTc5ZmEyMWUyNzU3MDBkZjI1YmQ3OTIiLCJ1c2VySWQiOiI0MTA0NDMxNzMifQ==</vt:lpwstr>
  </property>
</Properties>
</file>