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28"/>
          <w:szCs w:val="28"/>
          <w:highlight w:val="none"/>
          <w:lang w:val="en-US" w:eastAsia="zh-CN"/>
        </w:rPr>
      </w:pPr>
      <w:bookmarkStart w:id="0" w:name="OLE_LINK3"/>
    </w:p>
    <w:p>
      <w:pPr>
        <w:jc w:val="center"/>
        <w:rPr>
          <w:rFonts w:hint="default" w:ascii="黑体" w:eastAsia="黑体"/>
          <w:sz w:val="28"/>
          <w:szCs w:val="28"/>
          <w:highlight w:val="none"/>
          <w:lang w:val="en-US" w:eastAsia="zh-CN"/>
        </w:rPr>
      </w:pPr>
      <w:bookmarkStart w:id="1" w:name="OLE_LINK2"/>
      <w:r>
        <w:rPr>
          <w:rFonts w:hint="eastAsia" w:ascii="黑体" w:eastAsia="黑体"/>
          <w:sz w:val="28"/>
          <w:szCs w:val="28"/>
          <w:highlight w:val="none"/>
          <w:lang w:val="en-US" w:eastAsia="zh-CN"/>
        </w:rPr>
        <w:t>新锋交通智慧服务平台项目</w:t>
      </w: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28"/>
          <w:szCs w:val="28"/>
          <w:highlight w:val="none"/>
          <w:lang w:val="en-US" w:eastAsia="zh-CN"/>
        </w:rPr>
      </w:pPr>
    </w:p>
    <w:p>
      <w:pPr>
        <w:jc w:val="center"/>
        <w:rPr>
          <w:rFonts w:hint="eastAsia" w:ascii="黑体" w:eastAsia="黑体"/>
          <w:sz w:val="40"/>
          <w:szCs w:val="40"/>
          <w:highlight w:val="none"/>
          <w:lang w:val="en-US" w:eastAsia="zh-CN"/>
        </w:rPr>
      </w:pPr>
    </w:p>
    <w:p>
      <w:pPr>
        <w:jc w:val="center"/>
        <w:rPr>
          <w:rFonts w:hint="default" w:ascii="黑体" w:eastAsia="黑体"/>
          <w:sz w:val="40"/>
          <w:szCs w:val="40"/>
          <w:highlight w:val="none"/>
          <w:lang w:val="en-US" w:eastAsia="zh-CN"/>
        </w:rPr>
      </w:pPr>
      <w:r>
        <w:rPr>
          <w:rFonts w:hint="eastAsia" w:ascii="黑体" w:eastAsia="黑体"/>
          <w:sz w:val="40"/>
          <w:szCs w:val="40"/>
          <w:highlight w:val="none"/>
          <w:lang w:val="en-US" w:eastAsia="zh-CN"/>
        </w:rPr>
        <w:t>竞争性谈判文件</w:t>
      </w:r>
      <w:bookmarkEnd w:id="1"/>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eastAsia="华文隶书"/>
          <w:sz w:val="44"/>
          <w:szCs w:val="44"/>
          <w:highlight w:val="none"/>
        </w:rPr>
      </w:pPr>
    </w:p>
    <w:p>
      <w:pPr>
        <w:jc w:val="center"/>
        <w:rPr>
          <w:rFonts w:hint="eastAsia" w:ascii="黑体" w:eastAsia="黑体"/>
          <w:sz w:val="28"/>
          <w:szCs w:val="28"/>
          <w:highlight w:val="none"/>
          <w:lang w:val="en-US" w:eastAsia="zh-CN"/>
        </w:rPr>
      </w:pPr>
      <w:r>
        <w:rPr>
          <w:rFonts w:hint="eastAsia" w:ascii="黑体" w:eastAsia="黑体"/>
          <w:sz w:val="28"/>
          <w:szCs w:val="28"/>
          <w:highlight w:val="none"/>
          <w:lang w:val="en-US" w:eastAsia="zh-CN"/>
        </w:rPr>
        <w:t>采购人：东莞新锋交通能源发展有限公司</w:t>
      </w:r>
    </w:p>
    <w:p>
      <w:pPr>
        <w:jc w:val="center"/>
        <w:rPr>
          <w:rFonts w:ascii="黑体" w:eastAsia="黑体"/>
          <w:sz w:val="28"/>
          <w:szCs w:val="28"/>
          <w:highlight w:val="none"/>
        </w:rPr>
      </w:pPr>
      <w:r>
        <w:rPr>
          <w:rFonts w:hint="eastAsia" w:ascii="黑体" w:eastAsia="黑体"/>
          <w:sz w:val="28"/>
          <w:szCs w:val="28"/>
          <w:highlight w:val="none"/>
          <w:lang w:val="en-US" w:eastAsia="zh-CN"/>
        </w:rPr>
        <w:t>2025年12月30日</w:t>
      </w:r>
      <w:r>
        <w:rPr>
          <w:rFonts w:eastAsia="华文隶书"/>
          <w:sz w:val="44"/>
          <w:szCs w:val="44"/>
          <w:highlight w:val="none"/>
        </w:rPr>
        <w:br w:type="page"/>
      </w:r>
      <w:bookmarkStart w:id="2" w:name="OLE_LINK5"/>
      <w:r>
        <w:rPr>
          <w:rFonts w:hint="eastAsia" w:ascii="黑体" w:eastAsia="黑体"/>
          <w:sz w:val="28"/>
          <w:szCs w:val="28"/>
          <w:highlight w:val="none"/>
        </w:rPr>
        <w:t>目 录</w:t>
      </w:r>
    </w:p>
    <w:p>
      <w:pPr>
        <w:pStyle w:val="26"/>
        <w:tabs>
          <w:tab w:val="right" w:leader="dot" w:pos="8306"/>
        </w:tabs>
      </w:pPr>
      <w:r>
        <w:rPr>
          <w:rFonts w:hint="default" w:ascii="黑体" w:eastAsia="黑体"/>
          <w:sz w:val="28"/>
          <w:szCs w:val="28"/>
          <w:highlight w:val="none"/>
          <w:lang w:val="en-US"/>
        </w:rPr>
        <w:fldChar w:fldCharType="begin"/>
      </w:r>
      <w:r>
        <w:rPr>
          <w:rFonts w:hint="default" w:ascii="黑体" w:eastAsia="黑体"/>
          <w:sz w:val="28"/>
          <w:szCs w:val="28"/>
          <w:highlight w:val="none"/>
          <w:lang w:val="en-US"/>
        </w:rPr>
        <w:instrText xml:space="preserve"> TOC \o "1-3" \h \z \u </w:instrText>
      </w:r>
      <w:r>
        <w:rPr>
          <w:rFonts w:hint="default" w:ascii="黑体" w:eastAsia="黑体"/>
          <w:sz w:val="28"/>
          <w:szCs w:val="28"/>
          <w:highlight w:val="none"/>
          <w:lang w:val="en-US"/>
        </w:rPr>
        <w:fldChar w:fldCharType="separate"/>
      </w: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_Toc27174 </w:instrText>
      </w:r>
      <w:r>
        <w:rPr>
          <w:rFonts w:hint="default" w:ascii="黑体" w:eastAsia="黑体"/>
          <w:szCs w:val="28"/>
          <w:highlight w:val="none"/>
          <w:lang w:val="en-US"/>
        </w:rPr>
        <w:fldChar w:fldCharType="separate"/>
      </w:r>
      <w:r>
        <w:rPr>
          <w:rFonts w:hint="eastAsia" w:ascii="方正小标宋简体" w:hAnsi="方正小标宋简体" w:eastAsia="方正小标宋简体" w:cs="方正小标宋简体"/>
          <w:kern w:val="0"/>
          <w:szCs w:val="28"/>
          <w:highlight w:val="none"/>
        </w:rPr>
        <w:t>第一章  竞争性谈判公告</w:t>
      </w:r>
      <w:r>
        <w:tab/>
      </w:r>
      <w:r>
        <w:fldChar w:fldCharType="begin"/>
      </w:r>
      <w:r>
        <w:instrText xml:space="preserve"> PAGEREF _Toc27174 \h </w:instrText>
      </w:r>
      <w:r>
        <w:fldChar w:fldCharType="separate"/>
      </w:r>
      <w:r>
        <w:t>3</w:t>
      </w:r>
      <w:r>
        <w:fldChar w:fldCharType="end"/>
      </w:r>
      <w:r>
        <w:rPr>
          <w:rFonts w:hint="default" w:ascii="黑体" w:eastAsia="黑体"/>
          <w:szCs w:val="28"/>
          <w:highlight w:val="none"/>
          <w:lang w:val="en-US"/>
        </w:rPr>
        <w:fldChar w:fldCharType="end"/>
      </w:r>
    </w:p>
    <w:p>
      <w:pPr>
        <w:pStyle w:val="26"/>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_Toc4751 </w:instrText>
      </w:r>
      <w:r>
        <w:rPr>
          <w:rFonts w:hint="default" w:ascii="黑体" w:eastAsia="黑体"/>
          <w:szCs w:val="28"/>
          <w:highlight w:val="none"/>
          <w:lang w:val="en-US"/>
        </w:rPr>
        <w:fldChar w:fldCharType="separate"/>
      </w:r>
      <w:r>
        <w:rPr>
          <w:rFonts w:hint="eastAsia" w:ascii="宋体" w:hAnsi="宋体" w:eastAsia="宋体" w:cs="宋体"/>
          <w:kern w:val="0"/>
          <w:szCs w:val="28"/>
          <w:highlight w:val="none"/>
          <w:lang w:val="en-US" w:eastAsia="zh-CN"/>
        </w:rPr>
        <w:t>第二章 竞争性谈判响应须知</w:t>
      </w:r>
      <w:r>
        <w:tab/>
      </w:r>
      <w:r>
        <w:fldChar w:fldCharType="begin"/>
      </w:r>
      <w:r>
        <w:instrText xml:space="preserve"> PAGEREF _Toc4751 \h </w:instrText>
      </w:r>
      <w:r>
        <w:fldChar w:fldCharType="separate"/>
      </w:r>
      <w:r>
        <w:t>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_Toc17644 </w:instrText>
      </w:r>
      <w:r>
        <w:rPr>
          <w:rFonts w:hint="default" w:ascii="黑体" w:eastAsia="黑体"/>
          <w:szCs w:val="28"/>
          <w:highlight w:val="none"/>
          <w:lang w:val="en-US"/>
        </w:rPr>
        <w:fldChar w:fldCharType="separate"/>
      </w:r>
      <w:r>
        <w:rPr>
          <w:rFonts w:hint="eastAsia" w:ascii="黑体" w:hAnsi="黑体"/>
          <w:highlight w:val="none"/>
        </w:rPr>
        <w:t>1. 总则</w:t>
      </w:r>
      <w:r>
        <w:tab/>
      </w:r>
      <w:r>
        <w:fldChar w:fldCharType="begin"/>
      </w:r>
      <w:r>
        <w:instrText xml:space="preserve"> PAGEREF _Toc17644 \h </w:instrText>
      </w:r>
      <w:r>
        <w:fldChar w:fldCharType="separate"/>
      </w:r>
      <w:r>
        <w:t>10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_Toc4856 </w:instrText>
      </w:r>
      <w:r>
        <w:rPr>
          <w:rFonts w:hint="default" w:ascii="黑体" w:eastAsia="黑体"/>
          <w:szCs w:val="28"/>
          <w:highlight w:val="none"/>
          <w:lang w:val="en-US"/>
        </w:rPr>
        <w:fldChar w:fldCharType="separate"/>
      </w:r>
      <w:r>
        <w:rPr>
          <w:rFonts w:hint="eastAsia" w:ascii="黑体" w:hAnsi="黑体"/>
          <w:highlight w:val="none"/>
        </w:rPr>
        <w:t>2. 竞争性谈判文件</w:t>
      </w:r>
      <w:r>
        <w:tab/>
      </w:r>
      <w:r>
        <w:fldChar w:fldCharType="begin"/>
      </w:r>
      <w:r>
        <w:instrText xml:space="preserve"> PAGEREF _Toc4856 \h </w:instrText>
      </w:r>
      <w:r>
        <w:fldChar w:fldCharType="separate"/>
      </w:r>
      <w:r>
        <w:t>12</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_Toc408 </w:instrText>
      </w:r>
      <w:r>
        <w:rPr>
          <w:rFonts w:hint="default" w:ascii="黑体" w:eastAsia="黑体"/>
          <w:szCs w:val="28"/>
          <w:highlight w:val="none"/>
          <w:lang w:val="en-US"/>
        </w:rPr>
        <w:fldChar w:fldCharType="separate"/>
      </w:r>
      <w:r>
        <w:rPr>
          <w:rFonts w:hint="eastAsia" w:ascii="黑体" w:hAnsi="黑体"/>
          <w:highlight w:val="none"/>
        </w:rPr>
        <w:t>3. 响应文件</w:t>
      </w:r>
      <w:r>
        <w:tab/>
      </w:r>
      <w:r>
        <w:fldChar w:fldCharType="begin"/>
      </w:r>
      <w:r>
        <w:instrText xml:space="preserve"> PAGEREF _Toc408 \h </w:instrText>
      </w:r>
      <w:r>
        <w:fldChar w:fldCharType="separate"/>
      </w:r>
      <w:r>
        <w:t>13</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_Toc21215 </w:instrText>
      </w:r>
      <w:r>
        <w:rPr>
          <w:rFonts w:hint="default" w:ascii="黑体" w:eastAsia="黑体"/>
          <w:szCs w:val="28"/>
          <w:highlight w:val="none"/>
          <w:lang w:val="en-US"/>
        </w:rPr>
        <w:fldChar w:fldCharType="separate"/>
      </w:r>
      <w:r>
        <w:rPr>
          <w:rFonts w:hint="eastAsia" w:ascii="黑体" w:hAnsi="黑体"/>
          <w:highlight w:val="none"/>
        </w:rPr>
        <w:t>4. 竞争性谈判</w:t>
      </w:r>
      <w:r>
        <w:tab/>
      </w:r>
      <w:r>
        <w:fldChar w:fldCharType="begin"/>
      </w:r>
      <w:r>
        <w:instrText xml:space="preserve"> PAGEREF _Toc21215 \h </w:instrText>
      </w:r>
      <w:r>
        <w:fldChar w:fldCharType="separate"/>
      </w:r>
      <w:r>
        <w:t>15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_Toc20806 </w:instrText>
      </w:r>
      <w:r>
        <w:rPr>
          <w:rFonts w:hint="default" w:ascii="黑体" w:eastAsia="黑体"/>
          <w:szCs w:val="28"/>
          <w:highlight w:val="none"/>
          <w:lang w:val="en-US"/>
        </w:rPr>
        <w:fldChar w:fldCharType="separate"/>
      </w:r>
      <w:r>
        <w:rPr>
          <w:rFonts w:hint="eastAsia"/>
          <w:highlight w:val="none"/>
        </w:rPr>
        <w:t>5. 公开唱标</w:t>
      </w:r>
      <w:r>
        <w:tab/>
      </w:r>
      <w:r>
        <w:fldChar w:fldCharType="begin"/>
      </w:r>
      <w:r>
        <w:instrText xml:space="preserve"> PAGEREF _Toc20806 \h </w:instrText>
      </w:r>
      <w:r>
        <w:fldChar w:fldCharType="separate"/>
      </w:r>
      <w:r>
        <w:t>16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_Toc25165 </w:instrText>
      </w:r>
      <w:r>
        <w:rPr>
          <w:rFonts w:hint="default" w:ascii="黑体" w:eastAsia="黑体"/>
          <w:szCs w:val="28"/>
          <w:highlight w:val="none"/>
          <w:lang w:val="en-US"/>
        </w:rPr>
        <w:fldChar w:fldCharType="separate"/>
      </w:r>
      <w:r>
        <w:rPr>
          <w:rFonts w:hint="eastAsia"/>
          <w:highlight w:val="none"/>
        </w:rPr>
        <w:t>6. 评审</w:t>
      </w:r>
      <w:r>
        <w:tab/>
      </w:r>
      <w:r>
        <w:fldChar w:fldCharType="begin"/>
      </w:r>
      <w:r>
        <w:instrText xml:space="preserve"> PAGEREF _Toc25165 \h </w:instrText>
      </w:r>
      <w:r>
        <w:fldChar w:fldCharType="separate"/>
      </w:r>
      <w:r>
        <w:t>16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_Toc8627 </w:instrText>
      </w:r>
      <w:r>
        <w:rPr>
          <w:rFonts w:hint="default" w:ascii="黑体" w:eastAsia="黑体"/>
          <w:szCs w:val="28"/>
          <w:highlight w:val="none"/>
          <w:lang w:val="en-US"/>
        </w:rPr>
        <w:fldChar w:fldCharType="separate"/>
      </w:r>
      <w:r>
        <w:rPr>
          <w:rFonts w:hint="eastAsia"/>
          <w:highlight w:val="none"/>
        </w:rPr>
        <w:t>7. 成交</w:t>
      </w:r>
      <w:r>
        <w:tab/>
      </w:r>
      <w:r>
        <w:fldChar w:fldCharType="begin"/>
      </w:r>
      <w:r>
        <w:instrText xml:space="preserve"> PAGEREF _Toc8627 \h </w:instrText>
      </w:r>
      <w:r>
        <w:fldChar w:fldCharType="separate"/>
      </w:r>
      <w:r>
        <w:t>17</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_Toc1662 </w:instrText>
      </w:r>
      <w:r>
        <w:rPr>
          <w:rFonts w:hint="default" w:ascii="黑体" w:eastAsia="黑体"/>
          <w:szCs w:val="28"/>
          <w:highlight w:val="none"/>
          <w:lang w:val="en-US"/>
        </w:rPr>
        <w:fldChar w:fldCharType="separate"/>
      </w:r>
      <w:r>
        <w:rPr>
          <w:rFonts w:hint="eastAsia"/>
          <w:highlight w:val="none"/>
          <w:lang w:val="en-US" w:eastAsia="zh-CN"/>
        </w:rPr>
        <w:t>8</w:t>
      </w:r>
      <w:r>
        <w:rPr>
          <w:rFonts w:hint="eastAsia"/>
          <w:highlight w:val="none"/>
        </w:rPr>
        <w:t>.采购代理服务费</w:t>
      </w:r>
      <w:r>
        <w:tab/>
      </w:r>
      <w:r>
        <w:fldChar w:fldCharType="begin"/>
      </w:r>
      <w:r>
        <w:instrText xml:space="preserve"> PAGEREF _Toc1662 \h </w:instrText>
      </w:r>
      <w:r>
        <w:fldChar w:fldCharType="separate"/>
      </w:r>
      <w:r>
        <w:t>18</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_Toc16344 </w:instrText>
      </w:r>
      <w:r>
        <w:rPr>
          <w:rFonts w:hint="default" w:ascii="黑体" w:eastAsia="黑体"/>
          <w:szCs w:val="28"/>
          <w:highlight w:val="none"/>
          <w:lang w:val="en-US"/>
        </w:rPr>
        <w:fldChar w:fldCharType="separate"/>
      </w:r>
      <w:r>
        <w:rPr>
          <w:rFonts w:hint="eastAsia"/>
          <w:highlight w:val="none"/>
          <w:lang w:val="en-US" w:eastAsia="zh-CN"/>
        </w:rPr>
        <w:t>9</w:t>
      </w:r>
      <w:r>
        <w:rPr>
          <w:rFonts w:hint="eastAsia"/>
          <w:highlight w:val="none"/>
        </w:rPr>
        <w:t>. 纪律和监督</w:t>
      </w:r>
      <w:r>
        <w:tab/>
      </w:r>
      <w:r>
        <w:fldChar w:fldCharType="begin"/>
      </w:r>
      <w:r>
        <w:instrText xml:space="preserve"> PAGEREF _Toc16344 \h </w:instrText>
      </w:r>
      <w:r>
        <w:fldChar w:fldCharType="separate"/>
      </w:r>
      <w:r>
        <w:t>18</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_Toc10889 </w:instrText>
      </w:r>
      <w:r>
        <w:rPr>
          <w:rFonts w:hint="default" w:ascii="黑体" w:eastAsia="黑体"/>
          <w:szCs w:val="28"/>
          <w:highlight w:val="none"/>
          <w:lang w:val="en-US"/>
        </w:rPr>
        <w:fldChar w:fldCharType="separate"/>
      </w:r>
      <w:r>
        <w:rPr>
          <w:rFonts w:hint="eastAsia"/>
          <w:highlight w:val="none"/>
        </w:rPr>
        <w:t>1</w:t>
      </w:r>
      <w:r>
        <w:rPr>
          <w:rFonts w:hint="eastAsia"/>
          <w:highlight w:val="none"/>
          <w:lang w:val="en-US" w:eastAsia="zh-CN"/>
        </w:rPr>
        <w:t>0</w:t>
      </w:r>
      <w:r>
        <w:rPr>
          <w:rFonts w:hint="eastAsia"/>
          <w:highlight w:val="none"/>
        </w:rPr>
        <w:t>. 需要补充的其他内容</w:t>
      </w:r>
      <w:r>
        <w:tab/>
      </w:r>
      <w:r>
        <w:fldChar w:fldCharType="begin"/>
      </w:r>
      <w:r>
        <w:instrText xml:space="preserve"> PAGEREF _Toc10889 \h </w:instrText>
      </w:r>
      <w:r>
        <w:fldChar w:fldCharType="separate"/>
      </w:r>
      <w:r>
        <w:t>19</w:t>
      </w:r>
      <w:r>
        <w:fldChar w:fldCharType="end"/>
      </w:r>
      <w:r>
        <w:rPr>
          <w:rFonts w:hint="default" w:ascii="黑体" w:eastAsia="黑体"/>
          <w:szCs w:val="28"/>
          <w:highlight w:val="none"/>
          <w:lang w:val="en-US"/>
        </w:rPr>
        <w:fldChar w:fldCharType="end"/>
      </w:r>
    </w:p>
    <w:p>
      <w:pPr>
        <w:pStyle w:val="26"/>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_Toc31846 </w:instrText>
      </w:r>
      <w:r>
        <w:rPr>
          <w:rFonts w:hint="default" w:ascii="黑体" w:eastAsia="黑体"/>
          <w:szCs w:val="28"/>
          <w:highlight w:val="none"/>
          <w:lang w:val="en-US"/>
        </w:rPr>
        <w:fldChar w:fldCharType="separate"/>
      </w:r>
      <w:r>
        <w:rPr>
          <w:rFonts w:hint="eastAsia" w:ascii="宋体" w:hAnsi="宋体" w:eastAsia="宋体" w:cs="宋体"/>
          <w:kern w:val="0"/>
          <w:szCs w:val="28"/>
          <w:highlight w:val="none"/>
          <w:lang w:val="en-US" w:eastAsia="zh-CN"/>
        </w:rPr>
        <w:t>第三章 评审办法</w:t>
      </w:r>
      <w:r>
        <w:tab/>
      </w:r>
      <w:r>
        <w:fldChar w:fldCharType="begin"/>
      </w:r>
      <w:r>
        <w:instrText xml:space="preserve"> PAGEREF _Toc31846 \h </w:instrText>
      </w:r>
      <w:r>
        <w:fldChar w:fldCharType="separate"/>
      </w:r>
      <w:r>
        <w:t>20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_Toc3693 </w:instrText>
      </w:r>
      <w:r>
        <w:rPr>
          <w:rFonts w:hint="default" w:ascii="黑体" w:eastAsia="黑体"/>
          <w:szCs w:val="28"/>
          <w:highlight w:val="none"/>
          <w:lang w:val="en-US"/>
        </w:rPr>
        <w:fldChar w:fldCharType="separate"/>
      </w:r>
      <w:r>
        <w:rPr>
          <w:rFonts w:hint="eastAsia"/>
          <w:highlight w:val="none"/>
        </w:rPr>
        <w:t>1．评审方法</w:t>
      </w:r>
      <w:r>
        <w:tab/>
      </w:r>
      <w:r>
        <w:fldChar w:fldCharType="begin"/>
      </w:r>
      <w:r>
        <w:instrText xml:space="preserve"> PAGEREF _Toc3693 \h </w:instrText>
      </w:r>
      <w:r>
        <w:fldChar w:fldCharType="separate"/>
      </w:r>
      <w:r>
        <w:t>20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_Toc18734 </w:instrText>
      </w:r>
      <w:r>
        <w:rPr>
          <w:rFonts w:hint="default" w:ascii="黑体" w:eastAsia="黑体"/>
          <w:szCs w:val="28"/>
          <w:highlight w:val="none"/>
          <w:lang w:val="en-US"/>
        </w:rPr>
        <w:fldChar w:fldCharType="separate"/>
      </w:r>
      <w:r>
        <w:rPr>
          <w:rFonts w:hint="eastAsia"/>
          <w:highlight w:val="none"/>
        </w:rPr>
        <w:t>2．评审标准</w:t>
      </w:r>
      <w:r>
        <w:tab/>
      </w:r>
      <w:r>
        <w:fldChar w:fldCharType="begin"/>
      </w:r>
      <w:r>
        <w:instrText xml:space="preserve"> PAGEREF _Toc18734 \h </w:instrText>
      </w:r>
      <w:r>
        <w:fldChar w:fldCharType="separate"/>
      </w:r>
      <w:r>
        <w:t>20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_Toc28507 </w:instrText>
      </w:r>
      <w:r>
        <w:rPr>
          <w:rFonts w:hint="default" w:ascii="黑体" w:eastAsia="黑体"/>
          <w:szCs w:val="28"/>
          <w:highlight w:val="none"/>
          <w:lang w:val="en-US"/>
        </w:rPr>
        <w:fldChar w:fldCharType="separate"/>
      </w:r>
      <w:r>
        <w:rPr>
          <w:rFonts w:hint="eastAsia"/>
          <w:highlight w:val="none"/>
        </w:rPr>
        <w:t>3．评审程序</w:t>
      </w:r>
      <w:r>
        <w:tab/>
      </w:r>
      <w:r>
        <w:fldChar w:fldCharType="begin"/>
      </w:r>
      <w:r>
        <w:instrText xml:space="preserve"> PAGEREF _Toc28507 \h </w:instrText>
      </w:r>
      <w:r>
        <w:fldChar w:fldCharType="separate"/>
      </w:r>
      <w:r>
        <w:t>20</w:t>
      </w:r>
      <w:r>
        <w:fldChar w:fldCharType="end"/>
      </w:r>
      <w:r>
        <w:rPr>
          <w:rFonts w:hint="default" w:ascii="黑体" w:eastAsia="黑体"/>
          <w:szCs w:val="28"/>
          <w:highlight w:val="none"/>
          <w:lang w:val="en-US"/>
        </w:rPr>
        <w:fldChar w:fldCharType="end"/>
      </w:r>
    </w:p>
    <w:p>
      <w:pPr>
        <w:pStyle w:val="26"/>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_Toc16054 </w:instrText>
      </w:r>
      <w:r>
        <w:rPr>
          <w:rFonts w:hint="default" w:ascii="黑体" w:eastAsia="黑体"/>
          <w:szCs w:val="28"/>
          <w:highlight w:val="none"/>
          <w:lang w:val="en-US"/>
        </w:rPr>
        <w:fldChar w:fldCharType="separate"/>
      </w:r>
      <w:r>
        <w:rPr>
          <w:rFonts w:hint="eastAsia" w:ascii="宋体" w:hAnsi="宋体"/>
          <w:szCs w:val="28"/>
          <w:highlight w:val="none"/>
        </w:rPr>
        <w:t>第四章 用户需求书/技术规范书</w:t>
      </w:r>
      <w:r>
        <w:tab/>
      </w:r>
      <w:r>
        <w:fldChar w:fldCharType="begin"/>
      </w:r>
      <w:r>
        <w:instrText xml:space="preserve"> PAGEREF _Toc16054 \h </w:instrText>
      </w:r>
      <w:r>
        <w:fldChar w:fldCharType="separate"/>
      </w:r>
      <w:r>
        <w:t>24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_Toc31602 </w:instrText>
      </w:r>
      <w:r>
        <w:rPr>
          <w:rFonts w:hint="default" w:ascii="黑体" w:eastAsia="黑体"/>
          <w:szCs w:val="28"/>
          <w:highlight w:val="none"/>
          <w:lang w:val="en-US"/>
        </w:rPr>
        <w:fldChar w:fldCharType="separate"/>
      </w:r>
      <w:r>
        <w:rPr>
          <w:rFonts w:hint="eastAsia"/>
          <w:highlight w:val="none"/>
        </w:rPr>
        <w:t>一、项目概况</w:t>
      </w:r>
      <w:r>
        <w:tab/>
      </w:r>
      <w:r>
        <w:fldChar w:fldCharType="begin"/>
      </w:r>
      <w:r>
        <w:instrText xml:space="preserve"> PAGEREF _Toc31602 \h </w:instrText>
      </w:r>
      <w:r>
        <w:fldChar w:fldCharType="separate"/>
      </w:r>
      <w:r>
        <w:t>24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_Toc13193 </w:instrText>
      </w:r>
      <w:r>
        <w:rPr>
          <w:rFonts w:hint="default" w:ascii="黑体" w:eastAsia="黑体"/>
          <w:szCs w:val="28"/>
          <w:highlight w:val="none"/>
          <w:lang w:val="en-US"/>
        </w:rPr>
        <w:fldChar w:fldCharType="separate"/>
      </w:r>
      <w:r>
        <w:rPr>
          <w:rFonts w:hint="eastAsia"/>
          <w:highlight w:val="none"/>
          <w:lang w:val="en-US" w:eastAsia="zh-CN"/>
        </w:rPr>
        <w:t>二、</w:t>
      </w:r>
      <w:r>
        <w:rPr>
          <w:rFonts w:hint="eastAsia"/>
          <w:highlight w:val="none"/>
        </w:rPr>
        <w:t>主要商务要求</w:t>
      </w:r>
      <w:r>
        <w:tab/>
      </w:r>
      <w:r>
        <w:fldChar w:fldCharType="begin"/>
      </w:r>
      <w:r>
        <w:instrText xml:space="preserve"> PAGEREF _Toc13193 \h </w:instrText>
      </w:r>
      <w:r>
        <w:fldChar w:fldCharType="separate"/>
      </w:r>
      <w:r>
        <w:t>24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_Toc13391 </w:instrText>
      </w:r>
      <w:r>
        <w:rPr>
          <w:rFonts w:hint="default" w:ascii="黑体" w:eastAsia="黑体"/>
          <w:szCs w:val="28"/>
          <w:highlight w:val="none"/>
          <w:lang w:val="en-US"/>
        </w:rPr>
        <w:fldChar w:fldCharType="separate"/>
      </w:r>
      <w:r>
        <w:rPr>
          <w:rFonts w:hint="eastAsia"/>
          <w:highlight w:val="none"/>
          <w:lang w:val="en-US" w:eastAsia="zh-CN"/>
        </w:rPr>
        <w:t>三、技术标准与要求</w:t>
      </w:r>
      <w:r>
        <w:tab/>
      </w:r>
      <w:r>
        <w:fldChar w:fldCharType="begin"/>
      </w:r>
      <w:r>
        <w:instrText xml:space="preserve"> PAGEREF _Toc13391 \h </w:instrText>
      </w:r>
      <w:r>
        <w:fldChar w:fldCharType="separate"/>
      </w:r>
      <w:r>
        <w:t>25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_Toc6925 </w:instrText>
      </w:r>
      <w:r>
        <w:rPr>
          <w:rFonts w:hint="default" w:ascii="黑体" w:eastAsia="黑体"/>
          <w:szCs w:val="28"/>
          <w:highlight w:val="none"/>
          <w:lang w:val="en-US"/>
        </w:rPr>
        <w:fldChar w:fldCharType="separate"/>
      </w:r>
      <w:r>
        <w:rPr>
          <w:rFonts w:hint="eastAsia"/>
          <w:highlight w:val="none"/>
          <w:lang w:val="en-US" w:eastAsia="zh-CN"/>
        </w:rPr>
        <w:t>四、需求清单</w:t>
      </w:r>
      <w:r>
        <w:tab/>
      </w:r>
      <w:r>
        <w:fldChar w:fldCharType="begin"/>
      </w:r>
      <w:r>
        <w:instrText xml:space="preserve"> PAGEREF _Toc6925 \h </w:instrText>
      </w:r>
      <w:r>
        <w:fldChar w:fldCharType="separate"/>
      </w:r>
      <w:r>
        <w:t>27</w:t>
      </w:r>
      <w:r>
        <w:fldChar w:fldCharType="end"/>
      </w:r>
      <w:r>
        <w:rPr>
          <w:rFonts w:hint="default" w:ascii="黑体" w:eastAsia="黑体"/>
          <w:szCs w:val="28"/>
          <w:highlight w:val="none"/>
          <w:lang w:val="en-US"/>
        </w:rPr>
        <w:fldChar w:fldCharType="end"/>
      </w:r>
    </w:p>
    <w:p>
      <w:pPr>
        <w:pStyle w:val="26"/>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_Toc16152 </w:instrText>
      </w:r>
      <w:r>
        <w:rPr>
          <w:rFonts w:hint="default" w:ascii="黑体" w:eastAsia="黑体"/>
          <w:szCs w:val="28"/>
          <w:highlight w:val="none"/>
          <w:lang w:val="en-US"/>
        </w:rPr>
        <w:fldChar w:fldCharType="separate"/>
      </w:r>
      <w:r>
        <w:rPr>
          <w:rFonts w:hint="eastAsia" w:ascii="宋体" w:hAnsi="宋体"/>
          <w:szCs w:val="28"/>
          <w:highlight w:val="none"/>
        </w:rPr>
        <w:t>第</w:t>
      </w:r>
      <w:r>
        <w:rPr>
          <w:rFonts w:hint="eastAsia" w:ascii="宋体" w:hAnsi="宋体"/>
          <w:szCs w:val="28"/>
          <w:highlight w:val="none"/>
          <w:lang w:val="en-US" w:eastAsia="zh-CN"/>
        </w:rPr>
        <w:t>五</w:t>
      </w:r>
      <w:r>
        <w:rPr>
          <w:rFonts w:hint="eastAsia" w:ascii="宋体" w:hAnsi="宋体"/>
          <w:szCs w:val="28"/>
          <w:highlight w:val="none"/>
        </w:rPr>
        <w:t>章 响应文件格式</w:t>
      </w:r>
      <w:r>
        <w:tab/>
      </w:r>
      <w:r>
        <w:fldChar w:fldCharType="begin"/>
      </w:r>
      <w:r>
        <w:instrText xml:space="preserve"> PAGEREF _Toc16152 \h </w:instrText>
      </w:r>
      <w:r>
        <w:fldChar w:fldCharType="separate"/>
      </w:r>
      <w:r>
        <w:t>32</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_Toc20437 </w:instrText>
      </w:r>
      <w:r>
        <w:rPr>
          <w:rFonts w:hint="default" w:ascii="黑体" w:eastAsia="黑体"/>
          <w:szCs w:val="28"/>
          <w:highlight w:val="none"/>
          <w:lang w:val="en-US"/>
        </w:rPr>
        <w:fldChar w:fldCharType="separate"/>
      </w:r>
      <w:r>
        <w:rPr>
          <w:rFonts w:hint="eastAsia" w:ascii="黑体" w:hAnsi="宋体"/>
          <w:szCs w:val="28"/>
          <w:highlight w:val="none"/>
        </w:rPr>
        <w:t>目    录</w:t>
      </w:r>
      <w:r>
        <w:tab/>
      </w:r>
      <w:r>
        <w:fldChar w:fldCharType="begin"/>
      </w:r>
      <w:r>
        <w:instrText xml:space="preserve"> PAGEREF _Toc20437 \h </w:instrText>
      </w:r>
      <w:r>
        <w:fldChar w:fldCharType="separate"/>
      </w:r>
      <w:r>
        <w:t>34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_Toc22001 </w:instrText>
      </w:r>
      <w:r>
        <w:rPr>
          <w:rFonts w:hint="default" w:ascii="黑体" w:eastAsia="黑体"/>
          <w:szCs w:val="28"/>
          <w:highlight w:val="none"/>
          <w:lang w:val="en-US"/>
        </w:rPr>
        <w:fldChar w:fldCharType="separate"/>
      </w:r>
      <w:r>
        <w:rPr>
          <w:rFonts w:hint="eastAsia"/>
          <w:highlight w:val="none"/>
        </w:rPr>
        <w:t>第一部分</w:t>
      </w:r>
      <w:r>
        <w:rPr>
          <w:highlight w:val="none"/>
        </w:rPr>
        <w:t xml:space="preserve">  </w:t>
      </w:r>
      <w:r>
        <w:rPr>
          <w:rFonts w:hint="eastAsia"/>
          <w:highlight w:val="none"/>
        </w:rPr>
        <w:t>技术商务部分</w:t>
      </w:r>
      <w:r>
        <w:tab/>
      </w:r>
      <w:r>
        <w:fldChar w:fldCharType="begin"/>
      </w:r>
      <w:r>
        <w:instrText xml:space="preserve"> PAGEREF _Toc22001 \h </w:instrText>
      </w:r>
      <w:r>
        <w:fldChar w:fldCharType="separate"/>
      </w:r>
      <w:r>
        <w:t>35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_Toc19924 </w:instrText>
      </w:r>
      <w:r>
        <w:rPr>
          <w:rFonts w:hint="default" w:ascii="黑体" w:eastAsia="黑体"/>
          <w:szCs w:val="28"/>
          <w:highlight w:val="none"/>
          <w:lang w:val="en-US"/>
        </w:rPr>
        <w:fldChar w:fldCharType="separate"/>
      </w:r>
      <w:r>
        <w:rPr>
          <w:rFonts w:hint="eastAsia"/>
          <w:highlight w:val="none"/>
        </w:rPr>
        <w:t>一、</w:t>
      </w:r>
      <w:r>
        <w:rPr>
          <w:rFonts w:hint="eastAsia" w:ascii="黑体" w:hAnsi="宋体"/>
          <w:szCs w:val="28"/>
          <w:highlight w:val="none"/>
        </w:rPr>
        <w:t>评审索引表</w:t>
      </w:r>
      <w:r>
        <w:tab/>
      </w:r>
      <w:r>
        <w:fldChar w:fldCharType="begin"/>
      </w:r>
      <w:r>
        <w:instrText xml:space="preserve"> PAGEREF _Toc19924 \h </w:instrText>
      </w:r>
      <w:r>
        <w:fldChar w:fldCharType="separate"/>
      </w:r>
      <w:r>
        <w:t>35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_Toc28151 </w:instrText>
      </w:r>
      <w:r>
        <w:rPr>
          <w:rFonts w:hint="default" w:ascii="黑体" w:eastAsia="黑体"/>
          <w:szCs w:val="28"/>
          <w:highlight w:val="none"/>
          <w:lang w:val="en-US"/>
        </w:rPr>
        <w:fldChar w:fldCharType="separate"/>
      </w:r>
      <w:r>
        <w:rPr>
          <w:rFonts w:hint="eastAsia"/>
          <w:highlight w:val="none"/>
        </w:rPr>
        <w:t>二</w:t>
      </w:r>
      <w:r>
        <w:rPr>
          <w:highlight w:val="none"/>
        </w:rPr>
        <w:t>、竞争性谈判</w:t>
      </w:r>
      <w:r>
        <w:rPr>
          <w:rFonts w:hint="eastAsia"/>
          <w:highlight w:val="none"/>
        </w:rPr>
        <w:t>响应</w:t>
      </w:r>
      <w:r>
        <w:rPr>
          <w:highlight w:val="none"/>
        </w:rPr>
        <w:t>函</w:t>
      </w:r>
      <w:r>
        <w:tab/>
      </w:r>
      <w:r>
        <w:fldChar w:fldCharType="begin"/>
      </w:r>
      <w:r>
        <w:instrText xml:space="preserve"> PAGEREF _Toc28151 \h </w:instrText>
      </w:r>
      <w:r>
        <w:fldChar w:fldCharType="separate"/>
      </w:r>
      <w:r>
        <w:t>36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_Toc17115 </w:instrText>
      </w:r>
      <w:r>
        <w:rPr>
          <w:rFonts w:hint="default" w:ascii="黑体" w:eastAsia="黑体"/>
          <w:szCs w:val="28"/>
          <w:highlight w:val="none"/>
          <w:lang w:val="en-US"/>
        </w:rPr>
        <w:fldChar w:fldCharType="separate"/>
      </w:r>
      <w:r>
        <w:rPr>
          <w:rFonts w:hint="eastAsia"/>
          <w:highlight w:val="none"/>
          <w:lang w:val="en-US" w:eastAsia="zh-CN"/>
        </w:rPr>
        <w:t>三</w:t>
      </w:r>
      <w:r>
        <w:rPr>
          <w:rFonts w:hint="eastAsia"/>
          <w:highlight w:val="none"/>
        </w:rPr>
        <w:t>、法定代表人身份证明</w:t>
      </w:r>
      <w:r>
        <w:tab/>
      </w:r>
      <w:r>
        <w:fldChar w:fldCharType="begin"/>
      </w:r>
      <w:r>
        <w:instrText xml:space="preserve"> PAGEREF _Toc17115 \h </w:instrText>
      </w:r>
      <w:r>
        <w:fldChar w:fldCharType="separate"/>
      </w:r>
      <w:r>
        <w:t>37</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_Toc32309 </w:instrText>
      </w:r>
      <w:r>
        <w:rPr>
          <w:rFonts w:hint="default" w:ascii="黑体" w:eastAsia="黑体"/>
          <w:szCs w:val="28"/>
          <w:highlight w:val="none"/>
          <w:lang w:val="en-US"/>
        </w:rPr>
        <w:fldChar w:fldCharType="separate"/>
      </w:r>
      <w:r>
        <w:rPr>
          <w:rFonts w:hint="eastAsia"/>
          <w:highlight w:val="none"/>
          <w:lang w:val="en-US" w:eastAsia="zh-CN"/>
        </w:rPr>
        <w:t>四</w:t>
      </w:r>
      <w:r>
        <w:rPr>
          <w:rFonts w:hint="eastAsia"/>
          <w:highlight w:val="none"/>
        </w:rPr>
        <w:t>、法定代表人</w:t>
      </w:r>
      <w:r>
        <w:rPr>
          <w:highlight w:val="none"/>
        </w:rPr>
        <w:t>授权委托书</w:t>
      </w:r>
      <w:r>
        <w:tab/>
      </w:r>
      <w:r>
        <w:fldChar w:fldCharType="begin"/>
      </w:r>
      <w:r>
        <w:instrText xml:space="preserve"> PAGEREF _Toc32309 \h </w:instrText>
      </w:r>
      <w:r>
        <w:fldChar w:fldCharType="separate"/>
      </w:r>
      <w:r>
        <w:t>38</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_Toc20547 </w:instrText>
      </w:r>
      <w:r>
        <w:rPr>
          <w:rFonts w:hint="default" w:ascii="黑体" w:eastAsia="黑体"/>
          <w:szCs w:val="28"/>
          <w:highlight w:val="none"/>
          <w:lang w:val="en-US"/>
        </w:rPr>
        <w:fldChar w:fldCharType="separate"/>
      </w:r>
      <w:r>
        <w:rPr>
          <w:rFonts w:hint="eastAsia"/>
          <w:highlight w:val="none"/>
          <w:lang w:val="en-US" w:eastAsia="zh-CN"/>
        </w:rPr>
        <w:t>五</w:t>
      </w:r>
      <w:r>
        <w:rPr>
          <w:highlight w:val="none"/>
        </w:rPr>
        <w:t>、</w:t>
      </w:r>
      <w:r>
        <w:rPr>
          <w:rFonts w:hint="eastAsia"/>
          <w:highlight w:val="none"/>
        </w:rPr>
        <w:t>项目实施</w:t>
      </w:r>
      <w:r>
        <w:rPr>
          <w:highlight w:val="none"/>
        </w:rPr>
        <w:t>方案</w:t>
      </w:r>
      <w:r>
        <w:tab/>
      </w:r>
      <w:r>
        <w:fldChar w:fldCharType="begin"/>
      </w:r>
      <w:r>
        <w:instrText xml:space="preserve"> PAGEREF _Toc20547 \h </w:instrText>
      </w:r>
      <w:r>
        <w:fldChar w:fldCharType="separate"/>
      </w:r>
      <w:r>
        <w:t>39</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_Toc30517 </w:instrText>
      </w:r>
      <w:r>
        <w:rPr>
          <w:rFonts w:hint="default" w:ascii="黑体" w:eastAsia="黑体"/>
          <w:szCs w:val="28"/>
          <w:highlight w:val="none"/>
          <w:lang w:val="en-US"/>
        </w:rPr>
        <w:fldChar w:fldCharType="separate"/>
      </w:r>
      <w:r>
        <w:rPr>
          <w:rFonts w:hint="eastAsia"/>
          <w:highlight w:val="none"/>
          <w:lang w:val="en-US" w:eastAsia="zh-CN"/>
        </w:rPr>
        <w:t>六</w:t>
      </w:r>
      <w:r>
        <w:rPr>
          <w:highlight w:val="none"/>
        </w:rPr>
        <w:t>、项目管理机构</w:t>
      </w:r>
      <w:r>
        <w:tab/>
      </w:r>
      <w:r>
        <w:fldChar w:fldCharType="begin"/>
      </w:r>
      <w:r>
        <w:instrText xml:space="preserve"> PAGEREF _Toc30517 \h </w:instrText>
      </w:r>
      <w:r>
        <w:fldChar w:fldCharType="separate"/>
      </w:r>
      <w:r>
        <w:t>40</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_Toc28344 </w:instrText>
      </w:r>
      <w:r>
        <w:rPr>
          <w:rFonts w:hint="default" w:ascii="黑体" w:eastAsia="黑体"/>
          <w:szCs w:val="28"/>
          <w:highlight w:val="none"/>
          <w:lang w:val="en-US"/>
        </w:rPr>
        <w:fldChar w:fldCharType="separate"/>
      </w:r>
      <w:r>
        <w:rPr>
          <w:rFonts w:hint="eastAsia" w:ascii="黑体"/>
          <w:highlight w:val="none"/>
          <w:lang w:val="en-US" w:eastAsia="zh-CN"/>
        </w:rPr>
        <w:t>七</w:t>
      </w:r>
      <w:r>
        <w:rPr>
          <w:rFonts w:hint="eastAsia" w:ascii="黑体"/>
          <w:highlight w:val="none"/>
        </w:rPr>
        <w:t>、实质性条款偏离表</w:t>
      </w:r>
      <w:r>
        <w:tab/>
      </w:r>
      <w:r>
        <w:fldChar w:fldCharType="begin"/>
      </w:r>
      <w:r>
        <w:instrText xml:space="preserve"> PAGEREF _Toc28344 \h </w:instrText>
      </w:r>
      <w:r>
        <w:fldChar w:fldCharType="separate"/>
      </w:r>
      <w:r>
        <w:t>42</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_Toc14358 </w:instrText>
      </w:r>
      <w:r>
        <w:rPr>
          <w:rFonts w:hint="default" w:ascii="黑体" w:eastAsia="黑体"/>
          <w:szCs w:val="28"/>
          <w:highlight w:val="none"/>
          <w:lang w:val="en-US"/>
        </w:rPr>
        <w:fldChar w:fldCharType="separate"/>
      </w:r>
      <w:r>
        <w:rPr>
          <w:rFonts w:hint="eastAsia" w:ascii="黑体"/>
          <w:highlight w:val="none"/>
          <w:lang w:val="en-US" w:eastAsia="zh-CN"/>
        </w:rPr>
        <w:t>八</w:t>
      </w:r>
      <w:r>
        <w:rPr>
          <w:rFonts w:hint="eastAsia" w:ascii="黑体"/>
          <w:highlight w:val="none"/>
        </w:rPr>
        <w:t>、技术条款偏离表</w:t>
      </w:r>
      <w:r>
        <w:tab/>
      </w:r>
      <w:r>
        <w:fldChar w:fldCharType="begin"/>
      </w:r>
      <w:r>
        <w:instrText xml:space="preserve"> PAGEREF _Toc14358 \h </w:instrText>
      </w:r>
      <w:r>
        <w:fldChar w:fldCharType="separate"/>
      </w:r>
      <w:r>
        <w:t>43</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_Toc11640 </w:instrText>
      </w:r>
      <w:r>
        <w:rPr>
          <w:rFonts w:hint="default" w:ascii="黑体" w:eastAsia="黑体"/>
          <w:szCs w:val="28"/>
          <w:highlight w:val="none"/>
          <w:lang w:val="en-US"/>
        </w:rPr>
        <w:fldChar w:fldCharType="separate"/>
      </w:r>
      <w:r>
        <w:rPr>
          <w:rFonts w:hint="eastAsia"/>
          <w:highlight w:val="none"/>
          <w:lang w:val="en-US" w:eastAsia="zh-CN"/>
        </w:rPr>
        <w:t>九</w:t>
      </w:r>
      <w:r>
        <w:rPr>
          <w:highlight w:val="none"/>
        </w:rPr>
        <w:t>、资格审查资料</w:t>
      </w:r>
      <w:r>
        <w:tab/>
      </w:r>
      <w:r>
        <w:fldChar w:fldCharType="begin"/>
      </w:r>
      <w:r>
        <w:instrText xml:space="preserve"> PAGEREF _Toc11640 \h </w:instrText>
      </w:r>
      <w:r>
        <w:fldChar w:fldCharType="separate"/>
      </w:r>
      <w:r>
        <w:t>44</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_Toc30029 </w:instrText>
      </w:r>
      <w:r>
        <w:rPr>
          <w:rFonts w:hint="default" w:ascii="黑体" w:eastAsia="黑体"/>
          <w:szCs w:val="28"/>
          <w:highlight w:val="none"/>
          <w:lang w:val="en-US"/>
        </w:rPr>
        <w:fldChar w:fldCharType="separate"/>
      </w:r>
      <w:r>
        <w:rPr>
          <w:rFonts w:hint="eastAsia"/>
          <w:highlight w:val="none"/>
        </w:rPr>
        <w:t>十</w:t>
      </w:r>
      <w:r>
        <w:rPr>
          <w:highlight w:val="none"/>
        </w:rPr>
        <w:t>、</w:t>
      </w:r>
      <w:r>
        <w:rPr>
          <w:rFonts w:hint="eastAsia"/>
          <w:highlight w:val="none"/>
        </w:rPr>
        <w:t>其他需要补充的</w:t>
      </w:r>
      <w:r>
        <w:rPr>
          <w:highlight w:val="none"/>
        </w:rPr>
        <w:t>资料</w:t>
      </w:r>
      <w:r>
        <w:tab/>
      </w:r>
      <w:r>
        <w:fldChar w:fldCharType="begin"/>
      </w:r>
      <w:r>
        <w:instrText xml:space="preserve"> PAGEREF _Toc30029 \h </w:instrText>
      </w:r>
      <w:r>
        <w:fldChar w:fldCharType="separate"/>
      </w:r>
      <w:r>
        <w:t>45</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_Toc4238 </w:instrText>
      </w:r>
      <w:r>
        <w:rPr>
          <w:rFonts w:hint="default" w:ascii="黑体" w:eastAsia="黑体"/>
          <w:szCs w:val="28"/>
          <w:highlight w:val="none"/>
          <w:lang w:val="en-US"/>
        </w:rPr>
        <w:fldChar w:fldCharType="separate"/>
      </w:r>
      <w:r>
        <w:rPr>
          <w:rFonts w:hint="eastAsia"/>
          <w:highlight w:val="none"/>
        </w:rPr>
        <w:t>第二部分</w:t>
      </w:r>
      <w:r>
        <w:rPr>
          <w:highlight w:val="none"/>
        </w:rPr>
        <w:t xml:space="preserve">  </w:t>
      </w:r>
      <w:r>
        <w:rPr>
          <w:rFonts w:hint="eastAsia"/>
          <w:highlight w:val="none"/>
        </w:rPr>
        <w:t>经济部分</w:t>
      </w:r>
      <w:r>
        <w:tab/>
      </w:r>
      <w:r>
        <w:fldChar w:fldCharType="begin"/>
      </w:r>
      <w:r>
        <w:instrText xml:space="preserve"> PAGEREF _Toc4238 \h </w:instrText>
      </w:r>
      <w:r>
        <w:fldChar w:fldCharType="separate"/>
      </w:r>
      <w:r>
        <w:t>46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_Toc26238 </w:instrText>
      </w:r>
      <w:r>
        <w:rPr>
          <w:rFonts w:hint="default" w:ascii="黑体" w:eastAsia="黑体"/>
          <w:szCs w:val="28"/>
          <w:highlight w:val="none"/>
          <w:lang w:val="en-US"/>
        </w:rPr>
        <w:fldChar w:fldCharType="separate"/>
      </w:r>
      <w:r>
        <w:rPr>
          <w:rFonts w:hint="eastAsia"/>
          <w:highlight w:val="none"/>
          <w:lang w:val="en-US" w:eastAsia="zh-CN"/>
        </w:rPr>
        <w:t>一、</w:t>
      </w:r>
      <w:r>
        <w:rPr>
          <w:rFonts w:hint="eastAsia"/>
          <w:highlight w:val="none"/>
        </w:rPr>
        <w:t>报价一览表</w:t>
      </w:r>
      <w:r>
        <w:tab/>
      </w:r>
      <w:r>
        <w:fldChar w:fldCharType="begin"/>
      </w:r>
      <w:r>
        <w:instrText xml:space="preserve"> PAGEREF _Toc26238 \h </w:instrText>
      </w:r>
      <w:r>
        <w:fldChar w:fldCharType="separate"/>
      </w:r>
      <w:r>
        <w:t>46</w:t>
      </w:r>
      <w:r>
        <w:fldChar w:fldCharType="end"/>
      </w:r>
      <w:r>
        <w:rPr>
          <w:rFonts w:hint="default" w:ascii="黑体" w:eastAsia="黑体"/>
          <w:szCs w:val="28"/>
          <w:highlight w:val="none"/>
          <w:lang w:val="en-US"/>
        </w:rPr>
        <w:fldChar w:fldCharType="end"/>
      </w:r>
    </w:p>
    <w:p>
      <w:pPr>
        <w:pStyle w:val="32"/>
        <w:tabs>
          <w:tab w:val="right" w:leader="dot" w:pos="8306"/>
        </w:tabs>
      </w:pPr>
      <w:r>
        <w:rPr>
          <w:rFonts w:hint="default" w:ascii="黑体" w:eastAsia="黑体"/>
          <w:szCs w:val="28"/>
          <w:highlight w:val="none"/>
          <w:lang w:val="en-US"/>
        </w:rPr>
        <w:fldChar w:fldCharType="begin"/>
      </w:r>
      <w:r>
        <w:rPr>
          <w:rFonts w:hint="default" w:ascii="黑体" w:eastAsia="黑体"/>
          <w:szCs w:val="28"/>
          <w:highlight w:val="none"/>
          <w:lang w:val="en-US"/>
        </w:rPr>
        <w:instrText xml:space="preserve"> HYPERLINK \l _Toc11719 </w:instrText>
      </w:r>
      <w:r>
        <w:rPr>
          <w:rFonts w:hint="default" w:ascii="黑体" w:eastAsia="黑体"/>
          <w:szCs w:val="28"/>
          <w:highlight w:val="none"/>
          <w:lang w:val="en-US"/>
        </w:rPr>
        <w:fldChar w:fldCharType="separate"/>
      </w:r>
      <w:r>
        <w:rPr>
          <w:rFonts w:hint="eastAsia"/>
          <w:highlight w:val="none"/>
          <w:lang w:val="en-US" w:eastAsia="zh-CN"/>
        </w:rPr>
        <w:t>二、</w:t>
      </w:r>
      <w:r>
        <w:rPr>
          <w:highlight w:val="none"/>
        </w:rPr>
        <w:t xml:space="preserve"> </w:t>
      </w:r>
      <w:r>
        <w:rPr>
          <w:rFonts w:hint="eastAsia"/>
          <w:highlight w:val="none"/>
        </w:rPr>
        <w:t>唱标信封（单独密封）</w:t>
      </w:r>
      <w:r>
        <w:tab/>
      </w:r>
      <w:r>
        <w:fldChar w:fldCharType="begin"/>
      </w:r>
      <w:r>
        <w:instrText xml:space="preserve"> PAGEREF _Toc11719 \h </w:instrText>
      </w:r>
      <w:r>
        <w:fldChar w:fldCharType="separate"/>
      </w:r>
      <w:r>
        <w:t>47</w:t>
      </w:r>
      <w:r>
        <w:fldChar w:fldCharType="end"/>
      </w:r>
      <w:r>
        <w:rPr>
          <w:rFonts w:hint="default" w:ascii="黑体" w:eastAsia="黑体"/>
          <w:szCs w:val="28"/>
          <w:highlight w:val="none"/>
          <w:lang w:val="en-US"/>
        </w:rPr>
        <w:fldChar w:fldCharType="end"/>
      </w:r>
    </w:p>
    <w:p>
      <w:pPr>
        <w:pStyle w:val="69"/>
        <w:rPr>
          <w:rFonts w:ascii="宋体" w:hAnsi="宋体" w:eastAsia="宋体" w:cs="宋体"/>
          <w:b/>
          <w:kern w:val="0"/>
          <w:sz w:val="28"/>
          <w:szCs w:val="28"/>
          <w:highlight w:val="none"/>
        </w:rPr>
        <w:sectPr>
          <w:footerReference r:id="rId3" w:type="default"/>
          <w:pgSz w:w="11906" w:h="16838"/>
          <w:pgMar w:top="1440" w:right="1800" w:bottom="1440" w:left="1800" w:header="851" w:footer="992" w:gutter="0"/>
          <w:cols w:space="720" w:num="1"/>
          <w:docGrid w:type="lines" w:linePitch="312" w:charSpace="0"/>
        </w:sectPr>
      </w:pPr>
      <w:r>
        <w:rPr>
          <w:rFonts w:hint="default" w:ascii="黑体" w:eastAsia="黑体"/>
          <w:szCs w:val="28"/>
          <w:highlight w:val="none"/>
          <w:lang w:val="en-US"/>
        </w:rPr>
        <w:fldChar w:fldCharType="end"/>
      </w:r>
      <w:bookmarkEnd w:id="2"/>
      <w:bookmarkStart w:id="3" w:name="_Toc227057880"/>
      <w:bookmarkStart w:id="4" w:name="_Toc456551871"/>
    </w:p>
    <w:p>
      <w:pPr>
        <w:pStyle w:val="69"/>
        <w:rPr>
          <w:rFonts w:hint="eastAsia" w:ascii="方正小标宋简体" w:hAnsi="方正小标宋简体" w:eastAsia="方正小标宋简体" w:cs="方正小标宋简体"/>
          <w:b/>
          <w:kern w:val="0"/>
          <w:sz w:val="28"/>
          <w:szCs w:val="28"/>
          <w:highlight w:val="none"/>
        </w:rPr>
      </w:pPr>
      <w:bookmarkStart w:id="5" w:name="_Toc27174"/>
      <w:bookmarkStart w:id="6" w:name="_Toc9549"/>
      <w:r>
        <w:rPr>
          <w:rFonts w:hint="eastAsia" w:ascii="方正小标宋简体" w:hAnsi="方正小标宋简体" w:eastAsia="方正小标宋简体" w:cs="方正小标宋简体"/>
          <w:b/>
          <w:kern w:val="0"/>
          <w:sz w:val="28"/>
          <w:szCs w:val="28"/>
          <w:highlight w:val="none"/>
        </w:rPr>
        <w:t>第一章  竞争性谈判公告</w:t>
      </w:r>
      <w:bookmarkEnd w:id="5"/>
      <w:bookmarkEnd w:id="6"/>
    </w:p>
    <w:p>
      <w:pPr>
        <w:spacing w:line="440" w:lineRule="exact"/>
        <w:jc w:val="center"/>
        <w:rPr>
          <w:rFonts w:ascii="黑体" w:hAnsi="黑体" w:eastAsia="黑体" w:cs="宋体"/>
          <w:sz w:val="28"/>
          <w:szCs w:val="28"/>
          <w:highlight w:val="none"/>
        </w:rPr>
      </w:pPr>
      <w:r>
        <w:rPr>
          <w:rFonts w:ascii="黑体" w:hAnsi="黑体" w:eastAsia="黑体" w:cs="宋体"/>
          <w:sz w:val="28"/>
          <w:szCs w:val="28"/>
          <w:highlight w:val="none"/>
        </w:rPr>
        <w:t xml:space="preserve"> </w:t>
      </w:r>
      <w:r>
        <w:rPr>
          <w:rFonts w:hint="eastAsia" w:ascii="方正小标宋简体" w:hAnsi="方正小标宋简体" w:eastAsia="方正小标宋简体" w:cs="方正小标宋简体"/>
          <w:sz w:val="28"/>
          <w:szCs w:val="28"/>
          <w:highlight w:val="none"/>
        </w:rPr>
        <w:t>[</w:t>
      </w:r>
      <w:bookmarkStart w:id="7" w:name="OLE_LINK1"/>
      <w:r>
        <w:rPr>
          <w:rFonts w:hint="eastAsia" w:ascii="方正小标宋简体" w:hAnsi="方正小标宋简体" w:eastAsia="方正小标宋简体" w:cs="方正小标宋简体"/>
          <w:sz w:val="28"/>
          <w:szCs w:val="28"/>
          <w:highlight w:val="none"/>
          <w:u w:val="single"/>
        </w:rPr>
        <w:t>新锋交通智慧服务平台项目</w:t>
      </w:r>
      <w:bookmarkEnd w:id="7"/>
      <w:r>
        <w:rPr>
          <w:rFonts w:hint="eastAsia" w:ascii="方正小标宋简体" w:hAnsi="方正小标宋简体" w:eastAsia="方正小标宋简体" w:cs="方正小标宋简体"/>
          <w:sz w:val="28"/>
          <w:szCs w:val="28"/>
          <w:highlight w:val="none"/>
        </w:rPr>
        <w:t>]项目竞争性谈判公告</w:t>
      </w:r>
      <w:r>
        <w:rPr>
          <w:rFonts w:ascii="黑体" w:hAnsi="黑体" w:eastAsia="黑体" w:cs="宋体"/>
          <w:sz w:val="28"/>
          <w:szCs w:val="28"/>
          <w:highlight w:val="none"/>
        </w:rPr>
        <w:t xml:space="preserve"> </w:t>
      </w:r>
    </w:p>
    <w:p>
      <w:pPr>
        <w:spacing w:line="440" w:lineRule="exact"/>
        <w:jc w:val="center"/>
        <w:rPr>
          <w:rFonts w:ascii="黑体" w:hAnsi="黑体" w:eastAsia="黑体" w:cs="宋体"/>
          <w:sz w:val="28"/>
          <w:szCs w:val="28"/>
          <w:highlight w:val="none"/>
        </w:rPr>
      </w:pPr>
    </w:p>
    <w:p>
      <w:pPr>
        <w:keepNext w:val="0"/>
        <w:keepLines w:val="0"/>
        <w:pageBreakBefore w:val="0"/>
        <w:widowControl w:val="0"/>
        <w:kinsoku/>
        <w:wordWrap/>
        <w:overflowPunct/>
        <w:topLinePunct w:val="0"/>
        <w:autoSpaceDE/>
        <w:autoSpaceDN/>
        <w:bidi w:val="0"/>
        <w:adjustRightInd/>
        <w:snapToGrid/>
        <w:spacing w:after="1" w:line="440" w:lineRule="exact"/>
        <w:ind w:right="164" w:firstLine="420" w:firstLineChars="200"/>
        <w:textAlignment w:val="auto"/>
        <w:rPr>
          <w:highlight w:val="none"/>
        </w:rPr>
      </w:pPr>
      <w:r>
        <w:rPr>
          <w:rFonts w:hint="eastAsia"/>
          <w:highlight w:val="none"/>
          <w:u w:val="single"/>
        </w:rPr>
        <w:t>新锋交通智慧服务平台项目</w:t>
      </w:r>
      <w:r>
        <w:rPr>
          <w:highlight w:val="none"/>
        </w:rPr>
        <w:t>采购人为</w:t>
      </w:r>
      <w:r>
        <w:rPr>
          <w:rFonts w:hint="eastAsia"/>
          <w:highlight w:val="none"/>
          <w:u w:val="single"/>
        </w:rPr>
        <w:t>东莞新锋交通能源发展有限公司</w:t>
      </w:r>
      <w:r>
        <w:rPr>
          <w:highlight w:val="none"/>
        </w:rPr>
        <w:t>，已具备竞争性谈判条件，现进行公开竞争性谈判。</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 xml:space="preserve">一、 </w:t>
      </w:r>
      <w:r>
        <w:rPr>
          <w:rFonts w:hint="eastAsia" w:ascii="黑体" w:eastAsia="黑体"/>
          <w:b/>
          <w:sz w:val="28"/>
          <w:szCs w:val="28"/>
          <w:highlight w:val="none"/>
        </w:rPr>
        <w:t>项目名称及</w:t>
      </w:r>
      <w:r>
        <w:rPr>
          <w:rFonts w:ascii="黑体" w:eastAsia="黑体"/>
          <w:b/>
          <w:sz w:val="28"/>
          <w:szCs w:val="28"/>
          <w:highlight w:val="none"/>
        </w:rPr>
        <w:t xml:space="preserve">采购内容 </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项目名称：</w:t>
      </w:r>
      <w:r>
        <w:rPr>
          <w:rFonts w:hint="eastAsia" w:ascii="宋体" w:hAnsi="宋体"/>
          <w:szCs w:val="21"/>
          <w:highlight w:val="none"/>
          <w:u w:val="single"/>
        </w:rPr>
        <w:t>新锋交通智慧服务平台项目</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采购范围：</w:t>
      </w:r>
      <w:r>
        <w:rPr>
          <w:rFonts w:hint="eastAsia" w:ascii="宋体" w:hAnsi="宋体" w:cs="宋体"/>
          <w:szCs w:val="21"/>
          <w:highlight w:val="none"/>
        </w:rPr>
        <w:t>我司立足行业发展规律，聚焦 “解决现状痛点、布局行业未来、构建产业生态” 的核心思路，结合集团信息化建设战略，重点满足信息安全、知识产权保护、技术自主可控等核心需求，致力于打造交通能源领域智慧服务标杆项目（详见用户需求）《用户需求及技术规范要求书》</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项目地点：</w:t>
      </w:r>
      <w:r>
        <w:rPr>
          <w:rFonts w:hint="eastAsia" w:ascii="宋体" w:hAnsi="宋体"/>
          <w:szCs w:val="21"/>
          <w:highlight w:val="none"/>
          <w:u w:val="single"/>
        </w:rPr>
        <w:t>东莞市</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服务期限：</w:t>
      </w:r>
      <w:r>
        <w:rPr>
          <w:rFonts w:hint="eastAsia" w:ascii="宋体" w:hAnsi="宋体" w:cs="宋体"/>
          <w:szCs w:val="21"/>
          <w:highlight w:val="none"/>
          <w:u w:val="single"/>
        </w:rPr>
        <w:t>自合同签订之日起</w:t>
      </w:r>
      <w:r>
        <w:rPr>
          <w:rFonts w:hint="eastAsia" w:ascii="宋体" w:hAnsi="宋体" w:cs="宋体"/>
          <w:szCs w:val="21"/>
          <w:highlight w:val="none"/>
          <w:u w:val="single"/>
          <w:lang w:val="en-US" w:eastAsia="zh-CN"/>
        </w:rPr>
        <w:t>3</w:t>
      </w:r>
      <w:r>
        <w:rPr>
          <w:rFonts w:hint="eastAsia" w:ascii="宋体" w:hAnsi="宋体" w:cs="宋体"/>
          <w:szCs w:val="21"/>
          <w:highlight w:val="none"/>
          <w:u w:val="single"/>
        </w:rPr>
        <w:t>个月内完成并通过初验后上线试运行，试运行1个月为迭代优化阶段。终验后进入质保期</w:t>
      </w:r>
      <w:r>
        <w:rPr>
          <w:rFonts w:hint="eastAsia" w:ascii="宋体" w:hAnsi="宋体" w:cs="宋体"/>
          <w:szCs w:val="21"/>
          <w:highlight w:val="none"/>
          <w:u w:val="single"/>
          <w:lang w:val="en-US" w:eastAsia="zh-CN"/>
        </w:rPr>
        <w:t>2</w:t>
      </w:r>
      <w:r>
        <w:rPr>
          <w:rFonts w:hint="eastAsia" w:ascii="宋体" w:hAnsi="宋体" w:cs="宋体"/>
          <w:szCs w:val="21"/>
          <w:highlight w:val="none"/>
          <w:u w:val="single"/>
        </w:rPr>
        <w:t>年，质保期间包含过程维护</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预算金额：</w:t>
      </w:r>
      <w:r>
        <w:rPr>
          <w:rFonts w:hint="eastAsia" w:ascii="宋体" w:hAnsi="宋体"/>
          <w:szCs w:val="21"/>
          <w:highlight w:val="none"/>
          <w:u w:val="single"/>
        </w:rPr>
        <w:t>¥6</w:t>
      </w:r>
      <w:r>
        <w:rPr>
          <w:rFonts w:hint="eastAsia" w:ascii="宋体" w:hAnsi="宋体"/>
          <w:szCs w:val="21"/>
          <w:highlight w:val="none"/>
          <w:u w:val="single"/>
          <w:lang w:val="en-US" w:eastAsia="zh-CN"/>
        </w:rPr>
        <w:t>0</w:t>
      </w:r>
      <w:r>
        <w:rPr>
          <w:rFonts w:hint="eastAsia" w:ascii="宋体" w:hAnsi="宋体"/>
          <w:szCs w:val="21"/>
          <w:highlight w:val="none"/>
          <w:u w:val="single"/>
        </w:rPr>
        <w:t>0,000.00元（含税）</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最高限价：</w:t>
      </w:r>
      <w:r>
        <w:rPr>
          <w:rFonts w:hint="eastAsia" w:ascii="宋体" w:hAnsi="宋体"/>
          <w:szCs w:val="21"/>
          <w:highlight w:val="none"/>
          <w:u w:val="single"/>
        </w:rPr>
        <w:t>¥6</w:t>
      </w:r>
      <w:r>
        <w:rPr>
          <w:rFonts w:hint="eastAsia" w:ascii="宋体" w:hAnsi="宋体"/>
          <w:szCs w:val="21"/>
          <w:highlight w:val="none"/>
          <w:u w:val="single"/>
          <w:lang w:val="en-US" w:eastAsia="zh-CN"/>
        </w:rPr>
        <w:t>0</w:t>
      </w:r>
      <w:r>
        <w:rPr>
          <w:rFonts w:hint="eastAsia" w:ascii="宋体" w:hAnsi="宋体"/>
          <w:szCs w:val="21"/>
          <w:highlight w:val="none"/>
          <w:u w:val="single"/>
        </w:rPr>
        <w:t>0,000.00元（含税）</w:t>
      </w:r>
      <w:r>
        <w:rPr>
          <w:rFonts w:hint="eastAsia" w:ascii="宋体" w:hAnsi="宋体"/>
          <w:szCs w:val="21"/>
          <w:highlight w:val="none"/>
        </w:rPr>
        <w:t>；</w:t>
      </w:r>
    </w:p>
    <w:p>
      <w:pPr>
        <w:keepNext w:val="0"/>
        <w:keepLines w:val="0"/>
        <w:pageBreakBefore w:val="0"/>
        <w:widowControl w:val="0"/>
        <w:numPr>
          <w:ilvl w:val="1"/>
          <w:numId w:val="2"/>
        </w:numPr>
        <w:kinsoku/>
        <w:overflowPunct/>
        <w:topLinePunct w:val="0"/>
        <w:autoSpaceDE/>
        <w:autoSpaceDN/>
        <w:bidi w:val="0"/>
        <w:adjustRightInd/>
        <w:snapToGrid/>
        <w:spacing w:line="440" w:lineRule="exact"/>
        <w:ind w:left="0" w:firstLine="425"/>
        <w:textAlignment w:val="auto"/>
        <w:rPr>
          <w:rFonts w:ascii="宋体" w:hAnsi="宋体"/>
          <w:szCs w:val="21"/>
          <w:highlight w:val="none"/>
        </w:rPr>
      </w:pPr>
      <w:r>
        <w:rPr>
          <w:rFonts w:hint="eastAsia" w:ascii="宋体" w:hAnsi="宋体"/>
          <w:szCs w:val="21"/>
          <w:highlight w:val="none"/>
        </w:rPr>
        <w:t>标包划分：</w:t>
      </w:r>
      <w:r>
        <w:rPr>
          <w:rStyle w:val="43"/>
          <w:rFonts w:hint="eastAsia"/>
          <w:highlight w:val="none"/>
        </w:rPr>
        <w:t>本项目</w:t>
      </w:r>
      <w:r>
        <w:rPr>
          <w:rStyle w:val="43"/>
          <w:rFonts w:hint="eastAsia"/>
          <w:highlight w:val="none"/>
          <w:u w:val="single"/>
        </w:rPr>
        <w:t>不划分</w:t>
      </w:r>
      <w:r>
        <w:rPr>
          <w:rStyle w:val="43"/>
          <w:rFonts w:hint="eastAsia"/>
          <w:highlight w:val="none"/>
        </w:rPr>
        <w:t>标包</w:t>
      </w:r>
      <w:r>
        <w:rPr>
          <w:rFonts w:hint="eastAsia" w:ascii="宋体" w:hAnsi="宋体"/>
          <w:spacing w:val="2"/>
          <w:szCs w:val="21"/>
          <w:highlight w:val="none"/>
        </w:rPr>
        <w:t>。</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 xml:space="preserve">二、 </w:t>
      </w:r>
      <w:r>
        <w:rPr>
          <w:rFonts w:hint="eastAsia" w:ascii="黑体" w:eastAsia="黑体"/>
          <w:b/>
          <w:sz w:val="28"/>
          <w:szCs w:val="28"/>
          <w:highlight w:val="none"/>
        </w:rPr>
        <w:t>响应人</w:t>
      </w:r>
      <w:r>
        <w:rPr>
          <w:rFonts w:ascii="黑体" w:eastAsia="黑体"/>
          <w:b/>
          <w:sz w:val="28"/>
          <w:szCs w:val="28"/>
          <w:highlight w:val="none"/>
        </w:rPr>
        <w:t>资格</w:t>
      </w:r>
      <w:r>
        <w:rPr>
          <w:rFonts w:hint="eastAsia" w:ascii="黑体" w:eastAsia="黑体"/>
          <w:b/>
          <w:sz w:val="28"/>
          <w:szCs w:val="28"/>
          <w:highlight w:val="none"/>
        </w:rPr>
        <w:t>要求</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szCs w:val="21"/>
          <w:highlight w:val="none"/>
        </w:rPr>
      </w:pPr>
      <w:r>
        <w:rPr>
          <w:rFonts w:hint="eastAsia" w:ascii="宋体" w:hAnsi="宋体"/>
          <w:szCs w:val="21"/>
          <w:highlight w:val="none"/>
        </w:rPr>
        <w:t>响应人须为在中华人民共和国境内登记注册的具有独立承担民事责任能力的法人或其他组织。【提供《营业执照》复印件（加盖公章）或《事业单位法人证书》复印件（加盖公章）或其他主体证书复印件（加盖公章）】</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bookmarkStart w:id="8" w:name="_Hlk208304903"/>
      <w:r>
        <w:rPr>
          <w:rFonts w:hint="eastAsia" w:ascii="宋体" w:hAnsi="宋体"/>
          <w:szCs w:val="21"/>
          <w:highlight w:val="none"/>
        </w:rPr>
        <w:t>业绩要求：</w:t>
      </w:r>
      <w:bookmarkEnd w:id="8"/>
      <w:r>
        <w:rPr>
          <w:rFonts w:hint="eastAsia"/>
          <w:szCs w:val="21"/>
          <w:highlight w:val="none"/>
        </w:rPr>
        <w:t>具备为国有企业（国企）提供定制开发系统服务的项目经验，要求2022年1月至今完成至少</w:t>
      </w:r>
      <w:r>
        <w:rPr>
          <w:rFonts w:hint="eastAsia"/>
          <w:szCs w:val="21"/>
          <w:highlight w:val="none"/>
          <w:lang w:val="en-US" w:eastAsia="zh-CN"/>
        </w:rPr>
        <w:t>2</w:t>
      </w:r>
      <w:r>
        <w:rPr>
          <w:rFonts w:hint="eastAsia"/>
          <w:szCs w:val="21"/>
          <w:highlight w:val="none"/>
        </w:rPr>
        <w:t>个单一合同金额40万（含40万）以上企业定制开发系统建设项目业绩。【按合同签订时间为准，须提供合同关键页复印件（包含但不限于合同首页、合同金额页、合同签字页等）、相关发票等证明材料。】</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eastAsia" w:ascii="宋体" w:hAnsi="宋体"/>
          <w:szCs w:val="21"/>
          <w:highlight w:val="none"/>
          <w:lang w:val="en-US" w:eastAsia="zh-CN"/>
        </w:rPr>
        <w:t>响应</w:t>
      </w:r>
      <w:r>
        <w:rPr>
          <w:rFonts w:hint="eastAsia" w:ascii="宋体" w:hAnsi="宋体"/>
          <w:szCs w:val="21"/>
          <w:highlight w:val="none"/>
        </w:rPr>
        <w:t>人需具有致远OA集成开发服务经验，要求2022年1月至今完成至少2个及以上集成开发服务项目业绩。【按合同签订时间为准，须提供合同关键页复印件（包含但不限于合同首页、合同金额页、合同签字页等）、相关发票等证明材料。】【提供签订过的相关合同复印件（加盖公章）】</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eastAsia" w:ascii="宋体" w:hAnsi="宋体"/>
          <w:szCs w:val="21"/>
          <w:highlight w:val="none"/>
        </w:rPr>
        <w:t>人员要求：响应人拟派项目负责人须具备国家人力资源和社会保障部和工业和信息化部共同颁发的系统集成项目管理工程师和信息系统项目管理师证书。【并提供以上人员近一年连续3个月由投标人为其缴纳的社保证明文件证书复印件（加盖公章）】</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eastAsia" w:ascii="宋体" w:hAnsi="宋体"/>
          <w:szCs w:val="21"/>
          <w:highlight w:val="none"/>
        </w:rPr>
        <w:t>响应人的单位负责人为同一人或者存在直接控股、管理关系的不同响应人，不得参加同一合同项下的采购活动。</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845" w:leftChars="0" w:hanging="425" w:firstLineChars="0"/>
        <w:textAlignment w:val="auto"/>
        <w:rPr>
          <w:rFonts w:ascii="宋体" w:hAnsi="宋体"/>
          <w:szCs w:val="21"/>
          <w:highlight w:val="none"/>
        </w:rPr>
      </w:pPr>
      <w:r>
        <w:rPr>
          <w:rFonts w:hint="eastAsia" w:ascii="宋体" w:hAnsi="宋体"/>
          <w:szCs w:val="21"/>
          <w:highlight w:val="none"/>
        </w:rPr>
        <w:t>响应人参加采购活动前三年内，在经营活动中没有重大违法记录。【提供书面声明】</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eastAsia" w:ascii="宋体" w:hAnsi="宋体"/>
          <w:szCs w:val="21"/>
          <w:highlight w:val="none"/>
        </w:rPr>
        <w:t>响应人未被列入“信用中国”网站(www.creditchina.gov.cn)“记录失信被执行人或重大税收违法案件当事人名单或政府采购严重违法失信行为”记录名单。【以响应截止日当天在“信用中国”网站（www.creditchina.gov.cn）查询结果为准，如相关失信记录已失效，响应人需提供相关证明资料】</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5" w:leftChars="0" w:firstLine="415" w:firstLineChars="0"/>
        <w:textAlignment w:val="auto"/>
        <w:rPr>
          <w:rFonts w:ascii="宋体" w:hAnsi="宋体"/>
          <w:szCs w:val="21"/>
          <w:highlight w:val="none"/>
        </w:rPr>
      </w:pPr>
      <w:r>
        <w:rPr>
          <w:rFonts w:hint="default" w:ascii="宋体" w:hAnsi="宋体"/>
          <w:szCs w:val="21"/>
          <w:highlight w:val="none"/>
        </w:rPr>
        <w:t>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pPr>
        <w:keepNext w:val="0"/>
        <w:keepLines w:val="0"/>
        <w:pageBreakBefore w:val="0"/>
        <w:widowControl w:val="0"/>
        <w:numPr>
          <w:ilvl w:val="1"/>
          <w:numId w:val="3"/>
        </w:numPr>
        <w:kinsoku/>
        <w:overflowPunct/>
        <w:topLinePunct w:val="0"/>
        <w:autoSpaceDE/>
        <w:autoSpaceDN/>
        <w:bidi w:val="0"/>
        <w:adjustRightInd/>
        <w:snapToGrid/>
        <w:spacing w:line="440" w:lineRule="exact"/>
        <w:ind w:left="845" w:leftChars="0" w:hanging="425" w:firstLineChars="0"/>
        <w:textAlignment w:val="auto"/>
        <w:rPr>
          <w:rFonts w:ascii="宋体" w:hAnsi="宋体"/>
          <w:szCs w:val="21"/>
          <w:highlight w:val="none"/>
        </w:rPr>
      </w:pPr>
      <w:r>
        <w:rPr>
          <w:rFonts w:hint="eastAsia" w:ascii="宋体" w:hAnsi="宋体"/>
          <w:szCs w:val="21"/>
          <w:highlight w:val="none"/>
        </w:rPr>
        <w:t>本项目</w:t>
      </w:r>
      <w:r>
        <w:rPr>
          <w:rFonts w:hint="eastAsia" w:ascii="宋体" w:hAnsi="宋体"/>
          <w:szCs w:val="21"/>
          <w:highlight w:val="none"/>
          <w:u w:val="single"/>
        </w:rPr>
        <w:t>（不接受）</w:t>
      </w:r>
      <w:r>
        <w:rPr>
          <w:rFonts w:hint="eastAsia" w:ascii="宋体" w:hAnsi="宋体"/>
          <w:szCs w:val="21"/>
          <w:highlight w:val="none"/>
        </w:rPr>
        <w:t>联合体响应。</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三、 竞争性谈判文件的获取</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szCs w:val="21"/>
          <w:highlight w:val="none"/>
        </w:rPr>
      </w:pPr>
      <w:r>
        <w:rPr>
          <w:rFonts w:hint="eastAsia" w:ascii="宋体" w:hAnsi="宋体"/>
          <w:szCs w:val="21"/>
          <w:highlight w:val="none"/>
        </w:rPr>
        <w:t>3.1</w:t>
      </w:r>
      <w:r>
        <w:rPr>
          <w:rFonts w:ascii="宋体" w:hAnsi="宋体"/>
          <w:szCs w:val="21"/>
          <w:highlight w:val="none"/>
        </w:rPr>
        <w:t>竞争性谈判文件获取时间：</w:t>
      </w:r>
      <w:r>
        <w:rPr>
          <w:highlight w:val="none"/>
        </w:rPr>
        <w:t>20</w:t>
      </w:r>
      <w:r>
        <w:rPr>
          <w:highlight w:val="none"/>
          <w:u w:val="single"/>
        </w:rPr>
        <w:t>25</w:t>
      </w:r>
      <w:r>
        <w:rPr>
          <w:highlight w:val="none"/>
        </w:rPr>
        <w:t>年</w:t>
      </w:r>
      <w:r>
        <w:rPr>
          <w:rFonts w:hint="eastAsia"/>
          <w:highlight w:val="none"/>
          <w:u w:val="single"/>
          <w:lang w:val="en-US" w:eastAsia="zh-CN"/>
        </w:rPr>
        <w:t>12</w:t>
      </w:r>
      <w:r>
        <w:rPr>
          <w:highlight w:val="none"/>
        </w:rPr>
        <w:t>月</w:t>
      </w:r>
      <w:r>
        <w:rPr>
          <w:rFonts w:hint="eastAsia"/>
          <w:highlight w:val="none"/>
          <w:u w:val="single"/>
          <w:lang w:val="en-US" w:eastAsia="zh-CN"/>
        </w:rPr>
        <w:t>30</w:t>
      </w:r>
      <w:r>
        <w:rPr>
          <w:highlight w:val="none"/>
        </w:rPr>
        <w:t>日至20</w:t>
      </w:r>
      <w:r>
        <w:rPr>
          <w:highlight w:val="none"/>
          <w:u w:val="single"/>
        </w:rPr>
        <w:t>2</w:t>
      </w:r>
      <w:r>
        <w:rPr>
          <w:rFonts w:hint="eastAsia"/>
          <w:highlight w:val="none"/>
          <w:u w:val="single"/>
          <w:lang w:val="en-US" w:eastAsia="zh-CN"/>
        </w:rPr>
        <w:t>6</w:t>
      </w:r>
      <w:r>
        <w:rPr>
          <w:highlight w:val="none"/>
        </w:rPr>
        <w:t>年</w:t>
      </w:r>
      <w:r>
        <w:rPr>
          <w:rFonts w:hint="eastAsia"/>
          <w:highlight w:val="none"/>
          <w:u w:val="single"/>
          <w:lang w:val="en-US" w:eastAsia="zh-CN"/>
        </w:rPr>
        <w:t>1</w:t>
      </w:r>
      <w:r>
        <w:rPr>
          <w:highlight w:val="none"/>
        </w:rPr>
        <w:t>月</w:t>
      </w:r>
      <w:r>
        <w:rPr>
          <w:rFonts w:hint="eastAsia"/>
          <w:highlight w:val="none"/>
          <w:u w:val="single"/>
          <w:lang w:val="en-US" w:eastAsia="zh-CN"/>
        </w:rPr>
        <w:t>4</w:t>
      </w:r>
      <w:r>
        <w:rPr>
          <w:highlight w:val="none"/>
        </w:rPr>
        <w:t>日。</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highlight w:val="none"/>
        </w:rPr>
      </w:pPr>
      <w:r>
        <w:rPr>
          <w:rFonts w:hint="eastAsia" w:ascii="宋体" w:hAnsi="宋体"/>
          <w:szCs w:val="21"/>
          <w:highlight w:val="none"/>
        </w:rPr>
        <w:t>3.2</w:t>
      </w:r>
      <w:r>
        <w:rPr>
          <w:highlight w:val="none"/>
        </w:rPr>
        <w:t>竞争性谈判文件获取</w:t>
      </w:r>
      <w:r>
        <w:rPr>
          <w:rFonts w:hint="eastAsia"/>
          <w:highlight w:val="none"/>
        </w:rPr>
        <w:t>地点</w:t>
      </w:r>
      <w:r>
        <w:rPr>
          <w:highlight w:val="none"/>
        </w:rPr>
        <w:t>：</w:t>
      </w:r>
      <w:r>
        <w:rPr>
          <w:rFonts w:hint="eastAsia"/>
          <w:highlight w:val="none"/>
          <w:u w:val="single"/>
        </w:rPr>
        <w:t>/</w:t>
      </w:r>
      <w:r>
        <w:rPr>
          <w:highlight w:val="none"/>
        </w:rPr>
        <w:t>。</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highlight w:val="none"/>
        </w:rPr>
      </w:pPr>
      <w:r>
        <w:rPr>
          <w:rFonts w:hint="eastAsia" w:ascii="宋体" w:hAnsi="宋体"/>
          <w:szCs w:val="21"/>
          <w:highlight w:val="none"/>
        </w:rPr>
        <w:t>3.3</w:t>
      </w:r>
      <w:r>
        <w:rPr>
          <w:rFonts w:ascii="宋体" w:hAnsi="宋体"/>
          <w:szCs w:val="21"/>
          <w:highlight w:val="none"/>
        </w:rPr>
        <w:t>竞争性谈判文件</w:t>
      </w:r>
      <w:r>
        <w:rPr>
          <w:highlight w:val="none"/>
        </w:rPr>
        <w:t>获取方式：</w:t>
      </w:r>
      <w:r>
        <w:rPr>
          <w:rFonts w:hint="eastAsia"/>
          <w:highlight w:val="none"/>
          <w:u w:val="single"/>
        </w:rPr>
        <w:t>东莞实业投资控股集团有限公司网站（http://www.dgsy.com.cn/）—招标采购栏目</w:t>
      </w:r>
      <w:r>
        <w:rPr>
          <w:rFonts w:hint="eastAsia"/>
          <w:highlight w:val="none"/>
        </w:rPr>
        <w:t>不记名免费下载</w:t>
      </w:r>
      <w:r>
        <w:rPr>
          <w:highlight w:val="none"/>
        </w:rPr>
        <w:t>。</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四、 响应文件的递交</w:t>
      </w:r>
    </w:p>
    <w:p>
      <w:pPr>
        <w:pStyle w:val="106"/>
        <w:keepNext w:val="0"/>
        <w:keepLines w:val="0"/>
        <w:pageBreakBefore w:val="0"/>
        <w:widowControl w:val="0"/>
        <w:kinsoku/>
        <w:overflowPunct/>
        <w:topLinePunct w:val="0"/>
        <w:autoSpaceDE/>
        <w:autoSpaceDN/>
        <w:bidi w:val="0"/>
        <w:adjustRightInd/>
        <w:snapToGrid/>
        <w:spacing w:line="440" w:lineRule="exact"/>
        <w:ind w:left="10" w:leftChars="0" w:firstLine="426" w:firstLineChars="203"/>
        <w:textAlignment w:val="auto"/>
        <w:rPr>
          <w:rFonts w:hint="eastAsia" w:ascii="宋体" w:hAnsi="宋体"/>
          <w:szCs w:val="21"/>
          <w:highlight w:val="none"/>
        </w:rPr>
      </w:pPr>
      <w:r>
        <w:rPr>
          <w:rFonts w:hint="eastAsia" w:ascii="宋体" w:hAnsi="宋体"/>
          <w:szCs w:val="21"/>
          <w:highlight w:val="none"/>
        </w:rPr>
        <w:t>4.1</w:t>
      </w:r>
      <w:r>
        <w:rPr>
          <w:rFonts w:hint="eastAsia" w:ascii="宋体" w:hAnsi="宋体"/>
          <w:szCs w:val="21"/>
          <w:highlight w:val="none"/>
          <w:lang w:val="en-US" w:eastAsia="zh-CN"/>
        </w:rPr>
        <w:t>响应文件仅接收邮寄送达，不接受响应人现场递交，响应人须通过合法合规的邮寄渠道将寄至采购人地址。</w:t>
      </w:r>
    </w:p>
    <w:p>
      <w:pPr>
        <w:pStyle w:val="106"/>
        <w:keepNext w:val="0"/>
        <w:keepLines w:val="0"/>
        <w:pageBreakBefore w:val="0"/>
        <w:widowControl w:val="0"/>
        <w:kinsoku/>
        <w:overflowPunct/>
        <w:topLinePunct w:val="0"/>
        <w:autoSpaceDE/>
        <w:autoSpaceDN/>
        <w:bidi w:val="0"/>
        <w:adjustRightInd/>
        <w:snapToGrid/>
        <w:spacing w:line="440" w:lineRule="exact"/>
        <w:ind w:left="10" w:leftChars="0" w:firstLine="426" w:firstLineChars="203"/>
        <w:textAlignment w:val="auto"/>
        <w:rPr>
          <w:highlight w:val="none"/>
        </w:rPr>
      </w:pPr>
      <w:r>
        <w:rPr>
          <w:rFonts w:hint="eastAsia"/>
          <w:highlight w:val="none"/>
          <w:lang w:val="en-US" w:eastAsia="zh-CN"/>
        </w:rPr>
        <w:t>4.2</w:t>
      </w:r>
      <w:r>
        <w:rPr>
          <w:highlight w:val="none"/>
        </w:rPr>
        <w:t>响应文件</w:t>
      </w:r>
      <w:r>
        <w:rPr>
          <w:rFonts w:hint="eastAsia"/>
          <w:highlight w:val="none"/>
          <w:lang w:val="en-US" w:eastAsia="zh-CN"/>
        </w:rPr>
        <w:t>接收</w:t>
      </w:r>
      <w:r>
        <w:rPr>
          <w:highlight w:val="none"/>
        </w:rPr>
        <w:t>的截止时间为</w:t>
      </w:r>
      <w:bookmarkStart w:id="9" w:name="OLE_LINK6"/>
      <w:r>
        <w:rPr>
          <w:highlight w:val="none"/>
        </w:rPr>
        <w:t>20</w:t>
      </w:r>
      <w:r>
        <w:rPr>
          <w:highlight w:val="none"/>
          <w:u w:val="single"/>
        </w:rPr>
        <w:t>2</w:t>
      </w:r>
      <w:r>
        <w:rPr>
          <w:rFonts w:hint="eastAsia"/>
          <w:highlight w:val="none"/>
          <w:u w:val="single"/>
          <w:lang w:val="en-US" w:eastAsia="zh-CN"/>
        </w:rPr>
        <w:t>6</w:t>
      </w:r>
      <w:r>
        <w:rPr>
          <w:highlight w:val="none"/>
        </w:rPr>
        <w:t>年</w:t>
      </w:r>
      <w:r>
        <w:rPr>
          <w:rFonts w:hint="eastAsia"/>
          <w:highlight w:val="none"/>
          <w:u w:val="single"/>
          <w:lang w:val="en-US" w:eastAsia="zh-CN"/>
        </w:rPr>
        <w:t>1</w:t>
      </w:r>
      <w:r>
        <w:rPr>
          <w:highlight w:val="none"/>
        </w:rPr>
        <w:t>月</w:t>
      </w:r>
      <w:r>
        <w:rPr>
          <w:rFonts w:hint="eastAsia"/>
          <w:highlight w:val="none"/>
          <w:u w:val="single"/>
          <w:lang w:val="en-US" w:eastAsia="zh-CN"/>
        </w:rPr>
        <w:t>5</w:t>
      </w:r>
      <w:r>
        <w:rPr>
          <w:highlight w:val="none"/>
        </w:rPr>
        <w:t>日</w:t>
      </w:r>
      <w:r>
        <w:rPr>
          <w:highlight w:val="none"/>
          <w:u w:val="single"/>
        </w:rPr>
        <w:t>1</w:t>
      </w:r>
      <w:r>
        <w:rPr>
          <w:rFonts w:hint="eastAsia"/>
          <w:highlight w:val="none"/>
          <w:u w:val="single"/>
          <w:lang w:val="en-US" w:eastAsia="zh-CN"/>
        </w:rPr>
        <w:t>0</w:t>
      </w:r>
      <w:r>
        <w:rPr>
          <w:highlight w:val="none"/>
        </w:rPr>
        <w:t>时</w:t>
      </w:r>
      <w:r>
        <w:rPr>
          <w:rFonts w:hint="eastAsia"/>
          <w:highlight w:val="none"/>
          <w:u w:val="single"/>
          <w:lang w:val="en-US" w:eastAsia="zh-CN"/>
        </w:rPr>
        <w:t>0</w:t>
      </w:r>
      <w:r>
        <w:rPr>
          <w:highlight w:val="none"/>
          <w:u w:val="single"/>
        </w:rPr>
        <w:t>0</w:t>
      </w:r>
      <w:r>
        <w:rPr>
          <w:highlight w:val="none"/>
        </w:rPr>
        <w:t>分</w:t>
      </w:r>
      <w:bookmarkEnd w:id="9"/>
      <w:r>
        <w:rPr>
          <w:rFonts w:hint="eastAsia"/>
          <w:highlight w:val="none"/>
          <w:lang w:eastAsia="zh-CN"/>
        </w:rPr>
        <w:t>（</w:t>
      </w:r>
      <w:r>
        <w:rPr>
          <w:rFonts w:hint="default"/>
          <w:highlight w:val="none"/>
          <w:lang w:val="en-US" w:eastAsia="zh-CN"/>
        </w:rPr>
        <w:t>以邮寄文件签收时间为准</w:t>
      </w:r>
      <w:r>
        <w:rPr>
          <w:rFonts w:hint="eastAsia"/>
          <w:highlight w:val="none"/>
          <w:lang w:eastAsia="zh-CN"/>
        </w:rPr>
        <w:t>）</w:t>
      </w:r>
      <w:r>
        <w:rPr>
          <w:highlight w:val="none"/>
        </w:rPr>
        <w:t>。</w:t>
      </w:r>
    </w:p>
    <w:p>
      <w:pPr>
        <w:pStyle w:val="106"/>
        <w:keepNext w:val="0"/>
        <w:keepLines w:val="0"/>
        <w:pageBreakBefore w:val="0"/>
        <w:widowControl w:val="0"/>
        <w:kinsoku/>
        <w:overflowPunct/>
        <w:topLinePunct w:val="0"/>
        <w:autoSpaceDE/>
        <w:autoSpaceDN/>
        <w:bidi w:val="0"/>
        <w:adjustRightInd/>
        <w:snapToGrid/>
        <w:spacing w:line="440" w:lineRule="exact"/>
        <w:ind w:left="10" w:leftChars="0" w:firstLine="426" w:firstLineChars="203"/>
        <w:textAlignment w:val="auto"/>
        <w:rPr>
          <w:rFonts w:hint="default"/>
          <w:highlight w:val="none"/>
          <w:lang w:val="en-US" w:eastAsia="zh-CN"/>
        </w:rPr>
      </w:pPr>
      <w:r>
        <w:rPr>
          <w:rFonts w:hint="eastAsia"/>
          <w:highlight w:val="none"/>
          <w:lang w:val="en-US" w:eastAsia="zh-CN"/>
        </w:rPr>
        <w:t>4.3开标时间：2026年1月5日10时00分</w:t>
      </w:r>
    </w:p>
    <w:p>
      <w:pPr>
        <w:pStyle w:val="106"/>
        <w:keepNext w:val="0"/>
        <w:keepLines w:val="0"/>
        <w:pageBreakBefore w:val="0"/>
        <w:widowControl w:val="0"/>
        <w:kinsoku/>
        <w:overflowPunct/>
        <w:topLinePunct w:val="0"/>
        <w:autoSpaceDE/>
        <w:autoSpaceDN/>
        <w:bidi w:val="0"/>
        <w:adjustRightInd/>
        <w:snapToGrid/>
        <w:spacing w:line="440" w:lineRule="exact"/>
        <w:ind w:left="10" w:leftChars="0" w:firstLine="426" w:firstLineChars="203"/>
        <w:textAlignment w:val="auto"/>
        <w:rPr>
          <w:rFonts w:hint="eastAsia"/>
          <w:highlight w:val="none"/>
          <w:lang w:val="en-US" w:eastAsia="zh-CN"/>
        </w:rPr>
      </w:pPr>
      <w:r>
        <w:rPr>
          <w:rFonts w:hint="eastAsia"/>
          <w:highlight w:val="none"/>
          <w:lang w:val="en-US" w:eastAsia="zh-CN"/>
        </w:rPr>
        <w:t>4.4出现以下情形时，采购人/采购代理机构不予接收响应文件：</w:t>
      </w:r>
    </w:p>
    <w:p>
      <w:pPr>
        <w:pStyle w:val="106"/>
        <w:keepNext w:val="0"/>
        <w:keepLines w:val="0"/>
        <w:pageBreakBefore w:val="0"/>
        <w:widowControl w:val="0"/>
        <w:kinsoku/>
        <w:overflowPunct/>
        <w:topLinePunct w:val="0"/>
        <w:autoSpaceDE/>
        <w:autoSpaceDN/>
        <w:bidi w:val="0"/>
        <w:adjustRightInd/>
        <w:snapToGrid/>
        <w:spacing w:line="440" w:lineRule="exact"/>
        <w:ind w:left="10" w:leftChars="0" w:firstLine="426" w:firstLineChars="203"/>
        <w:textAlignment w:val="auto"/>
        <w:rPr>
          <w:rFonts w:hint="eastAsia"/>
          <w:highlight w:val="none"/>
          <w:lang w:val="en-US" w:eastAsia="zh-CN"/>
        </w:rPr>
      </w:pPr>
      <w:r>
        <w:rPr>
          <w:rFonts w:hint="eastAsia"/>
          <w:highlight w:val="none"/>
          <w:lang w:val="en-US" w:eastAsia="zh-CN"/>
        </w:rPr>
        <w:t>4.4.1逾期送达或者未送达指定地点的；</w:t>
      </w:r>
    </w:p>
    <w:p>
      <w:pPr>
        <w:pStyle w:val="106"/>
        <w:keepNext w:val="0"/>
        <w:keepLines w:val="0"/>
        <w:pageBreakBefore w:val="0"/>
        <w:widowControl w:val="0"/>
        <w:kinsoku/>
        <w:overflowPunct/>
        <w:topLinePunct w:val="0"/>
        <w:autoSpaceDE/>
        <w:autoSpaceDN/>
        <w:bidi w:val="0"/>
        <w:adjustRightInd/>
        <w:snapToGrid/>
        <w:spacing w:line="440" w:lineRule="exact"/>
        <w:ind w:left="10" w:leftChars="0" w:firstLine="426" w:firstLineChars="203"/>
        <w:textAlignment w:val="auto"/>
        <w:rPr>
          <w:rFonts w:ascii="宋体" w:hAnsi="宋体"/>
          <w:highlight w:val="none"/>
        </w:rPr>
      </w:pPr>
      <w:r>
        <w:rPr>
          <w:rFonts w:hint="eastAsia"/>
          <w:highlight w:val="none"/>
          <w:lang w:val="en-US" w:eastAsia="zh-CN"/>
        </w:rPr>
        <w:t>4.4.2未按竞争性谈判文件要求密封的</w:t>
      </w:r>
      <w:r>
        <w:rPr>
          <w:rFonts w:hint="eastAsia" w:ascii="宋体" w:hAnsi="宋体"/>
          <w:highlight w:val="none"/>
        </w:rPr>
        <w:t>。</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 xml:space="preserve">五、 发布公告的媒介 </w:t>
      </w:r>
    </w:p>
    <w:p>
      <w:pPr>
        <w:keepNext w:val="0"/>
        <w:keepLines w:val="0"/>
        <w:pageBreakBefore w:val="0"/>
        <w:widowControl w:val="0"/>
        <w:kinsoku/>
        <w:overflowPunct/>
        <w:topLinePunct w:val="0"/>
        <w:autoSpaceDE/>
        <w:autoSpaceDN/>
        <w:bidi w:val="0"/>
        <w:adjustRightInd/>
        <w:snapToGrid/>
        <w:spacing w:line="440" w:lineRule="exact"/>
        <w:ind w:left="-14" w:firstLine="430" w:firstLineChars="205"/>
        <w:textAlignment w:val="auto"/>
        <w:rPr>
          <w:highlight w:val="none"/>
        </w:rPr>
      </w:pPr>
      <w:r>
        <w:rPr>
          <w:highlight w:val="none"/>
        </w:rPr>
        <w:t>本次公告在</w:t>
      </w:r>
      <w:r>
        <w:rPr>
          <w:rFonts w:hint="eastAsia"/>
          <w:highlight w:val="none"/>
        </w:rPr>
        <w:t>东莞实业投资控股集团有限公司网站</w:t>
      </w:r>
      <w:r>
        <w:rPr>
          <w:highlight w:val="none"/>
        </w:rPr>
        <w:t>（</w:t>
      </w:r>
      <w:r>
        <w:rPr>
          <w:rFonts w:hint="eastAsia"/>
          <w:highlight w:val="none"/>
        </w:rPr>
        <w:t>网址：http://www.dgsy.com.cn/</w:t>
      </w:r>
      <w:r>
        <w:rPr>
          <w:highlight w:val="none"/>
        </w:rPr>
        <w:t>）上发布</w:t>
      </w:r>
      <w:r>
        <w:rPr>
          <w:rFonts w:hint="eastAsia"/>
          <w:highlight w:val="none"/>
        </w:rPr>
        <w:t>。</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ascii="黑体" w:eastAsia="黑体"/>
          <w:b/>
          <w:sz w:val="28"/>
          <w:szCs w:val="28"/>
          <w:highlight w:val="none"/>
        </w:rPr>
        <w:t xml:space="preserve">六、 </w:t>
      </w:r>
      <w:r>
        <w:rPr>
          <w:rFonts w:hint="eastAsia" w:ascii="黑体" w:eastAsia="黑体"/>
          <w:b/>
          <w:sz w:val="28"/>
          <w:szCs w:val="28"/>
          <w:highlight w:val="none"/>
        </w:rPr>
        <w:t>竞争性谈判保证金</w:t>
      </w:r>
      <w:r>
        <w:rPr>
          <w:rFonts w:ascii="黑体" w:eastAsia="黑体"/>
          <w:b/>
          <w:sz w:val="28"/>
          <w:szCs w:val="28"/>
          <w:highlight w:val="none"/>
        </w:rPr>
        <w:t xml:space="preserve"> </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highlight w:val="none"/>
        </w:rPr>
      </w:pPr>
      <w:r>
        <w:rPr>
          <w:rFonts w:hint="eastAsia" w:ascii="宋体" w:hAnsi="宋体"/>
          <w:highlight w:val="none"/>
        </w:rPr>
        <w:t>6.1.</w:t>
      </w:r>
      <w:r>
        <w:rPr>
          <w:rFonts w:ascii="宋体" w:hAnsi="宋体"/>
          <w:highlight w:val="none"/>
        </w:rPr>
        <w:t>竞争性谈判</w:t>
      </w:r>
      <w:r>
        <w:rPr>
          <w:rFonts w:hint="eastAsia" w:ascii="宋体" w:hAnsi="宋体"/>
          <w:highlight w:val="none"/>
        </w:rPr>
        <w:t>保证金金额：</w:t>
      </w:r>
      <w:r>
        <w:rPr>
          <w:rFonts w:hint="eastAsia" w:ascii="宋体" w:hAnsi="宋体"/>
          <w:highlight w:val="none"/>
          <w:u w:val="single"/>
        </w:rPr>
        <w:t>10200.00元</w:t>
      </w:r>
      <w:r>
        <w:rPr>
          <w:rFonts w:ascii="宋体" w:hAnsi="宋体"/>
          <w:highlight w:val="none"/>
        </w:rPr>
        <w:t>。</w:t>
      </w:r>
    </w:p>
    <w:p>
      <w:pPr>
        <w:pStyle w:val="106"/>
        <w:keepNext w:val="0"/>
        <w:keepLines w:val="0"/>
        <w:pageBreakBefore w:val="0"/>
        <w:widowControl w:val="0"/>
        <w:kinsoku/>
        <w:overflowPunct/>
        <w:topLinePunct w:val="0"/>
        <w:autoSpaceDE/>
        <w:autoSpaceDN/>
        <w:bidi w:val="0"/>
        <w:adjustRightInd/>
        <w:snapToGrid/>
        <w:spacing w:line="440" w:lineRule="exact"/>
        <w:ind w:left="850" w:leftChars="208" w:hanging="413" w:hangingChars="197"/>
        <w:textAlignment w:val="auto"/>
        <w:rPr>
          <w:rFonts w:ascii="宋体" w:hAnsi="宋体"/>
          <w:highlight w:val="none"/>
        </w:rPr>
      </w:pPr>
      <w:r>
        <w:rPr>
          <w:rFonts w:hint="eastAsia" w:ascii="宋体" w:hAnsi="宋体"/>
          <w:highlight w:val="none"/>
        </w:rPr>
        <w:t>6.2.竞争性谈判保证金缴纳方式：银行转账或电汇。</w:t>
      </w:r>
    </w:p>
    <w:p>
      <w:pPr>
        <w:keepNext w:val="0"/>
        <w:keepLines w:val="0"/>
        <w:pageBreakBefore w:val="0"/>
        <w:widowControl w:val="0"/>
        <w:kinsoku/>
        <w:overflowPunct/>
        <w:topLinePunct w:val="0"/>
        <w:autoSpaceDE/>
        <w:autoSpaceDN/>
        <w:bidi w:val="0"/>
        <w:adjustRightInd/>
        <w:snapToGrid/>
        <w:spacing w:line="440" w:lineRule="exact"/>
        <w:textAlignment w:val="auto"/>
        <w:rPr>
          <w:rFonts w:ascii="黑体" w:eastAsia="黑体"/>
          <w:b/>
          <w:sz w:val="28"/>
          <w:szCs w:val="28"/>
          <w:highlight w:val="none"/>
        </w:rPr>
      </w:pPr>
      <w:r>
        <w:rPr>
          <w:rFonts w:hint="eastAsia" w:ascii="黑体" w:eastAsia="黑体"/>
          <w:b/>
          <w:sz w:val="28"/>
          <w:szCs w:val="28"/>
          <w:highlight w:val="none"/>
        </w:rPr>
        <w:t>七</w:t>
      </w:r>
      <w:r>
        <w:rPr>
          <w:rFonts w:ascii="黑体" w:eastAsia="黑体"/>
          <w:b/>
          <w:sz w:val="28"/>
          <w:szCs w:val="28"/>
          <w:highlight w:val="none"/>
        </w:rPr>
        <w:t xml:space="preserve">、 联系方式 </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textAlignment w:val="auto"/>
        <w:rPr>
          <w:rFonts w:ascii="宋体" w:hAnsi="宋体"/>
          <w:szCs w:val="21"/>
          <w:highlight w:val="none"/>
        </w:rPr>
      </w:pPr>
      <w:r>
        <w:rPr>
          <w:rFonts w:hint="eastAsia" w:ascii="宋体" w:hAnsi="宋体"/>
          <w:szCs w:val="21"/>
          <w:highlight w:val="none"/>
        </w:rPr>
        <w:t>采购人</w:t>
      </w:r>
      <w:r>
        <w:rPr>
          <w:rFonts w:ascii="宋体" w:hAnsi="宋体"/>
          <w:szCs w:val="21"/>
          <w:highlight w:val="none"/>
        </w:rPr>
        <w:t>名称：</w:t>
      </w:r>
      <w:r>
        <w:rPr>
          <w:rFonts w:hint="eastAsia" w:ascii="宋体" w:hAnsi="宋体"/>
          <w:szCs w:val="21"/>
          <w:highlight w:val="none"/>
        </w:rPr>
        <w:t>东莞新锋交通能源发展有限公司</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textAlignment w:val="auto"/>
        <w:rPr>
          <w:rFonts w:hint="eastAsia"/>
          <w:highlight w:val="none"/>
        </w:rPr>
      </w:pPr>
      <w:r>
        <w:rPr>
          <w:rFonts w:ascii="宋体" w:hAnsi="宋体"/>
          <w:szCs w:val="21"/>
          <w:highlight w:val="none"/>
        </w:rPr>
        <w:t>采购</w:t>
      </w:r>
      <w:r>
        <w:rPr>
          <w:rFonts w:hint="eastAsia" w:ascii="宋体" w:hAnsi="宋体"/>
          <w:szCs w:val="21"/>
          <w:highlight w:val="none"/>
        </w:rPr>
        <w:t>人</w:t>
      </w:r>
      <w:r>
        <w:rPr>
          <w:rFonts w:ascii="宋体" w:hAnsi="宋体"/>
          <w:szCs w:val="21"/>
          <w:highlight w:val="none"/>
        </w:rPr>
        <w:t>地址：</w:t>
      </w:r>
      <w:r>
        <w:rPr>
          <w:rFonts w:hint="default" w:ascii="宋体" w:hAnsi="宋体"/>
          <w:szCs w:val="21"/>
          <w:highlight w:val="none"/>
          <w:lang w:val="en-US" w:eastAsia="zh-CN"/>
        </w:rPr>
        <w:t>广东省东莞市松山湖园区新城路5号科创金融广场B栋503</w:t>
      </w:r>
      <w:r>
        <w:rPr>
          <w:rFonts w:hint="eastAsia"/>
          <w:highlight w:val="none"/>
        </w:rPr>
        <w:t>室</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textAlignment w:val="auto"/>
        <w:rPr>
          <w:rFonts w:ascii="宋体" w:hAnsi="宋体"/>
          <w:szCs w:val="21"/>
          <w:highlight w:val="none"/>
        </w:rPr>
      </w:pPr>
      <w:r>
        <w:rPr>
          <w:rFonts w:ascii="宋体" w:hAnsi="宋体"/>
          <w:szCs w:val="21"/>
          <w:highlight w:val="none"/>
        </w:rPr>
        <w:t>联系人：</w:t>
      </w:r>
      <w:r>
        <w:rPr>
          <w:rFonts w:hint="eastAsia" w:ascii="宋体" w:hAnsi="宋体"/>
          <w:szCs w:val="21"/>
          <w:highlight w:val="none"/>
        </w:rPr>
        <w:t>洪先生</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textAlignment w:val="auto"/>
        <w:rPr>
          <w:rFonts w:ascii="宋体" w:hAnsi="宋体"/>
          <w:szCs w:val="21"/>
          <w:highlight w:val="none"/>
        </w:rPr>
      </w:pPr>
      <w:r>
        <w:rPr>
          <w:rFonts w:ascii="宋体" w:hAnsi="宋体"/>
          <w:szCs w:val="21"/>
          <w:highlight w:val="none"/>
        </w:rPr>
        <w:t>联系电话：</w:t>
      </w:r>
      <w:r>
        <w:rPr>
          <w:rFonts w:hint="eastAsia" w:ascii="宋体" w:hAnsi="宋体"/>
          <w:szCs w:val="21"/>
          <w:highlight w:val="none"/>
        </w:rPr>
        <w:t>0769-86980091</w:t>
      </w: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jc w:val="right"/>
        <w:textAlignment w:val="auto"/>
        <w:rPr>
          <w:rFonts w:hint="eastAsia" w:ascii="宋体" w:hAnsi="宋体"/>
          <w:szCs w:val="21"/>
          <w:highlight w:val="none"/>
        </w:rPr>
      </w:pP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jc w:val="right"/>
        <w:textAlignment w:val="auto"/>
        <w:rPr>
          <w:rFonts w:hint="eastAsia" w:ascii="宋体" w:hAnsi="宋体"/>
          <w:szCs w:val="21"/>
          <w:highlight w:val="none"/>
        </w:rPr>
      </w:pPr>
    </w:p>
    <w:p>
      <w:pPr>
        <w:keepNext w:val="0"/>
        <w:keepLines w:val="0"/>
        <w:pageBreakBefore w:val="0"/>
        <w:widowControl w:val="0"/>
        <w:tabs>
          <w:tab w:val="left" w:pos="900"/>
          <w:tab w:val="left" w:pos="1262"/>
        </w:tabs>
        <w:kinsoku/>
        <w:overflowPunct/>
        <w:topLinePunct w:val="0"/>
        <w:autoSpaceDE/>
        <w:autoSpaceDN/>
        <w:bidi w:val="0"/>
        <w:adjustRightInd/>
        <w:snapToGrid/>
        <w:spacing w:line="440" w:lineRule="exact"/>
        <w:ind w:left="142" w:firstLine="424" w:firstLineChars="202"/>
        <w:jc w:val="right"/>
        <w:textAlignment w:val="auto"/>
        <w:rPr>
          <w:rFonts w:ascii="宋体" w:hAnsi="宋体"/>
          <w:szCs w:val="21"/>
          <w:highlight w:val="none"/>
        </w:rPr>
      </w:pPr>
      <w:r>
        <w:rPr>
          <w:rFonts w:hint="eastAsia" w:ascii="宋体" w:hAnsi="宋体"/>
          <w:szCs w:val="21"/>
          <w:highlight w:val="none"/>
        </w:rPr>
        <w:t>采购人</w:t>
      </w:r>
      <w:r>
        <w:rPr>
          <w:rFonts w:ascii="宋体" w:hAnsi="宋体"/>
          <w:szCs w:val="21"/>
          <w:highlight w:val="none"/>
        </w:rPr>
        <w:t>：</w:t>
      </w:r>
      <w:r>
        <w:rPr>
          <w:rFonts w:hint="eastAsia" w:ascii="宋体" w:hAnsi="宋体"/>
          <w:szCs w:val="21"/>
          <w:highlight w:val="none"/>
        </w:rPr>
        <w:t>东莞新锋交通能源发展有限公司</w:t>
      </w:r>
    </w:p>
    <w:p>
      <w:pPr>
        <w:keepNext w:val="0"/>
        <w:keepLines w:val="0"/>
        <w:pageBreakBefore w:val="0"/>
        <w:widowControl w:val="0"/>
        <w:tabs>
          <w:tab w:val="left" w:pos="900"/>
          <w:tab w:val="left" w:pos="1262"/>
        </w:tabs>
        <w:kinsoku/>
        <w:wordWrap w:val="0"/>
        <w:overflowPunct/>
        <w:topLinePunct w:val="0"/>
        <w:autoSpaceDE/>
        <w:autoSpaceDN/>
        <w:bidi w:val="0"/>
        <w:adjustRightInd/>
        <w:snapToGrid/>
        <w:spacing w:line="440" w:lineRule="exact"/>
        <w:ind w:left="142" w:firstLine="424" w:firstLineChars="202"/>
        <w:jc w:val="right"/>
        <w:textAlignment w:val="auto"/>
        <w:rPr>
          <w:rFonts w:ascii="黑体" w:eastAsia="黑体"/>
          <w:b/>
          <w:sz w:val="28"/>
          <w:szCs w:val="28"/>
          <w:highlight w:val="none"/>
        </w:rPr>
      </w:pPr>
      <w:r>
        <w:rPr>
          <w:rFonts w:hint="eastAsia" w:ascii="宋体" w:hAnsi="宋体"/>
          <w:szCs w:val="21"/>
          <w:highlight w:val="none"/>
        </w:rPr>
        <w:t xml:space="preserve">                             </w:t>
      </w:r>
      <w:r>
        <w:rPr>
          <w:rFonts w:ascii="宋体" w:hAnsi="宋体"/>
          <w:szCs w:val="21"/>
          <w:highlight w:val="none"/>
        </w:rPr>
        <w:t>日期：</w:t>
      </w:r>
      <w:r>
        <w:rPr>
          <w:rFonts w:ascii="宋体" w:hAnsi="宋体"/>
          <w:szCs w:val="21"/>
          <w:highlight w:val="none"/>
          <w:u w:val="single"/>
        </w:rPr>
        <w:t>2025</w:t>
      </w:r>
      <w:r>
        <w:rPr>
          <w:rFonts w:ascii="宋体" w:hAnsi="宋体"/>
          <w:szCs w:val="21"/>
          <w:highlight w:val="none"/>
        </w:rPr>
        <w:t>年</w:t>
      </w:r>
      <w:r>
        <w:rPr>
          <w:rFonts w:hint="eastAsia" w:ascii="宋体" w:hAnsi="宋体"/>
          <w:szCs w:val="21"/>
          <w:highlight w:val="none"/>
          <w:u w:val="single"/>
          <w:lang w:val="en-US" w:eastAsia="zh-CN"/>
        </w:rPr>
        <w:t>12</w:t>
      </w:r>
      <w:r>
        <w:rPr>
          <w:rFonts w:ascii="宋体" w:hAnsi="宋体"/>
          <w:szCs w:val="21"/>
          <w:highlight w:val="none"/>
        </w:rPr>
        <w:t>月</w:t>
      </w:r>
      <w:r>
        <w:rPr>
          <w:rFonts w:hint="eastAsia" w:ascii="宋体" w:hAnsi="宋体"/>
          <w:szCs w:val="21"/>
          <w:highlight w:val="none"/>
          <w:u w:val="single"/>
          <w:lang w:val="en-US" w:eastAsia="zh-CN"/>
        </w:rPr>
        <w:t>30</w:t>
      </w:r>
      <w:r>
        <w:rPr>
          <w:rFonts w:ascii="宋体" w:hAnsi="宋体"/>
          <w:szCs w:val="21"/>
          <w:highlight w:val="none"/>
        </w:rPr>
        <w:t>日</w:t>
      </w:r>
    </w:p>
    <w:bookmarkEnd w:id="3"/>
    <w:bookmarkEnd w:id="4"/>
    <w:p>
      <w:pPr>
        <w:rPr>
          <w:rFonts w:hint="eastAsia" w:ascii="宋体" w:hAnsi="宋体" w:eastAsia="宋体" w:cs="宋体"/>
          <w:b/>
          <w:kern w:val="0"/>
          <w:sz w:val="28"/>
          <w:szCs w:val="28"/>
          <w:highlight w:val="none"/>
          <w:lang w:val="en-US" w:eastAsia="zh-CN"/>
        </w:rPr>
      </w:pPr>
      <w:bookmarkStart w:id="10" w:name="_Toc31098"/>
      <w:bookmarkStart w:id="11" w:name="_Toc456551875"/>
      <w:r>
        <w:rPr>
          <w:rFonts w:hint="eastAsia" w:ascii="宋体" w:hAnsi="宋体" w:eastAsia="宋体" w:cs="宋体"/>
          <w:b/>
          <w:kern w:val="0"/>
          <w:sz w:val="28"/>
          <w:szCs w:val="28"/>
          <w:highlight w:val="none"/>
          <w:lang w:val="en-US" w:eastAsia="zh-CN"/>
        </w:rPr>
        <w:br w:type="page"/>
      </w:r>
      <w:bookmarkStart w:id="257" w:name="_GoBack"/>
      <w:bookmarkEnd w:id="257"/>
    </w:p>
    <w:p>
      <w:pPr>
        <w:pStyle w:val="69"/>
        <w:rPr>
          <w:rFonts w:hint="eastAsia" w:ascii="宋体" w:hAnsi="宋体" w:eastAsia="宋体" w:cs="宋体"/>
          <w:b/>
          <w:kern w:val="0"/>
          <w:sz w:val="28"/>
          <w:szCs w:val="28"/>
          <w:highlight w:val="none"/>
          <w:lang w:val="en-US" w:eastAsia="zh-CN"/>
        </w:rPr>
      </w:pPr>
      <w:bookmarkStart w:id="12" w:name="_Toc4751"/>
      <w:r>
        <w:rPr>
          <w:rFonts w:hint="eastAsia" w:ascii="宋体" w:hAnsi="宋体" w:eastAsia="宋体" w:cs="宋体"/>
          <w:b/>
          <w:kern w:val="0"/>
          <w:sz w:val="28"/>
          <w:szCs w:val="28"/>
          <w:highlight w:val="none"/>
          <w:lang w:val="en-US" w:eastAsia="zh-CN"/>
        </w:rPr>
        <w:t>第二章 竞争性谈判响应须知</w:t>
      </w:r>
      <w:bookmarkEnd w:id="10"/>
      <w:bookmarkEnd w:id="12"/>
      <w:r>
        <w:rPr>
          <w:rFonts w:hint="eastAsia" w:ascii="宋体" w:hAnsi="宋体" w:eastAsia="宋体" w:cs="宋体"/>
          <w:b/>
          <w:kern w:val="0"/>
          <w:sz w:val="28"/>
          <w:szCs w:val="28"/>
          <w:highlight w:val="none"/>
          <w:lang w:val="en-US" w:eastAsia="zh-CN"/>
        </w:rPr>
        <w:t xml:space="preserve"> </w:t>
      </w:r>
    </w:p>
    <w:p>
      <w:pPr>
        <w:bidi w:val="0"/>
        <w:jc w:val="center"/>
        <w:rPr>
          <w:rFonts w:hint="eastAsia"/>
          <w:b/>
          <w:bCs/>
          <w:sz w:val="28"/>
          <w:szCs w:val="36"/>
          <w:highlight w:val="none"/>
        </w:rPr>
      </w:pPr>
      <w:bookmarkStart w:id="13" w:name="_Toc28891"/>
      <w:r>
        <w:rPr>
          <w:rFonts w:hint="eastAsia"/>
          <w:b/>
          <w:bCs/>
          <w:sz w:val="28"/>
          <w:szCs w:val="36"/>
          <w:highlight w:val="none"/>
        </w:rPr>
        <w:t>竞争性谈判响应须知前附表</w:t>
      </w:r>
      <w:bookmarkEnd w:id="11"/>
      <w:bookmarkEnd w:id="13"/>
    </w:p>
    <w:p>
      <w:pPr>
        <w:spacing w:line="440" w:lineRule="exact"/>
        <w:ind w:right="-340" w:rightChars="-162" w:firstLine="420" w:firstLineChars="200"/>
        <w:jc w:val="left"/>
        <w:rPr>
          <w:szCs w:val="21"/>
          <w:highlight w:val="none"/>
        </w:rPr>
      </w:pPr>
      <w:r>
        <w:rPr>
          <w:rFonts w:hint="eastAsia"/>
          <w:szCs w:val="21"/>
          <w:highlight w:val="none"/>
        </w:rPr>
        <w:t>本竞争性谈判响应须知前附表是对竞争性谈判响应须知正文的具体补充和修改，如有矛盾，以本前附表为准。</w:t>
      </w:r>
    </w:p>
    <w:tbl>
      <w:tblPr>
        <w:tblStyle w:val="36"/>
        <w:tblW w:w="8931" w:type="dxa"/>
        <w:tblInd w:w="-176" w:type="dxa"/>
        <w:tblLayout w:type="fixed"/>
        <w:tblCellMar>
          <w:top w:w="0" w:type="dxa"/>
          <w:left w:w="108" w:type="dxa"/>
          <w:bottom w:w="0" w:type="dxa"/>
          <w:right w:w="108" w:type="dxa"/>
        </w:tblCellMar>
      </w:tblPr>
      <w:tblGrid>
        <w:gridCol w:w="993"/>
        <w:gridCol w:w="1843"/>
        <w:gridCol w:w="6095"/>
      </w:tblGrid>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b/>
                <w:szCs w:val="21"/>
                <w:highlight w:val="none"/>
              </w:rPr>
            </w:pPr>
            <w:r>
              <w:rPr>
                <w:b/>
                <w:szCs w:val="21"/>
                <w:highlight w:val="none"/>
              </w:rPr>
              <w:t>条款号</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b/>
                <w:szCs w:val="21"/>
                <w:highlight w:val="none"/>
              </w:rPr>
            </w:pPr>
            <w:r>
              <w:rPr>
                <w:b/>
                <w:szCs w:val="21"/>
                <w:highlight w:val="none"/>
              </w:rPr>
              <w:t>条  款  名  称</w:t>
            </w:r>
          </w:p>
        </w:tc>
        <w:tc>
          <w:tcPr>
            <w:tcW w:w="6095" w:type="dxa"/>
            <w:tcBorders>
              <w:top w:val="single" w:color="auto" w:sz="4" w:space="0"/>
              <w:left w:val="single" w:color="auto" w:sz="4" w:space="0"/>
              <w:bottom w:val="single" w:color="auto" w:sz="4" w:space="0"/>
              <w:right w:val="single" w:color="auto" w:sz="4" w:space="0"/>
            </w:tcBorders>
            <w:vAlign w:val="center"/>
          </w:tcPr>
          <w:p>
            <w:pPr>
              <w:jc w:val="center"/>
              <w:rPr>
                <w:b/>
                <w:szCs w:val="21"/>
                <w:highlight w:val="none"/>
              </w:rPr>
            </w:pPr>
            <w:r>
              <w:rPr>
                <w:b/>
                <w:szCs w:val="21"/>
                <w:highlight w:val="none"/>
              </w:rPr>
              <w:t>编  列  内  容</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1.1.5</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highlight w:val="none"/>
              </w:rPr>
              <w:t>项目承包方式</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szCs w:val="21"/>
                <w:highlight w:val="none"/>
              </w:rPr>
            </w:pPr>
            <w:r>
              <w:rPr>
                <w:rFonts w:hint="eastAsia"/>
                <w:szCs w:val="21"/>
                <w:highlight w:val="none"/>
              </w:rPr>
              <w:t>■</w:t>
            </w:r>
            <w:r>
              <w:rPr>
                <w:rFonts w:hint="eastAsia" w:ascii="宋体" w:hAnsi="宋体"/>
                <w:szCs w:val="21"/>
                <w:highlight w:val="none"/>
              </w:rPr>
              <w:t>固定总价包干</w:t>
            </w:r>
          </w:p>
          <w:p>
            <w:pPr>
              <w:autoSpaceDE w:val="0"/>
              <w:autoSpaceDN w:val="0"/>
              <w:rPr>
                <w:rFonts w:ascii="宋体" w:hAnsi="宋体"/>
                <w:szCs w:val="21"/>
                <w:highlight w:val="none"/>
              </w:rPr>
            </w:pPr>
            <w:r>
              <w:rPr>
                <w:rFonts w:hint="eastAsia" w:ascii="宋体" w:hAnsi="宋体"/>
                <w:szCs w:val="21"/>
                <w:highlight w:val="none"/>
              </w:rPr>
              <w:t>□固定单价暂定总价包干</w:t>
            </w:r>
          </w:p>
          <w:p>
            <w:pPr>
              <w:autoSpaceDE w:val="0"/>
              <w:autoSpaceDN w:val="0"/>
              <w:rPr>
                <w:rFonts w:ascii="宋体" w:hAnsi="宋体"/>
                <w:szCs w:val="21"/>
                <w:highlight w:val="none"/>
              </w:rPr>
            </w:pPr>
            <w:r>
              <w:rPr>
                <w:rFonts w:hint="eastAsia" w:ascii="宋体" w:hAnsi="宋体"/>
                <w:szCs w:val="21"/>
                <w:highlight w:val="none"/>
              </w:rPr>
              <w:t>□其他，</w:t>
            </w:r>
            <w:r>
              <w:rPr>
                <w:rFonts w:hint="eastAsia" w:ascii="宋体" w:hAnsi="宋体"/>
                <w:szCs w:val="21"/>
                <w:highlight w:val="none"/>
                <w:u w:val="single"/>
              </w:rPr>
              <w:t xml:space="preserve">             </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1.2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szCs w:val="21"/>
                <w:highlight w:val="none"/>
              </w:rPr>
              <w:t>资金来源</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企业自筹</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1.3.5</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szCs w:val="21"/>
                <w:highlight w:val="none"/>
              </w:rPr>
              <w:t>质量要求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达到国家或行业质量检验评定的合格标准</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1.6.3</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szCs w:val="21"/>
                <w:highlight w:val="none"/>
              </w:rPr>
              <w:t>联合体响应</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szCs w:val="21"/>
                <w:highlight w:val="none"/>
              </w:rPr>
              <w:t>■</w:t>
            </w:r>
            <w:r>
              <w:rPr>
                <w:rFonts w:hint="eastAsia" w:ascii="宋体" w:hAnsi="宋体" w:cs="宋体"/>
                <w:szCs w:val="21"/>
                <w:highlight w:val="none"/>
              </w:rPr>
              <w:t>不接受</w:t>
            </w:r>
          </w:p>
          <w:p>
            <w:pPr>
              <w:autoSpaceDE w:val="0"/>
              <w:autoSpaceDN w:val="0"/>
              <w:rPr>
                <w:rFonts w:ascii="宋体" w:hAnsi="宋体" w:cs="宋体"/>
                <w:szCs w:val="21"/>
                <w:highlight w:val="none"/>
              </w:rPr>
            </w:pPr>
            <w:r>
              <w:rPr>
                <w:rFonts w:hint="eastAsia" w:ascii="宋体" w:hAnsi="宋体"/>
                <w:szCs w:val="21"/>
                <w:highlight w:val="none"/>
              </w:rPr>
              <w:t>□</w:t>
            </w:r>
            <w:r>
              <w:rPr>
                <w:rFonts w:hint="eastAsia" w:ascii="宋体" w:hAnsi="宋体" w:cs="宋体"/>
                <w:szCs w:val="21"/>
                <w:highlight w:val="none"/>
              </w:rPr>
              <w:t>接受，</w:t>
            </w:r>
            <w:r>
              <w:rPr>
                <w:rFonts w:hint="eastAsia" w:ascii="宋体" w:hAnsi="宋体"/>
                <w:szCs w:val="21"/>
                <w:highlight w:val="none"/>
              </w:rPr>
              <w:t>联合体响应的，应满足下列要求：</w:t>
            </w:r>
            <w:r>
              <w:rPr>
                <w:rFonts w:hint="eastAsia" w:ascii="宋体" w:hAnsi="宋体"/>
                <w:szCs w:val="21"/>
                <w:highlight w:val="none"/>
                <w:u w:val="single"/>
              </w:rPr>
              <w:t xml:space="preserve">         </w:t>
            </w:r>
            <w:r>
              <w:rPr>
                <w:rFonts w:hint="eastAsia" w:ascii="宋体" w:hAnsi="宋体"/>
                <w:szCs w:val="21"/>
                <w:highlight w:val="none"/>
              </w:rPr>
              <w:t>。</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1.12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踏勘现场</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szCs w:val="21"/>
                <w:highlight w:val="none"/>
              </w:rPr>
              <w:t>■</w:t>
            </w:r>
            <w:r>
              <w:rPr>
                <w:rFonts w:hint="eastAsia" w:ascii="宋体" w:hAnsi="宋体" w:cs="宋体"/>
                <w:szCs w:val="21"/>
                <w:highlight w:val="none"/>
              </w:rPr>
              <w:t>不组织</w:t>
            </w:r>
          </w:p>
          <w:p>
            <w:pPr>
              <w:autoSpaceDE w:val="0"/>
              <w:autoSpaceDN w:val="0"/>
              <w:rPr>
                <w:rFonts w:ascii="宋体" w:hAnsi="宋体" w:cs="宋体"/>
                <w:szCs w:val="21"/>
                <w:highlight w:val="none"/>
              </w:rPr>
            </w:pPr>
            <w:r>
              <w:rPr>
                <w:rFonts w:hint="eastAsia" w:ascii="宋体" w:hAnsi="宋体"/>
                <w:szCs w:val="21"/>
                <w:highlight w:val="none"/>
              </w:rPr>
              <w:t>□</w:t>
            </w:r>
            <w:r>
              <w:rPr>
                <w:rFonts w:hint="eastAsia" w:ascii="宋体" w:hAnsi="宋体" w:cs="宋体"/>
                <w:szCs w:val="21"/>
                <w:highlight w:val="none"/>
              </w:rPr>
              <w:t>组织，踏勘现场时间、地点：</w:t>
            </w:r>
            <w:r>
              <w:rPr>
                <w:rFonts w:hint="eastAsia" w:ascii="宋体" w:hAnsi="宋体" w:cs="宋体"/>
                <w:szCs w:val="21"/>
                <w:highlight w:val="none"/>
                <w:u w:val="single"/>
              </w:rPr>
              <w:t xml:space="preserve">                         </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2.1.3</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实质性要求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jc w:val="left"/>
              <w:rPr>
                <w:rFonts w:ascii="宋体" w:hAnsi="宋体" w:cs="宋体"/>
                <w:szCs w:val="21"/>
                <w:highlight w:val="none"/>
              </w:rPr>
            </w:pPr>
            <w:r>
              <w:rPr>
                <w:rFonts w:hint="eastAsia" w:ascii="宋体" w:hAnsi="宋体" w:cs="宋体"/>
                <w:szCs w:val="21"/>
                <w:highlight w:val="none"/>
              </w:rPr>
              <w:t>竞争性谈判文件中标识“</w:t>
            </w:r>
            <w:r>
              <w:rPr>
                <w:rFonts w:eastAsia="黑体"/>
                <w:sz w:val="32"/>
                <w:szCs w:val="32"/>
                <w:highlight w:val="none"/>
              </w:rPr>
              <w:sym w:font="Wingdings" w:char="00AB"/>
            </w:r>
            <w:r>
              <w:rPr>
                <w:rFonts w:hint="eastAsia" w:ascii="宋体" w:hAnsi="宋体" w:cs="宋体"/>
                <w:szCs w:val="21"/>
                <w:highlight w:val="none"/>
              </w:rPr>
              <w:t>”的条款，均为实质性条款，任何不满足实质性条款的谈判响应将被否决。</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2.2.1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响应人提出澄清要求的截止时间和方式</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响应人应当在提交响应文件截止时间至少2日前提出澄清要求。</w:t>
            </w:r>
          </w:p>
          <w:p>
            <w:pPr>
              <w:autoSpaceDE w:val="0"/>
              <w:autoSpaceDN w:val="0"/>
              <w:rPr>
                <w:rFonts w:ascii="宋体" w:hAnsi="宋体" w:cs="宋体"/>
                <w:szCs w:val="21"/>
                <w:highlight w:val="none"/>
              </w:rPr>
            </w:pPr>
            <w:r>
              <w:rPr>
                <w:rFonts w:hint="eastAsia" w:ascii="宋体" w:hAnsi="宋体" w:cs="宋体"/>
                <w:szCs w:val="21"/>
                <w:highlight w:val="none"/>
              </w:rPr>
              <w:t>提出澄清要求的方式：书面方式</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highlight w:val="none"/>
              </w:rPr>
            </w:pPr>
            <w:r>
              <w:rPr>
                <w:rFonts w:hint="eastAsia" w:ascii="宋体" w:hAnsi="宋体" w:cs="宋体"/>
                <w:szCs w:val="21"/>
                <w:highlight w:val="none"/>
              </w:rPr>
              <w:t>2.2.2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采购人澄清或修改发布方式</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highlight w:val="none"/>
              </w:rPr>
            </w:pPr>
            <w:r>
              <w:rPr>
                <w:rFonts w:hint="eastAsia" w:ascii="宋体" w:hAnsi="宋体" w:cs="宋体"/>
                <w:szCs w:val="21"/>
                <w:highlight w:val="none"/>
              </w:rPr>
              <w:t>采购人发出的澄清或修改内容统一以补充通知文件形式发布在</w:t>
            </w:r>
            <w:r>
              <w:rPr>
                <w:rFonts w:hint="eastAsia"/>
                <w:highlight w:val="none"/>
              </w:rPr>
              <w:t>东莞实业投资控股集团有限公司网站</w:t>
            </w:r>
            <w:r>
              <w:rPr>
                <w:highlight w:val="none"/>
              </w:rPr>
              <w:t>（</w:t>
            </w:r>
            <w:r>
              <w:rPr>
                <w:rFonts w:hint="eastAsia"/>
                <w:highlight w:val="none"/>
              </w:rPr>
              <w:t>网址：http://www.dgsy.com.cn/</w:t>
            </w:r>
            <w:r>
              <w:rPr>
                <w:highlight w:val="none"/>
              </w:rPr>
              <w:t>）</w:t>
            </w:r>
            <w:r>
              <w:rPr>
                <w:rFonts w:hint="eastAsia"/>
                <w:highlight w:val="none"/>
              </w:rPr>
              <w:t>，视为潜在竞争性谈判响应人已获取相关文件。</w:t>
            </w:r>
          </w:p>
          <w:p>
            <w:pPr>
              <w:autoSpaceDE w:val="0"/>
              <w:autoSpaceDN w:val="0"/>
              <w:rPr>
                <w:rFonts w:ascii="宋体" w:hAnsi="宋体" w:cs="宋体"/>
                <w:szCs w:val="21"/>
                <w:highlight w:val="none"/>
              </w:rPr>
            </w:pPr>
            <w:r>
              <w:rPr>
                <w:rFonts w:hint="eastAsia"/>
                <w:highlight w:val="none"/>
              </w:rPr>
              <w:t>若潜在竞争性谈判响应人未留意或未及时获取</w:t>
            </w:r>
            <w:r>
              <w:rPr>
                <w:rFonts w:hint="eastAsia" w:ascii="宋体" w:hAnsi="宋体" w:cs="宋体"/>
                <w:szCs w:val="21"/>
                <w:highlight w:val="none"/>
              </w:rPr>
              <w:t>补充通知文件</w:t>
            </w:r>
            <w:r>
              <w:rPr>
                <w:rFonts w:hint="eastAsia"/>
                <w:highlight w:val="none"/>
              </w:rPr>
              <w:t>，一切后果由竞争性谈判响应人自行承担。</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3.2.2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ascii="宋体" w:hAnsi="宋体" w:cs="宋体"/>
                <w:szCs w:val="21"/>
                <w:highlight w:val="none"/>
              </w:rPr>
              <w:t>响应文件响应和编写</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本条款增加规定：</w:t>
            </w:r>
          </w:p>
          <w:p>
            <w:pPr>
              <w:numPr>
                <w:ilvl w:val="0"/>
                <w:numId w:val="0"/>
              </w:numPr>
              <w:tabs>
                <w:tab w:val="left" w:pos="318"/>
              </w:tabs>
              <w:ind w:leftChars="0"/>
              <w:rPr>
                <w:rFonts w:ascii="宋体" w:hAnsi="宋体"/>
                <w:szCs w:val="21"/>
                <w:highlight w:val="none"/>
              </w:rPr>
            </w:pPr>
            <w:r>
              <w:rPr>
                <w:rFonts w:hint="eastAsia" w:ascii="宋体" w:hAnsi="宋体"/>
                <w:szCs w:val="21"/>
                <w:highlight w:val="none"/>
                <w:lang w:val="en-US" w:eastAsia="zh-CN"/>
              </w:rPr>
              <w:t>1.</w:t>
            </w:r>
            <w:r>
              <w:rPr>
                <w:rFonts w:hint="eastAsia" w:ascii="宋体" w:hAnsi="宋体"/>
                <w:szCs w:val="21"/>
                <w:highlight w:val="none"/>
              </w:rPr>
              <w:t>响应人应</w:t>
            </w:r>
            <w:r>
              <w:rPr>
                <w:rFonts w:ascii="宋体" w:hAnsi="宋体"/>
                <w:szCs w:val="21"/>
                <w:highlight w:val="none"/>
              </w:rPr>
              <w:t>对竞争性谈判文件中的</w:t>
            </w:r>
            <w:r>
              <w:rPr>
                <w:rFonts w:hint="eastAsia" w:ascii="宋体" w:hAnsi="宋体"/>
                <w:szCs w:val="21"/>
                <w:highlight w:val="none"/>
              </w:rPr>
              <w:t>《</w:t>
            </w:r>
            <w:r>
              <w:rPr>
                <w:rFonts w:hint="eastAsia" w:ascii="宋体" w:hAnsi="宋体" w:cs="宋体"/>
                <w:szCs w:val="21"/>
                <w:highlight w:val="none"/>
              </w:rPr>
              <w:t>“</w:t>
            </w:r>
            <w:r>
              <w:rPr>
                <w:rFonts w:eastAsia="黑体"/>
                <w:b/>
                <w:sz w:val="32"/>
                <w:szCs w:val="32"/>
                <w:highlight w:val="none"/>
              </w:rPr>
              <w:sym w:font="Wingdings" w:char="00AB"/>
            </w:r>
            <w:r>
              <w:rPr>
                <w:rFonts w:hint="eastAsia" w:ascii="宋体" w:hAnsi="宋体" w:cs="宋体"/>
                <w:szCs w:val="21"/>
                <w:highlight w:val="none"/>
              </w:rPr>
              <w:t>”</w:t>
            </w:r>
            <w:r>
              <w:rPr>
                <w:rFonts w:hint="eastAsia" w:ascii="宋体" w:hAnsi="宋体"/>
                <w:szCs w:val="21"/>
                <w:highlight w:val="none"/>
              </w:rPr>
              <w:t>号条款响应表》填写实质性条款响应情况。</w:t>
            </w:r>
            <w:r>
              <w:rPr>
                <w:rFonts w:hint="eastAsia" w:hAnsi="宋体"/>
                <w:b/>
                <w:szCs w:val="21"/>
                <w:highlight w:val="none"/>
              </w:rPr>
              <w:t>响应人若有一项带“★”的条款未响应或不满足，将按无效响应处理。</w:t>
            </w:r>
          </w:p>
          <w:p>
            <w:pPr>
              <w:numPr>
                <w:ilvl w:val="0"/>
                <w:numId w:val="0"/>
              </w:numPr>
              <w:tabs>
                <w:tab w:val="left" w:pos="318"/>
              </w:tabs>
              <w:ind w:leftChars="0"/>
              <w:rPr>
                <w:szCs w:val="21"/>
                <w:highlight w:val="none"/>
              </w:rPr>
            </w:pPr>
            <w:r>
              <w:rPr>
                <w:rFonts w:hint="eastAsia" w:ascii="宋体" w:hAnsi="宋体" w:cs="宋体"/>
                <w:bCs/>
                <w:szCs w:val="21"/>
                <w:highlight w:val="none"/>
                <w:lang w:val="en-US" w:eastAsia="zh-CN"/>
              </w:rPr>
              <w:t>2.</w:t>
            </w:r>
            <w:r>
              <w:rPr>
                <w:rFonts w:hint="eastAsia" w:ascii="宋体" w:hAnsi="宋体" w:cs="宋体"/>
                <w:bCs/>
                <w:szCs w:val="21"/>
                <w:highlight w:val="none"/>
              </w:rPr>
              <w:t>响应人对竞争性谈判文件中</w:t>
            </w:r>
            <w:r>
              <w:rPr>
                <w:rFonts w:ascii="宋体" w:hAnsi="宋体"/>
                <w:szCs w:val="21"/>
                <w:highlight w:val="none"/>
              </w:rPr>
              <w:t>“合同条款”</w:t>
            </w:r>
            <w:r>
              <w:rPr>
                <w:rFonts w:hint="eastAsia" w:ascii="宋体" w:hAnsi="宋体"/>
                <w:szCs w:val="21"/>
                <w:highlight w:val="none"/>
              </w:rPr>
              <w:t>、“用户需求书/技术规范书”</w:t>
            </w:r>
            <w:r>
              <w:rPr>
                <w:rFonts w:hint="eastAsia" w:ascii="宋体" w:hAnsi="宋体" w:cs="宋体"/>
                <w:bCs/>
                <w:szCs w:val="21"/>
                <w:highlight w:val="none"/>
              </w:rPr>
              <w:t>作出的负偏离，采购人如不接受，可要求响应人以竞争性谈判文件中的要求为准，如响应人拒绝的，采购人有权取消其成交资格或取消合同，采购人不作任何补偿。</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3.2.4</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ascii="宋体" w:hAnsi="宋体" w:cs="宋体"/>
                <w:szCs w:val="21"/>
                <w:highlight w:val="none"/>
              </w:rPr>
              <w:t>响应文件的盖章</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本条款增加规定：</w:t>
            </w:r>
          </w:p>
          <w:p>
            <w:pPr>
              <w:numPr>
                <w:ilvl w:val="0"/>
                <w:numId w:val="0"/>
              </w:numPr>
              <w:ind w:leftChars="0"/>
              <w:rPr>
                <w:rFonts w:ascii="宋体" w:hAnsi="宋体"/>
                <w:b/>
                <w:szCs w:val="21"/>
                <w:highlight w:val="none"/>
              </w:rPr>
            </w:pPr>
            <w:r>
              <w:rPr>
                <w:rFonts w:hint="eastAsia" w:ascii="宋体" w:hAnsi="宋体"/>
                <w:b/>
                <w:szCs w:val="21"/>
                <w:highlight w:val="none"/>
                <w:lang w:val="en-US" w:eastAsia="zh-CN"/>
              </w:rPr>
              <w:t>1.</w:t>
            </w:r>
            <w:r>
              <w:rPr>
                <w:rFonts w:hint="eastAsia" w:ascii="宋体" w:hAnsi="宋体"/>
                <w:b/>
                <w:szCs w:val="21"/>
                <w:highlight w:val="none"/>
              </w:rPr>
              <w:t>响应文件中凡出现响应人单位落款的地方应盖单位公章，如使用依照国家行政部门要求已备案的投标专用章、业务专用章的，应提供所使用印章的合法备案证明（复印件需加盖公章）。</w:t>
            </w:r>
          </w:p>
          <w:p>
            <w:pPr>
              <w:numPr>
                <w:ilvl w:val="0"/>
                <w:numId w:val="4"/>
              </w:numPr>
              <w:rPr>
                <w:rFonts w:ascii="宋体" w:hAnsi="宋体"/>
                <w:szCs w:val="21"/>
                <w:highlight w:val="none"/>
              </w:rPr>
            </w:pPr>
            <w:r>
              <w:rPr>
                <w:rFonts w:hint="eastAsia" w:ascii="宋体" w:hAnsi="宋体"/>
                <w:szCs w:val="21"/>
                <w:highlight w:val="none"/>
              </w:rPr>
              <w:t>同时响应文件盖章必须符合以下其中一种：</w:t>
            </w:r>
          </w:p>
          <w:p>
            <w:pPr>
              <w:numPr>
                <w:ilvl w:val="0"/>
                <w:numId w:val="5"/>
              </w:numPr>
              <w:ind w:left="381" w:hanging="381"/>
              <w:rPr>
                <w:rFonts w:ascii="宋体" w:hAnsi="宋体"/>
                <w:szCs w:val="21"/>
                <w:highlight w:val="none"/>
              </w:rPr>
            </w:pPr>
            <w:r>
              <w:rPr>
                <w:rFonts w:hint="eastAsia" w:ascii="宋体" w:hAnsi="宋体"/>
                <w:szCs w:val="21"/>
                <w:highlight w:val="none"/>
              </w:rPr>
              <w:t>加盖响应人单位骑缝章；</w:t>
            </w:r>
          </w:p>
          <w:p>
            <w:pPr>
              <w:numPr>
                <w:ilvl w:val="0"/>
                <w:numId w:val="5"/>
              </w:numPr>
              <w:ind w:left="381" w:hanging="381"/>
              <w:rPr>
                <w:rFonts w:ascii="宋体" w:hAnsi="宋体"/>
                <w:szCs w:val="21"/>
                <w:highlight w:val="none"/>
              </w:rPr>
            </w:pPr>
            <w:r>
              <w:rPr>
                <w:rFonts w:hint="eastAsia" w:ascii="宋体" w:hAnsi="宋体"/>
                <w:szCs w:val="21"/>
                <w:highlight w:val="none"/>
              </w:rPr>
              <w:t xml:space="preserve">逐页加盖响应人单位印章。 </w:t>
            </w:r>
          </w:p>
          <w:p>
            <w:pPr>
              <w:pStyle w:val="68"/>
              <w:ind w:firstLine="0" w:firstLineChars="0"/>
              <w:rPr>
                <w:szCs w:val="21"/>
                <w:highlight w:val="none"/>
              </w:rPr>
            </w:pPr>
            <w:r>
              <w:rPr>
                <w:rFonts w:hint="eastAsia" w:ascii="宋体" w:hAnsi="宋体"/>
                <w:b/>
                <w:szCs w:val="21"/>
                <w:highlight w:val="none"/>
              </w:rPr>
              <w:t>请按上述要求制作响应文件，否则其谈判响应将被否决。</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3.3</w:t>
            </w: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highlight w:val="none"/>
              </w:rPr>
            </w:pPr>
            <w:r>
              <w:rPr>
                <w:rFonts w:hint="eastAsia" w:ascii="宋体" w:hAnsi="宋体"/>
                <w:szCs w:val="21"/>
                <w:highlight w:val="none"/>
              </w:rPr>
              <w:t>报价方式及具体要求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本条款增加规定：</w:t>
            </w:r>
          </w:p>
          <w:p>
            <w:pPr>
              <w:numPr>
                <w:ilvl w:val="0"/>
                <w:numId w:val="6"/>
              </w:numPr>
              <w:rPr>
                <w:rFonts w:ascii="宋体" w:hAnsi="宋体"/>
                <w:szCs w:val="21"/>
                <w:highlight w:val="none"/>
              </w:rPr>
            </w:pPr>
            <w:r>
              <w:rPr>
                <w:rFonts w:hint="eastAsia" w:ascii="宋体" w:hAnsi="宋体"/>
                <w:szCs w:val="21"/>
                <w:highlight w:val="none"/>
              </w:rPr>
              <w:t>本项目采用价税分离的报价方式。</w:t>
            </w:r>
          </w:p>
          <w:p>
            <w:pPr>
              <w:numPr>
                <w:ilvl w:val="0"/>
                <w:numId w:val="6"/>
              </w:numPr>
              <w:rPr>
                <w:rFonts w:ascii="宋体" w:hAnsi="宋体"/>
                <w:szCs w:val="21"/>
                <w:highlight w:val="none"/>
              </w:rPr>
            </w:pPr>
            <w:r>
              <w:rPr>
                <w:rFonts w:hint="eastAsia" w:ascii="宋体" w:hAnsi="宋体"/>
                <w:b/>
                <w:szCs w:val="21"/>
                <w:highlight w:val="none"/>
              </w:rPr>
              <w:t>本项目谈判报价(含税）不得超过最高限价。</w:t>
            </w:r>
            <w:r>
              <w:rPr>
                <w:rFonts w:hint="eastAsia" w:ascii="宋体" w:hAnsi="宋体"/>
                <w:szCs w:val="21"/>
                <w:highlight w:val="none"/>
              </w:rPr>
              <w:t>若谈判报价(含税）超过谈判最高限价的，或谈判小组按竞争性谈判文件的要求对谈判报价(含税）进行修正后的修正价格超过谈判最高限价的，将作否决谈判处理。</w:t>
            </w:r>
          </w:p>
          <w:p>
            <w:pPr>
              <w:numPr>
                <w:ilvl w:val="0"/>
                <w:numId w:val="6"/>
              </w:numPr>
              <w:rPr>
                <w:rFonts w:ascii="宋体" w:hAnsi="宋体"/>
                <w:szCs w:val="21"/>
                <w:highlight w:val="none"/>
              </w:rPr>
            </w:pPr>
            <w:r>
              <w:rPr>
                <w:rFonts w:hint="eastAsia" w:ascii="宋体" w:hAnsi="宋体"/>
                <w:szCs w:val="21"/>
                <w:highlight w:val="none"/>
              </w:rPr>
              <w:t>谈判报价应包括所有材料、人工、利润及相关税费等所有费用。</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3.</w:t>
            </w:r>
            <w:r>
              <w:rPr>
                <w:rFonts w:hint="eastAsia"/>
                <w:szCs w:val="21"/>
                <w:highlight w:val="none"/>
              </w:rPr>
              <w:t>4.1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ascii="宋体" w:hAnsi="宋体" w:cs="宋体"/>
                <w:szCs w:val="21"/>
                <w:highlight w:val="none"/>
              </w:rPr>
              <w:t>谈判</w:t>
            </w:r>
            <w:r>
              <w:rPr>
                <w:szCs w:val="21"/>
                <w:highlight w:val="none"/>
              </w:rPr>
              <w:t>有效期</w:t>
            </w:r>
          </w:p>
        </w:tc>
        <w:tc>
          <w:tcPr>
            <w:tcW w:w="6095" w:type="dxa"/>
            <w:tcBorders>
              <w:top w:val="single" w:color="auto" w:sz="4" w:space="0"/>
              <w:left w:val="single" w:color="auto" w:sz="4" w:space="0"/>
              <w:bottom w:val="single" w:color="auto" w:sz="4" w:space="0"/>
              <w:right w:val="single" w:color="auto" w:sz="4" w:space="0"/>
            </w:tcBorders>
            <w:vAlign w:val="center"/>
          </w:tcPr>
          <w:p>
            <w:pPr>
              <w:rPr>
                <w:szCs w:val="21"/>
                <w:highlight w:val="none"/>
              </w:rPr>
            </w:pPr>
            <w:r>
              <w:rPr>
                <w:rFonts w:hint="eastAsia" w:ascii="宋体" w:hAnsi="宋体" w:cs="宋体"/>
                <w:szCs w:val="21"/>
                <w:highlight w:val="none"/>
              </w:rPr>
              <w:t>谈判有效期：</w:t>
            </w:r>
            <w:r>
              <w:rPr>
                <w:rFonts w:ascii="宋体" w:hAnsi="宋体" w:cs="宋体"/>
                <w:szCs w:val="21"/>
                <w:highlight w:val="none"/>
                <w:u w:val="single"/>
              </w:rPr>
              <w:t xml:space="preserve">    90   </w:t>
            </w:r>
            <w:r>
              <w:rPr>
                <w:rFonts w:hint="eastAsia" w:ascii="宋体" w:hAnsi="宋体" w:cs="宋体"/>
                <w:szCs w:val="21"/>
                <w:highlight w:val="none"/>
              </w:rPr>
              <w:t>天。</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3.</w:t>
            </w:r>
            <w:r>
              <w:rPr>
                <w:rFonts w:hint="eastAsia"/>
                <w:szCs w:val="21"/>
                <w:highlight w:val="none"/>
              </w:rPr>
              <w:t>5</w:t>
            </w:r>
            <w:r>
              <w:rPr>
                <w:szCs w:val="21"/>
                <w:highlight w:val="none"/>
              </w:rPr>
              <w:t>.1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szCs w:val="21"/>
                <w:highlight w:val="none"/>
              </w:rPr>
              <w:t>谈判保证金</w:t>
            </w:r>
            <w:r>
              <w:rPr>
                <w:rFonts w:hint="eastAsia"/>
                <w:szCs w:val="21"/>
                <w:highlight w:val="none"/>
              </w:rPr>
              <w:t>金额</w:t>
            </w:r>
          </w:p>
        </w:tc>
        <w:tc>
          <w:tcPr>
            <w:tcW w:w="6095" w:type="dxa"/>
            <w:tcBorders>
              <w:top w:val="single" w:color="auto" w:sz="4" w:space="0"/>
              <w:left w:val="single" w:color="auto" w:sz="4" w:space="0"/>
              <w:bottom w:val="single" w:color="auto" w:sz="4" w:space="0"/>
              <w:right w:val="single" w:color="auto" w:sz="4" w:space="0"/>
            </w:tcBorders>
            <w:vAlign w:val="center"/>
          </w:tcPr>
          <w:p>
            <w:pPr>
              <w:rPr>
                <w:szCs w:val="21"/>
                <w:highlight w:val="none"/>
              </w:rPr>
            </w:pPr>
            <w:r>
              <w:rPr>
                <w:rFonts w:hint="eastAsia" w:ascii="宋体" w:hAnsi="宋体" w:cs="宋体"/>
                <w:szCs w:val="21"/>
                <w:highlight w:val="none"/>
              </w:rPr>
              <w:t>谈判保证金金额：</w:t>
            </w:r>
            <w:r>
              <w:rPr>
                <w:rFonts w:ascii="宋体" w:hAnsi="宋体" w:cs="宋体"/>
                <w:szCs w:val="21"/>
                <w:highlight w:val="none"/>
                <w:u w:val="single"/>
              </w:rPr>
              <w:t xml:space="preserve"> </w:t>
            </w:r>
            <w:r>
              <w:rPr>
                <w:rFonts w:hint="eastAsia" w:ascii="宋体" w:hAnsi="宋体"/>
                <w:highlight w:val="none"/>
                <w:u w:val="single"/>
              </w:rPr>
              <w:t>10200.00</w:t>
            </w:r>
            <w:r>
              <w:rPr>
                <w:rFonts w:ascii="宋体" w:hAnsi="宋体" w:cs="宋体"/>
                <w:szCs w:val="21"/>
                <w:highlight w:val="none"/>
                <w:u w:val="single"/>
              </w:rPr>
              <w:t xml:space="preserve"> </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3.5.2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szCs w:val="21"/>
                <w:highlight w:val="none"/>
              </w:rPr>
              <w:t>谈判保证金形式</w:t>
            </w:r>
          </w:p>
        </w:tc>
        <w:tc>
          <w:tcPr>
            <w:tcW w:w="6095" w:type="dxa"/>
            <w:tcBorders>
              <w:top w:val="single" w:color="auto" w:sz="4" w:space="0"/>
              <w:left w:val="single" w:color="auto" w:sz="4" w:space="0"/>
              <w:bottom w:val="single" w:color="auto" w:sz="4" w:space="0"/>
              <w:right w:val="single" w:color="auto" w:sz="4" w:space="0"/>
            </w:tcBorders>
            <w:vAlign w:val="center"/>
          </w:tcPr>
          <w:p>
            <w:pPr>
              <w:rPr>
                <w:szCs w:val="21"/>
                <w:highlight w:val="none"/>
              </w:rPr>
            </w:pPr>
            <w:r>
              <w:rPr>
                <w:szCs w:val="21"/>
                <w:highlight w:val="none"/>
              </w:rPr>
              <w:t>1</w:t>
            </w:r>
            <w:r>
              <w:rPr>
                <w:rFonts w:hint="eastAsia"/>
                <w:szCs w:val="21"/>
                <w:highlight w:val="none"/>
              </w:rPr>
              <w:t>.谈判保证金的形式：银行转账或电汇。</w:t>
            </w:r>
          </w:p>
          <w:p>
            <w:pPr>
              <w:rPr>
                <w:szCs w:val="21"/>
                <w:highlight w:val="none"/>
              </w:rPr>
            </w:pPr>
            <w:r>
              <w:rPr>
                <w:szCs w:val="21"/>
                <w:highlight w:val="none"/>
              </w:rPr>
              <w:t>2</w:t>
            </w:r>
            <w:r>
              <w:rPr>
                <w:rFonts w:hint="eastAsia"/>
                <w:szCs w:val="21"/>
                <w:highlight w:val="none"/>
              </w:rPr>
              <w:t>.响应文件中须提供谈判保证金缴纳凭证复印件。唱标同时将公开展示谈判保证金凭证。</w:t>
            </w:r>
          </w:p>
          <w:p>
            <w:pPr>
              <w:rPr>
                <w:szCs w:val="21"/>
                <w:highlight w:val="none"/>
              </w:rPr>
            </w:pPr>
            <w:r>
              <w:rPr>
                <w:rFonts w:hint="eastAsia"/>
                <w:szCs w:val="21"/>
                <w:highlight w:val="none"/>
              </w:rPr>
              <w:t>3.谈判保证金有效期与谈判有效期一致。</w:t>
            </w:r>
          </w:p>
          <w:p>
            <w:pPr>
              <w:rPr>
                <w:szCs w:val="21"/>
                <w:highlight w:val="none"/>
              </w:rPr>
            </w:pPr>
            <w:r>
              <w:rPr>
                <w:rFonts w:hint="eastAsia"/>
                <w:szCs w:val="21"/>
                <w:highlight w:val="none"/>
              </w:rPr>
              <w:t>4.提交谈判保证金帐户信息：</w:t>
            </w:r>
          </w:p>
          <w:p>
            <w:pPr>
              <w:rPr>
                <w:szCs w:val="21"/>
                <w:highlight w:val="none"/>
              </w:rPr>
            </w:pPr>
            <w:r>
              <w:rPr>
                <w:rFonts w:hint="eastAsia"/>
                <w:szCs w:val="21"/>
                <w:highlight w:val="none"/>
              </w:rPr>
              <w:t>开户名：东莞新锋交通能源发展有限公司</w:t>
            </w:r>
          </w:p>
          <w:p>
            <w:pPr>
              <w:rPr>
                <w:szCs w:val="21"/>
                <w:highlight w:val="none"/>
              </w:rPr>
            </w:pPr>
            <w:r>
              <w:rPr>
                <w:rFonts w:hint="eastAsia"/>
                <w:szCs w:val="21"/>
                <w:highlight w:val="none"/>
              </w:rPr>
              <w:t>开户银行：广发银行股份有限公司东莞宏伟路支行</w:t>
            </w:r>
          </w:p>
          <w:p>
            <w:pPr>
              <w:rPr>
                <w:szCs w:val="21"/>
                <w:highlight w:val="none"/>
              </w:rPr>
            </w:pPr>
            <w:r>
              <w:rPr>
                <w:rFonts w:hint="eastAsia"/>
                <w:szCs w:val="21"/>
                <w:highlight w:val="none"/>
              </w:rPr>
              <w:t>账号：106002512010003323</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3.</w:t>
            </w:r>
            <w:r>
              <w:rPr>
                <w:rFonts w:hint="eastAsia"/>
                <w:szCs w:val="21"/>
                <w:highlight w:val="none"/>
              </w:rPr>
              <w:t>6</w:t>
            </w:r>
            <w:r>
              <w:rPr>
                <w:szCs w:val="21"/>
                <w:highlight w:val="none"/>
              </w:rPr>
              <w:t>.</w:t>
            </w:r>
            <w:r>
              <w:rPr>
                <w:rFonts w:hint="eastAsia"/>
                <w:szCs w:val="21"/>
                <w:highlight w:val="none"/>
              </w:rPr>
              <w:t>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szCs w:val="21"/>
                <w:highlight w:val="none"/>
              </w:rPr>
              <w:t>响应文件份数</w:t>
            </w:r>
          </w:p>
        </w:tc>
        <w:tc>
          <w:tcPr>
            <w:tcW w:w="6095" w:type="dxa"/>
            <w:tcBorders>
              <w:top w:val="single" w:color="auto" w:sz="4" w:space="0"/>
              <w:left w:val="single" w:color="auto" w:sz="4" w:space="0"/>
              <w:bottom w:val="single" w:color="auto" w:sz="4" w:space="0"/>
              <w:right w:val="single" w:color="auto" w:sz="4" w:space="0"/>
            </w:tcBorders>
            <w:vAlign w:val="center"/>
          </w:tcPr>
          <w:p>
            <w:pPr>
              <w:rPr>
                <w:rFonts w:hAnsi="宋体" w:cs="宋体"/>
                <w:b/>
                <w:szCs w:val="21"/>
                <w:highlight w:val="none"/>
              </w:rPr>
            </w:pPr>
            <w:r>
              <w:rPr>
                <w:rFonts w:hint="eastAsia" w:hAnsi="宋体" w:cs="宋体"/>
                <w:b/>
                <w:szCs w:val="21"/>
                <w:highlight w:val="none"/>
              </w:rPr>
              <w:t>正本</w:t>
            </w:r>
            <w:r>
              <w:rPr>
                <w:rFonts w:hint="eastAsia" w:hAnsi="宋体" w:cs="宋体"/>
                <w:b/>
                <w:szCs w:val="21"/>
                <w:highlight w:val="none"/>
                <w:u w:val="single"/>
              </w:rPr>
              <w:t>1</w:t>
            </w:r>
            <w:r>
              <w:rPr>
                <w:rFonts w:hint="eastAsia" w:hAnsi="宋体" w:cs="宋体"/>
                <w:b/>
                <w:szCs w:val="21"/>
                <w:highlight w:val="none"/>
              </w:rPr>
              <w:t>份、副本</w:t>
            </w:r>
            <w:r>
              <w:rPr>
                <w:rFonts w:hint="eastAsia" w:hAnsi="宋体" w:cs="宋体"/>
                <w:b/>
                <w:szCs w:val="21"/>
                <w:highlight w:val="none"/>
                <w:u w:val="single"/>
              </w:rPr>
              <w:t>2</w:t>
            </w:r>
            <w:r>
              <w:rPr>
                <w:rFonts w:hint="eastAsia" w:hAnsi="宋体" w:cs="宋体"/>
                <w:b/>
                <w:szCs w:val="21"/>
                <w:highlight w:val="none"/>
              </w:rPr>
              <w:t>份，唱标信封</w:t>
            </w:r>
            <w:r>
              <w:rPr>
                <w:rFonts w:hint="eastAsia" w:hAnsi="宋体" w:cs="宋体"/>
                <w:b/>
                <w:szCs w:val="21"/>
                <w:highlight w:val="none"/>
                <w:u w:val="single"/>
              </w:rPr>
              <w:t>1</w:t>
            </w:r>
            <w:r>
              <w:rPr>
                <w:rFonts w:hint="eastAsia" w:hAnsi="宋体" w:cs="宋体"/>
                <w:b/>
                <w:szCs w:val="21"/>
                <w:highlight w:val="none"/>
              </w:rPr>
              <w:t>份。</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szCs w:val="21"/>
                <w:highlight w:val="none"/>
              </w:rPr>
              <w:t>3.</w:t>
            </w:r>
            <w:r>
              <w:rPr>
                <w:rFonts w:hint="eastAsia"/>
                <w:szCs w:val="21"/>
                <w:highlight w:val="none"/>
              </w:rPr>
              <w:t>6</w:t>
            </w:r>
            <w:r>
              <w:rPr>
                <w:szCs w:val="21"/>
                <w:highlight w:val="none"/>
              </w:rPr>
              <w:t>.</w:t>
            </w:r>
            <w:r>
              <w:rPr>
                <w:rFonts w:hint="eastAsia"/>
                <w:szCs w:val="21"/>
                <w:highlight w:val="none"/>
              </w:rPr>
              <w:t>6</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响应文件的密封和标记要求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szCs w:val="21"/>
                <w:highlight w:val="none"/>
              </w:rPr>
              <w:t>本条款增加规定：</w:t>
            </w:r>
          </w:p>
          <w:p>
            <w:pPr>
              <w:rPr>
                <w:rFonts w:ascii="宋体" w:hAnsi="宋体" w:cs="宋体"/>
                <w:szCs w:val="21"/>
                <w:highlight w:val="none"/>
              </w:rPr>
            </w:pPr>
            <w:r>
              <w:rPr>
                <w:rFonts w:hint="eastAsia" w:ascii="宋体" w:hAnsi="宋体" w:cs="宋体"/>
                <w:szCs w:val="21"/>
                <w:highlight w:val="none"/>
              </w:rPr>
              <w:t>1）商务技术响应文件、经济响应文件应分别装订，密封后，加贴封条，在封口处加盖骑缝章</w:t>
            </w:r>
            <w:r>
              <w:rPr>
                <w:rFonts w:hint="eastAsia"/>
                <w:szCs w:val="21"/>
                <w:highlight w:val="none"/>
              </w:rPr>
              <w:t>或者由响应人的法定代表人或其委托代理人签字</w:t>
            </w:r>
            <w:r>
              <w:rPr>
                <w:rFonts w:hint="eastAsia" w:ascii="宋体" w:hAnsi="宋体" w:cs="宋体"/>
                <w:szCs w:val="21"/>
                <w:highlight w:val="none"/>
              </w:rPr>
              <w:t>。</w:t>
            </w:r>
          </w:p>
          <w:p>
            <w:pPr>
              <w:rPr>
                <w:rFonts w:ascii="宋体" w:hAnsi="宋体" w:cs="宋体"/>
                <w:szCs w:val="21"/>
                <w:highlight w:val="none"/>
              </w:rPr>
            </w:pPr>
            <w:r>
              <w:rPr>
                <w:rFonts w:hint="eastAsia" w:ascii="宋体" w:hAnsi="宋体" w:cs="宋体"/>
                <w:szCs w:val="21"/>
                <w:highlight w:val="none"/>
              </w:rPr>
              <w:t>2）商务技术竞争性谈判响应文件里不能含有任何有关谈判报价信息。</w:t>
            </w:r>
          </w:p>
          <w:p>
            <w:pPr>
              <w:rPr>
                <w:rFonts w:ascii="宋体" w:hAnsi="宋体" w:cs="宋体"/>
                <w:szCs w:val="21"/>
                <w:highlight w:val="none"/>
              </w:rPr>
            </w:pPr>
            <w:r>
              <w:rPr>
                <w:rFonts w:hint="eastAsia" w:ascii="宋体" w:hAnsi="宋体" w:cs="宋体"/>
                <w:szCs w:val="21"/>
                <w:highlight w:val="none"/>
              </w:rPr>
              <w:t>3）响应文件</w:t>
            </w:r>
            <w:r>
              <w:rPr>
                <w:rFonts w:hint="eastAsia"/>
                <w:szCs w:val="21"/>
                <w:highlight w:val="none"/>
              </w:rPr>
              <w:t>外层包封</w:t>
            </w:r>
            <w:r>
              <w:rPr>
                <w:rFonts w:hint="eastAsia" w:ascii="宋体" w:hAnsi="宋体" w:cs="宋体"/>
                <w:szCs w:val="21"/>
                <w:highlight w:val="none"/>
              </w:rPr>
              <w:t>上应写明的内容如下：</w:t>
            </w:r>
          </w:p>
          <w:p>
            <w:pPr>
              <w:rPr>
                <w:rFonts w:ascii="宋体" w:hAnsi="宋体"/>
                <w:b/>
                <w:szCs w:val="21"/>
                <w:highlight w:val="none"/>
              </w:rPr>
            </w:pPr>
            <w:r>
              <w:rPr>
                <w:rFonts w:hint="eastAsia" w:ascii="宋体" w:hAnsi="宋体"/>
                <w:b/>
                <w:szCs w:val="21"/>
                <w:highlight w:val="none"/>
              </w:rPr>
              <w:t xml:space="preserve">采购人名称： </w:t>
            </w:r>
          </w:p>
          <w:p>
            <w:pPr>
              <w:rPr>
                <w:rFonts w:ascii="宋体" w:hAnsi="宋体"/>
                <w:b/>
                <w:szCs w:val="21"/>
                <w:highlight w:val="none"/>
              </w:rPr>
            </w:pPr>
            <w:r>
              <w:rPr>
                <w:rFonts w:hint="eastAsia" w:ascii="宋体" w:hAnsi="宋体"/>
                <w:b/>
                <w:szCs w:val="21"/>
                <w:highlight w:val="none"/>
              </w:rPr>
              <w:t>递交响应文件地址：</w:t>
            </w:r>
          </w:p>
          <w:p>
            <w:pPr>
              <w:rPr>
                <w:rFonts w:ascii="宋体" w:hAnsi="宋体"/>
                <w:b/>
                <w:szCs w:val="21"/>
                <w:highlight w:val="none"/>
              </w:rPr>
            </w:pPr>
            <w:r>
              <w:rPr>
                <w:rFonts w:hint="eastAsia" w:ascii="宋体" w:hAnsi="宋体"/>
                <w:b/>
                <w:szCs w:val="21"/>
                <w:highlight w:val="none"/>
                <w:u w:val="single"/>
              </w:rPr>
              <w:t xml:space="preserve">            </w:t>
            </w:r>
            <w:r>
              <w:rPr>
                <w:rFonts w:hint="eastAsia" w:ascii="宋体" w:hAnsi="宋体"/>
                <w:b/>
                <w:szCs w:val="21"/>
                <w:highlight w:val="none"/>
              </w:rPr>
              <w:t>（项目名称）响应文件</w:t>
            </w:r>
          </w:p>
          <w:p>
            <w:pPr>
              <w:rPr>
                <w:rFonts w:ascii="宋体" w:hAnsi="宋体"/>
                <w:b/>
                <w:szCs w:val="21"/>
                <w:highlight w:val="none"/>
              </w:rPr>
            </w:pPr>
            <w:r>
              <w:rPr>
                <w:rFonts w:hint="eastAsia" w:ascii="宋体" w:hAnsi="宋体"/>
                <w:b/>
                <w:szCs w:val="21"/>
                <w:highlight w:val="none"/>
              </w:rPr>
              <w:t>响应人名称：</w:t>
            </w:r>
          </w:p>
          <w:p>
            <w:pPr>
              <w:rPr>
                <w:rFonts w:ascii="宋体" w:hAnsi="宋体"/>
                <w:b/>
                <w:szCs w:val="21"/>
                <w:highlight w:val="none"/>
              </w:rPr>
            </w:pPr>
            <w:r>
              <w:rPr>
                <w:rFonts w:hint="eastAsia" w:ascii="宋体" w:hAnsi="宋体"/>
                <w:b/>
                <w:szCs w:val="21"/>
                <w:highlight w:val="none"/>
              </w:rPr>
              <w:t>联系人：</w:t>
            </w:r>
          </w:p>
          <w:p>
            <w:pPr>
              <w:rPr>
                <w:rFonts w:ascii="宋体" w:hAnsi="宋体"/>
                <w:b/>
                <w:szCs w:val="21"/>
                <w:highlight w:val="none"/>
              </w:rPr>
            </w:pPr>
            <w:r>
              <w:rPr>
                <w:rFonts w:hint="eastAsia" w:ascii="宋体" w:hAnsi="宋体"/>
                <w:b/>
                <w:szCs w:val="21"/>
                <w:highlight w:val="none"/>
              </w:rPr>
              <w:t>联系方式：</w:t>
            </w:r>
          </w:p>
          <w:p>
            <w:pPr>
              <w:rPr>
                <w:szCs w:val="21"/>
                <w:highlight w:val="none"/>
              </w:rPr>
            </w:pPr>
            <w:r>
              <w:rPr>
                <w:rFonts w:hint="eastAsia" w:ascii="宋体" w:hAnsi="宋体"/>
                <w:b/>
                <w:szCs w:val="21"/>
                <w:highlight w:val="none"/>
              </w:rPr>
              <w:t>在</w:t>
            </w:r>
            <w:r>
              <w:rPr>
                <w:rFonts w:hint="eastAsia" w:ascii="宋体" w:hAnsi="宋体"/>
                <w:b/>
                <w:szCs w:val="21"/>
                <w:highlight w:val="none"/>
                <w:u w:val="single"/>
              </w:rPr>
              <w:t xml:space="preserve">  </w:t>
            </w:r>
            <w:r>
              <w:rPr>
                <w:rFonts w:hint="eastAsia" w:ascii="宋体" w:hAnsi="宋体"/>
                <w:b/>
                <w:szCs w:val="21"/>
                <w:highlight w:val="none"/>
              </w:rPr>
              <w:t>年</w:t>
            </w:r>
            <w:r>
              <w:rPr>
                <w:rFonts w:hint="eastAsia" w:ascii="宋体" w:hAnsi="宋体"/>
                <w:b/>
                <w:szCs w:val="21"/>
                <w:highlight w:val="none"/>
                <w:u w:val="single"/>
              </w:rPr>
              <w:t xml:space="preserve">  </w:t>
            </w:r>
            <w:r>
              <w:rPr>
                <w:rFonts w:hint="eastAsia" w:ascii="宋体" w:hAnsi="宋体"/>
                <w:b/>
                <w:szCs w:val="21"/>
                <w:highlight w:val="none"/>
              </w:rPr>
              <w:t>月</w:t>
            </w:r>
            <w:r>
              <w:rPr>
                <w:rFonts w:hint="eastAsia" w:ascii="宋体" w:hAnsi="宋体"/>
                <w:b/>
                <w:szCs w:val="21"/>
                <w:highlight w:val="none"/>
                <w:u w:val="single"/>
              </w:rPr>
              <w:t xml:space="preserve">  </w:t>
            </w:r>
            <w:r>
              <w:rPr>
                <w:rFonts w:hint="eastAsia" w:ascii="宋体" w:hAnsi="宋体"/>
                <w:b/>
                <w:szCs w:val="21"/>
                <w:highlight w:val="none"/>
              </w:rPr>
              <w:t>日</w:t>
            </w:r>
            <w:r>
              <w:rPr>
                <w:rFonts w:hint="eastAsia" w:ascii="宋体" w:hAnsi="宋体"/>
                <w:b/>
                <w:szCs w:val="21"/>
                <w:highlight w:val="none"/>
                <w:u w:val="single"/>
              </w:rPr>
              <w:t xml:space="preserve">  </w:t>
            </w:r>
            <w:r>
              <w:rPr>
                <w:rFonts w:hint="eastAsia" w:ascii="宋体" w:hAnsi="宋体"/>
                <w:b/>
                <w:szCs w:val="21"/>
                <w:highlight w:val="none"/>
              </w:rPr>
              <w:t>时</w:t>
            </w:r>
            <w:r>
              <w:rPr>
                <w:rFonts w:hint="eastAsia" w:ascii="宋体" w:hAnsi="宋体"/>
                <w:b/>
                <w:szCs w:val="21"/>
                <w:highlight w:val="none"/>
                <w:u w:val="single"/>
              </w:rPr>
              <w:t xml:space="preserve">  </w:t>
            </w:r>
            <w:r>
              <w:rPr>
                <w:rFonts w:hint="eastAsia" w:ascii="宋体" w:hAnsi="宋体"/>
                <w:b/>
                <w:szCs w:val="21"/>
                <w:highlight w:val="none"/>
              </w:rPr>
              <w:t>分前不得开启</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4.1.1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hAnsi="宋体"/>
                <w:szCs w:val="21"/>
                <w:highlight w:val="none"/>
              </w:rPr>
              <w:t>响应文件递交截止时间</w:t>
            </w:r>
          </w:p>
        </w:tc>
        <w:tc>
          <w:tcPr>
            <w:tcW w:w="6095" w:type="dxa"/>
            <w:tcBorders>
              <w:top w:val="single" w:color="auto" w:sz="4" w:space="0"/>
              <w:left w:val="single" w:color="auto" w:sz="4" w:space="0"/>
              <w:bottom w:val="single" w:color="auto" w:sz="4" w:space="0"/>
              <w:right w:val="single" w:color="auto" w:sz="4" w:space="0"/>
            </w:tcBorders>
            <w:vAlign w:val="center"/>
          </w:tcPr>
          <w:p>
            <w:pPr>
              <w:pStyle w:val="68"/>
              <w:ind w:firstLine="0" w:firstLineChars="0"/>
              <w:rPr>
                <w:rFonts w:hAnsi="宋体"/>
                <w:szCs w:val="21"/>
                <w:highlight w:val="none"/>
              </w:rPr>
            </w:pPr>
            <w:r>
              <w:rPr>
                <w:rFonts w:hint="eastAsia" w:ascii="宋体" w:hAnsi="宋体" w:cs="宋体"/>
                <w:szCs w:val="21"/>
                <w:highlight w:val="none"/>
              </w:rPr>
              <w:t>详见竞争性谈判公告</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4.1.2</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hAnsi="宋体"/>
                <w:szCs w:val="21"/>
                <w:highlight w:val="none"/>
              </w:rPr>
            </w:pPr>
            <w:r>
              <w:rPr>
                <w:rFonts w:hint="eastAsia" w:hAnsi="宋体"/>
                <w:szCs w:val="21"/>
                <w:highlight w:val="none"/>
              </w:rPr>
              <w:t>响应文件递交地点</w:t>
            </w:r>
          </w:p>
        </w:tc>
        <w:tc>
          <w:tcPr>
            <w:tcW w:w="6095" w:type="dxa"/>
            <w:tcBorders>
              <w:top w:val="single" w:color="auto" w:sz="4" w:space="0"/>
              <w:left w:val="single" w:color="auto" w:sz="4" w:space="0"/>
              <w:bottom w:val="single" w:color="auto" w:sz="4" w:space="0"/>
              <w:right w:val="single" w:color="auto" w:sz="4" w:space="0"/>
            </w:tcBorders>
            <w:vAlign w:val="center"/>
          </w:tcPr>
          <w:p>
            <w:pPr>
              <w:pStyle w:val="68"/>
              <w:ind w:firstLine="0" w:firstLineChars="0"/>
              <w:rPr>
                <w:rFonts w:ascii="宋体" w:hAnsi="宋体" w:cs="宋体"/>
                <w:szCs w:val="21"/>
                <w:highlight w:val="none"/>
                <w:u w:val="single"/>
              </w:rPr>
            </w:pPr>
            <w:r>
              <w:rPr>
                <w:rFonts w:hint="eastAsia" w:ascii="宋体" w:hAnsi="宋体" w:cs="宋体"/>
                <w:szCs w:val="21"/>
                <w:highlight w:val="none"/>
              </w:rPr>
              <w:t>详见竞争性谈判公告</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4.1.4</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rFonts w:hAnsi="宋体"/>
                <w:szCs w:val="21"/>
                <w:highlight w:val="none"/>
              </w:rPr>
            </w:pPr>
            <w:r>
              <w:rPr>
                <w:rFonts w:hint="eastAsia" w:hAnsi="宋体"/>
                <w:szCs w:val="21"/>
                <w:highlight w:val="none"/>
              </w:rPr>
              <w:t>响应文件退还</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rPr>
                <w:rFonts w:ascii="宋体" w:hAnsi="宋体" w:cs="宋体"/>
                <w:szCs w:val="21"/>
                <w:highlight w:val="none"/>
                <w:u w:val="single"/>
              </w:rPr>
            </w:pPr>
            <w:r>
              <w:rPr>
                <w:rFonts w:hint="eastAsia" w:ascii="宋体" w:hAnsi="宋体" w:cs="宋体"/>
                <w:szCs w:val="21"/>
                <w:highlight w:val="none"/>
              </w:rPr>
              <w:t>不退还</w:t>
            </w:r>
          </w:p>
        </w:tc>
      </w:tr>
      <w:tr>
        <w:tblPrEx>
          <w:tblCellMar>
            <w:top w:w="0" w:type="dxa"/>
            <w:left w:w="108" w:type="dxa"/>
            <w:bottom w:w="0" w:type="dxa"/>
            <w:right w:w="108" w:type="dxa"/>
          </w:tblCellMar>
        </w:tblPrEx>
        <w:trPr>
          <w:trHeight w:val="518"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szCs w:val="21"/>
                <w:highlight w:val="none"/>
              </w:rPr>
              <w:t>5.1</w:t>
            </w:r>
          </w:p>
        </w:tc>
        <w:tc>
          <w:tcPr>
            <w:tcW w:w="1843" w:type="dxa"/>
            <w:tcBorders>
              <w:top w:val="single" w:color="auto" w:sz="4" w:space="0"/>
              <w:left w:val="single" w:color="auto" w:sz="4" w:space="0"/>
              <w:right w:val="single" w:color="auto" w:sz="4" w:space="0"/>
            </w:tcBorders>
            <w:vAlign w:val="center"/>
          </w:tcPr>
          <w:p>
            <w:pPr>
              <w:jc w:val="left"/>
              <w:rPr>
                <w:szCs w:val="21"/>
                <w:highlight w:val="none"/>
              </w:rPr>
            </w:pPr>
            <w:r>
              <w:rPr>
                <w:rFonts w:hint="eastAsia"/>
                <w:szCs w:val="21"/>
                <w:highlight w:val="none"/>
              </w:rPr>
              <w:t>唱标时间和地点</w:t>
            </w:r>
          </w:p>
        </w:tc>
        <w:tc>
          <w:tcPr>
            <w:tcW w:w="6095" w:type="dxa"/>
            <w:tcBorders>
              <w:top w:val="single" w:color="auto" w:sz="4" w:space="0"/>
              <w:left w:val="single" w:color="auto" w:sz="4" w:space="0"/>
              <w:right w:val="single" w:color="auto" w:sz="4" w:space="0"/>
            </w:tcBorders>
            <w:vAlign w:val="center"/>
          </w:tcPr>
          <w:p>
            <w:pPr>
              <w:rPr>
                <w:szCs w:val="21"/>
                <w:highlight w:val="none"/>
              </w:rPr>
            </w:pPr>
            <w:r>
              <w:rPr>
                <w:rFonts w:hint="eastAsia" w:ascii="宋体" w:hAnsi="宋体" w:cs="宋体"/>
                <w:szCs w:val="21"/>
                <w:highlight w:val="none"/>
              </w:rPr>
              <w:t>同响应文件递交截止时间和地点</w:t>
            </w:r>
          </w:p>
        </w:tc>
      </w:tr>
      <w:tr>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6.1.1</w:t>
            </w:r>
          </w:p>
        </w:tc>
        <w:tc>
          <w:tcPr>
            <w:tcW w:w="1843" w:type="dxa"/>
            <w:tcBorders>
              <w:top w:val="single" w:color="auto" w:sz="4" w:space="0"/>
              <w:left w:val="single" w:color="auto" w:sz="4" w:space="0"/>
              <w:right w:val="single" w:color="auto" w:sz="4" w:space="0"/>
            </w:tcBorders>
            <w:vAlign w:val="center"/>
          </w:tcPr>
          <w:p>
            <w:pPr>
              <w:jc w:val="left"/>
              <w:rPr>
                <w:szCs w:val="21"/>
                <w:highlight w:val="none"/>
              </w:rPr>
            </w:pPr>
            <w:r>
              <w:rPr>
                <w:rFonts w:hint="eastAsia"/>
                <w:szCs w:val="21"/>
                <w:highlight w:val="none"/>
              </w:rPr>
              <w:t>谈判小组组成人数</w:t>
            </w:r>
          </w:p>
        </w:tc>
        <w:tc>
          <w:tcPr>
            <w:tcW w:w="6095" w:type="dxa"/>
            <w:tcBorders>
              <w:top w:val="single" w:color="auto" w:sz="4" w:space="0"/>
              <w:left w:val="single" w:color="auto" w:sz="4" w:space="0"/>
              <w:right w:val="single" w:color="auto" w:sz="4" w:space="0"/>
            </w:tcBorders>
            <w:vAlign w:val="center"/>
          </w:tcPr>
          <w:p>
            <w:pPr>
              <w:rPr>
                <w:szCs w:val="21"/>
                <w:highlight w:val="none"/>
              </w:rPr>
            </w:pPr>
            <w:r>
              <w:rPr>
                <w:rFonts w:hint="eastAsia" w:ascii="宋体" w:hAnsi="宋体" w:cs="宋体"/>
                <w:szCs w:val="21"/>
                <w:highlight w:val="none"/>
                <w:lang w:val="en-US" w:eastAsia="zh-CN"/>
              </w:rPr>
              <w:t>5</w:t>
            </w:r>
            <w:r>
              <w:rPr>
                <w:rFonts w:hint="eastAsia" w:ascii="宋体" w:hAnsi="宋体" w:cs="宋体"/>
                <w:szCs w:val="21"/>
                <w:highlight w:val="none"/>
              </w:rPr>
              <w:t>人以上单数</w:t>
            </w:r>
          </w:p>
        </w:tc>
      </w:tr>
      <w:tr>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6.3</w:t>
            </w:r>
          </w:p>
        </w:tc>
        <w:tc>
          <w:tcPr>
            <w:tcW w:w="1843" w:type="dxa"/>
            <w:tcBorders>
              <w:top w:val="single" w:color="auto" w:sz="4" w:space="0"/>
              <w:left w:val="single" w:color="auto" w:sz="4" w:space="0"/>
              <w:right w:val="single" w:color="auto" w:sz="4" w:space="0"/>
            </w:tcBorders>
            <w:vAlign w:val="center"/>
          </w:tcPr>
          <w:p>
            <w:pPr>
              <w:jc w:val="left"/>
              <w:rPr>
                <w:szCs w:val="21"/>
                <w:highlight w:val="none"/>
              </w:rPr>
            </w:pPr>
            <w:r>
              <w:rPr>
                <w:rFonts w:hint="eastAsia"/>
                <w:szCs w:val="21"/>
                <w:highlight w:val="none"/>
              </w:rPr>
              <w:t>评审方法</w:t>
            </w:r>
          </w:p>
        </w:tc>
        <w:tc>
          <w:tcPr>
            <w:tcW w:w="6095" w:type="dxa"/>
            <w:tcBorders>
              <w:top w:val="single" w:color="auto" w:sz="4" w:space="0"/>
              <w:left w:val="single" w:color="auto" w:sz="4" w:space="0"/>
              <w:right w:val="single" w:color="auto" w:sz="4" w:space="0"/>
            </w:tcBorders>
            <w:vAlign w:val="center"/>
          </w:tcPr>
          <w:p>
            <w:pPr>
              <w:rPr>
                <w:rFonts w:ascii="宋体" w:hAnsi="宋体" w:cs="宋体"/>
                <w:szCs w:val="21"/>
                <w:highlight w:val="none"/>
              </w:rPr>
            </w:pPr>
            <w:r>
              <w:rPr>
                <w:rFonts w:hint="eastAsia" w:ascii="宋体" w:hAnsi="宋体"/>
                <w:szCs w:val="21"/>
                <w:highlight w:val="none"/>
              </w:rPr>
              <w:t>最低评标价法</w:t>
            </w:r>
          </w:p>
        </w:tc>
      </w:tr>
      <w:tr>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6.4</w:t>
            </w:r>
          </w:p>
        </w:tc>
        <w:tc>
          <w:tcPr>
            <w:tcW w:w="1843" w:type="dxa"/>
            <w:tcBorders>
              <w:top w:val="single" w:color="auto" w:sz="4" w:space="0"/>
              <w:left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推荐成交候选人原则</w:t>
            </w:r>
          </w:p>
        </w:tc>
        <w:tc>
          <w:tcPr>
            <w:tcW w:w="6095" w:type="dxa"/>
            <w:tcBorders>
              <w:top w:val="single" w:color="auto" w:sz="4" w:space="0"/>
              <w:left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cs="宋体"/>
                <w:kern w:val="0"/>
                <w:highlight w:val="none"/>
              </w:rPr>
              <w:t>本项目推荐</w:t>
            </w:r>
            <w:r>
              <w:rPr>
                <w:rFonts w:ascii="宋体" w:hAnsi="宋体" w:cs="宋体"/>
                <w:kern w:val="0"/>
                <w:highlight w:val="none"/>
              </w:rPr>
              <w:t>1</w:t>
            </w:r>
            <w:r>
              <w:rPr>
                <w:rFonts w:hint="eastAsia" w:ascii="宋体" w:hAnsi="宋体" w:cs="宋体"/>
                <w:kern w:val="0"/>
                <w:highlight w:val="none"/>
              </w:rPr>
              <w:t>名成交候选单位。</w:t>
            </w:r>
            <w:r>
              <w:rPr>
                <w:rFonts w:hint="eastAsia"/>
                <w:szCs w:val="21"/>
                <w:highlight w:val="none"/>
              </w:rPr>
              <w:t>根据符合采购需求、质量和服务且报价最低的原则按顺序排列推荐成交侯选人</w:t>
            </w:r>
            <w:r>
              <w:rPr>
                <w:rFonts w:hint="eastAsia" w:ascii="宋体" w:hAnsi="宋体" w:cs="宋体"/>
                <w:kern w:val="0"/>
                <w:highlight w:val="none"/>
              </w:rPr>
              <w:t>。</w:t>
            </w:r>
          </w:p>
        </w:tc>
      </w:tr>
      <w:tr>
        <w:tblPrEx>
          <w:tblCellMar>
            <w:top w:w="0" w:type="dxa"/>
            <w:left w:w="108" w:type="dxa"/>
            <w:bottom w:w="0" w:type="dxa"/>
            <w:right w:w="108" w:type="dxa"/>
          </w:tblCellMar>
        </w:tblPrEx>
        <w:trPr>
          <w:trHeight w:val="381"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7.1</w:t>
            </w:r>
          </w:p>
        </w:tc>
        <w:tc>
          <w:tcPr>
            <w:tcW w:w="1843" w:type="dxa"/>
            <w:tcBorders>
              <w:top w:val="single" w:color="auto" w:sz="4" w:space="0"/>
              <w:left w:val="single" w:color="auto" w:sz="4" w:space="0"/>
              <w:right w:val="single" w:color="auto" w:sz="4" w:space="0"/>
            </w:tcBorders>
            <w:vAlign w:val="center"/>
          </w:tcPr>
          <w:p>
            <w:pPr>
              <w:jc w:val="left"/>
              <w:rPr>
                <w:rFonts w:ascii="宋体" w:hAnsi="宋体" w:cs="宋体"/>
                <w:szCs w:val="21"/>
                <w:highlight w:val="none"/>
              </w:rPr>
            </w:pPr>
            <w:r>
              <w:rPr>
                <w:rStyle w:val="81"/>
                <w:rFonts w:hint="eastAsia"/>
                <w:szCs w:val="21"/>
                <w:highlight w:val="none"/>
              </w:rPr>
              <w:t>成交候选人公示媒介</w:t>
            </w:r>
          </w:p>
        </w:tc>
        <w:tc>
          <w:tcPr>
            <w:tcW w:w="6095" w:type="dxa"/>
            <w:tcBorders>
              <w:top w:val="single" w:color="auto" w:sz="4" w:space="0"/>
              <w:left w:val="single" w:color="auto" w:sz="4" w:space="0"/>
              <w:right w:val="single" w:color="auto" w:sz="4" w:space="0"/>
            </w:tcBorders>
            <w:vAlign w:val="center"/>
          </w:tcPr>
          <w:p>
            <w:pPr>
              <w:autoSpaceDE w:val="0"/>
              <w:autoSpaceDN w:val="0"/>
              <w:rPr>
                <w:rFonts w:ascii="宋体" w:hAnsi="宋体" w:cs="宋体"/>
                <w:kern w:val="0"/>
                <w:highlight w:val="none"/>
              </w:rPr>
            </w:pPr>
            <w:r>
              <w:rPr>
                <w:rFonts w:hint="eastAsia"/>
                <w:highlight w:val="none"/>
              </w:rPr>
              <w:t>东莞实业投资控股集团有限公司网站</w:t>
            </w:r>
            <w:r>
              <w:rPr>
                <w:highlight w:val="none"/>
              </w:rPr>
              <w:t>（</w:t>
            </w:r>
            <w:r>
              <w:rPr>
                <w:rFonts w:hint="eastAsia"/>
                <w:highlight w:val="none"/>
              </w:rPr>
              <w:t>网址：http://www.dgsy.com.cn/</w:t>
            </w:r>
            <w:r>
              <w:rPr>
                <w:highlight w:val="none"/>
              </w:rPr>
              <w:t>）</w:t>
            </w:r>
          </w:p>
        </w:tc>
      </w:tr>
      <w:tr>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7.3.1</w:t>
            </w:r>
          </w:p>
        </w:tc>
        <w:tc>
          <w:tcPr>
            <w:tcW w:w="1843" w:type="dxa"/>
            <w:tcBorders>
              <w:top w:val="single" w:color="auto" w:sz="4" w:space="0"/>
              <w:left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成交人确定</w:t>
            </w:r>
          </w:p>
        </w:tc>
        <w:tc>
          <w:tcPr>
            <w:tcW w:w="6095" w:type="dxa"/>
            <w:tcBorders>
              <w:top w:val="single" w:color="auto" w:sz="4" w:space="0"/>
              <w:left w:val="single" w:color="auto" w:sz="4" w:space="0"/>
              <w:right w:val="single" w:color="auto" w:sz="4" w:space="0"/>
            </w:tcBorders>
            <w:vAlign w:val="center"/>
          </w:tcPr>
          <w:p>
            <w:pPr>
              <w:autoSpaceDE w:val="0"/>
              <w:autoSpaceDN w:val="0"/>
              <w:rPr>
                <w:rFonts w:ascii="宋体" w:hAnsi="宋体" w:cs="宋体"/>
                <w:szCs w:val="21"/>
                <w:highlight w:val="none"/>
              </w:rPr>
            </w:pPr>
            <w:r>
              <w:rPr>
                <w:rFonts w:hint="eastAsia" w:ascii="宋体" w:hAnsi="宋体"/>
                <w:szCs w:val="21"/>
                <w:highlight w:val="none"/>
              </w:rPr>
              <w:t>□</w:t>
            </w:r>
            <w:r>
              <w:rPr>
                <w:rFonts w:hint="eastAsia" w:hAnsi="宋体"/>
                <w:szCs w:val="21"/>
                <w:highlight w:val="none"/>
              </w:rPr>
              <w:t>谈判小组直接确定成交人</w:t>
            </w:r>
            <w:r>
              <w:rPr>
                <w:rFonts w:hint="eastAsia" w:ascii="宋体" w:hAnsi="宋体" w:cs="宋体"/>
                <w:szCs w:val="21"/>
                <w:highlight w:val="none"/>
              </w:rPr>
              <w:t>，</w:t>
            </w:r>
            <w:r>
              <w:rPr>
                <w:rFonts w:hint="eastAsia" w:hAnsi="宋体"/>
                <w:szCs w:val="21"/>
                <w:highlight w:val="none"/>
              </w:rPr>
              <w:t>成交人数量：</w:t>
            </w:r>
            <w:r>
              <w:rPr>
                <w:rFonts w:ascii="宋体" w:hAnsi="宋体" w:cs="宋体"/>
                <w:szCs w:val="21"/>
                <w:highlight w:val="none"/>
                <w:u w:val="single"/>
              </w:rPr>
              <w:t xml:space="preserve">    </w:t>
            </w:r>
            <w:r>
              <w:rPr>
                <w:rFonts w:hint="eastAsia" w:ascii="宋体" w:hAnsi="宋体" w:cs="宋体"/>
                <w:szCs w:val="21"/>
                <w:highlight w:val="none"/>
              </w:rPr>
              <w:t>人</w:t>
            </w:r>
          </w:p>
          <w:p>
            <w:pPr>
              <w:autoSpaceDE w:val="0"/>
              <w:autoSpaceDN w:val="0"/>
              <w:rPr>
                <w:rFonts w:ascii="宋体" w:hAnsi="宋体" w:cs="宋体"/>
                <w:szCs w:val="21"/>
                <w:highlight w:val="none"/>
              </w:rPr>
            </w:pPr>
            <w:r>
              <w:rPr>
                <w:rFonts w:hint="eastAsia"/>
                <w:szCs w:val="21"/>
                <w:highlight w:val="none"/>
              </w:rPr>
              <w:t>■</w:t>
            </w:r>
            <w:r>
              <w:rPr>
                <w:rFonts w:hint="eastAsia" w:ascii="宋体" w:hAnsi="宋体" w:cs="宋体"/>
                <w:szCs w:val="21"/>
                <w:highlight w:val="none"/>
              </w:rPr>
              <w:t>采购人确定成交人，</w:t>
            </w:r>
            <w:r>
              <w:rPr>
                <w:rFonts w:hint="eastAsia" w:hAnsi="宋体"/>
                <w:szCs w:val="21"/>
                <w:highlight w:val="none"/>
              </w:rPr>
              <w:t>成交人数量：</w:t>
            </w:r>
            <w:r>
              <w:rPr>
                <w:rFonts w:ascii="宋体" w:hAnsi="宋体" w:cs="宋体"/>
                <w:szCs w:val="21"/>
                <w:highlight w:val="none"/>
                <w:u w:val="single"/>
              </w:rPr>
              <w:t xml:space="preserve">  1  </w:t>
            </w:r>
            <w:r>
              <w:rPr>
                <w:rFonts w:hint="eastAsia" w:ascii="宋体" w:hAnsi="宋体" w:cs="宋体"/>
                <w:szCs w:val="21"/>
                <w:highlight w:val="none"/>
              </w:rPr>
              <w:t>人</w:t>
            </w:r>
          </w:p>
        </w:tc>
      </w:tr>
      <w:tr>
        <w:tblPrEx>
          <w:tblCellMar>
            <w:top w:w="0" w:type="dxa"/>
            <w:left w:w="108" w:type="dxa"/>
            <w:bottom w:w="0" w:type="dxa"/>
            <w:right w:w="108" w:type="dxa"/>
          </w:tblCellMar>
        </w:tblPrEx>
        <w:trPr>
          <w:trHeight w:val="880" w:hRule="atLeast"/>
        </w:trPr>
        <w:tc>
          <w:tcPr>
            <w:tcW w:w="993" w:type="dxa"/>
            <w:tcBorders>
              <w:top w:val="single" w:color="auto" w:sz="4" w:space="0"/>
              <w:left w:val="single" w:color="auto" w:sz="4" w:space="0"/>
              <w:right w:val="single" w:color="auto" w:sz="4" w:space="0"/>
            </w:tcBorders>
            <w:vAlign w:val="center"/>
          </w:tcPr>
          <w:p>
            <w:pPr>
              <w:jc w:val="center"/>
              <w:rPr>
                <w:szCs w:val="21"/>
                <w:highlight w:val="none"/>
              </w:rPr>
            </w:pPr>
            <w:r>
              <w:rPr>
                <w:rFonts w:hint="eastAsia"/>
                <w:szCs w:val="21"/>
                <w:highlight w:val="none"/>
              </w:rPr>
              <w:t>7.3.2</w:t>
            </w:r>
          </w:p>
        </w:tc>
        <w:tc>
          <w:tcPr>
            <w:tcW w:w="1843" w:type="dxa"/>
            <w:tcBorders>
              <w:top w:val="single" w:color="auto" w:sz="4" w:space="0"/>
              <w:left w:val="single" w:color="auto" w:sz="4" w:space="0"/>
              <w:right w:val="single" w:color="auto" w:sz="4" w:space="0"/>
            </w:tcBorders>
            <w:vAlign w:val="center"/>
          </w:tcPr>
          <w:p>
            <w:pPr>
              <w:jc w:val="left"/>
              <w:rPr>
                <w:rFonts w:ascii="宋体" w:hAnsi="宋体" w:cs="宋体"/>
                <w:szCs w:val="21"/>
                <w:highlight w:val="none"/>
              </w:rPr>
            </w:pPr>
            <w:r>
              <w:rPr>
                <w:rFonts w:hint="eastAsia" w:ascii="宋体" w:hAnsi="宋体" w:cs="宋体"/>
                <w:szCs w:val="21"/>
                <w:highlight w:val="none"/>
              </w:rPr>
              <w:t>成交原则</w:t>
            </w:r>
          </w:p>
        </w:tc>
        <w:tc>
          <w:tcPr>
            <w:tcW w:w="6095" w:type="dxa"/>
            <w:tcBorders>
              <w:top w:val="single" w:color="auto" w:sz="4" w:space="0"/>
              <w:left w:val="single" w:color="auto" w:sz="4" w:space="0"/>
              <w:right w:val="single" w:color="auto" w:sz="4" w:space="0"/>
            </w:tcBorders>
            <w:vAlign w:val="center"/>
          </w:tcPr>
          <w:p>
            <w:pPr>
              <w:numPr>
                <w:ilvl w:val="0"/>
                <w:numId w:val="0"/>
              </w:numPr>
              <w:autoSpaceDE w:val="0"/>
              <w:autoSpaceDN w:val="0"/>
              <w:rPr>
                <w:rFonts w:hint="eastAsia"/>
                <w:szCs w:val="21"/>
                <w:highlight w:val="none"/>
              </w:rPr>
            </w:pPr>
            <w:r>
              <w:rPr>
                <w:rFonts w:hint="eastAsia"/>
                <w:szCs w:val="21"/>
                <w:highlight w:val="none"/>
                <w:lang w:val="en-US" w:eastAsia="zh-CN"/>
              </w:rPr>
              <w:t>1.</w:t>
            </w:r>
            <w:r>
              <w:rPr>
                <w:szCs w:val="21"/>
                <w:highlight w:val="none"/>
              </w:rPr>
              <w:t>采购人</w:t>
            </w:r>
            <w:r>
              <w:rPr>
                <w:rFonts w:hint="eastAsia"/>
                <w:szCs w:val="21"/>
                <w:highlight w:val="none"/>
              </w:rPr>
              <w:t>根据谈判小组推荐的</w:t>
            </w:r>
            <w:r>
              <w:rPr>
                <w:szCs w:val="21"/>
                <w:highlight w:val="none"/>
              </w:rPr>
              <w:t>成交候选人</w:t>
            </w:r>
            <w:r>
              <w:rPr>
                <w:rFonts w:hint="eastAsia"/>
                <w:szCs w:val="21"/>
                <w:highlight w:val="none"/>
              </w:rPr>
              <w:t>名单排序</w:t>
            </w:r>
            <w:r>
              <w:rPr>
                <w:szCs w:val="21"/>
                <w:highlight w:val="none"/>
              </w:rPr>
              <w:t>依次确定成交人</w:t>
            </w:r>
            <w:r>
              <w:rPr>
                <w:rFonts w:hint="eastAsia"/>
                <w:szCs w:val="21"/>
                <w:highlight w:val="none"/>
              </w:rPr>
              <w:t>。如最低投标报价相同，由谈判小组按技术指标优劣顺序排列，如果无法进行合理排序的，则采用现场随机抽签方式确定。</w:t>
            </w:r>
          </w:p>
          <w:p>
            <w:pPr>
              <w:numPr>
                <w:ilvl w:val="0"/>
                <w:numId w:val="0"/>
              </w:numPr>
              <w:autoSpaceDE w:val="0"/>
              <w:autoSpaceDN w:val="0"/>
              <w:rPr>
                <w:rFonts w:hint="default" w:eastAsia="宋体"/>
                <w:szCs w:val="21"/>
                <w:highlight w:val="none"/>
                <w:lang w:val="en-US" w:eastAsia="zh-CN"/>
              </w:rPr>
            </w:pPr>
            <w:r>
              <w:rPr>
                <w:rFonts w:hint="eastAsia"/>
                <w:color w:val="0000FF"/>
                <w:szCs w:val="21"/>
                <w:highlight w:val="none"/>
                <w:lang w:val="en-US" w:eastAsia="zh-CN"/>
              </w:rPr>
              <w:t>2.基于本项目已出现流标情况，现重新发布竞争性谈判招采公告。若重新公告后，仍仅收集到1家单位的响应文件，在该响应文件满足竞争性谈判文件全部要求且报价不超过项目设定限价的前提下，将直接与该响应人开展竞争性谈判工作。</w:t>
            </w:r>
          </w:p>
        </w:tc>
      </w:tr>
      <w:tr>
        <w:tblPrEx>
          <w:tblCellMar>
            <w:top w:w="0" w:type="dxa"/>
            <w:left w:w="108" w:type="dxa"/>
            <w:bottom w:w="0" w:type="dxa"/>
            <w:right w:w="108" w:type="dxa"/>
          </w:tblCellMar>
        </w:tblPrEx>
        <w:tc>
          <w:tcPr>
            <w:tcW w:w="993" w:type="dxa"/>
            <w:tcBorders>
              <w:top w:val="single" w:color="auto" w:sz="4" w:space="0"/>
              <w:left w:val="single" w:color="auto" w:sz="4" w:space="0"/>
              <w:bottom w:val="single" w:color="auto" w:sz="4" w:space="0"/>
              <w:right w:val="single" w:color="auto" w:sz="4" w:space="0"/>
            </w:tcBorders>
            <w:vAlign w:val="center"/>
          </w:tcPr>
          <w:p>
            <w:pPr>
              <w:jc w:val="center"/>
              <w:rPr>
                <w:szCs w:val="21"/>
                <w:highlight w:val="none"/>
              </w:rPr>
            </w:pPr>
            <w:r>
              <w:rPr>
                <w:rFonts w:hint="eastAsia"/>
                <w:szCs w:val="21"/>
                <w:highlight w:val="none"/>
              </w:rPr>
              <w:t>8.1.1</w:t>
            </w:r>
          </w:p>
        </w:tc>
        <w:tc>
          <w:tcPr>
            <w:tcW w:w="1843" w:type="dxa"/>
            <w:tcBorders>
              <w:top w:val="single" w:color="auto" w:sz="4" w:space="0"/>
              <w:left w:val="single" w:color="auto" w:sz="4" w:space="0"/>
              <w:bottom w:val="single" w:color="auto" w:sz="4" w:space="0"/>
              <w:right w:val="single" w:color="auto" w:sz="4" w:space="0"/>
            </w:tcBorders>
            <w:vAlign w:val="center"/>
          </w:tcPr>
          <w:p>
            <w:pPr>
              <w:jc w:val="left"/>
              <w:rPr>
                <w:szCs w:val="21"/>
                <w:highlight w:val="none"/>
              </w:rPr>
            </w:pPr>
            <w:r>
              <w:rPr>
                <w:rFonts w:hint="eastAsia" w:ascii="宋体" w:hAnsi="宋体" w:cs="宋体"/>
                <w:szCs w:val="21"/>
                <w:highlight w:val="none"/>
              </w:rPr>
              <w:t>履约担保金额、缴纳方式及要求</w:t>
            </w:r>
          </w:p>
        </w:tc>
        <w:tc>
          <w:tcPr>
            <w:tcW w:w="6095" w:type="dxa"/>
            <w:tcBorders>
              <w:top w:val="single" w:color="auto" w:sz="4" w:space="0"/>
              <w:left w:val="single" w:color="auto" w:sz="4" w:space="0"/>
              <w:bottom w:val="single" w:color="auto" w:sz="4" w:space="0"/>
              <w:right w:val="single" w:color="auto" w:sz="4" w:space="0"/>
            </w:tcBorders>
            <w:vAlign w:val="center"/>
          </w:tcPr>
          <w:p>
            <w:pPr>
              <w:autoSpaceDE w:val="0"/>
              <w:autoSpaceDN w:val="0"/>
              <w:jc w:val="left"/>
              <w:rPr>
                <w:rFonts w:ascii="宋体" w:hAnsi="宋体" w:cs="宋体"/>
                <w:szCs w:val="21"/>
                <w:highlight w:val="none"/>
              </w:rPr>
            </w:pPr>
            <w:r>
              <w:rPr>
                <w:rFonts w:hint="eastAsia" w:ascii="宋体" w:hAnsi="宋体" w:cs="宋体"/>
                <w:szCs w:val="21"/>
                <w:highlight w:val="none"/>
              </w:rPr>
              <w:t>1.履约担保金额：合同金额的</w:t>
            </w:r>
            <w:r>
              <w:rPr>
                <w:rFonts w:ascii="宋体" w:hAnsi="宋体" w:cs="宋体"/>
                <w:szCs w:val="21"/>
                <w:highlight w:val="none"/>
                <w:u w:val="single"/>
              </w:rPr>
              <w:t xml:space="preserve">  </w:t>
            </w:r>
            <w:r>
              <w:rPr>
                <w:rFonts w:hint="eastAsia" w:ascii="宋体" w:hAnsi="宋体" w:cs="宋体"/>
                <w:szCs w:val="21"/>
                <w:highlight w:val="none"/>
                <w:u w:val="single"/>
              </w:rPr>
              <w:t>/</w:t>
            </w:r>
            <w:r>
              <w:rPr>
                <w:rFonts w:ascii="宋体" w:hAnsi="宋体" w:cs="宋体"/>
                <w:szCs w:val="21"/>
                <w:highlight w:val="none"/>
                <w:u w:val="single"/>
              </w:rPr>
              <w:t xml:space="preserve">  </w:t>
            </w:r>
            <w:r>
              <w:rPr>
                <w:rFonts w:ascii="宋体" w:hAnsi="宋体" w:cs="宋体"/>
                <w:szCs w:val="21"/>
                <w:highlight w:val="none"/>
              </w:rPr>
              <w:t>%</w:t>
            </w:r>
          </w:p>
          <w:p>
            <w:pPr>
              <w:rPr>
                <w:rFonts w:ascii="宋体" w:hAnsi="宋体" w:cs="宋体"/>
                <w:szCs w:val="21"/>
                <w:highlight w:val="none"/>
                <w:u w:val="single"/>
              </w:rPr>
            </w:pPr>
            <w:r>
              <w:rPr>
                <w:rFonts w:hint="eastAsia" w:ascii="宋体" w:hAnsi="宋体" w:cs="宋体"/>
                <w:szCs w:val="21"/>
                <w:highlight w:val="none"/>
              </w:rPr>
              <w:t>2.履约担保方式：</w:t>
            </w:r>
            <w:r>
              <w:rPr>
                <w:rFonts w:hint="eastAsia" w:ascii="宋体" w:hAnsi="宋体" w:cs="宋体"/>
                <w:szCs w:val="21"/>
                <w:highlight w:val="none"/>
                <w:u w:val="single"/>
              </w:rPr>
              <w:t>（现金/银行汇票/银行支票/银行保函）</w:t>
            </w:r>
          </w:p>
          <w:p>
            <w:pPr>
              <w:rPr>
                <w:rFonts w:hAnsi="宋体"/>
                <w:szCs w:val="21"/>
                <w:highlight w:val="none"/>
                <w:lang w:val="zh-CN"/>
              </w:rPr>
            </w:pPr>
            <w:r>
              <w:rPr>
                <w:rFonts w:hint="eastAsia" w:ascii="宋体" w:hAnsi="宋体" w:cs="宋体"/>
                <w:szCs w:val="21"/>
                <w:highlight w:val="none"/>
                <w:lang w:val="zh-CN"/>
              </w:rPr>
              <w:t>3.</w:t>
            </w:r>
            <w:r>
              <w:rPr>
                <w:rFonts w:hint="eastAsia" w:hAnsi="宋体"/>
                <w:szCs w:val="21"/>
                <w:highlight w:val="none"/>
                <w:lang w:val="zh-CN"/>
              </w:rPr>
              <w:t>响应人在合同签订前提交履约担保，履约担保金额不超过成交合同金额的10%，如果成交人提交的履约保函的有效期先于合同要求的履约保函有效期到达，成交人应在原提交的履约保函有效期满前15天，无条件办理保函延期手续。否则，视为成交人违约，采购人可在保函到期前将保函金额转为现金存入履约保证金帐户。</w:t>
            </w:r>
          </w:p>
          <w:p>
            <w:pPr>
              <w:rPr>
                <w:rFonts w:hAnsi="宋体"/>
                <w:szCs w:val="21"/>
                <w:highlight w:val="none"/>
                <w:lang w:val="zh-CN"/>
              </w:rPr>
            </w:pPr>
            <w:r>
              <w:rPr>
                <w:rFonts w:hint="eastAsia" w:hAnsi="宋体"/>
                <w:szCs w:val="21"/>
                <w:highlight w:val="none"/>
                <w:lang w:val="zh-CN"/>
              </w:rPr>
              <w:t>4.履约担保期限</w:t>
            </w:r>
            <w:r>
              <w:rPr>
                <w:rFonts w:hint="eastAsia" w:hAnsi="宋体"/>
                <w:szCs w:val="21"/>
                <w:highlight w:val="none"/>
                <w:u w:val="single"/>
                <w:lang w:val="zh-CN"/>
              </w:rPr>
              <w:t>从合同签订之日起至项目完工验收合格并结算完毕后，经双方签字7天内保持有效</w:t>
            </w:r>
            <w:r>
              <w:rPr>
                <w:rFonts w:hint="eastAsia" w:hAnsi="宋体"/>
                <w:szCs w:val="21"/>
                <w:highlight w:val="none"/>
                <w:lang w:val="zh-CN"/>
              </w:rPr>
              <w:t>。</w:t>
            </w:r>
          </w:p>
          <w:p>
            <w:pPr>
              <w:rPr>
                <w:rFonts w:hAnsi="宋体"/>
                <w:szCs w:val="21"/>
                <w:highlight w:val="none"/>
                <w:lang w:val="zh-CN"/>
              </w:rPr>
            </w:pPr>
            <w:r>
              <w:rPr>
                <w:rFonts w:hint="eastAsia" w:hAnsi="宋体"/>
                <w:szCs w:val="21"/>
                <w:highlight w:val="none"/>
                <w:lang w:val="zh-CN"/>
              </w:rPr>
              <w:t>5.履约担保要求：</w:t>
            </w:r>
          </w:p>
          <w:p>
            <w:pPr>
              <w:rPr>
                <w:rFonts w:hAnsi="宋体"/>
                <w:szCs w:val="21"/>
                <w:highlight w:val="none"/>
                <w:lang w:val="zh-CN"/>
              </w:rPr>
            </w:pPr>
            <w:r>
              <w:rPr>
                <w:rFonts w:hint="eastAsia" w:hAnsi="宋体"/>
                <w:szCs w:val="21"/>
                <w:highlight w:val="none"/>
                <w:lang w:val="zh-CN"/>
              </w:rPr>
              <w:t>（1）履约保函。如果响应人的履约担保是以银行保函形式提供的，则该银行保函应：</w:t>
            </w:r>
          </w:p>
          <w:p>
            <w:pPr>
              <w:rPr>
                <w:rFonts w:hAnsi="宋体"/>
                <w:szCs w:val="21"/>
                <w:highlight w:val="none"/>
                <w:lang w:val="zh-CN"/>
              </w:rPr>
            </w:pPr>
            <w:r>
              <w:rPr>
                <w:rFonts w:hint="eastAsia" w:hAnsi="宋体"/>
                <w:szCs w:val="21"/>
                <w:highlight w:val="none"/>
                <w:lang w:val="zh-CN"/>
              </w:rPr>
              <w:t>①保函应由银行支行或以上银行机构开具，非东莞市行政区内的银行开具的保函要由银行所在地公证部门出具的公证书。</w:t>
            </w:r>
          </w:p>
          <w:p>
            <w:pPr>
              <w:rPr>
                <w:rFonts w:hAnsi="宋体"/>
                <w:szCs w:val="21"/>
                <w:highlight w:val="none"/>
                <w:lang w:val="zh-CN"/>
              </w:rPr>
            </w:pPr>
            <w:r>
              <w:rPr>
                <w:rFonts w:hint="eastAsia" w:hAnsi="宋体"/>
                <w:szCs w:val="21"/>
                <w:highlight w:val="none"/>
                <w:lang w:val="zh-CN"/>
              </w:rPr>
              <w:t>②保函的格式参考竞争性谈判文件中提供的无条件不可撤销履约保函格式，保函担保期内若项目未能按期竣工，保函必须延期，办理延期手续时在银行方面所产生费用由报价人负责。</w:t>
            </w:r>
          </w:p>
          <w:p>
            <w:pPr>
              <w:rPr>
                <w:rFonts w:hAnsi="宋体"/>
                <w:szCs w:val="21"/>
                <w:highlight w:val="none"/>
                <w:lang w:val="zh-CN"/>
              </w:rPr>
            </w:pPr>
            <w:r>
              <w:rPr>
                <w:rFonts w:hint="eastAsia" w:hAnsi="宋体"/>
                <w:szCs w:val="21"/>
                <w:highlight w:val="none"/>
                <w:lang w:val="zh-CN"/>
              </w:rPr>
              <w:t>③履约保函必须打印，手写、涂改无效。</w:t>
            </w:r>
          </w:p>
          <w:p>
            <w:pPr>
              <w:rPr>
                <w:rFonts w:hAnsi="宋体"/>
                <w:szCs w:val="21"/>
                <w:highlight w:val="none"/>
                <w:lang w:val="zh-CN"/>
              </w:rPr>
            </w:pPr>
            <w:r>
              <w:rPr>
                <w:rFonts w:hint="eastAsia" w:hAnsi="宋体"/>
                <w:szCs w:val="21"/>
                <w:highlight w:val="none"/>
                <w:lang w:val="zh-CN"/>
              </w:rPr>
              <w:t>（2）履约保证金。可采用电汇、银行汇票等银行转帐方式提交，但不可以采用现金方式提交。响应人必须保证履约保证金以响应人名称在</w:t>
            </w:r>
            <w:r>
              <w:rPr>
                <w:rFonts w:hint="eastAsia" w:hAnsi="宋体"/>
                <w:szCs w:val="21"/>
                <w:highlight w:val="none"/>
                <w:u w:val="single"/>
                <w:lang w:val="zh-CN"/>
              </w:rPr>
              <w:t>签订合同</w:t>
            </w:r>
            <w:r>
              <w:rPr>
                <w:rFonts w:hint="eastAsia" w:hAnsi="宋体"/>
                <w:szCs w:val="21"/>
                <w:highlight w:val="none"/>
                <w:lang w:val="zh-CN"/>
              </w:rPr>
              <w:t>前提交至采购人指定账户。</w:t>
            </w:r>
          </w:p>
          <w:p>
            <w:pPr>
              <w:rPr>
                <w:rFonts w:hAnsi="宋体"/>
                <w:szCs w:val="21"/>
                <w:highlight w:val="none"/>
                <w:lang w:val="zh-CN"/>
              </w:rPr>
            </w:pPr>
            <w:r>
              <w:rPr>
                <w:rFonts w:hint="eastAsia" w:hAnsi="宋体"/>
                <w:szCs w:val="21"/>
                <w:highlight w:val="none"/>
                <w:lang w:val="zh-CN"/>
              </w:rPr>
              <w:t>（3）若成交人不能按本竞争性谈判文件的规定提交履约保证金的，采购人将有权取消成交人的成交资格（采购人可以按照谈判小组提出的成交候选人名单排序依次确定其他成交候选人为成交人，也可以重新采购），谈判保证金不予退还，给采购人造成的损失如果超过谈判保证金数额的，还应当对超过部分予以赔偿。</w:t>
            </w:r>
          </w:p>
          <w:p>
            <w:pPr>
              <w:rPr>
                <w:rFonts w:hAnsi="宋体"/>
                <w:szCs w:val="21"/>
                <w:highlight w:val="none"/>
                <w:lang w:val="zh-CN"/>
              </w:rPr>
            </w:pPr>
            <w:r>
              <w:rPr>
                <w:rFonts w:hint="eastAsia" w:hAnsi="宋体"/>
                <w:szCs w:val="21"/>
                <w:highlight w:val="none"/>
                <w:lang w:val="zh-CN"/>
              </w:rPr>
              <w:t>（4）为取得履约担保所需的费用，由成交人承担；若工期延误，履约担保时间延长，延长费用由成交人承担。</w:t>
            </w:r>
          </w:p>
          <w:p>
            <w:pPr>
              <w:rPr>
                <w:rFonts w:hAnsi="宋体"/>
                <w:szCs w:val="21"/>
                <w:highlight w:val="none"/>
                <w:lang w:val="zh-CN"/>
              </w:rPr>
            </w:pPr>
            <w:r>
              <w:rPr>
                <w:rFonts w:hint="eastAsia" w:hAnsi="宋体"/>
                <w:szCs w:val="21"/>
                <w:highlight w:val="none"/>
                <w:lang w:val="zh-CN"/>
              </w:rPr>
              <w:t>（5）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pPr>
              <w:rPr>
                <w:rFonts w:hAnsi="宋体"/>
                <w:szCs w:val="21"/>
                <w:highlight w:val="none"/>
                <w:lang w:val="zh-CN"/>
              </w:rPr>
            </w:pPr>
            <w:r>
              <w:rPr>
                <w:rFonts w:hint="eastAsia" w:hAnsi="宋体"/>
                <w:szCs w:val="21"/>
                <w:highlight w:val="none"/>
                <w:lang w:val="zh-CN"/>
              </w:rPr>
              <w:t>（6）下列任何情况发生时，采购人有权行使享有的担保权利：</w:t>
            </w:r>
          </w:p>
          <w:p>
            <w:pPr>
              <w:rPr>
                <w:rFonts w:hAnsi="宋体"/>
                <w:szCs w:val="21"/>
                <w:highlight w:val="none"/>
                <w:lang w:val="zh-CN"/>
              </w:rPr>
            </w:pPr>
            <w:r>
              <w:rPr>
                <w:rFonts w:hint="eastAsia" w:hAnsi="宋体"/>
                <w:szCs w:val="21"/>
                <w:highlight w:val="none"/>
                <w:lang w:val="zh-CN"/>
              </w:rPr>
              <w:t>①成交人将本项目转让给他人，或者在报价文件中未说明，且未经采购人同意，将成交项目分包给他人的；</w:t>
            </w:r>
          </w:p>
          <w:p>
            <w:pPr>
              <w:rPr>
                <w:rFonts w:hAnsi="宋体"/>
                <w:szCs w:val="21"/>
                <w:highlight w:val="none"/>
                <w:lang w:val="zh-CN"/>
              </w:rPr>
            </w:pPr>
            <w:r>
              <w:rPr>
                <w:rFonts w:hint="eastAsia" w:hAnsi="宋体"/>
                <w:szCs w:val="21"/>
                <w:highlight w:val="none"/>
                <w:lang w:val="zh-CN"/>
              </w:rPr>
              <w:t>②成交人在履行采购合同期间，违反有关法律法规的规定及合同约定的条款，损害了采购人的利益。</w:t>
            </w:r>
          </w:p>
          <w:p>
            <w:pPr>
              <w:rPr>
                <w:szCs w:val="21"/>
                <w:highlight w:val="none"/>
              </w:rPr>
            </w:pPr>
            <w:r>
              <w:rPr>
                <w:rFonts w:hint="eastAsia" w:hAnsi="宋体"/>
                <w:szCs w:val="21"/>
                <w:highlight w:val="none"/>
                <w:lang w:val="zh-CN"/>
              </w:rPr>
              <w:t>（7）在整个项目验收合格后，成交人向采购人提交退回履约担保的申请，采购人办理履约担保退还手续。</w:t>
            </w:r>
          </w:p>
        </w:tc>
      </w:tr>
    </w:tbl>
    <w:p>
      <w:pPr>
        <w:widowControl/>
        <w:jc w:val="left"/>
        <w:rPr>
          <w:b/>
          <w:highlight w:val="none"/>
        </w:rPr>
      </w:pPr>
    </w:p>
    <w:p>
      <w:pPr>
        <w:widowControl/>
        <w:jc w:val="left"/>
        <w:rPr>
          <w:b/>
          <w:highlight w:val="none"/>
        </w:rPr>
      </w:pPr>
      <w:r>
        <w:rPr>
          <w:b/>
          <w:highlight w:val="none"/>
        </w:rPr>
        <w:br w:type="page"/>
      </w:r>
    </w:p>
    <w:p>
      <w:pPr>
        <w:pStyle w:val="3"/>
        <w:rPr>
          <w:rFonts w:ascii="黑体" w:hAnsi="黑体"/>
          <w:highlight w:val="none"/>
        </w:rPr>
      </w:pPr>
      <w:bookmarkStart w:id="14" w:name="_Toc17644"/>
      <w:bookmarkStart w:id="15" w:name="_Toc456551876"/>
      <w:bookmarkStart w:id="16" w:name="_Toc12207"/>
      <w:r>
        <w:rPr>
          <w:rFonts w:hint="eastAsia" w:ascii="黑体" w:hAnsi="黑体"/>
          <w:highlight w:val="none"/>
        </w:rPr>
        <w:t>1. 总则</w:t>
      </w:r>
      <w:bookmarkEnd w:id="14"/>
      <w:bookmarkEnd w:id="15"/>
      <w:bookmarkEnd w:id="16"/>
    </w:p>
    <w:p>
      <w:pPr>
        <w:spacing w:line="400" w:lineRule="exact"/>
        <w:rPr>
          <w:rFonts w:ascii="宋体" w:hAnsi="宋体"/>
          <w:b/>
          <w:sz w:val="32"/>
          <w:szCs w:val="32"/>
          <w:highlight w:val="none"/>
        </w:rPr>
      </w:pPr>
      <w:bookmarkStart w:id="17" w:name="_Toc456551877"/>
      <w:bookmarkStart w:id="18" w:name="_Toc475552123"/>
      <w:r>
        <w:rPr>
          <w:rFonts w:hint="eastAsia" w:ascii="宋体" w:hAnsi="宋体"/>
          <w:b/>
          <w:sz w:val="32"/>
          <w:szCs w:val="32"/>
          <w:highlight w:val="none"/>
        </w:rPr>
        <w:t>1.1 项目概况</w:t>
      </w:r>
      <w:bookmarkEnd w:id="17"/>
      <w:bookmarkEnd w:id="18"/>
    </w:p>
    <w:p>
      <w:pPr>
        <w:spacing w:line="400" w:lineRule="exact"/>
        <w:ind w:firstLine="420" w:firstLineChars="200"/>
        <w:rPr>
          <w:highlight w:val="none"/>
        </w:rPr>
      </w:pPr>
      <w:r>
        <w:rPr>
          <w:rFonts w:hint="eastAsia"/>
          <w:highlight w:val="none"/>
        </w:rPr>
        <w:t>1.1.1本项目根据东实集团及采购人相关招标采购管理规定执行，本项目已具备竞争性谈判条件，现对本项目进行竞争性谈判。</w:t>
      </w:r>
    </w:p>
    <w:p>
      <w:pPr>
        <w:spacing w:line="400" w:lineRule="exact"/>
        <w:ind w:firstLine="420" w:firstLineChars="200"/>
        <w:rPr>
          <w:highlight w:val="none"/>
        </w:rPr>
      </w:pPr>
      <w:r>
        <w:rPr>
          <w:rFonts w:hint="eastAsia"/>
          <w:highlight w:val="none"/>
        </w:rPr>
        <w:t>1.1.2 本项目采购人：见竞争性谈判公告或竞争性谈判响应须知前附表。</w:t>
      </w:r>
    </w:p>
    <w:p>
      <w:pPr>
        <w:spacing w:line="400" w:lineRule="exact"/>
        <w:ind w:firstLine="420" w:firstLineChars="200"/>
        <w:rPr>
          <w:highlight w:val="none"/>
        </w:rPr>
      </w:pPr>
      <w:r>
        <w:rPr>
          <w:rFonts w:hint="eastAsia"/>
          <w:highlight w:val="none"/>
        </w:rPr>
        <w:t>1.1.3 本项目名称：见竞争性谈判公告或竞争性谈判响应须知前附表。</w:t>
      </w:r>
    </w:p>
    <w:p>
      <w:pPr>
        <w:spacing w:line="400" w:lineRule="exact"/>
        <w:ind w:firstLine="420" w:firstLineChars="200"/>
        <w:rPr>
          <w:highlight w:val="none"/>
        </w:rPr>
      </w:pPr>
      <w:r>
        <w:rPr>
          <w:rFonts w:hint="eastAsia"/>
          <w:highlight w:val="none"/>
        </w:rPr>
        <w:t>1.1.4 本项目地点：见竞争性谈判公告或竞争性谈判响应须知前附表。</w:t>
      </w:r>
    </w:p>
    <w:p>
      <w:pPr>
        <w:spacing w:line="400" w:lineRule="exact"/>
        <w:ind w:firstLine="420" w:firstLineChars="200"/>
        <w:rPr>
          <w:highlight w:val="none"/>
        </w:rPr>
      </w:pPr>
      <w:r>
        <w:rPr>
          <w:rFonts w:hint="eastAsia"/>
          <w:highlight w:val="none"/>
        </w:rPr>
        <w:t>1.1.5本项目承包方式：见竞争性谈判公告或竞争性谈判响应须知前附表。</w:t>
      </w:r>
    </w:p>
    <w:p>
      <w:pPr>
        <w:spacing w:line="400" w:lineRule="exact"/>
        <w:rPr>
          <w:rFonts w:ascii="宋体" w:hAnsi="宋体"/>
          <w:b/>
          <w:sz w:val="32"/>
          <w:szCs w:val="32"/>
          <w:highlight w:val="none"/>
        </w:rPr>
      </w:pPr>
      <w:bookmarkStart w:id="19" w:name="_Toc456551878"/>
      <w:bookmarkStart w:id="20" w:name="_Toc475552124"/>
      <w:r>
        <w:rPr>
          <w:rFonts w:hint="eastAsia" w:ascii="宋体" w:hAnsi="宋体"/>
          <w:b/>
          <w:sz w:val="32"/>
          <w:szCs w:val="32"/>
          <w:highlight w:val="none"/>
        </w:rPr>
        <w:t>1.2 资金来源和落实情况</w:t>
      </w:r>
      <w:bookmarkEnd w:id="19"/>
      <w:bookmarkEnd w:id="20"/>
    </w:p>
    <w:p>
      <w:pPr>
        <w:spacing w:line="400" w:lineRule="exact"/>
        <w:ind w:firstLine="420" w:firstLineChars="200"/>
        <w:rPr>
          <w:highlight w:val="none"/>
        </w:rPr>
      </w:pPr>
      <w:r>
        <w:rPr>
          <w:rFonts w:hint="eastAsia"/>
          <w:highlight w:val="none"/>
        </w:rPr>
        <w:t>本项目资金已落实，资金来源见竞争性谈判公告或竞争性谈判响应须知前附表。</w:t>
      </w:r>
    </w:p>
    <w:p>
      <w:pPr>
        <w:spacing w:line="400" w:lineRule="exact"/>
        <w:rPr>
          <w:rFonts w:ascii="宋体" w:hAnsi="宋体"/>
          <w:b/>
          <w:sz w:val="32"/>
          <w:szCs w:val="32"/>
          <w:highlight w:val="none"/>
        </w:rPr>
      </w:pPr>
      <w:bookmarkStart w:id="21" w:name="_Toc475552125"/>
      <w:bookmarkStart w:id="22" w:name="_Toc456551879"/>
      <w:r>
        <w:rPr>
          <w:rFonts w:hint="eastAsia" w:ascii="宋体" w:hAnsi="宋体"/>
          <w:b/>
          <w:sz w:val="32"/>
          <w:szCs w:val="32"/>
          <w:highlight w:val="none"/>
        </w:rPr>
        <w:t>1.3 竞争性谈判范围、服务时间和质量要求</w:t>
      </w:r>
      <w:bookmarkEnd w:id="21"/>
      <w:bookmarkEnd w:id="22"/>
    </w:p>
    <w:p>
      <w:pPr>
        <w:spacing w:line="400" w:lineRule="exact"/>
        <w:ind w:firstLine="420" w:firstLineChars="200"/>
        <w:rPr>
          <w:highlight w:val="none"/>
        </w:rPr>
      </w:pPr>
      <w:r>
        <w:rPr>
          <w:rFonts w:hint="eastAsia"/>
          <w:highlight w:val="none"/>
        </w:rPr>
        <w:t>1.3.1 本次竞争性谈判范围：见竞争性谈判公告或竞争性谈判响应须知前附表。</w:t>
      </w:r>
    </w:p>
    <w:p>
      <w:pPr>
        <w:spacing w:line="400" w:lineRule="exact"/>
        <w:ind w:firstLine="420" w:firstLineChars="200"/>
        <w:rPr>
          <w:highlight w:val="none"/>
        </w:rPr>
      </w:pPr>
      <w:r>
        <w:rPr>
          <w:rFonts w:hint="eastAsia"/>
          <w:highlight w:val="none"/>
        </w:rPr>
        <w:t>1.3.2 本项目的服务时间：见竞争性谈判公告或竞争性谈判响应须知前附表。</w:t>
      </w:r>
    </w:p>
    <w:p>
      <w:pPr>
        <w:spacing w:line="400" w:lineRule="exact"/>
        <w:ind w:firstLine="420" w:firstLineChars="200"/>
        <w:rPr>
          <w:highlight w:val="none"/>
        </w:rPr>
      </w:pPr>
      <w:r>
        <w:rPr>
          <w:rFonts w:hint="eastAsia"/>
          <w:highlight w:val="none"/>
        </w:rPr>
        <w:t>1.3.4 本项目的标包划分情况：见竞争性谈判公告或竞争性谈判响应须知前附表。</w:t>
      </w:r>
    </w:p>
    <w:p>
      <w:pPr>
        <w:spacing w:line="400" w:lineRule="exact"/>
        <w:ind w:firstLine="420" w:firstLineChars="200"/>
        <w:rPr>
          <w:highlight w:val="none"/>
        </w:rPr>
      </w:pPr>
      <w:r>
        <w:rPr>
          <w:rFonts w:hint="eastAsia"/>
          <w:highlight w:val="none"/>
        </w:rPr>
        <w:t>1.3.5本项目的质量要求：见竞争性谈判公告或竞争性谈判响应须知前附表。</w:t>
      </w:r>
    </w:p>
    <w:p>
      <w:pPr>
        <w:spacing w:line="400" w:lineRule="exact"/>
        <w:rPr>
          <w:rFonts w:ascii="宋体" w:hAnsi="宋体"/>
          <w:b/>
          <w:sz w:val="32"/>
          <w:szCs w:val="32"/>
          <w:highlight w:val="none"/>
        </w:rPr>
      </w:pPr>
      <w:bookmarkStart w:id="23" w:name="_Toc456551880"/>
      <w:bookmarkStart w:id="24" w:name="_Toc475552126"/>
      <w:r>
        <w:rPr>
          <w:rFonts w:hint="eastAsia" w:ascii="宋体" w:hAnsi="宋体"/>
          <w:b/>
          <w:sz w:val="32"/>
          <w:szCs w:val="32"/>
          <w:highlight w:val="none"/>
        </w:rPr>
        <w:t>1.4 竞争性谈判方式</w:t>
      </w:r>
      <w:bookmarkEnd w:id="23"/>
      <w:bookmarkEnd w:id="24"/>
    </w:p>
    <w:p>
      <w:pPr>
        <w:adjustRightInd w:val="0"/>
        <w:snapToGrid w:val="0"/>
        <w:spacing w:line="440" w:lineRule="exact"/>
        <w:ind w:firstLine="420" w:firstLineChars="200"/>
        <w:rPr>
          <w:highlight w:val="none"/>
        </w:rPr>
      </w:pPr>
      <w:r>
        <w:rPr>
          <w:rFonts w:hint="eastAsia"/>
          <w:highlight w:val="none"/>
        </w:rPr>
        <w:t>公开竞争性谈判：</w:t>
      </w:r>
      <w:r>
        <w:rPr>
          <w:rFonts w:ascii="Arial" w:hAnsi="Arial" w:cs="Arial"/>
          <w:szCs w:val="21"/>
          <w:highlight w:val="none"/>
        </w:rPr>
        <w:t>是指采购人以竞争性谈判公告的方式邀请不特定的法人或者其他组织竞争性谈判。</w:t>
      </w:r>
    </w:p>
    <w:p>
      <w:pPr>
        <w:spacing w:line="400" w:lineRule="exact"/>
        <w:rPr>
          <w:rFonts w:ascii="宋体" w:hAnsi="宋体"/>
          <w:b/>
          <w:sz w:val="32"/>
          <w:szCs w:val="32"/>
          <w:highlight w:val="none"/>
        </w:rPr>
      </w:pPr>
      <w:bookmarkStart w:id="25" w:name="_Toc456551881"/>
      <w:bookmarkStart w:id="26" w:name="_Toc475552127"/>
      <w:r>
        <w:rPr>
          <w:rFonts w:hint="eastAsia" w:ascii="宋体" w:hAnsi="宋体"/>
          <w:b/>
          <w:sz w:val="32"/>
          <w:szCs w:val="32"/>
          <w:highlight w:val="none"/>
        </w:rPr>
        <w:t>1.5 竞争性谈判组织形式</w:t>
      </w:r>
      <w:bookmarkEnd w:id="25"/>
      <w:bookmarkEnd w:id="26"/>
    </w:p>
    <w:p>
      <w:pPr>
        <w:adjustRightInd w:val="0"/>
        <w:snapToGrid w:val="0"/>
        <w:spacing w:line="440" w:lineRule="exact"/>
        <w:ind w:firstLine="420" w:firstLineChars="200"/>
        <w:rPr>
          <w:highlight w:val="none"/>
        </w:rPr>
      </w:pPr>
      <w:r>
        <w:rPr>
          <w:rFonts w:hint="eastAsia"/>
          <w:highlight w:val="none"/>
        </w:rPr>
        <w:t>本次竞争性谈判由采购人自行组织或委托采购代理机构的方式进行，竞争性谈判组织形式、代理机构名称及联系方式见</w:t>
      </w:r>
      <w:r>
        <w:rPr>
          <w:rFonts w:hint="eastAsia"/>
          <w:bCs/>
          <w:highlight w:val="none"/>
        </w:rPr>
        <w:t>第一章 “竞争性谈判公告”</w:t>
      </w:r>
      <w:r>
        <w:rPr>
          <w:rFonts w:hint="eastAsia"/>
          <w:highlight w:val="none"/>
        </w:rPr>
        <w:t>。</w:t>
      </w:r>
    </w:p>
    <w:p>
      <w:pPr>
        <w:spacing w:line="400" w:lineRule="exact"/>
        <w:rPr>
          <w:rFonts w:ascii="宋体" w:hAnsi="宋体"/>
          <w:b/>
          <w:sz w:val="32"/>
          <w:szCs w:val="32"/>
          <w:highlight w:val="none"/>
        </w:rPr>
      </w:pPr>
      <w:bookmarkStart w:id="27" w:name="_Toc475552128"/>
      <w:bookmarkStart w:id="28" w:name="_Toc456551882"/>
      <w:r>
        <w:rPr>
          <w:rFonts w:hint="eastAsia" w:ascii="宋体" w:hAnsi="宋体"/>
          <w:b/>
          <w:sz w:val="32"/>
          <w:szCs w:val="32"/>
          <w:highlight w:val="none"/>
        </w:rPr>
        <w:t>1.6</w:t>
      </w:r>
      <w:bookmarkEnd w:id="27"/>
      <w:bookmarkEnd w:id="28"/>
      <w:r>
        <w:rPr>
          <w:rFonts w:hint="eastAsia" w:ascii="宋体" w:hAnsi="宋体"/>
          <w:b/>
          <w:sz w:val="32"/>
          <w:szCs w:val="32"/>
          <w:highlight w:val="none"/>
        </w:rPr>
        <w:t>响应人资格要求</w:t>
      </w:r>
    </w:p>
    <w:p>
      <w:pPr>
        <w:spacing w:line="400" w:lineRule="exact"/>
        <w:ind w:firstLine="359" w:firstLineChars="171"/>
        <w:rPr>
          <w:highlight w:val="none"/>
        </w:rPr>
      </w:pPr>
      <w:r>
        <w:rPr>
          <w:rFonts w:hint="eastAsia"/>
          <w:highlight w:val="none"/>
        </w:rPr>
        <w:t>1.6.1</w:t>
      </w:r>
      <w:r>
        <w:rPr>
          <w:rFonts w:hint="eastAsia" w:ascii="宋体" w:hAnsi="宋体" w:cs="宋体"/>
          <w:szCs w:val="21"/>
          <w:highlight w:val="none"/>
        </w:rPr>
        <w:t>响应人应具备承担本项目服务的资格要求：</w:t>
      </w:r>
      <w:r>
        <w:rPr>
          <w:rFonts w:hint="eastAsia"/>
          <w:highlight w:val="none"/>
        </w:rPr>
        <w:t>见竞争性谈判公告或竞争性谈判响应须知前附表。</w:t>
      </w:r>
    </w:p>
    <w:p>
      <w:pPr>
        <w:spacing w:line="400" w:lineRule="exact"/>
        <w:ind w:firstLine="359" w:firstLineChars="171"/>
        <w:rPr>
          <w:highlight w:val="none"/>
        </w:rPr>
      </w:pPr>
      <w:r>
        <w:rPr>
          <w:rFonts w:hint="eastAsia"/>
          <w:highlight w:val="none"/>
        </w:rPr>
        <w:t>1.6.2</w:t>
      </w:r>
      <w:r>
        <w:rPr>
          <w:rFonts w:hint="eastAsia" w:ascii="宋体" w:hAnsi="宋体" w:cs="宋体"/>
          <w:szCs w:val="21"/>
          <w:highlight w:val="none"/>
        </w:rPr>
        <w:t>本项目采用资格后审的审查方式</w:t>
      </w:r>
      <w:r>
        <w:rPr>
          <w:rFonts w:hint="eastAsia"/>
          <w:highlight w:val="none"/>
        </w:rPr>
        <w:t>。</w:t>
      </w:r>
    </w:p>
    <w:p>
      <w:pPr>
        <w:spacing w:line="400" w:lineRule="exact"/>
        <w:ind w:firstLine="359" w:firstLineChars="171"/>
        <w:rPr>
          <w:highlight w:val="none"/>
        </w:rPr>
      </w:pPr>
      <w:r>
        <w:rPr>
          <w:rFonts w:hint="eastAsia"/>
          <w:highlight w:val="none"/>
        </w:rPr>
        <w:t>1.6.3本须知前附表规定接受联合体响应的，除本须知前附表的要求外，还应遵守以下规定：</w:t>
      </w:r>
    </w:p>
    <w:p>
      <w:pPr>
        <w:spacing w:line="400" w:lineRule="exact"/>
        <w:ind w:firstLine="359" w:firstLineChars="171"/>
        <w:rPr>
          <w:highlight w:val="none"/>
        </w:rPr>
      </w:pPr>
      <w:r>
        <w:rPr>
          <w:rFonts w:hint="eastAsia"/>
          <w:highlight w:val="none"/>
        </w:rPr>
        <w:t>（1）联合体各方应按竞争性谈判文件提供的格式签订联合体协议书，明确联合体牵头人和各方权利义务；</w:t>
      </w:r>
    </w:p>
    <w:p>
      <w:pPr>
        <w:spacing w:line="400" w:lineRule="exact"/>
        <w:ind w:firstLine="359" w:firstLineChars="171"/>
        <w:rPr>
          <w:highlight w:val="none"/>
        </w:rPr>
      </w:pPr>
      <w:r>
        <w:rPr>
          <w:rFonts w:hint="eastAsia"/>
          <w:highlight w:val="none"/>
        </w:rPr>
        <w:t>（2）联合体各方不得再以自己名义单独或参加其他联合体在同一标包中响应；</w:t>
      </w:r>
    </w:p>
    <w:p>
      <w:pPr>
        <w:spacing w:line="400" w:lineRule="exact"/>
        <w:ind w:firstLine="359" w:firstLineChars="171"/>
        <w:rPr>
          <w:highlight w:val="none"/>
        </w:rPr>
      </w:pPr>
      <w:r>
        <w:rPr>
          <w:rFonts w:hint="eastAsia"/>
          <w:highlight w:val="none"/>
        </w:rPr>
        <w:t>（3）联合体牵头人须在响应文件上按要求加盖公司法人公章及法定代表人签名（或盖私章），无需联合体共同加盖公司法人公章及法定代表人签名（或盖私章）；</w:t>
      </w:r>
    </w:p>
    <w:p>
      <w:pPr>
        <w:spacing w:line="400" w:lineRule="exact"/>
        <w:ind w:firstLine="359" w:firstLineChars="171"/>
        <w:rPr>
          <w:rFonts w:hAnsi="宋体"/>
          <w:highlight w:val="none"/>
        </w:rPr>
      </w:pPr>
      <w:r>
        <w:rPr>
          <w:rFonts w:hint="eastAsia"/>
          <w:highlight w:val="none"/>
        </w:rPr>
        <w:t>（4）本须知前附表规定的其他要求。</w:t>
      </w:r>
    </w:p>
    <w:p>
      <w:pPr>
        <w:spacing w:line="400" w:lineRule="exact"/>
        <w:rPr>
          <w:rFonts w:ascii="宋体" w:hAnsi="宋体"/>
          <w:b/>
          <w:sz w:val="32"/>
          <w:szCs w:val="32"/>
          <w:highlight w:val="none"/>
        </w:rPr>
      </w:pPr>
      <w:bookmarkStart w:id="29" w:name="_Toc456551883"/>
      <w:bookmarkStart w:id="30" w:name="_Toc475552129"/>
      <w:r>
        <w:rPr>
          <w:rFonts w:hint="eastAsia" w:ascii="宋体" w:hAnsi="宋体"/>
          <w:b/>
          <w:sz w:val="32"/>
          <w:szCs w:val="32"/>
          <w:highlight w:val="none"/>
        </w:rPr>
        <w:t>1.</w:t>
      </w:r>
      <w:r>
        <w:rPr>
          <w:rFonts w:ascii="宋体" w:hAnsi="宋体"/>
          <w:b/>
          <w:sz w:val="32"/>
          <w:szCs w:val="32"/>
          <w:highlight w:val="none"/>
        </w:rPr>
        <w:t>7</w:t>
      </w:r>
      <w:r>
        <w:rPr>
          <w:rFonts w:hint="eastAsia" w:ascii="宋体" w:hAnsi="宋体"/>
          <w:b/>
          <w:sz w:val="32"/>
          <w:szCs w:val="32"/>
          <w:highlight w:val="none"/>
        </w:rPr>
        <w:t xml:space="preserve"> 响应人不得存在的情形</w:t>
      </w:r>
      <w:bookmarkEnd w:id="29"/>
      <w:bookmarkEnd w:id="30"/>
    </w:p>
    <w:p>
      <w:pPr>
        <w:spacing w:line="400" w:lineRule="exact"/>
        <w:ind w:firstLine="359" w:firstLineChars="171"/>
        <w:rPr>
          <w:highlight w:val="none"/>
        </w:rPr>
      </w:pPr>
      <w:r>
        <w:rPr>
          <w:rFonts w:hint="eastAsia"/>
          <w:highlight w:val="none"/>
        </w:rPr>
        <w:t>1.</w:t>
      </w:r>
      <w:r>
        <w:rPr>
          <w:highlight w:val="none"/>
        </w:rPr>
        <w:t>7</w:t>
      </w:r>
      <w:r>
        <w:rPr>
          <w:rFonts w:hint="eastAsia"/>
          <w:highlight w:val="none"/>
        </w:rPr>
        <w:t>.1 响应人不得存在下列情形之一，否则采购人有权取消其参与响应资格或成交资格：</w:t>
      </w:r>
    </w:p>
    <w:p>
      <w:pPr>
        <w:spacing w:line="400" w:lineRule="exact"/>
        <w:ind w:firstLine="359" w:firstLineChars="171"/>
        <w:rPr>
          <w:highlight w:val="none"/>
        </w:rPr>
      </w:pPr>
      <w:r>
        <w:rPr>
          <w:rFonts w:hint="eastAsia"/>
          <w:highlight w:val="none"/>
        </w:rPr>
        <w:t>（1）为采购人不具有独立法人资格的附属机构（单位）；</w:t>
      </w:r>
    </w:p>
    <w:p>
      <w:pPr>
        <w:spacing w:line="400" w:lineRule="exact"/>
        <w:ind w:firstLine="359" w:firstLineChars="171"/>
        <w:rPr>
          <w:highlight w:val="none"/>
        </w:rPr>
      </w:pPr>
      <w:r>
        <w:rPr>
          <w:rFonts w:hint="eastAsia"/>
          <w:highlight w:val="none"/>
        </w:rPr>
        <w:t>（</w:t>
      </w:r>
      <w:r>
        <w:rPr>
          <w:highlight w:val="none"/>
        </w:rPr>
        <w:t>2</w:t>
      </w:r>
      <w:r>
        <w:rPr>
          <w:rFonts w:hint="eastAsia"/>
          <w:highlight w:val="none"/>
        </w:rPr>
        <w:t xml:space="preserve">）被责令停业的； </w:t>
      </w:r>
    </w:p>
    <w:p>
      <w:pPr>
        <w:spacing w:line="400" w:lineRule="exact"/>
        <w:ind w:firstLine="359" w:firstLineChars="171"/>
        <w:rPr>
          <w:highlight w:val="none"/>
        </w:rPr>
      </w:pPr>
      <w:r>
        <w:rPr>
          <w:rFonts w:hint="eastAsia"/>
          <w:highlight w:val="none"/>
        </w:rPr>
        <w:t>（</w:t>
      </w:r>
      <w:r>
        <w:rPr>
          <w:highlight w:val="none"/>
        </w:rPr>
        <w:t>3</w:t>
      </w:r>
      <w:r>
        <w:rPr>
          <w:rFonts w:hint="eastAsia"/>
          <w:highlight w:val="none"/>
        </w:rPr>
        <w:t xml:space="preserve">）被暂停或取消投标资格的； </w:t>
      </w:r>
    </w:p>
    <w:p>
      <w:pPr>
        <w:spacing w:line="400" w:lineRule="exact"/>
        <w:ind w:firstLine="359" w:firstLineChars="171"/>
        <w:rPr>
          <w:highlight w:val="none"/>
        </w:rPr>
      </w:pPr>
      <w:r>
        <w:rPr>
          <w:rFonts w:hint="eastAsia"/>
          <w:highlight w:val="none"/>
        </w:rPr>
        <w:t>（</w:t>
      </w:r>
      <w:r>
        <w:rPr>
          <w:highlight w:val="none"/>
        </w:rPr>
        <w:t>4</w:t>
      </w:r>
      <w:r>
        <w:rPr>
          <w:rFonts w:hint="eastAsia"/>
          <w:highlight w:val="none"/>
        </w:rPr>
        <w:t>）财产被接管或冻结的；</w:t>
      </w:r>
    </w:p>
    <w:p>
      <w:pPr>
        <w:spacing w:line="400" w:lineRule="exact"/>
        <w:ind w:firstLine="359" w:firstLineChars="171"/>
        <w:rPr>
          <w:highlight w:val="none"/>
        </w:rPr>
      </w:pPr>
      <w:r>
        <w:rPr>
          <w:rFonts w:hint="eastAsia"/>
          <w:highlight w:val="none"/>
        </w:rPr>
        <w:t>（</w:t>
      </w:r>
      <w:r>
        <w:rPr>
          <w:highlight w:val="none"/>
        </w:rPr>
        <w:t>5</w:t>
      </w:r>
      <w:r>
        <w:rPr>
          <w:rFonts w:hint="eastAsia"/>
          <w:highlight w:val="none"/>
        </w:rPr>
        <w:t>）在最近三年内有骗取中标、严重违约、重大质量或安全问题的；</w:t>
      </w:r>
    </w:p>
    <w:p>
      <w:pPr>
        <w:spacing w:line="400" w:lineRule="exact"/>
        <w:ind w:firstLine="359" w:firstLineChars="171"/>
        <w:rPr>
          <w:highlight w:val="none"/>
        </w:rPr>
      </w:pPr>
      <w:r>
        <w:rPr>
          <w:rFonts w:hint="eastAsia"/>
          <w:highlight w:val="none"/>
        </w:rPr>
        <w:t>（</w:t>
      </w:r>
      <w:r>
        <w:rPr>
          <w:highlight w:val="none"/>
        </w:rPr>
        <w:t>6</w:t>
      </w:r>
      <w:r>
        <w:rPr>
          <w:rFonts w:hint="eastAsia"/>
          <w:highlight w:val="none"/>
        </w:rPr>
        <w:t>）法律法规规定的其他情形；</w:t>
      </w:r>
    </w:p>
    <w:p>
      <w:pPr>
        <w:spacing w:line="400" w:lineRule="exact"/>
        <w:ind w:firstLine="359" w:firstLineChars="171"/>
        <w:rPr>
          <w:highlight w:val="none"/>
        </w:rPr>
      </w:pPr>
      <w:r>
        <w:rPr>
          <w:rFonts w:hint="eastAsia"/>
          <w:highlight w:val="none"/>
        </w:rPr>
        <w:t>（</w:t>
      </w:r>
      <w:r>
        <w:rPr>
          <w:highlight w:val="none"/>
        </w:rPr>
        <w:t>7</w:t>
      </w:r>
      <w:r>
        <w:rPr>
          <w:rFonts w:hint="eastAsia"/>
          <w:highlight w:val="none"/>
        </w:rPr>
        <w:t>）竞争性谈判文件规定的其他情形：见竞争性谈判公告或竞争性谈判响应须知前附表。</w:t>
      </w:r>
    </w:p>
    <w:p>
      <w:pPr>
        <w:spacing w:line="400" w:lineRule="exact"/>
        <w:ind w:firstLine="359" w:firstLineChars="171"/>
        <w:rPr>
          <w:rFonts w:hAnsi="宋体"/>
          <w:szCs w:val="21"/>
          <w:highlight w:val="none"/>
        </w:rPr>
      </w:pPr>
      <w:r>
        <w:rPr>
          <w:rFonts w:hint="eastAsia"/>
          <w:highlight w:val="none"/>
        </w:rPr>
        <w:t>1.</w:t>
      </w:r>
      <w:r>
        <w:rPr>
          <w:highlight w:val="none"/>
        </w:rPr>
        <w:t>7</w:t>
      </w:r>
      <w:r>
        <w:rPr>
          <w:rFonts w:hint="eastAsia"/>
          <w:highlight w:val="none"/>
        </w:rPr>
        <w:t>.</w:t>
      </w:r>
      <w:r>
        <w:rPr>
          <w:highlight w:val="none"/>
        </w:rPr>
        <w:t>2</w:t>
      </w:r>
      <w:r>
        <w:rPr>
          <w:rFonts w:hint="eastAsia"/>
          <w:highlight w:val="none"/>
        </w:rPr>
        <w:t xml:space="preserve"> </w:t>
      </w:r>
      <w:r>
        <w:rPr>
          <w:rFonts w:hint="eastAsia" w:hAnsi="宋体"/>
          <w:szCs w:val="21"/>
          <w:highlight w:val="none"/>
        </w:rPr>
        <w:t>响应人在竞争性谈判活动中有下列行为之一的，应视情节轻重，暂停或取消其参与采购人及东实集团旗下采购项目的资格：</w:t>
      </w:r>
    </w:p>
    <w:p>
      <w:pPr>
        <w:spacing w:line="400" w:lineRule="exact"/>
        <w:ind w:left="426"/>
        <w:rPr>
          <w:rFonts w:ascii="宋体" w:hAnsi="宋体"/>
          <w:szCs w:val="21"/>
          <w:highlight w:val="none"/>
        </w:rPr>
      </w:pPr>
      <w:r>
        <w:rPr>
          <w:rFonts w:hint="eastAsia" w:ascii="宋体" w:hAnsi="宋体"/>
          <w:szCs w:val="21"/>
          <w:highlight w:val="none"/>
        </w:rPr>
        <w:t xml:space="preserve">（1）响应人之间相互串通、或与采购人、代理机构、谈判小组成员串通谈判，损害采购人或者其他响应人的合法权益的； </w:t>
      </w:r>
    </w:p>
    <w:p>
      <w:pPr>
        <w:spacing w:line="400" w:lineRule="exact"/>
        <w:ind w:left="426"/>
        <w:rPr>
          <w:rFonts w:ascii="宋体" w:hAnsi="宋体"/>
          <w:szCs w:val="21"/>
          <w:highlight w:val="none"/>
        </w:rPr>
      </w:pPr>
      <w:r>
        <w:rPr>
          <w:rFonts w:hint="eastAsia" w:ascii="宋体" w:hAnsi="宋体"/>
          <w:szCs w:val="21"/>
          <w:highlight w:val="none"/>
        </w:rPr>
        <w:t xml:space="preserve">（2）向采购人、代理机构、评审委会成员或其他相关工作人员行贿的； </w:t>
      </w:r>
    </w:p>
    <w:p>
      <w:pPr>
        <w:spacing w:line="400" w:lineRule="exact"/>
        <w:ind w:left="426"/>
        <w:rPr>
          <w:rFonts w:ascii="宋体" w:hAnsi="宋体"/>
          <w:szCs w:val="21"/>
          <w:highlight w:val="none"/>
        </w:rPr>
      </w:pPr>
      <w:r>
        <w:rPr>
          <w:rFonts w:hint="eastAsia" w:ascii="宋体" w:hAnsi="宋体"/>
          <w:szCs w:val="21"/>
          <w:highlight w:val="none"/>
        </w:rPr>
        <w:t xml:space="preserve">（3）以他人名义谈判或以其他方式弄虚作假，骗取成交的； </w:t>
      </w:r>
    </w:p>
    <w:p>
      <w:pPr>
        <w:spacing w:line="400" w:lineRule="exact"/>
        <w:ind w:left="426"/>
        <w:rPr>
          <w:rFonts w:ascii="宋体" w:hAnsi="宋体"/>
          <w:szCs w:val="21"/>
          <w:highlight w:val="none"/>
        </w:rPr>
      </w:pPr>
      <w:r>
        <w:rPr>
          <w:rFonts w:hint="eastAsia" w:ascii="宋体" w:hAnsi="宋体"/>
          <w:szCs w:val="21"/>
          <w:highlight w:val="none"/>
        </w:rPr>
        <w:t xml:space="preserve">（4）成交人私自将成交项目转让给他人的，将成交项目肢解后分别转让给他人的； </w:t>
      </w:r>
    </w:p>
    <w:p>
      <w:pPr>
        <w:spacing w:line="400" w:lineRule="exact"/>
        <w:ind w:left="426"/>
        <w:rPr>
          <w:rFonts w:ascii="宋体" w:hAnsi="宋体"/>
          <w:szCs w:val="21"/>
          <w:highlight w:val="none"/>
        </w:rPr>
      </w:pPr>
      <w:r>
        <w:rPr>
          <w:rFonts w:hint="eastAsia" w:ascii="宋体" w:hAnsi="宋体"/>
          <w:szCs w:val="21"/>
          <w:highlight w:val="none"/>
        </w:rPr>
        <w:t>（5）成交人无正当理由不与采购人订立合同，在签订合同时向采购人提出附加条件，或者不按照竞争性谈判文件要求提交履约担保的；</w:t>
      </w:r>
    </w:p>
    <w:p>
      <w:pPr>
        <w:spacing w:line="400" w:lineRule="exact"/>
        <w:ind w:left="426"/>
        <w:rPr>
          <w:rFonts w:ascii="宋体" w:hAnsi="宋体"/>
          <w:szCs w:val="21"/>
          <w:highlight w:val="none"/>
        </w:rPr>
      </w:pPr>
      <w:r>
        <w:rPr>
          <w:rFonts w:hint="eastAsia" w:ascii="宋体" w:hAnsi="宋体"/>
          <w:szCs w:val="21"/>
          <w:highlight w:val="none"/>
        </w:rPr>
        <w:t xml:space="preserve">（6）响应人捏造事实、伪造材料或者以非法手段取得证明材料进行投诉，给他人造成损失的； </w:t>
      </w:r>
    </w:p>
    <w:p>
      <w:pPr>
        <w:spacing w:line="400" w:lineRule="exact"/>
        <w:ind w:left="426"/>
        <w:rPr>
          <w:rFonts w:ascii="宋体" w:hAnsi="宋体"/>
          <w:szCs w:val="21"/>
          <w:highlight w:val="none"/>
        </w:rPr>
      </w:pPr>
      <w:r>
        <w:rPr>
          <w:rFonts w:hint="eastAsia" w:ascii="宋体" w:hAnsi="宋体"/>
          <w:szCs w:val="21"/>
          <w:highlight w:val="none"/>
        </w:rPr>
        <w:t xml:space="preserve">（7）相关工作人员应当回避而不回避的； </w:t>
      </w:r>
    </w:p>
    <w:p>
      <w:pPr>
        <w:spacing w:line="400" w:lineRule="exact"/>
        <w:ind w:left="426"/>
        <w:rPr>
          <w:rFonts w:ascii="宋体" w:hAnsi="宋体"/>
          <w:szCs w:val="21"/>
          <w:highlight w:val="none"/>
        </w:rPr>
      </w:pPr>
      <w:r>
        <w:rPr>
          <w:rFonts w:hint="eastAsia" w:ascii="宋体" w:hAnsi="宋体"/>
          <w:szCs w:val="21"/>
          <w:highlight w:val="none"/>
        </w:rPr>
        <w:t>（8）其他违法违规的行为。</w:t>
      </w:r>
    </w:p>
    <w:p>
      <w:pPr>
        <w:spacing w:line="400" w:lineRule="exact"/>
        <w:ind w:left="426"/>
        <w:rPr>
          <w:rFonts w:ascii="宋体" w:hAnsi="宋体"/>
          <w:szCs w:val="21"/>
          <w:highlight w:val="none"/>
        </w:rPr>
      </w:pPr>
      <w:r>
        <w:rPr>
          <w:bCs/>
          <w:highlight w:val="none"/>
        </w:rPr>
        <w:t>1.7.</w:t>
      </w:r>
      <w:r>
        <w:rPr>
          <w:rFonts w:hint="eastAsia"/>
          <w:bCs/>
          <w:highlight w:val="none"/>
        </w:rPr>
        <w:t>3</w:t>
      </w:r>
      <w:r>
        <w:rPr>
          <w:rFonts w:hint="eastAsia" w:ascii="宋体" w:hAnsi="宋体"/>
          <w:szCs w:val="21"/>
          <w:highlight w:val="none"/>
        </w:rPr>
        <w:t>有下列情形之一的，视为响应人串通谈判，其响应无效：</w:t>
      </w:r>
    </w:p>
    <w:p>
      <w:pPr>
        <w:spacing w:line="400" w:lineRule="exact"/>
        <w:ind w:left="426"/>
        <w:rPr>
          <w:rFonts w:ascii="宋体" w:hAnsi="宋体"/>
          <w:szCs w:val="21"/>
          <w:highlight w:val="none"/>
        </w:rPr>
      </w:pPr>
      <w:r>
        <w:rPr>
          <w:rFonts w:hint="eastAsia" w:ascii="宋体" w:hAnsi="宋体"/>
          <w:szCs w:val="21"/>
          <w:highlight w:val="none"/>
        </w:rPr>
        <w:t>（1）不同响应人的响应文件由同一单位或者个人编制；</w:t>
      </w:r>
    </w:p>
    <w:p>
      <w:pPr>
        <w:spacing w:line="400" w:lineRule="exact"/>
        <w:ind w:left="426"/>
        <w:rPr>
          <w:rFonts w:ascii="宋体" w:hAnsi="宋体"/>
          <w:szCs w:val="21"/>
          <w:highlight w:val="none"/>
        </w:rPr>
      </w:pPr>
      <w:r>
        <w:rPr>
          <w:rFonts w:hint="eastAsia" w:ascii="宋体" w:hAnsi="宋体"/>
          <w:szCs w:val="21"/>
          <w:highlight w:val="none"/>
        </w:rPr>
        <w:t>（2）不同响应人委托同一单位或者个人办理响应事宜；</w:t>
      </w:r>
    </w:p>
    <w:p>
      <w:pPr>
        <w:spacing w:line="400" w:lineRule="exact"/>
        <w:ind w:left="426"/>
        <w:rPr>
          <w:rFonts w:ascii="宋体" w:hAnsi="宋体"/>
          <w:szCs w:val="21"/>
          <w:highlight w:val="none"/>
        </w:rPr>
      </w:pPr>
      <w:r>
        <w:rPr>
          <w:rFonts w:hint="eastAsia" w:ascii="宋体" w:hAnsi="宋体"/>
          <w:szCs w:val="21"/>
          <w:highlight w:val="none"/>
        </w:rPr>
        <w:t>（3）不同响应人的响应文件载明的项目管理成员或者联系人员为同一人；</w:t>
      </w:r>
    </w:p>
    <w:p>
      <w:pPr>
        <w:spacing w:line="400" w:lineRule="exact"/>
        <w:ind w:left="426"/>
        <w:rPr>
          <w:rFonts w:ascii="宋体" w:hAnsi="宋体"/>
          <w:szCs w:val="21"/>
          <w:highlight w:val="none"/>
        </w:rPr>
      </w:pPr>
      <w:r>
        <w:rPr>
          <w:rFonts w:hint="eastAsia" w:ascii="宋体" w:hAnsi="宋体"/>
          <w:szCs w:val="21"/>
          <w:highlight w:val="none"/>
        </w:rPr>
        <w:t>（4）不同响应人的响应文件异常一致或者响应报价呈规律性差异；</w:t>
      </w:r>
    </w:p>
    <w:p>
      <w:pPr>
        <w:spacing w:line="400" w:lineRule="exact"/>
        <w:ind w:left="426"/>
        <w:rPr>
          <w:rFonts w:ascii="宋体" w:hAnsi="宋体"/>
          <w:szCs w:val="21"/>
          <w:highlight w:val="none"/>
        </w:rPr>
      </w:pPr>
      <w:r>
        <w:rPr>
          <w:rFonts w:hint="eastAsia" w:ascii="宋体" w:hAnsi="宋体"/>
          <w:szCs w:val="21"/>
          <w:highlight w:val="none"/>
        </w:rPr>
        <w:t>（5）不同响应人的响应文件相互混装；</w:t>
      </w:r>
    </w:p>
    <w:p>
      <w:pPr>
        <w:spacing w:line="400" w:lineRule="exact"/>
        <w:ind w:left="426"/>
        <w:rPr>
          <w:rFonts w:ascii="宋体" w:hAnsi="宋体"/>
          <w:szCs w:val="21"/>
          <w:highlight w:val="none"/>
        </w:rPr>
      </w:pPr>
      <w:r>
        <w:rPr>
          <w:rFonts w:hint="eastAsia" w:ascii="宋体" w:hAnsi="宋体"/>
          <w:szCs w:val="21"/>
          <w:highlight w:val="none"/>
        </w:rPr>
        <w:t>（6）不同响应人的响应保证金从同一单位或者个人的账户转出。</w:t>
      </w:r>
    </w:p>
    <w:p>
      <w:pPr>
        <w:spacing w:line="400" w:lineRule="exact"/>
        <w:ind w:left="426"/>
        <w:rPr>
          <w:rFonts w:ascii="宋体" w:hAnsi="宋体"/>
          <w:szCs w:val="21"/>
          <w:highlight w:val="none"/>
        </w:rPr>
      </w:pPr>
      <w:r>
        <w:rPr>
          <w:bCs/>
          <w:highlight w:val="none"/>
        </w:rPr>
        <w:t>1.7.</w:t>
      </w:r>
      <w:r>
        <w:rPr>
          <w:rFonts w:hint="eastAsia"/>
          <w:bCs/>
          <w:highlight w:val="none"/>
        </w:rPr>
        <w:t>4</w:t>
      </w:r>
      <w:r>
        <w:rPr>
          <w:rFonts w:hint="eastAsia" w:ascii="宋体" w:hAnsi="宋体"/>
          <w:szCs w:val="21"/>
          <w:highlight w:val="none"/>
        </w:rPr>
        <w:t>使用通过受让或者租借等方式获取的资格、资质证书响应的，属于以他人名义谈判，其响应无效：</w:t>
      </w:r>
    </w:p>
    <w:p>
      <w:pPr>
        <w:spacing w:line="400" w:lineRule="exact"/>
        <w:ind w:left="426"/>
        <w:rPr>
          <w:rFonts w:ascii="宋体" w:hAnsi="宋体"/>
          <w:szCs w:val="21"/>
          <w:highlight w:val="none"/>
        </w:rPr>
      </w:pPr>
      <w:r>
        <w:rPr>
          <w:bCs/>
          <w:highlight w:val="none"/>
        </w:rPr>
        <w:t>1.7.</w:t>
      </w:r>
      <w:r>
        <w:rPr>
          <w:rFonts w:hint="eastAsia"/>
          <w:bCs/>
          <w:highlight w:val="none"/>
        </w:rPr>
        <w:t>5</w:t>
      </w:r>
      <w:r>
        <w:rPr>
          <w:rFonts w:hint="eastAsia" w:ascii="宋体" w:hAnsi="宋体"/>
          <w:szCs w:val="21"/>
          <w:highlight w:val="none"/>
        </w:rPr>
        <w:t>有下列情形之一的，属于以其他方式弄虚作假的行为，其响应无效：</w:t>
      </w:r>
    </w:p>
    <w:p>
      <w:pPr>
        <w:spacing w:line="400" w:lineRule="exact"/>
        <w:ind w:left="426"/>
        <w:rPr>
          <w:rFonts w:ascii="宋体" w:hAnsi="宋体"/>
          <w:szCs w:val="21"/>
          <w:highlight w:val="none"/>
        </w:rPr>
      </w:pPr>
      <w:r>
        <w:rPr>
          <w:rFonts w:hint="eastAsia" w:ascii="宋体" w:hAnsi="宋体"/>
          <w:szCs w:val="21"/>
          <w:highlight w:val="none"/>
        </w:rPr>
        <w:t>（1）使用伪造、变造的许可证件；</w:t>
      </w:r>
    </w:p>
    <w:p>
      <w:pPr>
        <w:spacing w:line="400" w:lineRule="exact"/>
        <w:ind w:left="426"/>
        <w:rPr>
          <w:rFonts w:ascii="宋体" w:hAnsi="宋体"/>
          <w:szCs w:val="21"/>
          <w:highlight w:val="none"/>
        </w:rPr>
      </w:pPr>
      <w:r>
        <w:rPr>
          <w:rFonts w:hint="eastAsia" w:ascii="宋体" w:hAnsi="宋体"/>
          <w:szCs w:val="21"/>
          <w:highlight w:val="none"/>
        </w:rPr>
        <w:t xml:space="preserve">（2）提供虚假的财务状况或者业绩； </w:t>
      </w:r>
    </w:p>
    <w:p>
      <w:pPr>
        <w:spacing w:line="400" w:lineRule="exact"/>
        <w:ind w:left="426"/>
        <w:rPr>
          <w:rFonts w:ascii="宋体" w:hAnsi="宋体"/>
          <w:szCs w:val="21"/>
          <w:highlight w:val="none"/>
        </w:rPr>
      </w:pPr>
      <w:r>
        <w:rPr>
          <w:rFonts w:hint="eastAsia" w:ascii="宋体" w:hAnsi="宋体"/>
          <w:szCs w:val="21"/>
          <w:highlight w:val="none"/>
        </w:rPr>
        <w:t xml:space="preserve">（3）提供虚假的项目负责人或者主要技术人员简历、劳动关系证明； </w:t>
      </w:r>
    </w:p>
    <w:p>
      <w:pPr>
        <w:spacing w:line="400" w:lineRule="exact"/>
        <w:ind w:left="426"/>
        <w:rPr>
          <w:rFonts w:ascii="宋体" w:hAnsi="宋体"/>
          <w:szCs w:val="21"/>
          <w:highlight w:val="none"/>
        </w:rPr>
      </w:pPr>
      <w:r>
        <w:rPr>
          <w:rFonts w:hint="eastAsia" w:ascii="宋体" w:hAnsi="宋体"/>
          <w:szCs w:val="21"/>
          <w:highlight w:val="none"/>
        </w:rPr>
        <w:t>（4）提供虚假的信用状况；</w:t>
      </w:r>
    </w:p>
    <w:p>
      <w:pPr>
        <w:spacing w:line="400" w:lineRule="exact"/>
        <w:ind w:left="426"/>
        <w:rPr>
          <w:rFonts w:ascii="宋体" w:hAnsi="宋体"/>
          <w:szCs w:val="21"/>
          <w:highlight w:val="none"/>
        </w:rPr>
      </w:pPr>
      <w:r>
        <w:rPr>
          <w:rFonts w:hint="eastAsia" w:ascii="宋体" w:hAnsi="宋体"/>
          <w:szCs w:val="21"/>
          <w:highlight w:val="none"/>
        </w:rPr>
        <w:t>（5）其他弄虚作假的行为。</w:t>
      </w:r>
    </w:p>
    <w:p>
      <w:pPr>
        <w:spacing w:line="400" w:lineRule="exact"/>
        <w:ind w:firstLine="359" w:firstLineChars="171"/>
        <w:rPr>
          <w:bCs/>
          <w:highlight w:val="none"/>
        </w:rPr>
      </w:pPr>
      <w:r>
        <w:rPr>
          <w:bCs/>
          <w:highlight w:val="none"/>
        </w:rPr>
        <w:t>1.7.</w:t>
      </w:r>
      <w:r>
        <w:rPr>
          <w:rFonts w:hint="eastAsia"/>
          <w:bCs/>
          <w:highlight w:val="none"/>
        </w:rPr>
        <w:t xml:space="preserve">6响应人相关工作人员与采购人或采购代理机构有以下利害关系之一的，应当回避： </w:t>
      </w:r>
    </w:p>
    <w:p>
      <w:pPr>
        <w:spacing w:line="400" w:lineRule="exact"/>
        <w:ind w:firstLine="359" w:firstLineChars="171"/>
        <w:rPr>
          <w:bCs/>
          <w:highlight w:val="none"/>
        </w:rPr>
      </w:pPr>
      <w:r>
        <w:rPr>
          <w:rFonts w:hint="eastAsia"/>
          <w:bCs/>
          <w:highlight w:val="none"/>
        </w:rPr>
        <w:t>（一）是其主要负责人的近亲属的；</w:t>
      </w:r>
    </w:p>
    <w:p>
      <w:pPr>
        <w:spacing w:line="400" w:lineRule="exact"/>
        <w:ind w:firstLine="359" w:firstLineChars="171"/>
        <w:rPr>
          <w:bCs/>
          <w:highlight w:val="none"/>
        </w:rPr>
      </w:pPr>
      <w:r>
        <w:rPr>
          <w:rFonts w:hint="eastAsia"/>
          <w:bCs/>
          <w:highlight w:val="none"/>
        </w:rPr>
        <w:t>（二）竞争性谈判活动前3年内与其存在劳动关系，担任其董事、监事，是其控股股东或实际控制人，或存在其他经济利益关系，可能影响竞争性谈判活动公平公正的；</w:t>
      </w:r>
    </w:p>
    <w:p>
      <w:pPr>
        <w:spacing w:line="400" w:lineRule="exact"/>
        <w:ind w:firstLine="359" w:firstLineChars="171"/>
        <w:rPr>
          <w:bCs/>
          <w:highlight w:val="none"/>
        </w:rPr>
      </w:pPr>
      <w:r>
        <w:rPr>
          <w:rFonts w:hint="eastAsia"/>
          <w:bCs/>
          <w:highlight w:val="none"/>
        </w:rPr>
        <w:t>（三）其他可能影响竞争性谈判活动公平、公正进行的关系。</w:t>
      </w:r>
    </w:p>
    <w:p>
      <w:pPr>
        <w:spacing w:line="400" w:lineRule="exact"/>
        <w:rPr>
          <w:rFonts w:ascii="宋体" w:hAnsi="宋体"/>
          <w:b/>
          <w:sz w:val="32"/>
          <w:szCs w:val="32"/>
          <w:highlight w:val="none"/>
        </w:rPr>
      </w:pPr>
      <w:bookmarkStart w:id="31" w:name="_Toc475552130"/>
      <w:bookmarkStart w:id="32" w:name="_Toc456551884"/>
      <w:r>
        <w:rPr>
          <w:rFonts w:hint="eastAsia" w:ascii="宋体" w:hAnsi="宋体"/>
          <w:b/>
          <w:sz w:val="32"/>
          <w:szCs w:val="32"/>
          <w:highlight w:val="none"/>
        </w:rPr>
        <w:t>1.</w:t>
      </w:r>
      <w:r>
        <w:rPr>
          <w:rFonts w:ascii="宋体" w:hAnsi="宋体"/>
          <w:b/>
          <w:sz w:val="32"/>
          <w:szCs w:val="32"/>
          <w:highlight w:val="none"/>
        </w:rPr>
        <w:t>8</w:t>
      </w:r>
      <w:r>
        <w:rPr>
          <w:rFonts w:hint="eastAsia" w:ascii="宋体" w:hAnsi="宋体"/>
          <w:b/>
          <w:sz w:val="32"/>
          <w:szCs w:val="32"/>
          <w:highlight w:val="none"/>
        </w:rPr>
        <w:t xml:space="preserve"> 费用承担</w:t>
      </w:r>
      <w:bookmarkEnd w:id="31"/>
      <w:bookmarkEnd w:id="32"/>
    </w:p>
    <w:p>
      <w:pPr>
        <w:spacing w:line="400" w:lineRule="exact"/>
        <w:ind w:firstLine="420" w:firstLineChars="200"/>
        <w:rPr>
          <w:highlight w:val="none"/>
        </w:rPr>
      </w:pPr>
      <w:r>
        <w:rPr>
          <w:rFonts w:hint="eastAsia" w:ascii="宋体" w:hAnsi="宋体" w:cs="宋体"/>
          <w:szCs w:val="21"/>
          <w:highlight w:val="none"/>
        </w:rPr>
        <w:t>响应人准备和参加竞争性谈判活动发生的费用自理</w:t>
      </w:r>
      <w:r>
        <w:rPr>
          <w:rFonts w:hint="eastAsia"/>
          <w:highlight w:val="none"/>
        </w:rPr>
        <w:t>。</w:t>
      </w:r>
    </w:p>
    <w:p>
      <w:pPr>
        <w:spacing w:line="400" w:lineRule="exact"/>
        <w:rPr>
          <w:rFonts w:ascii="宋体" w:hAnsi="宋体"/>
          <w:b/>
          <w:sz w:val="32"/>
          <w:szCs w:val="32"/>
          <w:highlight w:val="none"/>
        </w:rPr>
      </w:pPr>
      <w:bookmarkStart w:id="33" w:name="_Toc475552131"/>
      <w:bookmarkStart w:id="34" w:name="_Toc456551885"/>
      <w:r>
        <w:rPr>
          <w:rFonts w:hint="eastAsia" w:ascii="宋体" w:hAnsi="宋体"/>
          <w:b/>
          <w:sz w:val="32"/>
          <w:szCs w:val="32"/>
          <w:highlight w:val="none"/>
        </w:rPr>
        <w:t>1.</w:t>
      </w:r>
      <w:r>
        <w:rPr>
          <w:rFonts w:ascii="宋体" w:hAnsi="宋体"/>
          <w:b/>
          <w:sz w:val="32"/>
          <w:szCs w:val="32"/>
          <w:highlight w:val="none"/>
        </w:rPr>
        <w:t>9</w:t>
      </w:r>
      <w:r>
        <w:rPr>
          <w:rFonts w:hint="eastAsia" w:ascii="宋体" w:hAnsi="宋体"/>
          <w:b/>
          <w:sz w:val="32"/>
          <w:szCs w:val="32"/>
          <w:highlight w:val="none"/>
        </w:rPr>
        <w:t xml:space="preserve"> 保密</w:t>
      </w:r>
      <w:bookmarkEnd w:id="33"/>
      <w:bookmarkEnd w:id="34"/>
    </w:p>
    <w:p>
      <w:pPr>
        <w:spacing w:line="400" w:lineRule="exact"/>
        <w:ind w:firstLine="420" w:firstLineChars="200"/>
        <w:rPr>
          <w:highlight w:val="none"/>
        </w:rPr>
      </w:pPr>
      <w:r>
        <w:rPr>
          <w:rFonts w:hint="eastAsia"/>
          <w:highlight w:val="none"/>
        </w:rPr>
        <w:t xml:space="preserve">参与竞争性谈判活动的各方应对竞争性谈判文件和响应文件中的商业和技术等秘密保密，违者应对由此造成的后果承担法律责任。 </w:t>
      </w:r>
    </w:p>
    <w:p>
      <w:pPr>
        <w:spacing w:line="400" w:lineRule="exact"/>
        <w:rPr>
          <w:rFonts w:ascii="宋体" w:hAnsi="宋体"/>
          <w:b/>
          <w:sz w:val="32"/>
          <w:szCs w:val="32"/>
          <w:highlight w:val="none"/>
        </w:rPr>
      </w:pPr>
      <w:bookmarkStart w:id="35" w:name="_Toc475552133"/>
      <w:bookmarkStart w:id="36" w:name="_Toc456551887"/>
      <w:bookmarkStart w:id="37" w:name="_Toc475552132"/>
      <w:bookmarkStart w:id="38" w:name="_Toc456551886"/>
      <w:r>
        <w:rPr>
          <w:rFonts w:hint="eastAsia" w:ascii="宋体" w:hAnsi="宋体"/>
          <w:b/>
          <w:sz w:val="32"/>
          <w:szCs w:val="32"/>
          <w:highlight w:val="none"/>
        </w:rPr>
        <w:t>1.10 语言文字</w:t>
      </w:r>
      <w:bookmarkEnd w:id="35"/>
      <w:bookmarkEnd w:id="36"/>
    </w:p>
    <w:p>
      <w:pPr>
        <w:spacing w:line="400" w:lineRule="exact"/>
        <w:ind w:firstLine="420" w:firstLineChars="200"/>
        <w:rPr>
          <w:highlight w:val="none"/>
        </w:rPr>
      </w:pPr>
      <w:r>
        <w:rPr>
          <w:rFonts w:hint="eastAsia" w:ascii="宋体" w:hAnsi="宋体" w:cs="宋体"/>
          <w:szCs w:val="21"/>
          <w:highlight w:val="none"/>
        </w:rPr>
        <w:t>除专用术语外，与竞争性谈判有关的语言均使用简体中文。必要时专用术语应附有中文注释。</w:t>
      </w:r>
    </w:p>
    <w:p>
      <w:pPr>
        <w:spacing w:line="400" w:lineRule="exact"/>
        <w:rPr>
          <w:rFonts w:ascii="宋体" w:hAnsi="宋体"/>
          <w:b/>
          <w:sz w:val="32"/>
          <w:szCs w:val="32"/>
          <w:highlight w:val="none"/>
        </w:rPr>
      </w:pPr>
      <w:r>
        <w:rPr>
          <w:rFonts w:hint="eastAsia" w:ascii="宋体" w:hAnsi="宋体"/>
          <w:b/>
          <w:sz w:val="32"/>
          <w:szCs w:val="32"/>
          <w:highlight w:val="none"/>
        </w:rPr>
        <w:t>1.11 计量单位</w:t>
      </w:r>
      <w:bookmarkEnd w:id="37"/>
      <w:bookmarkEnd w:id="38"/>
    </w:p>
    <w:p>
      <w:pPr>
        <w:spacing w:line="400" w:lineRule="exact"/>
        <w:ind w:firstLine="420" w:firstLineChars="200"/>
        <w:rPr>
          <w:highlight w:val="none"/>
        </w:rPr>
      </w:pPr>
      <w:r>
        <w:rPr>
          <w:rFonts w:hint="eastAsia"/>
          <w:highlight w:val="none"/>
        </w:rPr>
        <w:t>所有计量均采用中华人民共和国法定计量单位。</w:t>
      </w:r>
    </w:p>
    <w:p>
      <w:pPr>
        <w:spacing w:line="400" w:lineRule="exact"/>
        <w:rPr>
          <w:rFonts w:ascii="宋体" w:hAnsi="宋体"/>
          <w:b/>
          <w:sz w:val="32"/>
          <w:szCs w:val="32"/>
          <w:highlight w:val="none"/>
        </w:rPr>
      </w:pPr>
      <w:bookmarkStart w:id="39" w:name="_Toc456551892"/>
      <w:bookmarkStart w:id="40" w:name="_Toc475552136"/>
      <w:r>
        <w:rPr>
          <w:rFonts w:hint="eastAsia" w:ascii="宋体" w:hAnsi="宋体"/>
          <w:b/>
          <w:sz w:val="32"/>
          <w:szCs w:val="32"/>
          <w:highlight w:val="none"/>
        </w:rPr>
        <w:t>1.12 踏勘现场</w:t>
      </w:r>
      <w:bookmarkEnd w:id="39"/>
      <w:bookmarkEnd w:id="40"/>
    </w:p>
    <w:p>
      <w:pPr>
        <w:spacing w:line="400" w:lineRule="exact"/>
        <w:ind w:firstLine="420" w:firstLineChars="200"/>
        <w:rPr>
          <w:highlight w:val="none"/>
        </w:rPr>
      </w:pPr>
      <w:r>
        <w:rPr>
          <w:rFonts w:hint="eastAsia"/>
          <w:highlight w:val="none"/>
        </w:rPr>
        <w:t>1.12.1 竞争性谈判响应须知前附表规定组织踏勘现场的，采购人按竞争性谈判响应须知前附表规定的时间、地点组织响应人踏勘项目现场。</w:t>
      </w:r>
    </w:p>
    <w:p>
      <w:pPr>
        <w:spacing w:line="400" w:lineRule="exact"/>
        <w:ind w:firstLine="420" w:firstLineChars="200"/>
        <w:rPr>
          <w:highlight w:val="none"/>
        </w:rPr>
      </w:pPr>
      <w:r>
        <w:rPr>
          <w:rFonts w:hint="eastAsia"/>
          <w:highlight w:val="none"/>
        </w:rPr>
        <w:t>1.12.2 响应人踏勘现场发生的费用自理。</w:t>
      </w:r>
    </w:p>
    <w:p>
      <w:pPr>
        <w:spacing w:line="400" w:lineRule="exact"/>
        <w:ind w:firstLine="420" w:firstLineChars="200"/>
        <w:rPr>
          <w:highlight w:val="none"/>
        </w:rPr>
      </w:pPr>
      <w:r>
        <w:rPr>
          <w:rFonts w:hint="eastAsia"/>
          <w:highlight w:val="none"/>
        </w:rPr>
        <w:t>1.12.3 除采购人的原因外，响应人自行负责在踏勘现场中所发生的人员伤亡和财产损失。</w:t>
      </w:r>
    </w:p>
    <w:p>
      <w:pPr>
        <w:spacing w:line="400" w:lineRule="exact"/>
        <w:ind w:firstLine="420" w:firstLineChars="200"/>
        <w:rPr>
          <w:highlight w:val="none"/>
        </w:rPr>
      </w:pPr>
      <w:r>
        <w:rPr>
          <w:rFonts w:hint="eastAsia"/>
          <w:highlight w:val="none"/>
        </w:rPr>
        <w:t>1.12.4 采购人在踏勘现场中介绍的实施地点和相关的周边环境情况，供响应人在编制响应文件时参考，采购人不对响应人据此作出的判断和决策负责。</w:t>
      </w:r>
    </w:p>
    <w:p>
      <w:pPr>
        <w:spacing w:line="400" w:lineRule="exact"/>
        <w:rPr>
          <w:highlight w:val="none"/>
        </w:rPr>
      </w:pPr>
    </w:p>
    <w:p>
      <w:pPr>
        <w:pStyle w:val="3"/>
        <w:rPr>
          <w:rFonts w:ascii="黑体" w:hAnsi="黑体"/>
          <w:highlight w:val="none"/>
        </w:rPr>
      </w:pPr>
      <w:bookmarkStart w:id="41" w:name="_Toc16959"/>
      <w:bookmarkStart w:id="42" w:name="_Toc456551890"/>
      <w:bookmarkStart w:id="43" w:name="_Toc4856"/>
      <w:r>
        <w:rPr>
          <w:rFonts w:hint="eastAsia" w:ascii="黑体" w:hAnsi="黑体"/>
          <w:highlight w:val="none"/>
        </w:rPr>
        <w:t>2. 竞争性谈判文件</w:t>
      </w:r>
      <w:bookmarkEnd w:id="41"/>
      <w:bookmarkEnd w:id="42"/>
      <w:bookmarkEnd w:id="43"/>
    </w:p>
    <w:p>
      <w:pPr>
        <w:spacing w:line="400" w:lineRule="exact"/>
        <w:rPr>
          <w:rFonts w:ascii="宋体" w:hAnsi="宋体"/>
          <w:b/>
          <w:sz w:val="32"/>
          <w:szCs w:val="32"/>
          <w:highlight w:val="none"/>
        </w:rPr>
      </w:pPr>
      <w:bookmarkStart w:id="44" w:name="_Toc475552135"/>
      <w:bookmarkStart w:id="45" w:name="_Toc456551891"/>
      <w:r>
        <w:rPr>
          <w:rFonts w:hint="eastAsia" w:ascii="宋体" w:hAnsi="宋体"/>
          <w:b/>
          <w:sz w:val="32"/>
          <w:szCs w:val="32"/>
          <w:highlight w:val="none"/>
        </w:rPr>
        <w:t>2.1 竞争性谈判文件的组成</w:t>
      </w:r>
      <w:bookmarkEnd w:id="44"/>
      <w:bookmarkEnd w:id="45"/>
    </w:p>
    <w:p>
      <w:pPr>
        <w:spacing w:line="400" w:lineRule="exact"/>
        <w:rPr>
          <w:highlight w:val="none"/>
        </w:rPr>
      </w:pPr>
      <w:r>
        <w:rPr>
          <w:rFonts w:hint="eastAsia"/>
          <w:highlight w:val="none"/>
        </w:rPr>
        <w:t>　　2.1.1 本竞争性谈判文件一般由以下部分组成：</w:t>
      </w:r>
    </w:p>
    <w:p>
      <w:pPr>
        <w:spacing w:line="400" w:lineRule="exact"/>
        <w:ind w:firstLine="567" w:firstLineChars="270"/>
        <w:rPr>
          <w:highlight w:val="none"/>
        </w:rPr>
      </w:pPr>
      <w:r>
        <w:rPr>
          <w:rFonts w:hint="eastAsia"/>
          <w:highlight w:val="none"/>
        </w:rPr>
        <w:t>第一章 竞争性谈判公告</w:t>
      </w:r>
    </w:p>
    <w:p>
      <w:pPr>
        <w:spacing w:line="400" w:lineRule="exact"/>
        <w:ind w:firstLine="567" w:firstLineChars="270"/>
        <w:rPr>
          <w:highlight w:val="none"/>
        </w:rPr>
      </w:pPr>
      <w:r>
        <w:rPr>
          <w:rFonts w:hint="eastAsia"/>
          <w:highlight w:val="none"/>
        </w:rPr>
        <w:t>第二章 竞争性谈判响应须知</w:t>
      </w:r>
    </w:p>
    <w:p>
      <w:pPr>
        <w:spacing w:line="400" w:lineRule="exact"/>
        <w:ind w:firstLine="567" w:firstLineChars="270"/>
        <w:rPr>
          <w:highlight w:val="none"/>
        </w:rPr>
      </w:pPr>
      <w:r>
        <w:rPr>
          <w:rFonts w:hint="eastAsia"/>
          <w:highlight w:val="none"/>
        </w:rPr>
        <w:t>第三章 评审办法</w:t>
      </w:r>
    </w:p>
    <w:p>
      <w:pPr>
        <w:spacing w:line="400" w:lineRule="exact"/>
        <w:ind w:firstLine="567" w:firstLineChars="270"/>
        <w:rPr>
          <w:highlight w:val="none"/>
        </w:rPr>
      </w:pPr>
      <w:r>
        <w:rPr>
          <w:rFonts w:hint="eastAsia"/>
          <w:highlight w:val="none"/>
        </w:rPr>
        <w:t>第四章 用户需求书(服务类/货物类)；技术规范书、工程量清单、图纸（施工类）；</w:t>
      </w:r>
    </w:p>
    <w:p>
      <w:pPr>
        <w:spacing w:line="400" w:lineRule="exact"/>
        <w:ind w:firstLine="567" w:firstLineChars="270"/>
        <w:rPr>
          <w:highlight w:val="none"/>
        </w:rPr>
      </w:pPr>
      <w:r>
        <w:rPr>
          <w:rFonts w:hint="eastAsia"/>
          <w:highlight w:val="none"/>
        </w:rPr>
        <w:t>第五章 响应文件格式</w:t>
      </w:r>
    </w:p>
    <w:p>
      <w:pPr>
        <w:spacing w:line="400" w:lineRule="exact"/>
        <w:ind w:firstLine="567" w:firstLineChars="270"/>
        <w:rPr>
          <w:highlight w:val="none"/>
        </w:rPr>
      </w:pPr>
      <w:r>
        <w:rPr>
          <w:rFonts w:hint="eastAsia"/>
          <w:highlight w:val="none"/>
        </w:rPr>
        <w:t>采购人另有要求的，见竞争性谈判响应须知前附表。</w:t>
      </w:r>
    </w:p>
    <w:p>
      <w:pPr>
        <w:spacing w:line="400" w:lineRule="exact"/>
        <w:ind w:firstLine="567" w:firstLineChars="270"/>
        <w:rPr>
          <w:highlight w:val="none"/>
        </w:rPr>
      </w:pPr>
      <w:r>
        <w:rPr>
          <w:rFonts w:hint="eastAsia" w:ascii="宋体" w:hAnsi="宋体" w:cs="宋体"/>
          <w:szCs w:val="21"/>
          <w:highlight w:val="none"/>
        </w:rPr>
        <w:t>根据本章第2.2款对竞争性谈判文件所作的澄清、修改，构成竞争性谈判文件的组成部分。</w:t>
      </w:r>
    </w:p>
    <w:p>
      <w:pPr>
        <w:spacing w:line="400" w:lineRule="exact"/>
        <w:ind w:firstLine="420" w:firstLineChars="200"/>
        <w:rPr>
          <w:highlight w:val="none"/>
        </w:rPr>
      </w:pPr>
      <w:r>
        <w:rPr>
          <w:rFonts w:hint="eastAsia"/>
          <w:highlight w:val="none"/>
        </w:rPr>
        <w:t>2.1.2竞争性谈判文件对同一内容的表述应当一致。第一章 “竞争性谈判公告”与竞争性谈判文件在同一内容的表述上有矛盾或冲突时，以第一章 “竞争性谈判公告”为准；竞争性谈判响应须知前附表与正文在同一内容的表述上有矛盾或冲突时，以竞争性谈判响应须知前附表为准。</w:t>
      </w:r>
    </w:p>
    <w:p>
      <w:pPr>
        <w:spacing w:line="400" w:lineRule="exact"/>
        <w:ind w:firstLine="420" w:firstLineChars="200"/>
        <w:rPr>
          <w:highlight w:val="none"/>
        </w:rPr>
      </w:pPr>
      <w:r>
        <w:rPr>
          <w:rFonts w:hint="eastAsia"/>
          <w:highlight w:val="none"/>
        </w:rPr>
        <w:t>2.1.3</w:t>
      </w:r>
      <w:r>
        <w:rPr>
          <w:rFonts w:hint="eastAsia" w:ascii="宋体" w:hAnsi="宋体" w:cs="宋体"/>
          <w:b/>
          <w:szCs w:val="21"/>
          <w:highlight w:val="none"/>
        </w:rPr>
        <w:t>竞争性谈判文件中标识“</w:t>
      </w:r>
      <w:r>
        <w:rPr>
          <w:rFonts w:eastAsia="黑体"/>
          <w:b/>
          <w:sz w:val="32"/>
          <w:szCs w:val="32"/>
          <w:highlight w:val="none"/>
        </w:rPr>
        <w:sym w:font="Wingdings" w:char="00AB"/>
      </w:r>
      <w:r>
        <w:rPr>
          <w:rFonts w:hint="eastAsia" w:ascii="宋体" w:hAnsi="宋体" w:cs="宋体"/>
          <w:b/>
          <w:szCs w:val="21"/>
          <w:highlight w:val="none"/>
        </w:rPr>
        <w:t>”的条款，均为实质性条款，任何不满足实质性条款的谈判将被否决</w:t>
      </w:r>
      <w:r>
        <w:rPr>
          <w:rFonts w:hint="eastAsia"/>
          <w:b/>
          <w:highlight w:val="none"/>
        </w:rPr>
        <w:t>；</w:t>
      </w:r>
      <w:r>
        <w:rPr>
          <w:rFonts w:hint="eastAsia"/>
          <w:highlight w:val="none"/>
        </w:rPr>
        <w:t>对于非实质性要求和条件，</w:t>
      </w:r>
      <w:r>
        <w:rPr>
          <w:rFonts w:hint="eastAsia" w:ascii="宋体" w:hAnsi="宋体" w:cs="宋体"/>
          <w:szCs w:val="21"/>
          <w:highlight w:val="none"/>
        </w:rPr>
        <w:t>偏离应当符合采购文件规定的偏离范围和幅度</w:t>
      </w:r>
      <w:r>
        <w:rPr>
          <w:rFonts w:hint="eastAsia"/>
          <w:highlight w:val="none"/>
        </w:rPr>
        <w:t>。</w:t>
      </w:r>
    </w:p>
    <w:p>
      <w:pPr>
        <w:spacing w:line="400" w:lineRule="exact"/>
        <w:rPr>
          <w:rFonts w:ascii="宋体" w:hAnsi="宋体"/>
          <w:b/>
          <w:sz w:val="32"/>
          <w:szCs w:val="32"/>
          <w:highlight w:val="none"/>
        </w:rPr>
      </w:pPr>
      <w:bookmarkStart w:id="46" w:name="_Toc475552138"/>
      <w:bookmarkStart w:id="47" w:name="_Toc456551894"/>
      <w:r>
        <w:rPr>
          <w:rFonts w:hint="eastAsia" w:ascii="宋体" w:hAnsi="宋体"/>
          <w:b/>
          <w:sz w:val="32"/>
          <w:szCs w:val="32"/>
          <w:highlight w:val="none"/>
        </w:rPr>
        <w:t>2.2 竞争性谈判文件的澄清和修改</w:t>
      </w:r>
      <w:bookmarkEnd w:id="46"/>
      <w:bookmarkEnd w:id="47"/>
    </w:p>
    <w:p>
      <w:pPr>
        <w:spacing w:line="400" w:lineRule="exact"/>
        <w:ind w:firstLine="420" w:firstLineChars="200"/>
        <w:rPr>
          <w:highlight w:val="none"/>
        </w:rPr>
      </w:pPr>
      <w:r>
        <w:rPr>
          <w:rFonts w:hint="eastAsia"/>
          <w:highlight w:val="none"/>
        </w:rPr>
        <w:t>2.2.1响应人对竞争性谈判文件有任何疑问的，应当按照竞争性谈判响应须知前附表规定的时间和方式，向采购人提出澄清要求。</w:t>
      </w:r>
    </w:p>
    <w:p>
      <w:pPr>
        <w:spacing w:line="400" w:lineRule="exact"/>
        <w:ind w:firstLine="420" w:firstLineChars="200"/>
        <w:rPr>
          <w:highlight w:val="none"/>
        </w:rPr>
      </w:pPr>
      <w:r>
        <w:rPr>
          <w:rFonts w:hint="eastAsia"/>
          <w:highlight w:val="none"/>
        </w:rPr>
        <w:t>2.2.2</w:t>
      </w:r>
      <w:r>
        <w:rPr>
          <w:rFonts w:hint="eastAsia" w:ascii="宋体" w:hAnsi="宋体" w:cs="宋体"/>
          <w:szCs w:val="21"/>
          <w:highlight w:val="none"/>
        </w:rPr>
        <w:t>无论是采购人根据需要主动对竞争性谈判文件进行必要的澄清，或是根据响应人的要求对竞争性谈判文件做出澄清，</w:t>
      </w:r>
      <w:r>
        <w:rPr>
          <w:rFonts w:hint="eastAsia"/>
          <w:highlight w:val="none"/>
        </w:rPr>
        <w:t>采购人都应当按照竞争性谈判响应须知前附表规定的时间和方式，将澄清或修改内容发给所有潜在竞争性谈判响应人，但不指明问题的来源。</w:t>
      </w:r>
    </w:p>
    <w:p>
      <w:pPr>
        <w:spacing w:line="400" w:lineRule="exact"/>
        <w:ind w:firstLine="420" w:firstLineChars="200"/>
        <w:rPr>
          <w:highlight w:val="none"/>
        </w:rPr>
      </w:pPr>
      <w:r>
        <w:rPr>
          <w:rFonts w:hint="eastAsia"/>
          <w:highlight w:val="none"/>
        </w:rPr>
        <w:t>2.2.3如澄清或修改的内容可能影响响应文件编制的，应当在递交响应文件截止时间至少3日前发出，不足3日的，采购人应相应顺延递交响应文件的截止时间。</w:t>
      </w:r>
    </w:p>
    <w:p>
      <w:pPr>
        <w:spacing w:line="400" w:lineRule="exact"/>
        <w:ind w:firstLine="420" w:firstLineChars="200"/>
        <w:rPr>
          <w:highlight w:val="none"/>
        </w:rPr>
      </w:pPr>
      <w:r>
        <w:rPr>
          <w:rFonts w:hint="eastAsia"/>
          <w:highlight w:val="none"/>
        </w:rPr>
        <w:t>2.2.4所有关于竞争性谈判文件的澄清和修改均作为竞争性谈判文件的补充部分。当竞争性谈判文件、竞争性谈判文件的澄清或修改等在同一内容的表述上不一致时，以最后发出的书面文件为准。</w:t>
      </w:r>
    </w:p>
    <w:p>
      <w:pPr>
        <w:spacing w:line="400" w:lineRule="exact"/>
        <w:ind w:firstLine="420" w:firstLineChars="200"/>
        <w:rPr>
          <w:highlight w:val="none"/>
        </w:rPr>
      </w:pPr>
      <w:r>
        <w:rPr>
          <w:rFonts w:hint="eastAsia"/>
          <w:highlight w:val="none"/>
        </w:rPr>
        <w:t>2.2.5</w:t>
      </w:r>
      <w:r>
        <w:rPr>
          <w:rFonts w:hint="eastAsia" w:ascii="宋体" w:hAnsi="宋体" w:cs="宋体"/>
          <w:szCs w:val="21"/>
          <w:highlight w:val="none"/>
        </w:rPr>
        <w:t>响应人对采购人提供的竞争性谈判文件所作出的推论、解释和结论，采购人概不负责；响应人由于对竞争性谈判文件的任何推论和误解以及采购人对有关问题的口头解释所造成的后果，均由响应人自行负责。</w:t>
      </w:r>
    </w:p>
    <w:p>
      <w:pPr>
        <w:spacing w:line="400" w:lineRule="exact"/>
        <w:ind w:firstLine="420" w:firstLineChars="200"/>
        <w:rPr>
          <w:highlight w:val="none"/>
        </w:rPr>
      </w:pPr>
    </w:p>
    <w:p>
      <w:pPr>
        <w:pStyle w:val="3"/>
        <w:rPr>
          <w:rFonts w:ascii="黑体" w:hAnsi="黑体"/>
          <w:highlight w:val="none"/>
        </w:rPr>
      </w:pPr>
      <w:bookmarkStart w:id="48" w:name="_Toc456551895"/>
      <w:bookmarkStart w:id="49" w:name="_Toc9115"/>
      <w:bookmarkStart w:id="50" w:name="_Toc408"/>
      <w:r>
        <w:rPr>
          <w:rFonts w:hint="eastAsia" w:ascii="黑体" w:hAnsi="黑体"/>
          <w:highlight w:val="none"/>
        </w:rPr>
        <w:t>3. 响应文件</w:t>
      </w:r>
      <w:bookmarkEnd w:id="48"/>
      <w:bookmarkEnd w:id="49"/>
      <w:bookmarkEnd w:id="50"/>
    </w:p>
    <w:p>
      <w:pPr>
        <w:spacing w:line="400" w:lineRule="exact"/>
        <w:rPr>
          <w:rFonts w:ascii="宋体" w:hAnsi="宋体"/>
          <w:b/>
          <w:sz w:val="32"/>
          <w:szCs w:val="32"/>
          <w:highlight w:val="none"/>
        </w:rPr>
      </w:pPr>
      <w:bookmarkStart w:id="51" w:name="_Toc456551896"/>
      <w:bookmarkStart w:id="52" w:name="_Toc475552140"/>
      <w:r>
        <w:rPr>
          <w:rFonts w:hint="eastAsia" w:ascii="宋体" w:hAnsi="宋体"/>
          <w:b/>
          <w:sz w:val="32"/>
          <w:szCs w:val="32"/>
          <w:highlight w:val="none"/>
        </w:rPr>
        <w:t>3.1 响应文件的组成</w:t>
      </w:r>
      <w:bookmarkEnd w:id="51"/>
      <w:bookmarkEnd w:id="52"/>
    </w:p>
    <w:p>
      <w:pPr>
        <w:spacing w:line="400" w:lineRule="exact"/>
        <w:ind w:firstLine="359" w:firstLineChars="171"/>
        <w:rPr>
          <w:rFonts w:ascii="宋体" w:hAnsi="宋体" w:cs="宋体"/>
          <w:szCs w:val="21"/>
          <w:highlight w:val="none"/>
        </w:rPr>
      </w:pPr>
      <w:r>
        <w:rPr>
          <w:rFonts w:hint="eastAsia" w:ascii="宋体" w:hAnsi="宋体" w:cs="宋体"/>
          <w:szCs w:val="21"/>
          <w:highlight w:val="none"/>
        </w:rPr>
        <w:t>响应人应当按照竞争性谈判文件的要求编制并提交响应文件。</w:t>
      </w:r>
    </w:p>
    <w:p>
      <w:pPr>
        <w:spacing w:line="400" w:lineRule="exact"/>
        <w:rPr>
          <w:rFonts w:ascii="宋体" w:hAnsi="宋体"/>
          <w:b/>
          <w:sz w:val="32"/>
          <w:szCs w:val="32"/>
          <w:highlight w:val="none"/>
        </w:rPr>
      </w:pPr>
      <w:bookmarkStart w:id="53" w:name="_Toc456551897"/>
      <w:bookmarkStart w:id="54" w:name="_Toc475552141"/>
      <w:r>
        <w:rPr>
          <w:rFonts w:hint="eastAsia" w:ascii="宋体" w:hAnsi="宋体"/>
          <w:b/>
          <w:sz w:val="32"/>
          <w:szCs w:val="32"/>
          <w:highlight w:val="none"/>
        </w:rPr>
        <w:t>3.2响应文件的编制</w:t>
      </w:r>
      <w:bookmarkEnd w:id="53"/>
      <w:bookmarkEnd w:id="54"/>
    </w:p>
    <w:p>
      <w:pPr>
        <w:spacing w:line="400" w:lineRule="exact"/>
        <w:ind w:firstLine="420" w:firstLineChars="200"/>
        <w:rPr>
          <w:szCs w:val="21"/>
          <w:highlight w:val="none"/>
        </w:rPr>
      </w:pPr>
      <w:r>
        <w:rPr>
          <w:rFonts w:hint="eastAsia"/>
          <w:szCs w:val="21"/>
          <w:highlight w:val="none"/>
        </w:rPr>
        <w:t>3.2.1响应人应当按照竞争性谈判文件的要求编制响应文件，响应文件应当对竞争性谈判文件提出的实质性要求和条件作出响应。</w:t>
      </w:r>
      <w:r>
        <w:rPr>
          <w:szCs w:val="21"/>
          <w:highlight w:val="none"/>
        </w:rPr>
        <w:t xml:space="preserve"> </w:t>
      </w:r>
    </w:p>
    <w:p>
      <w:pPr>
        <w:spacing w:line="400" w:lineRule="exact"/>
        <w:ind w:firstLine="420" w:firstLineChars="200"/>
        <w:rPr>
          <w:szCs w:val="21"/>
          <w:highlight w:val="none"/>
        </w:rPr>
      </w:pPr>
      <w:r>
        <w:rPr>
          <w:rFonts w:hint="eastAsia"/>
          <w:szCs w:val="21"/>
          <w:highlight w:val="none"/>
        </w:rPr>
        <w:t>3.2.2</w:t>
      </w:r>
      <w:r>
        <w:rPr>
          <w:rFonts w:hint="eastAsia" w:ascii="宋体" w:hAnsi="宋体" w:cs="宋体"/>
          <w:szCs w:val="21"/>
          <w:highlight w:val="none"/>
        </w:rPr>
        <w:t>响应人应认真阅读竞争性谈判文件中所有的事项、格式、条款和技术规范等。响应人没有按照竞争性谈判文件要求递交全部资料，或者响应人没有对竞争性谈判文件的所有实质性要求作出全面响应是采购人的风险，并可能导致其竞争性谈判被否决。响应文件响应和编写的具体要求见竞争性谈判响应须知前附表。</w:t>
      </w:r>
    </w:p>
    <w:p>
      <w:pPr>
        <w:spacing w:line="400" w:lineRule="exact"/>
        <w:ind w:firstLine="420" w:firstLineChars="200"/>
        <w:rPr>
          <w:szCs w:val="21"/>
          <w:highlight w:val="none"/>
        </w:rPr>
      </w:pPr>
      <w:r>
        <w:rPr>
          <w:rFonts w:hint="eastAsia"/>
          <w:szCs w:val="21"/>
          <w:highlight w:val="none"/>
        </w:rPr>
        <w:t>3.2.3响应人提交的响应文件以及响应人与采购人就有关竞争性谈判的所有往来函电均应使用中文。响应人提交的证明文件和印刷的文献如使用其他语言的，相应内容应译成中文，在解释响应文件时以中文译本为准。</w:t>
      </w:r>
    </w:p>
    <w:p>
      <w:pPr>
        <w:spacing w:line="400" w:lineRule="exact"/>
        <w:ind w:firstLine="420" w:firstLineChars="200"/>
        <w:rPr>
          <w:szCs w:val="21"/>
          <w:highlight w:val="none"/>
        </w:rPr>
      </w:pPr>
      <w:r>
        <w:rPr>
          <w:rFonts w:hint="eastAsia"/>
          <w:szCs w:val="21"/>
          <w:highlight w:val="none"/>
        </w:rPr>
        <w:t>3.2.4响应文件应当使用不褪色的材料书写或打印，并盖单位公章。委托代理人签字的，响应文件应附法定代表人签署的授权委托书。响应文件应尽量避免涂改、行间插字或删除。如果出现上述情况，改动之处应加盖单位公章或由响应人的法定代表人或其委托代理人签字确认。响应文件盖章或者签字另有要求的，见竞争性谈判响应须知前附表。</w:t>
      </w:r>
    </w:p>
    <w:p>
      <w:pPr>
        <w:spacing w:line="400" w:lineRule="exact"/>
        <w:rPr>
          <w:rFonts w:ascii="宋体" w:hAnsi="宋体"/>
          <w:b/>
          <w:sz w:val="32"/>
          <w:szCs w:val="32"/>
          <w:highlight w:val="none"/>
        </w:rPr>
      </w:pPr>
      <w:bookmarkStart w:id="55" w:name="_Toc475552142"/>
      <w:bookmarkStart w:id="56" w:name="_Toc456551898"/>
      <w:r>
        <w:rPr>
          <w:rFonts w:hint="eastAsia" w:ascii="宋体" w:hAnsi="宋体"/>
          <w:b/>
          <w:sz w:val="32"/>
          <w:szCs w:val="32"/>
          <w:highlight w:val="none"/>
        </w:rPr>
        <w:t>3.3 竞争性谈判报价</w:t>
      </w:r>
      <w:bookmarkEnd w:id="55"/>
      <w:bookmarkEnd w:id="56"/>
    </w:p>
    <w:p>
      <w:pPr>
        <w:spacing w:line="400" w:lineRule="exact"/>
        <w:ind w:firstLine="420" w:firstLineChars="200"/>
        <w:rPr>
          <w:highlight w:val="none"/>
        </w:rPr>
      </w:pPr>
      <w:r>
        <w:rPr>
          <w:rFonts w:hint="eastAsia"/>
          <w:highlight w:val="none"/>
        </w:rPr>
        <w:t>3.3.1</w:t>
      </w:r>
      <w:r>
        <w:rPr>
          <w:rFonts w:hint="eastAsia"/>
          <w:bCs/>
          <w:highlight w:val="none"/>
        </w:rPr>
        <w:t>竞争性谈判报价的具体要求见竞争性谈判响应须知前附表</w:t>
      </w:r>
      <w:r>
        <w:rPr>
          <w:rFonts w:hint="eastAsia" w:ascii="宋体" w:hAnsi="宋体"/>
          <w:szCs w:val="21"/>
          <w:highlight w:val="none"/>
        </w:rPr>
        <w:t>。</w:t>
      </w:r>
    </w:p>
    <w:p>
      <w:pPr>
        <w:spacing w:line="400" w:lineRule="exact"/>
        <w:ind w:firstLine="420" w:firstLineChars="200"/>
        <w:rPr>
          <w:highlight w:val="none"/>
        </w:rPr>
      </w:pPr>
      <w:r>
        <w:rPr>
          <w:rFonts w:hint="eastAsia"/>
          <w:highlight w:val="none"/>
        </w:rPr>
        <w:t>3.3.2竞争性谈判货币：人民币</w:t>
      </w:r>
      <w:r>
        <w:rPr>
          <w:rFonts w:hint="eastAsia" w:ascii="宋体" w:hAnsi="宋体"/>
          <w:szCs w:val="21"/>
          <w:highlight w:val="none"/>
        </w:rPr>
        <w:t>。响应文件中如出现其他币种，一律以唱标当天中国人民银行公布的汇率折算为人民币。</w:t>
      </w:r>
    </w:p>
    <w:p>
      <w:pPr>
        <w:spacing w:line="400" w:lineRule="exact"/>
        <w:ind w:firstLine="420" w:firstLineChars="200"/>
        <w:rPr>
          <w:highlight w:val="none"/>
        </w:rPr>
      </w:pPr>
      <w:r>
        <w:rPr>
          <w:rFonts w:hint="eastAsia"/>
          <w:highlight w:val="none"/>
        </w:rPr>
        <w:t xml:space="preserve">3.3.3 </w:t>
      </w:r>
      <w:r>
        <w:rPr>
          <w:rFonts w:hint="eastAsia"/>
          <w:b/>
          <w:highlight w:val="none"/>
        </w:rPr>
        <w:t>采购人设有最高谈判限价的，响应人的竞争性谈判报价不得超过最高限价，否则其谈判将被否决。</w:t>
      </w:r>
      <w:r>
        <w:rPr>
          <w:rFonts w:hint="eastAsia"/>
          <w:highlight w:val="none"/>
        </w:rPr>
        <w:t>最高竞争性谈判限价或其计算方法见竞争性谈判响应须知前附表。</w:t>
      </w:r>
    </w:p>
    <w:p>
      <w:pPr>
        <w:spacing w:line="400" w:lineRule="exact"/>
        <w:ind w:firstLine="420" w:firstLineChars="200"/>
        <w:rPr>
          <w:highlight w:val="none"/>
        </w:rPr>
      </w:pPr>
      <w:r>
        <w:rPr>
          <w:rFonts w:hint="eastAsia"/>
          <w:highlight w:val="none"/>
        </w:rPr>
        <w:t>3.3.4 采购人不接受响应人的任何低于成本报价的不正当竞争方式。</w:t>
      </w:r>
    </w:p>
    <w:p>
      <w:pPr>
        <w:spacing w:line="400" w:lineRule="exact"/>
        <w:rPr>
          <w:rFonts w:ascii="宋体" w:hAnsi="宋体"/>
          <w:b/>
          <w:sz w:val="32"/>
          <w:szCs w:val="32"/>
          <w:highlight w:val="none"/>
        </w:rPr>
      </w:pPr>
      <w:bookmarkStart w:id="57" w:name="_Toc456551899"/>
      <w:bookmarkStart w:id="58" w:name="_Toc475552143"/>
      <w:r>
        <w:rPr>
          <w:rFonts w:hint="eastAsia" w:ascii="宋体" w:hAnsi="宋体"/>
          <w:b/>
          <w:sz w:val="32"/>
          <w:szCs w:val="32"/>
          <w:highlight w:val="none"/>
        </w:rPr>
        <w:t>3.4 竞争性谈判有效期</w:t>
      </w:r>
      <w:bookmarkEnd w:id="57"/>
      <w:bookmarkEnd w:id="58"/>
    </w:p>
    <w:p>
      <w:pPr>
        <w:spacing w:line="400" w:lineRule="exact"/>
        <w:ind w:firstLine="420" w:firstLineChars="200"/>
        <w:rPr>
          <w:highlight w:val="none"/>
        </w:rPr>
      </w:pPr>
      <w:r>
        <w:rPr>
          <w:rFonts w:hint="eastAsia"/>
          <w:highlight w:val="none"/>
        </w:rPr>
        <w:t>3.4.1谈判有效期从递交响应文件截止日起计算，竞争性谈判有效期的具体时间见竞争性谈判响应须知前附表，在此期间，响应人不得要求撤销或修改其响应文件。</w:t>
      </w:r>
      <w:r>
        <w:rPr>
          <w:rFonts w:hint="eastAsia"/>
          <w:b/>
          <w:highlight w:val="none"/>
        </w:rPr>
        <w:t>谈判有效期不满足竞争性谈判文件要求的谈判将被否决。</w:t>
      </w:r>
    </w:p>
    <w:p>
      <w:pPr>
        <w:spacing w:line="400" w:lineRule="exact"/>
        <w:ind w:firstLine="420" w:firstLineChars="200"/>
        <w:rPr>
          <w:highlight w:val="none"/>
        </w:rPr>
      </w:pPr>
      <w:r>
        <w:rPr>
          <w:rFonts w:hint="eastAsia"/>
          <w:highlight w:val="none"/>
        </w:rPr>
        <w:t>3.4.2</w:t>
      </w:r>
      <w:r>
        <w:rPr>
          <w:rFonts w:hint="eastAsia" w:ascii="宋体" w:hAnsi="宋体" w:cs="宋体"/>
          <w:szCs w:val="21"/>
          <w:highlight w:val="none"/>
        </w:rPr>
        <w:t>出现特殊情况需要延长谈判有效期的，采购人以书面形式通知所有响应人延长竞争性谈判有效期。响应人同意延长的，应相应延长其竞争性谈判保证金的有效期，但不得要求或被允许修改或撤销其响应文件；响应人拒绝延长的，其响应失效，但响应人有权收回其响应保证金。</w:t>
      </w:r>
    </w:p>
    <w:p>
      <w:pPr>
        <w:spacing w:line="400" w:lineRule="exact"/>
        <w:rPr>
          <w:rFonts w:ascii="宋体" w:hAnsi="宋体"/>
          <w:b/>
          <w:sz w:val="32"/>
          <w:szCs w:val="32"/>
          <w:highlight w:val="none"/>
        </w:rPr>
      </w:pPr>
      <w:bookmarkStart w:id="59" w:name="_Toc456551900"/>
      <w:bookmarkStart w:id="60" w:name="_Toc475552144"/>
      <w:r>
        <w:rPr>
          <w:rFonts w:hint="eastAsia" w:ascii="宋体" w:hAnsi="宋体"/>
          <w:b/>
          <w:sz w:val="32"/>
          <w:szCs w:val="32"/>
          <w:highlight w:val="none"/>
        </w:rPr>
        <w:t>3.5 竞争性谈判保证金</w:t>
      </w:r>
      <w:bookmarkEnd w:id="59"/>
      <w:bookmarkEnd w:id="60"/>
    </w:p>
    <w:p>
      <w:pPr>
        <w:spacing w:line="400" w:lineRule="exact"/>
        <w:ind w:firstLine="420" w:firstLineChars="200"/>
        <w:rPr>
          <w:highlight w:val="none"/>
        </w:rPr>
      </w:pPr>
      <w:r>
        <w:rPr>
          <w:rFonts w:hint="eastAsia"/>
          <w:highlight w:val="none"/>
        </w:rPr>
        <w:t>3.5.1 采购人要求响应人提交竞争性谈判保证金的，响应人必须在提交响应文件的同时，按照竞争性谈判响应须知前附表的规定提交竞争性谈判保证金。</w:t>
      </w:r>
    </w:p>
    <w:p>
      <w:pPr>
        <w:spacing w:line="400" w:lineRule="exact"/>
        <w:ind w:firstLine="420" w:firstLineChars="200"/>
        <w:rPr>
          <w:highlight w:val="none"/>
        </w:rPr>
      </w:pPr>
      <w:r>
        <w:rPr>
          <w:rFonts w:hint="eastAsia"/>
          <w:highlight w:val="none"/>
        </w:rPr>
        <w:t>3.5.2 采购人可以规定竞争性谈判保证金是以现金、支票、银行汇票、中国注册的银行出具的银行保函等方式递交。竞争性谈判保证金的形式见竞争性谈判响应须知前附表。</w:t>
      </w:r>
    </w:p>
    <w:p>
      <w:pPr>
        <w:spacing w:line="400" w:lineRule="exact"/>
        <w:ind w:firstLine="420" w:firstLineChars="200"/>
        <w:rPr>
          <w:highlight w:val="none"/>
        </w:rPr>
      </w:pPr>
      <w:r>
        <w:rPr>
          <w:rFonts w:hint="eastAsia"/>
          <w:highlight w:val="none"/>
        </w:rPr>
        <w:t>3.5.3 采购人应当在项目书面合同签订后5日内向成交人和未成交的响应人无息退还竞争性谈判保证金，退还至响应人原转出账户。</w:t>
      </w:r>
    </w:p>
    <w:p>
      <w:pPr>
        <w:spacing w:line="400" w:lineRule="exact"/>
        <w:ind w:firstLine="420" w:firstLineChars="200"/>
        <w:rPr>
          <w:highlight w:val="none"/>
        </w:rPr>
      </w:pPr>
      <w:r>
        <w:rPr>
          <w:rFonts w:hint="eastAsia"/>
          <w:highlight w:val="none"/>
        </w:rPr>
        <w:t xml:space="preserve">3.5.4 有下列情形之一的，竞争性谈判保证金可不予退还： </w:t>
      </w:r>
    </w:p>
    <w:p>
      <w:pPr>
        <w:spacing w:line="400" w:lineRule="exact"/>
        <w:ind w:firstLine="718" w:firstLineChars="342"/>
        <w:rPr>
          <w:highlight w:val="none"/>
        </w:rPr>
      </w:pPr>
      <w:r>
        <w:rPr>
          <w:rFonts w:hint="eastAsia"/>
          <w:highlight w:val="none"/>
        </w:rPr>
        <w:t>（1）</w:t>
      </w:r>
      <w:r>
        <w:rPr>
          <w:rFonts w:hint="eastAsia"/>
          <w:szCs w:val="18"/>
          <w:highlight w:val="none"/>
        </w:rPr>
        <w:t>响应人在规定的竞争性谈判有效期内撤销或修改其响应文件的；</w:t>
      </w:r>
    </w:p>
    <w:p>
      <w:pPr>
        <w:spacing w:line="400" w:lineRule="exact"/>
        <w:ind w:firstLine="718" w:firstLineChars="342"/>
        <w:rPr>
          <w:szCs w:val="18"/>
          <w:highlight w:val="none"/>
        </w:rPr>
      </w:pPr>
      <w:r>
        <w:rPr>
          <w:rFonts w:hint="eastAsia"/>
          <w:szCs w:val="18"/>
          <w:highlight w:val="none"/>
        </w:rPr>
        <w:t>（2）成交人未能在规定期限内提交履约担保或签订合同协议的；</w:t>
      </w:r>
    </w:p>
    <w:p>
      <w:pPr>
        <w:spacing w:line="400" w:lineRule="exact"/>
        <w:ind w:firstLine="718" w:firstLineChars="342"/>
        <w:rPr>
          <w:szCs w:val="18"/>
          <w:highlight w:val="none"/>
        </w:rPr>
      </w:pPr>
      <w:r>
        <w:rPr>
          <w:rFonts w:hint="eastAsia"/>
          <w:szCs w:val="18"/>
          <w:highlight w:val="none"/>
        </w:rPr>
        <w:t>（3）响应人有串通竞争性谈判、弄虚作假等行为的；</w:t>
      </w:r>
    </w:p>
    <w:p>
      <w:pPr>
        <w:spacing w:line="400" w:lineRule="exact"/>
        <w:ind w:firstLine="718" w:firstLineChars="342"/>
        <w:rPr>
          <w:szCs w:val="18"/>
          <w:highlight w:val="none"/>
        </w:rPr>
      </w:pPr>
      <w:r>
        <w:rPr>
          <w:rFonts w:hint="eastAsia"/>
          <w:szCs w:val="18"/>
          <w:highlight w:val="none"/>
        </w:rPr>
        <w:t>（4）响应人以他人名义响应、与他人串通响应、以行贿手段谋取成交、弄虚作假等行为。</w:t>
      </w:r>
    </w:p>
    <w:p>
      <w:pPr>
        <w:spacing w:line="400" w:lineRule="exact"/>
        <w:ind w:firstLine="718" w:firstLineChars="342"/>
        <w:rPr>
          <w:szCs w:val="18"/>
          <w:highlight w:val="none"/>
        </w:rPr>
      </w:pPr>
      <w:r>
        <w:rPr>
          <w:rFonts w:hint="eastAsia"/>
          <w:szCs w:val="18"/>
          <w:highlight w:val="none"/>
        </w:rPr>
        <w:t>（5）成交人提交虚假资料或无效资料成交，影响成交结果的。</w:t>
      </w:r>
    </w:p>
    <w:p>
      <w:pPr>
        <w:spacing w:line="400" w:lineRule="exact"/>
        <w:ind w:firstLine="718" w:firstLineChars="342"/>
        <w:rPr>
          <w:szCs w:val="18"/>
          <w:highlight w:val="none"/>
        </w:rPr>
      </w:pPr>
      <w:r>
        <w:rPr>
          <w:rFonts w:hint="eastAsia"/>
          <w:szCs w:val="18"/>
          <w:highlight w:val="none"/>
        </w:rPr>
        <w:t>（7）成交人无正当理由拒绝提交相关证件原件核对的。</w:t>
      </w:r>
    </w:p>
    <w:p>
      <w:pPr>
        <w:spacing w:line="400" w:lineRule="exact"/>
        <w:ind w:firstLine="718" w:firstLineChars="342"/>
        <w:rPr>
          <w:szCs w:val="18"/>
          <w:highlight w:val="none"/>
        </w:rPr>
      </w:pPr>
      <w:r>
        <w:rPr>
          <w:rFonts w:hint="eastAsia"/>
          <w:szCs w:val="18"/>
          <w:highlight w:val="none"/>
        </w:rPr>
        <w:t>（8）成交人将本项目转让给他人，或者在响应文件中未说明，且未经采购人同意，将成交项目分包给他人的；</w:t>
      </w:r>
    </w:p>
    <w:p>
      <w:pPr>
        <w:spacing w:line="400" w:lineRule="exact"/>
        <w:ind w:firstLine="718" w:firstLineChars="342"/>
        <w:rPr>
          <w:szCs w:val="18"/>
          <w:highlight w:val="none"/>
        </w:rPr>
      </w:pPr>
      <w:r>
        <w:rPr>
          <w:rFonts w:hint="eastAsia"/>
          <w:szCs w:val="18"/>
          <w:highlight w:val="none"/>
        </w:rPr>
        <w:t>（9）其他规定见竞争性谈判响应须知前附表。</w:t>
      </w:r>
    </w:p>
    <w:p>
      <w:pPr>
        <w:spacing w:line="400" w:lineRule="exact"/>
        <w:ind w:firstLine="422" w:firstLineChars="200"/>
        <w:rPr>
          <w:b/>
          <w:highlight w:val="none"/>
        </w:rPr>
      </w:pPr>
      <w:r>
        <w:rPr>
          <w:rFonts w:hint="eastAsia"/>
          <w:b/>
          <w:highlight w:val="none"/>
        </w:rPr>
        <w:t>3.5.5 未按要求提交竞争性谈判保证金或提交的竞争性谈判保证金不足的竞争性谈判将被否决。</w:t>
      </w:r>
    </w:p>
    <w:p>
      <w:pPr>
        <w:spacing w:line="400" w:lineRule="exact"/>
        <w:rPr>
          <w:rFonts w:ascii="宋体" w:hAnsi="宋体"/>
          <w:b/>
          <w:sz w:val="32"/>
          <w:szCs w:val="32"/>
          <w:highlight w:val="none"/>
        </w:rPr>
      </w:pPr>
      <w:bookmarkStart w:id="61" w:name="_Toc227057904"/>
      <w:bookmarkStart w:id="62" w:name="_Toc226969298"/>
      <w:bookmarkStart w:id="63" w:name="_Toc456551902"/>
      <w:bookmarkStart w:id="64" w:name="_Toc475552146"/>
      <w:r>
        <w:rPr>
          <w:rFonts w:hint="eastAsia" w:ascii="宋体" w:hAnsi="宋体"/>
          <w:b/>
          <w:sz w:val="32"/>
          <w:szCs w:val="32"/>
          <w:highlight w:val="none"/>
        </w:rPr>
        <w:t>3.6 响应文件的式样</w:t>
      </w:r>
      <w:bookmarkEnd w:id="61"/>
      <w:bookmarkEnd w:id="62"/>
      <w:r>
        <w:rPr>
          <w:rFonts w:hint="eastAsia" w:ascii="宋体" w:hAnsi="宋体"/>
          <w:b/>
          <w:sz w:val="32"/>
          <w:szCs w:val="32"/>
          <w:highlight w:val="none"/>
        </w:rPr>
        <w:t>、密封和标记</w:t>
      </w:r>
      <w:bookmarkEnd w:id="63"/>
      <w:bookmarkEnd w:id="64"/>
    </w:p>
    <w:p>
      <w:pPr>
        <w:spacing w:line="400" w:lineRule="exact"/>
        <w:ind w:firstLine="420" w:firstLineChars="200"/>
        <w:rPr>
          <w:szCs w:val="21"/>
          <w:highlight w:val="none"/>
        </w:rPr>
      </w:pPr>
      <w:r>
        <w:rPr>
          <w:rFonts w:hint="eastAsia"/>
          <w:szCs w:val="21"/>
          <w:highlight w:val="none"/>
        </w:rPr>
        <w:t>3.6.1响应人应当编制一份响应文件“正本”和竞争性谈判响应须知前附表所述份数的“副本”，副本为正本复印件。响应文件正本和副本如有不一致之处，以正本为准。</w:t>
      </w:r>
    </w:p>
    <w:p>
      <w:pPr>
        <w:spacing w:line="400" w:lineRule="exact"/>
        <w:ind w:firstLine="420" w:firstLineChars="200"/>
        <w:rPr>
          <w:szCs w:val="21"/>
          <w:highlight w:val="none"/>
        </w:rPr>
      </w:pPr>
      <w:r>
        <w:rPr>
          <w:rFonts w:hint="eastAsia"/>
          <w:szCs w:val="21"/>
          <w:highlight w:val="none"/>
        </w:rPr>
        <w:t>3.6.2每份响应文件的正本、副本及唱标信封应当分别装订，并于封面上明确标明“正本”、“副本”和“唱标信封”字样。</w:t>
      </w:r>
      <w:r>
        <w:rPr>
          <w:rFonts w:hint="eastAsia" w:ascii="宋体" w:hAnsi="宋体"/>
          <w:szCs w:val="21"/>
          <w:highlight w:val="none"/>
        </w:rPr>
        <w:t>正本或副本应按目录顺序要求排列并牢固装订成册。不能有脱页，不能使用活页夹装订。</w:t>
      </w:r>
    </w:p>
    <w:p>
      <w:pPr>
        <w:spacing w:line="400" w:lineRule="exact"/>
        <w:ind w:firstLine="420" w:firstLineChars="200"/>
        <w:rPr>
          <w:szCs w:val="21"/>
          <w:highlight w:val="none"/>
        </w:rPr>
      </w:pPr>
      <w:r>
        <w:rPr>
          <w:rFonts w:hint="eastAsia"/>
          <w:szCs w:val="21"/>
          <w:highlight w:val="none"/>
        </w:rPr>
        <w:t>3.6.3响应文件应当按照竞争性谈判文件规定密封包装，并于封装封面上明确标明“正本”、“副本”和“唱标信封”字样。密封的所有粘接缝隙必须加盖单位章或者由响应人的法定代表人或其委托代理人签字。</w:t>
      </w:r>
    </w:p>
    <w:p>
      <w:pPr>
        <w:spacing w:line="400" w:lineRule="exact"/>
        <w:ind w:firstLine="420" w:firstLineChars="200"/>
        <w:rPr>
          <w:szCs w:val="21"/>
          <w:highlight w:val="none"/>
        </w:rPr>
      </w:pPr>
      <w:r>
        <w:rPr>
          <w:rFonts w:hint="eastAsia"/>
          <w:szCs w:val="21"/>
          <w:highlight w:val="none"/>
        </w:rPr>
        <w:t>3.6.4外层包封应当写明采购人名称和地址、项目名称、采购代理机构编号、并注明唱标时间以前不得开封。还应当写明响应人的名称与地址、联系方式，以便竞争性谈判出现逾期送达时能原封退回。</w:t>
      </w:r>
    </w:p>
    <w:p>
      <w:pPr>
        <w:spacing w:line="400" w:lineRule="exact"/>
        <w:ind w:firstLine="420" w:firstLineChars="200"/>
        <w:rPr>
          <w:szCs w:val="21"/>
          <w:highlight w:val="none"/>
        </w:rPr>
      </w:pPr>
      <w:r>
        <w:rPr>
          <w:rFonts w:hint="eastAsia"/>
          <w:szCs w:val="21"/>
          <w:highlight w:val="none"/>
        </w:rPr>
        <w:t>3.6.5提交响应文件时，采购人应当对符合竞争性谈判文件规定密封和标记的响应文件进行签收。</w:t>
      </w:r>
    </w:p>
    <w:p>
      <w:pPr>
        <w:spacing w:line="400" w:lineRule="exact"/>
        <w:ind w:firstLine="420" w:firstLineChars="200"/>
        <w:rPr>
          <w:szCs w:val="21"/>
          <w:highlight w:val="none"/>
        </w:rPr>
      </w:pPr>
      <w:r>
        <w:rPr>
          <w:rFonts w:hint="eastAsia"/>
          <w:szCs w:val="21"/>
          <w:highlight w:val="none"/>
        </w:rPr>
        <w:t>3.6.6采购人对于响应文件密封、标记另有要求的，见竞争性谈判响应须知前附表。</w:t>
      </w:r>
    </w:p>
    <w:p>
      <w:pPr>
        <w:pStyle w:val="3"/>
        <w:rPr>
          <w:rFonts w:ascii="黑体" w:hAnsi="黑体"/>
          <w:highlight w:val="none"/>
        </w:rPr>
      </w:pPr>
      <w:bookmarkStart w:id="65" w:name="_Toc456551904"/>
      <w:bookmarkStart w:id="66" w:name="_Toc25041"/>
      <w:bookmarkStart w:id="67" w:name="_Toc21215"/>
      <w:r>
        <w:rPr>
          <w:rFonts w:hint="eastAsia" w:ascii="黑体" w:hAnsi="黑体"/>
          <w:highlight w:val="none"/>
        </w:rPr>
        <w:t xml:space="preserve">4. </w:t>
      </w:r>
      <w:bookmarkEnd w:id="65"/>
      <w:r>
        <w:rPr>
          <w:rFonts w:hint="eastAsia" w:ascii="黑体" w:hAnsi="黑体"/>
          <w:highlight w:val="none"/>
        </w:rPr>
        <w:t>竞争性谈判</w:t>
      </w:r>
      <w:bookmarkEnd w:id="66"/>
      <w:bookmarkEnd w:id="67"/>
    </w:p>
    <w:p>
      <w:pPr>
        <w:spacing w:line="400" w:lineRule="exact"/>
        <w:rPr>
          <w:rFonts w:ascii="宋体" w:hAnsi="宋体"/>
          <w:b/>
          <w:sz w:val="32"/>
          <w:szCs w:val="32"/>
          <w:highlight w:val="none"/>
        </w:rPr>
      </w:pPr>
      <w:bookmarkStart w:id="68" w:name="_Toc475552148"/>
      <w:bookmarkStart w:id="69" w:name="_Toc456551905"/>
      <w:r>
        <w:rPr>
          <w:rFonts w:hint="eastAsia" w:ascii="宋体" w:hAnsi="宋体"/>
          <w:b/>
          <w:sz w:val="32"/>
          <w:szCs w:val="32"/>
          <w:highlight w:val="none"/>
        </w:rPr>
        <w:t>4.1 响应文件的递交</w:t>
      </w:r>
      <w:bookmarkEnd w:id="68"/>
      <w:bookmarkEnd w:id="69"/>
    </w:p>
    <w:p>
      <w:pPr>
        <w:spacing w:line="400" w:lineRule="exact"/>
        <w:ind w:firstLine="420" w:firstLineChars="200"/>
        <w:rPr>
          <w:highlight w:val="none"/>
        </w:rPr>
      </w:pPr>
      <w:r>
        <w:rPr>
          <w:rFonts w:hint="eastAsia"/>
          <w:highlight w:val="none"/>
        </w:rPr>
        <w:t>4.1.1响应文件递交截止时间：见竞争性谈判响应须知前附表。</w:t>
      </w:r>
    </w:p>
    <w:p>
      <w:pPr>
        <w:spacing w:line="400" w:lineRule="exact"/>
        <w:ind w:firstLine="420" w:firstLineChars="200"/>
        <w:rPr>
          <w:highlight w:val="none"/>
        </w:rPr>
      </w:pPr>
      <w:r>
        <w:rPr>
          <w:rFonts w:hint="eastAsia"/>
          <w:highlight w:val="none"/>
        </w:rPr>
        <w:t>4.1.2 响应人递交响应文件的地点：见竞争性谈判响应须知前附表。</w:t>
      </w:r>
    </w:p>
    <w:p>
      <w:pPr>
        <w:spacing w:line="400" w:lineRule="exact"/>
        <w:ind w:firstLine="420" w:firstLineChars="200"/>
        <w:rPr>
          <w:highlight w:val="none"/>
        </w:rPr>
      </w:pPr>
      <w:r>
        <w:rPr>
          <w:rFonts w:hint="eastAsia"/>
          <w:highlight w:val="none"/>
        </w:rPr>
        <w:t>4.1.3采购人/采购代理机构收到响应文件后，向响应人分别进行签收（唱标前不得提前公开已签收的响应人信息）。</w:t>
      </w:r>
    </w:p>
    <w:p>
      <w:pPr>
        <w:spacing w:line="400" w:lineRule="exact"/>
        <w:ind w:firstLine="420" w:firstLineChars="200"/>
        <w:rPr>
          <w:highlight w:val="none"/>
        </w:rPr>
      </w:pPr>
      <w:r>
        <w:rPr>
          <w:rFonts w:hint="eastAsia"/>
          <w:highlight w:val="none"/>
        </w:rPr>
        <w:t>4.1.4除竞争性谈判响应须知前附表另有规定外，响应人所递交的响应文件不予退还。</w:t>
      </w:r>
    </w:p>
    <w:p>
      <w:pPr>
        <w:spacing w:line="400" w:lineRule="exact"/>
        <w:ind w:firstLine="420" w:firstLineChars="200"/>
        <w:rPr>
          <w:highlight w:val="none"/>
        </w:rPr>
      </w:pPr>
      <w:r>
        <w:rPr>
          <w:rFonts w:hint="eastAsia"/>
          <w:highlight w:val="none"/>
        </w:rPr>
        <w:t>4.1.5出现以下情形时，采购人不予接收响应文件：</w:t>
      </w:r>
    </w:p>
    <w:p>
      <w:pPr>
        <w:spacing w:line="400" w:lineRule="exact"/>
        <w:ind w:firstLine="420" w:firstLineChars="200"/>
        <w:rPr>
          <w:highlight w:val="none"/>
        </w:rPr>
      </w:pPr>
      <w:r>
        <w:rPr>
          <w:rFonts w:hint="eastAsia"/>
          <w:highlight w:val="none"/>
        </w:rPr>
        <w:t>（1）逾期送达或者未送达指定地点的；</w:t>
      </w:r>
    </w:p>
    <w:p>
      <w:pPr>
        <w:spacing w:line="400" w:lineRule="exact"/>
        <w:ind w:firstLine="420" w:firstLineChars="200"/>
        <w:rPr>
          <w:highlight w:val="none"/>
        </w:rPr>
      </w:pPr>
      <w:r>
        <w:rPr>
          <w:rFonts w:hint="eastAsia"/>
          <w:highlight w:val="none"/>
        </w:rPr>
        <w:t>（2）未按竞争性谈判文件要求密封的。</w:t>
      </w:r>
    </w:p>
    <w:p>
      <w:pPr>
        <w:spacing w:line="400" w:lineRule="exact"/>
        <w:rPr>
          <w:rFonts w:ascii="宋体" w:hAnsi="宋体"/>
          <w:b/>
          <w:sz w:val="32"/>
          <w:szCs w:val="32"/>
          <w:highlight w:val="none"/>
        </w:rPr>
      </w:pPr>
      <w:bookmarkStart w:id="70" w:name="_Toc475552149"/>
      <w:bookmarkStart w:id="71" w:name="_Toc456551906"/>
      <w:r>
        <w:rPr>
          <w:rFonts w:hint="eastAsia" w:ascii="宋体" w:hAnsi="宋体"/>
          <w:b/>
          <w:sz w:val="32"/>
          <w:szCs w:val="32"/>
          <w:highlight w:val="none"/>
        </w:rPr>
        <w:t>4.2 响应文件的修改、撤回和撤销</w:t>
      </w:r>
      <w:bookmarkEnd w:id="70"/>
      <w:bookmarkEnd w:id="71"/>
    </w:p>
    <w:p>
      <w:pPr>
        <w:spacing w:line="400" w:lineRule="exact"/>
        <w:ind w:firstLine="420" w:firstLineChars="200"/>
        <w:rPr>
          <w:highlight w:val="none"/>
        </w:rPr>
      </w:pPr>
      <w:r>
        <w:rPr>
          <w:rFonts w:hint="eastAsia"/>
          <w:highlight w:val="none"/>
        </w:rPr>
        <w:t>4.2.1 在规定的竞争性谈判截止时间前，响应人可以修改或撤回已递交的响应文件。</w:t>
      </w:r>
    </w:p>
    <w:p>
      <w:pPr>
        <w:spacing w:line="400" w:lineRule="exact"/>
        <w:ind w:firstLine="420" w:firstLineChars="200"/>
        <w:rPr>
          <w:highlight w:val="none"/>
        </w:rPr>
      </w:pPr>
      <w:r>
        <w:rPr>
          <w:rFonts w:hint="eastAsia"/>
          <w:highlight w:val="none"/>
        </w:rPr>
        <w:t>4.2.2响应人修改后的响应文件，应当在规定的竞争性谈判截止时间前按竞争性谈判文件的规定编制、密封、标记、提交和送达。</w:t>
      </w:r>
    </w:p>
    <w:p>
      <w:pPr>
        <w:spacing w:line="400" w:lineRule="exact"/>
        <w:ind w:firstLine="420" w:firstLineChars="200"/>
        <w:rPr>
          <w:highlight w:val="none"/>
        </w:rPr>
      </w:pPr>
      <w:r>
        <w:rPr>
          <w:rFonts w:hint="eastAsia"/>
          <w:highlight w:val="none"/>
        </w:rPr>
        <w:t>4.2.3 响应人撤回已递交的响应文件，应当书面通知采购人。采购人已收取竞争性谈判保证金的，应当自收到响应人书面撤回通知之日起5日内退还。</w:t>
      </w:r>
    </w:p>
    <w:p>
      <w:pPr>
        <w:spacing w:line="400" w:lineRule="exact"/>
        <w:ind w:firstLine="420" w:firstLineChars="200"/>
        <w:rPr>
          <w:highlight w:val="none"/>
        </w:rPr>
      </w:pPr>
      <w:r>
        <w:rPr>
          <w:rFonts w:hint="eastAsia"/>
          <w:highlight w:val="none"/>
        </w:rPr>
        <w:t>4.2.4 响应人在规定的竞争性谈判截止时间后，不得在竞争性谈判有效期内撤销其竞争性谈判，否则采购人有权不退还其竞争性谈判保证金。</w:t>
      </w:r>
    </w:p>
    <w:p>
      <w:pPr>
        <w:pStyle w:val="3"/>
        <w:rPr>
          <w:highlight w:val="none"/>
        </w:rPr>
      </w:pPr>
      <w:bookmarkStart w:id="72" w:name="_Toc456551907"/>
      <w:bookmarkStart w:id="73" w:name="_Toc20806"/>
      <w:bookmarkStart w:id="74" w:name="_Toc14335"/>
      <w:r>
        <w:rPr>
          <w:rFonts w:hint="eastAsia"/>
          <w:highlight w:val="none"/>
        </w:rPr>
        <w:t xml:space="preserve">5. </w:t>
      </w:r>
      <w:bookmarkEnd w:id="72"/>
      <w:r>
        <w:rPr>
          <w:rFonts w:hint="eastAsia"/>
          <w:highlight w:val="none"/>
        </w:rPr>
        <w:t>公开唱标</w:t>
      </w:r>
      <w:bookmarkEnd w:id="73"/>
      <w:bookmarkEnd w:id="74"/>
    </w:p>
    <w:p>
      <w:pPr>
        <w:spacing w:line="400" w:lineRule="exact"/>
        <w:rPr>
          <w:rFonts w:ascii="宋体" w:hAnsi="宋体"/>
          <w:b/>
          <w:sz w:val="32"/>
          <w:szCs w:val="32"/>
          <w:highlight w:val="none"/>
        </w:rPr>
      </w:pPr>
      <w:bookmarkStart w:id="75" w:name="_Toc456551908"/>
      <w:bookmarkStart w:id="76" w:name="_Toc475552151"/>
      <w:r>
        <w:rPr>
          <w:rFonts w:hint="eastAsia" w:ascii="宋体" w:hAnsi="宋体"/>
          <w:b/>
          <w:sz w:val="32"/>
          <w:szCs w:val="32"/>
          <w:highlight w:val="none"/>
        </w:rPr>
        <w:t>5.1 唱标时间和地点</w:t>
      </w:r>
      <w:bookmarkEnd w:id="75"/>
      <w:bookmarkEnd w:id="76"/>
    </w:p>
    <w:p>
      <w:pPr>
        <w:spacing w:line="400" w:lineRule="exact"/>
        <w:ind w:firstLine="420" w:firstLineChars="200"/>
        <w:rPr>
          <w:highlight w:val="none"/>
        </w:rPr>
      </w:pPr>
      <w:r>
        <w:rPr>
          <w:rFonts w:hint="eastAsia"/>
          <w:highlight w:val="none"/>
        </w:rPr>
        <w:t>采购人将按照竞争性谈判响应须知前附表规定的时间和地点公开唱标，参加唱标的响应人代表应当签名报到，以证明其出席唱标。</w:t>
      </w:r>
    </w:p>
    <w:p>
      <w:pPr>
        <w:spacing w:line="400" w:lineRule="exact"/>
        <w:rPr>
          <w:rFonts w:ascii="宋体" w:hAnsi="宋体"/>
          <w:b/>
          <w:sz w:val="32"/>
          <w:szCs w:val="32"/>
          <w:highlight w:val="none"/>
        </w:rPr>
      </w:pPr>
      <w:bookmarkStart w:id="77" w:name="_Toc475552152"/>
      <w:bookmarkStart w:id="78" w:name="_Toc456551909"/>
      <w:r>
        <w:rPr>
          <w:rFonts w:hint="eastAsia" w:ascii="宋体" w:hAnsi="宋体"/>
          <w:b/>
          <w:sz w:val="32"/>
          <w:szCs w:val="32"/>
          <w:highlight w:val="none"/>
        </w:rPr>
        <w:t>5.2 唱标程序</w:t>
      </w:r>
      <w:bookmarkEnd w:id="77"/>
      <w:bookmarkEnd w:id="78"/>
    </w:p>
    <w:p>
      <w:pPr>
        <w:spacing w:line="400" w:lineRule="exact"/>
        <w:ind w:firstLine="359" w:firstLineChars="171"/>
        <w:rPr>
          <w:highlight w:val="none"/>
        </w:rPr>
      </w:pPr>
      <w:r>
        <w:rPr>
          <w:rFonts w:hint="eastAsia"/>
          <w:highlight w:val="none"/>
        </w:rPr>
        <w:t>5.2.1唱标会议由采购人或其委托的采购代理机构组织并主持，响应人代表对响应文件密封性进行检查。</w:t>
      </w:r>
    </w:p>
    <w:p>
      <w:pPr>
        <w:spacing w:line="400" w:lineRule="exact"/>
        <w:ind w:firstLine="359" w:firstLineChars="171"/>
        <w:rPr>
          <w:highlight w:val="none"/>
        </w:rPr>
      </w:pPr>
      <w:r>
        <w:rPr>
          <w:rFonts w:hint="eastAsia"/>
          <w:highlight w:val="none"/>
        </w:rPr>
        <w:t>5.2.2 采购人在递交响应文件截止时间前收到的所有响应文件在唱标时都应当当众予以拆封宣读。</w:t>
      </w:r>
    </w:p>
    <w:p>
      <w:pPr>
        <w:spacing w:line="400" w:lineRule="exact"/>
        <w:ind w:firstLine="359" w:firstLineChars="171"/>
        <w:rPr>
          <w:highlight w:val="none"/>
        </w:rPr>
      </w:pPr>
      <w:r>
        <w:rPr>
          <w:rFonts w:hint="eastAsia"/>
          <w:highlight w:val="none"/>
        </w:rPr>
        <w:t>5.2.3 唱标时，采购人应当当众宣布参加本次竞争性谈判的响应人个数及响应文件的密封情况，并宣读有效竞争性谈判的“报价一览表”中的内容，“报价一览表”一般包括：唱标时间和地点、响应人名称、价格等唱标内容、唱标过程监督记录、响应人提出的异议以及竞争性谈判文件中规定的其他内容。</w:t>
      </w:r>
    </w:p>
    <w:p>
      <w:pPr>
        <w:spacing w:line="400" w:lineRule="exact"/>
        <w:ind w:firstLine="359" w:firstLineChars="171"/>
        <w:rPr>
          <w:highlight w:val="none"/>
        </w:rPr>
      </w:pPr>
      <w:r>
        <w:rPr>
          <w:rFonts w:hint="eastAsia"/>
          <w:highlight w:val="none"/>
        </w:rPr>
        <w:t>5.2.4唱标内容填写在“唱标记录表”中，由唱标人、记录人、采购人代表、监督人、响应人代表签字确认，存档备查。</w:t>
      </w:r>
    </w:p>
    <w:p>
      <w:pPr>
        <w:spacing w:line="400" w:lineRule="exact"/>
        <w:rPr>
          <w:rFonts w:ascii="宋体" w:hAnsi="宋体"/>
          <w:b/>
          <w:sz w:val="32"/>
          <w:szCs w:val="32"/>
          <w:highlight w:val="none"/>
        </w:rPr>
      </w:pPr>
      <w:bookmarkStart w:id="79" w:name="_Toc475552153"/>
      <w:bookmarkStart w:id="80" w:name="_Toc456551910"/>
      <w:r>
        <w:rPr>
          <w:rFonts w:hint="eastAsia" w:ascii="宋体" w:hAnsi="宋体"/>
          <w:b/>
          <w:sz w:val="32"/>
          <w:szCs w:val="32"/>
          <w:highlight w:val="none"/>
        </w:rPr>
        <w:t>5.3 唱标异议</w:t>
      </w:r>
      <w:bookmarkEnd w:id="79"/>
      <w:bookmarkEnd w:id="80"/>
    </w:p>
    <w:p>
      <w:pPr>
        <w:spacing w:line="400" w:lineRule="exact"/>
        <w:ind w:firstLine="359" w:firstLineChars="171"/>
        <w:rPr>
          <w:highlight w:val="none"/>
        </w:rPr>
      </w:pPr>
      <w:r>
        <w:rPr>
          <w:rFonts w:hint="eastAsia"/>
          <w:highlight w:val="none"/>
        </w:rPr>
        <w:t>响应人对唱标有异议的，应当在唱标现场提出，采购人应当当场作出答复，并制作记录。</w:t>
      </w:r>
    </w:p>
    <w:p>
      <w:pPr>
        <w:pStyle w:val="3"/>
        <w:rPr>
          <w:highlight w:val="none"/>
        </w:rPr>
      </w:pPr>
      <w:bookmarkStart w:id="81" w:name="_Toc456551912"/>
      <w:bookmarkStart w:id="82" w:name="_Toc7154"/>
      <w:bookmarkStart w:id="83" w:name="_Toc25165"/>
      <w:r>
        <w:rPr>
          <w:rFonts w:hint="eastAsia"/>
          <w:highlight w:val="none"/>
        </w:rPr>
        <w:t xml:space="preserve">6. </w:t>
      </w:r>
      <w:bookmarkEnd w:id="81"/>
      <w:r>
        <w:rPr>
          <w:rFonts w:hint="eastAsia"/>
          <w:highlight w:val="none"/>
        </w:rPr>
        <w:t>评审</w:t>
      </w:r>
      <w:bookmarkEnd w:id="82"/>
      <w:bookmarkEnd w:id="83"/>
    </w:p>
    <w:p>
      <w:pPr>
        <w:spacing w:line="400" w:lineRule="exact"/>
        <w:rPr>
          <w:rFonts w:ascii="宋体" w:hAnsi="宋体"/>
          <w:b/>
          <w:sz w:val="32"/>
          <w:szCs w:val="32"/>
          <w:highlight w:val="none"/>
        </w:rPr>
      </w:pPr>
      <w:bookmarkStart w:id="84" w:name="_Toc456551913"/>
      <w:bookmarkStart w:id="85" w:name="_Toc475552155"/>
      <w:r>
        <w:rPr>
          <w:rFonts w:hint="eastAsia" w:ascii="宋体" w:hAnsi="宋体"/>
          <w:b/>
          <w:sz w:val="32"/>
          <w:szCs w:val="32"/>
          <w:highlight w:val="none"/>
        </w:rPr>
        <w:t xml:space="preserve">6.1 </w:t>
      </w:r>
      <w:bookmarkEnd w:id="84"/>
      <w:bookmarkEnd w:id="85"/>
      <w:r>
        <w:rPr>
          <w:rFonts w:hint="eastAsia" w:ascii="宋体" w:hAnsi="宋体"/>
          <w:b/>
          <w:sz w:val="32"/>
          <w:szCs w:val="32"/>
          <w:highlight w:val="none"/>
        </w:rPr>
        <w:t>谈判小组</w:t>
      </w:r>
    </w:p>
    <w:p>
      <w:pPr>
        <w:spacing w:line="400" w:lineRule="exact"/>
        <w:ind w:firstLine="420" w:firstLineChars="200"/>
        <w:rPr>
          <w:szCs w:val="21"/>
          <w:highlight w:val="none"/>
        </w:rPr>
      </w:pPr>
      <w:r>
        <w:rPr>
          <w:rFonts w:hint="eastAsia"/>
          <w:szCs w:val="21"/>
          <w:highlight w:val="none"/>
        </w:rPr>
        <w:t>6.1.1评审由依法组建的谈判小组负责，具体人数见竞争性谈判响应须知前附表。</w:t>
      </w:r>
    </w:p>
    <w:p>
      <w:pPr>
        <w:spacing w:line="400" w:lineRule="exact"/>
        <w:ind w:firstLine="420" w:firstLineChars="200"/>
        <w:rPr>
          <w:szCs w:val="21"/>
          <w:highlight w:val="none"/>
        </w:rPr>
      </w:pPr>
      <w:r>
        <w:rPr>
          <w:rFonts w:hint="eastAsia"/>
          <w:szCs w:val="21"/>
          <w:highlight w:val="none"/>
        </w:rPr>
        <w:t>6.1.2评审期间，任何单位和个人不得非法干预或者影响评审的过程和结果。</w:t>
      </w:r>
    </w:p>
    <w:p>
      <w:pPr>
        <w:spacing w:line="400" w:lineRule="exact"/>
        <w:ind w:firstLine="420" w:firstLineChars="200"/>
        <w:rPr>
          <w:szCs w:val="21"/>
          <w:highlight w:val="none"/>
        </w:rPr>
      </w:pPr>
      <w:r>
        <w:rPr>
          <w:rFonts w:hint="eastAsia"/>
          <w:szCs w:val="21"/>
          <w:highlight w:val="none"/>
        </w:rPr>
        <w:t>6.1.3谈判小组成员名单在成交结果确定前保密。</w:t>
      </w:r>
    </w:p>
    <w:p>
      <w:pPr>
        <w:spacing w:line="400" w:lineRule="exact"/>
        <w:rPr>
          <w:rFonts w:ascii="宋体" w:hAnsi="宋体"/>
          <w:b/>
          <w:sz w:val="32"/>
          <w:szCs w:val="32"/>
          <w:highlight w:val="none"/>
        </w:rPr>
      </w:pPr>
      <w:bookmarkStart w:id="86" w:name="_Toc475552156"/>
      <w:bookmarkStart w:id="87" w:name="_Toc456551914"/>
      <w:r>
        <w:rPr>
          <w:rFonts w:hint="eastAsia" w:ascii="宋体" w:hAnsi="宋体"/>
          <w:b/>
          <w:sz w:val="32"/>
          <w:szCs w:val="32"/>
          <w:highlight w:val="none"/>
        </w:rPr>
        <w:t>6.2 评审原则</w:t>
      </w:r>
      <w:bookmarkEnd w:id="86"/>
      <w:bookmarkEnd w:id="87"/>
    </w:p>
    <w:p>
      <w:pPr>
        <w:spacing w:line="400" w:lineRule="exact"/>
        <w:ind w:firstLine="420" w:firstLineChars="200"/>
        <w:rPr>
          <w:highlight w:val="none"/>
        </w:rPr>
      </w:pPr>
      <w:r>
        <w:rPr>
          <w:rFonts w:hint="eastAsia"/>
          <w:highlight w:val="none"/>
        </w:rPr>
        <w:t>6.2.1评审活动遵循公平、公正、科学和择优的原则。</w:t>
      </w:r>
    </w:p>
    <w:p>
      <w:pPr>
        <w:spacing w:line="400" w:lineRule="exact"/>
        <w:ind w:firstLine="420" w:firstLineChars="200"/>
        <w:rPr>
          <w:highlight w:val="none"/>
        </w:rPr>
      </w:pPr>
      <w:r>
        <w:rPr>
          <w:rFonts w:hint="eastAsia"/>
          <w:highlight w:val="none"/>
        </w:rPr>
        <w:t>6.2.2谈判小组按照第三章“评审办法”规定的方法、评审因素、标准和程序对响应文件进行评审。第三章“评审办法”没有规定的方法、评审因素和标准，不作为评审依据。</w:t>
      </w:r>
    </w:p>
    <w:p>
      <w:pPr>
        <w:spacing w:line="400" w:lineRule="exact"/>
        <w:rPr>
          <w:rFonts w:ascii="宋体" w:hAnsi="宋体"/>
          <w:b/>
          <w:sz w:val="32"/>
          <w:szCs w:val="32"/>
          <w:highlight w:val="none"/>
        </w:rPr>
      </w:pPr>
      <w:bookmarkStart w:id="88" w:name="_Toc475552157"/>
      <w:bookmarkStart w:id="89" w:name="_Toc456551915"/>
      <w:r>
        <w:rPr>
          <w:rFonts w:hint="eastAsia" w:ascii="宋体" w:hAnsi="宋体"/>
          <w:b/>
          <w:sz w:val="32"/>
          <w:szCs w:val="32"/>
          <w:highlight w:val="none"/>
        </w:rPr>
        <w:t>6.3 评审方法</w:t>
      </w:r>
      <w:bookmarkEnd w:id="88"/>
      <w:bookmarkEnd w:id="89"/>
    </w:p>
    <w:p>
      <w:pPr>
        <w:spacing w:line="400" w:lineRule="exact"/>
        <w:ind w:firstLine="420" w:firstLineChars="200"/>
        <w:rPr>
          <w:szCs w:val="21"/>
          <w:highlight w:val="none"/>
        </w:rPr>
      </w:pPr>
      <w:r>
        <w:rPr>
          <w:rFonts w:hint="eastAsia"/>
          <w:szCs w:val="21"/>
          <w:highlight w:val="none"/>
        </w:rPr>
        <w:t>6.3.1 竞争性谈判文件中详细载明评审方法作为本次评审所采用的评审方法。评审方法见竞争性谈判响应须知前附表。</w:t>
      </w:r>
    </w:p>
    <w:p>
      <w:pPr>
        <w:spacing w:line="400" w:lineRule="exact"/>
        <w:ind w:firstLine="420" w:firstLineChars="200"/>
        <w:rPr>
          <w:szCs w:val="21"/>
          <w:highlight w:val="none"/>
        </w:rPr>
      </w:pPr>
      <w:r>
        <w:rPr>
          <w:rFonts w:hint="eastAsia"/>
          <w:szCs w:val="21"/>
          <w:highlight w:val="none"/>
        </w:rPr>
        <w:t>6.3.2 法律、法规允许的其他评审方法。</w:t>
      </w:r>
    </w:p>
    <w:p>
      <w:pPr>
        <w:spacing w:line="400" w:lineRule="exact"/>
        <w:rPr>
          <w:rFonts w:ascii="宋体" w:hAnsi="宋体"/>
          <w:b/>
          <w:sz w:val="32"/>
          <w:szCs w:val="32"/>
          <w:highlight w:val="none"/>
        </w:rPr>
      </w:pPr>
      <w:bookmarkStart w:id="90" w:name="_Toc475552158"/>
      <w:bookmarkStart w:id="91" w:name="_Toc456551916"/>
      <w:r>
        <w:rPr>
          <w:rFonts w:hint="eastAsia" w:ascii="宋体" w:hAnsi="宋体"/>
          <w:b/>
          <w:sz w:val="32"/>
          <w:szCs w:val="32"/>
          <w:highlight w:val="none"/>
        </w:rPr>
        <w:t>6.4 推荐成交候选人原则</w:t>
      </w:r>
      <w:bookmarkEnd w:id="90"/>
      <w:bookmarkEnd w:id="91"/>
    </w:p>
    <w:p>
      <w:pPr>
        <w:spacing w:line="400" w:lineRule="exact"/>
        <w:ind w:firstLine="420" w:firstLineChars="200"/>
        <w:rPr>
          <w:szCs w:val="21"/>
          <w:highlight w:val="none"/>
        </w:rPr>
      </w:pPr>
      <w:r>
        <w:rPr>
          <w:rFonts w:hint="eastAsia"/>
          <w:szCs w:val="21"/>
          <w:highlight w:val="none"/>
        </w:rPr>
        <w:t>谈判小组应当根据竞争性谈判文件的规定推荐成交候选人，具体推荐原则见竞争性谈判响应须知前附表。</w:t>
      </w:r>
    </w:p>
    <w:p>
      <w:pPr>
        <w:spacing w:line="400" w:lineRule="exact"/>
        <w:rPr>
          <w:rFonts w:ascii="宋体" w:hAnsi="宋体"/>
          <w:b/>
          <w:sz w:val="32"/>
          <w:szCs w:val="32"/>
          <w:highlight w:val="none"/>
        </w:rPr>
      </w:pPr>
      <w:bookmarkStart w:id="92" w:name="_Toc475552159"/>
      <w:bookmarkStart w:id="93" w:name="_Toc456551917"/>
      <w:r>
        <w:rPr>
          <w:rFonts w:hint="eastAsia" w:ascii="宋体" w:hAnsi="宋体"/>
          <w:b/>
          <w:sz w:val="32"/>
          <w:szCs w:val="32"/>
          <w:highlight w:val="none"/>
        </w:rPr>
        <w:t>6.5 评审报告</w:t>
      </w:r>
      <w:bookmarkEnd w:id="92"/>
      <w:bookmarkEnd w:id="93"/>
    </w:p>
    <w:p>
      <w:pPr>
        <w:ind w:firstLine="420" w:firstLineChars="200"/>
        <w:rPr>
          <w:highlight w:val="none"/>
        </w:rPr>
      </w:pPr>
      <w:r>
        <w:rPr>
          <w:rFonts w:hint="eastAsia"/>
          <w:bCs/>
          <w:highlight w:val="none"/>
        </w:rPr>
        <w:t>评审完成后，谈判小组应当及时向采购人提交评审报告和成交候选人名单。</w:t>
      </w:r>
    </w:p>
    <w:p>
      <w:pPr>
        <w:pStyle w:val="3"/>
        <w:rPr>
          <w:highlight w:val="none"/>
        </w:rPr>
      </w:pPr>
      <w:bookmarkStart w:id="94" w:name="_Toc456551918"/>
      <w:bookmarkStart w:id="95" w:name="_Toc8627"/>
      <w:bookmarkStart w:id="96" w:name="_Toc12758"/>
      <w:r>
        <w:rPr>
          <w:rFonts w:hint="eastAsia"/>
          <w:highlight w:val="none"/>
        </w:rPr>
        <w:t xml:space="preserve">7. </w:t>
      </w:r>
      <w:bookmarkEnd w:id="94"/>
      <w:r>
        <w:rPr>
          <w:rFonts w:hint="eastAsia"/>
          <w:highlight w:val="none"/>
        </w:rPr>
        <w:t>成交</w:t>
      </w:r>
      <w:bookmarkEnd w:id="95"/>
      <w:bookmarkEnd w:id="96"/>
    </w:p>
    <w:p>
      <w:pPr>
        <w:spacing w:line="400" w:lineRule="exact"/>
        <w:rPr>
          <w:rFonts w:ascii="宋体" w:hAnsi="宋体"/>
          <w:b/>
          <w:sz w:val="32"/>
          <w:szCs w:val="32"/>
          <w:highlight w:val="none"/>
        </w:rPr>
      </w:pPr>
      <w:bookmarkStart w:id="97" w:name="_Toc456551919"/>
      <w:bookmarkStart w:id="98" w:name="_Toc475552161"/>
      <w:r>
        <w:rPr>
          <w:rFonts w:hint="eastAsia" w:ascii="宋体" w:hAnsi="宋体"/>
          <w:b/>
          <w:sz w:val="32"/>
          <w:szCs w:val="32"/>
          <w:highlight w:val="none"/>
        </w:rPr>
        <w:t>7.1 成交候选人公示</w:t>
      </w:r>
      <w:bookmarkEnd w:id="97"/>
      <w:bookmarkEnd w:id="98"/>
    </w:p>
    <w:p>
      <w:pPr>
        <w:spacing w:line="400" w:lineRule="exact"/>
        <w:ind w:firstLine="420" w:firstLineChars="200"/>
        <w:rPr>
          <w:szCs w:val="21"/>
          <w:highlight w:val="none"/>
        </w:rPr>
      </w:pPr>
      <w:bookmarkStart w:id="99" w:name="_Toc475552162"/>
      <w:bookmarkStart w:id="100" w:name="_Toc456551920"/>
      <w:r>
        <w:rPr>
          <w:szCs w:val="21"/>
          <w:highlight w:val="none"/>
        </w:rPr>
        <w:t>7.1.1</w:t>
      </w:r>
      <w:r>
        <w:rPr>
          <w:rFonts w:hint="eastAsia"/>
          <w:szCs w:val="21"/>
          <w:highlight w:val="none"/>
        </w:rPr>
        <w:t>进行公开竞争性谈判的项目，评审结果按照采购人内控管理规定确认后，在成交候选人公示发布的媒介公示全部成交候选人，公示期不得少于</w:t>
      </w:r>
      <w:r>
        <w:rPr>
          <w:szCs w:val="21"/>
          <w:highlight w:val="none"/>
        </w:rPr>
        <w:t>3</w:t>
      </w:r>
      <w:r>
        <w:rPr>
          <w:rFonts w:hint="eastAsia"/>
          <w:szCs w:val="21"/>
          <w:highlight w:val="none"/>
        </w:rPr>
        <w:t>日。</w:t>
      </w:r>
    </w:p>
    <w:p>
      <w:pPr>
        <w:spacing w:line="400" w:lineRule="exact"/>
        <w:ind w:firstLine="420" w:firstLineChars="200"/>
        <w:rPr>
          <w:szCs w:val="21"/>
          <w:highlight w:val="none"/>
        </w:rPr>
      </w:pPr>
      <w:r>
        <w:rPr>
          <w:szCs w:val="21"/>
          <w:highlight w:val="none"/>
        </w:rPr>
        <w:t>7.1.2</w:t>
      </w:r>
      <w:r>
        <w:rPr>
          <w:rFonts w:hint="eastAsia"/>
          <w:szCs w:val="21"/>
          <w:highlight w:val="none"/>
        </w:rPr>
        <w:t>响应人或者其他利害关系人对项目的评审结果有异议的，应在成交候选人公示期间提出。</w:t>
      </w:r>
    </w:p>
    <w:p>
      <w:pPr>
        <w:spacing w:line="400" w:lineRule="exact"/>
        <w:rPr>
          <w:rFonts w:ascii="宋体" w:hAnsi="宋体"/>
          <w:b/>
          <w:sz w:val="32"/>
          <w:szCs w:val="32"/>
          <w:highlight w:val="none"/>
        </w:rPr>
      </w:pPr>
      <w:r>
        <w:rPr>
          <w:rFonts w:hint="eastAsia" w:ascii="宋体" w:hAnsi="宋体"/>
          <w:b/>
          <w:sz w:val="32"/>
          <w:szCs w:val="32"/>
          <w:highlight w:val="none"/>
        </w:rPr>
        <w:t>7.2资格后审（履约能力审查）</w:t>
      </w:r>
    </w:p>
    <w:p>
      <w:pPr>
        <w:spacing w:line="400" w:lineRule="exact"/>
        <w:ind w:firstLine="420" w:firstLineChars="200"/>
        <w:rPr>
          <w:szCs w:val="21"/>
          <w:highlight w:val="none"/>
        </w:rPr>
      </w:pPr>
      <w:r>
        <w:rPr>
          <w:szCs w:val="21"/>
          <w:highlight w:val="none"/>
        </w:rPr>
        <w:t>7.2</w:t>
      </w:r>
      <w:r>
        <w:rPr>
          <w:rFonts w:hint="eastAsia"/>
          <w:szCs w:val="21"/>
          <w:highlight w:val="none"/>
        </w:rPr>
        <w:t>.1采购人将根据竞争性谈判文件中的要求，对评委会推荐的成交候选人进行资格后审。</w:t>
      </w:r>
    </w:p>
    <w:p>
      <w:pPr>
        <w:spacing w:line="400" w:lineRule="exact"/>
        <w:ind w:firstLine="420" w:firstLineChars="200"/>
        <w:rPr>
          <w:szCs w:val="21"/>
          <w:highlight w:val="none"/>
        </w:rPr>
      </w:pPr>
      <w:r>
        <w:rPr>
          <w:szCs w:val="21"/>
          <w:highlight w:val="none"/>
        </w:rPr>
        <w:t>7.2</w:t>
      </w:r>
      <w:r>
        <w:rPr>
          <w:rFonts w:hint="eastAsia"/>
          <w:szCs w:val="21"/>
          <w:highlight w:val="none"/>
        </w:rPr>
        <w:t>.2成交候选人须无条件配合资格后审，否则采购人有权取消中标资格，且谈判保证金可不予退还。</w:t>
      </w:r>
    </w:p>
    <w:p>
      <w:pPr>
        <w:spacing w:line="400" w:lineRule="exact"/>
        <w:ind w:firstLine="420" w:firstLineChars="200"/>
        <w:rPr>
          <w:szCs w:val="21"/>
          <w:highlight w:val="none"/>
        </w:rPr>
      </w:pPr>
      <w:r>
        <w:rPr>
          <w:szCs w:val="21"/>
          <w:highlight w:val="none"/>
        </w:rPr>
        <w:t>7.2</w:t>
      </w:r>
      <w:r>
        <w:rPr>
          <w:rFonts w:hint="eastAsia"/>
          <w:szCs w:val="21"/>
          <w:highlight w:val="none"/>
        </w:rPr>
        <w:t>.3资格后审须提供包括但不限于营业执照、税务登记证和在响应文件中提供的资质证明文件、合同等重要证明文件的原件进行核对，综合考察成交人的履约能力。如采购人要求还须提供业绩证明的其他材料,成交候选人须配合提供。如授权其分支机构进行项目实施或提供售后服务的，亦应提供其与分支机构关系的法律证明材料。</w:t>
      </w:r>
    </w:p>
    <w:p>
      <w:pPr>
        <w:spacing w:line="400" w:lineRule="exact"/>
        <w:ind w:firstLine="420" w:firstLineChars="200"/>
        <w:rPr>
          <w:szCs w:val="21"/>
          <w:highlight w:val="none"/>
        </w:rPr>
      </w:pPr>
      <w:r>
        <w:rPr>
          <w:szCs w:val="21"/>
          <w:highlight w:val="none"/>
        </w:rPr>
        <w:t>7.2</w:t>
      </w:r>
      <w:r>
        <w:rPr>
          <w:rFonts w:hint="eastAsia"/>
          <w:szCs w:val="21"/>
          <w:highlight w:val="none"/>
        </w:rPr>
        <w:t>.4如发现响应人以他人名义谈判或者以其他方式弄虚作假，骗取成交的，采购人有权取消其成交资格，且谈判保证金可不予退还；给采购人造成损失的，应依法承担赔偿责任。</w:t>
      </w:r>
    </w:p>
    <w:p>
      <w:pPr>
        <w:spacing w:line="400" w:lineRule="exact"/>
        <w:ind w:firstLine="420" w:firstLineChars="200"/>
        <w:rPr>
          <w:szCs w:val="21"/>
          <w:highlight w:val="none"/>
        </w:rPr>
      </w:pPr>
      <w:r>
        <w:rPr>
          <w:szCs w:val="21"/>
          <w:highlight w:val="none"/>
        </w:rPr>
        <w:t>7.2</w:t>
      </w:r>
      <w:r>
        <w:rPr>
          <w:rFonts w:hint="eastAsia"/>
          <w:szCs w:val="21"/>
          <w:highlight w:val="none"/>
        </w:rPr>
        <w:t>.5如果审查通过，采购人将把合同授予该成交人；如果审查没有通过，采购人有权取消其成交资格，且谈判保证金可不予退还，并依次审查下一名成交候选人是否具备履行合同的能力或重新采购。</w:t>
      </w:r>
    </w:p>
    <w:p>
      <w:pPr>
        <w:spacing w:line="400" w:lineRule="exact"/>
        <w:rPr>
          <w:rFonts w:ascii="宋体" w:hAnsi="宋体"/>
          <w:b/>
          <w:sz w:val="32"/>
          <w:szCs w:val="32"/>
          <w:highlight w:val="none"/>
        </w:rPr>
      </w:pPr>
      <w:r>
        <w:rPr>
          <w:rFonts w:hint="eastAsia" w:ascii="宋体" w:hAnsi="宋体"/>
          <w:b/>
          <w:sz w:val="32"/>
          <w:szCs w:val="32"/>
          <w:highlight w:val="none"/>
        </w:rPr>
        <w:t>7.3确定成交人</w:t>
      </w:r>
      <w:bookmarkEnd w:id="99"/>
      <w:bookmarkEnd w:id="100"/>
    </w:p>
    <w:p>
      <w:pPr>
        <w:spacing w:line="400" w:lineRule="exact"/>
        <w:ind w:firstLine="420" w:firstLineChars="200"/>
        <w:rPr>
          <w:szCs w:val="21"/>
          <w:highlight w:val="none"/>
        </w:rPr>
      </w:pPr>
      <w:r>
        <w:rPr>
          <w:rFonts w:hint="eastAsia"/>
          <w:szCs w:val="21"/>
          <w:highlight w:val="none"/>
        </w:rPr>
        <w:t>7.3.1除竞争性谈判响应须知前附表规定谈判小组直接确定成交人外，采购人依据谈判小组推荐的成交候选人确定成交人，成交人数量见竞争性谈判响应须知前附表。</w:t>
      </w:r>
    </w:p>
    <w:p>
      <w:pPr>
        <w:spacing w:line="400" w:lineRule="exact"/>
        <w:ind w:firstLine="420" w:firstLineChars="200"/>
        <w:rPr>
          <w:szCs w:val="21"/>
          <w:highlight w:val="none"/>
        </w:rPr>
      </w:pPr>
      <w:r>
        <w:rPr>
          <w:rFonts w:hint="eastAsia"/>
          <w:szCs w:val="21"/>
          <w:highlight w:val="none"/>
        </w:rPr>
        <w:t>7.3.2</w:t>
      </w:r>
      <w:r>
        <w:rPr>
          <w:szCs w:val="21"/>
          <w:highlight w:val="none"/>
        </w:rPr>
        <w:t>采购人</w:t>
      </w:r>
      <w:r>
        <w:rPr>
          <w:rFonts w:hint="eastAsia"/>
          <w:szCs w:val="21"/>
          <w:highlight w:val="none"/>
        </w:rPr>
        <w:t>根据谈判小组推荐的</w:t>
      </w:r>
      <w:r>
        <w:rPr>
          <w:szCs w:val="21"/>
          <w:highlight w:val="none"/>
        </w:rPr>
        <w:t>成交候选人</w:t>
      </w:r>
      <w:r>
        <w:rPr>
          <w:rFonts w:hint="eastAsia"/>
          <w:szCs w:val="21"/>
          <w:highlight w:val="none"/>
        </w:rPr>
        <w:t>名单排序</w:t>
      </w:r>
      <w:r>
        <w:rPr>
          <w:szCs w:val="21"/>
          <w:highlight w:val="none"/>
        </w:rPr>
        <w:t>依次确定成交人，</w:t>
      </w:r>
      <w:r>
        <w:rPr>
          <w:rFonts w:hint="eastAsia"/>
          <w:szCs w:val="21"/>
          <w:highlight w:val="none"/>
        </w:rPr>
        <w:t>具体成交原则见竞争性谈判响应须知前附表。</w:t>
      </w:r>
    </w:p>
    <w:p>
      <w:pPr>
        <w:spacing w:line="400" w:lineRule="exact"/>
        <w:ind w:firstLine="420" w:firstLineChars="200"/>
        <w:rPr>
          <w:szCs w:val="21"/>
          <w:highlight w:val="none"/>
        </w:rPr>
      </w:pPr>
      <w:r>
        <w:rPr>
          <w:rFonts w:hint="eastAsia"/>
          <w:szCs w:val="21"/>
          <w:highlight w:val="none"/>
        </w:rPr>
        <w:t>7.3.3在签订合同之前，</w:t>
      </w:r>
      <w:r>
        <w:rPr>
          <w:szCs w:val="21"/>
          <w:highlight w:val="none"/>
        </w:rPr>
        <w:t>成交人</w:t>
      </w:r>
      <w:r>
        <w:rPr>
          <w:rFonts w:hint="eastAsia"/>
          <w:szCs w:val="21"/>
          <w:highlight w:val="none"/>
        </w:rPr>
        <w:t>放弃成交或者</w:t>
      </w:r>
      <w:r>
        <w:rPr>
          <w:szCs w:val="21"/>
          <w:highlight w:val="none"/>
        </w:rPr>
        <w:t>不能履行合同的，采购人可以按照谈判小组提出的成交候选人名单排序依次确定其他成交候选人为成交人，也可以</w:t>
      </w:r>
      <w:r>
        <w:rPr>
          <w:rFonts w:hint="eastAsia"/>
          <w:szCs w:val="21"/>
          <w:highlight w:val="none"/>
        </w:rPr>
        <w:t>重新竞争性谈判。</w:t>
      </w:r>
    </w:p>
    <w:p>
      <w:pPr>
        <w:spacing w:line="400" w:lineRule="exact"/>
        <w:rPr>
          <w:rFonts w:ascii="宋体" w:hAnsi="宋体"/>
          <w:b/>
          <w:sz w:val="32"/>
          <w:szCs w:val="32"/>
          <w:highlight w:val="none"/>
        </w:rPr>
      </w:pPr>
      <w:bookmarkStart w:id="101" w:name="_Toc456551921"/>
      <w:bookmarkStart w:id="102" w:name="_Toc475552163"/>
      <w:r>
        <w:rPr>
          <w:rFonts w:hint="eastAsia" w:ascii="宋体" w:hAnsi="宋体"/>
          <w:b/>
          <w:sz w:val="32"/>
          <w:szCs w:val="32"/>
          <w:highlight w:val="none"/>
        </w:rPr>
        <w:t>7.4 成交通知</w:t>
      </w:r>
      <w:bookmarkEnd w:id="101"/>
      <w:bookmarkEnd w:id="102"/>
    </w:p>
    <w:p>
      <w:pPr>
        <w:spacing w:line="400" w:lineRule="exact"/>
        <w:ind w:firstLine="420" w:firstLineChars="200"/>
        <w:rPr>
          <w:szCs w:val="21"/>
          <w:highlight w:val="none"/>
        </w:rPr>
      </w:pPr>
      <w:r>
        <w:rPr>
          <w:rFonts w:hint="eastAsia"/>
          <w:szCs w:val="21"/>
          <w:highlight w:val="none"/>
        </w:rPr>
        <w:t>7.4.1</w:t>
      </w:r>
      <w:r>
        <w:rPr>
          <w:szCs w:val="21"/>
          <w:highlight w:val="none"/>
        </w:rPr>
        <w:t>在成交通知书发出前</w:t>
      </w:r>
      <w:r>
        <w:rPr>
          <w:rFonts w:hint="eastAsia"/>
          <w:szCs w:val="21"/>
          <w:highlight w:val="none"/>
        </w:rPr>
        <w:t>，</w:t>
      </w:r>
      <w:r>
        <w:rPr>
          <w:szCs w:val="21"/>
          <w:highlight w:val="none"/>
        </w:rPr>
        <w:t>成交候选人的经营、财务状况发生较大变化或者存在违法行为，可能影响其履约能力的，成交候选人应</w:t>
      </w:r>
      <w:r>
        <w:rPr>
          <w:rFonts w:hint="eastAsia"/>
          <w:szCs w:val="21"/>
          <w:highlight w:val="none"/>
        </w:rPr>
        <w:t>当主动告知采购人</w:t>
      </w:r>
      <w:r>
        <w:rPr>
          <w:szCs w:val="21"/>
          <w:highlight w:val="none"/>
        </w:rPr>
        <w:t>。</w:t>
      </w:r>
    </w:p>
    <w:p>
      <w:pPr>
        <w:spacing w:line="400" w:lineRule="exact"/>
        <w:ind w:firstLine="420" w:firstLineChars="200"/>
        <w:rPr>
          <w:szCs w:val="21"/>
          <w:highlight w:val="none"/>
        </w:rPr>
      </w:pPr>
      <w:r>
        <w:rPr>
          <w:rFonts w:hint="eastAsia"/>
          <w:szCs w:val="21"/>
          <w:highlight w:val="none"/>
        </w:rPr>
        <w:t>7.4.2成交人确定后，采购人应当自行或委托采购代理机构向成交人发出成交通知书，同时通知未成交人。</w:t>
      </w:r>
    </w:p>
    <w:p>
      <w:pPr>
        <w:spacing w:line="400" w:lineRule="exact"/>
        <w:ind w:firstLine="420" w:firstLineChars="200"/>
        <w:rPr>
          <w:szCs w:val="21"/>
          <w:highlight w:val="none"/>
        </w:rPr>
      </w:pPr>
      <w:r>
        <w:rPr>
          <w:rFonts w:hint="eastAsia"/>
          <w:szCs w:val="21"/>
          <w:highlight w:val="none"/>
        </w:rPr>
        <w:t>7.4.3成交通知书是竞争性谈判档案和合同的组成部分。</w:t>
      </w:r>
    </w:p>
    <w:p>
      <w:pPr>
        <w:spacing w:line="400" w:lineRule="exact"/>
        <w:ind w:firstLine="420" w:firstLineChars="200"/>
        <w:rPr>
          <w:szCs w:val="21"/>
          <w:highlight w:val="none"/>
        </w:rPr>
      </w:pPr>
      <w:r>
        <w:rPr>
          <w:rFonts w:hint="eastAsia"/>
          <w:szCs w:val="21"/>
          <w:highlight w:val="none"/>
        </w:rPr>
        <w:t>7.4.4成交通知书对采购人和成交人具有法律约束力。成交通知书发出后，采购人改变成交结果或者成交人放弃成交的，应当承担法律责任。</w:t>
      </w:r>
    </w:p>
    <w:p>
      <w:pPr>
        <w:spacing w:line="400" w:lineRule="exact"/>
        <w:ind w:firstLine="420" w:firstLineChars="200"/>
        <w:rPr>
          <w:szCs w:val="21"/>
          <w:highlight w:val="none"/>
        </w:rPr>
      </w:pPr>
    </w:p>
    <w:p>
      <w:pPr>
        <w:pStyle w:val="3"/>
        <w:spacing w:before="240" w:after="120"/>
        <w:rPr>
          <w:highlight w:val="none"/>
        </w:rPr>
      </w:pPr>
      <w:bookmarkStart w:id="103" w:name="_Toc19396"/>
      <w:bookmarkStart w:id="104" w:name="_Toc1662"/>
      <w:bookmarkStart w:id="105" w:name="_Toc456551926"/>
      <w:r>
        <w:rPr>
          <w:rFonts w:hint="eastAsia"/>
          <w:highlight w:val="none"/>
          <w:lang w:val="en-US" w:eastAsia="zh-CN"/>
        </w:rPr>
        <w:t>8</w:t>
      </w:r>
      <w:r>
        <w:rPr>
          <w:rFonts w:hint="eastAsia"/>
          <w:highlight w:val="none"/>
        </w:rPr>
        <w:t>.采购代理服务费</w:t>
      </w:r>
      <w:bookmarkEnd w:id="103"/>
      <w:bookmarkEnd w:id="104"/>
      <w:bookmarkEnd w:id="105"/>
    </w:p>
    <w:p>
      <w:pPr>
        <w:spacing w:line="400" w:lineRule="exact"/>
        <w:ind w:firstLine="420" w:firstLineChars="200"/>
        <w:rPr>
          <w:szCs w:val="21"/>
          <w:highlight w:val="none"/>
        </w:rPr>
      </w:pPr>
      <w:r>
        <w:rPr>
          <w:rFonts w:hint="eastAsia"/>
          <w:szCs w:val="21"/>
          <w:highlight w:val="none"/>
        </w:rPr>
        <w:t>采购代理服务费的金额、形式及交纳时限见竞争性谈判响应须知前附表。</w:t>
      </w:r>
    </w:p>
    <w:p>
      <w:pPr>
        <w:pStyle w:val="3"/>
        <w:rPr>
          <w:highlight w:val="none"/>
        </w:rPr>
      </w:pPr>
      <w:bookmarkStart w:id="106" w:name="_Toc16344"/>
      <w:bookmarkStart w:id="107" w:name="_Toc1910"/>
      <w:bookmarkStart w:id="108" w:name="_Toc456551927"/>
      <w:r>
        <w:rPr>
          <w:rFonts w:hint="eastAsia"/>
          <w:highlight w:val="none"/>
          <w:lang w:val="en-US" w:eastAsia="zh-CN"/>
        </w:rPr>
        <w:t>9</w:t>
      </w:r>
      <w:r>
        <w:rPr>
          <w:rFonts w:hint="eastAsia"/>
          <w:highlight w:val="none"/>
        </w:rPr>
        <w:t>. 纪律和监督</w:t>
      </w:r>
      <w:bookmarkEnd w:id="106"/>
      <w:bookmarkEnd w:id="107"/>
      <w:bookmarkEnd w:id="108"/>
    </w:p>
    <w:p>
      <w:pPr>
        <w:spacing w:line="400" w:lineRule="exact"/>
        <w:rPr>
          <w:rFonts w:ascii="宋体" w:hAnsi="宋体"/>
          <w:b/>
          <w:sz w:val="32"/>
          <w:szCs w:val="32"/>
          <w:highlight w:val="none"/>
        </w:rPr>
      </w:pPr>
      <w:bookmarkStart w:id="109" w:name="_Toc456551928"/>
      <w:bookmarkStart w:id="110" w:name="_Toc475552169"/>
      <w:r>
        <w:rPr>
          <w:rFonts w:hint="eastAsia" w:ascii="宋体" w:hAnsi="宋体"/>
          <w:b/>
          <w:sz w:val="32"/>
          <w:szCs w:val="32"/>
          <w:highlight w:val="none"/>
          <w:lang w:val="en-US" w:eastAsia="zh-CN"/>
        </w:rPr>
        <w:t>9</w:t>
      </w:r>
      <w:r>
        <w:rPr>
          <w:rFonts w:hint="eastAsia" w:ascii="宋体" w:hAnsi="宋体"/>
          <w:b/>
          <w:sz w:val="32"/>
          <w:szCs w:val="32"/>
          <w:highlight w:val="none"/>
        </w:rPr>
        <w:t>.1 对采购人的纪律要求</w:t>
      </w:r>
      <w:bookmarkEnd w:id="109"/>
      <w:bookmarkEnd w:id="110"/>
    </w:p>
    <w:p>
      <w:pPr>
        <w:spacing w:line="400" w:lineRule="exact"/>
        <w:ind w:firstLine="420" w:firstLineChars="200"/>
        <w:rPr>
          <w:szCs w:val="21"/>
          <w:highlight w:val="none"/>
        </w:rPr>
      </w:pPr>
      <w:r>
        <w:rPr>
          <w:rFonts w:hint="eastAsia"/>
          <w:szCs w:val="21"/>
          <w:highlight w:val="none"/>
        </w:rPr>
        <w:t>采购人不得泄漏竞争性谈判活动中应当保密的情况和资料，不得与响应人串通损害国家利益、社会公共利益或者他人合法权益。</w:t>
      </w:r>
    </w:p>
    <w:p>
      <w:pPr>
        <w:spacing w:line="400" w:lineRule="exact"/>
        <w:rPr>
          <w:rFonts w:ascii="宋体" w:hAnsi="宋体"/>
          <w:b/>
          <w:sz w:val="32"/>
          <w:szCs w:val="32"/>
          <w:highlight w:val="none"/>
        </w:rPr>
      </w:pPr>
      <w:bookmarkStart w:id="111" w:name="_Toc456551929"/>
      <w:bookmarkStart w:id="112" w:name="_Toc475552170"/>
      <w:r>
        <w:rPr>
          <w:rFonts w:hint="eastAsia" w:ascii="宋体" w:hAnsi="宋体"/>
          <w:b/>
          <w:sz w:val="32"/>
          <w:szCs w:val="32"/>
          <w:highlight w:val="none"/>
          <w:lang w:val="en-US" w:eastAsia="zh-CN"/>
        </w:rPr>
        <w:t>9</w:t>
      </w:r>
      <w:r>
        <w:rPr>
          <w:rFonts w:hint="eastAsia" w:ascii="宋体" w:hAnsi="宋体"/>
          <w:b/>
          <w:sz w:val="32"/>
          <w:szCs w:val="32"/>
          <w:highlight w:val="none"/>
        </w:rPr>
        <w:t>.2 对响应人的纪律要求</w:t>
      </w:r>
      <w:bookmarkEnd w:id="111"/>
      <w:bookmarkEnd w:id="112"/>
    </w:p>
    <w:p>
      <w:pPr>
        <w:spacing w:line="400" w:lineRule="exact"/>
        <w:ind w:firstLine="420" w:firstLineChars="200"/>
        <w:rPr>
          <w:szCs w:val="21"/>
          <w:highlight w:val="none"/>
        </w:rPr>
      </w:pPr>
      <w:r>
        <w:rPr>
          <w:rFonts w:hint="eastAsia"/>
          <w:szCs w:val="21"/>
          <w:highlight w:val="none"/>
        </w:rPr>
        <w:t>响应人不得相互串通竞争性谈判或者与采购人串通竞争性谈判，不得向采购人或者谈判小组成员行贿谋取成交，不得以他人名义竞争性谈判或者以其他方式弄虚作假骗取成交；响应人不得以任何方式干扰、影响评审工作。</w:t>
      </w:r>
    </w:p>
    <w:p>
      <w:pPr>
        <w:spacing w:line="400" w:lineRule="exact"/>
        <w:rPr>
          <w:rFonts w:ascii="宋体" w:hAnsi="宋体"/>
          <w:b/>
          <w:sz w:val="32"/>
          <w:szCs w:val="32"/>
          <w:highlight w:val="none"/>
        </w:rPr>
      </w:pPr>
      <w:bookmarkStart w:id="113" w:name="_Toc475552171"/>
      <w:bookmarkStart w:id="114" w:name="_Toc456551930"/>
      <w:r>
        <w:rPr>
          <w:rFonts w:hint="eastAsia" w:ascii="宋体" w:hAnsi="宋体"/>
          <w:b/>
          <w:sz w:val="32"/>
          <w:szCs w:val="32"/>
          <w:highlight w:val="none"/>
          <w:lang w:val="en-US" w:eastAsia="zh-CN"/>
        </w:rPr>
        <w:t>9</w:t>
      </w:r>
      <w:r>
        <w:rPr>
          <w:rFonts w:hint="eastAsia" w:ascii="宋体" w:hAnsi="宋体"/>
          <w:b/>
          <w:sz w:val="32"/>
          <w:szCs w:val="32"/>
          <w:highlight w:val="none"/>
        </w:rPr>
        <w:t>.3 对谈判小组成员的纪律要求</w:t>
      </w:r>
      <w:bookmarkEnd w:id="113"/>
      <w:bookmarkEnd w:id="114"/>
    </w:p>
    <w:p>
      <w:pPr>
        <w:spacing w:line="400" w:lineRule="exact"/>
        <w:ind w:firstLine="420" w:firstLineChars="200"/>
        <w:rPr>
          <w:szCs w:val="21"/>
          <w:highlight w:val="none"/>
        </w:rPr>
      </w:pPr>
      <w:r>
        <w:rPr>
          <w:rFonts w:hint="eastAsia"/>
          <w:szCs w:val="21"/>
          <w:highlight w:val="none"/>
        </w:rPr>
        <w:t>谈判小组成员不得收受他人的财物或者其他好处，不得向他人透漏对响应文件的评审和比较、成交候选人的推荐情况以及评审有关的其他情况。在评审活动中，谈判小组成员应当客观、公正地履行职责，遵守职业道德，不得擅离职守，影响评审程序正常进行，不得使用第三章“评审办法”没有规定的评审因素和标准进行评审。</w:t>
      </w:r>
    </w:p>
    <w:p>
      <w:pPr>
        <w:spacing w:line="400" w:lineRule="exact"/>
        <w:rPr>
          <w:rFonts w:ascii="宋体" w:hAnsi="宋体"/>
          <w:b/>
          <w:sz w:val="32"/>
          <w:szCs w:val="32"/>
          <w:highlight w:val="none"/>
        </w:rPr>
      </w:pPr>
      <w:bookmarkStart w:id="115" w:name="_Toc456551931"/>
      <w:bookmarkStart w:id="116" w:name="_Toc475552172"/>
      <w:r>
        <w:rPr>
          <w:rFonts w:hint="eastAsia" w:ascii="宋体" w:hAnsi="宋体"/>
          <w:b/>
          <w:sz w:val="32"/>
          <w:szCs w:val="32"/>
          <w:highlight w:val="none"/>
          <w:lang w:val="en-US" w:eastAsia="zh-CN"/>
        </w:rPr>
        <w:t>9</w:t>
      </w:r>
      <w:r>
        <w:rPr>
          <w:rFonts w:hint="eastAsia" w:ascii="宋体" w:hAnsi="宋体"/>
          <w:b/>
          <w:sz w:val="32"/>
          <w:szCs w:val="32"/>
          <w:highlight w:val="none"/>
        </w:rPr>
        <w:t>.4 对与评审活动有关的工作人员的纪律要求</w:t>
      </w:r>
      <w:bookmarkEnd w:id="115"/>
      <w:bookmarkEnd w:id="116"/>
    </w:p>
    <w:p>
      <w:pPr>
        <w:spacing w:line="400" w:lineRule="exact"/>
        <w:ind w:firstLine="420" w:firstLineChars="200"/>
        <w:rPr>
          <w:szCs w:val="21"/>
          <w:highlight w:val="none"/>
        </w:rPr>
      </w:pPr>
      <w:r>
        <w:rPr>
          <w:rFonts w:hint="eastAsia"/>
          <w:szCs w:val="21"/>
          <w:highlight w:val="none"/>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pPr>
        <w:spacing w:line="400" w:lineRule="exact"/>
        <w:rPr>
          <w:rFonts w:ascii="宋体" w:hAnsi="宋体"/>
          <w:b/>
          <w:sz w:val="32"/>
          <w:szCs w:val="32"/>
          <w:highlight w:val="none"/>
        </w:rPr>
      </w:pPr>
      <w:r>
        <w:rPr>
          <w:rFonts w:hint="eastAsia" w:ascii="宋体" w:hAnsi="宋体"/>
          <w:b/>
          <w:sz w:val="32"/>
          <w:szCs w:val="32"/>
          <w:highlight w:val="none"/>
          <w:lang w:val="en-US" w:eastAsia="zh-CN"/>
        </w:rPr>
        <w:t>9</w:t>
      </w:r>
      <w:r>
        <w:rPr>
          <w:rFonts w:hint="eastAsia" w:ascii="宋体" w:hAnsi="宋体"/>
          <w:b/>
          <w:sz w:val="32"/>
          <w:szCs w:val="32"/>
          <w:highlight w:val="none"/>
        </w:rPr>
        <w:t>.5 采购监督小组</w:t>
      </w:r>
    </w:p>
    <w:p>
      <w:pPr>
        <w:spacing w:line="400" w:lineRule="exact"/>
        <w:ind w:firstLine="420" w:firstLineChars="200"/>
        <w:rPr>
          <w:szCs w:val="21"/>
          <w:highlight w:val="none"/>
        </w:rPr>
      </w:pPr>
      <w:r>
        <w:rPr>
          <w:szCs w:val="21"/>
          <w:highlight w:val="none"/>
        </w:rPr>
        <w:t>10.5.</w:t>
      </w:r>
      <w:r>
        <w:rPr>
          <w:rFonts w:hint="eastAsia"/>
          <w:szCs w:val="21"/>
          <w:highlight w:val="none"/>
        </w:rPr>
        <w:t>1采购人应当组建采购监督小组对竞争性谈判过程进行监督，及时指出、制止违反程序及纪律的行为，但不得就资格审查或者评标涉及的实质内容发表意见或者参与资格审查委员会、谈判小组的讨论。</w:t>
      </w:r>
    </w:p>
    <w:p>
      <w:pPr>
        <w:spacing w:line="400" w:lineRule="exact"/>
        <w:ind w:firstLine="420" w:firstLineChars="200"/>
        <w:rPr>
          <w:szCs w:val="21"/>
          <w:highlight w:val="none"/>
        </w:rPr>
      </w:pPr>
      <w:r>
        <w:rPr>
          <w:szCs w:val="21"/>
          <w:highlight w:val="none"/>
        </w:rPr>
        <w:t>10.5.</w:t>
      </w:r>
      <w:r>
        <w:rPr>
          <w:rFonts w:hint="eastAsia"/>
          <w:szCs w:val="21"/>
          <w:highlight w:val="none"/>
        </w:rPr>
        <w:t>2特殊情况导致开标、评标无法继续进行的、相关人员存在违反程序及纪律的行为被指出后仍拒绝纠正的、发现竞争性谈判活动存在其他违反相关规定行为的，采购监督小组应当及时报告监督部门。</w:t>
      </w:r>
    </w:p>
    <w:p>
      <w:pPr>
        <w:spacing w:line="400" w:lineRule="exact"/>
        <w:ind w:firstLine="420" w:firstLineChars="200"/>
        <w:rPr>
          <w:szCs w:val="21"/>
          <w:highlight w:val="none"/>
        </w:rPr>
      </w:pPr>
      <w:r>
        <w:rPr>
          <w:szCs w:val="21"/>
          <w:highlight w:val="none"/>
        </w:rPr>
        <w:t>10.5.</w:t>
      </w:r>
      <w:r>
        <w:rPr>
          <w:rFonts w:hint="eastAsia"/>
          <w:szCs w:val="21"/>
          <w:highlight w:val="none"/>
        </w:rPr>
        <w:t>3采购监督小组可以通过检查、随机抽查、现场监督、网络在线监督等方式对竞争性谈判活动进行监督，竞争性谈判活动各方应当自觉接受监督检查。</w:t>
      </w:r>
    </w:p>
    <w:p>
      <w:pPr>
        <w:pStyle w:val="3"/>
        <w:rPr>
          <w:highlight w:val="none"/>
        </w:rPr>
      </w:pPr>
      <w:bookmarkStart w:id="117" w:name="_Toc456551933"/>
      <w:bookmarkStart w:id="118" w:name="_Toc29195"/>
      <w:bookmarkStart w:id="119" w:name="_Toc10889"/>
      <w:bookmarkStart w:id="120" w:name="_Toc152042305"/>
      <w:bookmarkStart w:id="121" w:name="_Toc246996175"/>
      <w:bookmarkStart w:id="122" w:name="_Toc179632546"/>
      <w:bookmarkStart w:id="123" w:name="_Toc247085689"/>
      <w:bookmarkStart w:id="124" w:name="_Toc152045529"/>
      <w:bookmarkStart w:id="125" w:name="_Toc144974497"/>
      <w:bookmarkStart w:id="126" w:name="_Toc246996918"/>
      <w:bookmarkStart w:id="127" w:name="_Toc296602420"/>
      <w:r>
        <w:rPr>
          <w:rFonts w:hint="eastAsia"/>
          <w:highlight w:val="none"/>
        </w:rPr>
        <w:t>1</w:t>
      </w:r>
      <w:r>
        <w:rPr>
          <w:rFonts w:hint="eastAsia"/>
          <w:highlight w:val="none"/>
          <w:lang w:val="en-US" w:eastAsia="zh-CN"/>
        </w:rPr>
        <w:t>0</w:t>
      </w:r>
      <w:r>
        <w:rPr>
          <w:rFonts w:hint="eastAsia"/>
          <w:highlight w:val="none"/>
        </w:rPr>
        <w:t>. 需要补充的其他内容</w:t>
      </w:r>
      <w:bookmarkEnd w:id="117"/>
      <w:bookmarkEnd w:id="118"/>
      <w:bookmarkEnd w:id="119"/>
    </w:p>
    <w:p>
      <w:pPr>
        <w:spacing w:line="400" w:lineRule="exact"/>
        <w:ind w:firstLine="420" w:firstLineChars="200"/>
        <w:rPr>
          <w:szCs w:val="21"/>
          <w:highlight w:val="none"/>
        </w:rPr>
      </w:pPr>
      <w:r>
        <w:rPr>
          <w:rFonts w:hint="eastAsia"/>
          <w:szCs w:val="21"/>
          <w:highlight w:val="none"/>
        </w:rPr>
        <w:t>需要补充的其他内容：见竞争性谈判响应须知前附表。</w:t>
      </w:r>
    </w:p>
    <w:p>
      <w:pPr>
        <w:pStyle w:val="69"/>
        <w:rPr>
          <w:rFonts w:ascii="宋体" w:hAnsi="宋体"/>
          <w:sz w:val="28"/>
          <w:szCs w:val="28"/>
          <w:highlight w:val="none"/>
        </w:rPr>
      </w:pPr>
      <w:r>
        <w:rPr>
          <w:szCs w:val="21"/>
          <w:highlight w:val="none"/>
        </w:rPr>
        <w:br w:type="page"/>
      </w:r>
      <w:bookmarkStart w:id="128" w:name="_Toc23742"/>
      <w:bookmarkStart w:id="129" w:name="_Toc456551939"/>
      <w:bookmarkStart w:id="130" w:name="_Toc31846"/>
      <w:r>
        <w:rPr>
          <w:rFonts w:hint="eastAsia" w:ascii="宋体" w:hAnsi="宋体" w:eastAsia="宋体" w:cs="宋体"/>
          <w:b/>
          <w:kern w:val="0"/>
          <w:sz w:val="28"/>
          <w:szCs w:val="28"/>
          <w:highlight w:val="none"/>
          <w:lang w:val="en-US" w:eastAsia="zh-CN"/>
        </w:rPr>
        <w:t>第三章 评审办法</w:t>
      </w:r>
      <w:bookmarkEnd w:id="128"/>
      <w:bookmarkEnd w:id="129"/>
      <w:bookmarkEnd w:id="130"/>
    </w:p>
    <w:p>
      <w:pPr>
        <w:bidi w:val="0"/>
        <w:jc w:val="center"/>
        <w:rPr>
          <w:rFonts w:hint="eastAsia" w:ascii="黑体" w:hAnsi="黑体" w:eastAsia="黑体" w:cs="黑体"/>
          <w:sz w:val="28"/>
          <w:szCs w:val="28"/>
          <w:highlight w:val="none"/>
          <w:lang w:val="en-US" w:eastAsia="zh-CN"/>
        </w:rPr>
      </w:pPr>
      <w:bookmarkStart w:id="131" w:name="_Toc21247"/>
      <w:bookmarkStart w:id="132" w:name="_Toc456551940"/>
      <w:r>
        <w:rPr>
          <w:rFonts w:hint="eastAsia" w:ascii="黑体" w:hAnsi="黑体" w:eastAsia="黑体" w:cs="黑体"/>
          <w:sz w:val="28"/>
          <w:szCs w:val="28"/>
          <w:highlight w:val="none"/>
          <w:lang w:val="en-US" w:eastAsia="zh-CN"/>
        </w:rPr>
        <w:t>评审办法前附表</w:t>
      </w:r>
      <w:bookmarkEnd w:id="131"/>
    </w:p>
    <w:tbl>
      <w:tblPr>
        <w:tblStyle w:val="36"/>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973"/>
        <w:gridCol w:w="468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szCs w:val="21"/>
                <w:highlight w:val="none"/>
              </w:rPr>
              <w:t>序号</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hint="eastAsia" w:ascii="宋体" w:hAnsi="宋体" w:cs="宋体"/>
                <w:kern w:val="0"/>
                <w:sz w:val="20"/>
                <w:szCs w:val="21"/>
                <w:highlight w:val="none"/>
              </w:rPr>
              <w:t>评审内容</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highlight w:val="none"/>
              </w:rPr>
            </w:pPr>
            <w:r>
              <w:rPr>
                <w:rFonts w:hint="eastAsia" w:ascii="宋体" w:hAnsi="宋体" w:cs="宋体"/>
                <w:kern w:val="0"/>
                <w:sz w:val="20"/>
                <w:szCs w:val="21"/>
                <w:highlight w:val="none"/>
              </w:rPr>
              <w:t>评审标准</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highlight w:val="none"/>
              </w:rPr>
            </w:pPr>
            <w:r>
              <w:rPr>
                <w:rFonts w:hint="eastAsia" w:ascii="宋体" w:hAnsi="宋体" w:cs="宋体"/>
                <w:highlight w:val="none"/>
              </w:rPr>
              <w:t>竞争性谈判文件索引页码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hint="eastAsia" w:ascii="宋体" w:hAnsi="宋体" w:cs="宋体"/>
                <w:szCs w:val="21"/>
                <w:highlight w:val="none"/>
              </w:rPr>
              <w:t>1</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响应人资格要求</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符合响应人资格要求</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2</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响应文件盖章、签署</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hAnsi="宋体" w:cs="宋体"/>
                <w:bCs/>
                <w:szCs w:val="21"/>
                <w:highlight w:val="none"/>
                <w:lang w:bidi="ar"/>
              </w:rPr>
              <w:t>响应文件按采购文件要求签署、盖章的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3</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报价</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hAnsi="宋体" w:cs="宋体"/>
                <w:bCs/>
                <w:szCs w:val="21"/>
                <w:highlight w:val="none"/>
                <w:lang w:bidi="ar"/>
              </w:rPr>
              <w:t>按照竞争性谈判文件的规定进行报价的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4</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hAnsi="宋体" w:cs="宋体"/>
                <w:bCs/>
                <w:szCs w:val="21"/>
                <w:highlight w:val="none"/>
                <w:lang w:bidi="ar"/>
              </w:rPr>
              <w:t>“★”符号的条款</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szCs w:val="21"/>
                <w:highlight w:val="none"/>
                <w:lang w:bidi="ar"/>
              </w:rPr>
            </w:pPr>
            <w:r>
              <w:rPr>
                <w:rFonts w:hint="eastAsia" w:hAnsi="宋体" w:cs="宋体"/>
                <w:bCs/>
                <w:szCs w:val="21"/>
                <w:highlight w:val="none"/>
                <w:lang w:bidi="ar"/>
              </w:rPr>
              <w:t>无负偏离标注“★”符号的条款</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5</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szCs w:val="21"/>
                <w:highlight w:val="none"/>
                <w:lang w:bidi="ar"/>
              </w:rPr>
            </w:pPr>
            <w:r>
              <w:rPr>
                <w:rFonts w:hint="eastAsia" w:hAnsi="宋体" w:cs="宋体"/>
                <w:bCs/>
                <w:szCs w:val="21"/>
                <w:highlight w:val="none"/>
                <w:lang w:bidi="ar"/>
              </w:rPr>
              <w:t>附加条件</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szCs w:val="21"/>
                <w:highlight w:val="none"/>
                <w:lang w:bidi="ar"/>
              </w:rPr>
            </w:pPr>
            <w:r>
              <w:rPr>
                <w:rFonts w:hint="eastAsia" w:hAnsi="宋体" w:cs="宋体"/>
                <w:bCs/>
                <w:szCs w:val="21"/>
                <w:highlight w:val="none"/>
                <w:lang w:bidi="ar"/>
              </w:rPr>
              <w:t>响应文件未含有采购人不能接受的附加条件的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highlight w:val="none"/>
              </w:rPr>
            </w:pPr>
            <w:r>
              <w:rPr>
                <w:rFonts w:ascii="宋体" w:hAnsi="宋体" w:cs="宋体"/>
                <w:szCs w:val="21"/>
                <w:highlight w:val="none"/>
              </w:rPr>
              <w:t>6</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r>
              <w:rPr>
                <w:rFonts w:hint="eastAsia" w:ascii="宋体" w:hAnsi="宋体" w:cs="宋体"/>
                <w:kern w:val="0"/>
                <w:sz w:val="20"/>
                <w:szCs w:val="21"/>
                <w:highlight w:val="none"/>
              </w:rPr>
              <w:t>其他</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szCs w:val="21"/>
                <w:highlight w:val="none"/>
                <w:lang w:bidi="ar"/>
              </w:rPr>
            </w:pPr>
            <w:r>
              <w:rPr>
                <w:rFonts w:hint="eastAsia" w:hAnsi="宋体" w:cs="宋体"/>
                <w:szCs w:val="21"/>
                <w:highlight w:val="none"/>
              </w:rPr>
              <w:t>未出现</w:t>
            </w:r>
            <w:r>
              <w:rPr>
                <w:rFonts w:hint="eastAsia" w:hAnsi="宋体" w:cs="宋体"/>
                <w:bCs/>
                <w:szCs w:val="21"/>
                <w:highlight w:val="none"/>
                <w:lang w:bidi="ar"/>
              </w:rPr>
              <w:t>法律、法规和竞争性谈判文件规定的其他无效情形。</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2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96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szCs w:val="21"/>
                <w:highlight w:val="none"/>
              </w:rPr>
            </w:pPr>
            <w:r>
              <w:rPr>
                <w:rFonts w:hint="eastAsia" w:ascii="宋体" w:hAnsi="宋体" w:cs="宋体"/>
                <w:kern w:val="0"/>
                <w:szCs w:val="21"/>
                <w:highlight w:val="none"/>
              </w:rPr>
              <w:t>成交候选人推荐原则</w:t>
            </w:r>
          </w:p>
        </w:tc>
        <w:tc>
          <w:tcPr>
            <w:tcW w:w="5823"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kern w:val="0"/>
                <w:highlight w:val="none"/>
              </w:rPr>
            </w:pPr>
            <w:r>
              <w:rPr>
                <w:rFonts w:hint="eastAsia" w:ascii="宋体" w:hAnsi="宋体" w:cs="宋体"/>
                <w:kern w:val="0"/>
                <w:highlight w:val="none"/>
              </w:rPr>
              <w:t>本项目推荐</w:t>
            </w:r>
            <w:r>
              <w:rPr>
                <w:rFonts w:ascii="宋体" w:hAnsi="宋体" w:cs="宋体"/>
                <w:kern w:val="0"/>
                <w:highlight w:val="none"/>
              </w:rPr>
              <w:t>1</w:t>
            </w:r>
            <w:r>
              <w:rPr>
                <w:rFonts w:hint="eastAsia" w:ascii="宋体" w:hAnsi="宋体" w:cs="宋体"/>
                <w:kern w:val="0"/>
                <w:highlight w:val="none"/>
              </w:rPr>
              <w:t>名成交候选人。</w:t>
            </w:r>
            <w:r>
              <w:rPr>
                <w:rFonts w:hint="eastAsia"/>
                <w:szCs w:val="21"/>
                <w:highlight w:val="none"/>
              </w:rPr>
              <w:t>根据符合采购需求、质量和服务且报价最低的原则按顺序排列推荐成交侯选人</w:t>
            </w:r>
            <w:r>
              <w:rPr>
                <w:rFonts w:hint="eastAsia" w:ascii="宋体" w:hAnsi="宋体" w:cs="宋体"/>
                <w:kern w:val="0"/>
                <w:highlight w:val="none"/>
              </w:rPr>
              <w:t>。</w:t>
            </w:r>
          </w:p>
        </w:tc>
      </w:tr>
    </w:tbl>
    <w:p>
      <w:pPr>
        <w:pStyle w:val="3"/>
        <w:bidi w:val="0"/>
        <w:rPr>
          <w:rFonts w:hint="eastAsia"/>
          <w:highlight w:val="none"/>
        </w:rPr>
      </w:pPr>
      <w:bookmarkStart w:id="133" w:name="_Toc3693"/>
      <w:bookmarkStart w:id="134" w:name="_Toc27677"/>
      <w:r>
        <w:rPr>
          <w:rFonts w:hint="eastAsia"/>
          <w:highlight w:val="none"/>
        </w:rPr>
        <w:t>1．评审方法</w:t>
      </w:r>
      <w:bookmarkEnd w:id="133"/>
      <w:bookmarkEnd w:id="134"/>
    </w:p>
    <w:p>
      <w:pPr>
        <w:spacing w:line="360" w:lineRule="auto"/>
        <w:ind w:firstLine="420" w:firstLineChars="200"/>
        <w:rPr>
          <w:rFonts w:ascii="宋体" w:hAnsi="宋体"/>
          <w:szCs w:val="21"/>
          <w:highlight w:val="none"/>
        </w:rPr>
      </w:pPr>
      <w:r>
        <w:rPr>
          <w:rFonts w:hint="eastAsia" w:ascii="宋体" w:hAnsi="宋体"/>
          <w:szCs w:val="21"/>
          <w:highlight w:val="none"/>
        </w:rPr>
        <w:t>本次评审采用最低评标价法。谈判小组对满足竞争性谈判文件实质性要求的响应文件，</w:t>
      </w:r>
      <w:r>
        <w:rPr>
          <w:rFonts w:hint="eastAsia"/>
          <w:szCs w:val="21"/>
          <w:highlight w:val="none"/>
        </w:rPr>
        <w:t>根据符合采购需求、质量和服务且报价最低的原则按顺序排列推荐成交侯选人。</w:t>
      </w:r>
    </w:p>
    <w:p>
      <w:pPr>
        <w:pStyle w:val="3"/>
        <w:bidi w:val="0"/>
        <w:rPr>
          <w:highlight w:val="none"/>
        </w:rPr>
      </w:pPr>
      <w:bookmarkStart w:id="135" w:name="_Toc4182"/>
      <w:bookmarkStart w:id="136" w:name="_Toc18734"/>
      <w:r>
        <w:rPr>
          <w:rFonts w:hint="eastAsia"/>
          <w:highlight w:val="none"/>
        </w:rPr>
        <w:t>2．评审标准</w:t>
      </w:r>
      <w:bookmarkEnd w:id="135"/>
      <w:bookmarkEnd w:id="136"/>
    </w:p>
    <w:p>
      <w:pPr>
        <w:spacing w:line="360" w:lineRule="auto"/>
        <w:ind w:firstLine="420" w:firstLineChars="200"/>
        <w:rPr>
          <w:rFonts w:ascii="宋体" w:hAnsi="宋体"/>
          <w:szCs w:val="21"/>
          <w:highlight w:val="none"/>
        </w:rPr>
      </w:pPr>
      <w:r>
        <w:rPr>
          <w:rFonts w:hint="eastAsia"/>
          <w:highlight w:val="none"/>
        </w:rPr>
        <w:t>评审标准：</w:t>
      </w:r>
      <w:r>
        <w:rPr>
          <w:rFonts w:hint="eastAsia" w:ascii="宋体" w:hAnsi="宋体"/>
          <w:szCs w:val="21"/>
          <w:highlight w:val="none"/>
        </w:rPr>
        <w:t>见评审办法前附表。</w:t>
      </w:r>
    </w:p>
    <w:p>
      <w:pPr>
        <w:pStyle w:val="3"/>
        <w:bidi w:val="0"/>
        <w:rPr>
          <w:highlight w:val="none"/>
        </w:rPr>
      </w:pPr>
      <w:bookmarkStart w:id="137" w:name="_Toc27488"/>
      <w:bookmarkStart w:id="138" w:name="_Toc28507"/>
      <w:r>
        <w:rPr>
          <w:rFonts w:hint="eastAsia"/>
          <w:highlight w:val="none"/>
        </w:rPr>
        <w:t>3．评审程序</w:t>
      </w:r>
      <w:bookmarkEnd w:id="137"/>
      <w:bookmarkEnd w:id="138"/>
    </w:p>
    <w:p>
      <w:pPr>
        <w:bidi w:val="0"/>
        <w:rPr>
          <w:rFonts w:hint="eastAsia"/>
          <w:b/>
          <w:bCs/>
          <w:sz w:val="32"/>
          <w:szCs w:val="40"/>
          <w:highlight w:val="none"/>
        </w:rPr>
      </w:pPr>
      <w:r>
        <w:rPr>
          <w:rFonts w:hint="eastAsia"/>
          <w:b/>
          <w:bCs/>
          <w:sz w:val="32"/>
          <w:szCs w:val="40"/>
          <w:highlight w:val="none"/>
        </w:rPr>
        <w:t>3.1 初步评审</w:t>
      </w:r>
    </w:p>
    <w:p>
      <w:pPr>
        <w:spacing w:line="360" w:lineRule="auto"/>
        <w:ind w:firstLine="422" w:firstLineChars="200"/>
        <w:rPr>
          <w:rFonts w:ascii="宋体" w:hAnsi="宋体"/>
          <w:b/>
          <w:szCs w:val="21"/>
          <w:highlight w:val="none"/>
        </w:rPr>
      </w:pPr>
      <w:r>
        <w:rPr>
          <w:rFonts w:hint="eastAsia" w:ascii="宋体" w:hAnsi="宋体"/>
          <w:b/>
          <w:szCs w:val="21"/>
          <w:highlight w:val="none"/>
        </w:rPr>
        <w:t>3.1.1</w:t>
      </w:r>
      <w:r>
        <w:rPr>
          <w:rFonts w:hint="eastAsia" w:ascii="宋体" w:hAnsi="宋体"/>
          <w:szCs w:val="21"/>
          <w:highlight w:val="none"/>
        </w:rPr>
        <w:t>谈判小组根据评审办法前附表规定的标准对响应文件进行评审。有一项不符合评审标准的，</w:t>
      </w:r>
      <w:r>
        <w:rPr>
          <w:rFonts w:hint="eastAsia"/>
          <w:highlight w:val="none"/>
        </w:rPr>
        <w:t>谈判小组应当否决其竞争性谈判。</w:t>
      </w:r>
      <w:r>
        <w:rPr>
          <w:rFonts w:hint="eastAsia" w:ascii="宋体" w:hAnsi="宋体"/>
          <w:b/>
          <w:szCs w:val="21"/>
          <w:highlight w:val="none"/>
        </w:rPr>
        <w:t xml:space="preserve"> </w:t>
      </w:r>
    </w:p>
    <w:p>
      <w:pPr>
        <w:spacing w:line="360" w:lineRule="auto"/>
        <w:ind w:firstLine="422" w:firstLineChars="200"/>
        <w:rPr>
          <w:rFonts w:ascii="宋体" w:hAnsi="宋体"/>
          <w:szCs w:val="21"/>
          <w:highlight w:val="none"/>
        </w:rPr>
      </w:pPr>
      <w:r>
        <w:rPr>
          <w:rFonts w:hint="eastAsia" w:ascii="宋体" w:hAnsi="宋体"/>
          <w:b/>
          <w:szCs w:val="21"/>
          <w:highlight w:val="none"/>
        </w:rPr>
        <w:t>3.1.2</w:t>
      </w:r>
      <w:r>
        <w:rPr>
          <w:rFonts w:hint="eastAsia" w:ascii="宋体" w:hAnsi="宋体"/>
          <w:szCs w:val="21"/>
          <w:highlight w:val="none"/>
        </w:rPr>
        <w:t xml:space="preserve">谈判小组可以要求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竞争性谈判文件的实质性要求和条件的，不允许响应人通过澄清等方式使之成为具有响应性的竞争性谈判。 </w:t>
      </w:r>
    </w:p>
    <w:p>
      <w:pPr>
        <w:spacing w:line="360" w:lineRule="auto"/>
        <w:ind w:firstLine="422" w:firstLineChars="200"/>
        <w:rPr>
          <w:rFonts w:ascii="宋体" w:hAnsi="宋体"/>
          <w:szCs w:val="21"/>
          <w:highlight w:val="none"/>
        </w:rPr>
      </w:pPr>
      <w:r>
        <w:rPr>
          <w:rFonts w:hint="eastAsia" w:ascii="宋体" w:hAnsi="宋体"/>
          <w:b/>
          <w:szCs w:val="21"/>
          <w:highlight w:val="none"/>
        </w:rPr>
        <w:t>3.1.3</w:t>
      </w:r>
      <w:r>
        <w:rPr>
          <w:rFonts w:hint="eastAsia" w:ascii="宋体" w:hAnsi="宋体"/>
          <w:szCs w:val="21"/>
          <w:highlight w:val="none"/>
        </w:rPr>
        <w:t>谈判小组不得向响应人提出带有暗示性或诱导性的问题或向其明确响应文件中的遗漏和错误，不得接受响应人主动提出的澄清、说明、修正和补充。</w:t>
      </w:r>
    </w:p>
    <w:p>
      <w:pPr>
        <w:spacing w:line="360" w:lineRule="auto"/>
        <w:ind w:firstLine="422" w:firstLineChars="200"/>
        <w:rPr>
          <w:rFonts w:ascii="宋体" w:hAnsi="宋体"/>
          <w:b/>
          <w:szCs w:val="21"/>
          <w:highlight w:val="none"/>
        </w:rPr>
      </w:pPr>
      <w:r>
        <w:rPr>
          <w:rFonts w:hint="eastAsia" w:ascii="宋体" w:hAnsi="宋体"/>
          <w:b/>
          <w:szCs w:val="21"/>
          <w:highlight w:val="none"/>
        </w:rPr>
        <w:t>3.1.</w:t>
      </w:r>
      <w:r>
        <w:rPr>
          <w:rFonts w:ascii="宋体" w:hAnsi="宋体"/>
          <w:b/>
          <w:szCs w:val="21"/>
          <w:highlight w:val="none"/>
        </w:rPr>
        <w:t>4</w:t>
      </w:r>
      <w:r>
        <w:rPr>
          <w:rFonts w:hint="eastAsia" w:ascii="宋体" w:hAnsi="宋体"/>
          <w:b/>
          <w:szCs w:val="21"/>
          <w:highlight w:val="none"/>
        </w:rPr>
        <w:t xml:space="preserve"> 响应人有以下情形之一的，</w:t>
      </w:r>
      <w:r>
        <w:rPr>
          <w:rFonts w:hint="eastAsia"/>
          <w:b/>
          <w:highlight w:val="none"/>
        </w:rPr>
        <w:t>谈判小组应当否决其竞争性谈判</w:t>
      </w:r>
      <w:r>
        <w:rPr>
          <w:rFonts w:hint="eastAsia" w:ascii="宋体" w:hAnsi="宋体"/>
          <w:b/>
          <w:szCs w:val="21"/>
          <w:highlight w:val="none"/>
        </w:rPr>
        <w:t>：</w:t>
      </w:r>
    </w:p>
    <w:p>
      <w:pPr>
        <w:widowControl/>
        <w:numPr>
          <w:ilvl w:val="0"/>
          <w:numId w:val="7"/>
        </w:numPr>
        <w:spacing w:after="109" w:line="259" w:lineRule="auto"/>
        <w:jc w:val="left"/>
        <w:rPr>
          <w:b/>
          <w:highlight w:val="none"/>
        </w:rPr>
      </w:pPr>
      <w:r>
        <w:rPr>
          <w:b/>
          <w:highlight w:val="none"/>
        </w:rPr>
        <w:t>响应文件中无法定代表人</w:t>
      </w:r>
      <w:r>
        <w:rPr>
          <w:rFonts w:hint="eastAsia"/>
          <w:b/>
          <w:highlight w:val="none"/>
        </w:rPr>
        <w:t>证明书及其</w:t>
      </w:r>
      <w:r>
        <w:rPr>
          <w:b/>
          <w:highlight w:val="none"/>
        </w:rPr>
        <w:t xml:space="preserve">出具的授权委托书的； </w:t>
      </w:r>
    </w:p>
    <w:p>
      <w:pPr>
        <w:widowControl/>
        <w:numPr>
          <w:ilvl w:val="0"/>
          <w:numId w:val="7"/>
        </w:numPr>
        <w:spacing w:after="109" w:line="259" w:lineRule="auto"/>
        <w:jc w:val="left"/>
        <w:rPr>
          <w:b/>
          <w:highlight w:val="none"/>
        </w:rPr>
      </w:pPr>
      <w:r>
        <w:rPr>
          <w:rFonts w:hint="eastAsia"/>
          <w:b/>
          <w:highlight w:val="none"/>
        </w:rPr>
        <w:t>未按竞争性谈判文件规定加盖公章和签署；</w:t>
      </w:r>
    </w:p>
    <w:p>
      <w:pPr>
        <w:widowControl/>
        <w:numPr>
          <w:ilvl w:val="0"/>
          <w:numId w:val="7"/>
        </w:numPr>
        <w:spacing w:after="109" w:line="259" w:lineRule="auto"/>
        <w:jc w:val="left"/>
        <w:rPr>
          <w:b/>
          <w:highlight w:val="none"/>
        </w:rPr>
      </w:pPr>
      <w:r>
        <w:rPr>
          <w:b/>
          <w:highlight w:val="none"/>
        </w:rPr>
        <w:t>响应人提交两份以上不同内容的响应文件，或在一份响应文件中有两个或多个报价，且未声明哪一个为最终报价的，但按竞争性谈判文件规定提交备选竞争性谈判方案的除外；</w:t>
      </w:r>
    </w:p>
    <w:p>
      <w:pPr>
        <w:widowControl/>
        <w:numPr>
          <w:ilvl w:val="0"/>
          <w:numId w:val="7"/>
        </w:numPr>
        <w:spacing w:after="109" w:line="259" w:lineRule="auto"/>
        <w:jc w:val="left"/>
        <w:rPr>
          <w:b/>
          <w:highlight w:val="none"/>
        </w:rPr>
      </w:pPr>
      <w:r>
        <w:rPr>
          <w:b/>
          <w:highlight w:val="none"/>
        </w:rPr>
        <w:t xml:space="preserve">响应人以他人名义竞争性谈判或者响应人经资格审查不符合资格条件的； </w:t>
      </w:r>
    </w:p>
    <w:p>
      <w:pPr>
        <w:widowControl/>
        <w:numPr>
          <w:ilvl w:val="0"/>
          <w:numId w:val="7"/>
        </w:numPr>
        <w:spacing w:after="109" w:line="259" w:lineRule="auto"/>
        <w:jc w:val="left"/>
        <w:rPr>
          <w:b/>
          <w:highlight w:val="none"/>
        </w:rPr>
      </w:pPr>
      <w:r>
        <w:rPr>
          <w:rFonts w:hint="eastAsia"/>
          <w:b/>
          <w:highlight w:val="none"/>
        </w:rPr>
        <w:t>未按要求提交竞争性谈判保证金或提交的竞争性谈判保证金不足的；</w:t>
      </w:r>
    </w:p>
    <w:p>
      <w:pPr>
        <w:widowControl/>
        <w:numPr>
          <w:ilvl w:val="0"/>
          <w:numId w:val="7"/>
        </w:numPr>
        <w:spacing w:after="109" w:line="259" w:lineRule="auto"/>
        <w:jc w:val="left"/>
        <w:rPr>
          <w:b/>
          <w:highlight w:val="none"/>
        </w:rPr>
      </w:pPr>
      <w:r>
        <w:rPr>
          <w:b/>
          <w:highlight w:val="none"/>
        </w:rPr>
        <w:t>竞争性谈判有效期不满足竞争性谈判文件要求的；</w:t>
      </w:r>
    </w:p>
    <w:p>
      <w:pPr>
        <w:widowControl/>
        <w:numPr>
          <w:ilvl w:val="0"/>
          <w:numId w:val="7"/>
        </w:numPr>
        <w:spacing w:after="109" w:line="259" w:lineRule="auto"/>
        <w:jc w:val="left"/>
        <w:rPr>
          <w:b/>
          <w:highlight w:val="none"/>
        </w:rPr>
      </w:pPr>
      <w:r>
        <w:rPr>
          <w:b/>
          <w:highlight w:val="none"/>
        </w:rPr>
        <w:t xml:space="preserve">竞争性谈判报价低于成本价，且响应人不能按谈判小组要求对其报价进行合理说明或提供相关证明材料的； </w:t>
      </w:r>
    </w:p>
    <w:p>
      <w:pPr>
        <w:widowControl/>
        <w:numPr>
          <w:ilvl w:val="0"/>
          <w:numId w:val="7"/>
        </w:numPr>
        <w:spacing w:after="109" w:line="259" w:lineRule="auto"/>
        <w:jc w:val="left"/>
        <w:rPr>
          <w:b/>
          <w:highlight w:val="none"/>
        </w:rPr>
      </w:pPr>
      <w:r>
        <w:rPr>
          <w:b/>
          <w:highlight w:val="none"/>
        </w:rPr>
        <w:t>竞争性谈判报价高于竞争性谈判文件设定的最高限价的；</w:t>
      </w:r>
    </w:p>
    <w:p>
      <w:pPr>
        <w:widowControl/>
        <w:numPr>
          <w:ilvl w:val="0"/>
          <w:numId w:val="7"/>
        </w:numPr>
        <w:spacing w:after="109" w:line="259" w:lineRule="auto"/>
        <w:jc w:val="left"/>
        <w:rPr>
          <w:b/>
          <w:highlight w:val="none"/>
        </w:rPr>
      </w:pPr>
      <w:r>
        <w:rPr>
          <w:b/>
          <w:highlight w:val="none"/>
        </w:rPr>
        <w:t>响应文件未能对竞争性谈判文件中提出的实质性要求和条件做出实质性响应的；</w:t>
      </w:r>
    </w:p>
    <w:p>
      <w:pPr>
        <w:widowControl/>
        <w:numPr>
          <w:ilvl w:val="0"/>
          <w:numId w:val="7"/>
        </w:numPr>
        <w:spacing w:after="109" w:line="259" w:lineRule="auto"/>
        <w:jc w:val="left"/>
        <w:rPr>
          <w:b/>
          <w:highlight w:val="none"/>
        </w:rPr>
      </w:pPr>
      <w:r>
        <w:rPr>
          <w:b/>
          <w:highlight w:val="none"/>
        </w:rPr>
        <w:t xml:space="preserve">响应人有串通竞争性谈判、弄虚作假、行贿等违法行为的； </w:t>
      </w:r>
    </w:p>
    <w:p>
      <w:pPr>
        <w:widowControl/>
        <w:numPr>
          <w:ilvl w:val="0"/>
          <w:numId w:val="7"/>
        </w:numPr>
        <w:spacing w:after="109" w:line="259" w:lineRule="auto"/>
        <w:jc w:val="left"/>
        <w:rPr>
          <w:b/>
          <w:highlight w:val="none"/>
        </w:rPr>
      </w:pPr>
      <w:r>
        <w:rPr>
          <w:rFonts w:hint="eastAsia"/>
          <w:b/>
          <w:highlight w:val="none"/>
        </w:rPr>
        <w:t>不按谈判小组要求澄清、说明或补正；</w:t>
      </w:r>
    </w:p>
    <w:p>
      <w:pPr>
        <w:widowControl/>
        <w:numPr>
          <w:ilvl w:val="0"/>
          <w:numId w:val="7"/>
        </w:numPr>
        <w:spacing w:after="109" w:line="259" w:lineRule="auto"/>
        <w:jc w:val="left"/>
        <w:rPr>
          <w:b/>
          <w:highlight w:val="none"/>
        </w:rPr>
      </w:pPr>
      <w:r>
        <w:rPr>
          <w:b/>
          <w:highlight w:val="none"/>
        </w:rPr>
        <w:t xml:space="preserve">竞争性谈判文件明确规定可以否决竞争性谈判的其他情形。 </w:t>
      </w:r>
    </w:p>
    <w:p>
      <w:pPr>
        <w:spacing w:line="360" w:lineRule="auto"/>
        <w:ind w:firstLine="420" w:firstLineChars="200"/>
        <w:rPr>
          <w:rFonts w:ascii="宋体" w:hAnsi="宋体"/>
          <w:szCs w:val="21"/>
          <w:highlight w:val="none"/>
        </w:rPr>
      </w:pPr>
      <w:r>
        <w:rPr>
          <w:rFonts w:hint="eastAsia" w:ascii="宋体" w:hAnsi="宋体"/>
          <w:szCs w:val="21"/>
          <w:highlight w:val="none"/>
        </w:rPr>
        <w:t>3.1.</w:t>
      </w:r>
      <w:r>
        <w:rPr>
          <w:rFonts w:ascii="宋体" w:hAnsi="宋体"/>
          <w:szCs w:val="21"/>
          <w:highlight w:val="none"/>
        </w:rPr>
        <w:t>5</w:t>
      </w:r>
      <w:r>
        <w:rPr>
          <w:rFonts w:hint="eastAsia" w:ascii="宋体" w:hAnsi="宋体"/>
          <w:szCs w:val="21"/>
          <w:highlight w:val="none"/>
        </w:rPr>
        <w:t>评审过程中，谈判小组收到低于成本价竞争性谈判的书面质疑材料、发现响应人的综合报价明显低于其他竞争性谈判报价或者设有标底时明显低于标底，认为竞争性谈判报价可能低于成本的，应当书面要求该响应人作出书面说明并提供相关证明材料。响应人不能合理说明或者不能提供相应证明材料的，由谈判小组认定该响应人以低于成本报价竞标，</w:t>
      </w:r>
      <w:r>
        <w:rPr>
          <w:rFonts w:hint="eastAsia"/>
          <w:szCs w:val="21"/>
          <w:highlight w:val="none"/>
        </w:rPr>
        <w:t>谈判小组应当否决其竞争性谈判</w:t>
      </w:r>
      <w:r>
        <w:rPr>
          <w:rFonts w:hint="eastAsia" w:ascii="宋体" w:hAnsi="宋体"/>
          <w:szCs w:val="21"/>
          <w:highlight w:val="none"/>
        </w:rPr>
        <w:t>。</w:t>
      </w:r>
    </w:p>
    <w:p>
      <w:pPr>
        <w:spacing w:line="360" w:lineRule="auto"/>
        <w:ind w:firstLine="420" w:firstLineChars="200"/>
        <w:rPr>
          <w:rFonts w:ascii="宋体" w:hAnsi="宋体"/>
          <w:szCs w:val="21"/>
          <w:highlight w:val="none"/>
        </w:rPr>
      </w:pPr>
      <w:r>
        <w:rPr>
          <w:rFonts w:hint="eastAsia" w:ascii="宋体" w:hAnsi="宋体"/>
          <w:szCs w:val="21"/>
          <w:highlight w:val="none"/>
        </w:rPr>
        <w:t>3.1.</w:t>
      </w:r>
      <w:r>
        <w:rPr>
          <w:rFonts w:ascii="宋体" w:hAnsi="宋体"/>
          <w:szCs w:val="21"/>
          <w:highlight w:val="none"/>
        </w:rPr>
        <w:t>6</w:t>
      </w:r>
      <w:r>
        <w:rPr>
          <w:rFonts w:hint="eastAsia" w:ascii="宋体" w:hAnsi="宋体"/>
          <w:szCs w:val="21"/>
          <w:highlight w:val="none"/>
        </w:rPr>
        <w:t xml:space="preserve"> 竞争性谈判报价有算术错误的，谈判小组按照以下原则对竞争性谈判报价进行修正，修正的价格经响应人书面确认后具有约束力。响应人不接受修正价格的，</w:t>
      </w:r>
      <w:r>
        <w:rPr>
          <w:rFonts w:hint="eastAsia"/>
          <w:szCs w:val="21"/>
          <w:highlight w:val="none"/>
        </w:rPr>
        <w:t>谈判小组应当否决其竞争性谈判</w:t>
      </w:r>
      <w:r>
        <w:rPr>
          <w:rFonts w:hint="eastAsia" w:ascii="宋体" w:hAnsi="宋体"/>
          <w:szCs w:val="21"/>
          <w:highlight w:val="none"/>
        </w:rPr>
        <w:t>。如有补充其他价格修正方式，详见竞争性谈判须知前附表。</w:t>
      </w:r>
    </w:p>
    <w:p>
      <w:pPr>
        <w:spacing w:line="360" w:lineRule="auto"/>
        <w:ind w:firstLine="420" w:firstLineChars="200"/>
        <w:rPr>
          <w:rFonts w:ascii="宋体" w:hAnsi="宋体"/>
          <w:szCs w:val="21"/>
          <w:highlight w:val="none"/>
        </w:rPr>
      </w:pPr>
      <w:r>
        <w:rPr>
          <w:rFonts w:hint="eastAsia" w:ascii="宋体" w:hAnsi="宋体"/>
          <w:szCs w:val="21"/>
          <w:highlight w:val="none"/>
        </w:rPr>
        <w:t>(1）响应文件中的大写金额与小写金额不一致的，以大写金额为准；</w:t>
      </w:r>
    </w:p>
    <w:p>
      <w:pPr>
        <w:spacing w:line="360" w:lineRule="auto"/>
        <w:ind w:firstLine="420" w:firstLineChars="200"/>
        <w:rPr>
          <w:rFonts w:ascii="宋体" w:hAnsi="宋体"/>
          <w:szCs w:val="21"/>
          <w:highlight w:val="none"/>
        </w:rPr>
      </w:pPr>
      <w:r>
        <w:rPr>
          <w:rFonts w:hint="eastAsia" w:ascii="宋体" w:hAnsi="宋体"/>
          <w:szCs w:val="21"/>
          <w:highlight w:val="none"/>
        </w:rPr>
        <w:t>(2）总价金额与根据单价计算出的结果不一致的，以单价金额为准修正总价，但单价金额小数点有明显错误的除外。</w:t>
      </w:r>
    </w:p>
    <w:p>
      <w:pPr>
        <w:bidi w:val="0"/>
        <w:rPr>
          <w:rFonts w:hint="eastAsia"/>
          <w:b/>
          <w:bCs/>
          <w:sz w:val="32"/>
          <w:szCs w:val="40"/>
          <w:highlight w:val="none"/>
        </w:rPr>
      </w:pPr>
      <w:r>
        <w:rPr>
          <w:rFonts w:hint="eastAsia"/>
          <w:b/>
          <w:bCs/>
          <w:sz w:val="32"/>
          <w:szCs w:val="40"/>
          <w:highlight w:val="none"/>
        </w:rPr>
        <w:t>3.2 谈判</w:t>
      </w:r>
    </w:p>
    <w:p>
      <w:pPr>
        <w:pStyle w:val="20"/>
        <w:spacing w:line="520" w:lineRule="exact"/>
        <w:ind w:firstLine="420" w:firstLineChars="200"/>
        <w:rPr>
          <w:rFonts w:ascii="宋体" w:hAnsi="宋体" w:cs="宋体"/>
          <w:kern w:val="0"/>
          <w:szCs w:val="21"/>
          <w:highlight w:val="none"/>
        </w:rPr>
      </w:pPr>
      <w:r>
        <w:rPr>
          <w:rFonts w:hint="eastAsia" w:ascii="宋体" w:hAnsi="宋体" w:cs="宋体"/>
          <w:kern w:val="0"/>
          <w:szCs w:val="21"/>
          <w:highlight w:val="none"/>
        </w:rPr>
        <w:t>3.2.1确定谈判顺序</w:t>
      </w:r>
    </w:p>
    <w:p>
      <w:pPr>
        <w:pStyle w:val="20"/>
        <w:spacing w:line="520" w:lineRule="exact"/>
        <w:ind w:firstLine="420" w:firstLineChars="200"/>
        <w:rPr>
          <w:rFonts w:ascii="宋体" w:hAnsi="宋体" w:cs="宋体"/>
          <w:kern w:val="0"/>
          <w:szCs w:val="21"/>
          <w:highlight w:val="none"/>
        </w:rPr>
      </w:pPr>
      <w:r>
        <w:rPr>
          <w:rFonts w:hint="eastAsia" w:ascii="宋体" w:hAnsi="宋体" w:cs="宋体"/>
          <w:kern w:val="0"/>
          <w:szCs w:val="21"/>
          <w:highlight w:val="none"/>
        </w:rPr>
        <w:t>谈判小组应当通过随机方式确定参加谈判的响应人的谈判顺序。</w:t>
      </w:r>
    </w:p>
    <w:p>
      <w:pPr>
        <w:pStyle w:val="20"/>
        <w:spacing w:line="520" w:lineRule="exact"/>
        <w:ind w:firstLine="420" w:firstLineChars="200"/>
        <w:rPr>
          <w:rFonts w:ascii="宋体" w:hAnsi="宋体"/>
          <w:szCs w:val="21"/>
          <w:highlight w:val="none"/>
        </w:rPr>
      </w:pPr>
      <w:r>
        <w:rPr>
          <w:rFonts w:hint="eastAsia" w:ascii="宋体" w:hAnsi="宋体" w:cs="宋体"/>
          <w:kern w:val="0"/>
          <w:szCs w:val="21"/>
          <w:highlight w:val="none"/>
        </w:rPr>
        <w:t>3.2.2比较与评价</w:t>
      </w:r>
    </w:p>
    <w:p>
      <w:pPr>
        <w:pStyle w:val="20"/>
        <w:spacing w:line="520" w:lineRule="exact"/>
        <w:ind w:firstLine="420" w:firstLineChars="200"/>
        <w:rPr>
          <w:rFonts w:ascii="宋体" w:hAnsi="宋体"/>
          <w:szCs w:val="21"/>
          <w:highlight w:val="none"/>
        </w:rPr>
      </w:pPr>
      <w:r>
        <w:rPr>
          <w:rFonts w:hint="eastAsia" w:ascii="宋体" w:hAnsi="宋体"/>
          <w:szCs w:val="21"/>
          <w:highlight w:val="none"/>
        </w:rPr>
        <w:t>谈判小组对实质性响应文件从商务、技术参数与规格型号、性能与质量、功能或整体方案、售后服务、响应人和制造商资信、相关业绩、执行合同能力等方面进行全面比较与评价。</w:t>
      </w:r>
    </w:p>
    <w:p>
      <w:pPr>
        <w:pStyle w:val="20"/>
        <w:spacing w:line="520" w:lineRule="exact"/>
        <w:ind w:firstLine="420" w:firstLineChars="200"/>
        <w:rPr>
          <w:rFonts w:ascii="宋体" w:hAnsi="宋体"/>
          <w:szCs w:val="21"/>
          <w:highlight w:val="none"/>
        </w:rPr>
      </w:pPr>
      <w:r>
        <w:rPr>
          <w:rFonts w:hint="eastAsia" w:ascii="宋体" w:hAnsi="宋体"/>
          <w:szCs w:val="21"/>
          <w:highlight w:val="none"/>
        </w:rPr>
        <w:t>所有谈判小组成员集体与每位实质性响应的响应人分别进行单独谈判，在谈判中，谈判的任何一方不得透露与谈判有关的其他响应人的技术资料、价格和其他信息。</w:t>
      </w:r>
      <w:r>
        <w:rPr>
          <w:rFonts w:hint="eastAsia" w:ascii="宋体" w:hAnsi="宋体" w:cs="宋体"/>
          <w:kern w:val="0"/>
          <w:szCs w:val="21"/>
          <w:highlight w:val="none"/>
        </w:rPr>
        <w:t>谈判小组所有成员集中与响应人分别进行一轮或多轮谈判。</w:t>
      </w:r>
    </w:p>
    <w:p>
      <w:pPr>
        <w:bidi w:val="0"/>
        <w:rPr>
          <w:b/>
          <w:bCs/>
          <w:sz w:val="32"/>
          <w:szCs w:val="40"/>
          <w:highlight w:val="none"/>
        </w:rPr>
      </w:pPr>
      <w:r>
        <w:rPr>
          <w:rFonts w:hint="eastAsia"/>
          <w:b/>
          <w:bCs/>
          <w:sz w:val="32"/>
          <w:szCs w:val="40"/>
          <w:highlight w:val="none"/>
        </w:rPr>
        <w:t>3.3最终报价</w:t>
      </w:r>
    </w:p>
    <w:p>
      <w:pPr>
        <w:widowControl/>
        <w:tabs>
          <w:tab w:val="left" w:pos="540"/>
        </w:tabs>
        <w:spacing w:line="520" w:lineRule="exact"/>
        <w:ind w:firstLine="420" w:firstLineChars="200"/>
        <w:jc w:val="left"/>
        <w:rPr>
          <w:rFonts w:ascii="宋体" w:hAnsi="宋体"/>
          <w:szCs w:val="21"/>
          <w:highlight w:val="none"/>
        </w:rPr>
      </w:pPr>
      <w:r>
        <w:rPr>
          <w:rFonts w:hint="eastAsia" w:ascii="宋体" w:hAnsi="宋体"/>
          <w:szCs w:val="21"/>
          <w:highlight w:val="none"/>
        </w:rPr>
        <w:t>竞争性谈判报价原则上不少于两轮报价（含唱标报价），谈判小组应要求所有参加最后一轮谈判的供应商在规定的统一截止时间前提交最终密封报价（最终报价时间视谈判进程由谈判小组决定）。原则上最后一轮报价应进行公开唱标。</w:t>
      </w:r>
    </w:p>
    <w:p>
      <w:pPr>
        <w:widowControl/>
        <w:tabs>
          <w:tab w:val="left" w:pos="540"/>
        </w:tabs>
        <w:spacing w:line="520" w:lineRule="exact"/>
        <w:ind w:firstLine="420" w:firstLineChars="200"/>
        <w:jc w:val="left"/>
        <w:rPr>
          <w:rFonts w:ascii="宋体" w:hAnsi="宋体"/>
          <w:szCs w:val="21"/>
          <w:highlight w:val="none"/>
        </w:rPr>
      </w:pPr>
      <w:r>
        <w:rPr>
          <w:rFonts w:hint="eastAsia" w:ascii="宋体" w:hAnsi="宋体"/>
          <w:szCs w:val="21"/>
          <w:highlight w:val="none"/>
        </w:rPr>
        <w:t>除非在谈判中谈判小组调整或修改采购需求内容，否则采购方不接受高于前面轮次谈判报价的最终报价。</w:t>
      </w:r>
    </w:p>
    <w:p>
      <w:pPr>
        <w:widowControl/>
        <w:spacing w:line="520" w:lineRule="exact"/>
        <w:ind w:firstLine="422" w:firstLineChars="200"/>
        <w:jc w:val="left"/>
        <w:rPr>
          <w:rFonts w:ascii="宋体" w:hAnsi="宋体"/>
          <w:b/>
          <w:szCs w:val="21"/>
          <w:highlight w:val="none"/>
        </w:rPr>
      </w:pPr>
      <w:r>
        <w:rPr>
          <w:rFonts w:hint="eastAsia" w:ascii="宋体" w:hAnsi="宋体"/>
          <w:b/>
          <w:szCs w:val="21"/>
          <w:highlight w:val="none"/>
        </w:rPr>
        <w:t>响应人最终报价逾时不交的，可视为自动放弃评审资格。</w:t>
      </w:r>
    </w:p>
    <w:p>
      <w:pPr>
        <w:bidi w:val="0"/>
        <w:rPr>
          <w:rFonts w:hint="eastAsia"/>
          <w:b/>
          <w:bCs/>
          <w:sz w:val="32"/>
          <w:szCs w:val="40"/>
          <w:highlight w:val="none"/>
        </w:rPr>
      </w:pPr>
      <w:r>
        <w:rPr>
          <w:rFonts w:hint="eastAsia"/>
          <w:b/>
          <w:bCs/>
          <w:sz w:val="32"/>
          <w:szCs w:val="40"/>
          <w:highlight w:val="none"/>
        </w:rPr>
        <w:t>3.4推荐成交候选人</w:t>
      </w:r>
    </w:p>
    <w:p>
      <w:pPr>
        <w:spacing w:line="520" w:lineRule="exact"/>
        <w:ind w:firstLine="420" w:firstLineChars="200"/>
        <w:rPr>
          <w:rFonts w:ascii="宋体" w:hAnsi="宋体" w:cs="Courier New"/>
          <w:szCs w:val="21"/>
          <w:highlight w:val="none"/>
        </w:rPr>
      </w:pPr>
      <w:r>
        <w:rPr>
          <w:rFonts w:hint="eastAsia" w:ascii="宋体" w:hAnsi="宋体" w:cs="Courier New"/>
          <w:szCs w:val="21"/>
          <w:highlight w:val="none"/>
        </w:rPr>
        <w:t>竞争性谈判以响应人最后一轮谈判的报价及承诺作为谈判小组向采购人推荐成交候选人的依据，谈判小组应当根据符合采购需求、质量和服务相等且报价最低的原则按顺序排列推荐成交侯选响应人。</w:t>
      </w:r>
    </w:p>
    <w:p>
      <w:pPr>
        <w:spacing w:line="520" w:lineRule="exact"/>
        <w:ind w:firstLine="420" w:firstLineChars="200"/>
        <w:rPr>
          <w:rFonts w:ascii="宋体" w:hAnsi="宋体" w:cs="Courier New"/>
          <w:szCs w:val="21"/>
          <w:highlight w:val="none"/>
        </w:rPr>
      </w:pPr>
      <w:r>
        <w:rPr>
          <w:rFonts w:hint="eastAsia" w:ascii="宋体" w:hAnsi="宋体" w:cs="Courier New"/>
          <w:szCs w:val="21"/>
          <w:highlight w:val="none"/>
        </w:rPr>
        <w:t>谈判小组推荐非报价最低的谈判响应人为成交响应人的，须附书面报告说明理由且由谈判小组全体成员签字确认。</w:t>
      </w:r>
    </w:p>
    <w:p>
      <w:pPr>
        <w:spacing w:line="520" w:lineRule="exact"/>
        <w:ind w:firstLine="420" w:firstLineChars="200"/>
        <w:rPr>
          <w:rFonts w:ascii="宋体" w:hAnsi="宋体" w:cs="Courier New"/>
          <w:szCs w:val="21"/>
          <w:highlight w:val="none"/>
        </w:rPr>
      </w:pPr>
      <w:r>
        <w:rPr>
          <w:rFonts w:hint="eastAsia" w:ascii="宋体" w:hAnsi="宋体" w:cs="Courier New"/>
          <w:szCs w:val="21"/>
          <w:highlight w:val="none"/>
        </w:rPr>
        <w:t>在推荐确定成交候选人之前，谈判小组认为，排在前面的成交候选人的最终报价或者某些分项报价明显不合理或者低于成本，有可能影响商品质量和不能诚信履约的，应当要求其在规定的期限内提供书面文件予以说明理由，并提交相关证明材料。否则，谈判小组可以取消该响应人的成交候选资格，按顺序由排在其次的成交候选人递补，以此类推。</w:t>
      </w:r>
    </w:p>
    <w:p>
      <w:pPr>
        <w:bidi w:val="0"/>
        <w:rPr>
          <w:rFonts w:hint="eastAsia"/>
          <w:b/>
          <w:bCs/>
          <w:sz w:val="32"/>
          <w:szCs w:val="40"/>
          <w:highlight w:val="none"/>
        </w:rPr>
      </w:pPr>
      <w:r>
        <w:rPr>
          <w:rFonts w:hint="eastAsia"/>
          <w:b/>
          <w:bCs/>
          <w:sz w:val="32"/>
          <w:szCs w:val="40"/>
          <w:highlight w:val="none"/>
        </w:rPr>
        <w:t>3.5编写评审报告</w:t>
      </w:r>
    </w:p>
    <w:p>
      <w:pPr>
        <w:spacing w:line="520" w:lineRule="exact"/>
        <w:ind w:firstLine="570"/>
        <w:rPr>
          <w:rFonts w:ascii="宋体" w:hAnsi="宋体"/>
          <w:szCs w:val="21"/>
          <w:highlight w:val="none"/>
        </w:rPr>
      </w:pPr>
      <w:r>
        <w:rPr>
          <w:rFonts w:hint="eastAsia" w:ascii="宋体" w:hAnsi="宋体"/>
          <w:szCs w:val="21"/>
          <w:highlight w:val="none"/>
        </w:rPr>
        <w:t>竞争性谈判工作结束后，谈判小组根据全体成员签字的原始记录和结果编写评审报告。评审报告内容主要包括：(1)项目基本情况；(2)竞争性谈判过程介绍；(3)谈判小组构成；(4)谈判评审情况说明（包括详细评审评分、无效响应人名单及原因）；(5)响应人最终报价情况；(6)推荐成交候选人建议等。</w:t>
      </w:r>
    </w:p>
    <w:p>
      <w:pPr>
        <w:widowControl/>
        <w:jc w:val="left"/>
        <w:rPr>
          <w:sz w:val="28"/>
          <w:szCs w:val="28"/>
          <w:highlight w:val="none"/>
        </w:rPr>
        <w:sectPr>
          <w:pgSz w:w="11906" w:h="16838"/>
          <w:pgMar w:top="1440" w:right="1800" w:bottom="1440" w:left="1800" w:header="851" w:footer="992" w:gutter="0"/>
          <w:cols w:space="720" w:num="1"/>
          <w:docGrid w:type="lines" w:linePitch="312" w:charSpace="0"/>
        </w:sectPr>
      </w:pPr>
      <w:r>
        <w:rPr>
          <w:rFonts w:ascii="宋体" w:hAnsi="宋体"/>
          <w:szCs w:val="21"/>
          <w:highlight w:val="none"/>
        </w:rPr>
        <w:br w:type="page"/>
      </w:r>
      <w:bookmarkEnd w:id="120"/>
      <w:bookmarkEnd w:id="121"/>
      <w:bookmarkEnd w:id="122"/>
      <w:bookmarkEnd w:id="123"/>
      <w:bookmarkEnd w:id="124"/>
      <w:bookmarkEnd w:id="125"/>
      <w:bookmarkEnd w:id="126"/>
      <w:bookmarkEnd w:id="127"/>
      <w:bookmarkEnd w:id="132"/>
      <w:bookmarkStart w:id="139" w:name="_Toc456551944"/>
    </w:p>
    <w:bookmarkEnd w:id="139"/>
    <w:p>
      <w:pPr>
        <w:pStyle w:val="2"/>
        <w:jc w:val="center"/>
        <w:rPr>
          <w:rFonts w:ascii="宋体" w:hAnsi="宋体"/>
          <w:sz w:val="28"/>
          <w:szCs w:val="28"/>
          <w:highlight w:val="none"/>
        </w:rPr>
      </w:pPr>
      <w:bookmarkStart w:id="140" w:name="_3._其他说明_4."/>
      <w:bookmarkEnd w:id="140"/>
      <w:bookmarkStart w:id="141" w:name="_Toc246997096"/>
      <w:bookmarkStart w:id="142" w:name="_Toc179632804"/>
      <w:bookmarkStart w:id="143" w:name="_Toc456552075"/>
      <w:bookmarkStart w:id="144" w:name="_Toc338661803"/>
      <w:bookmarkStart w:id="145" w:name="_Toc246996353"/>
      <w:bookmarkStart w:id="146" w:name="_Toc247085870"/>
      <w:bookmarkStart w:id="147" w:name="_Toc32716"/>
      <w:bookmarkStart w:id="148" w:name="_Toc16054"/>
      <w:r>
        <w:rPr>
          <w:rFonts w:hint="eastAsia" w:ascii="宋体" w:hAnsi="宋体"/>
          <w:sz w:val="28"/>
          <w:szCs w:val="28"/>
          <w:highlight w:val="none"/>
        </w:rPr>
        <w:t xml:space="preserve">第四章 </w:t>
      </w:r>
      <w:bookmarkEnd w:id="141"/>
      <w:bookmarkEnd w:id="142"/>
      <w:bookmarkEnd w:id="143"/>
      <w:bookmarkEnd w:id="144"/>
      <w:bookmarkEnd w:id="145"/>
      <w:bookmarkEnd w:id="146"/>
      <w:r>
        <w:rPr>
          <w:rFonts w:hint="eastAsia" w:ascii="宋体" w:hAnsi="宋体"/>
          <w:sz w:val="28"/>
          <w:szCs w:val="28"/>
          <w:highlight w:val="none"/>
        </w:rPr>
        <w:t>用户需求书/技术规范书</w:t>
      </w:r>
      <w:bookmarkEnd w:id="147"/>
      <w:bookmarkEnd w:id="148"/>
    </w:p>
    <w:p>
      <w:pPr>
        <w:pStyle w:val="68"/>
        <w:keepNext w:val="0"/>
        <w:keepLines w:val="0"/>
        <w:pageBreakBefore w:val="0"/>
        <w:overflowPunct/>
        <w:topLinePunct w:val="0"/>
        <w:bidi w:val="0"/>
        <w:spacing w:line="560" w:lineRule="exact"/>
        <w:ind w:firstLine="0" w:firstLineChars="0"/>
        <w:jc w:val="center"/>
        <w:rPr>
          <w:rFonts w:eastAsia="仿宋_GB2312"/>
          <w:b/>
          <w:color w:val="auto"/>
          <w:sz w:val="28"/>
          <w:szCs w:val="28"/>
          <w:highlight w:val="none"/>
        </w:rPr>
      </w:pPr>
      <w:bookmarkStart w:id="149" w:name="_Toc456552076"/>
      <w:bookmarkStart w:id="150" w:name="_Toc435779386"/>
      <w:bookmarkStart w:id="151" w:name="_Toc438143778"/>
      <w:bookmarkStart w:id="152" w:name="_Toc438039969"/>
      <w:r>
        <w:rPr>
          <w:rFonts w:hint="eastAsia" w:eastAsia="仿宋_GB2312"/>
          <w:b/>
          <w:color w:val="auto"/>
          <w:sz w:val="28"/>
          <w:szCs w:val="28"/>
          <w:highlight w:val="none"/>
          <w:lang w:eastAsia="zh-CN"/>
        </w:rPr>
        <w:t>《</w:t>
      </w:r>
      <w:r>
        <w:rPr>
          <w:rFonts w:hint="eastAsia" w:eastAsia="仿宋_GB2312"/>
          <w:b/>
          <w:color w:val="auto"/>
          <w:sz w:val="28"/>
          <w:szCs w:val="28"/>
          <w:highlight w:val="none"/>
        </w:rPr>
        <w:t>新锋交通智慧服务平台项目</w:t>
      </w:r>
      <w:r>
        <w:rPr>
          <w:rFonts w:hint="eastAsia" w:eastAsia="仿宋_GB2312"/>
          <w:b/>
          <w:color w:val="auto"/>
          <w:sz w:val="28"/>
          <w:szCs w:val="28"/>
          <w:highlight w:val="none"/>
          <w:lang w:eastAsia="zh-CN"/>
        </w:rPr>
        <w:t>》</w:t>
      </w:r>
      <w:r>
        <w:rPr>
          <w:rFonts w:hint="eastAsia" w:eastAsia="仿宋_GB2312"/>
          <w:b/>
          <w:color w:val="auto"/>
          <w:sz w:val="28"/>
          <w:szCs w:val="28"/>
          <w:highlight w:val="none"/>
        </w:rPr>
        <w:t>用户需求</w:t>
      </w:r>
      <w:r>
        <w:rPr>
          <w:rFonts w:hint="eastAsia" w:eastAsia="仿宋_GB2312"/>
          <w:b/>
          <w:color w:val="auto"/>
          <w:sz w:val="28"/>
          <w:szCs w:val="28"/>
          <w:highlight w:val="none"/>
          <w:lang w:val="en-US" w:eastAsia="zh-CN"/>
        </w:rPr>
        <w:t>及</w:t>
      </w:r>
      <w:r>
        <w:rPr>
          <w:rFonts w:hint="eastAsia" w:eastAsia="仿宋_GB2312"/>
          <w:b/>
          <w:color w:val="auto"/>
          <w:sz w:val="28"/>
          <w:szCs w:val="28"/>
          <w:highlight w:val="none"/>
        </w:rPr>
        <w:t>技术规范书</w:t>
      </w:r>
    </w:p>
    <w:p>
      <w:pPr>
        <w:pStyle w:val="3"/>
        <w:bidi w:val="0"/>
        <w:rPr>
          <w:rFonts w:hint="eastAsia"/>
          <w:highlight w:val="none"/>
        </w:rPr>
      </w:pPr>
      <w:bookmarkStart w:id="153" w:name="_Toc31602"/>
      <w:r>
        <w:rPr>
          <w:rFonts w:hint="eastAsia"/>
          <w:highlight w:val="none"/>
        </w:rPr>
        <w:t>一、项目概况</w:t>
      </w:r>
      <w:bookmarkEnd w:id="153"/>
    </w:p>
    <w:p>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default" w:ascii="Times New Roman" w:hAnsi="Times New Roman" w:eastAsia="仿宋_GB2312" w:cs="Times New Roman"/>
          <w:color w:val="auto"/>
          <w:kern w:val="0"/>
          <w:sz w:val="28"/>
          <w:szCs w:val="28"/>
          <w:highlight w:val="none"/>
          <w:lang w:val="en-US" w:eastAsia="zh-CN" w:bidi="ar-SA"/>
        </w:rPr>
      </w:pPr>
      <w:bookmarkStart w:id="154" w:name="_Toc24083"/>
      <w:bookmarkStart w:id="155" w:name="_Toc1818"/>
      <w:bookmarkStart w:id="156" w:name="_Toc30469"/>
      <w:bookmarkStart w:id="157" w:name="_Toc26317"/>
      <w:bookmarkStart w:id="158" w:name="_Toc7132"/>
      <w:r>
        <w:rPr>
          <w:rFonts w:hint="eastAsia" w:ascii="Times New Roman" w:hAnsi="Times New Roman" w:eastAsia="仿宋_GB2312" w:cs="Times New Roman"/>
          <w:color w:val="auto"/>
          <w:kern w:val="0"/>
          <w:sz w:val="28"/>
          <w:szCs w:val="28"/>
          <w:highlight w:val="none"/>
          <w:lang w:val="en-US" w:eastAsia="zh-CN" w:bidi="ar-SA"/>
        </w:rPr>
        <w:t>1、名称与</w:t>
      </w:r>
      <w:bookmarkEnd w:id="154"/>
      <w:bookmarkEnd w:id="155"/>
      <w:bookmarkEnd w:id="156"/>
      <w:bookmarkEnd w:id="157"/>
      <w:r>
        <w:rPr>
          <w:rFonts w:hint="eastAsia" w:ascii="Times New Roman" w:hAnsi="Times New Roman" w:eastAsia="仿宋_GB2312" w:cs="Times New Roman"/>
          <w:color w:val="auto"/>
          <w:kern w:val="0"/>
          <w:sz w:val="28"/>
          <w:szCs w:val="28"/>
          <w:highlight w:val="none"/>
          <w:lang w:val="en-US" w:eastAsia="zh-CN" w:bidi="ar-SA"/>
        </w:rPr>
        <w:t>采购方式</w:t>
      </w:r>
      <w:bookmarkEnd w:id="158"/>
    </w:p>
    <w:p>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项目名称：新锋交通智慧服务平台</w:t>
      </w:r>
    </w:p>
    <w:p>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采购方式：竞争性谈判</w:t>
      </w:r>
    </w:p>
    <w:p>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2、预算金额：</w:t>
      </w:r>
    </w:p>
    <w:p>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840" w:firstLineChars="300"/>
        <w:textAlignment w:val="baseline"/>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项目采购限价：¥6</w:t>
      </w:r>
      <w:r>
        <w:rPr>
          <w:rFonts w:hint="eastAsia" w:eastAsia="仿宋_GB2312" w:cs="Times New Roman"/>
          <w:color w:val="auto"/>
          <w:kern w:val="0"/>
          <w:sz w:val="28"/>
          <w:szCs w:val="28"/>
          <w:highlight w:val="none"/>
          <w:lang w:val="en-US" w:eastAsia="zh-CN" w:bidi="ar-SA"/>
        </w:rPr>
        <w:t>0</w:t>
      </w:r>
      <w:r>
        <w:rPr>
          <w:rFonts w:hint="eastAsia" w:ascii="Times New Roman" w:hAnsi="Times New Roman" w:eastAsia="仿宋_GB2312" w:cs="Times New Roman"/>
          <w:color w:val="auto"/>
          <w:kern w:val="0"/>
          <w:sz w:val="28"/>
          <w:szCs w:val="28"/>
          <w:highlight w:val="none"/>
          <w:lang w:val="en-US" w:eastAsia="zh-CN" w:bidi="ar-SA"/>
        </w:rPr>
        <w:t>0,000.00元（含税）</w:t>
      </w:r>
    </w:p>
    <w:p>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Times New Roman" w:hAnsi="Times New Roman" w:eastAsia="仿宋_GB2312" w:cs="Times New Roman"/>
          <w:color w:val="auto"/>
          <w:kern w:val="0"/>
          <w:sz w:val="28"/>
          <w:szCs w:val="28"/>
          <w:highlight w:val="none"/>
          <w:lang w:val="en-US" w:eastAsia="zh-CN" w:bidi="ar-SA"/>
        </w:rPr>
      </w:pPr>
      <w:bookmarkStart w:id="159" w:name="_Toc23449"/>
      <w:bookmarkStart w:id="160" w:name="_Toc29276"/>
      <w:bookmarkStart w:id="161" w:name="_Toc21844"/>
      <w:bookmarkStart w:id="162" w:name="_Toc7653"/>
      <w:bookmarkStart w:id="163" w:name="_Toc28829"/>
      <w:r>
        <w:rPr>
          <w:rFonts w:hint="eastAsia" w:ascii="Times New Roman" w:hAnsi="Times New Roman" w:eastAsia="仿宋_GB2312" w:cs="Times New Roman"/>
          <w:color w:val="auto"/>
          <w:kern w:val="0"/>
          <w:sz w:val="28"/>
          <w:szCs w:val="28"/>
          <w:highlight w:val="none"/>
          <w:lang w:val="en-US" w:eastAsia="zh-CN" w:bidi="ar-SA"/>
        </w:rPr>
        <w:t>3、项目内容及需求情况（采购项目技术规格、参数及要求）</w:t>
      </w:r>
      <w:bookmarkEnd w:id="159"/>
      <w:bookmarkEnd w:id="160"/>
      <w:bookmarkEnd w:id="161"/>
      <w:bookmarkEnd w:id="162"/>
      <w:bookmarkEnd w:id="163"/>
    </w:p>
    <w:tbl>
      <w:tblPr>
        <w:tblStyle w:val="36"/>
        <w:tblW w:w="78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4"/>
        <w:gridCol w:w="2540"/>
        <w:gridCol w:w="1780"/>
        <w:gridCol w:w="27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44" w:type="dxa"/>
            <w:shd w:val="clear" w:color="auto" w:fill="F5F5F5"/>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序号</w:t>
            </w:r>
          </w:p>
        </w:tc>
        <w:tc>
          <w:tcPr>
            <w:tcW w:w="2540" w:type="dxa"/>
            <w:tcBorders>
              <w:left w:val="single" w:color="auto" w:sz="4" w:space="0"/>
            </w:tcBorders>
            <w:shd w:val="clear" w:color="auto" w:fill="F5F5F5"/>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采购标的</w:t>
            </w:r>
          </w:p>
        </w:tc>
        <w:tc>
          <w:tcPr>
            <w:tcW w:w="1780" w:type="dxa"/>
            <w:shd w:val="clear" w:color="auto" w:fill="F5F5F5"/>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数量（单位）</w:t>
            </w:r>
          </w:p>
        </w:tc>
        <w:tc>
          <w:tcPr>
            <w:tcW w:w="2784" w:type="dxa"/>
            <w:shd w:val="clear" w:color="auto" w:fill="F5F5F5"/>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技术规格、参数及要求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744"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1</w:t>
            </w:r>
          </w:p>
        </w:tc>
        <w:tc>
          <w:tcPr>
            <w:tcW w:w="2540" w:type="dxa"/>
            <w:tcBorders>
              <w:left w:val="single" w:color="auto" w:sz="4" w:space="0"/>
            </w:tcBorders>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新锋交通智慧服务平台</w:t>
            </w:r>
          </w:p>
        </w:tc>
        <w:tc>
          <w:tcPr>
            <w:tcW w:w="1780"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1.00(项)</w:t>
            </w:r>
          </w:p>
        </w:tc>
        <w:tc>
          <w:tcPr>
            <w:tcW w:w="2784"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color w:val="auto"/>
                <w:kern w:val="0"/>
                <w:sz w:val="28"/>
                <w:szCs w:val="28"/>
                <w:highlight w:val="none"/>
                <w:lang w:val="en-US" w:eastAsia="zh-CN" w:bidi="ar-SA"/>
              </w:rPr>
            </w:pPr>
            <w:r>
              <w:rPr>
                <w:rFonts w:hint="eastAsia" w:ascii="Times New Roman" w:hAnsi="Times New Roman" w:eastAsia="仿宋_GB2312" w:cs="Times New Roman"/>
                <w:color w:val="auto"/>
                <w:kern w:val="0"/>
                <w:sz w:val="28"/>
                <w:szCs w:val="28"/>
                <w:highlight w:val="none"/>
                <w:lang w:val="en-US" w:eastAsia="zh-CN" w:bidi="ar-SA"/>
              </w:rPr>
              <w:t>详见后文第三部分</w:t>
            </w:r>
          </w:p>
        </w:tc>
      </w:tr>
    </w:tbl>
    <w:p>
      <w:pPr>
        <w:keepNext w:val="0"/>
        <w:keepLines w:val="0"/>
        <w:pageBreakBefore w:val="0"/>
        <w:numPr>
          <w:ilvl w:val="0"/>
          <w:numId w:val="0"/>
        </w:numPr>
        <w:kinsoku w:val="0"/>
        <w:wordWrap/>
        <w:overflowPunct/>
        <w:topLinePunct w:val="0"/>
        <w:autoSpaceDE w:val="0"/>
        <w:autoSpaceDN w:val="0"/>
        <w:bidi w:val="0"/>
        <w:adjustRightInd w:val="0"/>
        <w:snapToGrid w:val="0"/>
        <w:spacing w:line="560" w:lineRule="exact"/>
        <w:ind w:leftChars="200"/>
        <w:textAlignment w:val="baseline"/>
        <w:rPr>
          <w:rFonts w:hint="eastAsia"/>
          <w:color w:val="auto"/>
          <w:highlight w:val="none"/>
        </w:rPr>
      </w:pPr>
      <w:r>
        <w:rPr>
          <w:rFonts w:hint="eastAsia" w:ascii="Times New Roman" w:hAnsi="Times New Roman" w:eastAsia="仿宋_GB2312" w:cs="Times New Roman"/>
          <w:color w:val="auto"/>
          <w:kern w:val="0"/>
          <w:sz w:val="28"/>
          <w:szCs w:val="28"/>
          <w:highlight w:val="none"/>
          <w:lang w:val="en-US" w:eastAsia="zh-CN" w:bidi="ar-SA"/>
        </w:rPr>
        <w:t>4、本采购包不接受联合体响应。</w:t>
      </w:r>
    </w:p>
    <w:p>
      <w:pPr>
        <w:pStyle w:val="3"/>
        <w:bidi w:val="0"/>
        <w:rPr>
          <w:rFonts w:hint="eastAsia"/>
          <w:highlight w:val="none"/>
        </w:rPr>
      </w:pPr>
      <w:bookmarkStart w:id="164" w:name="_Toc13193"/>
      <w:r>
        <w:rPr>
          <w:rFonts w:hint="eastAsia"/>
          <w:highlight w:val="none"/>
          <w:lang w:val="en-US" w:eastAsia="zh-CN"/>
        </w:rPr>
        <w:t>二、</w:t>
      </w:r>
      <w:r>
        <w:rPr>
          <w:rFonts w:hint="eastAsia"/>
          <w:highlight w:val="none"/>
        </w:rPr>
        <w:t>主要商务要求</w:t>
      </w:r>
      <w:bookmarkEnd w:id="164"/>
    </w:p>
    <w:tbl>
      <w:tblPr>
        <w:tblStyle w:val="36"/>
        <w:tblW w:w="925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48"/>
        <w:gridCol w:w="73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948" w:type="dxa"/>
            <w:vAlign w:val="center"/>
          </w:tcPr>
          <w:p>
            <w:pPr>
              <w:pStyle w:val="104"/>
              <w:keepNext w:val="0"/>
              <w:keepLines w:val="0"/>
              <w:pageBreakBefore w:val="0"/>
              <w:wordWrap/>
              <w:overflowPunct/>
              <w:topLinePunct w:val="0"/>
              <w:bidi w:val="0"/>
              <w:spacing w:line="560" w:lineRule="exact"/>
              <w:ind w:left="0" w:firstLine="0" w:firstLineChars="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标的提供的地点</w:t>
            </w:r>
          </w:p>
        </w:tc>
        <w:tc>
          <w:tcPr>
            <w:tcW w:w="7307" w:type="dxa"/>
            <w:vAlign w:val="center"/>
          </w:tcPr>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东莞新锋交通能源发展有限公司下属加气站、加氢站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104"/>
              <w:keepNext w:val="0"/>
              <w:keepLines w:val="0"/>
              <w:pageBreakBefore w:val="0"/>
              <w:wordWrap/>
              <w:overflowPunct/>
              <w:topLinePunct w:val="0"/>
              <w:bidi w:val="0"/>
              <w:spacing w:line="560" w:lineRule="exact"/>
              <w:ind w:left="0" w:firstLine="0" w:firstLineChars="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投标有效期</w:t>
            </w:r>
          </w:p>
        </w:tc>
        <w:tc>
          <w:tcPr>
            <w:tcW w:w="7307" w:type="dxa"/>
            <w:vAlign w:val="center"/>
          </w:tcPr>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从提交投标（响应） 文件的截止之日起</w:t>
            </w:r>
            <w:r>
              <w:rPr>
                <w:rFonts w:hint="eastAsia" w:eastAsia="仿宋_GB2312" w:cs="Times New Roman"/>
                <w:bCs w:val="0"/>
                <w:color w:val="auto"/>
                <w:spacing w:val="0"/>
                <w:kern w:val="0"/>
                <w:sz w:val="22"/>
                <w:szCs w:val="22"/>
                <w:highlight w:val="none"/>
                <w:lang w:val="en-US" w:eastAsia="zh-CN" w:bidi="ar-SA"/>
              </w:rPr>
              <w:t>9</w:t>
            </w:r>
            <w:r>
              <w:rPr>
                <w:rFonts w:hint="eastAsia" w:ascii="Times New Roman" w:hAnsi="Times New Roman" w:eastAsia="仿宋_GB2312" w:cs="Times New Roman"/>
                <w:bCs w:val="0"/>
                <w:color w:val="auto"/>
                <w:spacing w:val="0"/>
                <w:kern w:val="0"/>
                <w:sz w:val="22"/>
                <w:szCs w:val="22"/>
                <w:highlight w:val="none"/>
                <w:lang w:val="en-US" w:eastAsia="zh-CN" w:bidi="ar-SA"/>
              </w:rPr>
              <w:t>0日历天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验收要求</w:t>
            </w:r>
          </w:p>
        </w:tc>
        <w:tc>
          <w:tcPr>
            <w:tcW w:w="7307"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eastAsia="仿宋_GB2312" w:cs="Times New Roman"/>
                <w:bCs w:val="0"/>
                <w:color w:val="auto"/>
                <w:spacing w:val="0"/>
                <w:kern w:val="0"/>
                <w:sz w:val="22"/>
                <w:szCs w:val="22"/>
                <w:highlight w:val="none"/>
                <w:lang w:val="en-US" w:eastAsia="zh-CN" w:bidi="ar-SA"/>
              </w:rPr>
              <w:t>1、</w:t>
            </w:r>
            <w:r>
              <w:rPr>
                <w:rFonts w:hint="eastAsia" w:ascii="Times New Roman" w:hAnsi="Times New Roman" w:eastAsia="仿宋_GB2312" w:cs="Times New Roman"/>
                <w:bCs w:val="0"/>
                <w:color w:val="auto"/>
                <w:spacing w:val="0"/>
                <w:kern w:val="0"/>
                <w:sz w:val="22"/>
                <w:szCs w:val="22"/>
                <w:highlight w:val="none"/>
                <w:lang w:val="en-US" w:eastAsia="zh-CN" w:bidi="ar-SA"/>
              </w:rPr>
              <w:t>初验条件：项目功能100%实现，乙方进行了自检自查，出具自检合格报告；甲方与乙方共同进行了联合检查，确认功能 100%实现，满足试用条件；初验阶段的验收资料齐全完整，签章齐备；各方同意组织验收。</w:t>
            </w:r>
          </w:p>
          <w:p>
            <w:pPr>
              <w:keepNext w:val="0"/>
              <w:keepLines w:val="0"/>
              <w:pageBreakBefore w:val="0"/>
              <w:widowControl w:val="0"/>
              <w:numPr>
                <w:ilvl w:val="-1"/>
                <w:numId w:val="0"/>
              </w:numPr>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eastAsia="仿宋_GB2312" w:cs="Times New Roman"/>
                <w:bCs w:val="0"/>
                <w:color w:val="auto"/>
                <w:spacing w:val="0"/>
                <w:kern w:val="0"/>
                <w:sz w:val="22"/>
                <w:szCs w:val="22"/>
                <w:highlight w:val="none"/>
                <w:lang w:val="en-US" w:eastAsia="zh-CN" w:bidi="ar-SA"/>
              </w:rPr>
              <w:t>2、</w:t>
            </w:r>
            <w:r>
              <w:rPr>
                <w:rFonts w:hint="eastAsia" w:ascii="Times New Roman" w:hAnsi="Times New Roman" w:eastAsia="仿宋_GB2312" w:cs="Times New Roman"/>
                <w:bCs w:val="0"/>
                <w:color w:val="auto"/>
                <w:spacing w:val="0"/>
                <w:kern w:val="0"/>
                <w:sz w:val="22"/>
                <w:szCs w:val="22"/>
                <w:highlight w:val="none"/>
                <w:lang w:val="en-US" w:eastAsia="zh-CN" w:bidi="ar-SA"/>
              </w:rPr>
              <w:t>终验条件：功能完成上线试运行及1个月的迭代优化，期间发现的问题整改完成率100%；验收资料齐全、完整，签章齐备；各方同意组织验收。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104"/>
              <w:keepNext w:val="0"/>
              <w:keepLines w:val="0"/>
              <w:pageBreakBefore w:val="0"/>
              <w:wordWrap/>
              <w:overflowPunct/>
              <w:topLinePunct w:val="0"/>
              <w:bidi w:val="0"/>
              <w:spacing w:line="560" w:lineRule="exact"/>
              <w:ind w:left="0" w:firstLine="0" w:firstLineChars="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报价内容及要求</w:t>
            </w:r>
          </w:p>
        </w:tc>
        <w:tc>
          <w:tcPr>
            <w:tcW w:w="7307" w:type="dxa"/>
            <w:vAlign w:val="center"/>
          </w:tcPr>
          <w:p>
            <w:pPr>
              <w:keepNext w:val="0"/>
              <w:keepLines w:val="0"/>
              <w:pageBreakBefore w:val="0"/>
              <w:widowControl w:val="0"/>
              <w:numPr>
                <w:ilvl w:val="0"/>
                <w:numId w:val="8"/>
              </w:numPr>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本项目投标报价包括开发费、安装调试费、系统接口费、培训费、服务人员费用（包含但不限于办公费、食宿费、交通费、差旅费等）等所有费用。投标报价为投标方所能承受的最低、最终一次性报价。中标人的报价为整个采购项目的总报价，如有漏项，视同已包含在其总项目中，合同价不做调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★2、投标报价低于最高限价的50%需提供相关价格来源证明材料，格式自拟，若无相关价格证明材料报价做无效处理。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pPr>
              <w:pStyle w:val="104"/>
              <w:keepNext w:val="0"/>
              <w:keepLines w:val="0"/>
              <w:pageBreakBefore w:val="0"/>
              <w:wordWrap/>
              <w:overflowPunct/>
              <w:topLinePunct w:val="0"/>
              <w:bidi w:val="0"/>
              <w:spacing w:line="560" w:lineRule="exact"/>
              <w:ind w:left="0" w:firstLine="0" w:firstLineChars="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其他</w:t>
            </w:r>
          </w:p>
        </w:tc>
        <w:tc>
          <w:tcPr>
            <w:tcW w:w="7307" w:type="dxa"/>
            <w:vAlign w:val="center"/>
          </w:tcPr>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p>
        </w:tc>
      </w:tr>
    </w:tbl>
    <w:p>
      <w:pPr>
        <w:pStyle w:val="3"/>
        <w:bidi w:val="0"/>
        <w:rPr>
          <w:rFonts w:hint="eastAsia"/>
          <w:highlight w:val="none"/>
          <w:lang w:val="en-US" w:eastAsia="zh-CN"/>
        </w:rPr>
      </w:pPr>
      <w:bookmarkStart w:id="165" w:name="_Toc13391"/>
      <w:r>
        <w:rPr>
          <w:rFonts w:hint="eastAsia"/>
          <w:highlight w:val="none"/>
          <w:lang w:val="en-US" w:eastAsia="zh-CN"/>
        </w:rPr>
        <w:t>三、技术标准与要求</w:t>
      </w:r>
      <w:bookmarkEnd w:id="165"/>
    </w:p>
    <w:tbl>
      <w:tblPr>
        <w:tblStyle w:val="36"/>
        <w:tblW w:w="9371"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11"/>
        <w:gridCol w:w="923"/>
        <w:gridCol w:w="733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0" w:hRule="atLeast"/>
        </w:trPr>
        <w:tc>
          <w:tcPr>
            <w:tcW w:w="1111" w:type="dxa"/>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参数性质</w:t>
            </w:r>
          </w:p>
        </w:tc>
        <w:tc>
          <w:tcPr>
            <w:tcW w:w="923"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序号</w:t>
            </w:r>
          </w:p>
        </w:tc>
        <w:tc>
          <w:tcPr>
            <w:tcW w:w="7337" w:type="dxa"/>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28" w:hRule="atLeast"/>
        </w:trPr>
        <w:tc>
          <w:tcPr>
            <w:tcW w:w="1111" w:type="dxa"/>
            <w:vMerge w:val="restart"/>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架构核心</w:t>
            </w: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1.先进性与健壮性</w:t>
            </w:r>
          </w:p>
        </w:tc>
        <w:tc>
          <w:tcPr>
            <w:tcW w:w="733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采用主流、成熟且社区活跃的技术栈与架构模式，在保障高性能、高开发效率的同时，控制系统复杂度，确保核心业务的高可用与快速故障恢复能力。</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trPr>
        <w:tc>
          <w:tcPr>
            <w:tcW w:w="1111" w:type="dxa"/>
            <w:vMerge w:val="continue"/>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2.安全内建与纵深防御</w:t>
            </w:r>
          </w:p>
        </w:tc>
        <w:tc>
          <w:tcPr>
            <w:tcW w:w="7337" w:type="dxa"/>
          </w:tcPr>
          <w:p>
            <w:pPr>
              <w:pStyle w:val="110"/>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default" w:ascii="Times New Roman" w:hAnsi="Times New Roman" w:eastAsia="仿宋_GB2312" w:cs="Times New Roman"/>
                <w:bCs w:val="0"/>
                <w:color w:val="auto"/>
                <w:spacing w:val="0"/>
                <w:kern w:val="0"/>
                <w:sz w:val="22"/>
                <w:szCs w:val="22"/>
                <w:highlight w:val="none"/>
                <w:lang w:val="en-US" w:eastAsia="zh-CN" w:bidi="ar-SA"/>
              </w:rPr>
              <w:t>将安全视为核心特性而非附加功能，其要求必须融入设计、开发、测试、部署及运维的全生命周期。构建从网络、主机、应用到数据的多层次主动防御体系。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3.自主可控与平滑演进</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技术选型需兼顾当前效率与未来可持续性，充分考虑对国产化基础软硬件生态的兼容性与平滑迁移路径。系统架构与编码实现应支持渐进式演进，确保在技术迭代或基础设施国产化替代过程中，能实现低成本、低风险的升级与迁移，保障平台的长期技术自主权与生命力。</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4.高效维护与弹性扩展</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确保系统架构清晰、模块解耦、代码与文档规范。支持研发团队高效迭代，并具备通过水平或垂直扩展以应对业务规模增长和技术演进的能力。</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1" w:hRule="atLeast"/>
        </w:trPr>
        <w:tc>
          <w:tcPr>
            <w:tcW w:w="1111" w:type="dxa"/>
            <w:vMerge w:val="restart"/>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架构模式与技术栈</w:t>
            </w: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1.架构模式与技术栈</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1.架构模式：采用前后端分离架构。后端推荐采用基于Spring Boot的模块化架构，以实现清晰的职责分离与良好的可维护性。</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2.技术栈：后端框架：推荐采用 Spring Boot 3.x 框架开发。</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PC前端框架：管理后台推荐采用 Vue 3.x 框架，并建议使用 TypeScript 以提升代码质量与开发体验。</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3.微信小程序端：微信小程序可采用原生开发或成熟的跨端框架（如uni-app、Taro）。</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4.操作系统：支持主流的国产生态圈的开源与商业版操作系统，例如：OpenEuler、OpenAnolis、麒麟软件等。</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5.中间件：支持国产化中间件，例如：宝兰德、东方通等。</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6.数据库：支持主流的国产关系型数据库，例如：人大金仓、达梦等同等国产型关系型数据库。</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1"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2.本地化部署要求</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1.部署模式：系统需支持完全本地化私有部署于招标方指定的内部服务器环境，并交付完整的部署方案与安装手册。</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2.高可用性：生产环境部署方案应避免单点故障，核心服务（应用、数据库）支持集群化部署，并提供相应的灾备与恢复指引。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1"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3.安全性要求</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1.通信安全：前后端及服务间API通信，须在传输层实施全链路强加密，确保数据传输过程中的机密性与完整性，有效防止信息窃取与篡改。</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2.认证与授权：统一的认证与授权：部署符合安全要求的身份认证机制，并实施基于角色的访问控制（RBAC），精确管理用户对系统功能与菜单的访问权限。</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3.精细的数据权限：在功能权限基础上，系统需支持按组织架构（如加气站、运营区域）进行数据层面的访问隔离，确保业务数据在授权范围内安全流动。</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4.关键操作加固：对于系统配置、资金操作、权限变更等高风险管理功能，应提供并推荐启用二次验证机制，以提升账户安全等级。</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5.数据安全：用户密码等敏感凭证须使用 bcrypt、PBKDF2 或同等强度的国密算法进行不可逆加密存储。个人敏感信息（如身份证号、手机号）在数据库存储和日志记录时必须进行可靠的脱敏或加密处理。必须具备完备的数据备份、恢复与容灾策略。</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6.应用安全：必须提供有效机制，防御SQL注入、跨站脚本（XSS）、跨站请求伪造（CSRF）等常见Web安全漏洞。</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7.审计与追溯系统须记录完整的操作日志与安全审计日志，对所有关键业务操作（如支付、权限变更）做到全程可追溯。</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111" w:type="dxa"/>
            <w:vMerge w:val="restart"/>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default" w:ascii="Times New Roman" w:hAnsi="Times New Roman" w:eastAsia="仿宋_GB2312" w:cs="Times New Roman"/>
                <w:bCs w:val="0"/>
                <w:color w:val="auto"/>
                <w:spacing w:val="0"/>
                <w:kern w:val="0"/>
                <w:sz w:val="22"/>
                <w:szCs w:val="22"/>
                <w:highlight w:val="none"/>
                <w:lang w:val="en-US" w:eastAsia="zh-CN" w:bidi="ar-SA"/>
              </w:rPr>
              <w:t>非功能性要求</w:t>
            </w: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r>
              <w:rPr>
                <w:rFonts w:hint="default" w:ascii="Times New Roman" w:hAnsi="Times New Roman" w:eastAsia="仿宋_GB2312" w:cs="Times New Roman"/>
                <w:bCs w:val="0"/>
                <w:color w:val="auto"/>
                <w:spacing w:val="0"/>
                <w:kern w:val="0"/>
                <w:sz w:val="22"/>
                <w:szCs w:val="22"/>
                <w:highlight w:val="none"/>
                <w:lang w:val="en-US" w:eastAsia="zh-CN" w:bidi="ar-SA"/>
              </w:rPr>
              <w:t>性能</w:t>
            </w:r>
          </w:p>
        </w:tc>
        <w:tc>
          <w:tcPr>
            <w:tcW w:w="7337" w:type="dxa"/>
          </w:tcPr>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r>
              <w:rPr>
                <w:rFonts w:hint="default" w:ascii="Times New Roman" w:hAnsi="Times New Roman" w:eastAsia="仿宋_GB2312" w:cs="Times New Roman"/>
                <w:bCs w:val="0"/>
                <w:color w:val="auto"/>
                <w:spacing w:val="0"/>
                <w:kern w:val="0"/>
                <w:sz w:val="22"/>
                <w:szCs w:val="22"/>
                <w:highlight w:val="none"/>
                <w:lang w:val="en-US" w:eastAsia="zh-CN" w:bidi="ar-SA"/>
              </w:rPr>
              <w:t>常规页面响应时间应不大于2秒。</w:t>
            </w:r>
          </w:p>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w:t>
            </w:r>
            <w:r>
              <w:rPr>
                <w:rFonts w:hint="default" w:ascii="Times New Roman" w:hAnsi="Times New Roman" w:eastAsia="仿宋_GB2312" w:cs="Times New Roman"/>
                <w:bCs w:val="0"/>
                <w:color w:val="auto"/>
                <w:spacing w:val="0"/>
                <w:kern w:val="0"/>
                <w:sz w:val="22"/>
                <w:szCs w:val="22"/>
                <w:highlight w:val="none"/>
                <w:lang w:val="en-US" w:eastAsia="zh-CN" w:bidi="ar-SA"/>
              </w:rPr>
              <w:t>复杂查询及统计报表响应时间应不大于5秒。</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w:t>
            </w:r>
            <w:r>
              <w:rPr>
                <w:rFonts w:hint="default" w:ascii="Times New Roman" w:hAnsi="Times New Roman" w:eastAsia="仿宋_GB2312" w:cs="Times New Roman"/>
                <w:bCs w:val="0"/>
                <w:color w:val="auto"/>
                <w:spacing w:val="0"/>
                <w:kern w:val="0"/>
                <w:sz w:val="22"/>
                <w:szCs w:val="22"/>
                <w:highlight w:val="none"/>
                <w:lang w:val="en-US" w:eastAsia="zh-CN" w:bidi="ar-SA"/>
              </w:rPr>
              <w:t>在典型业务场景下，系统应能支持多用户并发操作，并保持服务的响应与平滑运行</w:t>
            </w:r>
            <w:r>
              <w:rPr>
                <w:rFonts w:hint="eastAsia" w:ascii="Times New Roman" w:hAnsi="Times New Roman" w:eastAsia="仿宋_GB2312" w:cs="Times New Roman"/>
                <w:bCs w:val="0"/>
                <w:color w:val="auto"/>
                <w:spacing w:val="0"/>
                <w:kern w:val="0"/>
                <w:sz w:val="22"/>
                <w:szCs w:val="22"/>
                <w:highlight w:val="none"/>
                <w:lang w:val="en-US" w:eastAsia="zh-CN" w:bidi="ar-SA"/>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1"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jc w:val="center"/>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w:t>
            </w:r>
            <w:r>
              <w:rPr>
                <w:rFonts w:hint="default" w:ascii="Times New Roman" w:hAnsi="Times New Roman" w:eastAsia="仿宋_GB2312" w:cs="Times New Roman"/>
                <w:bCs w:val="0"/>
                <w:color w:val="auto"/>
                <w:spacing w:val="0"/>
                <w:kern w:val="0"/>
                <w:sz w:val="22"/>
                <w:szCs w:val="22"/>
                <w:highlight w:val="none"/>
                <w:lang w:val="en-US" w:eastAsia="zh-CN" w:bidi="ar-SA"/>
              </w:rPr>
              <w:t>终端兼容性要求</w:t>
            </w:r>
          </w:p>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7337" w:type="dxa"/>
          </w:tcPr>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textAlignment w:val="auto"/>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r>
              <w:rPr>
                <w:rFonts w:hint="default" w:ascii="Times New Roman" w:hAnsi="Times New Roman" w:eastAsia="仿宋_GB2312" w:cs="Times New Roman"/>
                <w:bCs w:val="0"/>
                <w:color w:val="auto"/>
                <w:spacing w:val="0"/>
                <w:kern w:val="0"/>
                <w:sz w:val="22"/>
                <w:szCs w:val="22"/>
                <w:highlight w:val="none"/>
                <w:lang w:val="en-US" w:eastAsia="zh-CN" w:bidi="ar-SA"/>
              </w:rPr>
              <w:t>PC浏览器端</w:t>
            </w:r>
            <w:r>
              <w:rPr>
                <w:rFonts w:hint="eastAsia" w:ascii="Times New Roman" w:hAnsi="Times New Roman" w:eastAsia="仿宋_GB2312" w:cs="Times New Roman"/>
                <w:bCs w:val="0"/>
                <w:color w:val="auto"/>
                <w:spacing w:val="0"/>
                <w:kern w:val="0"/>
                <w:sz w:val="22"/>
                <w:szCs w:val="22"/>
                <w:highlight w:val="none"/>
                <w:lang w:val="en-US" w:eastAsia="zh-CN" w:bidi="ar-SA"/>
              </w:rPr>
              <w:t>：</w:t>
            </w:r>
            <w:r>
              <w:rPr>
                <w:rFonts w:hint="default" w:ascii="Times New Roman" w:hAnsi="Times New Roman" w:eastAsia="仿宋_GB2312" w:cs="Times New Roman"/>
                <w:bCs w:val="0"/>
                <w:color w:val="auto"/>
                <w:spacing w:val="0"/>
                <w:kern w:val="0"/>
                <w:sz w:val="22"/>
                <w:szCs w:val="22"/>
                <w:highlight w:val="none"/>
                <w:lang w:val="en-US" w:eastAsia="zh-CN" w:bidi="ar-SA"/>
              </w:rPr>
              <w:t>PC管理后台必须兼容主流浏览器的最新稳定版本，包括但不限于 Chrome、Edge、Firefox。页面应具备良好的响应式布局，确保在不同分辨率下的正常显示与操作。</w:t>
            </w:r>
          </w:p>
          <w:p>
            <w:pPr>
              <w:pStyle w:val="20"/>
              <w:keepNext w:val="0"/>
              <w:keepLines w:val="0"/>
              <w:pageBreakBefore w:val="0"/>
              <w:widowControl w:val="0"/>
              <w:numPr>
                <w:ilvl w:val="0"/>
                <w:numId w:val="0"/>
              </w:numPr>
              <w:tabs>
                <w:tab w:val="left" w:pos="-105"/>
              </w:tabs>
              <w:kinsoku/>
              <w:wordWrap/>
              <w:overflowPunct/>
              <w:topLinePunct w:val="0"/>
              <w:autoSpaceDE/>
              <w:autoSpaceDN/>
              <w:bidi w:val="0"/>
              <w:adjustRightInd/>
              <w:snapToGrid/>
              <w:spacing w:line="240" w:lineRule="auto"/>
              <w:ind w:leftChars="0" w:right="-147" w:rightChars="-70"/>
              <w:textAlignment w:val="auto"/>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w:t>
            </w:r>
            <w:r>
              <w:rPr>
                <w:rFonts w:hint="default" w:ascii="Times New Roman" w:hAnsi="Times New Roman" w:eastAsia="仿宋_GB2312" w:cs="Times New Roman"/>
                <w:bCs w:val="0"/>
                <w:color w:val="auto"/>
                <w:spacing w:val="0"/>
                <w:kern w:val="0"/>
                <w:sz w:val="22"/>
                <w:szCs w:val="22"/>
                <w:highlight w:val="none"/>
                <w:lang w:val="en-US" w:eastAsia="zh-CN" w:bidi="ar-SA"/>
              </w:rPr>
              <w:t>微信小程序端</w:t>
            </w:r>
            <w:r>
              <w:rPr>
                <w:rFonts w:hint="eastAsia" w:ascii="Times New Roman" w:hAnsi="Times New Roman" w:eastAsia="仿宋_GB2312" w:cs="Times New Roman"/>
                <w:bCs w:val="0"/>
                <w:color w:val="auto"/>
                <w:spacing w:val="0"/>
                <w:kern w:val="0"/>
                <w:sz w:val="22"/>
                <w:szCs w:val="22"/>
                <w:highlight w:val="none"/>
                <w:lang w:val="en-US" w:eastAsia="zh-CN" w:bidi="ar-SA"/>
              </w:rPr>
              <w:t>：</w:t>
            </w:r>
            <w:r>
              <w:rPr>
                <w:rFonts w:hint="default" w:ascii="Times New Roman" w:hAnsi="Times New Roman" w:eastAsia="仿宋_GB2312" w:cs="Times New Roman"/>
                <w:bCs w:val="0"/>
                <w:color w:val="auto"/>
                <w:spacing w:val="0"/>
                <w:kern w:val="0"/>
                <w:sz w:val="22"/>
                <w:szCs w:val="22"/>
                <w:highlight w:val="none"/>
                <w:lang w:val="en-US" w:eastAsia="zh-CN" w:bidi="ar-SA"/>
              </w:rPr>
              <w:t>微信小程序应兼容微信客户端主流版本，并确保在iOS与Android主流操作系统版本上功能与界面正常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9" w:hRule="atLeast"/>
        </w:trPr>
        <w:tc>
          <w:tcPr>
            <w:tcW w:w="1111" w:type="dxa"/>
            <w:vMerge w:val="restart"/>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default" w:ascii="Times New Roman" w:hAnsi="Times New Roman" w:eastAsia="仿宋_GB2312" w:cs="Times New Roman"/>
                <w:bCs w:val="0"/>
                <w:color w:val="auto"/>
                <w:spacing w:val="0"/>
                <w:kern w:val="0"/>
                <w:sz w:val="22"/>
                <w:szCs w:val="22"/>
                <w:highlight w:val="none"/>
                <w:lang w:val="en-US" w:eastAsia="zh-CN" w:bidi="ar-SA"/>
              </w:rPr>
              <w:t>知识产权与服务</w:t>
            </w: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r>
              <w:rPr>
                <w:rFonts w:hint="default" w:ascii="Times New Roman" w:hAnsi="Times New Roman" w:eastAsia="仿宋_GB2312" w:cs="Times New Roman"/>
                <w:bCs w:val="0"/>
                <w:color w:val="auto"/>
                <w:spacing w:val="0"/>
                <w:kern w:val="0"/>
                <w:sz w:val="22"/>
                <w:szCs w:val="22"/>
                <w:highlight w:val="none"/>
                <w:lang w:val="en-US" w:eastAsia="zh-CN" w:bidi="ar-SA"/>
              </w:rPr>
              <w:t>知识产权</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项目最终验收合格后，中标方须协助配合招标方完成平台软件著作权登记。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9"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 合作开发与知识产权共享</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1.合作开发机制：中标方应与采购人建立联合开发团队，共同参与平台的需求细化、架构设计、核心模块开发及技术攻关，确保平台在技术先进性和业务适用性上达到行业领先水平。</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源码交付与共享：项目验收合格后，中标方应向采购人交付全部可编译的源代码及相关开发文档，并确保采购人享有永久的、完整的源代码使用权。双方共同拥有该平台的著作权，未经对方书面同意，任何一方不得单独对外授权或转让。</w:t>
            </w:r>
          </w:p>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3.软著共同登记：项目最终验收合格后，双方应共同向国家版权局申请登记《新锋交通智慧服务平台》软件著作权，权利人为双方共同所有。</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9" w:hRule="atLeast"/>
        </w:trPr>
        <w:tc>
          <w:tcPr>
            <w:tcW w:w="1111" w:type="dxa"/>
            <w:vMerge w:val="continue"/>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923" w:type="dxa"/>
            <w:vAlign w:val="center"/>
          </w:tcPr>
          <w:p>
            <w:pPr>
              <w:pStyle w:val="110"/>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w:t>
            </w:r>
            <w:r>
              <w:rPr>
                <w:rFonts w:hint="default" w:ascii="Times New Roman" w:hAnsi="Times New Roman" w:eastAsia="仿宋_GB2312" w:cs="Times New Roman"/>
                <w:bCs w:val="0"/>
                <w:color w:val="auto"/>
                <w:spacing w:val="0"/>
                <w:kern w:val="0"/>
                <w:sz w:val="22"/>
                <w:szCs w:val="22"/>
                <w:highlight w:val="none"/>
                <w:lang w:val="en-US" w:eastAsia="zh-CN" w:bidi="ar-SA"/>
              </w:rPr>
              <w:t>供应商服务</w:t>
            </w:r>
          </w:p>
        </w:tc>
        <w:tc>
          <w:tcPr>
            <w:tcW w:w="7337" w:type="dxa"/>
          </w:tcPr>
          <w:p>
            <w:pPr>
              <w:pStyle w:val="110"/>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中标方应在项目所在区域具备稳定的本地服务能力，能够提供及时有效的现场技术支持与应急响应。</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vAlign w:val="center"/>
          </w:tcPr>
          <w:p>
            <w:pPr>
              <w:keepNext w:val="0"/>
              <w:keepLines w:val="0"/>
              <w:pageBreakBefore w:val="0"/>
              <w:wordWrap/>
              <w:overflowPunct/>
              <w:topLinePunct w:val="0"/>
              <w:bidi w:val="0"/>
              <w:spacing w:line="560" w:lineRule="exact"/>
              <w:jc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说明</w:t>
            </w:r>
          </w:p>
        </w:tc>
        <w:tc>
          <w:tcPr>
            <w:tcW w:w="8260" w:type="dxa"/>
            <w:gridSpan w:val="2"/>
          </w:tcPr>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打“★”号条款为实质性条款，若有任何一条负偏离或不满足则导致投标（响应）无效。</w:t>
            </w:r>
          </w:p>
          <w:p>
            <w:pPr>
              <w:keepNext w:val="0"/>
              <w:keepLines w:val="0"/>
              <w:pageBreakBefore w:val="0"/>
              <w:wordWrap/>
              <w:overflowPunct/>
              <w:topLinePunct w:val="0"/>
              <w:bidi w:val="0"/>
              <w:spacing w:line="560" w:lineRule="exact"/>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打“▲”号条款为重要技术参数（如有），若有部分“▲”条款未响应或不满足，将根据评审要求影响其得分，但不作为无效投标（响应）条款。</w:t>
            </w:r>
          </w:p>
        </w:tc>
      </w:tr>
    </w:tbl>
    <w:p>
      <w:pPr>
        <w:keepNext w:val="0"/>
        <w:keepLines w:val="0"/>
        <w:pageBreakBefore w:val="0"/>
        <w:numPr>
          <w:ilvl w:val="0"/>
          <w:numId w:val="0"/>
        </w:numPr>
        <w:wordWrap/>
        <w:overflowPunct/>
        <w:topLinePunct w:val="0"/>
        <w:bidi w:val="0"/>
        <w:spacing w:line="560" w:lineRule="exac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p>
    <w:p>
      <w:pPr>
        <w:pStyle w:val="3"/>
        <w:bidi w:val="0"/>
        <w:rPr>
          <w:rFonts w:hint="eastAsia"/>
          <w:highlight w:val="none"/>
          <w:lang w:val="en-US" w:eastAsia="zh-CN"/>
        </w:rPr>
      </w:pPr>
      <w:bookmarkStart w:id="166" w:name="_Toc6925"/>
      <w:r>
        <w:rPr>
          <w:rFonts w:hint="eastAsia"/>
          <w:highlight w:val="none"/>
          <w:lang w:val="en-US" w:eastAsia="zh-CN"/>
        </w:rPr>
        <w:t>四、需求清单</w:t>
      </w:r>
      <w:bookmarkEnd w:id="166"/>
    </w:p>
    <w:tbl>
      <w:tblPr>
        <w:tblStyle w:val="36"/>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1"/>
        <w:gridCol w:w="1172"/>
        <w:gridCol w:w="1499"/>
        <w:gridCol w:w="1458"/>
        <w:gridCol w:w="36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423" w:type="pct"/>
            <w:tcBorders>
              <w:top w:val="single" w:color="000000" w:sz="4" w:space="0"/>
              <w:left w:val="single" w:color="000000" w:sz="4" w:space="0"/>
              <w:bottom w:val="single" w:color="000000" w:sz="4" w:space="0"/>
              <w:right w:val="single" w:color="000000" w:sz="4" w:space="0"/>
            </w:tcBorders>
            <w:shd w:val="clear" w:color="auto" w:fill="D6DCE4"/>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序号</w:t>
            </w:r>
          </w:p>
        </w:tc>
        <w:tc>
          <w:tcPr>
            <w:tcW w:w="688" w:type="pct"/>
            <w:tcBorders>
              <w:top w:val="single" w:color="000000" w:sz="4" w:space="0"/>
              <w:left w:val="single" w:color="000000" w:sz="4" w:space="0"/>
              <w:bottom w:val="single" w:color="000000" w:sz="4" w:space="0"/>
              <w:right w:val="single" w:color="000000" w:sz="4" w:space="0"/>
            </w:tcBorders>
            <w:shd w:val="clear" w:color="auto" w:fill="D6DCE4"/>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所属平台</w:t>
            </w:r>
          </w:p>
        </w:tc>
        <w:tc>
          <w:tcPr>
            <w:tcW w:w="880" w:type="pct"/>
            <w:tcBorders>
              <w:top w:val="single" w:color="000000" w:sz="4" w:space="0"/>
              <w:left w:val="single" w:color="000000" w:sz="4" w:space="0"/>
              <w:bottom w:val="single" w:color="000000" w:sz="4" w:space="0"/>
              <w:right w:val="single" w:color="000000" w:sz="4" w:space="0"/>
            </w:tcBorders>
            <w:shd w:val="clear" w:color="auto" w:fill="D6DCE4"/>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模块</w:t>
            </w:r>
          </w:p>
        </w:tc>
        <w:tc>
          <w:tcPr>
            <w:tcW w:w="856" w:type="pct"/>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功能名称</w:t>
            </w:r>
          </w:p>
        </w:tc>
        <w:tc>
          <w:tcPr>
            <w:tcW w:w="2152" w:type="pct"/>
            <w:tcBorders>
              <w:top w:val="single" w:color="000000" w:sz="4" w:space="0"/>
              <w:left w:val="single" w:color="000000" w:sz="4" w:space="0"/>
              <w:bottom w:val="single" w:color="000000" w:sz="4" w:space="0"/>
              <w:right w:val="single" w:color="000000" w:sz="4" w:space="0"/>
            </w:tcBorders>
            <w:shd w:val="clear" w:color="auto" w:fill="D6DCE4"/>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功能描述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w:t>
            </w:r>
          </w:p>
        </w:tc>
        <w:tc>
          <w:tcPr>
            <w:tcW w:w="68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微信小程序</w:t>
            </w: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首页</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轮播图展示</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展示营销活动、重要通知、安全提示等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站点列表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显示附近加气站的距离、实时气价、排队情况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一键导航</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选择站点后直接跳转地图APP导航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市场价展示</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实时显示各气种市场价和本站价格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快捷入口</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常用功能快捷入口（充值、开票、投诉）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消息通知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显示未读消息数量，点击查看详情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用户中心</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一键登录/注册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支持手机验证码登录/注册、微信授权登录/注册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多角色登录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支持个人、车队、企业、工作人员角色切换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个人信息维护</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维护基本信息、车辆信息、发票抬头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协议签订</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电子协议在线签订，支持版本管理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账户安全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修改密码、绑定手机、登录记录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我的气瓶</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查看绑定车辆的气瓶信息、检测记录和到期时间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会员码</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个人会员码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生成个人专属会员码，用于加气时出示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企业车队码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生成企业车队专属码，绑定车辆使用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 </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加气记录查询</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查看本人的历史加气记录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加气记录详情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查看每笔加气的详细信息（时间、站点、气量、金额、工作人员）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加气记录筛选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按时间、站点、金额等条件筛选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加气记录导出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导出加气记录为Excel或PDF格式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加气统计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查看消费统计（月消费、站点消费等）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充值管理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账户充值</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微信支付在线充值，实时到账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充值套餐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选择充值套餐，享受额外优惠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充值记录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查看历史充值记录和状态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余额查询</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实时查看账户余额和冻结金额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消费记录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按时间查看所有加气消费记录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账单详情</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查看每笔账单的详细信息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账单筛选</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按时间、站点、金额等条件筛选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账单导出</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导出账单为Excel或PDF格式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查看消费统计（月消费、站点消费等）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29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发票申请</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选择消费记录申请电子发票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发票抬头</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管理常用发票抬头信息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发票记录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查看已开发票记录和状态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批量开票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批量选择多笔消费记录开票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发票推送</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发票通过短信或邮箱发送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车队管理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车辆管理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管理车队所有车辆信息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司机授权</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授权司机使用指定车辆加气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消费限额</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设置车辆或司机的消费限额和可用余额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车队账单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查看车队整体消费情况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车辆绑定</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绑定/解绑车辆与司机关系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39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车队余额查询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查看车队总余额和车辆可用余额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工作台</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扫码支付</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扫描会员码，从账户余额自动扣款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现金登记</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为现金支付的司机登记消费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交班结算</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完成当班结算，核对各种支付方式金额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加气记录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查看本人操作的加气记录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退款处理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支持错误交易的快速退款操作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任务接收</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接收安全检查、设备巡检任务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任务执行</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执行任务并上传执行结果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安全生产</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巡查任务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接收每日安全巡查任务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巡查登记</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登记巡查结果，上传照片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49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整改任务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接收整改任务并执行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气瓶检查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登记气瓶检查信息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进气登记</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登记站点进气记录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消息中心</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余额提醒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余额不足时自动提醒充值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消费提醒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每笔消费成功后即时通知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发票开具成功或失败通知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安全提醒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安全检查、气瓶到期提醒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活动通知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营销活动、优惠通知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气瓶到期提醒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司机/车队气瓶即将到期或已过期提醒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合作申请</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企业入驻</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企业用户提交入驻申请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59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资料上传</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上传营业执照等资料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申请进度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查看入驻申请处理进度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投诉建议</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提交投诉</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提交服务投诉或建议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进度查询</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查看投诉处理进度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评价反馈</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对处理结果进行评价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经营看板</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核心指标</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查看关键经营指标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趋势分析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查看销量、收入趋势图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站点对比</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对比各站点经营数据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移动报表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在手机端查看经营报表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68</w:t>
            </w:r>
          </w:p>
        </w:tc>
        <w:tc>
          <w:tcPr>
            <w:tcW w:w="6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运营管理平台</w:t>
            </w:r>
            <w:r>
              <w:rPr>
                <w:rFonts w:hint="eastAsia" w:ascii="Times New Roman" w:hAnsi="Times New Roman" w:eastAsia="仿宋_GB2312" w:cs="Times New Roman"/>
                <w:bCs w:val="0"/>
                <w:color w:val="auto"/>
                <w:spacing w:val="0"/>
                <w:kern w:val="0"/>
                <w:sz w:val="22"/>
                <w:szCs w:val="22"/>
                <w:highlight w:val="none"/>
                <w:lang w:val="en-US" w:eastAsia="zh-CN" w:bidi="ar-SA"/>
              </w:rPr>
              <w:br w:type="textWrapping"/>
            </w:r>
            <w:r>
              <w:rPr>
                <w:rFonts w:hint="eastAsia" w:ascii="Times New Roman" w:hAnsi="Times New Roman" w:eastAsia="仿宋_GB2312" w:cs="Times New Roman"/>
                <w:bCs w:val="0"/>
                <w:color w:val="auto"/>
                <w:spacing w:val="0"/>
                <w:kern w:val="0"/>
                <w:sz w:val="22"/>
                <w:szCs w:val="22"/>
                <w:highlight w:val="none"/>
                <w:lang w:val="en-US" w:eastAsia="zh-CN" w:bidi="ar-SA"/>
              </w:rPr>
              <w:t>(PC端)</w:t>
            </w: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企业信息管理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管理企业基本信息、联系人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69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企业车辆管理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管理企业名下所有车辆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续签提醒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合同到期前自动提醒续签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续费提醒</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账户余额不足提醒续费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企业码生成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生成企业专属会员码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企业余额管理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为企业账户充值，设置车队额度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车队限额设置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为车队设置消费限额和可用余额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合同/协议管理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管理所有合同信息（编号、签订企业、签订日期、有效期、合同价格等）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定价策略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设置客户分级定价策略（关联合同价格）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合同归档</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合同电子化归档管理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查看所有客户（个人/车队/企业）信息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79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客户详情</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查看客户详细信息、消费记录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客户解绑</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解除客户与车辆的绑定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客户等级</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设置客户等级和权益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客户数量、增长统计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站点信息</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管理站点基本信息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员工管理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管理站点工作人员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班组设置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设置工作班组和排班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设备管理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管理站点加气设备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站点结算</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站点结算台账管理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支付方式配置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配置本站点支持的支付方式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89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交排班管理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排班设置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设置工作人员排班表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交班确认</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确认交班结算结果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交班结算</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审核交班结算数据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排班统计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统计排班出勤情况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安全生产管理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设备台账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管理安全设备信息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巡查任务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设置安全巡查任务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巡查台账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查看巡查记录台账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整改台账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管理安全隐患整改记录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气瓶档案管理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管理气瓶档案信息、检测历史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气瓶检查设置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设置气瓶检查标准和频率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99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充值账单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管理所有充值记录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消费账单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管理所有消费记录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账单详情</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查看每笔账单详细信息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账单导出</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导出账单数据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账单录入</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手工录入特殊账单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账单确认</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确认账单准确性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账单调整</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调整错误账单记录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财务管理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企业客户账单对账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个人账单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个人客户账单对账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站点账单</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各站点账单对账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109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日清日结</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每日清算结算管理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销售核对</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核对系统销售总额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财务报表</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生成财务报表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电子IC卡管理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IC卡台账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管理所有IC卡信息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IC卡生成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生成新的电子IC卡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卡片绑定</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绑定IC卡与用户关系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实体卡绑定</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与实体IC卡绑定管理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卡片解绑</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解除IC卡绑定关系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投诉建议管理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管理所有投诉记录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投诉处理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处理用户投诉建议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119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投诉回复</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回复用户投诉处理结果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满意度统计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统计投诉处理满意度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进气台账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管理所有进气记录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加气台账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管理所有加气记录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结存台账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管理库存结存记录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库存预警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库存不足自动预警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库存统计报表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票据管理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开票台账</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管理所有开票记录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开票详情</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查看发票详细信息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发票开具统计报表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129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发票作废</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发票作废处理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130</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经营看板</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企业客户消费统计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气量统计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各气种销量统计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销售额统计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销售额统计报表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订单统计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订单数量统计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营收统计</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营收统计报表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 xml:space="preserve">支付方式统计 </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统计各支付方式的使用比例和金额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136</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系统管理</w:t>
            </w: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组织权限</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管理系统组织和权限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137</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菜单管理</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管理系统菜单权限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138</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系统日志</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查看系统操作日志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139</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56"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参数配置</w:t>
            </w:r>
          </w:p>
        </w:tc>
        <w:tc>
          <w:tcPr>
            <w:tcW w:w="21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系统参数配置管理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140</w:t>
            </w:r>
          </w:p>
        </w:tc>
        <w:tc>
          <w:tcPr>
            <w:tcW w:w="68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第三方平台对接</w:t>
            </w: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微信支付对接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lef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实现小程序支付、二维码收款、线下支付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141</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电子发票对接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lef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自动开具电子发票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142</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站控系统对接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自动采集加气量和金额数据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143</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短信与邮件平台对接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default"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发送验证码、通知短信以及邮件发票接收地址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144</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地图服务对接</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lef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站点定位、导航服务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145</w:t>
            </w:r>
          </w:p>
        </w:tc>
        <w:tc>
          <w:tcPr>
            <w:tcW w:w="68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Times New Roman" w:hAnsi="Times New Roman" w:eastAsia="仿宋_GB2312" w:cs="Times New Roman"/>
                <w:bCs w:val="0"/>
                <w:color w:val="auto"/>
                <w:spacing w:val="0"/>
                <w:kern w:val="0"/>
                <w:sz w:val="22"/>
                <w:szCs w:val="22"/>
                <w:highlight w:val="none"/>
                <w:lang w:val="en-US" w:eastAsia="zh-CN" w:bidi="ar-SA"/>
              </w:rPr>
            </w:pPr>
          </w:p>
        </w:tc>
        <w:tc>
          <w:tcPr>
            <w:tcW w:w="880" w:type="pct"/>
            <w:tcBorders>
              <w:top w:val="single" w:color="000000" w:sz="4" w:space="0"/>
              <w:left w:val="nil"/>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能源集团OA集成</w:t>
            </w:r>
          </w:p>
        </w:tc>
        <w:tc>
          <w:tcPr>
            <w:tcW w:w="3008" w:type="pct"/>
            <w:gridSpan w:val="2"/>
            <w:tcBorders>
              <w:top w:val="single" w:color="000000" w:sz="4" w:space="0"/>
              <w:left w:val="single" w:color="000000" w:sz="4" w:space="0"/>
              <w:bottom w:val="single" w:color="000000" w:sz="4" w:space="0"/>
              <w:right w:val="single" w:color="000000" w:sz="4" w:space="0"/>
            </w:tcBorders>
            <w:shd w:val="clear" w:color="auto" w:fill="FFFFFF"/>
            <w:vAlign w:val="bottom"/>
          </w:tcPr>
          <w:p>
            <w:pPr>
              <w:keepNext w:val="0"/>
              <w:keepLines w:val="0"/>
              <w:widowControl/>
              <w:suppressLineNumbers w:val="0"/>
              <w:jc w:val="left"/>
              <w:textAlignment w:val="bottom"/>
              <w:rPr>
                <w:rFonts w:hint="eastAsia" w:ascii="Times New Roman" w:hAnsi="Times New Roman" w:eastAsia="仿宋_GB2312" w:cs="Times New Roman"/>
                <w:bCs w:val="0"/>
                <w:color w:val="auto"/>
                <w:spacing w:val="0"/>
                <w:kern w:val="0"/>
                <w:sz w:val="22"/>
                <w:szCs w:val="22"/>
                <w:highlight w:val="none"/>
                <w:lang w:val="en-US" w:eastAsia="zh-CN" w:bidi="ar-SA"/>
              </w:rPr>
            </w:pPr>
            <w:r>
              <w:rPr>
                <w:rFonts w:hint="eastAsia" w:ascii="Times New Roman" w:hAnsi="Times New Roman" w:eastAsia="仿宋_GB2312" w:cs="Times New Roman"/>
                <w:bCs w:val="0"/>
                <w:color w:val="auto"/>
                <w:spacing w:val="0"/>
                <w:kern w:val="0"/>
                <w:sz w:val="22"/>
                <w:szCs w:val="22"/>
                <w:highlight w:val="none"/>
                <w:lang w:val="en-US" w:eastAsia="zh-CN" w:bidi="ar-SA"/>
              </w:rPr>
              <w:t>包括统一身份认证、组织架构同步、权限体系对接、消息中心互联、表单服务与流程引擎融合，确保系统互联互通、数据共享与业务协同</w:t>
            </w:r>
          </w:p>
        </w:tc>
      </w:tr>
    </w:tbl>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spacing w:line="360" w:lineRule="auto"/>
        <w:rPr>
          <w:rFonts w:hAnsi="宋体" w:cs="宋体"/>
          <w:szCs w:val="21"/>
          <w:highlight w:val="none"/>
        </w:rPr>
      </w:pPr>
    </w:p>
    <w:p>
      <w:pPr>
        <w:pStyle w:val="2"/>
        <w:jc w:val="center"/>
        <w:rPr>
          <w:rFonts w:ascii="宋体" w:hAnsi="宋体"/>
          <w:sz w:val="28"/>
          <w:szCs w:val="28"/>
          <w:highlight w:val="none"/>
        </w:rPr>
      </w:pPr>
      <w:bookmarkStart w:id="167" w:name="_Toc11923"/>
      <w:bookmarkStart w:id="168" w:name="_Toc16152"/>
      <w:r>
        <w:rPr>
          <w:rFonts w:hint="eastAsia" w:ascii="宋体" w:hAnsi="宋体"/>
          <w:sz w:val="28"/>
          <w:szCs w:val="28"/>
          <w:highlight w:val="none"/>
        </w:rPr>
        <w:t>第</w:t>
      </w:r>
      <w:r>
        <w:rPr>
          <w:rFonts w:hint="eastAsia" w:ascii="宋体" w:hAnsi="宋体"/>
          <w:sz w:val="28"/>
          <w:szCs w:val="28"/>
          <w:highlight w:val="none"/>
          <w:lang w:val="en-US" w:eastAsia="zh-CN"/>
        </w:rPr>
        <w:t>五</w:t>
      </w:r>
      <w:r>
        <w:rPr>
          <w:rFonts w:hint="eastAsia" w:ascii="宋体" w:hAnsi="宋体"/>
          <w:sz w:val="28"/>
          <w:szCs w:val="28"/>
          <w:highlight w:val="none"/>
        </w:rPr>
        <w:t>章 响应文件格式</w:t>
      </w:r>
      <w:bookmarkEnd w:id="149"/>
      <w:bookmarkEnd w:id="150"/>
      <w:bookmarkEnd w:id="151"/>
      <w:bookmarkEnd w:id="152"/>
      <w:bookmarkEnd w:id="167"/>
      <w:bookmarkEnd w:id="168"/>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jc w:val="center"/>
        <w:rPr>
          <w:rFonts w:ascii="黑体" w:hAnsi="宋体" w:eastAsia="黑体"/>
          <w:sz w:val="32"/>
          <w:szCs w:val="32"/>
          <w:highlight w:val="none"/>
        </w:rPr>
      </w:pPr>
    </w:p>
    <w:p>
      <w:pPr>
        <w:spacing w:line="480" w:lineRule="auto"/>
        <w:rPr>
          <w:rFonts w:eastAsia="黑体"/>
          <w:sz w:val="20"/>
          <w:szCs w:val="20"/>
          <w:highlight w:val="none"/>
        </w:rPr>
      </w:pPr>
    </w:p>
    <w:p>
      <w:pPr>
        <w:spacing w:line="480" w:lineRule="auto"/>
        <w:jc w:val="center"/>
        <w:rPr>
          <w:rFonts w:eastAsia="黑体"/>
          <w:sz w:val="20"/>
          <w:szCs w:val="20"/>
          <w:highlight w:val="none"/>
        </w:rPr>
      </w:pPr>
      <w:r>
        <w:rPr>
          <w:rFonts w:hint="eastAsia" w:eastAsia="黑体"/>
          <w:sz w:val="28"/>
          <w:szCs w:val="28"/>
          <w:highlight w:val="none"/>
          <w:u w:val="single"/>
        </w:rPr>
        <w:t xml:space="preserve">    </w:t>
      </w:r>
      <w:r>
        <w:rPr>
          <w:rFonts w:eastAsia="黑体"/>
          <w:sz w:val="28"/>
          <w:szCs w:val="28"/>
          <w:highlight w:val="none"/>
          <w:u w:val="single"/>
        </w:rPr>
        <w:t>（项目名称）</w:t>
      </w:r>
      <w:r>
        <w:rPr>
          <w:rFonts w:hint="eastAsia" w:eastAsia="黑体"/>
          <w:sz w:val="28"/>
          <w:szCs w:val="28"/>
          <w:highlight w:val="none"/>
          <w:u w:val="single"/>
        </w:rPr>
        <w:t xml:space="preserve"> </w:t>
      </w:r>
      <w:r>
        <w:rPr>
          <w:rFonts w:eastAsia="黑体"/>
          <w:sz w:val="28"/>
          <w:szCs w:val="28"/>
          <w:highlight w:val="none"/>
          <w:u w:val="single"/>
        </w:rPr>
        <w:t xml:space="preserve">  </w:t>
      </w:r>
    </w:p>
    <w:p>
      <w:pPr>
        <w:spacing w:line="480" w:lineRule="auto"/>
        <w:jc w:val="center"/>
        <w:rPr>
          <w:rFonts w:eastAsia="黑体"/>
          <w:sz w:val="20"/>
          <w:szCs w:val="20"/>
          <w:highlight w:val="none"/>
        </w:rPr>
      </w:pPr>
    </w:p>
    <w:p>
      <w:pPr>
        <w:spacing w:line="480" w:lineRule="auto"/>
        <w:jc w:val="center"/>
        <w:rPr>
          <w:rFonts w:eastAsia="黑体"/>
          <w:sz w:val="20"/>
          <w:szCs w:val="20"/>
          <w:highlight w:val="none"/>
        </w:rPr>
      </w:pPr>
    </w:p>
    <w:p>
      <w:pPr>
        <w:spacing w:line="480" w:lineRule="auto"/>
        <w:jc w:val="center"/>
        <w:rPr>
          <w:rFonts w:ascii="宋体" w:hAnsi="宋体"/>
          <w:b/>
          <w:sz w:val="52"/>
          <w:szCs w:val="52"/>
          <w:highlight w:val="none"/>
        </w:rPr>
      </w:pPr>
      <w:r>
        <w:rPr>
          <w:rFonts w:hint="eastAsia" w:ascii="宋体" w:hAnsi="宋体"/>
          <w:b/>
          <w:sz w:val="52"/>
          <w:szCs w:val="52"/>
          <w:highlight w:val="none"/>
        </w:rPr>
        <w:t>响</w:t>
      </w:r>
      <w:r>
        <w:rPr>
          <w:rFonts w:ascii="宋体" w:hAnsi="宋体"/>
          <w:b/>
          <w:sz w:val="52"/>
          <w:szCs w:val="52"/>
          <w:highlight w:val="none"/>
        </w:rPr>
        <w:t xml:space="preserve">  </w:t>
      </w:r>
      <w:r>
        <w:rPr>
          <w:rFonts w:hint="eastAsia" w:ascii="宋体" w:hAnsi="宋体"/>
          <w:b/>
          <w:sz w:val="52"/>
          <w:szCs w:val="52"/>
          <w:highlight w:val="none"/>
        </w:rPr>
        <w:t>应</w:t>
      </w:r>
      <w:r>
        <w:rPr>
          <w:rFonts w:ascii="宋体" w:hAnsi="宋体"/>
          <w:b/>
          <w:sz w:val="52"/>
          <w:szCs w:val="52"/>
          <w:highlight w:val="none"/>
        </w:rPr>
        <w:t xml:space="preserve">  文  件</w:t>
      </w:r>
    </w:p>
    <w:p>
      <w:pPr>
        <w:jc w:val="center"/>
        <w:rPr>
          <w:rFonts w:eastAsia="黑体"/>
          <w:sz w:val="28"/>
          <w:szCs w:val="28"/>
          <w:highlight w:val="none"/>
        </w:rPr>
      </w:pPr>
    </w:p>
    <w:p>
      <w:pPr>
        <w:jc w:val="cente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rPr>
          <w:rFonts w:eastAsia="黑体"/>
          <w:sz w:val="28"/>
          <w:szCs w:val="28"/>
          <w:highlight w:val="none"/>
        </w:rPr>
      </w:pPr>
    </w:p>
    <w:p>
      <w:pPr>
        <w:spacing w:line="360" w:lineRule="auto"/>
        <w:jc w:val="center"/>
        <w:rPr>
          <w:rFonts w:eastAsia="黑体"/>
          <w:sz w:val="28"/>
          <w:szCs w:val="28"/>
          <w:highlight w:val="none"/>
          <w:u w:val="single"/>
        </w:rPr>
      </w:pPr>
      <w:r>
        <w:rPr>
          <w:rFonts w:eastAsia="黑体"/>
          <w:sz w:val="28"/>
          <w:szCs w:val="28"/>
          <w:highlight w:val="none"/>
        </w:rPr>
        <w:t>响应人：</w:t>
      </w:r>
      <w:r>
        <w:rPr>
          <w:rFonts w:eastAsia="黑体"/>
          <w:sz w:val="28"/>
          <w:szCs w:val="28"/>
          <w:highlight w:val="none"/>
          <w:u w:val="single"/>
        </w:rPr>
        <w:t xml:space="preserve">                </w:t>
      </w:r>
      <w:r>
        <w:rPr>
          <w:rFonts w:hint="eastAsia" w:eastAsia="黑体"/>
          <w:sz w:val="28"/>
          <w:szCs w:val="28"/>
          <w:highlight w:val="none"/>
          <w:u w:val="single"/>
        </w:rPr>
        <w:t xml:space="preserve"> </w:t>
      </w:r>
      <w:r>
        <w:rPr>
          <w:rFonts w:eastAsia="黑体"/>
          <w:sz w:val="28"/>
          <w:szCs w:val="28"/>
          <w:highlight w:val="none"/>
          <w:u w:val="single"/>
        </w:rPr>
        <w:t xml:space="preserve">      </w:t>
      </w:r>
      <w:r>
        <w:rPr>
          <w:rFonts w:eastAsia="黑体"/>
          <w:sz w:val="28"/>
          <w:szCs w:val="28"/>
          <w:highlight w:val="none"/>
        </w:rPr>
        <w:t>（盖单位</w:t>
      </w:r>
      <w:r>
        <w:rPr>
          <w:rFonts w:hint="eastAsia" w:eastAsia="黑体"/>
          <w:sz w:val="28"/>
          <w:szCs w:val="28"/>
          <w:highlight w:val="none"/>
        </w:rPr>
        <w:t>公</w:t>
      </w:r>
      <w:r>
        <w:rPr>
          <w:rFonts w:eastAsia="黑体"/>
          <w:sz w:val="28"/>
          <w:szCs w:val="28"/>
          <w:highlight w:val="none"/>
        </w:rPr>
        <w:t>章）</w:t>
      </w:r>
    </w:p>
    <w:p>
      <w:pPr>
        <w:spacing w:line="360" w:lineRule="auto"/>
        <w:jc w:val="center"/>
        <w:rPr>
          <w:rFonts w:eastAsia="黑体"/>
          <w:sz w:val="28"/>
          <w:szCs w:val="28"/>
          <w:highlight w:val="none"/>
        </w:rPr>
      </w:pPr>
      <w:r>
        <w:rPr>
          <w:rFonts w:eastAsia="黑体"/>
          <w:sz w:val="28"/>
          <w:szCs w:val="28"/>
          <w:highlight w:val="none"/>
        </w:rPr>
        <w:t>法定代表人或其委托代理人：</w:t>
      </w:r>
      <w:r>
        <w:rPr>
          <w:rFonts w:eastAsia="黑体"/>
          <w:sz w:val="28"/>
          <w:szCs w:val="28"/>
          <w:highlight w:val="none"/>
          <w:u w:val="single"/>
        </w:rPr>
        <w:t xml:space="preserve">         </w:t>
      </w:r>
      <w:r>
        <w:rPr>
          <w:rFonts w:eastAsia="黑体"/>
          <w:sz w:val="28"/>
          <w:szCs w:val="28"/>
          <w:highlight w:val="none"/>
        </w:rPr>
        <w:t>（签字）</w:t>
      </w:r>
    </w:p>
    <w:p>
      <w:pPr>
        <w:spacing w:line="360" w:lineRule="auto"/>
        <w:jc w:val="center"/>
        <w:rPr>
          <w:rFonts w:eastAsia="黑体"/>
          <w:sz w:val="28"/>
          <w:szCs w:val="28"/>
          <w:highlight w:val="none"/>
        </w:rPr>
      </w:pPr>
      <w:r>
        <w:rPr>
          <w:rFonts w:eastAsia="黑体"/>
          <w:sz w:val="28"/>
          <w:szCs w:val="28"/>
          <w:highlight w:val="none"/>
          <w:u w:val="single"/>
        </w:rPr>
        <w:t xml:space="preserve">        </w:t>
      </w:r>
      <w:r>
        <w:rPr>
          <w:rFonts w:eastAsia="黑体"/>
          <w:sz w:val="28"/>
          <w:szCs w:val="28"/>
          <w:highlight w:val="none"/>
        </w:rPr>
        <w:t>年</w:t>
      </w:r>
      <w:r>
        <w:rPr>
          <w:rFonts w:eastAsia="黑体"/>
          <w:sz w:val="28"/>
          <w:szCs w:val="28"/>
          <w:highlight w:val="none"/>
          <w:u w:val="single"/>
        </w:rPr>
        <w:t xml:space="preserve">   </w:t>
      </w:r>
      <w:r>
        <w:rPr>
          <w:rFonts w:eastAsia="黑体"/>
          <w:sz w:val="28"/>
          <w:szCs w:val="28"/>
          <w:highlight w:val="none"/>
        </w:rPr>
        <w:t>月</w:t>
      </w:r>
      <w:r>
        <w:rPr>
          <w:rFonts w:eastAsia="黑体"/>
          <w:sz w:val="28"/>
          <w:szCs w:val="28"/>
          <w:highlight w:val="none"/>
          <w:u w:val="single"/>
        </w:rPr>
        <w:t xml:space="preserve">  </w:t>
      </w:r>
      <w:r>
        <w:rPr>
          <w:rFonts w:eastAsia="黑体"/>
          <w:sz w:val="28"/>
          <w:szCs w:val="28"/>
          <w:highlight w:val="none"/>
        </w:rPr>
        <w:t>日</w:t>
      </w:r>
    </w:p>
    <w:p>
      <w:pPr>
        <w:jc w:val="center"/>
        <w:rPr>
          <w:rFonts w:eastAsia="黑体"/>
          <w:sz w:val="28"/>
          <w:szCs w:val="28"/>
          <w:highlight w:val="none"/>
        </w:rPr>
      </w:pPr>
    </w:p>
    <w:p>
      <w:pPr>
        <w:widowControl/>
        <w:jc w:val="left"/>
        <w:rPr>
          <w:highlight w:val="none"/>
        </w:rPr>
      </w:pPr>
      <w:r>
        <w:rPr>
          <w:highlight w:val="none"/>
        </w:rPr>
        <w:br w:type="page"/>
      </w:r>
    </w:p>
    <w:p>
      <w:pPr>
        <w:pStyle w:val="3"/>
        <w:jc w:val="center"/>
        <w:rPr>
          <w:rFonts w:ascii="黑体" w:hAnsi="宋体"/>
          <w:b w:val="0"/>
          <w:szCs w:val="28"/>
          <w:highlight w:val="none"/>
        </w:rPr>
      </w:pPr>
      <w:bookmarkStart w:id="169" w:name="_Toc11228"/>
      <w:bookmarkStart w:id="170" w:name="_Toc20437"/>
      <w:r>
        <w:rPr>
          <w:highlight w:val="none"/>
        </w:rPr>
        <w:fldChar w:fldCharType="begin"/>
      </w:r>
      <w:r>
        <w:rPr>
          <w:highlight w:val="none"/>
        </w:rPr>
        <w:instrText xml:space="preserve"> HYPERLINK \l "_Toc338661805" </w:instrText>
      </w:r>
      <w:r>
        <w:rPr>
          <w:highlight w:val="none"/>
        </w:rPr>
        <w:fldChar w:fldCharType="separate"/>
      </w:r>
      <w:bookmarkStart w:id="171" w:name="_Toc475407552"/>
      <w:r>
        <w:rPr>
          <w:rFonts w:hint="eastAsia" w:ascii="黑体" w:hAnsi="宋体"/>
          <w:b w:val="0"/>
          <w:szCs w:val="28"/>
          <w:highlight w:val="none"/>
        </w:rPr>
        <w:t>目    录</w:t>
      </w:r>
      <w:bookmarkEnd w:id="171"/>
      <w:r>
        <w:rPr>
          <w:rFonts w:hint="eastAsia" w:ascii="黑体" w:hAnsi="宋体"/>
          <w:b w:val="0"/>
          <w:szCs w:val="28"/>
          <w:highlight w:val="none"/>
        </w:rPr>
        <w:fldChar w:fldCharType="end"/>
      </w:r>
      <w:bookmarkEnd w:id="169"/>
      <w:bookmarkEnd w:id="170"/>
    </w:p>
    <w:p>
      <w:pPr>
        <w:spacing w:line="540" w:lineRule="exact"/>
        <w:rPr>
          <w:rFonts w:eastAsia="黑体"/>
          <w:sz w:val="20"/>
          <w:szCs w:val="20"/>
          <w:highlight w:val="none"/>
        </w:rPr>
      </w:pPr>
      <w:r>
        <w:rPr>
          <w:highlight w:val="none"/>
        </w:rPr>
        <w:br w:type="page"/>
      </w:r>
    </w:p>
    <w:p>
      <w:pPr>
        <w:pStyle w:val="3"/>
        <w:jc w:val="left"/>
        <w:rPr>
          <w:highlight w:val="none"/>
        </w:rPr>
      </w:pPr>
      <w:bookmarkStart w:id="172" w:name="_Toc338669151"/>
      <w:bookmarkStart w:id="173" w:name="_Toc327827430"/>
      <w:bookmarkStart w:id="174" w:name="_Toc22001"/>
      <w:bookmarkStart w:id="175" w:name="_Toc2803"/>
      <w:bookmarkStart w:id="176" w:name="_Toc144974857"/>
      <w:bookmarkStart w:id="177" w:name="_Toc246996356"/>
      <w:bookmarkStart w:id="178" w:name="_Toc247085874"/>
      <w:bookmarkStart w:id="179" w:name="_Toc179632808"/>
      <w:bookmarkStart w:id="180" w:name="_Toc246997099"/>
      <w:bookmarkStart w:id="181" w:name="_Toc152045788"/>
      <w:bookmarkStart w:id="182" w:name="_Toc152042577"/>
      <w:r>
        <w:rPr>
          <w:rFonts w:hint="eastAsia"/>
          <w:highlight w:val="none"/>
        </w:rPr>
        <w:t>第一部分</w:t>
      </w:r>
      <w:r>
        <w:rPr>
          <w:highlight w:val="none"/>
        </w:rPr>
        <w:t xml:space="preserve">  </w:t>
      </w:r>
      <w:r>
        <w:rPr>
          <w:rFonts w:hint="eastAsia"/>
          <w:highlight w:val="none"/>
        </w:rPr>
        <w:t>技术商务</w:t>
      </w:r>
      <w:bookmarkEnd w:id="172"/>
      <w:bookmarkEnd w:id="173"/>
      <w:r>
        <w:rPr>
          <w:rFonts w:hint="eastAsia"/>
          <w:highlight w:val="none"/>
        </w:rPr>
        <w:t>部分</w:t>
      </w:r>
      <w:bookmarkEnd w:id="174"/>
      <w:bookmarkEnd w:id="175"/>
    </w:p>
    <w:p>
      <w:pPr>
        <w:pStyle w:val="3"/>
        <w:jc w:val="center"/>
        <w:rPr>
          <w:rFonts w:ascii="黑体" w:hAnsi="宋体"/>
          <w:b w:val="0"/>
          <w:szCs w:val="28"/>
          <w:highlight w:val="none"/>
        </w:rPr>
      </w:pPr>
      <w:bookmarkStart w:id="183" w:name="_Toc31238"/>
      <w:bookmarkStart w:id="184" w:name="_Toc19924"/>
      <w:bookmarkStart w:id="185" w:name="_Toc475483721"/>
      <w:bookmarkStart w:id="186" w:name="_Toc338669152"/>
      <w:r>
        <w:rPr>
          <w:rFonts w:hint="eastAsia"/>
          <w:highlight w:val="none"/>
        </w:rPr>
        <w:t>一、</w:t>
      </w:r>
      <w:r>
        <w:rPr>
          <w:rFonts w:hint="eastAsia" w:ascii="黑体" w:hAnsi="宋体"/>
          <w:b w:val="0"/>
          <w:szCs w:val="28"/>
          <w:highlight w:val="none"/>
        </w:rPr>
        <w:t>评审索引表</w:t>
      </w:r>
      <w:bookmarkEnd w:id="183"/>
      <w:bookmarkEnd w:id="184"/>
      <w:bookmarkEnd w:id="185"/>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2405"/>
        <w:gridCol w:w="1701"/>
        <w:gridCol w:w="170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jc w:val="center"/>
              <w:rPr>
                <w:rFonts w:ascii="宋体" w:hAnsi="宋体"/>
                <w:sz w:val="24"/>
                <w:highlight w:val="none"/>
              </w:rPr>
            </w:pPr>
            <w:r>
              <w:rPr>
                <w:rFonts w:ascii="宋体" w:hAnsi="宋体"/>
                <w:sz w:val="24"/>
                <w:highlight w:val="none"/>
              </w:rPr>
              <w:t>条款号</w:t>
            </w:r>
          </w:p>
        </w:tc>
        <w:tc>
          <w:tcPr>
            <w:tcW w:w="2405" w:type="dxa"/>
            <w:vAlign w:val="center"/>
          </w:tcPr>
          <w:p>
            <w:pPr>
              <w:jc w:val="center"/>
              <w:rPr>
                <w:rFonts w:ascii="宋体" w:hAnsi="宋体"/>
                <w:sz w:val="24"/>
                <w:highlight w:val="none"/>
              </w:rPr>
            </w:pPr>
            <w:r>
              <w:rPr>
                <w:rFonts w:ascii="宋体" w:hAnsi="宋体"/>
                <w:sz w:val="24"/>
                <w:highlight w:val="none"/>
              </w:rPr>
              <w:t>评审因素</w:t>
            </w:r>
          </w:p>
        </w:tc>
        <w:tc>
          <w:tcPr>
            <w:tcW w:w="1701" w:type="dxa"/>
            <w:vAlign w:val="center"/>
          </w:tcPr>
          <w:p>
            <w:pPr>
              <w:jc w:val="center"/>
              <w:rPr>
                <w:rFonts w:ascii="宋体" w:hAnsi="宋体"/>
                <w:sz w:val="24"/>
                <w:highlight w:val="none"/>
              </w:rPr>
            </w:pPr>
            <w:r>
              <w:rPr>
                <w:rFonts w:hint="eastAsia" w:ascii="宋体" w:hAnsi="宋体"/>
                <w:sz w:val="24"/>
                <w:highlight w:val="none"/>
              </w:rPr>
              <w:t>响应情况</w:t>
            </w:r>
          </w:p>
        </w:tc>
        <w:tc>
          <w:tcPr>
            <w:tcW w:w="1701" w:type="dxa"/>
            <w:vAlign w:val="center"/>
          </w:tcPr>
          <w:p>
            <w:pPr>
              <w:jc w:val="center"/>
              <w:rPr>
                <w:rFonts w:ascii="宋体" w:hAnsi="宋体"/>
                <w:sz w:val="24"/>
                <w:highlight w:val="none"/>
              </w:rPr>
            </w:pPr>
            <w:r>
              <w:rPr>
                <w:rFonts w:hint="eastAsia" w:ascii="宋体" w:hAnsi="宋体"/>
                <w:sz w:val="24"/>
                <w:highlight w:val="none"/>
              </w:rPr>
              <w:t>对应页码</w:t>
            </w:r>
          </w:p>
        </w:tc>
        <w:tc>
          <w:tcPr>
            <w:tcW w:w="2126" w:type="dxa"/>
            <w:vAlign w:val="center"/>
          </w:tcPr>
          <w:p>
            <w:pPr>
              <w:jc w:val="center"/>
              <w:rPr>
                <w:rFonts w:ascii="宋体" w:hAnsi="宋体"/>
                <w:sz w:val="24"/>
                <w:highlight w:val="none"/>
              </w:rPr>
            </w:pPr>
            <w:r>
              <w:rPr>
                <w:rFonts w:hint="eastAsia" w:ascii="宋体" w:hAnsi="宋体"/>
                <w:sz w:val="24"/>
                <w:highlight w:val="none"/>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ind w:left="-2" w:firstLine="1"/>
              <w:jc w:val="center"/>
              <w:rPr>
                <w:rFonts w:ascii="宋体" w:hAnsi="宋体"/>
                <w:sz w:val="24"/>
                <w:highlight w:val="none"/>
              </w:rPr>
            </w:pPr>
            <w:r>
              <w:rPr>
                <w:rFonts w:ascii="宋体" w:hAnsi="宋体"/>
                <w:sz w:val="24"/>
                <w:highlight w:val="none"/>
              </w:rPr>
              <w:t>…</w:t>
            </w:r>
          </w:p>
        </w:tc>
        <w:tc>
          <w:tcPr>
            <w:tcW w:w="2405" w:type="dxa"/>
            <w:vAlign w:val="center"/>
          </w:tcPr>
          <w:p>
            <w:pPr>
              <w:tabs>
                <w:tab w:val="left" w:pos="720"/>
              </w:tabs>
              <w:spacing w:line="360" w:lineRule="auto"/>
              <w:ind w:left="-2" w:firstLine="1"/>
              <w:jc w:val="center"/>
              <w:rPr>
                <w:rFonts w:ascii="宋体" w:hAnsi="宋体"/>
                <w:sz w:val="24"/>
                <w:highlight w:val="none"/>
              </w:rPr>
            </w:pPr>
            <w:r>
              <w:rPr>
                <w:rFonts w:ascii="宋体" w:hAnsi="宋体"/>
                <w:sz w:val="24"/>
                <w:highlight w:val="none"/>
              </w:rPr>
              <w:t>…</w:t>
            </w: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ind w:left="420"/>
              <w:jc w:val="center"/>
              <w:rPr>
                <w:rFonts w:ascii="宋体" w:hAnsi="宋体"/>
                <w:sz w:val="24"/>
                <w:highlight w:val="none"/>
              </w:rPr>
            </w:pPr>
          </w:p>
        </w:tc>
        <w:tc>
          <w:tcPr>
            <w:tcW w:w="1701" w:type="dxa"/>
            <w:vAlign w:val="center"/>
          </w:tcPr>
          <w:p>
            <w:pPr>
              <w:tabs>
                <w:tab w:val="left" w:pos="720"/>
              </w:tabs>
              <w:spacing w:line="360" w:lineRule="auto"/>
              <w:ind w:left="420"/>
              <w:jc w:val="center"/>
              <w:rPr>
                <w:rFonts w:ascii="宋体" w:hAnsi="宋体"/>
                <w:sz w:val="24"/>
                <w:highlight w:val="none"/>
              </w:rPr>
            </w:pPr>
          </w:p>
        </w:tc>
        <w:tc>
          <w:tcPr>
            <w:tcW w:w="2126" w:type="dxa"/>
            <w:vAlign w:val="center"/>
          </w:tcPr>
          <w:p>
            <w:pPr>
              <w:tabs>
                <w:tab w:val="left" w:pos="720"/>
              </w:tabs>
              <w:spacing w:line="360" w:lineRule="auto"/>
              <w:ind w:left="42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ind w:left="420"/>
              <w:jc w:val="center"/>
              <w:rPr>
                <w:rFonts w:ascii="宋体" w:hAnsi="宋体"/>
                <w:sz w:val="24"/>
                <w:highlight w:val="none"/>
              </w:rPr>
            </w:pPr>
          </w:p>
        </w:tc>
        <w:tc>
          <w:tcPr>
            <w:tcW w:w="1701" w:type="dxa"/>
            <w:vAlign w:val="center"/>
          </w:tcPr>
          <w:p>
            <w:pPr>
              <w:tabs>
                <w:tab w:val="left" w:pos="720"/>
              </w:tabs>
              <w:spacing w:line="360" w:lineRule="auto"/>
              <w:ind w:left="420"/>
              <w:jc w:val="center"/>
              <w:rPr>
                <w:rFonts w:ascii="宋体" w:hAnsi="宋体"/>
                <w:sz w:val="24"/>
                <w:highlight w:val="none"/>
              </w:rPr>
            </w:pPr>
          </w:p>
        </w:tc>
        <w:tc>
          <w:tcPr>
            <w:tcW w:w="2126" w:type="dxa"/>
            <w:vAlign w:val="center"/>
          </w:tcPr>
          <w:p>
            <w:pPr>
              <w:tabs>
                <w:tab w:val="left" w:pos="720"/>
              </w:tabs>
              <w:spacing w:line="360" w:lineRule="auto"/>
              <w:ind w:left="420"/>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86" w:type="dxa"/>
            <w:vAlign w:val="center"/>
          </w:tcPr>
          <w:p>
            <w:pPr>
              <w:tabs>
                <w:tab w:val="left" w:pos="720"/>
              </w:tabs>
              <w:spacing w:line="360" w:lineRule="auto"/>
              <w:jc w:val="center"/>
              <w:rPr>
                <w:rFonts w:ascii="宋体" w:hAnsi="宋体"/>
                <w:sz w:val="24"/>
                <w:highlight w:val="none"/>
              </w:rPr>
            </w:pPr>
          </w:p>
        </w:tc>
        <w:tc>
          <w:tcPr>
            <w:tcW w:w="2405" w:type="dxa"/>
            <w:vAlign w:val="center"/>
          </w:tcPr>
          <w:p>
            <w:pPr>
              <w:tabs>
                <w:tab w:val="left" w:pos="720"/>
              </w:tabs>
              <w:spacing w:line="360" w:lineRule="auto"/>
              <w:jc w:val="center"/>
              <w:rPr>
                <w:rFonts w:ascii="宋体" w:hAnsi="宋体"/>
                <w:sz w:val="24"/>
                <w:highlight w:val="none"/>
              </w:rPr>
            </w:pPr>
          </w:p>
        </w:tc>
        <w:tc>
          <w:tcPr>
            <w:tcW w:w="1701" w:type="dxa"/>
          </w:tcPr>
          <w:p>
            <w:pPr>
              <w:tabs>
                <w:tab w:val="left" w:pos="720"/>
              </w:tabs>
              <w:spacing w:line="360" w:lineRule="auto"/>
              <w:jc w:val="center"/>
              <w:rPr>
                <w:rFonts w:ascii="宋体" w:hAnsi="宋体"/>
                <w:sz w:val="24"/>
                <w:highlight w:val="none"/>
              </w:rPr>
            </w:pPr>
          </w:p>
        </w:tc>
        <w:tc>
          <w:tcPr>
            <w:tcW w:w="1701" w:type="dxa"/>
            <w:vAlign w:val="center"/>
          </w:tcPr>
          <w:p>
            <w:pPr>
              <w:tabs>
                <w:tab w:val="left" w:pos="720"/>
              </w:tabs>
              <w:spacing w:line="360" w:lineRule="auto"/>
              <w:jc w:val="center"/>
              <w:rPr>
                <w:rFonts w:ascii="宋体" w:hAnsi="宋体"/>
                <w:sz w:val="24"/>
                <w:highlight w:val="none"/>
              </w:rPr>
            </w:pPr>
          </w:p>
        </w:tc>
        <w:tc>
          <w:tcPr>
            <w:tcW w:w="2126" w:type="dxa"/>
            <w:vAlign w:val="center"/>
          </w:tcPr>
          <w:p>
            <w:pPr>
              <w:tabs>
                <w:tab w:val="left" w:pos="720"/>
              </w:tabs>
              <w:spacing w:line="360" w:lineRule="auto"/>
              <w:jc w:val="center"/>
              <w:rPr>
                <w:rFonts w:ascii="宋体" w:hAnsi="宋体"/>
                <w:sz w:val="24"/>
                <w:highlight w:val="none"/>
              </w:rPr>
            </w:pPr>
          </w:p>
        </w:tc>
      </w:tr>
    </w:tbl>
    <w:p>
      <w:pPr>
        <w:pStyle w:val="3"/>
        <w:jc w:val="center"/>
        <w:rPr>
          <w:highlight w:val="none"/>
        </w:rPr>
      </w:pPr>
      <w:r>
        <w:rPr>
          <w:highlight w:val="none"/>
        </w:rPr>
        <w:br w:type="page"/>
      </w:r>
      <w:bookmarkStart w:id="187" w:name="_Toc5172"/>
      <w:bookmarkStart w:id="188" w:name="_Toc28151"/>
      <w:r>
        <w:rPr>
          <w:rFonts w:hint="eastAsia"/>
          <w:highlight w:val="none"/>
        </w:rPr>
        <w:t>二</w:t>
      </w:r>
      <w:r>
        <w:rPr>
          <w:highlight w:val="none"/>
        </w:rPr>
        <w:t>、竞争性谈判</w:t>
      </w:r>
      <w:r>
        <w:rPr>
          <w:rFonts w:hint="eastAsia"/>
          <w:highlight w:val="none"/>
        </w:rPr>
        <w:t>响应</w:t>
      </w:r>
      <w:r>
        <w:rPr>
          <w:highlight w:val="none"/>
        </w:rPr>
        <w:t>函</w:t>
      </w:r>
      <w:bookmarkEnd w:id="176"/>
      <w:bookmarkEnd w:id="177"/>
      <w:bookmarkEnd w:id="178"/>
      <w:bookmarkEnd w:id="179"/>
      <w:bookmarkEnd w:id="180"/>
      <w:bookmarkEnd w:id="181"/>
      <w:bookmarkEnd w:id="182"/>
      <w:bookmarkEnd w:id="186"/>
      <w:bookmarkEnd w:id="187"/>
      <w:bookmarkEnd w:id="188"/>
    </w:p>
    <w:p>
      <w:pPr>
        <w:spacing w:line="400" w:lineRule="exact"/>
        <w:rPr>
          <w:szCs w:val="21"/>
          <w:highlight w:val="none"/>
        </w:rPr>
      </w:pPr>
      <w:r>
        <w:rPr>
          <w:rFonts w:hint="eastAsia"/>
          <w:szCs w:val="21"/>
          <w:highlight w:val="none"/>
        </w:rPr>
        <w:t>致：</w:t>
      </w:r>
      <w:r>
        <w:rPr>
          <w:szCs w:val="21"/>
          <w:highlight w:val="none"/>
          <w:u w:val="single"/>
        </w:rPr>
        <w:t xml:space="preserve">       （采购人名称）</w:t>
      </w:r>
      <w:r>
        <w:rPr>
          <w:rFonts w:hint="eastAsia"/>
          <w:szCs w:val="21"/>
          <w:highlight w:val="none"/>
          <w:u w:val="single"/>
        </w:rPr>
        <w:t xml:space="preserve">        </w:t>
      </w:r>
      <w:r>
        <w:rPr>
          <w:szCs w:val="21"/>
          <w:highlight w:val="none"/>
        </w:rPr>
        <w:t>：</w:t>
      </w:r>
    </w:p>
    <w:p>
      <w:pPr>
        <w:spacing w:line="400" w:lineRule="exact"/>
        <w:ind w:firstLine="422" w:firstLineChars="200"/>
        <w:rPr>
          <w:szCs w:val="21"/>
          <w:highlight w:val="none"/>
        </w:rPr>
      </w:pPr>
      <w:r>
        <w:rPr>
          <w:b/>
          <w:szCs w:val="21"/>
          <w:highlight w:val="none"/>
          <w:u w:val="single"/>
        </w:rPr>
        <w:t xml:space="preserve"> </w:t>
      </w:r>
      <w:r>
        <w:rPr>
          <w:rFonts w:hint="eastAsia"/>
          <w:szCs w:val="21"/>
          <w:highlight w:val="none"/>
          <w:u w:val="single"/>
        </w:rPr>
        <w:t>（响应人名称）（以下简称我方）</w:t>
      </w:r>
      <w:r>
        <w:rPr>
          <w:szCs w:val="21"/>
          <w:highlight w:val="none"/>
        </w:rPr>
        <w:t>已仔细研究了</w:t>
      </w:r>
      <w:r>
        <w:rPr>
          <w:szCs w:val="21"/>
          <w:highlight w:val="none"/>
          <w:u w:val="single"/>
        </w:rPr>
        <w:t xml:space="preserve"> （项目名称）</w:t>
      </w:r>
      <w:r>
        <w:rPr>
          <w:szCs w:val="21"/>
          <w:highlight w:val="none"/>
        </w:rPr>
        <w:t>竞争性谈判文件的全部内容</w:t>
      </w:r>
      <w:r>
        <w:rPr>
          <w:rFonts w:hint="eastAsia"/>
          <w:szCs w:val="21"/>
          <w:highlight w:val="none"/>
        </w:rPr>
        <w:t>，</w:t>
      </w:r>
      <w:r>
        <w:rPr>
          <w:rFonts w:hAnsi="宋体"/>
          <w:bCs/>
          <w:szCs w:val="21"/>
          <w:highlight w:val="none"/>
        </w:rPr>
        <w:t>包括</w:t>
      </w:r>
      <w:r>
        <w:rPr>
          <w:rFonts w:hint="eastAsia" w:hAnsi="宋体"/>
          <w:bCs/>
          <w:szCs w:val="21"/>
          <w:highlight w:val="none"/>
        </w:rPr>
        <w:t>澄清、</w:t>
      </w:r>
      <w:r>
        <w:rPr>
          <w:rFonts w:hAnsi="宋体"/>
          <w:bCs/>
          <w:szCs w:val="21"/>
          <w:highlight w:val="none"/>
        </w:rPr>
        <w:t>修改文件</w:t>
      </w:r>
      <w:r>
        <w:rPr>
          <w:rFonts w:hint="eastAsia" w:hAnsi="宋体"/>
          <w:bCs/>
          <w:szCs w:val="21"/>
          <w:highlight w:val="none"/>
        </w:rPr>
        <w:t>以</w:t>
      </w:r>
      <w:r>
        <w:rPr>
          <w:rFonts w:hAnsi="宋体"/>
          <w:bCs/>
          <w:szCs w:val="21"/>
          <w:highlight w:val="none"/>
        </w:rPr>
        <w:t>及有关附件</w:t>
      </w:r>
      <w:r>
        <w:rPr>
          <w:szCs w:val="21"/>
          <w:highlight w:val="none"/>
        </w:rPr>
        <w:t>，</w:t>
      </w:r>
      <w:r>
        <w:rPr>
          <w:szCs w:val="21"/>
          <w:highlight w:val="none"/>
          <w:u w:val="single"/>
        </w:rPr>
        <w:t>愿意以</w:t>
      </w:r>
      <w:r>
        <w:rPr>
          <w:rFonts w:hint="eastAsia"/>
          <w:szCs w:val="21"/>
          <w:highlight w:val="none"/>
          <w:u w:val="single"/>
        </w:rPr>
        <w:t>《报价一览表》的价格</w:t>
      </w:r>
      <w:r>
        <w:rPr>
          <w:rFonts w:hint="eastAsia"/>
          <w:szCs w:val="21"/>
          <w:highlight w:val="none"/>
        </w:rPr>
        <w:t>，</w:t>
      </w:r>
      <w:r>
        <w:rPr>
          <w:szCs w:val="21"/>
          <w:highlight w:val="none"/>
        </w:rPr>
        <w:t>按合同约定实施和完成</w:t>
      </w:r>
      <w:r>
        <w:rPr>
          <w:rFonts w:hint="eastAsia"/>
          <w:szCs w:val="21"/>
          <w:highlight w:val="none"/>
        </w:rPr>
        <w:t>上述</w:t>
      </w:r>
      <w:r>
        <w:rPr>
          <w:szCs w:val="21"/>
          <w:highlight w:val="none"/>
        </w:rPr>
        <w:t>项目的相关服务。</w:t>
      </w:r>
    </w:p>
    <w:p>
      <w:pPr>
        <w:spacing w:line="400" w:lineRule="exact"/>
        <w:ind w:firstLine="420" w:firstLineChars="200"/>
        <w:rPr>
          <w:szCs w:val="21"/>
          <w:highlight w:val="none"/>
        </w:rPr>
      </w:pPr>
      <w:r>
        <w:rPr>
          <w:rFonts w:hint="eastAsia"/>
          <w:szCs w:val="21"/>
          <w:highlight w:val="none"/>
        </w:rPr>
        <w:t>我方承诺如下内容：</w:t>
      </w:r>
    </w:p>
    <w:p>
      <w:pPr>
        <w:spacing w:line="400" w:lineRule="exact"/>
        <w:ind w:firstLine="420" w:firstLineChars="200"/>
        <w:rPr>
          <w:szCs w:val="21"/>
          <w:highlight w:val="none"/>
        </w:rPr>
      </w:pPr>
      <w:r>
        <w:rPr>
          <w:rFonts w:hint="eastAsia"/>
          <w:szCs w:val="21"/>
          <w:highlight w:val="none"/>
        </w:rPr>
        <w:t>1.我方的响应文件包含第二章“竞争性谈判响应须知”第</w:t>
      </w:r>
      <w:r>
        <w:rPr>
          <w:highlight w:val="none"/>
        </w:rPr>
        <w:t>3.1</w:t>
      </w:r>
      <w:r>
        <w:rPr>
          <w:rFonts w:hint="eastAsia"/>
          <w:szCs w:val="21"/>
          <w:highlight w:val="none"/>
        </w:rPr>
        <w:t>款规定的全部内容。</w:t>
      </w:r>
    </w:p>
    <w:p>
      <w:pPr>
        <w:spacing w:line="400" w:lineRule="exact"/>
        <w:ind w:firstLine="420" w:firstLineChars="200"/>
        <w:rPr>
          <w:szCs w:val="21"/>
          <w:highlight w:val="none"/>
        </w:rPr>
      </w:pPr>
      <w:r>
        <w:rPr>
          <w:rFonts w:hint="eastAsia"/>
          <w:szCs w:val="21"/>
          <w:highlight w:val="none"/>
        </w:rPr>
        <w:t>2.</w:t>
      </w:r>
      <w:r>
        <w:rPr>
          <w:szCs w:val="21"/>
          <w:highlight w:val="none"/>
        </w:rPr>
        <w:t>我方承诺在</w:t>
      </w:r>
      <w:r>
        <w:rPr>
          <w:rFonts w:hint="eastAsia"/>
          <w:szCs w:val="21"/>
          <w:highlight w:val="none"/>
        </w:rPr>
        <w:t>竞争性谈判文件规定的</w:t>
      </w:r>
      <w:r>
        <w:rPr>
          <w:szCs w:val="21"/>
          <w:highlight w:val="none"/>
        </w:rPr>
        <w:t>竞争性谈判有效期</w:t>
      </w:r>
      <w:r>
        <w:rPr>
          <w:rFonts w:hint="eastAsia"/>
          <w:szCs w:val="21"/>
          <w:highlight w:val="none"/>
        </w:rPr>
        <w:t>（竞争性谈判有效期为</w:t>
      </w:r>
      <w:r>
        <w:rPr>
          <w:rFonts w:hint="eastAsia"/>
          <w:szCs w:val="21"/>
          <w:highlight w:val="none"/>
          <w:u w:val="single"/>
        </w:rPr>
        <w:t xml:space="preserve">    </w:t>
      </w:r>
      <w:r>
        <w:rPr>
          <w:rFonts w:hint="eastAsia"/>
          <w:szCs w:val="21"/>
          <w:highlight w:val="none"/>
        </w:rPr>
        <w:t>天）</w:t>
      </w:r>
      <w:r>
        <w:rPr>
          <w:szCs w:val="21"/>
          <w:highlight w:val="none"/>
        </w:rPr>
        <w:t>内不修改、撤销响应文件。</w:t>
      </w:r>
    </w:p>
    <w:p>
      <w:pPr>
        <w:spacing w:line="400" w:lineRule="exact"/>
        <w:ind w:firstLine="420" w:firstLineChars="200"/>
        <w:jc w:val="left"/>
        <w:rPr>
          <w:szCs w:val="21"/>
          <w:highlight w:val="none"/>
        </w:rPr>
      </w:pPr>
      <w:r>
        <w:rPr>
          <w:rFonts w:hint="eastAsia"/>
          <w:szCs w:val="21"/>
          <w:highlight w:val="none"/>
        </w:rPr>
        <w:t>3.</w:t>
      </w:r>
      <w:r>
        <w:rPr>
          <w:szCs w:val="21"/>
          <w:highlight w:val="none"/>
        </w:rPr>
        <w:t>随同本竞争性谈判响应函提交竞争性谈判保证金一份，金额为人民币（大写）</w:t>
      </w:r>
      <w:r>
        <w:rPr>
          <w:szCs w:val="21"/>
          <w:highlight w:val="none"/>
          <w:u w:val="single"/>
        </w:rPr>
        <w:t xml:space="preserve">    </w:t>
      </w:r>
      <w:r>
        <w:rPr>
          <w:rFonts w:hint="eastAsia"/>
          <w:szCs w:val="21"/>
          <w:highlight w:val="none"/>
          <w:u w:val="single"/>
        </w:rPr>
        <w:t>/</w:t>
      </w:r>
      <w:r>
        <w:rPr>
          <w:szCs w:val="21"/>
          <w:highlight w:val="none"/>
          <w:u w:val="single"/>
        </w:rPr>
        <w:t xml:space="preserve">    </w:t>
      </w:r>
      <w:r>
        <w:rPr>
          <w:szCs w:val="21"/>
          <w:highlight w:val="none"/>
        </w:rPr>
        <w:t>（¥</w:t>
      </w:r>
      <w:r>
        <w:rPr>
          <w:szCs w:val="21"/>
          <w:highlight w:val="none"/>
          <w:u w:val="single"/>
        </w:rPr>
        <w:t xml:space="preserve">  </w:t>
      </w:r>
      <w:r>
        <w:rPr>
          <w:rFonts w:hint="eastAsia"/>
          <w:szCs w:val="21"/>
          <w:highlight w:val="none"/>
          <w:u w:val="single"/>
        </w:rPr>
        <w:t xml:space="preserve">  </w:t>
      </w:r>
      <w:r>
        <w:rPr>
          <w:szCs w:val="21"/>
          <w:highlight w:val="none"/>
          <w:u w:val="single"/>
        </w:rPr>
        <w:t>/</w:t>
      </w:r>
      <w:r>
        <w:rPr>
          <w:rFonts w:hint="eastAsia"/>
          <w:szCs w:val="21"/>
          <w:highlight w:val="none"/>
          <w:u w:val="single"/>
        </w:rPr>
        <w:t xml:space="preserve"> </w:t>
      </w:r>
      <w:r>
        <w:rPr>
          <w:szCs w:val="21"/>
          <w:highlight w:val="none"/>
          <w:u w:val="single"/>
        </w:rPr>
        <w:t xml:space="preserve">  </w:t>
      </w:r>
      <w:r>
        <w:rPr>
          <w:szCs w:val="21"/>
          <w:highlight w:val="none"/>
        </w:rPr>
        <w:t>）。</w:t>
      </w:r>
    </w:p>
    <w:p>
      <w:pPr>
        <w:spacing w:line="400" w:lineRule="exact"/>
        <w:ind w:firstLine="420" w:firstLineChars="200"/>
        <w:rPr>
          <w:szCs w:val="21"/>
          <w:highlight w:val="none"/>
        </w:rPr>
      </w:pPr>
      <w:r>
        <w:rPr>
          <w:rFonts w:hint="eastAsia"/>
          <w:szCs w:val="21"/>
          <w:highlight w:val="none"/>
        </w:rPr>
        <w:t>4.我方在评审过程中根据谈判小组要求提供的符合相关规定的澄清文件，构成响应文件的组成部分。</w:t>
      </w:r>
    </w:p>
    <w:p>
      <w:pPr>
        <w:spacing w:line="400" w:lineRule="exact"/>
        <w:ind w:firstLine="420" w:firstLineChars="200"/>
        <w:rPr>
          <w:szCs w:val="21"/>
          <w:highlight w:val="none"/>
        </w:rPr>
      </w:pPr>
      <w:r>
        <w:rPr>
          <w:rFonts w:hint="eastAsia"/>
          <w:szCs w:val="21"/>
          <w:highlight w:val="none"/>
        </w:rPr>
        <w:t>5.我方同意提供贵方可能要求的与竞争性谈判有关的一切数据或者资料，并完全理解贵方不一定接受最低价的竞争性谈判。</w:t>
      </w:r>
    </w:p>
    <w:p>
      <w:pPr>
        <w:spacing w:line="400" w:lineRule="exact"/>
        <w:ind w:firstLine="420" w:firstLineChars="200"/>
        <w:rPr>
          <w:szCs w:val="21"/>
          <w:highlight w:val="none"/>
        </w:rPr>
      </w:pPr>
      <w:r>
        <w:rPr>
          <w:rFonts w:hint="eastAsia"/>
          <w:szCs w:val="21"/>
          <w:highlight w:val="none"/>
        </w:rPr>
        <w:t>6.我方承诺不向第三方透露与竞争性谈判相关的所有信息。</w:t>
      </w:r>
    </w:p>
    <w:p>
      <w:pPr>
        <w:spacing w:line="400" w:lineRule="exact"/>
        <w:ind w:firstLine="420" w:firstLineChars="200"/>
        <w:rPr>
          <w:szCs w:val="21"/>
          <w:highlight w:val="none"/>
        </w:rPr>
      </w:pPr>
      <w:r>
        <w:rPr>
          <w:rFonts w:hint="eastAsia"/>
          <w:szCs w:val="21"/>
          <w:highlight w:val="none"/>
        </w:rPr>
        <w:t>7.</w:t>
      </w:r>
      <w:r>
        <w:rPr>
          <w:szCs w:val="21"/>
          <w:highlight w:val="none"/>
        </w:rPr>
        <w:t>如我方成交：</w:t>
      </w:r>
    </w:p>
    <w:p>
      <w:pPr>
        <w:spacing w:line="400" w:lineRule="exact"/>
        <w:ind w:firstLine="422" w:firstLineChars="201"/>
        <w:rPr>
          <w:szCs w:val="21"/>
          <w:highlight w:val="none"/>
        </w:rPr>
      </w:pPr>
      <w:r>
        <w:rPr>
          <w:szCs w:val="21"/>
          <w:highlight w:val="none"/>
        </w:rPr>
        <w:t>（1）我方承诺在收到成交通知书后，在成交通知书规定的期限内与你方签订合同。</w:t>
      </w:r>
    </w:p>
    <w:p>
      <w:pPr>
        <w:spacing w:line="400" w:lineRule="exact"/>
        <w:ind w:firstLine="422" w:firstLineChars="201"/>
        <w:rPr>
          <w:szCs w:val="21"/>
          <w:highlight w:val="none"/>
        </w:rPr>
      </w:pPr>
      <w:r>
        <w:rPr>
          <w:szCs w:val="21"/>
          <w:highlight w:val="none"/>
        </w:rPr>
        <w:t>（2）我方承诺按照竞争性谈判文件规定递交履约担保</w:t>
      </w:r>
      <w:r>
        <w:rPr>
          <w:rFonts w:hint="eastAsia"/>
          <w:szCs w:val="21"/>
          <w:highlight w:val="none"/>
        </w:rPr>
        <w:t>、支付采购代理服务费</w:t>
      </w:r>
      <w:r>
        <w:rPr>
          <w:szCs w:val="21"/>
          <w:highlight w:val="none"/>
        </w:rPr>
        <w:t>。</w:t>
      </w:r>
    </w:p>
    <w:p>
      <w:pPr>
        <w:spacing w:line="400" w:lineRule="exact"/>
        <w:ind w:firstLine="422" w:firstLineChars="201"/>
        <w:rPr>
          <w:szCs w:val="21"/>
          <w:highlight w:val="none"/>
        </w:rPr>
      </w:pPr>
      <w:r>
        <w:rPr>
          <w:rFonts w:hint="eastAsia"/>
          <w:szCs w:val="21"/>
          <w:highlight w:val="none"/>
        </w:rPr>
        <w:t>（3）按照竞争性谈判文件的规定及合同约定履行相关责任和义务。</w:t>
      </w:r>
    </w:p>
    <w:p>
      <w:pPr>
        <w:spacing w:line="400" w:lineRule="exact"/>
        <w:ind w:firstLine="420" w:firstLineChars="200"/>
        <w:rPr>
          <w:b/>
          <w:szCs w:val="21"/>
          <w:highlight w:val="none"/>
        </w:rPr>
      </w:pPr>
      <w:r>
        <w:rPr>
          <w:rFonts w:hint="eastAsia"/>
          <w:highlight w:val="none"/>
        </w:rPr>
        <w:t>我方在此声明，所递交的响应文件以及有关资料内容完整、真实和准确，且不存在第二章“竞争性谈判响应须知”第1.</w:t>
      </w:r>
      <w:r>
        <w:rPr>
          <w:highlight w:val="none"/>
        </w:rPr>
        <w:t>7</w:t>
      </w:r>
      <w:r>
        <w:rPr>
          <w:rFonts w:hint="eastAsia"/>
          <w:highlight w:val="none"/>
        </w:rPr>
        <w:t>款规定的任何一种情形。</w:t>
      </w:r>
      <w:r>
        <w:rPr>
          <w:rFonts w:hAnsi="宋体"/>
          <w:bCs/>
          <w:szCs w:val="21"/>
          <w:highlight w:val="none"/>
        </w:rPr>
        <w:t>如有弄虚作假，将承担相应的法律责任，并赔偿由此造成的一切损失。</w:t>
      </w:r>
    </w:p>
    <w:p>
      <w:pPr>
        <w:spacing w:line="400" w:lineRule="exact"/>
        <w:ind w:firstLine="420" w:firstLineChars="200"/>
        <w:rPr>
          <w:szCs w:val="21"/>
          <w:highlight w:val="none"/>
        </w:rPr>
      </w:pPr>
      <w:r>
        <w:rPr>
          <w:rFonts w:hint="eastAsia"/>
          <w:szCs w:val="21"/>
          <w:highlight w:val="none"/>
        </w:rPr>
        <w:t>8．</w:t>
      </w:r>
      <w:r>
        <w:rPr>
          <w:szCs w:val="21"/>
          <w:highlight w:val="none"/>
          <w:u w:val="single"/>
        </w:rPr>
        <w:t xml:space="preserve">    （</w:t>
      </w:r>
      <w:r>
        <w:rPr>
          <w:rFonts w:hint="eastAsia"/>
          <w:szCs w:val="21"/>
          <w:highlight w:val="none"/>
          <w:u w:val="single"/>
        </w:rPr>
        <w:t>其他</w:t>
      </w:r>
      <w:r>
        <w:rPr>
          <w:szCs w:val="21"/>
          <w:highlight w:val="none"/>
          <w:u w:val="single"/>
        </w:rPr>
        <w:t xml:space="preserve">补充说明）         </w:t>
      </w:r>
      <w:r>
        <w:rPr>
          <w:szCs w:val="21"/>
          <w:highlight w:val="none"/>
        </w:rPr>
        <w:t>。</w:t>
      </w:r>
    </w:p>
    <w:p>
      <w:pPr>
        <w:spacing w:line="400" w:lineRule="exact"/>
        <w:ind w:firstLine="3675" w:firstLineChars="1750"/>
        <w:rPr>
          <w:szCs w:val="21"/>
          <w:highlight w:val="none"/>
        </w:rPr>
      </w:pPr>
      <w:r>
        <w:rPr>
          <w:rFonts w:hint="eastAsia"/>
          <w:szCs w:val="21"/>
          <w:highlight w:val="none"/>
        </w:rPr>
        <w:t>响应</w:t>
      </w:r>
      <w:r>
        <w:rPr>
          <w:szCs w:val="21"/>
          <w:highlight w:val="none"/>
        </w:rPr>
        <w:t>人：</w:t>
      </w:r>
      <w:r>
        <w:rPr>
          <w:szCs w:val="21"/>
          <w:highlight w:val="none"/>
          <w:u w:val="single"/>
        </w:rPr>
        <w:t xml:space="preserve">                      </w:t>
      </w:r>
      <w:r>
        <w:rPr>
          <w:szCs w:val="21"/>
          <w:highlight w:val="none"/>
        </w:rPr>
        <w:t>（盖单位公章）</w:t>
      </w:r>
    </w:p>
    <w:p>
      <w:pPr>
        <w:spacing w:line="400" w:lineRule="exact"/>
        <w:ind w:firstLine="3675" w:firstLineChars="1750"/>
        <w:rPr>
          <w:szCs w:val="21"/>
          <w:highlight w:val="none"/>
        </w:rPr>
      </w:pPr>
      <w:r>
        <w:rPr>
          <w:szCs w:val="21"/>
          <w:highlight w:val="none"/>
        </w:rPr>
        <w:t>法定代表人或其委托代理人：</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r>
        <w:rPr>
          <w:szCs w:val="21"/>
          <w:highlight w:val="none"/>
        </w:rPr>
        <w:t>（签字）</w:t>
      </w:r>
    </w:p>
    <w:p>
      <w:pPr>
        <w:spacing w:line="400" w:lineRule="exact"/>
        <w:ind w:firstLine="3675" w:firstLineChars="1750"/>
        <w:rPr>
          <w:szCs w:val="21"/>
          <w:highlight w:val="none"/>
        </w:rPr>
      </w:pPr>
      <w:r>
        <w:rPr>
          <w:szCs w:val="21"/>
          <w:highlight w:val="none"/>
        </w:rPr>
        <w:t>地址：</w:t>
      </w:r>
      <w:r>
        <w:rPr>
          <w:szCs w:val="21"/>
          <w:highlight w:val="none"/>
          <w:u w:val="single"/>
        </w:rPr>
        <w:t xml:space="preserve">                                     </w:t>
      </w:r>
    </w:p>
    <w:p>
      <w:pPr>
        <w:spacing w:line="400" w:lineRule="exact"/>
        <w:ind w:firstLine="3675" w:firstLineChars="1750"/>
        <w:rPr>
          <w:szCs w:val="21"/>
          <w:highlight w:val="none"/>
          <w:u w:val="single"/>
        </w:rPr>
      </w:pPr>
      <w:r>
        <w:rPr>
          <w:szCs w:val="21"/>
          <w:highlight w:val="none"/>
        </w:rPr>
        <w:t>邮政编码：</w:t>
      </w:r>
      <w:r>
        <w:rPr>
          <w:szCs w:val="21"/>
          <w:highlight w:val="none"/>
          <w:u w:val="single"/>
        </w:rPr>
        <w:t xml:space="preserve">                                 </w:t>
      </w:r>
    </w:p>
    <w:p>
      <w:pPr>
        <w:spacing w:line="400" w:lineRule="exact"/>
        <w:ind w:firstLine="3675" w:firstLineChars="1750"/>
        <w:rPr>
          <w:szCs w:val="21"/>
          <w:highlight w:val="none"/>
        </w:rPr>
      </w:pPr>
      <w:r>
        <w:rPr>
          <w:szCs w:val="21"/>
          <w:highlight w:val="none"/>
        </w:rPr>
        <w:t>电话：</w:t>
      </w:r>
      <w:r>
        <w:rPr>
          <w:szCs w:val="21"/>
          <w:highlight w:val="none"/>
          <w:u w:val="single"/>
        </w:rPr>
        <w:t xml:space="preserve">                                     </w:t>
      </w:r>
    </w:p>
    <w:p>
      <w:pPr>
        <w:spacing w:line="400" w:lineRule="exact"/>
        <w:ind w:firstLine="3675" w:firstLineChars="1750"/>
        <w:rPr>
          <w:szCs w:val="21"/>
          <w:highlight w:val="none"/>
        </w:rPr>
      </w:pPr>
      <w:r>
        <w:rPr>
          <w:rFonts w:hint="eastAsia"/>
          <w:szCs w:val="21"/>
          <w:highlight w:val="none"/>
        </w:rPr>
        <w:t>电子邮箱</w:t>
      </w:r>
      <w:r>
        <w:rPr>
          <w:szCs w:val="21"/>
          <w:highlight w:val="none"/>
        </w:rPr>
        <w:t>：</w:t>
      </w:r>
      <w:r>
        <w:rPr>
          <w:szCs w:val="21"/>
          <w:highlight w:val="none"/>
          <w:u w:val="single"/>
        </w:rPr>
        <w:t xml:space="preserve">                                 </w:t>
      </w:r>
    </w:p>
    <w:p>
      <w:pPr>
        <w:spacing w:line="440" w:lineRule="exact"/>
        <w:jc w:val="right"/>
        <w:rPr>
          <w:rFonts w:eastAsia="黑体"/>
          <w:szCs w:val="21"/>
          <w:highlight w:val="none"/>
        </w:rPr>
      </w:pPr>
      <w:r>
        <w:rPr>
          <w:rFonts w:hint="eastAsia"/>
          <w:szCs w:val="21"/>
          <w:highlight w:val="none"/>
          <w:u w:val="single"/>
        </w:rPr>
        <w:t xml:space="preserve">        </w:t>
      </w:r>
      <w:r>
        <w:rPr>
          <w:szCs w:val="21"/>
          <w:highlight w:val="none"/>
        </w:rPr>
        <w:t>年</w:t>
      </w:r>
      <w:r>
        <w:rPr>
          <w:rFonts w:hint="eastAsia"/>
          <w:szCs w:val="21"/>
          <w:highlight w:val="none"/>
          <w:u w:val="single"/>
        </w:rPr>
        <w:t xml:space="preserve">       </w:t>
      </w:r>
      <w:r>
        <w:rPr>
          <w:szCs w:val="21"/>
          <w:highlight w:val="none"/>
        </w:rPr>
        <w:t>月</w:t>
      </w:r>
      <w:r>
        <w:rPr>
          <w:rFonts w:hint="eastAsia"/>
          <w:szCs w:val="21"/>
          <w:highlight w:val="none"/>
          <w:u w:val="single"/>
        </w:rPr>
        <w:t xml:space="preserve">      </w:t>
      </w:r>
      <w:r>
        <w:rPr>
          <w:rFonts w:hint="eastAsia"/>
          <w:szCs w:val="21"/>
          <w:highlight w:val="none"/>
        </w:rPr>
        <w:t>日</w:t>
      </w:r>
    </w:p>
    <w:p>
      <w:pPr>
        <w:spacing w:line="360" w:lineRule="auto"/>
        <w:ind w:firstLine="2742" w:firstLineChars="1371"/>
        <w:jc w:val="right"/>
        <w:rPr>
          <w:rFonts w:ascii="宋体" w:hAnsi="宋体"/>
          <w:highlight w:val="none"/>
        </w:rPr>
      </w:pPr>
      <w:r>
        <w:rPr>
          <w:rFonts w:eastAsia="黑体"/>
          <w:sz w:val="20"/>
          <w:szCs w:val="20"/>
          <w:highlight w:val="none"/>
        </w:rPr>
        <w:br w:type="page"/>
      </w:r>
    </w:p>
    <w:p>
      <w:pPr>
        <w:pStyle w:val="3"/>
        <w:jc w:val="center"/>
        <w:rPr>
          <w:szCs w:val="21"/>
          <w:highlight w:val="none"/>
        </w:rPr>
      </w:pPr>
      <w:bookmarkStart w:id="189" w:name="_Toc17115"/>
      <w:bookmarkStart w:id="190" w:name="_Toc475483724"/>
      <w:bookmarkStart w:id="191" w:name="_Toc10789"/>
      <w:r>
        <w:rPr>
          <w:rFonts w:hint="eastAsia"/>
          <w:b w:val="0"/>
          <w:highlight w:val="none"/>
          <w:lang w:val="en-US" w:eastAsia="zh-CN"/>
        </w:rPr>
        <w:t>三</w:t>
      </w:r>
      <w:r>
        <w:rPr>
          <w:rFonts w:hint="eastAsia"/>
          <w:b w:val="0"/>
          <w:highlight w:val="none"/>
        </w:rPr>
        <w:t>、法定代表人身份证明</w:t>
      </w:r>
      <w:bookmarkEnd w:id="189"/>
      <w:bookmarkEnd w:id="190"/>
      <w:bookmarkEnd w:id="191"/>
    </w:p>
    <w:p>
      <w:pPr>
        <w:jc w:val="center"/>
        <w:rPr>
          <w:szCs w:val="21"/>
          <w:highlight w:val="none"/>
        </w:rPr>
      </w:pPr>
    </w:p>
    <w:p>
      <w:pPr>
        <w:topLinePunct/>
        <w:spacing w:line="600" w:lineRule="exact"/>
        <w:rPr>
          <w:bCs/>
          <w:szCs w:val="21"/>
          <w:highlight w:val="none"/>
          <w:u w:val="single"/>
        </w:rPr>
      </w:pPr>
      <w:r>
        <w:rPr>
          <w:rFonts w:hint="eastAsia"/>
          <w:bCs/>
          <w:szCs w:val="21"/>
          <w:highlight w:val="none"/>
        </w:rPr>
        <w:t>响应人</w:t>
      </w:r>
      <w:r>
        <w:rPr>
          <w:bCs/>
          <w:szCs w:val="21"/>
          <w:highlight w:val="none"/>
        </w:rPr>
        <w:t>名称：</w:t>
      </w:r>
      <w:r>
        <w:rPr>
          <w:bCs/>
          <w:szCs w:val="21"/>
          <w:highlight w:val="none"/>
          <w:u w:val="single"/>
        </w:rPr>
        <w:t xml:space="preserve">                         </w:t>
      </w:r>
    </w:p>
    <w:p>
      <w:pPr>
        <w:topLinePunct/>
        <w:spacing w:line="600" w:lineRule="exact"/>
        <w:rPr>
          <w:bCs/>
          <w:szCs w:val="21"/>
          <w:highlight w:val="none"/>
        </w:rPr>
      </w:pPr>
      <w:r>
        <w:rPr>
          <w:bCs/>
          <w:szCs w:val="21"/>
          <w:highlight w:val="none"/>
        </w:rPr>
        <w:t>单位性质：</w:t>
      </w:r>
      <w:r>
        <w:rPr>
          <w:bCs/>
          <w:szCs w:val="21"/>
          <w:highlight w:val="none"/>
          <w:u w:val="single"/>
        </w:rPr>
        <w:t xml:space="preserve">                           </w:t>
      </w:r>
    </w:p>
    <w:p>
      <w:pPr>
        <w:topLinePunct/>
        <w:spacing w:line="600" w:lineRule="exact"/>
        <w:rPr>
          <w:bCs/>
          <w:szCs w:val="21"/>
          <w:highlight w:val="none"/>
        </w:rPr>
      </w:pPr>
      <w:r>
        <w:rPr>
          <w:bCs/>
          <w:szCs w:val="21"/>
          <w:highlight w:val="none"/>
        </w:rPr>
        <w:t>成立时间：</w:t>
      </w:r>
      <w:r>
        <w:rPr>
          <w:bCs/>
          <w:szCs w:val="21"/>
          <w:highlight w:val="none"/>
          <w:u w:val="single"/>
        </w:rPr>
        <w:t xml:space="preserve">       </w:t>
      </w:r>
      <w:r>
        <w:rPr>
          <w:bCs/>
          <w:szCs w:val="21"/>
          <w:highlight w:val="none"/>
        </w:rPr>
        <w:t>年</w:t>
      </w:r>
      <w:r>
        <w:rPr>
          <w:bCs/>
          <w:szCs w:val="21"/>
          <w:highlight w:val="none"/>
          <w:u w:val="single"/>
        </w:rPr>
        <w:t xml:space="preserve">       </w:t>
      </w:r>
      <w:r>
        <w:rPr>
          <w:bCs/>
          <w:szCs w:val="21"/>
          <w:highlight w:val="none"/>
        </w:rPr>
        <w:t>月</w:t>
      </w:r>
      <w:r>
        <w:rPr>
          <w:bCs/>
          <w:szCs w:val="21"/>
          <w:highlight w:val="none"/>
          <w:u w:val="single"/>
        </w:rPr>
        <w:t xml:space="preserve">       </w:t>
      </w:r>
      <w:r>
        <w:rPr>
          <w:bCs/>
          <w:szCs w:val="21"/>
          <w:highlight w:val="none"/>
        </w:rPr>
        <w:t>日</w:t>
      </w:r>
    </w:p>
    <w:p>
      <w:pPr>
        <w:topLinePunct/>
        <w:spacing w:line="600" w:lineRule="exact"/>
        <w:rPr>
          <w:bCs/>
          <w:szCs w:val="21"/>
          <w:highlight w:val="none"/>
        </w:rPr>
      </w:pPr>
      <w:r>
        <w:rPr>
          <w:bCs/>
          <w:szCs w:val="21"/>
          <w:highlight w:val="none"/>
        </w:rPr>
        <w:t>经营期限：</w:t>
      </w:r>
      <w:r>
        <w:rPr>
          <w:bCs/>
          <w:szCs w:val="21"/>
          <w:highlight w:val="none"/>
          <w:u w:val="single"/>
        </w:rPr>
        <w:t xml:space="preserve">            </w:t>
      </w:r>
    </w:p>
    <w:p>
      <w:pPr>
        <w:topLinePunct/>
        <w:spacing w:line="600" w:lineRule="exact"/>
        <w:rPr>
          <w:bCs/>
          <w:szCs w:val="21"/>
          <w:highlight w:val="none"/>
          <w:u w:val="single"/>
        </w:rPr>
      </w:pPr>
      <w:r>
        <w:rPr>
          <w:bCs/>
          <w:szCs w:val="21"/>
          <w:highlight w:val="none"/>
        </w:rPr>
        <w:t>姓名：</w:t>
      </w:r>
      <w:r>
        <w:rPr>
          <w:bCs/>
          <w:szCs w:val="21"/>
          <w:highlight w:val="none"/>
          <w:u w:val="single"/>
        </w:rPr>
        <w:t xml:space="preserve">         </w:t>
      </w:r>
      <w:r>
        <w:rPr>
          <w:bCs/>
          <w:szCs w:val="21"/>
          <w:highlight w:val="none"/>
        </w:rPr>
        <w:t>性别：</w:t>
      </w:r>
      <w:r>
        <w:rPr>
          <w:bCs/>
          <w:szCs w:val="21"/>
          <w:highlight w:val="none"/>
          <w:u w:val="single"/>
        </w:rPr>
        <w:t xml:space="preserve">          </w:t>
      </w:r>
      <w:r>
        <w:rPr>
          <w:bCs/>
          <w:szCs w:val="21"/>
          <w:highlight w:val="none"/>
        </w:rPr>
        <w:t>年龄：</w:t>
      </w:r>
      <w:r>
        <w:rPr>
          <w:bCs/>
          <w:szCs w:val="21"/>
          <w:highlight w:val="none"/>
          <w:u w:val="single"/>
        </w:rPr>
        <w:t xml:space="preserve">        </w:t>
      </w:r>
      <w:r>
        <w:rPr>
          <w:rFonts w:hint="eastAsia"/>
          <w:bCs/>
          <w:szCs w:val="21"/>
          <w:highlight w:val="none"/>
          <w:u w:val="single"/>
        </w:rPr>
        <w:t xml:space="preserve"> </w:t>
      </w:r>
      <w:r>
        <w:rPr>
          <w:bCs/>
          <w:szCs w:val="21"/>
          <w:highlight w:val="none"/>
        </w:rPr>
        <w:t>职务：</w:t>
      </w:r>
      <w:r>
        <w:rPr>
          <w:bCs/>
          <w:szCs w:val="21"/>
          <w:highlight w:val="none"/>
          <w:u w:val="single"/>
        </w:rPr>
        <w:t xml:space="preserve">        </w:t>
      </w:r>
      <w:r>
        <w:rPr>
          <w:rFonts w:hint="eastAsia"/>
          <w:bCs/>
          <w:szCs w:val="21"/>
          <w:highlight w:val="none"/>
          <w:u w:val="single"/>
        </w:rPr>
        <w:t xml:space="preserve"> </w:t>
      </w:r>
    </w:p>
    <w:p>
      <w:pPr>
        <w:topLinePunct/>
        <w:spacing w:line="600" w:lineRule="exact"/>
        <w:rPr>
          <w:bCs/>
          <w:szCs w:val="21"/>
          <w:highlight w:val="none"/>
        </w:rPr>
      </w:pPr>
      <w:r>
        <w:rPr>
          <w:bCs/>
          <w:szCs w:val="21"/>
          <w:highlight w:val="none"/>
        </w:rPr>
        <w:t>系</w:t>
      </w:r>
      <w:r>
        <w:rPr>
          <w:bCs/>
          <w:szCs w:val="21"/>
          <w:highlight w:val="none"/>
          <w:u w:val="single"/>
        </w:rPr>
        <w:t xml:space="preserve">                   </w:t>
      </w:r>
      <w:r>
        <w:rPr>
          <w:rFonts w:hint="eastAsia"/>
          <w:bCs/>
          <w:szCs w:val="21"/>
          <w:highlight w:val="none"/>
        </w:rPr>
        <w:t>（响应人</w:t>
      </w:r>
      <w:r>
        <w:rPr>
          <w:bCs/>
          <w:szCs w:val="21"/>
          <w:highlight w:val="none"/>
        </w:rPr>
        <w:t>名称</w:t>
      </w:r>
      <w:r>
        <w:rPr>
          <w:rFonts w:hint="eastAsia"/>
          <w:bCs/>
          <w:szCs w:val="21"/>
          <w:highlight w:val="none"/>
        </w:rPr>
        <w:t>）</w:t>
      </w:r>
      <w:r>
        <w:rPr>
          <w:bCs/>
          <w:szCs w:val="21"/>
          <w:highlight w:val="none"/>
        </w:rPr>
        <w:t>的法定代表人。</w:t>
      </w:r>
    </w:p>
    <w:p>
      <w:pPr>
        <w:topLinePunct/>
        <w:spacing w:line="600" w:lineRule="exact"/>
        <w:ind w:firstLine="420" w:firstLineChars="200"/>
        <w:rPr>
          <w:bCs/>
          <w:szCs w:val="21"/>
          <w:highlight w:val="none"/>
        </w:rPr>
      </w:pPr>
      <w:r>
        <w:rPr>
          <w:bCs/>
          <w:szCs w:val="21"/>
          <w:highlight w:val="none"/>
        </w:rPr>
        <w:t>特此证明。</w:t>
      </w:r>
    </w:p>
    <w:p>
      <w:pPr>
        <w:topLinePunct/>
        <w:spacing w:line="440" w:lineRule="exact"/>
        <w:rPr>
          <w:highlight w:val="none"/>
        </w:rPr>
      </w:pPr>
      <w:r>
        <w:rPr>
          <w:highlight w:val="none"/>
        </w:rPr>
        <w:t>附：法定代表人身份证复印件</w:t>
      </w:r>
      <w:r>
        <w:rPr>
          <w:rFonts w:hint="eastAsia"/>
          <w:highlight w:val="none"/>
        </w:rPr>
        <w:t>（</w:t>
      </w:r>
      <w:r>
        <w:rPr>
          <w:rFonts w:hint="eastAsia" w:ascii="宋体" w:hAnsi="宋体"/>
          <w:szCs w:val="21"/>
          <w:highlight w:val="none"/>
        </w:rPr>
        <w:t>需同时提供正面及背面</w:t>
      </w:r>
      <w:r>
        <w:rPr>
          <w:rFonts w:hint="eastAsia"/>
          <w:highlight w:val="none"/>
        </w:rPr>
        <w:t>）</w:t>
      </w: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440" w:lineRule="exact"/>
        <w:rPr>
          <w:szCs w:val="21"/>
          <w:highlight w:val="none"/>
        </w:rPr>
      </w:pPr>
    </w:p>
    <w:p>
      <w:pPr>
        <w:spacing w:line="440" w:lineRule="exact"/>
        <w:rPr>
          <w:szCs w:val="21"/>
          <w:highlight w:val="none"/>
        </w:rPr>
      </w:pPr>
    </w:p>
    <w:p>
      <w:pPr>
        <w:spacing w:line="440" w:lineRule="exact"/>
        <w:ind w:firstLine="4305" w:firstLineChars="2050"/>
        <w:rPr>
          <w:szCs w:val="21"/>
          <w:highlight w:val="none"/>
        </w:rPr>
      </w:pPr>
    </w:p>
    <w:p>
      <w:pPr>
        <w:spacing w:line="440" w:lineRule="exact"/>
        <w:ind w:firstLine="4305" w:firstLineChars="2050"/>
        <w:rPr>
          <w:szCs w:val="21"/>
          <w:highlight w:val="none"/>
        </w:rPr>
      </w:pPr>
      <w:r>
        <w:rPr>
          <w:szCs w:val="21"/>
          <w:highlight w:val="none"/>
        </w:rPr>
        <w:t>响应人：</w:t>
      </w:r>
      <w:r>
        <w:rPr>
          <w:szCs w:val="21"/>
          <w:highlight w:val="none"/>
          <w:u w:val="single"/>
        </w:rPr>
        <w:t xml:space="preserve">                 </w:t>
      </w:r>
      <w:r>
        <w:rPr>
          <w:szCs w:val="21"/>
          <w:highlight w:val="none"/>
        </w:rPr>
        <w:t>（盖单位公章）</w:t>
      </w:r>
    </w:p>
    <w:p>
      <w:pPr>
        <w:spacing w:line="440" w:lineRule="exact"/>
        <w:rPr>
          <w:szCs w:val="21"/>
          <w:highlight w:val="none"/>
        </w:rPr>
      </w:pPr>
      <w:r>
        <w:rPr>
          <w:szCs w:val="21"/>
          <w:highlight w:val="none"/>
        </w:rPr>
        <w:t xml:space="preserve">                                </w:t>
      </w:r>
      <w:r>
        <w:rPr>
          <w:rFonts w:hint="eastAsia"/>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日 </w:t>
      </w:r>
    </w:p>
    <w:p>
      <w:pPr>
        <w:widowControl/>
        <w:jc w:val="left"/>
        <w:rPr>
          <w:rFonts w:ascii="Arial" w:hAnsi="Arial" w:eastAsia="黑体"/>
          <w:bCs/>
          <w:sz w:val="32"/>
          <w:szCs w:val="32"/>
          <w:highlight w:val="none"/>
        </w:rPr>
      </w:pPr>
      <w:bookmarkStart w:id="192" w:name="_Toc475483725"/>
      <w:r>
        <w:rPr>
          <w:b/>
          <w:highlight w:val="none"/>
        </w:rPr>
        <w:br w:type="page"/>
      </w:r>
    </w:p>
    <w:p>
      <w:pPr>
        <w:pStyle w:val="3"/>
        <w:jc w:val="center"/>
        <w:rPr>
          <w:b w:val="0"/>
          <w:highlight w:val="none"/>
        </w:rPr>
      </w:pPr>
      <w:bookmarkStart w:id="193" w:name="_Toc32309"/>
      <w:bookmarkStart w:id="194" w:name="_Toc10960"/>
      <w:r>
        <w:rPr>
          <w:rFonts w:hint="eastAsia"/>
          <w:b w:val="0"/>
          <w:highlight w:val="none"/>
          <w:lang w:val="en-US" w:eastAsia="zh-CN"/>
        </w:rPr>
        <w:t>四</w:t>
      </w:r>
      <w:r>
        <w:rPr>
          <w:rFonts w:hint="eastAsia"/>
          <w:b w:val="0"/>
          <w:highlight w:val="none"/>
        </w:rPr>
        <w:t>、法定代表人</w:t>
      </w:r>
      <w:r>
        <w:rPr>
          <w:b w:val="0"/>
          <w:highlight w:val="none"/>
        </w:rPr>
        <w:t>授权委托书</w:t>
      </w:r>
      <w:bookmarkEnd w:id="192"/>
      <w:bookmarkEnd w:id="193"/>
      <w:bookmarkEnd w:id="194"/>
    </w:p>
    <w:p>
      <w:pPr>
        <w:topLinePunct/>
        <w:spacing w:line="440" w:lineRule="exact"/>
        <w:ind w:firstLine="420" w:firstLineChars="200"/>
        <w:rPr>
          <w:szCs w:val="21"/>
          <w:highlight w:val="none"/>
        </w:rPr>
      </w:pPr>
      <w:r>
        <w:rPr>
          <w:szCs w:val="21"/>
          <w:highlight w:val="none"/>
        </w:rPr>
        <w:t>本人</w:t>
      </w:r>
      <w:r>
        <w:rPr>
          <w:szCs w:val="21"/>
          <w:highlight w:val="none"/>
          <w:u w:val="single"/>
        </w:rPr>
        <w:t xml:space="preserve">       （姓名）</w:t>
      </w:r>
      <w:r>
        <w:rPr>
          <w:szCs w:val="21"/>
          <w:highlight w:val="none"/>
        </w:rPr>
        <w:t>系</w:t>
      </w:r>
      <w:r>
        <w:rPr>
          <w:szCs w:val="21"/>
          <w:highlight w:val="none"/>
          <w:u w:val="single"/>
        </w:rPr>
        <w:t xml:space="preserve"> （响应人名称）</w:t>
      </w:r>
      <w:r>
        <w:rPr>
          <w:szCs w:val="21"/>
          <w:highlight w:val="none"/>
        </w:rPr>
        <w:t>的法定代表人，现委托</w:t>
      </w:r>
      <w:r>
        <w:rPr>
          <w:szCs w:val="21"/>
          <w:highlight w:val="none"/>
          <w:u w:val="single"/>
        </w:rPr>
        <w:t xml:space="preserve"> </w:t>
      </w:r>
      <w:r>
        <w:rPr>
          <w:rFonts w:hint="eastAsia"/>
          <w:szCs w:val="21"/>
          <w:highlight w:val="none"/>
          <w:u w:val="single"/>
        </w:rPr>
        <w:t>（姓名）</w:t>
      </w:r>
      <w:r>
        <w:rPr>
          <w:szCs w:val="21"/>
          <w:highlight w:val="none"/>
        </w:rPr>
        <w:t>为我方代理人。代理人根据授权，以我方名义</w:t>
      </w:r>
      <w:r>
        <w:rPr>
          <w:rFonts w:hint="eastAsia"/>
          <w:szCs w:val="21"/>
          <w:highlight w:val="none"/>
        </w:rPr>
        <w:t>全权处理</w:t>
      </w:r>
      <w:r>
        <w:rPr>
          <w:rFonts w:hint="eastAsia"/>
          <w:szCs w:val="21"/>
          <w:highlight w:val="none"/>
          <w:u w:val="single"/>
        </w:rPr>
        <w:t xml:space="preserve">      </w:t>
      </w:r>
      <w:r>
        <w:rPr>
          <w:szCs w:val="21"/>
          <w:highlight w:val="none"/>
          <w:u w:val="single"/>
        </w:rPr>
        <w:t>（项目名称）</w:t>
      </w:r>
      <w:r>
        <w:rPr>
          <w:rFonts w:hint="eastAsia"/>
          <w:szCs w:val="21"/>
          <w:highlight w:val="none"/>
          <w:u w:val="single"/>
        </w:rPr>
        <w:t xml:space="preserve">     </w:t>
      </w:r>
      <w:r>
        <w:rPr>
          <w:rFonts w:hint="eastAsia"/>
          <w:szCs w:val="21"/>
          <w:highlight w:val="none"/>
        </w:rPr>
        <w:t>标段（</w:t>
      </w:r>
      <w:r>
        <w:rPr>
          <w:szCs w:val="21"/>
          <w:highlight w:val="none"/>
        </w:rPr>
        <w:t>签署、澄清</w:t>
      </w:r>
      <w:r>
        <w:rPr>
          <w:rFonts w:hint="eastAsia"/>
          <w:szCs w:val="21"/>
          <w:highlight w:val="none"/>
        </w:rPr>
        <w:t>、说明、补正</w:t>
      </w:r>
      <w:r>
        <w:rPr>
          <w:szCs w:val="21"/>
          <w:highlight w:val="none"/>
        </w:rPr>
        <w:t>、递交、撤回、修改响应文件</w:t>
      </w:r>
      <w:r>
        <w:rPr>
          <w:rFonts w:hint="eastAsia"/>
          <w:szCs w:val="21"/>
          <w:highlight w:val="none"/>
        </w:rPr>
        <w:t>，</w:t>
      </w:r>
      <w:r>
        <w:rPr>
          <w:szCs w:val="21"/>
          <w:highlight w:val="none"/>
        </w:rPr>
        <w:t>签订合同和处理</w:t>
      </w:r>
      <w:r>
        <w:rPr>
          <w:rFonts w:hint="eastAsia"/>
          <w:szCs w:val="21"/>
          <w:highlight w:val="none"/>
        </w:rPr>
        <w:t>一切</w:t>
      </w:r>
      <w:r>
        <w:rPr>
          <w:szCs w:val="21"/>
          <w:highlight w:val="none"/>
        </w:rPr>
        <w:t>有关事宜</w:t>
      </w:r>
      <w:r>
        <w:rPr>
          <w:rFonts w:hint="eastAsia"/>
          <w:szCs w:val="21"/>
          <w:highlight w:val="none"/>
        </w:rPr>
        <w:t>）</w:t>
      </w:r>
      <w:r>
        <w:rPr>
          <w:szCs w:val="21"/>
          <w:highlight w:val="none"/>
        </w:rPr>
        <w:t>，其法律后果由我方承担。</w:t>
      </w:r>
    </w:p>
    <w:p>
      <w:pPr>
        <w:spacing w:line="44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40" w:lineRule="exact"/>
        <w:ind w:firstLine="420" w:firstLineChars="200"/>
        <w:rPr>
          <w:szCs w:val="21"/>
          <w:highlight w:val="none"/>
        </w:rPr>
      </w:pPr>
      <w:r>
        <w:rPr>
          <w:szCs w:val="21"/>
          <w:highlight w:val="none"/>
        </w:rPr>
        <w:t>代理人无转委托权。</w:t>
      </w:r>
    </w:p>
    <w:p>
      <w:pPr>
        <w:spacing w:line="440" w:lineRule="exact"/>
        <w:rPr>
          <w:rFonts w:ascii="宋体" w:hAnsi="宋体"/>
          <w:szCs w:val="21"/>
          <w:highlight w:val="none"/>
        </w:rPr>
      </w:pPr>
      <w:r>
        <w:rPr>
          <w:rFonts w:hint="eastAsia" w:ascii="宋体" w:hAnsi="宋体"/>
          <w:szCs w:val="21"/>
          <w:highlight w:val="none"/>
        </w:rPr>
        <w:t>附：委托代理人身份证复印件(需同时提供正面及背面)</w:t>
      </w:r>
    </w:p>
    <w:p>
      <w:pPr>
        <w:spacing w:line="500" w:lineRule="exact"/>
        <w:rPr>
          <w:rFonts w:ascii="宋体" w:hAnsi="宋体"/>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440" w:lineRule="exact"/>
        <w:rPr>
          <w:szCs w:val="21"/>
          <w:highlight w:val="none"/>
        </w:rPr>
      </w:pPr>
    </w:p>
    <w:p>
      <w:pPr>
        <w:spacing w:line="500" w:lineRule="exact"/>
        <w:rPr>
          <w:rFonts w:ascii="宋体" w:hAnsi="宋体"/>
          <w:szCs w:val="21"/>
          <w:highlight w:val="none"/>
        </w:rPr>
      </w:pPr>
    </w:p>
    <w:p>
      <w:pPr>
        <w:spacing w:line="500" w:lineRule="exact"/>
        <w:rPr>
          <w:rFonts w:ascii="宋体" w:hAnsi="宋体"/>
          <w:szCs w:val="21"/>
          <w:highlight w:val="none"/>
        </w:rPr>
      </w:pPr>
    </w:p>
    <w:p>
      <w:pPr>
        <w:spacing w:line="500" w:lineRule="exact"/>
        <w:rPr>
          <w:rFonts w:ascii="宋体" w:hAnsi="宋体"/>
          <w:szCs w:val="21"/>
          <w:highlight w:val="none"/>
        </w:rPr>
      </w:pPr>
    </w:p>
    <w:p>
      <w:pPr>
        <w:spacing w:line="440" w:lineRule="exact"/>
        <w:rPr>
          <w:szCs w:val="21"/>
          <w:highlight w:val="none"/>
        </w:rPr>
      </w:pPr>
    </w:p>
    <w:p>
      <w:pPr>
        <w:spacing w:line="440" w:lineRule="exact"/>
        <w:rPr>
          <w:szCs w:val="21"/>
          <w:highlight w:val="none"/>
        </w:rPr>
      </w:pPr>
    </w:p>
    <w:p>
      <w:pPr>
        <w:spacing w:line="440" w:lineRule="exact"/>
        <w:rPr>
          <w:szCs w:val="21"/>
          <w:highlight w:val="none"/>
        </w:rPr>
      </w:pPr>
    </w:p>
    <w:p>
      <w:pPr>
        <w:spacing w:line="440" w:lineRule="exact"/>
        <w:rPr>
          <w:szCs w:val="21"/>
          <w:highlight w:val="none"/>
        </w:rPr>
      </w:pPr>
    </w:p>
    <w:p>
      <w:pPr>
        <w:spacing w:line="440" w:lineRule="exact"/>
        <w:jc w:val="right"/>
        <w:rPr>
          <w:szCs w:val="21"/>
          <w:highlight w:val="none"/>
        </w:rPr>
      </w:pPr>
      <w:r>
        <w:rPr>
          <w:szCs w:val="21"/>
          <w:highlight w:val="none"/>
        </w:rPr>
        <w:t>响应人</w:t>
      </w:r>
      <w:r>
        <w:rPr>
          <w:rFonts w:hint="eastAsia"/>
          <w:szCs w:val="21"/>
          <w:highlight w:val="none"/>
        </w:rPr>
        <w:t>名称</w:t>
      </w:r>
      <w:r>
        <w:rPr>
          <w:szCs w:val="21"/>
          <w:highlight w:val="none"/>
        </w:rPr>
        <w:t>：</w:t>
      </w:r>
      <w:r>
        <w:rPr>
          <w:szCs w:val="21"/>
          <w:highlight w:val="none"/>
          <w:u w:val="single"/>
        </w:rPr>
        <w:t xml:space="preserve">                         </w:t>
      </w:r>
      <w:r>
        <w:rPr>
          <w:szCs w:val="21"/>
          <w:highlight w:val="none"/>
        </w:rPr>
        <w:t>（盖单位公章）</w:t>
      </w:r>
    </w:p>
    <w:p>
      <w:pPr>
        <w:spacing w:line="440" w:lineRule="exact"/>
        <w:jc w:val="right"/>
        <w:rPr>
          <w:szCs w:val="21"/>
          <w:highlight w:val="none"/>
        </w:rPr>
      </w:pPr>
      <w:r>
        <w:rPr>
          <w:szCs w:val="21"/>
          <w:highlight w:val="none"/>
        </w:rPr>
        <w:t>法定代表人：</w:t>
      </w:r>
      <w:r>
        <w:rPr>
          <w:szCs w:val="21"/>
          <w:highlight w:val="none"/>
          <w:u w:val="single"/>
        </w:rPr>
        <w:t xml:space="preserve">                               </w:t>
      </w:r>
      <w:r>
        <w:rPr>
          <w:szCs w:val="21"/>
          <w:highlight w:val="none"/>
        </w:rPr>
        <w:t>（签字）</w:t>
      </w:r>
    </w:p>
    <w:p>
      <w:pPr>
        <w:spacing w:line="440" w:lineRule="exact"/>
        <w:ind w:right="420" w:firstLine="2940" w:firstLineChars="1400"/>
        <w:rPr>
          <w:szCs w:val="21"/>
          <w:highlight w:val="none"/>
        </w:rPr>
      </w:pPr>
      <w:r>
        <w:rPr>
          <w:szCs w:val="21"/>
          <w:highlight w:val="none"/>
        </w:rPr>
        <w:t>身份证号码：</w:t>
      </w:r>
      <w:r>
        <w:rPr>
          <w:szCs w:val="21"/>
          <w:highlight w:val="none"/>
          <w:u w:val="single"/>
        </w:rPr>
        <w:t xml:space="preserve">                                     </w:t>
      </w:r>
    </w:p>
    <w:p>
      <w:pPr>
        <w:spacing w:line="440" w:lineRule="exact"/>
        <w:ind w:right="105"/>
        <w:jc w:val="right"/>
        <w:rPr>
          <w:szCs w:val="21"/>
          <w:highlight w:val="none"/>
        </w:rPr>
      </w:pPr>
      <w:r>
        <w:rPr>
          <w:szCs w:val="21"/>
          <w:highlight w:val="none"/>
        </w:rPr>
        <w:t>委托代理人：</w:t>
      </w:r>
      <w:r>
        <w:rPr>
          <w:szCs w:val="21"/>
          <w:highlight w:val="none"/>
          <w:u w:val="single"/>
        </w:rPr>
        <w:t xml:space="preserve">                              </w:t>
      </w:r>
      <w:r>
        <w:rPr>
          <w:szCs w:val="21"/>
          <w:highlight w:val="none"/>
        </w:rPr>
        <w:t xml:space="preserve">（签字） </w:t>
      </w:r>
    </w:p>
    <w:p>
      <w:pPr>
        <w:spacing w:line="440" w:lineRule="exact"/>
        <w:ind w:right="420" w:firstLine="2940" w:firstLineChars="1400"/>
        <w:rPr>
          <w:szCs w:val="21"/>
          <w:highlight w:val="none"/>
        </w:rPr>
      </w:pPr>
      <w:r>
        <w:rPr>
          <w:szCs w:val="21"/>
          <w:highlight w:val="none"/>
        </w:rPr>
        <w:t>身份证号码：</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p>
    <w:p>
      <w:pPr>
        <w:spacing w:line="440" w:lineRule="exact"/>
        <w:ind w:firstLine="2310" w:firstLineChars="1100"/>
        <w:jc w:val="right"/>
        <w:rPr>
          <w:szCs w:val="21"/>
          <w:highlight w:val="none"/>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pStyle w:val="3"/>
        <w:spacing w:before="0"/>
        <w:jc w:val="center"/>
        <w:rPr>
          <w:highlight w:val="none"/>
        </w:rPr>
        <w:sectPr>
          <w:pgSz w:w="11906" w:h="16838"/>
          <w:pgMar w:top="1418" w:right="1800" w:bottom="1440" w:left="1800" w:header="851" w:footer="992" w:gutter="0"/>
          <w:cols w:space="720" w:num="1"/>
          <w:docGrid w:type="lines" w:linePitch="312" w:charSpace="0"/>
        </w:sectPr>
      </w:pPr>
    </w:p>
    <w:p>
      <w:pPr>
        <w:spacing w:line="400" w:lineRule="exact"/>
        <w:rPr>
          <w:rFonts w:eastAsia="黑体"/>
          <w:sz w:val="27"/>
          <w:szCs w:val="27"/>
          <w:highlight w:val="none"/>
        </w:rPr>
      </w:pPr>
    </w:p>
    <w:p>
      <w:pPr>
        <w:pStyle w:val="3"/>
        <w:jc w:val="center"/>
        <w:rPr>
          <w:highlight w:val="none"/>
        </w:rPr>
      </w:pPr>
      <w:bookmarkStart w:id="195" w:name="_Toc247085882"/>
      <w:bookmarkStart w:id="196" w:name="_Toc152045796"/>
      <w:bookmarkStart w:id="197" w:name="_Toc338669155"/>
      <w:bookmarkStart w:id="198" w:name="_Toc20547"/>
      <w:bookmarkStart w:id="199" w:name="_Toc246996364"/>
      <w:bookmarkStart w:id="200" w:name="_Toc20868"/>
      <w:bookmarkStart w:id="201" w:name="_Toc246997107"/>
      <w:bookmarkStart w:id="202" w:name="_Toc144974864"/>
      <w:bookmarkStart w:id="203" w:name="_Toc152042585"/>
      <w:bookmarkStart w:id="204" w:name="_Toc179632816"/>
      <w:r>
        <w:rPr>
          <w:rFonts w:hint="eastAsia"/>
          <w:highlight w:val="none"/>
          <w:lang w:val="en-US" w:eastAsia="zh-CN"/>
        </w:rPr>
        <w:t>五</w:t>
      </w:r>
      <w:r>
        <w:rPr>
          <w:highlight w:val="none"/>
        </w:rPr>
        <w:t>、</w:t>
      </w:r>
      <w:r>
        <w:rPr>
          <w:rFonts w:hint="eastAsia"/>
          <w:highlight w:val="none"/>
        </w:rPr>
        <w:t>项目实施</w:t>
      </w:r>
      <w:r>
        <w:rPr>
          <w:highlight w:val="none"/>
        </w:rPr>
        <w:t>方案</w:t>
      </w:r>
      <w:bookmarkEnd w:id="195"/>
      <w:bookmarkEnd w:id="196"/>
      <w:bookmarkEnd w:id="197"/>
      <w:bookmarkEnd w:id="198"/>
      <w:bookmarkEnd w:id="199"/>
      <w:bookmarkEnd w:id="200"/>
      <w:bookmarkEnd w:id="201"/>
      <w:bookmarkEnd w:id="202"/>
      <w:bookmarkEnd w:id="203"/>
      <w:bookmarkEnd w:id="204"/>
    </w:p>
    <w:p>
      <w:pPr>
        <w:spacing w:line="440" w:lineRule="exact"/>
        <w:rPr>
          <w:szCs w:val="21"/>
          <w:highlight w:val="none"/>
        </w:rPr>
      </w:pPr>
      <w:r>
        <w:rPr>
          <w:rFonts w:hint="eastAsia"/>
          <w:szCs w:val="21"/>
          <w:highlight w:val="none"/>
        </w:rPr>
        <w:t>响应人应根据第四章“用户需求书/技术规范书”中的要求制定项目实施方案。竞争性谈判方可以根据实际情况增加内容，但不得擅自减少有关内容。格式自拟。</w:t>
      </w:r>
    </w:p>
    <w:p>
      <w:pPr>
        <w:widowControl/>
        <w:jc w:val="left"/>
        <w:rPr>
          <w:szCs w:val="21"/>
          <w:highlight w:val="none"/>
        </w:rPr>
      </w:pPr>
      <w:r>
        <w:rPr>
          <w:szCs w:val="21"/>
          <w:highlight w:val="none"/>
        </w:rPr>
        <w:br w:type="page"/>
      </w:r>
    </w:p>
    <w:p>
      <w:pPr>
        <w:pStyle w:val="3"/>
        <w:jc w:val="center"/>
        <w:rPr>
          <w:szCs w:val="21"/>
          <w:highlight w:val="none"/>
        </w:rPr>
      </w:pPr>
      <w:bookmarkStart w:id="205" w:name="_Toc30517"/>
      <w:bookmarkStart w:id="206" w:name="_Toc21177"/>
      <w:r>
        <w:rPr>
          <w:rFonts w:hint="eastAsia"/>
          <w:highlight w:val="none"/>
          <w:lang w:val="en-US" w:eastAsia="zh-CN"/>
        </w:rPr>
        <w:t>六</w:t>
      </w:r>
      <w:r>
        <w:rPr>
          <w:highlight w:val="none"/>
        </w:rPr>
        <w:t>、项目管理机构</w:t>
      </w:r>
      <w:bookmarkEnd w:id="205"/>
      <w:bookmarkEnd w:id="206"/>
    </w:p>
    <w:p>
      <w:pPr>
        <w:spacing w:before="312" w:beforeLines="100" w:after="312" w:afterLines="100" w:line="440" w:lineRule="exact"/>
        <w:jc w:val="center"/>
        <w:rPr>
          <w:rFonts w:ascii="Arial" w:hAnsi="Arial" w:eastAsia="黑体"/>
          <w:b/>
          <w:bCs/>
          <w:sz w:val="32"/>
          <w:szCs w:val="32"/>
          <w:highlight w:val="none"/>
        </w:rPr>
      </w:pPr>
      <w:bookmarkStart w:id="207" w:name="_Toc334766997"/>
      <w:bookmarkStart w:id="208" w:name="_Toc326223615"/>
      <w:bookmarkStart w:id="209" w:name="_Toc332188244"/>
      <w:bookmarkStart w:id="210" w:name="_Toc152042593"/>
      <w:bookmarkStart w:id="211" w:name="_Toc144974872"/>
      <w:bookmarkStart w:id="212" w:name="_Toc247085888"/>
      <w:bookmarkStart w:id="213" w:name="_Toc152045804"/>
      <w:bookmarkStart w:id="214" w:name="_Toc246996370"/>
      <w:bookmarkStart w:id="215" w:name="_Toc246997113"/>
      <w:bookmarkStart w:id="216" w:name="_Toc179632824"/>
      <w:r>
        <w:rPr>
          <w:rFonts w:ascii="Arial" w:hAnsi="Arial" w:eastAsia="黑体"/>
          <w:b/>
          <w:bCs/>
          <w:sz w:val="32"/>
          <w:szCs w:val="32"/>
          <w:highlight w:val="none"/>
        </w:rPr>
        <w:t>（一）项目管理机构组成表</w:t>
      </w:r>
      <w:bookmarkEnd w:id="207"/>
      <w:bookmarkEnd w:id="208"/>
      <w:bookmarkEnd w:id="209"/>
      <w:bookmarkEnd w:id="210"/>
      <w:bookmarkEnd w:id="211"/>
      <w:bookmarkEnd w:id="212"/>
      <w:bookmarkEnd w:id="213"/>
      <w:bookmarkEnd w:id="214"/>
      <w:bookmarkEnd w:id="215"/>
      <w:bookmarkEnd w:id="216"/>
    </w:p>
    <w:tbl>
      <w:tblPr>
        <w:tblStyle w:val="36"/>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93"/>
        <w:gridCol w:w="958"/>
        <w:gridCol w:w="709"/>
        <w:gridCol w:w="850"/>
        <w:gridCol w:w="709"/>
        <w:gridCol w:w="709"/>
        <w:gridCol w:w="709"/>
        <w:gridCol w:w="992"/>
        <w:gridCol w:w="1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34" w:type="dxa"/>
            <w:vMerge w:val="restart"/>
            <w:vAlign w:val="center"/>
          </w:tcPr>
          <w:p>
            <w:pPr>
              <w:spacing w:line="440" w:lineRule="exact"/>
              <w:jc w:val="center"/>
              <w:rPr>
                <w:szCs w:val="21"/>
                <w:highlight w:val="none"/>
              </w:rPr>
            </w:pPr>
            <w:r>
              <w:rPr>
                <w:szCs w:val="21"/>
                <w:highlight w:val="none"/>
              </w:rPr>
              <w:t>职务</w:t>
            </w:r>
          </w:p>
        </w:tc>
        <w:tc>
          <w:tcPr>
            <w:tcW w:w="993" w:type="dxa"/>
            <w:vMerge w:val="restart"/>
            <w:vAlign w:val="center"/>
          </w:tcPr>
          <w:p>
            <w:pPr>
              <w:spacing w:line="440" w:lineRule="exact"/>
              <w:jc w:val="center"/>
              <w:rPr>
                <w:szCs w:val="21"/>
                <w:highlight w:val="none"/>
              </w:rPr>
            </w:pPr>
            <w:r>
              <w:rPr>
                <w:szCs w:val="21"/>
                <w:highlight w:val="none"/>
              </w:rPr>
              <w:t>姓名</w:t>
            </w:r>
          </w:p>
        </w:tc>
        <w:tc>
          <w:tcPr>
            <w:tcW w:w="958" w:type="dxa"/>
            <w:vMerge w:val="restart"/>
            <w:vAlign w:val="center"/>
          </w:tcPr>
          <w:p>
            <w:pPr>
              <w:spacing w:line="440" w:lineRule="exact"/>
              <w:jc w:val="center"/>
              <w:rPr>
                <w:szCs w:val="21"/>
                <w:highlight w:val="none"/>
              </w:rPr>
            </w:pPr>
            <w:r>
              <w:rPr>
                <w:szCs w:val="21"/>
                <w:highlight w:val="none"/>
              </w:rPr>
              <w:t>职称</w:t>
            </w:r>
          </w:p>
        </w:tc>
        <w:tc>
          <w:tcPr>
            <w:tcW w:w="709" w:type="dxa"/>
            <w:vMerge w:val="restart"/>
            <w:vAlign w:val="center"/>
          </w:tcPr>
          <w:p>
            <w:pPr>
              <w:spacing w:line="440" w:lineRule="exact"/>
              <w:jc w:val="center"/>
              <w:rPr>
                <w:szCs w:val="21"/>
                <w:highlight w:val="none"/>
              </w:rPr>
            </w:pPr>
            <w:r>
              <w:rPr>
                <w:rFonts w:hint="eastAsia"/>
                <w:szCs w:val="21"/>
                <w:highlight w:val="none"/>
              </w:rPr>
              <w:t>学历</w:t>
            </w:r>
          </w:p>
        </w:tc>
        <w:tc>
          <w:tcPr>
            <w:tcW w:w="2977" w:type="dxa"/>
            <w:gridSpan w:val="4"/>
            <w:vAlign w:val="center"/>
          </w:tcPr>
          <w:p>
            <w:pPr>
              <w:spacing w:line="440" w:lineRule="exact"/>
              <w:jc w:val="center"/>
              <w:rPr>
                <w:szCs w:val="21"/>
                <w:highlight w:val="none"/>
              </w:rPr>
            </w:pPr>
            <w:r>
              <w:rPr>
                <w:szCs w:val="21"/>
                <w:highlight w:val="none"/>
              </w:rPr>
              <w:t>执业或职业资格证明</w:t>
            </w:r>
          </w:p>
        </w:tc>
        <w:tc>
          <w:tcPr>
            <w:tcW w:w="992" w:type="dxa"/>
            <w:vMerge w:val="restart"/>
            <w:vAlign w:val="center"/>
          </w:tcPr>
          <w:p>
            <w:pPr>
              <w:spacing w:line="440" w:lineRule="exact"/>
              <w:jc w:val="center"/>
              <w:rPr>
                <w:szCs w:val="21"/>
                <w:highlight w:val="none"/>
              </w:rPr>
            </w:pPr>
            <w:r>
              <w:rPr>
                <w:rFonts w:hint="eastAsia"/>
                <w:szCs w:val="21"/>
                <w:highlight w:val="none"/>
              </w:rPr>
              <w:t>同类项目工作年限（年）</w:t>
            </w:r>
          </w:p>
        </w:tc>
        <w:tc>
          <w:tcPr>
            <w:tcW w:w="1876" w:type="dxa"/>
            <w:vMerge w:val="restart"/>
            <w:vAlign w:val="center"/>
          </w:tcPr>
          <w:p>
            <w:pPr>
              <w:spacing w:line="440" w:lineRule="exact"/>
              <w:jc w:val="center"/>
              <w:rPr>
                <w:szCs w:val="21"/>
                <w:highlight w:val="none"/>
              </w:rPr>
            </w:pPr>
            <w:r>
              <w:rPr>
                <w:rFonts w:hint="eastAsia"/>
                <w:szCs w:val="21"/>
                <w:highlight w:val="none"/>
              </w:rPr>
              <w:t>工作简介（项目经验）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134" w:type="dxa"/>
            <w:vMerge w:val="continue"/>
            <w:vAlign w:val="center"/>
          </w:tcPr>
          <w:p>
            <w:pPr>
              <w:spacing w:line="440" w:lineRule="exact"/>
              <w:jc w:val="center"/>
              <w:rPr>
                <w:szCs w:val="21"/>
                <w:highlight w:val="none"/>
              </w:rPr>
            </w:pPr>
          </w:p>
        </w:tc>
        <w:tc>
          <w:tcPr>
            <w:tcW w:w="993" w:type="dxa"/>
            <w:vMerge w:val="continue"/>
            <w:vAlign w:val="center"/>
          </w:tcPr>
          <w:p>
            <w:pPr>
              <w:spacing w:line="440" w:lineRule="exact"/>
              <w:jc w:val="center"/>
              <w:rPr>
                <w:szCs w:val="21"/>
                <w:highlight w:val="none"/>
              </w:rPr>
            </w:pPr>
          </w:p>
        </w:tc>
        <w:tc>
          <w:tcPr>
            <w:tcW w:w="958" w:type="dxa"/>
            <w:vMerge w:val="continue"/>
            <w:vAlign w:val="center"/>
          </w:tcPr>
          <w:p>
            <w:pPr>
              <w:spacing w:line="440" w:lineRule="exact"/>
              <w:jc w:val="center"/>
              <w:rPr>
                <w:szCs w:val="21"/>
                <w:highlight w:val="none"/>
              </w:rPr>
            </w:pPr>
          </w:p>
        </w:tc>
        <w:tc>
          <w:tcPr>
            <w:tcW w:w="709" w:type="dxa"/>
            <w:vMerge w:val="continue"/>
            <w:vAlign w:val="center"/>
          </w:tcPr>
          <w:p>
            <w:pPr>
              <w:spacing w:line="440" w:lineRule="exact"/>
              <w:jc w:val="center"/>
              <w:rPr>
                <w:szCs w:val="21"/>
                <w:highlight w:val="none"/>
              </w:rPr>
            </w:pPr>
          </w:p>
        </w:tc>
        <w:tc>
          <w:tcPr>
            <w:tcW w:w="850" w:type="dxa"/>
            <w:vAlign w:val="center"/>
          </w:tcPr>
          <w:p>
            <w:pPr>
              <w:spacing w:line="440" w:lineRule="exact"/>
              <w:jc w:val="center"/>
              <w:rPr>
                <w:szCs w:val="21"/>
                <w:highlight w:val="none"/>
              </w:rPr>
            </w:pPr>
            <w:r>
              <w:rPr>
                <w:szCs w:val="21"/>
                <w:highlight w:val="none"/>
              </w:rPr>
              <w:t>证书名称</w:t>
            </w:r>
          </w:p>
        </w:tc>
        <w:tc>
          <w:tcPr>
            <w:tcW w:w="709" w:type="dxa"/>
            <w:vAlign w:val="center"/>
          </w:tcPr>
          <w:p>
            <w:pPr>
              <w:spacing w:line="440" w:lineRule="exact"/>
              <w:jc w:val="center"/>
              <w:rPr>
                <w:szCs w:val="21"/>
                <w:highlight w:val="none"/>
              </w:rPr>
            </w:pPr>
            <w:r>
              <w:rPr>
                <w:szCs w:val="21"/>
                <w:highlight w:val="none"/>
              </w:rPr>
              <w:t>级别</w:t>
            </w:r>
          </w:p>
        </w:tc>
        <w:tc>
          <w:tcPr>
            <w:tcW w:w="709" w:type="dxa"/>
            <w:vAlign w:val="center"/>
          </w:tcPr>
          <w:p>
            <w:pPr>
              <w:spacing w:line="440" w:lineRule="exact"/>
              <w:jc w:val="center"/>
              <w:rPr>
                <w:szCs w:val="21"/>
                <w:highlight w:val="none"/>
              </w:rPr>
            </w:pPr>
            <w:r>
              <w:rPr>
                <w:szCs w:val="21"/>
                <w:highlight w:val="none"/>
              </w:rPr>
              <w:t>证号</w:t>
            </w:r>
          </w:p>
        </w:tc>
        <w:tc>
          <w:tcPr>
            <w:tcW w:w="709" w:type="dxa"/>
            <w:vAlign w:val="center"/>
          </w:tcPr>
          <w:p>
            <w:pPr>
              <w:spacing w:line="440" w:lineRule="exact"/>
              <w:jc w:val="center"/>
              <w:rPr>
                <w:szCs w:val="21"/>
                <w:highlight w:val="none"/>
              </w:rPr>
            </w:pPr>
            <w:r>
              <w:rPr>
                <w:szCs w:val="21"/>
                <w:highlight w:val="none"/>
              </w:rPr>
              <w:t>专业</w:t>
            </w:r>
          </w:p>
        </w:tc>
        <w:tc>
          <w:tcPr>
            <w:tcW w:w="992" w:type="dxa"/>
            <w:vMerge w:val="continue"/>
            <w:vAlign w:val="center"/>
          </w:tcPr>
          <w:p>
            <w:pPr>
              <w:spacing w:line="440" w:lineRule="exact"/>
              <w:jc w:val="center"/>
              <w:rPr>
                <w:szCs w:val="21"/>
                <w:highlight w:val="none"/>
              </w:rPr>
            </w:pPr>
          </w:p>
        </w:tc>
        <w:tc>
          <w:tcPr>
            <w:tcW w:w="1876" w:type="dxa"/>
            <w:vMerge w:val="continue"/>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spacing w:line="440" w:lineRule="exact"/>
              <w:jc w:val="center"/>
              <w:rPr>
                <w:szCs w:val="21"/>
                <w:highlight w:val="none"/>
              </w:rPr>
            </w:pPr>
          </w:p>
        </w:tc>
        <w:tc>
          <w:tcPr>
            <w:tcW w:w="993" w:type="dxa"/>
            <w:vAlign w:val="center"/>
          </w:tcPr>
          <w:p>
            <w:pPr>
              <w:spacing w:line="440" w:lineRule="exact"/>
              <w:jc w:val="center"/>
              <w:rPr>
                <w:szCs w:val="21"/>
                <w:highlight w:val="none"/>
              </w:rPr>
            </w:pPr>
          </w:p>
        </w:tc>
        <w:tc>
          <w:tcPr>
            <w:tcW w:w="958" w:type="dxa"/>
            <w:vAlign w:val="center"/>
          </w:tcPr>
          <w:p>
            <w:pPr>
              <w:spacing w:line="440" w:lineRule="exact"/>
              <w:jc w:val="center"/>
              <w:rPr>
                <w:szCs w:val="21"/>
                <w:highlight w:val="none"/>
              </w:rPr>
            </w:pPr>
          </w:p>
        </w:tc>
        <w:tc>
          <w:tcPr>
            <w:tcW w:w="709" w:type="dxa"/>
            <w:vAlign w:val="center"/>
          </w:tcPr>
          <w:p>
            <w:pPr>
              <w:spacing w:line="440" w:lineRule="exact"/>
              <w:jc w:val="center"/>
              <w:rPr>
                <w:szCs w:val="21"/>
                <w:highlight w:val="none"/>
              </w:rPr>
            </w:pPr>
          </w:p>
        </w:tc>
        <w:tc>
          <w:tcPr>
            <w:tcW w:w="850" w:type="dxa"/>
            <w:vAlign w:val="center"/>
          </w:tcPr>
          <w:p>
            <w:pPr>
              <w:spacing w:line="440" w:lineRule="exact"/>
              <w:jc w:val="center"/>
              <w:rPr>
                <w:szCs w:val="21"/>
                <w:highlight w:val="none"/>
              </w:rPr>
            </w:pPr>
          </w:p>
        </w:tc>
        <w:tc>
          <w:tcPr>
            <w:tcW w:w="709" w:type="dxa"/>
            <w:vAlign w:val="center"/>
          </w:tcPr>
          <w:p>
            <w:pPr>
              <w:spacing w:line="440" w:lineRule="exact"/>
              <w:jc w:val="center"/>
              <w:rPr>
                <w:szCs w:val="21"/>
                <w:highlight w:val="none"/>
              </w:rPr>
            </w:pPr>
          </w:p>
        </w:tc>
        <w:tc>
          <w:tcPr>
            <w:tcW w:w="709" w:type="dxa"/>
            <w:vAlign w:val="center"/>
          </w:tcPr>
          <w:p>
            <w:pPr>
              <w:spacing w:line="440" w:lineRule="exact"/>
              <w:jc w:val="center"/>
              <w:rPr>
                <w:szCs w:val="21"/>
                <w:highlight w:val="none"/>
              </w:rPr>
            </w:pPr>
          </w:p>
        </w:tc>
        <w:tc>
          <w:tcPr>
            <w:tcW w:w="709" w:type="dxa"/>
            <w:vAlign w:val="center"/>
          </w:tcPr>
          <w:p>
            <w:pPr>
              <w:spacing w:line="440" w:lineRule="exact"/>
              <w:jc w:val="center"/>
              <w:rPr>
                <w:szCs w:val="21"/>
                <w:highlight w:val="none"/>
              </w:rPr>
            </w:pPr>
          </w:p>
        </w:tc>
        <w:tc>
          <w:tcPr>
            <w:tcW w:w="992" w:type="dxa"/>
            <w:vAlign w:val="center"/>
          </w:tcPr>
          <w:p>
            <w:pPr>
              <w:spacing w:line="440" w:lineRule="exact"/>
              <w:jc w:val="center"/>
              <w:rPr>
                <w:szCs w:val="21"/>
                <w:highlight w:val="none"/>
              </w:rPr>
            </w:pPr>
          </w:p>
        </w:tc>
        <w:tc>
          <w:tcPr>
            <w:tcW w:w="1876" w:type="dxa"/>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r>
              <w:rPr>
                <w:szCs w:val="21"/>
                <w:highlight w:val="none"/>
              </w:rPr>
              <w:t>……</w:t>
            </w: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r>
              <w:rPr>
                <w:szCs w:val="21"/>
                <w:highlight w:val="none"/>
              </w:rPr>
              <w:t>……</w:t>
            </w:r>
            <w:r>
              <w:rPr>
                <w:rFonts w:hint="eastAsia"/>
                <w:szCs w:val="21"/>
                <w:highlight w:val="none"/>
              </w:rPr>
              <w:t>.</w:t>
            </w: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r>
              <w:rPr>
                <w:szCs w:val="21"/>
                <w:highlight w:val="none"/>
              </w:rPr>
              <w:t>……</w:t>
            </w:r>
            <w:r>
              <w:rPr>
                <w:rFonts w:hint="eastAsia"/>
                <w:szCs w:val="21"/>
                <w:highlight w:val="none"/>
              </w:rPr>
              <w:t>.</w:t>
            </w: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440" w:lineRule="exact"/>
              <w:jc w:val="center"/>
              <w:rPr>
                <w:szCs w:val="21"/>
                <w:highlight w:val="none"/>
              </w:rPr>
            </w:pPr>
          </w:p>
        </w:tc>
        <w:tc>
          <w:tcPr>
            <w:tcW w:w="993" w:type="dxa"/>
          </w:tcPr>
          <w:p>
            <w:pPr>
              <w:spacing w:line="440" w:lineRule="exact"/>
              <w:jc w:val="center"/>
              <w:rPr>
                <w:szCs w:val="21"/>
                <w:highlight w:val="none"/>
              </w:rPr>
            </w:pPr>
          </w:p>
        </w:tc>
        <w:tc>
          <w:tcPr>
            <w:tcW w:w="958"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850"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709" w:type="dxa"/>
          </w:tcPr>
          <w:p>
            <w:pPr>
              <w:spacing w:line="440" w:lineRule="exact"/>
              <w:jc w:val="center"/>
              <w:rPr>
                <w:szCs w:val="21"/>
                <w:highlight w:val="none"/>
              </w:rPr>
            </w:pPr>
          </w:p>
        </w:tc>
        <w:tc>
          <w:tcPr>
            <w:tcW w:w="992" w:type="dxa"/>
          </w:tcPr>
          <w:p>
            <w:pPr>
              <w:spacing w:line="440" w:lineRule="exact"/>
              <w:jc w:val="center"/>
              <w:rPr>
                <w:szCs w:val="21"/>
                <w:highlight w:val="none"/>
              </w:rPr>
            </w:pPr>
          </w:p>
        </w:tc>
        <w:tc>
          <w:tcPr>
            <w:tcW w:w="1876" w:type="dxa"/>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58"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850"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70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99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c>
          <w:tcPr>
            <w:tcW w:w="1876" w:type="dxa"/>
            <w:tcBorders>
              <w:top w:val="single" w:color="auto" w:sz="4" w:space="0"/>
              <w:left w:val="single" w:color="auto" w:sz="4" w:space="0"/>
              <w:bottom w:val="single" w:color="auto" w:sz="4" w:space="0"/>
              <w:right w:val="single" w:color="auto" w:sz="4" w:space="0"/>
            </w:tcBorders>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sz w:val="20"/>
          <w:highlight w:val="none"/>
        </w:rPr>
      </w:pPr>
      <w:r>
        <w:rPr>
          <w:sz w:val="20"/>
          <w:highlight w:val="none"/>
        </w:rPr>
        <w:br w:type="page"/>
      </w:r>
    </w:p>
    <w:p>
      <w:pPr>
        <w:spacing w:before="312" w:beforeLines="100" w:after="312" w:afterLines="100" w:line="440" w:lineRule="exact"/>
        <w:jc w:val="center"/>
        <w:rPr>
          <w:rFonts w:ascii="Arial" w:hAnsi="Arial" w:eastAsia="黑体"/>
          <w:b/>
          <w:bCs/>
          <w:sz w:val="32"/>
          <w:szCs w:val="32"/>
          <w:highlight w:val="none"/>
        </w:rPr>
      </w:pPr>
      <w:bookmarkStart w:id="217" w:name="_Toc179632825"/>
      <w:bookmarkStart w:id="218" w:name="_Toc152042594"/>
      <w:bookmarkStart w:id="219" w:name="_Toc332188245"/>
      <w:bookmarkStart w:id="220" w:name="_Toc334766998"/>
      <w:bookmarkStart w:id="221" w:name="_Toc247085889"/>
      <w:bookmarkStart w:id="222" w:name="_Toc152045805"/>
      <w:bookmarkStart w:id="223" w:name="_Toc246996371"/>
      <w:bookmarkStart w:id="224" w:name="_Toc326223616"/>
      <w:bookmarkStart w:id="225" w:name="_Toc246997114"/>
      <w:bookmarkStart w:id="226" w:name="_Toc144974873"/>
      <w:r>
        <w:rPr>
          <w:rFonts w:ascii="Arial" w:hAnsi="Arial" w:eastAsia="黑体"/>
          <w:b/>
          <w:bCs/>
          <w:sz w:val="32"/>
          <w:szCs w:val="32"/>
          <w:highlight w:val="none"/>
        </w:rPr>
        <w:t>（二）</w:t>
      </w:r>
      <w:r>
        <w:rPr>
          <w:rFonts w:hint="eastAsia" w:ascii="Arial" w:hAnsi="Arial" w:eastAsia="黑体"/>
          <w:b/>
          <w:bCs/>
          <w:sz w:val="32"/>
          <w:szCs w:val="32"/>
          <w:highlight w:val="none"/>
        </w:rPr>
        <w:t>项目负责人</w:t>
      </w:r>
      <w:r>
        <w:rPr>
          <w:rFonts w:ascii="Arial" w:hAnsi="Arial" w:eastAsia="黑体"/>
          <w:b/>
          <w:bCs/>
          <w:sz w:val="32"/>
          <w:szCs w:val="32"/>
          <w:highlight w:val="none"/>
        </w:rPr>
        <w:t>简历表</w:t>
      </w:r>
      <w:bookmarkEnd w:id="217"/>
      <w:bookmarkEnd w:id="218"/>
      <w:bookmarkEnd w:id="219"/>
      <w:bookmarkEnd w:id="220"/>
      <w:bookmarkEnd w:id="221"/>
      <w:bookmarkEnd w:id="222"/>
      <w:bookmarkEnd w:id="223"/>
      <w:bookmarkEnd w:id="224"/>
      <w:bookmarkEnd w:id="225"/>
      <w:bookmarkEnd w:id="226"/>
    </w:p>
    <w:p>
      <w:pPr>
        <w:spacing w:line="400" w:lineRule="exact"/>
        <w:ind w:firstLine="420" w:firstLineChars="200"/>
        <w:rPr>
          <w:highlight w:val="none"/>
        </w:rPr>
      </w:pPr>
      <w:r>
        <w:rPr>
          <w:rFonts w:hint="eastAsia"/>
          <w:highlight w:val="none"/>
        </w:rPr>
        <w:t>项目负责人应附项目负责人身份证、职称证、学历证复印件，管理过的项目业绩须附合同协议书复印件。</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173"/>
        <w:gridCol w:w="765"/>
        <w:gridCol w:w="314"/>
        <w:gridCol w:w="927"/>
        <w:gridCol w:w="446"/>
        <w:gridCol w:w="619"/>
        <w:gridCol w:w="708"/>
        <w:gridCol w:w="1097"/>
        <w:gridCol w:w="325"/>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86" w:type="dxa"/>
            <w:gridSpan w:val="2"/>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vAlign w:val="center"/>
          </w:tcPr>
          <w:p>
            <w:pPr>
              <w:spacing w:line="440" w:lineRule="exact"/>
              <w:jc w:val="center"/>
              <w:rPr>
                <w:rFonts w:ascii="宋体" w:hAnsi="宋体"/>
                <w:szCs w:val="21"/>
                <w:highlight w:val="none"/>
              </w:rPr>
            </w:pPr>
          </w:p>
        </w:tc>
        <w:tc>
          <w:tcPr>
            <w:tcW w:w="927" w:type="dxa"/>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gridSpan w:val="2"/>
            <w:vAlign w:val="center"/>
          </w:tcPr>
          <w:p>
            <w:pPr>
              <w:spacing w:line="440" w:lineRule="exact"/>
              <w:jc w:val="center"/>
              <w:rPr>
                <w:rFonts w:ascii="宋体" w:hAnsi="宋体"/>
                <w:szCs w:val="21"/>
                <w:highlight w:val="none"/>
              </w:rPr>
            </w:pPr>
          </w:p>
        </w:tc>
        <w:tc>
          <w:tcPr>
            <w:tcW w:w="2130" w:type="dxa"/>
            <w:gridSpan w:val="3"/>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vAlign w:val="center"/>
          </w:tcPr>
          <w:p>
            <w:pPr>
              <w:spacing w:line="440" w:lineRule="exact"/>
              <w:jc w:val="center"/>
              <w:rPr>
                <w:rFonts w:ascii="宋体" w:hAnsi="宋体"/>
                <w:szCs w:val="21"/>
                <w:highlight w:val="none"/>
              </w:rPr>
            </w:pPr>
          </w:p>
        </w:tc>
        <w:tc>
          <w:tcPr>
            <w:tcW w:w="927" w:type="dxa"/>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gridSpan w:val="2"/>
            <w:vAlign w:val="center"/>
          </w:tcPr>
          <w:p>
            <w:pPr>
              <w:spacing w:line="440" w:lineRule="exact"/>
              <w:jc w:val="center"/>
              <w:rPr>
                <w:rFonts w:ascii="宋体" w:hAnsi="宋体"/>
                <w:szCs w:val="21"/>
                <w:highlight w:val="none"/>
              </w:rPr>
            </w:pPr>
          </w:p>
        </w:tc>
        <w:tc>
          <w:tcPr>
            <w:tcW w:w="2130" w:type="dxa"/>
            <w:gridSpan w:val="3"/>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9"/>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rPr>
                <w:rFonts w:ascii="宋体" w:hAnsi="宋体"/>
                <w:szCs w:val="21"/>
                <w:highlight w:val="none"/>
              </w:rPr>
            </w:pPr>
            <w:r>
              <w:rPr>
                <w:rFonts w:hint="eastAsia" w:ascii="宋体" w:hAnsi="宋体"/>
                <w:szCs w:val="21"/>
                <w:highlight w:val="none"/>
              </w:rPr>
              <w:t>同类项目工作年限（年）：</w:t>
            </w:r>
          </w:p>
        </w:tc>
        <w:tc>
          <w:tcPr>
            <w:tcW w:w="7336" w:type="dxa"/>
            <w:gridSpan w:val="9"/>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1"/>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13" w:type="dxa"/>
            <w:vAlign w:val="center"/>
          </w:tcPr>
          <w:p>
            <w:pPr>
              <w:spacing w:line="440" w:lineRule="exact"/>
              <w:rPr>
                <w:rFonts w:ascii="宋体" w:hAnsi="宋体"/>
                <w:szCs w:val="21"/>
                <w:highlight w:val="none"/>
              </w:rPr>
            </w:pPr>
            <w:r>
              <w:rPr>
                <w:rFonts w:ascii="宋体" w:hAnsi="宋体"/>
                <w:szCs w:val="21"/>
                <w:highlight w:val="none"/>
              </w:rPr>
              <w:t>时  间</w:t>
            </w:r>
          </w:p>
        </w:tc>
        <w:tc>
          <w:tcPr>
            <w:tcW w:w="938" w:type="dxa"/>
            <w:gridSpan w:val="2"/>
            <w:vAlign w:val="center"/>
          </w:tcPr>
          <w:p>
            <w:pPr>
              <w:spacing w:line="440" w:lineRule="exact"/>
              <w:rPr>
                <w:rFonts w:ascii="宋体" w:hAnsi="宋体"/>
                <w:szCs w:val="21"/>
                <w:highlight w:val="none"/>
              </w:rPr>
            </w:pPr>
            <w:r>
              <w:rPr>
                <w:rFonts w:hint="eastAsia" w:ascii="宋体" w:hAnsi="宋体"/>
                <w:szCs w:val="21"/>
                <w:highlight w:val="none"/>
              </w:rPr>
              <w:t>甲方名称</w:t>
            </w:r>
          </w:p>
        </w:tc>
        <w:tc>
          <w:tcPr>
            <w:tcW w:w="1687" w:type="dxa"/>
            <w:gridSpan w:val="3"/>
            <w:vAlign w:val="center"/>
          </w:tcPr>
          <w:p>
            <w:pPr>
              <w:spacing w:line="440" w:lineRule="exact"/>
              <w:rPr>
                <w:rFonts w:ascii="宋体" w:hAnsi="宋体"/>
                <w:szCs w:val="21"/>
                <w:highlight w:val="none"/>
              </w:rPr>
            </w:pPr>
            <w:r>
              <w:rPr>
                <w:rFonts w:ascii="宋体" w:hAnsi="宋体"/>
                <w:szCs w:val="21"/>
                <w:highlight w:val="none"/>
              </w:rPr>
              <w:t>参加过的类似项目</w:t>
            </w:r>
            <w:r>
              <w:rPr>
                <w:rFonts w:hint="eastAsia" w:ascii="宋体" w:hAnsi="宋体"/>
                <w:szCs w:val="21"/>
                <w:highlight w:val="none"/>
              </w:rPr>
              <w:t>(项目名称)</w:t>
            </w:r>
          </w:p>
        </w:tc>
        <w:tc>
          <w:tcPr>
            <w:tcW w:w="1327" w:type="dxa"/>
            <w:gridSpan w:val="2"/>
            <w:vAlign w:val="center"/>
          </w:tcPr>
          <w:p>
            <w:pPr>
              <w:spacing w:line="440" w:lineRule="exact"/>
              <w:rPr>
                <w:rFonts w:ascii="宋体" w:hAnsi="宋体"/>
                <w:szCs w:val="21"/>
                <w:highlight w:val="none"/>
              </w:rPr>
            </w:pPr>
            <w:r>
              <w:rPr>
                <w:rFonts w:hint="eastAsia" w:ascii="宋体" w:hAnsi="宋体"/>
                <w:szCs w:val="21"/>
                <w:highlight w:val="none"/>
              </w:rPr>
              <w:t>合同金额（万元）</w:t>
            </w:r>
          </w:p>
        </w:tc>
        <w:tc>
          <w:tcPr>
            <w:tcW w:w="1097" w:type="dxa"/>
            <w:vAlign w:val="center"/>
          </w:tcPr>
          <w:p>
            <w:pPr>
              <w:spacing w:line="440" w:lineRule="exact"/>
              <w:rPr>
                <w:rFonts w:ascii="宋体" w:hAnsi="宋体"/>
                <w:szCs w:val="21"/>
                <w:highlight w:val="none"/>
              </w:rPr>
            </w:pPr>
            <w:r>
              <w:rPr>
                <w:rFonts w:ascii="宋体" w:hAnsi="宋体"/>
                <w:szCs w:val="21"/>
                <w:highlight w:val="none"/>
              </w:rPr>
              <w:t>担任职务</w:t>
            </w:r>
          </w:p>
        </w:tc>
        <w:tc>
          <w:tcPr>
            <w:tcW w:w="2460" w:type="dxa"/>
            <w:gridSpan w:val="2"/>
            <w:vAlign w:val="center"/>
          </w:tcPr>
          <w:p>
            <w:pPr>
              <w:spacing w:line="440" w:lineRule="exact"/>
              <w:rPr>
                <w:rFonts w:ascii="宋体" w:hAnsi="宋体"/>
                <w:szCs w:val="21"/>
                <w:highlight w:val="none"/>
              </w:rPr>
            </w:pPr>
            <w:r>
              <w:rPr>
                <w:rFonts w:hint="eastAsia" w:ascii="宋体" w:hAnsi="宋体"/>
                <w:szCs w:val="21"/>
                <w:highlight w:val="none"/>
              </w:rPr>
              <w:t>甲方联系人</w:t>
            </w:r>
            <w:r>
              <w:rPr>
                <w:rFonts w:ascii="宋体" w:hAnsi="宋体"/>
                <w:szCs w:val="21"/>
                <w:highlight w:val="none"/>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szCs w:val="21"/>
                <w:highlight w:val="none"/>
              </w:rPr>
            </w:pPr>
          </w:p>
        </w:tc>
        <w:tc>
          <w:tcPr>
            <w:tcW w:w="938" w:type="dxa"/>
            <w:gridSpan w:val="2"/>
          </w:tcPr>
          <w:p>
            <w:pPr>
              <w:spacing w:line="440" w:lineRule="exact"/>
              <w:rPr>
                <w:rFonts w:eastAsia="黑体"/>
                <w:szCs w:val="21"/>
                <w:highlight w:val="none"/>
              </w:rPr>
            </w:pPr>
          </w:p>
        </w:tc>
        <w:tc>
          <w:tcPr>
            <w:tcW w:w="1687" w:type="dxa"/>
            <w:gridSpan w:val="3"/>
          </w:tcPr>
          <w:p>
            <w:pPr>
              <w:spacing w:line="440" w:lineRule="exact"/>
              <w:rPr>
                <w:rFonts w:eastAsia="黑体"/>
                <w:szCs w:val="21"/>
                <w:highlight w:val="none"/>
              </w:rPr>
            </w:pPr>
          </w:p>
        </w:tc>
        <w:tc>
          <w:tcPr>
            <w:tcW w:w="1327" w:type="dxa"/>
            <w:gridSpan w:val="2"/>
          </w:tcPr>
          <w:p>
            <w:pPr>
              <w:spacing w:line="440" w:lineRule="exact"/>
              <w:rPr>
                <w:rFonts w:eastAsia="黑体"/>
                <w:szCs w:val="21"/>
                <w:highlight w:val="none"/>
              </w:rPr>
            </w:pPr>
          </w:p>
        </w:tc>
        <w:tc>
          <w:tcPr>
            <w:tcW w:w="1097" w:type="dxa"/>
          </w:tcPr>
          <w:p>
            <w:pPr>
              <w:spacing w:line="440" w:lineRule="exact"/>
              <w:rPr>
                <w:rFonts w:eastAsia="黑体"/>
                <w:szCs w:val="21"/>
                <w:highlight w:val="none"/>
              </w:rPr>
            </w:pPr>
          </w:p>
        </w:tc>
        <w:tc>
          <w:tcPr>
            <w:tcW w:w="2460" w:type="dxa"/>
            <w:gridSpan w:val="2"/>
          </w:tcPr>
          <w:p>
            <w:pPr>
              <w:spacing w:line="440" w:lineRule="exact"/>
              <w:rPr>
                <w:rFonts w:eastAsia="黑体"/>
                <w:szCs w:val="21"/>
                <w:highlight w:val="none"/>
              </w:rPr>
            </w:pPr>
          </w:p>
        </w:tc>
      </w:tr>
    </w:tbl>
    <w:p>
      <w:pPr>
        <w:spacing w:line="440" w:lineRule="exact"/>
        <w:rPr>
          <w:szCs w:val="21"/>
          <w:highlight w:val="none"/>
        </w:rPr>
      </w:pPr>
    </w:p>
    <w:p>
      <w:pPr>
        <w:widowControl/>
        <w:jc w:val="left"/>
        <w:rPr>
          <w:szCs w:val="21"/>
          <w:highlight w:val="none"/>
        </w:rPr>
      </w:pPr>
      <w:r>
        <w:rPr>
          <w:szCs w:val="21"/>
          <w:highlight w:val="none"/>
        </w:rPr>
        <w:br w:type="page"/>
      </w:r>
    </w:p>
    <w:p>
      <w:pPr>
        <w:pStyle w:val="3"/>
        <w:jc w:val="center"/>
        <w:rPr>
          <w:rFonts w:ascii="黑体"/>
          <w:highlight w:val="none"/>
        </w:rPr>
      </w:pPr>
      <w:bookmarkStart w:id="227" w:name="_Toc475483727"/>
      <w:bookmarkStart w:id="228" w:name="_Toc486425436"/>
      <w:bookmarkStart w:id="229" w:name="_Toc24792"/>
      <w:bookmarkStart w:id="230" w:name="_Toc28344"/>
      <w:r>
        <w:rPr>
          <w:rFonts w:hint="eastAsia" w:ascii="黑体"/>
          <w:highlight w:val="none"/>
          <w:lang w:val="en-US" w:eastAsia="zh-CN"/>
        </w:rPr>
        <w:t>七</w:t>
      </w:r>
      <w:r>
        <w:rPr>
          <w:rFonts w:hint="eastAsia" w:ascii="黑体"/>
          <w:highlight w:val="none"/>
        </w:rPr>
        <w:t>、</w:t>
      </w:r>
      <w:r>
        <w:rPr>
          <w:highlight w:val="none"/>
        </w:rPr>
        <w:fldChar w:fldCharType="begin"/>
      </w:r>
      <w:r>
        <w:rPr>
          <w:highlight w:val="none"/>
        </w:rPr>
        <w:instrText xml:space="preserve"> HYPERLINK \l "_Toc338661813" </w:instrText>
      </w:r>
      <w:r>
        <w:rPr>
          <w:highlight w:val="none"/>
        </w:rPr>
        <w:fldChar w:fldCharType="separate"/>
      </w:r>
      <w:r>
        <w:rPr>
          <w:rFonts w:hint="eastAsia" w:ascii="黑体"/>
          <w:b w:val="0"/>
          <w:highlight w:val="none"/>
        </w:rPr>
        <w:t>实质性条款偏离表</w:t>
      </w:r>
      <w:bookmarkEnd w:id="227"/>
      <w:bookmarkEnd w:id="228"/>
      <w:r>
        <w:rPr>
          <w:rFonts w:hint="eastAsia" w:ascii="黑体"/>
          <w:b w:val="0"/>
          <w:highlight w:val="none"/>
        </w:rPr>
        <w:fldChar w:fldCharType="end"/>
      </w:r>
      <w:bookmarkEnd w:id="229"/>
      <w:bookmarkEnd w:id="230"/>
    </w:p>
    <w:p>
      <w:pPr>
        <w:rPr>
          <w:highlight w:val="none"/>
        </w:rPr>
      </w:pPr>
      <w:r>
        <w:rPr>
          <w:rFonts w:hint="eastAsia"/>
          <w:highlight w:val="none"/>
        </w:rPr>
        <w:t>项目名称：</w:t>
      </w:r>
      <w:r>
        <w:rPr>
          <w:rFonts w:hint="eastAsia"/>
          <w:highlight w:val="none"/>
          <w:u w:val="single"/>
        </w:rPr>
        <w:t xml:space="preserve">                </w:t>
      </w:r>
      <w:r>
        <w:rPr>
          <w:rFonts w:hint="eastAsia"/>
          <w:highlight w:val="none"/>
        </w:rPr>
        <w:t xml:space="preserve">  项目编号：</w:t>
      </w:r>
      <w:r>
        <w:rPr>
          <w:rFonts w:hint="eastAsia"/>
          <w:highlight w:val="none"/>
          <w:u w:val="single"/>
        </w:rPr>
        <w:t xml:space="preserve">               </w:t>
      </w:r>
    </w:p>
    <w:tbl>
      <w:tblPr>
        <w:tblStyle w:val="36"/>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序号</w:t>
            </w:r>
          </w:p>
        </w:tc>
        <w:tc>
          <w:tcPr>
            <w:tcW w:w="1701"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竞争性谈判文件条目号</w:t>
            </w:r>
          </w:p>
        </w:tc>
        <w:tc>
          <w:tcPr>
            <w:tcW w:w="2126"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竞争性谈判文件</w:t>
            </w:r>
            <w:r>
              <w:rPr>
                <w:rFonts w:hint="eastAsia" w:ascii="宋体" w:hAnsi="宋体" w:cs="宋体"/>
                <w:szCs w:val="21"/>
                <w:highlight w:val="none"/>
              </w:rPr>
              <w:t>“</w:t>
            </w:r>
            <w:r>
              <w:rPr>
                <w:rFonts w:eastAsia="黑体"/>
                <w:sz w:val="32"/>
                <w:szCs w:val="32"/>
                <w:highlight w:val="none"/>
              </w:rPr>
              <w:sym w:font="Wingdings" w:char="00AB"/>
            </w:r>
            <w:r>
              <w:rPr>
                <w:rFonts w:hint="eastAsia" w:ascii="宋体" w:hAnsi="宋体" w:cs="宋体"/>
                <w:szCs w:val="21"/>
                <w:highlight w:val="none"/>
              </w:rPr>
              <w:t>”</w:t>
            </w:r>
            <w:r>
              <w:rPr>
                <w:rFonts w:hint="eastAsia" w:ascii="宋体" w:hAnsi="宋体"/>
                <w:kern w:val="0"/>
                <w:szCs w:val="21"/>
                <w:highlight w:val="none"/>
              </w:rPr>
              <w:t>条款</w:t>
            </w:r>
          </w:p>
        </w:tc>
        <w:tc>
          <w:tcPr>
            <w:tcW w:w="2694" w:type="dxa"/>
            <w:vAlign w:val="center"/>
          </w:tcPr>
          <w:p>
            <w:pPr>
              <w:widowControl/>
              <w:snapToGrid w:val="0"/>
              <w:spacing w:before="156" w:beforeLines="50"/>
              <w:jc w:val="center"/>
              <w:rPr>
                <w:rFonts w:ascii="宋体" w:hAnsi="宋体"/>
                <w:kern w:val="0"/>
                <w:szCs w:val="21"/>
                <w:highlight w:val="none"/>
              </w:rPr>
            </w:pPr>
            <w:r>
              <w:rPr>
                <w:rFonts w:hint="eastAsia" w:ascii="宋体" w:hAnsi="宋体"/>
                <w:kern w:val="0"/>
                <w:szCs w:val="21"/>
                <w:highlight w:val="none"/>
              </w:rPr>
              <w:t>竞争性谈判响应文件偏离情况</w:t>
            </w:r>
          </w:p>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（正偏离/负偏离/无偏离）</w:t>
            </w:r>
          </w:p>
        </w:tc>
        <w:tc>
          <w:tcPr>
            <w:tcW w:w="1134" w:type="dxa"/>
            <w:vAlign w:val="center"/>
          </w:tcPr>
          <w:p>
            <w:pPr>
              <w:widowControl/>
              <w:snapToGrid w:val="0"/>
              <w:spacing w:before="156" w:beforeLines="50"/>
              <w:jc w:val="center"/>
              <w:rPr>
                <w:rFonts w:ascii="宋体" w:hAnsi="宋体"/>
                <w:kern w:val="0"/>
                <w:szCs w:val="21"/>
                <w:highlight w:val="none"/>
              </w:rPr>
            </w:pPr>
            <w:r>
              <w:rPr>
                <w:rFonts w:hint="eastAsia" w:ascii="宋体" w:hAnsi="宋体"/>
                <w:kern w:val="0"/>
                <w:szCs w:val="21"/>
                <w:highlight w:val="none"/>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bl>
    <w:p>
      <w:pPr>
        <w:spacing w:line="440" w:lineRule="exact"/>
        <w:ind w:firstLine="420" w:firstLineChars="200"/>
        <w:jc w:val="left"/>
        <w:rPr>
          <w:rFonts w:ascii="宋体" w:hAnsi="宋体"/>
          <w:szCs w:val="21"/>
          <w:highlight w:val="none"/>
        </w:rPr>
      </w:pPr>
      <w:r>
        <w:rPr>
          <w:rFonts w:hint="eastAsia" w:ascii="宋体" w:hAnsi="宋体"/>
          <w:szCs w:val="21"/>
          <w:highlight w:val="none"/>
        </w:rPr>
        <w:t>注：1.响应人应当逐条对照竞争性谈判通知书</w:t>
      </w:r>
      <w:r>
        <w:rPr>
          <w:rFonts w:hint="eastAsia" w:ascii="宋体" w:hAnsi="宋体" w:cs="宋体"/>
          <w:szCs w:val="21"/>
          <w:highlight w:val="none"/>
        </w:rPr>
        <w:t>“</w:t>
      </w:r>
      <w:r>
        <w:rPr>
          <w:rFonts w:eastAsia="黑体"/>
          <w:sz w:val="32"/>
          <w:szCs w:val="32"/>
          <w:highlight w:val="none"/>
        </w:rPr>
        <w:sym w:font="Wingdings" w:char="00AB"/>
      </w:r>
      <w:r>
        <w:rPr>
          <w:rFonts w:hint="eastAsia" w:ascii="宋体" w:hAnsi="宋体" w:cs="宋体"/>
          <w:szCs w:val="21"/>
          <w:highlight w:val="none"/>
        </w:rPr>
        <w:t>”</w:t>
      </w:r>
      <w:r>
        <w:rPr>
          <w:rFonts w:hint="eastAsia" w:ascii="宋体" w:hAnsi="宋体"/>
          <w:kern w:val="0"/>
          <w:szCs w:val="21"/>
          <w:highlight w:val="none"/>
        </w:rPr>
        <w:t>条款内容</w:t>
      </w:r>
      <w:r>
        <w:rPr>
          <w:rFonts w:hint="eastAsia" w:ascii="宋体" w:hAnsi="宋体"/>
          <w:szCs w:val="21"/>
          <w:highlight w:val="none"/>
        </w:rPr>
        <w:t>，就竞争性谈判响应文件对实质性条款存在的偏差与例外逐条做出说明；</w:t>
      </w:r>
    </w:p>
    <w:p>
      <w:pPr>
        <w:spacing w:line="440" w:lineRule="exact"/>
        <w:ind w:firstLine="420" w:firstLineChars="200"/>
        <w:jc w:val="left"/>
        <w:rPr>
          <w:rFonts w:ascii="宋体" w:hAnsi="宋体"/>
          <w:szCs w:val="21"/>
          <w:highlight w:val="none"/>
        </w:rPr>
      </w:pPr>
      <w:r>
        <w:rPr>
          <w:rFonts w:hint="eastAsia" w:ascii="宋体" w:hAnsi="宋体"/>
          <w:szCs w:val="21"/>
          <w:highlight w:val="none"/>
        </w:rPr>
        <w:t>2.如竞争性谈判响应文件对合同条款无任何偏差，响应人仅需在本偏离表中填写“无偏离”即可。</w:t>
      </w:r>
    </w:p>
    <w:p>
      <w:pPr>
        <w:spacing w:after="120"/>
        <w:rPr>
          <w:rFonts w:ascii="宋体" w:hAnsi="宋体"/>
          <w:szCs w:val="21"/>
          <w:highlight w:val="none"/>
        </w:rPr>
      </w:pPr>
    </w:p>
    <w:p>
      <w:pPr>
        <w:spacing w:line="360" w:lineRule="auto"/>
        <w:ind w:firstLine="3675" w:firstLineChars="1750"/>
        <w:rPr>
          <w:szCs w:val="21"/>
          <w:highlight w:val="none"/>
        </w:rPr>
      </w:pPr>
      <w:r>
        <w:rPr>
          <w:rFonts w:hint="eastAsia"/>
          <w:szCs w:val="21"/>
          <w:highlight w:val="none"/>
        </w:rPr>
        <w:t>响应</w:t>
      </w:r>
      <w:r>
        <w:rPr>
          <w:szCs w:val="21"/>
          <w:highlight w:val="none"/>
        </w:rPr>
        <w:t>人：</w:t>
      </w:r>
      <w:r>
        <w:rPr>
          <w:szCs w:val="21"/>
          <w:highlight w:val="none"/>
          <w:u w:val="single"/>
        </w:rPr>
        <w:t xml:space="preserve">                      </w:t>
      </w:r>
      <w:r>
        <w:rPr>
          <w:szCs w:val="21"/>
          <w:highlight w:val="none"/>
        </w:rPr>
        <w:t>（盖单位公章）</w:t>
      </w:r>
    </w:p>
    <w:p>
      <w:pPr>
        <w:spacing w:line="360" w:lineRule="auto"/>
        <w:ind w:firstLine="3675" w:firstLineChars="1750"/>
        <w:rPr>
          <w:szCs w:val="21"/>
          <w:highlight w:val="none"/>
        </w:rPr>
      </w:pPr>
      <w:r>
        <w:rPr>
          <w:szCs w:val="21"/>
          <w:highlight w:val="none"/>
        </w:rPr>
        <w:t>法定代表人或其委托代理人：</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r>
        <w:rPr>
          <w:szCs w:val="21"/>
          <w:highlight w:val="none"/>
        </w:rPr>
        <w:t>（签字）</w:t>
      </w:r>
    </w:p>
    <w:p>
      <w:pPr>
        <w:spacing w:line="480" w:lineRule="auto"/>
        <w:rPr>
          <w:rFonts w:ascii="黑体" w:hAnsi="宋体"/>
          <w:highlight w:val="none"/>
        </w:rPr>
      </w:pPr>
      <w:r>
        <w:rPr>
          <w:rFonts w:hint="eastAsia"/>
          <w:szCs w:val="21"/>
          <w:highlight w:val="none"/>
        </w:rPr>
        <w:t xml:space="preserve">                                     </w:t>
      </w:r>
      <w:r>
        <w:rPr>
          <w:rFonts w:hint="eastAsia"/>
          <w:szCs w:val="21"/>
          <w:highlight w:val="none"/>
          <w:u w:val="single"/>
        </w:rPr>
        <w:t xml:space="preserve">        </w:t>
      </w:r>
      <w:r>
        <w:rPr>
          <w:szCs w:val="21"/>
          <w:highlight w:val="none"/>
        </w:rPr>
        <w:t>年</w:t>
      </w:r>
      <w:r>
        <w:rPr>
          <w:rFonts w:hint="eastAsia"/>
          <w:szCs w:val="21"/>
          <w:highlight w:val="none"/>
          <w:u w:val="single"/>
        </w:rPr>
        <w:t xml:space="preserve">        </w:t>
      </w:r>
      <w:r>
        <w:rPr>
          <w:szCs w:val="21"/>
          <w:highlight w:val="none"/>
        </w:rPr>
        <w:t>月</w:t>
      </w:r>
      <w:r>
        <w:rPr>
          <w:rFonts w:hint="eastAsia"/>
          <w:szCs w:val="21"/>
          <w:highlight w:val="none"/>
          <w:u w:val="single"/>
        </w:rPr>
        <w:t xml:space="preserve">      </w:t>
      </w:r>
      <w:r>
        <w:rPr>
          <w:rFonts w:hint="eastAsia"/>
          <w:szCs w:val="21"/>
          <w:highlight w:val="none"/>
        </w:rPr>
        <w:t>日</w:t>
      </w:r>
    </w:p>
    <w:p>
      <w:pPr>
        <w:widowControl/>
        <w:jc w:val="left"/>
        <w:rPr>
          <w:szCs w:val="21"/>
          <w:highlight w:val="none"/>
        </w:rPr>
      </w:pPr>
      <w:r>
        <w:rPr>
          <w:szCs w:val="21"/>
          <w:highlight w:val="none"/>
        </w:rPr>
        <w:br w:type="page"/>
      </w:r>
    </w:p>
    <w:p>
      <w:pPr>
        <w:pStyle w:val="3"/>
        <w:jc w:val="center"/>
        <w:rPr>
          <w:rFonts w:ascii="黑体"/>
          <w:highlight w:val="none"/>
        </w:rPr>
      </w:pPr>
      <w:bookmarkStart w:id="231" w:name="_Toc14358"/>
      <w:bookmarkStart w:id="232" w:name="_Toc27697"/>
      <w:r>
        <w:rPr>
          <w:rFonts w:hint="eastAsia" w:ascii="黑体"/>
          <w:highlight w:val="none"/>
          <w:lang w:val="en-US" w:eastAsia="zh-CN"/>
        </w:rPr>
        <w:t>八</w:t>
      </w:r>
      <w:r>
        <w:rPr>
          <w:rFonts w:hint="eastAsia" w:ascii="黑体"/>
          <w:highlight w:val="none"/>
        </w:rPr>
        <w:t>、</w:t>
      </w:r>
      <w:r>
        <w:rPr>
          <w:highlight w:val="none"/>
        </w:rPr>
        <w:fldChar w:fldCharType="begin"/>
      </w:r>
      <w:r>
        <w:rPr>
          <w:highlight w:val="none"/>
        </w:rPr>
        <w:instrText xml:space="preserve"> HYPERLINK \l "_Toc338661813" </w:instrText>
      </w:r>
      <w:r>
        <w:rPr>
          <w:highlight w:val="none"/>
        </w:rPr>
        <w:fldChar w:fldCharType="separate"/>
      </w:r>
      <w:r>
        <w:rPr>
          <w:rFonts w:hint="eastAsia" w:ascii="黑体"/>
          <w:b w:val="0"/>
          <w:highlight w:val="none"/>
        </w:rPr>
        <w:t>技术条款偏离表</w:t>
      </w:r>
      <w:r>
        <w:rPr>
          <w:rFonts w:hint="eastAsia" w:ascii="黑体"/>
          <w:b w:val="0"/>
          <w:highlight w:val="none"/>
        </w:rPr>
        <w:fldChar w:fldCharType="end"/>
      </w:r>
      <w:bookmarkEnd w:id="231"/>
      <w:bookmarkEnd w:id="232"/>
    </w:p>
    <w:p>
      <w:pPr>
        <w:rPr>
          <w:highlight w:val="none"/>
        </w:rPr>
      </w:pPr>
      <w:r>
        <w:rPr>
          <w:rFonts w:hint="eastAsia"/>
          <w:highlight w:val="none"/>
        </w:rPr>
        <w:t>项目名称：</w:t>
      </w:r>
      <w:r>
        <w:rPr>
          <w:rFonts w:hint="eastAsia"/>
          <w:highlight w:val="none"/>
          <w:u w:val="single"/>
        </w:rPr>
        <w:t xml:space="preserve">                </w:t>
      </w:r>
      <w:r>
        <w:rPr>
          <w:rFonts w:hint="eastAsia"/>
          <w:highlight w:val="none"/>
        </w:rPr>
        <w:t xml:space="preserve">  项目编号：</w:t>
      </w:r>
      <w:r>
        <w:rPr>
          <w:rFonts w:hint="eastAsia"/>
          <w:highlight w:val="none"/>
          <w:u w:val="single"/>
        </w:rPr>
        <w:t xml:space="preserve">               </w:t>
      </w:r>
      <w:r>
        <w:rPr>
          <w:rFonts w:hint="eastAsia"/>
          <w:highlight w:val="none"/>
        </w:rPr>
        <w:t xml:space="preserve"> </w:t>
      </w:r>
    </w:p>
    <w:tbl>
      <w:tblPr>
        <w:tblStyle w:val="36"/>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序号</w:t>
            </w:r>
          </w:p>
        </w:tc>
        <w:tc>
          <w:tcPr>
            <w:tcW w:w="1701"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竞争性谈判文件条目号</w:t>
            </w:r>
          </w:p>
        </w:tc>
        <w:tc>
          <w:tcPr>
            <w:tcW w:w="2126" w:type="dxa"/>
            <w:vAlign w:val="center"/>
          </w:tcPr>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竞争性谈判文件《用户需求书/技术规范书》的技术条款</w:t>
            </w:r>
          </w:p>
        </w:tc>
        <w:tc>
          <w:tcPr>
            <w:tcW w:w="2694" w:type="dxa"/>
            <w:vAlign w:val="center"/>
          </w:tcPr>
          <w:p>
            <w:pPr>
              <w:widowControl/>
              <w:snapToGrid w:val="0"/>
              <w:spacing w:before="156" w:beforeLines="50"/>
              <w:jc w:val="center"/>
              <w:rPr>
                <w:rFonts w:ascii="宋体" w:hAnsi="宋体"/>
                <w:kern w:val="0"/>
                <w:szCs w:val="21"/>
                <w:highlight w:val="none"/>
              </w:rPr>
            </w:pPr>
            <w:r>
              <w:rPr>
                <w:rFonts w:hint="eastAsia" w:ascii="宋体" w:hAnsi="宋体"/>
                <w:kern w:val="0"/>
                <w:szCs w:val="21"/>
                <w:highlight w:val="none"/>
              </w:rPr>
              <w:t>竞争性谈判响应文件偏离情况</w:t>
            </w:r>
          </w:p>
          <w:p>
            <w:pPr>
              <w:widowControl/>
              <w:snapToGrid w:val="0"/>
              <w:spacing w:before="156" w:beforeLines="50" w:line="360" w:lineRule="auto"/>
              <w:jc w:val="center"/>
              <w:rPr>
                <w:rFonts w:ascii="宋体" w:hAnsi="宋体"/>
                <w:kern w:val="0"/>
                <w:szCs w:val="21"/>
                <w:highlight w:val="none"/>
              </w:rPr>
            </w:pPr>
            <w:r>
              <w:rPr>
                <w:rFonts w:hint="eastAsia" w:ascii="宋体" w:hAnsi="宋体"/>
                <w:kern w:val="0"/>
                <w:szCs w:val="21"/>
                <w:highlight w:val="none"/>
              </w:rPr>
              <w:t>（正偏离/负偏离/无偏离）</w:t>
            </w:r>
          </w:p>
        </w:tc>
        <w:tc>
          <w:tcPr>
            <w:tcW w:w="1134" w:type="dxa"/>
            <w:vAlign w:val="center"/>
          </w:tcPr>
          <w:p>
            <w:pPr>
              <w:widowControl/>
              <w:snapToGrid w:val="0"/>
              <w:spacing w:before="156" w:beforeLines="50"/>
              <w:jc w:val="center"/>
              <w:rPr>
                <w:rFonts w:ascii="宋体" w:hAnsi="宋体"/>
                <w:kern w:val="0"/>
                <w:szCs w:val="21"/>
                <w:highlight w:val="none"/>
              </w:rPr>
            </w:pPr>
            <w:r>
              <w:rPr>
                <w:rFonts w:hint="eastAsia" w:ascii="宋体" w:hAnsi="宋体"/>
                <w:kern w:val="0"/>
                <w:szCs w:val="21"/>
                <w:highlight w:val="none"/>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kern w:val="0"/>
                <w:szCs w:val="21"/>
                <w:highlight w:val="none"/>
              </w:rPr>
            </w:pPr>
          </w:p>
        </w:tc>
        <w:tc>
          <w:tcPr>
            <w:tcW w:w="1701" w:type="dxa"/>
            <w:vAlign w:val="center"/>
          </w:tcPr>
          <w:p>
            <w:pPr>
              <w:widowControl/>
              <w:snapToGrid w:val="0"/>
              <w:spacing w:before="156" w:beforeLines="50" w:line="360" w:lineRule="auto"/>
              <w:jc w:val="center"/>
              <w:rPr>
                <w:rFonts w:ascii="宋体" w:hAnsi="宋体"/>
                <w:kern w:val="0"/>
                <w:szCs w:val="21"/>
                <w:highlight w:val="none"/>
              </w:rPr>
            </w:pPr>
          </w:p>
        </w:tc>
        <w:tc>
          <w:tcPr>
            <w:tcW w:w="2126" w:type="dxa"/>
            <w:vAlign w:val="center"/>
          </w:tcPr>
          <w:p>
            <w:pPr>
              <w:widowControl/>
              <w:snapToGrid w:val="0"/>
              <w:spacing w:before="156" w:beforeLines="50" w:line="360" w:lineRule="auto"/>
              <w:jc w:val="center"/>
              <w:rPr>
                <w:rFonts w:ascii="宋体" w:hAnsi="宋体"/>
                <w:kern w:val="0"/>
                <w:szCs w:val="21"/>
                <w:highlight w:val="none"/>
              </w:rPr>
            </w:pPr>
          </w:p>
        </w:tc>
        <w:tc>
          <w:tcPr>
            <w:tcW w:w="2694" w:type="dxa"/>
            <w:vAlign w:val="center"/>
          </w:tcPr>
          <w:p>
            <w:pPr>
              <w:widowControl/>
              <w:snapToGrid w:val="0"/>
              <w:spacing w:before="156" w:beforeLines="50"/>
              <w:jc w:val="center"/>
              <w:rPr>
                <w:rFonts w:ascii="宋体" w:hAnsi="宋体"/>
                <w:kern w:val="0"/>
                <w:szCs w:val="21"/>
                <w:highlight w:val="none"/>
              </w:rPr>
            </w:pPr>
          </w:p>
        </w:tc>
        <w:tc>
          <w:tcPr>
            <w:tcW w:w="1134" w:type="dxa"/>
            <w:vAlign w:val="center"/>
          </w:tcPr>
          <w:p>
            <w:pPr>
              <w:widowControl/>
              <w:snapToGrid w:val="0"/>
              <w:spacing w:before="156" w:beforeLines="50"/>
              <w:jc w:val="center"/>
              <w:rPr>
                <w:rFonts w:ascii="宋体" w:hAnsi="宋体"/>
                <w:kern w:val="0"/>
                <w:szCs w:val="21"/>
                <w:highlight w:val="none"/>
              </w:rPr>
            </w:pPr>
          </w:p>
        </w:tc>
      </w:tr>
    </w:tbl>
    <w:p>
      <w:pPr>
        <w:spacing w:line="440" w:lineRule="exact"/>
        <w:ind w:firstLine="420" w:firstLineChars="200"/>
        <w:jc w:val="left"/>
        <w:rPr>
          <w:rFonts w:ascii="宋体" w:hAnsi="宋体"/>
          <w:szCs w:val="21"/>
          <w:highlight w:val="none"/>
        </w:rPr>
      </w:pPr>
      <w:r>
        <w:rPr>
          <w:rFonts w:hint="eastAsia" w:ascii="宋体" w:hAnsi="宋体"/>
          <w:szCs w:val="21"/>
          <w:highlight w:val="none"/>
        </w:rPr>
        <w:t>注：1.响应人应当逐条对照</w:t>
      </w:r>
      <w:r>
        <w:rPr>
          <w:rFonts w:hint="eastAsia" w:ascii="宋体" w:hAnsi="宋体"/>
          <w:kern w:val="0"/>
          <w:szCs w:val="21"/>
          <w:highlight w:val="none"/>
        </w:rPr>
        <w:t>竞争性谈判文件《用户需求书/技术规范书》的技术条款</w:t>
      </w:r>
      <w:r>
        <w:rPr>
          <w:rFonts w:hint="eastAsia" w:ascii="宋体" w:hAnsi="宋体"/>
          <w:szCs w:val="21"/>
          <w:highlight w:val="none"/>
        </w:rPr>
        <w:t>，就竞争性谈判响应文件对技术条款存在的偏差与例外逐条做出说明；</w:t>
      </w:r>
    </w:p>
    <w:p>
      <w:pPr>
        <w:spacing w:line="440" w:lineRule="exact"/>
        <w:ind w:firstLine="420" w:firstLineChars="200"/>
        <w:jc w:val="left"/>
        <w:rPr>
          <w:rFonts w:ascii="宋体" w:hAnsi="宋体"/>
          <w:szCs w:val="21"/>
          <w:highlight w:val="none"/>
        </w:rPr>
      </w:pPr>
      <w:r>
        <w:rPr>
          <w:rFonts w:hint="eastAsia" w:ascii="宋体" w:hAnsi="宋体"/>
          <w:szCs w:val="21"/>
          <w:highlight w:val="none"/>
        </w:rPr>
        <w:t>2.如竞争性谈判响应文件对技术条款无任何偏差，响应人仅需在本偏离表中填写“无偏离”即可。</w:t>
      </w:r>
    </w:p>
    <w:p>
      <w:pPr>
        <w:spacing w:after="120"/>
        <w:rPr>
          <w:rFonts w:ascii="宋体" w:hAnsi="宋体"/>
          <w:szCs w:val="21"/>
          <w:highlight w:val="none"/>
        </w:rPr>
      </w:pPr>
    </w:p>
    <w:p>
      <w:pPr>
        <w:spacing w:line="360" w:lineRule="auto"/>
        <w:ind w:firstLine="3675" w:firstLineChars="1750"/>
        <w:rPr>
          <w:szCs w:val="21"/>
          <w:highlight w:val="none"/>
        </w:rPr>
      </w:pPr>
      <w:r>
        <w:rPr>
          <w:rFonts w:hint="eastAsia"/>
          <w:szCs w:val="21"/>
          <w:highlight w:val="none"/>
        </w:rPr>
        <w:t>响应</w:t>
      </w:r>
      <w:r>
        <w:rPr>
          <w:szCs w:val="21"/>
          <w:highlight w:val="none"/>
        </w:rPr>
        <w:t>人：</w:t>
      </w:r>
      <w:r>
        <w:rPr>
          <w:szCs w:val="21"/>
          <w:highlight w:val="none"/>
          <w:u w:val="single"/>
        </w:rPr>
        <w:t xml:space="preserve">                      </w:t>
      </w:r>
      <w:r>
        <w:rPr>
          <w:szCs w:val="21"/>
          <w:highlight w:val="none"/>
        </w:rPr>
        <w:t>（盖单位公章）</w:t>
      </w:r>
    </w:p>
    <w:p>
      <w:pPr>
        <w:spacing w:line="360" w:lineRule="auto"/>
        <w:ind w:firstLine="3675" w:firstLineChars="1750"/>
        <w:rPr>
          <w:szCs w:val="21"/>
          <w:highlight w:val="none"/>
        </w:rPr>
      </w:pPr>
      <w:r>
        <w:rPr>
          <w:szCs w:val="21"/>
          <w:highlight w:val="none"/>
        </w:rPr>
        <w:t>法定代表人或其委托代理人：</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r>
        <w:rPr>
          <w:szCs w:val="21"/>
          <w:highlight w:val="none"/>
        </w:rPr>
        <w:t>（签字）</w:t>
      </w:r>
    </w:p>
    <w:p>
      <w:pPr>
        <w:spacing w:line="480" w:lineRule="auto"/>
        <w:rPr>
          <w:rFonts w:ascii="黑体" w:hAnsi="宋体"/>
          <w:highlight w:val="none"/>
        </w:rPr>
      </w:pPr>
      <w:r>
        <w:rPr>
          <w:rFonts w:hint="eastAsia"/>
          <w:szCs w:val="21"/>
          <w:highlight w:val="none"/>
        </w:rPr>
        <w:t xml:space="preserve">                                     </w:t>
      </w:r>
      <w:r>
        <w:rPr>
          <w:rFonts w:hint="eastAsia"/>
          <w:szCs w:val="21"/>
          <w:highlight w:val="none"/>
          <w:u w:val="single"/>
        </w:rPr>
        <w:t xml:space="preserve">        </w:t>
      </w:r>
      <w:r>
        <w:rPr>
          <w:szCs w:val="21"/>
          <w:highlight w:val="none"/>
        </w:rPr>
        <w:t>年</w:t>
      </w:r>
      <w:r>
        <w:rPr>
          <w:rFonts w:hint="eastAsia"/>
          <w:szCs w:val="21"/>
          <w:highlight w:val="none"/>
          <w:u w:val="single"/>
        </w:rPr>
        <w:t xml:space="preserve">        </w:t>
      </w:r>
      <w:r>
        <w:rPr>
          <w:szCs w:val="21"/>
          <w:highlight w:val="none"/>
        </w:rPr>
        <w:t>月</w:t>
      </w:r>
      <w:r>
        <w:rPr>
          <w:rFonts w:hint="eastAsia"/>
          <w:szCs w:val="21"/>
          <w:highlight w:val="none"/>
          <w:u w:val="single"/>
        </w:rPr>
        <w:t xml:space="preserve">      </w:t>
      </w:r>
      <w:r>
        <w:rPr>
          <w:rFonts w:hint="eastAsia"/>
          <w:szCs w:val="21"/>
          <w:highlight w:val="none"/>
        </w:rPr>
        <w:t>日</w:t>
      </w:r>
    </w:p>
    <w:p>
      <w:pPr>
        <w:pStyle w:val="3"/>
        <w:spacing w:before="0"/>
        <w:jc w:val="center"/>
        <w:rPr>
          <w:highlight w:val="none"/>
        </w:rPr>
        <w:sectPr>
          <w:pgSz w:w="11906" w:h="16838"/>
          <w:pgMar w:top="1418" w:right="1800" w:bottom="1440" w:left="1800" w:header="851" w:footer="992" w:gutter="0"/>
          <w:cols w:space="720" w:num="1"/>
          <w:docGrid w:type="lines" w:linePitch="312" w:charSpace="0"/>
        </w:sectPr>
      </w:pPr>
    </w:p>
    <w:p>
      <w:pPr>
        <w:pStyle w:val="3"/>
        <w:jc w:val="center"/>
        <w:rPr>
          <w:highlight w:val="none"/>
        </w:rPr>
      </w:pPr>
      <w:bookmarkStart w:id="233" w:name="_Toc179632827"/>
      <w:bookmarkStart w:id="234" w:name="_Toc10292"/>
      <w:bookmarkStart w:id="235" w:name="_Toc152042596"/>
      <w:bookmarkStart w:id="236" w:name="_Toc246997115"/>
      <w:bookmarkStart w:id="237" w:name="_Toc144974875"/>
      <w:bookmarkStart w:id="238" w:name="_Toc338669161"/>
      <w:bookmarkStart w:id="239" w:name="_Toc486425440"/>
      <w:bookmarkStart w:id="240" w:name="_Toc247085890"/>
      <w:bookmarkStart w:id="241" w:name="_Toc152045807"/>
      <w:bookmarkStart w:id="242" w:name="_Toc246996372"/>
      <w:bookmarkStart w:id="243" w:name="_Toc11640"/>
      <w:r>
        <w:rPr>
          <w:rFonts w:hint="eastAsia"/>
          <w:highlight w:val="none"/>
          <w:lang w:val="en-US" w:eastAsia="zh-CN"/>
        </w:rPr>
        <w:t>九</w:t>
      </w:r>
      <w:r>
        <w:rPr>
          <w:highlight w:val="none"/>
        </w:rPr>
        <w:t>、资格审查资料</w:t>
      </w:r>
      <w:bookmarkEnd w:id="233"/>
      <w:bookmarkEnd w:id="234"/>
      <w:bookmarkEnd w:id="235"/>
      <w:bookmarkEnd w:id="236"/>
      <w:bookmarkEnd w:id="237"/>
      <w:bookmarkEnd w:id="238"/>
      <w:bookmarkEnd w:id="239"/>
      <w:bookmarkEnd w:id="240"/>
      <w:bookmarkEnd w:id="241"/>
      <w:bookmarkEnd w:id="242"/>
      <w:bookmarkEnd w:id="243"/>
    </w:p>
    <w:p>
      <w:pPr>
        <w:widowControl/>
        <w:jc w:val="left"/>
        <w:rPr>
          <w:szCs w:val="21"/>
          <w:highlight w:val="none"/>
        </w:rPr>
      </w:pPr>
      <w:r>
        <w:rPr>
          <w:szCs w:val="21"/>
          <w:highlight w:val="none"/>
        </w:rPr>
        <w:br w:type="page"/>
      </w:r>
    </w:p>
    <w:p>
      <w:pPr>
        <w:pStyle w:val="3"/>
        <w:jc w:val="center"/>
        <w:rPr>
          <w:highlight w:val="none"/>
        </w:rPr>
      </w:pPr>
      <w:bookmarkStart w:id="244" w:name="_Toc7283"/>
      <w:bookmarkStart w:id="245" w:name="_Toc30029"/>
      <w:r>
        <w:rPr>
          <w:rFonts w:hint="eastAsia"/>
          <w:highlight w:val="none"/>
        </w:rPr>
        <w:t>十</w:t>
      </w:r>
      <w:r>
        <w:rPr>
          <w:highlight w:val="none"/>
        </w:rPr>
        <w:t>、</w:t>
      </w:r>
      <w:r>
        <w:rPr>
          <w:rFonts w:hint="eastAsia"/>
          <w:highlight w:val="none"/>
        </w:rPr>
        <w:t>其他需要补充的</w:t>
      </w:r>
      <w:r>
        <w:rPr>
          <w:highlight w:val="none"/>
        </w:rPr>
        <w:t>资料</w:t>
      </w:r>
      <w:bookmarkEnd w:id="244"/>
      <w:bookmarkEnd w:id="245"/>
    </w:p>
    <w:p>
      <w:pPr>
        <w:widowControl/>
        <w:jc w:val="left"/>
        <w:rPr>
          <w:szCs w:val="21"/>
          <w:highlight w:val="none"/>
        </w:rPr>
      </w:pPr>
      <w:r>
        <w:rPr>
          <w:szCs w:val="21"/>
          <w:highlight w:val="none"/>
        </w:rPr>
        <w:br w:type="page"/>
      </w:r>
    </w:p>
    <w:p>
      <w:pPr>
        <w:pStyle w:val="3"/>
        <w:jc w:val="left"/>
        <w:rPr>
          <w:highlight w:val="none"/>
        </w:rPr>
      </w:pPr>
      <w:bookmarkStart w:id="246" w:name="_Toc16276"/>
      <w:bookmarkStart w:id="247" w:name="_Toc4238"/>
      <w:bookmarkStart w:id="248" w:name="_Toc486425443"/>
      <w:bookmarkStart w:id="249" w:name="OLE_LINK4"/>
      <w:r>
        <w:rPr>
          <w:rFonts w:hint="eastAsia"/>
          <w:highlight w:val="none"/>
        </w:rPr>
        <w:t>第二部分</w:t>
      </w:r>
      <w:r>
        <w:rPr>
          <w:highlight w:val="none"/>
        </w:rPr>
        <w:t xml:space="preserve">  </w:t>
      </w:r>
      <w:r>
        <w:rPr>
          <w:rFonts w:hint="eastAsia"/>
          <w:highlight w:val="none"/>
        </w:rPr>
        <w:t>经济部分</w:t>
      </w:r>
      <w:bookmarkEnd w:id="246"/>
      <w:bookmarkEnd w:id="247"/>
      <w:bookmarkEnd w:id="248"/>
    </w:p>
    <w:p>
      <w:pPr>
        <w:pStyle w:val="3"/>
        <w:bidi w:val="0"/>
        <w:rPr>
          <w:highlight w:val="none"/>
        </w:rPr>
      </w:pPr>
      <w:bookmarkStart w:id="250" w:name="_Toc26238"/>
      <w:bookmarkStart w:id="251" w:name="_Toc11402"/>
      <w:bookmarkStart w:id="252" w:name="_Toc338669163"/>
      <w:bookmarkStart w:id="253" w:name="_Toc486425444"/>
      <w:r>
        <w:rPr>
          <w:rFonts w:hint="eastAsia"/>
          <w:highlight w:val="none"/>
          <w:lang w:val="en-US" w:eastAsia="zh-CN"/>
        </w:rPr>
        <w:t>一、</w:t>
      </w:r>
      <w:r>
        <w:rPr>
          <w:rFonts w:hint="eastAsia"/>
          <w:highlight w:val="none"/>
        </w:rPr>
        <w:t>报价一览表</w:t>
      </w:r>
      <w:bookmarkEnd w:id="250"/>
      <w:bookmarkEnd w:id="251"/>
      <w:bookmarkEnd w:id="252"/>
      <w:bookmarkEnd w:id="253"/>
    </w:p>
    <w:tbl>
      <w:tblPr>
        <w:tblStyle w:val="37"/>
        <w:tblW w:w="83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897"/>
        <w:gridCol w:w="1781"/>
        <w:gridCol w:w="1701"/>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709"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序号</w:t>
            </w:r>
          </w:p>
        </w:tc>
        <w:tc>
          <w:tcPr>
            <w:tcW w:w="2897"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项目名称</w:t>
            </w:r>
          </w:p>
        </w:tc>
        <w:tc>
          <w:tcPr>
            <w:tcW w:w="1781"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含税投标总报价（元）</w:t>
            </w:r>
          </w:p>
        </w:tc>
        <w:tc>
          <w:tcPr>
            <w:tcW w:w="1701"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不含税投标总价（元）</w:t>
            </w:r>
          </w:p>
        </w:tc>
        <w:tc>
          <w:tcPr>
            <w:tcW w:w="1274"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增值税税率（%）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709" w:type="dxa"/>
            <w:vAlign w:val="center"/>
          </w:tcPr>
          <w:p>
            <w:pPr>
              <w:spacing w:line="440" w:lineRule="exact"/>
              <w:jc w:val="center"/>
              <w:rPr>
                <w:rFonts w:ascii="宋体" w:hAnsi="宋体"/>
                <w:kern w:val="0"/>
                <w:sz w:val="20"/>
                <w:szCs w:val="21"/>
                <w:highlight w:val="none"/>
              </w:rPr>
            </w:pPr>
            <w:r>
              <w:rPr>
                <w:rFonts w:hint="eastAsia" w:ascii="宋体" w:hAnsi="宋体"/>
                <w:kern w:val="0"/>
                <w:sz w:val="20"/>
                <w:szCs w:val="21"/>
                <w:highlight w:val="none"/>
              </w:rPr>
              <w:t>1</w:t>
            </w:r>
          </w:p>
        </w:tc>
        <w:tc>
          <w:tcPr>
            <w:tcW w:w="2897" w:type="dxa"/>
            <w:vAlign w:val="center"/>
          </w:tcPr>
          <w:p>
            <w:pPr>
              <w:spacing w:line="440" w:lineRule="exact"/>
              <w:jc w:val="center"/>
              <w:rPr>
                <w:rFonts w:ascii="宋体" w:hAnsi="宋体"/>
                <w:kern w:val="0"/>
                <w:sz w:val="20"/>
                <w:szCs w:val="21"/>
                <w:highlight w:val="none"/>
              </w:rPr>
            </w:pPr>
            <w:r>
              <w:rPr>
                <w:rFonts w:hint="eastAsia"/>
                <w:kern w:val="0"/>
                <w:sz w:val="20"/>
                <w:highlight w:val="none"/>
                <w:u w:val="single"/>
              </w:rPr>
              <w:t>新锋交通智慧服务平台</w:t>
            </w:r>
          </w:p>
        </w:tc>
        <w:tc>
          <w:tcPr>
            <w:tcW w:w="1781" w:type="dxa"/>
            <w:vAlign w:val="center"/>
          </w:tcPr>
          <w:p>
            <w:pPr>
              <w:spacing w:line="440" w:lineRule="exact"/>
              <w:jc w:val="center"/>
              <w:rPr>
                <w:rFonts w:ascii="宋体" w:hAnsi="宋体"/>
                <w:kern w:val="0"/>
                <w:sz w:val="20"/>
                <w:szCs w:val="21"/>
                <w:highlight w:val="none"/>
              </w:rPr>
            </w:pPr>
          </w:p>
        </w:tc>
        <w:tc>
          <w:tcPr>
            <w:tcW w:w="1701" w:type="dxa"/>
            <w:vAlign w:val="center"/>
          </w:tcPr>
          <w:p>
            <w:pPr>
              <w:spacing w:line="440" w:lineRule="exact"/>
              <w:jc w:val="center"/>
              <w:rPr>
                <w:rFonts w:ascii="宋体" w:hAnsi="宋体"/>
                <w:kern w:val="0"/>
                <w:sz w:val="20"/>
                <w:szCs w:val="21"/>
                <w:highlight w:val="none"/>
                <w:u w:val="single"/>
              </w:rPr>
            </w:pPr>
          </w:p>
        </w:tc>
        <w:tc>
          <w:tcPr>
            <w:tcW w:w="1274" w:type="dxa"/>
          </w:tcPr>
          <w:p>
            <w:pPr>
              <w:spacing w:line="440" w:lineRule="exact"/>
              <w:jc w:val="center"/>
              <w:rPr>
                <w:rFonts w:ascii="宋体" w:hAnsi="宋体"/>
                <w:kern w:val="0"/>
                <w:sz w:val="20"/>
                <w:szCs w:val="21"/>
                <w:highlight w:val="none"/>
                <w:u w:val="single"/>
              </w:rPr>
            </w:pPr>
          </w:p>
        </w:tc>
      </w:tr>
    </w:tbl>
    <w:p>
      <w:pPr>
        <w:spacing w:line="440" w:lineRule="exact"/>
        <w:ind w:firstLine="420" w:firstLineChars="200"/>
        <w:jc w:val="left"/>
        <w:rPr>
          <w:rFonts w:ascii="宋体" w:hAnsi="宋体"/>
          <w:szCs w:val="21"/>
          <w:highlight w:val="none"/>
        </w:rPr>
      </w:pPr>
      <w:r>
        <w:rPr>
          <w:rFonts w:ascii="宋体" w:hAnsi="宋体"/>
          <w:szCs w:val="21"/>
          <w:highlight w:val="none"/>
        </w:rPr>
        <w:t>说明：</w:t>
      </w:r>
    </w:p>
    <w:p>
      <w:pPr>
        <w:spacing w:line="440" w:lineRule="exact"/>
        <w:ind w:firstLine="420" w:firstLineChars="200"/>
        <w:jc w:val="left"/>
        <w:rPr>
          <w:rFonts w:ascii="宋体" w:hAnsi="宋体"/>
          <w:szCs w:val="21"/>
          <w:highlight w:val="none"/>
        </w:rPr>
      </w:pPr>
      <w:bookmarkStart w:id="254" w:name="_Hlk50381590"/>
      <w:r>
        <w:rPr>
          <w:rFonts w:hint="eastAsia" w:ascii="宋体" w:hAnsi="宋体"/>
          <w:szCs w:val="21"/>
          <w:highlight w:val="none"/>
        </w:rPr>
        <w:t>1.最高限价：</w:t>
      </w:r>
      <w:r>
        <w:rPr>
          <w:rFonts w:hint="eastAsia" w:ascii="宋体" w:hAnsi="宋体"/>
          <w:szCs w:val="21"/>
          <w:highlight w:val="none"/>
          <w:u w:val="single"/>
        </w:rPr>
        <w:t>¥6</w:t>
      </w:r>
      <w:r>
        <w:rPr>
          <w:rFonts w:hint="eastAsia" w:ascii="宋体" w:hAnsi="宋体"/>
          <w:szCs w:val="21"/>
          <w:highlight w:val="none"/>
          <w:u w:val="single"/>
          <w:lang w:val="en-US" w:eastAsia="zh-CN"/>
        </w:rPr>
        <w:t>0</w:t>
      </w:r>
      <w:r>
        <w:rPr>
          <w:rFonts w:hint="eastAsia" w:ascii="宋体" w:hAnsi="宋体"/>
          <w:szCs w:val="21"/>
          <w:highlight w:val="none"/>
          <w:u w:val="single"/>
        </w:rPr>
        <w:t>0,000.00元人民币（含税）</w:t>
      </w:r>
      <w:r>
        <w:rPr>
          <w:rFonts w:hint="eastAsia" w:ascii="宋体" w:hAnsi="宋体"/>
          <w:szCs w:val="21"/>
          <w:highlight w:val="none"/>
        </w:rPr>
        <w:t>；超出最高限价予以否决投标。</w:t>
      </w:r>
    </w:p>
    <w:p>
      <w:pPr>
        <w:spacing w:line="440" w:lineRule="exact"/>
        <w:ind w:firstLine="420" w:firstLineChars="200"/>
        <w:jc w:val="left"/>
        <w:rPr>
          <w:rFonts w:ascii="宋体" w:hAnsi="宋体"/>
          <w:szCs w:val="21"/>
          <w:highlight w:val="none"/>
        </w:rPr>
      </w:pPr>
      <w:r>
        <w:rPr>
          <w:rFonts w:hint="eastAsia" w:ascii="宋体" w:hAnsi="宋体"/>
          <w:szCs w:val="21"/>
          <w:highlight w:val="none"/>
        </w:rPr>
        <w:t>2.</w:t>
      </w:r>
      <w:r>
        <w:rPr>
          <w:rFonts w:ascii="宋体" w:hAnsi="宋体"/>
          <w:szCs w:val="21"/>
          <w:highlight w:val="none"/>
        </w:rPr>
        <w:t>以上内容为实质性响应内容，漏写或错写，将导致</w:t>
      </w:r>
      <w:r>
        <w:rPr>
          <w:rFonts w:hint="eastAsia" w:ascii="宋体" w:hAnsi="宋体"/>
          <w:szCs w:val="21"/>
          <w:highlight w:val="none"/>
        </w:rPr>
        <w:t>询价</w:t>
      </w:r>
      <w:r>
        <w:rPr>
          <w:rFonts w:ascii="宋体" w:hAnsi="宋体"/>
          <w:szCs w:val="21"/>
          <w:highlight w:val="none"/>
        </w:rPr>
        <w:t>响应文件不予接受</w:t>
      </w:r>
      <w:r>
        <w:rPr>
          <w:rFonts w:hint="eastAsia" w:ascii="宋体" w:hAnsi="宋体"/>
          <w:szCs w:val="21"/>
          <w:highlight w:val="none"/>
        </w:rPr>
        <w:t>。</w:t>
      </w:r>
    </w:p>
    <w:p>
      <w:pPr>
        <w:spacing w:line="440" w:lineRule="exact"/>
        <w:ind w:firstLine="420" w:firstLineChars="200"/>
        <w:jc w:val="left"/>
        <w:rPr>
          <w:rFonts w:ascii="宋体" w:hAnsi="宋体"/>
          <w:szCs w:val="21"/>
          <w:highlight w:val="none"/>
        </w:rPr>
      </w:pPr>
      <w:r>
        <w:rPr>
          <w:rFonts w:hint="eastAsia" w:ascii="宋体" w:hAnsi="宋体"/>
          <w:szCs w:val="21"/>
          <w:highlight w:val="none"/>
        </w:rPr>
        <w:t xml:space="preserve">3.按上表要求填报含税投标总报价、增值税税率，报价精确到小数点后两位。对于小数点后第三位数字，无论大小，一律舍去。（如：10.00）。 </w:t>
      </w:r>
    </w:p>
    <w:p>
      <w:pPr>
        <w:spacing w:line="440" w:lineRule="exact"/>
        <w:ind w:firstLine="420" w:firstLineChars="200"/>
        <w:jc w:val="left"/>
        <w:rPr>
          <w:rFonts w:ascii="宋体" w:hAnsi="宋体"/>
          <w:szCs w:val="21"/>
          <w:highlight w:val="none"/>
        </w:rPr>
      </w:pPr>
      <w:r>
        <w:rPr>
          <w:rFonts w:hint="eastAsia" w:ascii="宋体" w:hAnsi="宋体"/>
          <w:szCs w:val="21"/>
          <w:highlight w:val="none"/>
        </w:rPr>
        <w:t>4．承包方式：</w:t>
      </w:r>
      <w:r>
        <w:rPr>
          <w:rFonts w:hint="eastAsia" w:hAnsi="宋体" w:cs="宋体"/>
          <w:szCs w:val="21"/>
          <w:highlight w:val="none"/>
        </w:rPr>
        <w:t>本项目投标报价包括开发费、安装调试费、系统接口费、培训费、服务人员费用（包含但不限于办公费、食宿费、交通费、差旅费等）等所有费用。投标报价为投标方所能承受的最低、最终一次性报价。中标人的报价为整个采购项目的总报价，如有漏项，视同已包含在其总项目中，合同价不做调整。</w:t>
      </w:r>
    </w:p>
    <w:p>
      <w:pPr>
        <w:spacing w:line="440" w:lineRule="exact"/>
        <w:ind w:firstLine="420" w:firstLineChars="200"/>
        <w:jc w:val="left"/>
        <w:rPr>
          <w:rFonts w:ascii="宋体" w:hAnsi="宋体"/>
          <w:szCs w:val="21"/>
          <w:highlight w:val="none"/>
        </w:rPr>
      </w:pPr>
      <w:r>
        <w:rPr>
          <w:rFonts w:hint="eastAsia" w:ascii="宋体" w:hAnsi="宋体"/>
          <w:szCs w:val="21"/>
          <w:highlight w:val="none"/>
        </w:rPr>
        <w:t>5. 提供增值税专用发票。</w:t>
      </w:r>
    </w:p>
    <w:bookmarkEnd w:id="254"/>
    <w:p>
      <w:pPr>
        <w:spacing w:line="440" w:lineRule="exact"/>
        <w:ind w:firstLine="420" w:firstLineChars="200"/>
        <w:jc w:val="left"/>
        <w:rPr>
          <w:rFonts w:ascii="宋体" w:hAnsi="宋体"/>
          <w:szCs w:val="21"/>
          <w:highlight w:val="none"/>
        </w:rPr>
      </w:pPr>
    </w:p>
    <w:p>
      <w:pPr>
        <w:spacing w:line="440" w:lineRule="exact"/>
        <w:ind w:firstLine="420" w:firstLineChars="200"/>
        <w:jc w:val="left"/>
        <w:rPr>
          <w:rFonts w:ascii="宋体" w:hAnsi="宋体"/>
          <w:szCs w:val="21"/>
          <w:highlight w:val="none"/>
          <w:u w:val="single"/>
        </w:rPr>
      </w:pPr>
      <w:r>
        <w:rPr>
          <w:rFonts w:hint="eastAsia" w:ascii="宋体" w:hAnsi="宋体"/>
          <w:szCs w:val="21"/>
          <w:highlight w:val="none"/>
        </w:rPr>
        <w:t>响应供应商代表签字：</w:t>
      </w:r>
      <w:r>
        <w:rPr>
          <w:rFonts w:hint="eastAsia" w:ascii="宋体" w:hAnsi="宋体"/>
          <w:szCs w:val="21"/>
          <w:highlight w:val="none"/>
          <w:u w:val="single"/>
        </w:rPr>
        <w:t xml:space="preserve"> </w:t>
      </w:r>
      <w:r>
        <w:rPr>
          <w:rFonts w:ascii="宋体" w:hAnsi="宋体"/>
          <w:szCs w:val="21"/>
          <w:highlight w:val="none"/>
          <w:u w:val="single"/>
        </w:rPr>
        <w:t xml:space="preserve">          </w:t>
      </w:r>
    </w:p>
    <w:p>
      <w:pPr>
        <w:spacing w:line="440" w:lineRule="exact"/>
        <w:ind w:firstLine="420" w:firstLineChars="200"/>
        <w:jc w:val="left"/>
        <w:rPr>
          <w:rFonts w:ascii="宋体" w:hAnsi="宋体"/>
          <w:szCs w:val="21"/>
          <w:highlight w:val="none"/>
        </w:rPr>
      </w:pPr>
    </w:p>
    <w:p>
      <w:pPr>
        <w:spacing w:line="440" w:lineRule="exact"/>
        <w:ind w:firstLine="420" w:firstLineChars="200"/>
        <w:jc w:val="left"/>
        <w:rPr>
          <w:rFonts w:ascii="宋体" w:hAnsi="宋体"/>
          <w:szCs w:val="21"/>
          <w:highlight w:val="none"/>
          <w:u w:val="single"/>
        </w:rPr>
      </w:pPr>
      <w:r>
        <w:rPr>
          <w:rFonts w:hint="eastAsia" w:ascii="宋体" w:hAnsi="宋体"/>
          <w:szCs w:val="21"/>
          <w:highlight w:val="none"/>
        </w:rPr>
        <w:t>单位盖章：</w:t>
      </w:r>
      <w:r>
        <w:rPr>
          <w:rFonts w:hint="eastAsia" w:ascii="宋体" w:hAnsi="宋体"/>
          <w:szCs w:val="21"/>
          <w:highlight w:val="none"/>
          <w:u w:val="single"/>
        </w:rPr>
        <w:t xml:space="preserve"> </w:t>
      </w:r>
      <w:r>
        <w:rPr>
          <w:rFonts w:ascii="宋体" w:hAnsi="宋体"/>
          <w:szCs w:val="21"/>
          <w:highlight w:val="none"/>
          <w:u w:val="single"/>
        </w:rPr>
        <w:t xml:space="preserve">                     </w:t>
      </w:r>
    </w:p>
    <w:p>
      <w:pPr>
        <w:rPr>
          <w:highlight w:val="none"/>
        </w:rPr>
      </w:pPr>
    </w:p>
    <w:p>
      <w:pPr>
        <w:widowControl/>
        <w:jc w:val="left"/>
        <w:rPr>
          <w:highlight w:val="none"/>
        </w:rPr>
      </w:pPr>
      <w:r>
        <w:rPr>
          <w:highlight w:val="none"/>
        </w:rPr>
        <w:br w:type="page"/>
      </w:r>
    </w:p>
    <w:p>
      <w:pPr>
        <w:pStyle w:val="3"/>
        <w:bidi w:val="0"/>
        <w:rPr>
          <w:highlight w:val="none"/>
        </w:rPr>
      </w:pPr>
      <w:bookmarkStart w:id="255" w:name="_Toc11719"/>
      <w:bookmarkStart w:id="256" w:name="_Toc8395"/>
      <w:r>
        <w:rPr>
          <w:rFonts w:hint="eastAsia"/>
          <w:highlight w:val="none"/>
          <w:lang w:val="en-US" w:eastAsia="zh-CN"/>
        </w:rPr>
        <w:t>二、</w:t>
      </w:r>
      <w:r>
        <w:rPr>
          <w:highlight w:val="none"/>
        </w:rPr>
        <w:t xml:space="preserve"> </w:t>
      </w:r>
      <w:r>
        <w:rPr>
          <w:rFonts w:hint="eastAsia"/>
          <w:highlight w:val="none"/>
        </w:rPr>
        <w:t>唱标信封（单独密封）</w:t>
      </w:r>
      <w:bookmarkEnd w:id="255"/>
      <w:bookmarkEnd w:id="256"/>
    </w:p>
    <w:p>
      <w:pPr>
        <w:spacing w:line="360" w:lineRule="auto"/>
        <w:ind w:left="796" w:leftChars="178" w:hanging="422" w:hangingChars="201"/>
        <w:rPr>
          <w:rFonts w:hAnsi="宋体"/>
          <w:szCs w:val="21"/>
          <w:highlight w:val="none"/>
        </w:rPr>
      </w:pPr>
    </w:p>
    <w:p>
      <w:pPr>
        <w:spacing w:line="360" w:lineRule="auto"/>
        <w:ind w:left="796" w:leftChars="178" w:hanging="422" w:hangingChars="201"/>
        <w:rPr>
          <w:rFonts w:hAnsi="宋体"/>
          <w:szCs w:val="21"/>
          <w:highlight w:val="none"/>
        </w:rPr>
      </w:pPr>
      <w:r>
        <w:rPr>
          <w:rFonts w:hint="eastAsia" w:hAnsi="宋体"/>
          <w:szCs w:val="21"/>
          <w:highlight w:val="none"/>
        </w:rPr>
        <w:t>唱标信封内装：</w:t>
      </w:r>
    </w:p>
    <w:p>
      <w:pPr>
        <w:numPr>
          <w:ilvl w:val="0"/>
          <w:numId w:val="9"/>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竞争性谈判响应函复印件加盖公章；</w:t>
      </w:r>
    </w:p>
    <w:p>
      <w:pPr>
        <w:numPr>
          <w:ilvl w:val="0"/>
          <w:numId w:val="9"/>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法定代表人证明书复印件加盖公章；</w:t>
      </w:r>
    </w:p>
    <w:p>
      <w:pPr>
        <w:numPr>
          <w:ilvl w:val="0"/>
          <w:numId w:val="9"/>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法定代表人授权委托书复印件加盖公章（法定代表人投标的除外）；</w:t>
      </w:r>
    </w:p>
    <w:p>
      <w:pPr>
        <w:numPr>
          <w:ilvl w:val="0"/>
          <w:numId w:val="9"/>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报价一览表复印件加盖公章；</w:t>
      </w:r>
    </w:p>
    <w:p>
      <w:pPr>
        <w:numPr>
          <w:ilvl w:val="0"/>
          <w:numId w:val="9"/>
        </w:numPr>
        <w:autoSpaceDE w:val="0"/>
        <w:autoSpaceDN w:val="0"/>
        <w:adjustRightInd w:val="0"/>
        <w:spacing w:line="360" w:lineRule="auto"/>
        <w:ind w:firstLineChars="200"/>
        <w:jc w:val="left"/>
        <w:rPr>
          <w:rFonts w:hAnsi="宋体"/>
          <w:szCs w:val="21"/>
          <w:highlight w:val="none"/>
        </w:rPr>
      </w:pPr>
      <w:r>
        <w:rPr>
          <w:rFonts w:hint="eastAsia" w:hAnsi="宋体"/>
          <w:szCs w:val="21"/>
          <w:highlight w:val="none"/>
        </w:rPr>
        <w:t>响应文件电子文件（U盘）；</w:t>
      </w:r>
    </w:p>
    <w:bookmarkEnd w:id="0"/>
    <w:bookmarkEnd w:id="249"/>
    <w:p>
      <w:pPr>
        <w:tabs>
          <w:tab w:val="left" w:pos="720"/>
        </w:tabs>
        <w:spacing w:line="440" w:lineRule="exact"/>
        <w:rPr>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MetaPlusLF">
    <w:altName w:val="Times New Roman"/>
    <w:panose1 w:val="00000000000000000000"/>
    <w:charset w:val="00"/>
    <w:family w:val="auto"/>
    <w:pitch w:val="default"/>
    <w:sig w:usb0="00000000" w:usb1="00000000" w:usb2="00000000" w:usb3="00000000" w:csb0="00000097" w:csb1="00000000"/>
  </w:font>
  <w:font w:name="华文隶书">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9583844"/>
      <w:docPartObj>
        <w:docPartGallery w:val="autotext"/>
      </w:docPartObj>
    </w:sdtPr>
    <w:sdtContent>
      <w:p>
        <w:pPr>
          <w:pStyle w:val="24"/>
          <w:ind w:firstLine="498"/>
          <w:jc w:val="center"/>
        </w:pPr>
        <w:r>
          <w:fldChar w:fldCharType="begin"/>
        </w:r>
        <w:r>
          <w:instrText xml:space="preserve">PAGE   \* MERGEFORMAT</w:instrText>
        </w:r>
        <w:r>
          <w:fldChar w:fldCharType="separate"/>
        </w:r>
        <w:r>
          <w:rPr>
            <w:lang w:val="zh-CN"/>
          </w:rPr>
          <w:t>2</w:t>
        </w:r>
        <w:r>
          <w:fldChar w:fldCharType="end"/>
        </w:r>
      </w:p>
    </w:sdtContent>
  </w:sdt>
  <w:p>
    <w:pPr>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75C48"/>
    <w:multiLevelType w:val="multilevel"/>
    <w:tmpl w:val="00975C48"/>
    <w:lvl w:ilvl="0" w:tentative="0">
      <w:start w:val="1"/>
      <w:numFmt w:val="decimal"/>
      <w:lvlText w:val="（%1）"/>
      <w:lvlJc w:val="left"/>
      <w:pPr>
        <w:ind w:left="156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418463F"/>
    <w:multiLevelType w:val="singleLevel"/>
    <w:tmpl w:val="2418463F"/>
    <w:lvl w:ilvl="0" w:tentative="0">
      <w:start w:val="1"/>
      <w:numFmt w:val="decimal"/>
      <w:suff w:val="nothing"/>
      <w:lvlText w:val="%1、"/>
      <w:lvlJc w:val="left"/>
    </w:lvl>
  </w:abstractNum>
  <w:abstractNum w:abstractNumId="2">
    <w:nsid w:val="27D67977"/>
    <w:multiLevelType w:val="multilevel"/>
    <w:tmpl w:val="27D67977"/>
    <w:lvl w:ilvl="0" w:tentative="0">
      <w:start w:val="1"/>
      <w:numFmt w:val="decimal"/>
      <w:lvlText w:val="%1"/>
      <w:lvlJc w:val="left"/>
      <w:pPr>
        <w:ind w:left="425" w:hanging="425"/>
      </w:pPr>
    </w:lvl>
    <w:lvl w:ilvl="1" w:tentative="0">
      <w:start w:val="1"/>
      <w:numFmt w:val="decimal"/>
      <w:lvlText w:val="%1.%2"/>
      <w:lvlJc w:val="left"/>
      <w:pPr>
        <w:ind w:left="992" w:hanging="567"/>
      </w:pPr>
      <w:rPr>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
    <w:nsid w:val="31B23450"/>
    <w:multiLevelType w:val="multilevel"/>
    <w:tmpl w:val="31B2345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4E02070"/>
    <w:multiLevelType w:val="multilevel"/>
    <w:tmpl w:val="34E02070"/>
    <w:lvl w:ilvl="0" w:tentative="0">
      <w:start w:val="1"/>
      <w:numFmt w:val="decimal"/>
      <w:lvlText w:val="%1"/>
      <w:lvlJc w:val="left"/>
      <w:pPr>
        <w:ind w:left="425" w:hanging="425"/>
      </w:pPr>
      <w:rPr>
        <w:rFonts w:hint="eastAsia"/>
      </w:rPr>
    </w:lvl>
    <w:lvl w:ilvl="1" w:tentative="0">
      <w:start w:val="1"/>
      <w:numFmt w:val="decimal"/>
      <w:lvlText w:val="2.%2"/>
      <w:lvlJc w:val="left"/>
      <w:pPr>
        <w:ind w:left="986" w:hanging="567"/>
      </w:pPr>
      <w:rPr>
        <w:rFonts w:hint="eastAsia"/>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5">
    <w:nsid w:val="429F0012"/>
    <w:multiLevelType w:val="multilevel"/>
    <w:tmpl w:val="429F0012"/>
    <w:lvl w:ilvl="0" w:tentative="0">
      <w:start w:val="1"/>
      <w:numFmt w:val="decimal"/>
      <w:lvlText w:val="%1."/>
      <w:lvlJc w:val="left"/>
      <w:pPr>
        <w:ind w:left="360" w:hanging="360"/>
      </w:pPr>
      <w:rPr>
        <w:rFonts w:hint="default"/>
      </w:rPr>
    </w:lvl>
    <w:lvl w:ilvl="1" w:tentative="0">
      <w:start w:val="1"/>
      <w:numFmt w:val="decimal"/>
      <w:lvlText w:val="%2．"/>
      <w:lvlJc w:val="left"/>
      <w:pPr>
        <w:ind w:left="840" w:hanging="420"/>
      </w:pPr>
      <w:rPr>
        <w:rFonts w:hint="default"/>
      </w:rPr>
    </w:lvl>
    <w:lvl w:ilvl="2" w:tentative="0">
      <w:start w:val="1"/>
      <w:numFmt w:val="decimal"/>
      <w:lvlText w:val="（%3）"/>
      <w:lvlJc w:val="left"/>
      <w:pPr>
        <w:ind w:left="1560" w:hanging="72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AC775F4"/>
    <w:multiLevelType w:val="multilevel"/>
    <w:tmpl w:val="4AC775F4"/>
    <w:lvl w:ilvl="0" w:tentative="0">
      <w:start w:val="1"/>
      <w:numFmt w:val="decimal"/>
      <w:lvlText w:val="%1."/>
      <w:lvlJc w:val="left"/>
      <w:pPr>
        <w:ind w:left="425" w:hanging="425"/>
      </w:pPr>
      <w:rPr>
        <w:rFonts w:hint="eastAsia" w:ascii="宋体" w:hAnsi="宋体" w:eastAsia="宋体"/>
        <w:b/>
        <w:sz w:val="28"/>
      </w:rPr>
    </w:lvl>
    <w:lvl w:ilvl="1" w:tentative="0">
      <w:start w:val="1"/>
      <w:numFmt w:val="decimal"/>
      <w:pStyle w:val="34"/>
      <w:lvlText w:val="%1.%2"/>
      <w:lvlJc w:val="left"/>
      <w:pPr>
        <w:ind w:left="850" w:hanging="425"/>
      </w:pPr>
      <w:rPr>
        <w:rFonts w:hint="eastAsia" w:eastAsia="宋体"/>
        <w:b/>
        <w:i w:val="0"/>
        <w:sz w:val="24"/>
      </w:rPr>
    </w:lvl>
    <w:lvl w:ilvl="2" w:tentative="0">
      <w:start w:val="1"/>
      <w:numFmt w:val="decimal"/>
      <w:pStyle w:val="70"/>
      <w:lvlText w:val="%1.%2.%3"/>
      <w:lvlJc w:val="left"/>
      <w:pPr>
        <w:ind w:left="1275" w:hanging="425"/>
      </w:pPr>
      <w:rPr>
        <w:rFonts w:hint="eastAsia" w:eastAsia="宋体"/>
        <w:b w:val="0"/>
        <w:i w:val="0"/>
        <w:sz w:val="21"/>
      </w:rPr>
    </w:lvl>
    <w:lvl w:ilvl="3" w:tentative="0">
      <w:start w:val="1"/>
      <w:numFmt w:val="decimal"/>
      <w:lvlText w:val="%1.%2.%3.%4"/>
      <w:lvlJc w:val="left"/>
      <w:pPr>
        <w:ind w:left="1700" w:hanging="425"/>
      </w:pPr>
      <w:rPr>
        <w:rFonts w:hint="eastAsia"/>
      </w:rPr>
    </w:lvl>
    <w:lvl w:ilvl="4" w:tentative="0">
      <w:start w:val="1"/>
      <w:numFmt w:val="decimal"/>
      <w:lvlText w:val="%1.%2.%3.%4.%5"/>
      <w:lvlJc w:val="left"/>
      <w:pPr>
        <w:ind w:left="2125" w:hanging="425"/>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7">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8">
    <w:nsid w:val="635E683D"/>
    <w:multiLevelType w:val="multilevel"/>
    <w:tmpl w:val="635E683D"/>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6"/>
  </w:num>
  <w:num w:numId="2">
    <w:abstractNumId w:val="2"/>
  </w:num>
  <w:num w:numId="3">
    <w:abstractNumId w:val="4"/>
  </w:num>
  <w:num w:numId="4">
    <w:abstractNumId w:val="5"/>
  </w:num>
  <w:num w:numId="5">
    <w:abstractNumId w:val="8"/>
  </w:num>
  <w:num w:numId="6">
    <w:abstractNumId w:val="3"/>
  </w:num>
  <w:num w:numId="7">
    <w:abstractNumId w:val="0"/>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7043"/>
    <w:rsid w:val="0000377B"/>
    <w:rsid w:val="000068EA"/>
    <w:rsid w:val="00007223"/>
    <w:rsid w:val="0001068F"/>
    <w:rsid w:val="000125F4"/>
    <w:rsid w:val="00014718"/>
    <w:rsid w:val="000211CF"/>
    <w:rsid w:val="0002397A"/>
    <w:rsid w:val="000259BD"/>
    <w:rsid w:val="0003046F"/>
    <w:rsid w:val="00031930"/>
    <w:rsid w:val="000353AC"/>
    <w:rsid w:val="00046275"/>
    <w:rsid w:val="00053FF2"/>
    <w:rsid w:val="00055DA3"/>
    <w:rsid w:val="000634B4"/>
    <w:rsid w:val="0007006A"/>
    <w:rsid w:val="00070D24"/>
    <w:rsid w:val="000761F7"/>
    <w:rsid w:val="00076DFA"/>
    <w:rsid w:val="00081F9C"/>
    <w:rsid w:val="000862DF"/>
    <w:rsid w:val="000873D4"/>
    <w:rsid w:val="0008744A"/>
    <w:rsid w:val="00091BA0"/>
    <w:rsid w:val="00092304"/>
    <w:rsid w:val="000A0E22"/>
    <w:rsid w:val="000A24D5"/>
    <w:rsid w:val="000B0915"/>
    <w:rsid w:val="000B6DE6"/>
    <w:rsid w:val="000C2D7F"/>
    <w:rsid w:val="000C6828"/>
    <w:rsid w:val="000D3326"/>
    <w:rsid w:val="000D39C4"/>
    <w:rsid w:val="000D6A60"/>
    <w:rsid w:val="000E1DA4"/>
    <w:rsid w:val="000E5805"/>
    <w:rsid w:val="000F26EE"/>
    <w:rsid w:val="000F3DBB"/>
    <w:rsid w:val="000F58BD"/>
    <w:rsid w:val="000F676E"/>
    <w:rsid w:val="001033E2"/>
    <w:rsid w:val="0011115C"/>
    <w:rsid w:val="001114E2"/>
    <w:rsid w:val="00113948"/>
    <w:rsid w:val="00124BCF"/>
    <w:rsid w:val="0012586F"/>
    <w:rsid w:val="00125AE4"/>
    <w:rsid w:val="001308F0"/>
    <w:rsid w:val="00131A68"/>
    <w:rsid w:val="0013254C"/>
    <w:rsid w:val="00132BFB"/>
    <w:rsid w:val="0013421C"/>
    <w:rsid w:val="00134782"/>
    <w:rsid w:val="0013663E"/>
    <w:rsid w:val="00142BF2"/>
    <w:rsid w:val="001545C3"/>
    <w:rsid w:val="00162486"/>
    <w:rsid w:val="0016555D"/>
    <w:rsid w:val="00166828"/>
    <w:rsid w:val="001762A3"/>
    <w:rsid w:val="001776DB"/>
    <w:rsid w:val="00177990"/>
    <w:rsid w:val="001926AA"/>
    <w:rsid w:val="0019600D"/>
    <w:rsid w:val="001A39AD"/>
    <w:rsid w:val="001A557C"/>
    <w:rsid w:val="001B5293"/>
    <w:rsid w:val="001B6936"/>
    <w:rsid w:val="001C0E77"/>
    <w:rsid w:val="001C48B4"/>
    <w:rsid w:val="001C7FA0"/>
    <w:rsid w:val="001D001E"/>
    <w:rsid w:val="001D1A8A"/>
    <w:rsid w:val="001D2177"/>
    <w:rsid w:val="001D645C"/>
    <w:rsid w:val="001D7A21"/>
    <w:rsid w:val="001E0E84"/>
    <w:rsid w:val="001E1964"/>
    <w:rsid w:val="001F03F7"/>
    <w:rsid w:val="001F2656"/>
    <w:rsid w:val="0020205A"/>
    <w:rsid w:val="00202BDA"/>
    <w:rsid w:val="00212556"/>
    <w:rsid w:val="00213735"/>
    <w:rsid w:val="00215D42"/>
    <w:rsid w:val="00215DB5"/>
    <w:rsid w:val="002229F4"/>
    <w:rsid w:val="00224DA6"/>
    <w:rsid w:val="00225ABF"/>
    <w:rsid w:val="00231ECF"/>
    <w:rsid w:val="00232F26"/>
    <w:rsid w:val="00240E9B"/>
    <w:rsid w:val="00240FAF"/>
    <w:rsid w:val="002427F7"/>
    <w:rsid w:val="00245AF1"/>
    <w:rsid w:val="00255A54"/>
    <w:rsid w:val="00255D59"/>
    <w:rsid w:val="00265B00"/>
    <w:rsid w:val="0027062F"/>
    <w:rsid w:val="00277DD7"/>
    <w:rsid w:val="00280080"/>
    <w:rsid w:val="002804AE"/>
    <w:rsid w:val="00282462"/>
    <w:rsid w:val="002826F6"/>
    <w:rsid w:val="00292FF2"/>
    <w:rsid w:val="0029376F"/>
    <w:rsid w:val="00293F68"/>
    <w:rsid w:val="002A5B78"/>
    <w:rsid w:val="002B0670"/>
    <w:rsid w:val="002B7587"/>
    <w:rsid w:val="002B7661"/>
    <w:rsid w:val="002D16FE"/>
    <w:rsid w:val="002D20B1"/>
    <w:rsid w:val="002D5A77"/>
    <w:rsid w:val="002E2895"/>
    <w:rsid w:val="002E3D00"/>
    <w:rsid w:val="002E6DCC"/>
    <w:rsid w:val="002F747B"/>
    <w:rsid w:val="00305DAF"/>
    <w:rsid w:val="00306C8C"/>
    <w:rsid w:val="0031043B"/>
    <w:rsid w:val="0031158A"/>
    <w:rsid w:val="00311A4C"/>
    <w:rsid w:val="00314113"/>
    <w:rsid w:val="003214FF"/>
    <w:rsid w:val="00322BC5"/>
    <w:rsid w:val="00333529"/>
    <w:rsid w:val="003335D4"/>
    <w:rsid w:val="00340328"/>
    <w:rsid w:val="003430A1"/>
    <w:rsid w:val="003443FA"/>
    <w:rsid w:val="003545F9"/>
    <w:rsid w:val="00355AC7"/>
    <w:rsid w:val="00356C08"/>
    <w:rsid w:val="00357096"/>
    <w:rsid w:val="00366E3A"/>
    <w:rsid w:val="003744F6"/>
    <w:rsid w:val="003755B6"/>
    <w:rsid w:val="00376018"/>
    <w:rsid w:val="003765FB"/>
    <w:rsid w:val="00383607"/>
    <w:rsid w:val="00387551"/>
    <w:rsid w:val="00397A3F"/>
    <w:rsid w:val="003A3ADE"/>
    <w:rsid w:val="003B1CCA"/>
    <w:rsid w:val="003B3753"/>
    <w:rsid w:val="003B5578"/>
    <w:rsid w:val="003B7024"/>
    <w:rsid w:val="003C0972"/>
    <w:rsid w:val="003C37CB"/>
    <w:rsid w:val="003C4252"/>
    <w:rsid w:val="003C4563"/>
    <w:rsid w:val="003D0D02"/>
    <w:rsid w:val="003D0DF5"/>
    <w:rsid w:val="003D454A"/>
    <w:rsid w:val="003D4D5D"/>
    <w:rsid w:val="003D5EF7"/>
    <w:rsid w:val="003D66FF"/>
    <w:rsid w:val="003F2D3E"/>
    <w:rsid w:val="003F2F66"/>
    <w:rsid w:val="003F403A"/>
    <w:rsid w:val="003F67B8"/>
    <w:rsid w:val="00405A7D"/>
    <w:rsid w:val="00406DFA"/>
    <w:rsid w:val="004140FD"/>
    <w:rsid w:val="00420C75"/>
    <w:rsid w:val="00422A1E"/>
    <w:rsid w:val="00427F1A"/>
    <w:rsid w:val="00431CEF"/>
    <w:rsid w:val="00434DDB"/>
    <w:rsid w:val="00442F1B"/>
    <w:rsid w:val="00444F94"/>
    <w:rsid w:val="00446077"/>
    <w:rsid w:val="00451B69"/>
    <w:rsid w:val="00457795"/>
    <w:rsid w:val="00460378"/>
    <w:rsid w:val="0047136F"/>
    <w:rsid w:val="00482072"/>
    <w:rsid w:val="00482F38"/>
    <w:rsid w:val="00486F55"/>
    <w:rsid w:val="0049123C"/>
    <w:rsid w:val="00491356"/>
    <w:rsid w:val="00495A94"/>
    <w:rsid w:val="004A0F02"/>
    <w:rsid w:val="004A7525"/>
    <w:rsid w:val="004B0D39"/>
    <w:rsid w:val="004B47DB"/>
    <w:rsid w:val="004B5A8D"/>
    <w:rsid w:val="004C1BF6"/>
    <w:rsid w:val="004C5563"/>
    <w:rsid w:val="004C6E94"/>
    <w:rsid w:val="004D2F89"/>
    <w:rsid w:val="004E2784"/>
    <w:rsid w:val="004E5496"/>
    <w:rsid w:val="004F415F"/>
    <w:rsid w:val="004F6631"/>
    <w:rsid w:val="0050571F"/>
    <w:rsid w:val="00506215"/>
    <w:rsid w:val="005167A3"/>
    <w:rsid w:val="00532FF9"/>
    <w:rsid w:val="00534C42"/>
    <w:rsid w:val="00540577"/>
    <w:rsid w:val="00541639"/>
    <w:rsid w:val="00544269"/>
    <w:rsid w:val="00555575"/>
    <w:rsid w:val="00555695"/>
    <w:rsid w:val="005560D4"/>
    <w:rsid w:val="0056130C"/>
    <w:rsid w:val="0057741D"/>
    <w:rsid w:val="005776B5"/>
    <w:rsid w:val="0058248C"/>
    <w:rsid w:val="00582770"/>
    <w:rsid w:val="00583051"/>
    <w:rsid w:val="00584F60"/>
    <w:rsid w:val="0058539D"/>
    <w:rsid w:val="005A1F08"/>
    <w:rsid w:val="005A1FAE"/>
    <w:rsid w:val="005A4D41"/>
    <w:rsid w:val="005B42F2"/>
    <w:rsid w:val="005C3C1E"/>
    <w:rsid w:val="005C5AD3"/>
    <w:rsid w:val="005C7525"/>
    <w:rsid w:val="005D0764"/>
    <w:rsid w:val="005D4A4C"/>
    <w:rsid w:val="005D69CE"/>
    <w:rsid w:val="005E26F7"/>
    <w:rsid w:val="005E6827"/>
    <w:rsid w:val="005E70B5"/>
    <w:rsid w:val="005F097F"/>
    <w:rsid w:val="005F1F3E"/>
    <w:rsid w:val="005F2C3A"/>
    <w:rsid w:val="005F6F53"/>
    <w:rsid w:val="006003E1"/>
    <w:rsid w:val="006024CC"/>
    <w:rsid w:val="00610F61"/>
    <w:rsid w:val="00621733"/>
    <w:rsid w:val="00623406"/>
    <w:rsid w:val="00625F81"/>
    <w:rsid w:val="00626AD4"/>
    <w:rsid w:val="00630513"/>
    <w:rsid w:val="00634795"/>
    <w:rsid w:val="00635D8E"/>
    <w:rsid w:val="0064035A"/>
    <w:rsid w:val="00643DDF"/>
    <w:rsid w:val="00647396"/>
    <w:rsid w:val="006570BF"/>
    <w:rsid w:val="00661CDC"/>
    <w:rsid w:val="00664CF3"/>
    <w:rsid w:val="00666038"/>
    <w:rsid w:val="006727C5"/>
    <w:rsid w:val="006764D4"/>
    <w:rsid w:val="00684322"/>
    <w:rsid w:val="00686A71"/>
    <w:rsid w:val="006A112C"/>
    <w:rsid w:val="006A4E92"/>
    <w:rsid w:val="006A7450"/>
    <w:rsid w:val="006B2C49"/>
    <w:rsid w:val="006C05C4"/>
    <w:rsid w:val="006E577D"/>
    <w:rsid w:val="006F1984"/>
    <w:rsid w:val="006F549E"/>
    <w:rsid w:val="006F7A59"/>
    <w:rsid w:val="0070116A"/>
    <w:rsid w:val="007136D4"/>
    <w:rsid w:val="007175E8"/>
    <w:rsid w:val="00717EAC"/>
    <w:rsid w:val="007305E3"/>
    <w:rsid w:val="00735940"/>
    <w:rsid w:val="00736461"/>
    <w:rsid w:val="00736732"/>
    <w:rsid w:val="00736A4E"/>
    <w:rsid w:val="00737B8B"/>
    <w:rsid w:val="00740A87"/>
    <w:rsid w:val="00741664"/>
    <w:rsid w:val="00745D20"/>
    <w:rsid w:val="00747901"/>
    <w:rsid w:val="00747D17"/>
    <w:rsid w:val="0075231A"/>
    <w:rsid w:val="007620C0"/>
    <w:rsid w:val="00764814"/>
    <w:rsid w:val="00764B37"/>
    <w:rsid w:val="0076780F"/>
    <w:rsid w:val="00770E9C"/>
    <w:rsid w:val="00773F55"/>
    <w:rsid w:val="00780AF3"/>
    <w:rsid w:val="007846D2"/>
    <w:rsid w:val="00784C56"/>
    <w:rsid w:val="0079202B"/>
    <w:rsid w:val="00795BE7"/>
    <w:rsid w:val="00796644"/>
    <w:rsid w:val="007A2932"/>
    <w:rsid w:val="007A62AC"/>
    <w:rsid w:val="007B4F47"/>
    <w:rsid w:val="007B789E"/>
    <w:rsid w:val="007E3A74"/>
    <w:rsid w:val="007E7D13"/>
    <w:rsid w:val="007F7043"/>
    <w:rsid w:val="00800ACF"/>
    <w:rsid w:val="00803110"/>
    <w:rsid w:val="00805C25"/>
    <w:rsid w:val="008072D2"/>
    <w:rsid w:val="00815713"/>
    <w:rsid w:val="0082425B"/>
    <w:rsid w:val="008254A1"/>
    <w:rsid w:val="00825D9A"/>
    <w:rsid w:val="00841DD6"/>
    <w:rsid w:val="008448EA"/>
    <w:rsid w:val="008460C6"/>
    <w:rsid w:val="008508E2"/>
    <w:rsid w:val="008509E3"/>
    <w:rsid w:val="008516E4"/>
    <w:rsid w:val="00857310"/>
    <w:rsid w:val="0085749E"/>
    <w:rsid w:val="008650DD"/>
    <w:rsid w:val="00866D8B"/>
    <w:rsid w:val="00871D8E"/>
    <w:rsid w:val="00872E85"/>
    <w:rsid w:val="008811E5"/>
    <w:rsid w:val="00884570"/>
    <w:rsid w:val="00884C4E"/>
    <w:rsid w:val="00890E4C"/>
    <w:rsid w:val="00891870"/>
    <w:rsid w:val="00891B82"/>
    <w:rsid w:val="0089351B"/>
    <w:rsid w:val="00894FE8"/>
    <w:rsid w:val="008A1DC8"/>
    <w:rsid w:val="008A515A"/>
    <w:rsid w:val="008C09B2"/>
    <w:rsid w:val="008D3E81"/>
    <w:rsid w:val="008D456D"/>
    <w:rsid w:val="008E1744"/>
    <w:rsid w:val="008E513F"/>
    <w:rsid w:val="008E6348"/>
    <w:rsid w:val="008E7C12"/>
    <w:rsid w:val="008F2D01"/>
    <w:rsid w:val="008F46A2"/>
    <w:rsid w:val="008F4EAA"/>
    <w:rsid w:val="00900B7E"/>
    <w:rsid w:val="009010CD"/>
    <w:rsid w:val="009013B8"/>
    <w:rsid w:val="0090210A"/>
    <w:rsid w:val="00903EF0"/>
    <w:rsid w:val="00905F80"/>
    <w:rsid w:val="00911EA5"/>
    <w:rsid w:val="00912253"/>
    <w:rsid w:val="009140DC"/>
    <w:rsid w:val="00915242"/>
    <w:rsid w:val="00917987"/>
    <w:rsid w:val="0092159B"/>
    <w:rsid w:val="00922A56"/>
    <w:rsid w:val="009236E4"/>
    <w:rsid w:val="00937839"/>
    <w:rsid w:val="009413B9"/>
    <w:rsid w:val="0094174C"/>
    <w:rsid w:val="0094283C"/>
    <w:rsid w:val="00950340"/>
    <w:rsid w:val="00951A6D"/>
    <w:rsid w:val="00953892"/>
    <w:rsid w:val="009541FE"/>
    <w:rsid w:val="0095654C"/>
    <w:rsid w:val="00956A2E"/>
    <w:rsid w:val="009711D7"/>
    <w:rsid w:val="00977BBA"/>
    <w:rsid w:val="00991598"/>
    <w:rsid w:val="00993A23"/>
    <w:rsid w:val="00994838"/>
    <w:rsid w:val="00996189"/>
    <w:rsid w:val="00996C4C"/>
    <w:rsid w:val="009B2E9E"/>
    <w:rsid w:val="009B3463"/>
    <w:rsid w:val="009B4340"/>
    <w:rsid w:val="009C05FF"/>
    <w:rsid w:val="009C3EB6"/>
    <w:rsid w:val="009C4AE1"/>
    <w:rsid w:val="009C6D89"/>
    <w:rsid w:val="009E3766"/>
    <w:rsid w:val="009E709C"/>
    <w:rsid w:val="009F1648"/>
    <w:rsid w:val="009F2569"/>
    <w:rsid w:val="009F4DC3"/>
    <w:rsid w:val="009F6FF9"/>
    <w:rsid w:val="00A11BF7"/>
    <w:rsid w:val="00A1231D"/>
    <w:rsid w:val="00A146E4"/>
    <w:rsid w:val="00A1566E"/>
    <w:rsid w:val="00A15B9D"/>
    <w:rsid w:val="00A214B6"/>
    <w:rsid w:val="00A215BC"/>
    <w:rsid w:val="00A222B3"/>
    <w:rsid w:val="00A265D1"/>
    <w:rsid w:val="00A34B42"/>
    <w:rsid w:val="00A37D33"/>
    <w:rsid w:val="00A43985"/>
    <w:rsid w:val="00A52C6C"/>
    <w:rsid w:val="00A53322"/>
    <w:rsid w:val="00A5556A"/>
    <w:rsid w:val="00A55FEF"/>
    <w:rsid w:val="00A57987"/>
    <w:rsid w:val="00A654DA"/>
    <w:rsid w:val="00A66F77"/>
    <w:rsid w:val="00A70328"/>
    <w:rsid w:val="00A727A6"/>
    <w:rsid w:val="00A741F6"/>
    <w:rsid w:val="00A74520"/>
    <w:rsid w:val="00A76DE0"/>
    <w:rsid w:val="00A8311B"/>
    <w:rsid w:val="00A84477"/>
    <w:rsid w:val="00A869D1"/>
    <w:rsid w:val="00A90C6C"/>
    <w:rsid w:val="00A92E8F"/>
    <w:rsid w:val="00A936C7"/>
    <w:rsid w:val="00AA3428"/>
    <w:rsid w:val="00AA4712"/>
    <w:rsid w:val="00AA520E"/>
    <w:rsid w:val="00AB5E0B"/>
    <w:rsid w:val="00AB7928"/>
    <w:rsid w:val="00AC7749"/>
    <w:rsid w:val="00AD45E5"/>
    <w:rsid w:val="00AD7143"/>
    <w:rsid w:val="00AD7D26"/>
    <w:rsid w:val="00AD7D67"/>
    <w:rsid w:val="00AE29D5"/>
    <w:rsid w:val="00AE3232"/>
    <w:rsid w:val="00AE54E5"/>
    <w:rsid w:val="00AE7099"/>
    <w:rsid w:val="00AE7910"/>
    <w:rsid w:val="00AF0BB8"/>
    <w:rsid w:val="00AF2A00"/>
    <w:rsid w:val="00AF66E1"/>
    <w:rsid w:val="00AF69C8"/>
    <w:rsid w:val="00B0021D"/>
    <w:rsid w:val="00B01B9F"/>
    <w:rsid w:val="00B06020"/>
    <w:rsid w:val="00B060CE"/>
    <w:rsid w:val="00B06FE3"/>
    <w:rsid w:val="00B133D8"/>
    <w:rsid w:val="00B156A3"/>
    <w:rsid w:val="00B2005E"/>
    <w:rsid w:val="00B217FF"/>
    <w:rsid w:val="00B257D5"/>
    <w:rsid w:val="00B3037E"/>
    <w:rsid w:val="00B31BD7"/>
    <w:rsid w:val="00B32D04"/>
    <w:rsid w:val="00B4382C"/>
    <w:rsid w:val="00B4499D"/>
    <w:rsid w:val="00B47580"/>
    <w:rsid w:val="00B514EF"/>
    <w:rsid w:val="00B51DD2"/>
    <w:rsid w:val="00B53F77"/>
    <w:rsid w:val="00B63273"/>
    <w:rsid w:val="00B63536"/>
    <w:rsid w:val="00B65A3C"/>
    <w:rsid w:val="00B7132D"/>
    <w:rsid w:val="00B72AF9"/>
    <w:rsid w:val="00B74806"/>
    <w:rsid w:val="00B74D7C"/>
    <w:rsid w:val="00B87BCD"/>
    <w:rsid w:val="00B91568"/>
    <w:rsid w:val="00B92B13"/>
    <w:rsid w:val="00B93A94"/>
    <w:rsid w:val="00B95A7E"/>
    <w:rsid w:val="00B96E2E"/>
    <w:rsid w:val="00B97786"/>
    <w:rsid w:val="00BA3BF9"/>
    <w:rsid w:val="00BB259C"/>
    <w:rsid w:val="00BB5EE2"/>
    <w:rsid w:val="00BC1C43"/>
    <w:rsid w:val="00BC3B6D"/>
    <w:rsid w:val="00BC6BA5"/>
    <w:rsid w:val="00BD0DF7"/>
    <w:rsid w:val="00BE0D81"/>
    <w:rsid w:val="00BE4981"/>
    <w:rsid w:val="00BE6CF3"/>
    <w:rsid w:val="00BF4BE7"/>
    <w:rsid w:val="00BF6561"/>
    <w:rsid w:val="00C11BBF"/>
    <w:rsid w:val="00C1207D"/>
    <w:rsid w:val="00C14061"/>
    <w:rsid w:val="00C15BDE"/>
    <w:rsid w:val="00C20849"/>
    <w:rsid w:val="00C2296D"/>
    <w:rsid w:val="00C2412D"/>
    <w:rsid w:val="00C31F97"/>
    <w:rsid w:val="00C37A0B"/>
    <w:rsid w:val="00C4079B"/>
    <w:rsid w:val="00C45CDA"/>
    <w:rsid w:val="00C53DD1"/>
    <w:rsid w:val="00C60320"/>
    <w:rsid w:val="00C60B60"/>
    <w:rsid w:val="00C63C93"/>
    <w:rsid w:val="00C64ADA"/>
    <w:rsid w:val="00C737AB"/>
    <w:rsid w:val="00C73F66"/>
    <w:rsid w:val="00C82D23"/>
    <w:rsid w:val="00C84F04"/>
    <w:rsid w:val="00C957FB"/>
    <w:rsid w:val="00C97548"/>
    <w:rsid w:val="00CA2879"/>
    <w:rsid w:val="00CA369C"/>
    <w:rsid w:val="00CA37E9"/>
    <w:rsid w:val="00CA4C4C"/>
    <w:rsid w:val="00CA5EA8"/>
    <w:rsid w:val="00CC2C1C"/>
    <w:rsid w:val="00CD0E53"/>
    <w:rsid w:val="00CE49DF"/>
    <w:rsid w:val="00CE51FE"/>
    <w:rsid w:val="00CE7495"/>
    <w:rsid w:val="00CF2773"/>
    <w:rsid w:val="00CF3208"/>
    <w:rsid w:val="00CF33AC"/>
    <w:rsid w:val="00D039B8"/>
    <w:rsid w:val="00D07441"/>
    <w:rsid w:val="00D11DBF"/>
    <w:rsid w:val="00D147E9"/>
    <w:rsid w:val="00D201DE"/>
    <w:rsid w:val="00D2068F"/>
    <w:rsid w:val="00D216D8"/>
    <w:rsid w:val="00D226CF"/>
    <w:rsid w:val="00D247C1"/>
    <w:rsid w:val="00D3113E"/>
    <w:rsid w:val="00D40845"/>
    <w:rsid w:val="00D40908"/>
    <w:rsid w:val="00D44F77"/>
    <w:rsid w:val="00D5126E"/>
    <w:rsid w:val="00D51484"/>
    <w:rsid w:val="00D6258C"/>
    <w:rsid w:val="00D72D9B"/>
    <w:rsid w:val="00D74398"/>
    <w:rsid w:val="00D826C0"/>
    <w:rsid w:val="00D82DC6"/>
    <w:rsid w:val="00D8569F"/>
    <w:rsid w:val="00D862EA"/>
    <w:rsid w:val="00D93C5B"/>
    <w:rsid w:val="00D9477D"/>
    <w:rsid w:val="00DA5B1C"/>
    <w:rsid w:val="00DA7D30"/>
    <w:rsid w:val="00DB7794"/>
    <w:rsid w:val="00DC59CE"/>
    <w:rsid w:val="00DC78E3"/>
    <w:rsid w:val="00DE3880"/>
    <w:rsid w:val="00DE4D4E"/>
    <w:rsid w:val="00DF06CE"/>
    <w:rsid w:val="00DF2682"/>
    <w:rsid w:val="00DF3139"/>
    <w:rsid w:val="00E055A0"/>
    <w:rsid w:val="00E103C0"/>
    <w:rsid w:val="00E1156E"/>
    <w:rsid w:val="00E136F0"/>
    <w:rsid w:val="00E153B9"/>
    <w:rsid w:val="00E23C83"/>
    <w:rsid w:val="00E2539D"/>
    <w:rsid w:val="00E337FB"/>
    <w:rsid w:val="00E42847"/>
    <w:rsid w:val="00E4320B"/>
    <w:rsid w:val="00E52717"/>
    <w:rsid w:val="00E53126"/>
    <w:rsid w:val="00E56BF4"/>
    <w:rsid w:val="00E60793"/>
    <w:rsid w:val="00E6698C"/>
    <w:rsid w:val="00E671BD"/>
    <w:rsid w:val="00E702AF"/>
    <w:rsid w:val="00E70DC3"/>
    <w:rsid w:val="00E73BBB"/>
    <w:rsid w:val="00E858AB"/>
    <w:rsid w:val="00E87588"/>
    <w:rsid w:val="00E96052"/>
    <w:rsid w:val="00E96860"/>
    <w:rsid w:val="00EA19AE"/>
    <w:rsid w:val="00EA6544"/>
    <w:rsid w:val="00EC0ED5"/>
    <w:rsid w:val="00EC2F62"/>
    <w:rsid w:val="00EC5272"/>
    <w:rsid w:val="00EC5951"/>
    <w:rsid w:val="00ED2991"/>
    <w:rsid w:val="00ED38F5"/>
    <w:rsid w:val="00EE0F06"/>
    <w:rsid w:val="00EE3290"/>
    <w:rsid w:val="00EE59F7"/>
    <w:rsid w:val="00EF0C83"/>
    <w:rsid w:val="00EF5422"/>
    <w:rsid w:val="00F00F7C"/>
    <w:rsid w:val="00F0179A"/>
    <w:rsid w:val="00F02CB6"/>
    <w:rsid w:val="00F11327"/>
    <w:rsid w:val="00F1564E"/>
    <w:rsid w:val="00F15834"/>
    <w:rsid w:val="00F26D8F"/>
    <w:rsid w:val="00F440F9"/>
    <w:rsid w:val="00F47249"/>
    <w:rsid w:val="00F71592"/>
    <w:rsid w:val="00F72D42"/>
    <w:rsid w:val="00F74617"/>
    <w:rsid w:val="00F74F76"/>
    <w:rsid w:val="00F93E03"/>
    <w:rsid w:val="00F94D38"/>
    <w:rsid w:val="00F95153"/>
    <w:rsid w:val="00FA7F8A"/>
    <w:rsid w:val="00FB42DC"/>
    <w:rsid w:val="00FC1DBC"/>
    <w:rsid w:val="00FC749C"/>
    <w:rsid w:val="00FD3D2D"/>
    <w:rsid w:val="00FD6889"/>
    <w:rsid w:val="00FE609D"/>
    <w:rsid w:val="00FE66BD"/>
    <w:rsid w:val="00FE6793"/>
    <w:rsid w:val="00FF0B7A"/>
    <w:rsid w:val="00FF2A32"/>
    <w:rsid w:val="00FF73E5"/>
    <w:rsid w:val="056344A2"/>
    <w:rsid w:val="078134E7"/>
    <w:rsid w:val="07DB7E85"/>
    <w:rsid w:val="10F94679"/>
    <w:rsid w:val="14E9696D"/>
    <w:rsid w:val="1F430FDA"/>
    <w:rsid w:val="220F17BB"/>
    <w:rsid w:val="28ED1019"/>
    <w:rsid w:val="2E2409AC"/>
    <w:rsid w:val="35A8489B"/>
    <w:rsid w:val="367831D9"/>
    <w:rsid w:val="3A8116E2"/>
    <w:rsid w:val="3BFD1001"/>
    <w:rsid w:val="3E677AF3"/>
    <w:rsid w:val="3FB94A1C"/>
    <w:rsid w:val="5F911C8F"/>
    <w:rsid w:val="6245254A"/>
    <w:rsid w:val="62FA0D15"/>
    <w:rsid w:val="6F362633"/>
    <w:rsid w:val="7FC13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semiHidden="0" w:name="Normal Indent"/>
    <w:lsdException w:qFormat="1" w:unhideWhenUsed="0" w:uiPriority="0" w:semiHidden="0"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nhideWhenUsed="0" w:uiPriority="35"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qFormat="1" w:uiPriority="0" w:semiHidden="0"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7"/>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48"/>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9"/>
    <w:qFormat/>
    <w:uiPriority w:val="0"/>
    <w:pPr>
      <w:keepNext/>
      <w:keepLines/>
      <w:spacing w:before="260" w:after="260" w:line="416" w:lineRule="auto"/>
      <w:outlineLvl w:val="2"/>
    </w:pPr>
    <w:rPr>
      <w:b/>
      <w:bCs/>
      <w:sz w:val="32"/>
      <w:szCs w:val="32"/>
    </w:rPr>
  </w:style>
  <w:style w:type="paragraph" w:styleId="5">
    <w:name w:val="heading 4"/>
    <w:basedOn w:val="1"/>
    <w:next w:val="1"/>
    <w:link w:val="50"/>
    <w:qFormat/>
    <w:uiPriority w:val="0"/>
    <w:pPr>
      <w:keepNext/>
      <w:keepLines/>
      <w:spacing w:before="280" w:after="290" w:line="376" w:lineRule="auto"/>
      <w:outlineLvl w:val="3"/>
    </w:pPr>
    <w:rPr>
      <w:rFonts w:ascii="Cambria" w:hAnsi="Cambria" w:cs="黑体"/>
      <w:b/>
      <w:bCs/>
      <w:sz w:val="28"/>
      <w:szCs w:val="28"/>
    </w:rPr>
  </w:style>
  <w:style w:type="paragraph" w:styleId="6">
    <w:name w:val="heading 6"/>
    <w:basedOn w:val="1"/>
    <w:next w:val="1"/>
    <w:link w:val="83"/>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84"/>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85"/>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86"/>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rPr>
      <w:rFonts w:ascii="Calibri" w:hAnsi="Calibri"/>
      <w:szCs w:val="22"/>
    </w:rPr>
  </w:style>
  <w:style w:type="paragraph" w:styleId="11">
    <w:name w:val="Normal Indent"/>
    <w:basedOn w:val="1"/>
    <w:unhideWhenUsed/>
    <w:qFormat/>
    <w:uiPriority w:val="0"/>
    <w:pPr>
      <w:ind w:firstLine="420" w:firstLineChars="200"/>
    </w:pPr>
  </w:style>
  <w:style w:type="paragraph" w:styleId="12">
    <w:name w:val="caption"/>
    <w:basedOn w:val="1"/>
    <w:next w:val="1"/>
    <w:qFormat/>
    <w:uiPriority w:val="35"/>
    <w:rPr>
      <w:rFonts w:ascii="Cambria" w:hAnsi="Cambria" w:eastAsia="黑体"/>
      <w:sz w:val="20"/>
      <w:szCs w:val="20"/>
    </w:rPr>
  </w:style>
  <w:style w:type="paragraph" w:styleId="13">
    <w:name w:val="Document Map"/>
    <w:basedOn w:val="1"/>
    <w:link w:val="77"/>
    <w:unhideWhenUsed/>
    <w:qFormat/>
    <w:uiPriority w:val="99"/>
    <w:rPr>
      <w:rFonts w:ascii="宋体" w:hAnsiTheme="minorHAnsi" w:eastAsiaTheme="minorEastAsia" w:cstheme="minorBidi"/>
      <w:sz w:val="18"/>
      <w:szCs w:val="18"/>
    </w:rPr>
  </w:style>
  <w:style w:type="paragraph" w:styleId="14">
    <w:name w:val="annotation text"/>
    <w:basedOn w:val="1"/>
    <w:link w:val="61"/>
    <w:unhideWhenUsed/>
    <w:qFormat/>
    <w:uiPriority w:val="0"/>
    <w:pPr>
      <w:jc w:val="left"/>
    </w:pPr>
  </w:style>
  <w:style w:type="paragraph" w:styleId="15">
    <w:name w:val="Body Text 3"/>
    <w:basedOn w:val="1"/>
    <w:link w:val="57"/>
    <w:unhideWhenUsed/>
    <w:qFormat/>
    <w:uiPriority w:val="0"/>
    <w:rPr>
      <w:rFonts w:ascii="宋体" w:hAnsiTheme="minorHAnsi" w:eastAsiaTheme="minorEastAsia" w:cstheme="minorBidi"/>
      <w:sz w:val="24"/>
      <w:szCs w:val="22"/>
    </w:rPr>
  </w:style>
  <w:style w:type="paragraph" w:styleId="16">
    <w:name w:val="Body Text"/>
    <w:basedOn w:val="1"/>
    <w:link w:val="67"/>
    <w:unhideWhenUsed/>
    <w:qFormat/>
    <w:uiPriority w:val="0"/>
    <w:rPr>
      <w:sz w:val="28"/>
      <w:szCs w:val="20"/>
    </w:rPr>
  </w:style>
  <w:style w:type="paragraph" w:styleId="17">
    <w:name w:val="Body Text Indent"/>
    <w:basedOn w:val="1"/>
    <w:link w:val="64"/>
    <w:unhideWhenUsed/>
    <w:qFormat/>
    <w:uiPriority w:val="0"/>
    <w:pPr>
      <w:ind w:firstLine="489" w:firstLineChars="178"/>
    </w:pPr>
    <w:rPr>
      <w:sz w:val="28"/>
      <w:szCs w:val="28"/>
    </w:rPr>
  </w:style>
  <w:style w:type="paragraph" w:styleId="18">
    <w:name w:val="toc 5"/>
    <w:basedOn w:val="1"/>
    <w:next w:val="1"/>
    <w:unhideWhenUsed/>
    <w:qFormat/>
    <w:uiPriority w:val="39"/>
    <w:pPr>
      <w:ind w:left="1680" w:leftChars="800"/>
    </w:pPr>
    <w:rPr>
      <w:rFonts w:ascii="Calibri" w:hAnsi="Calibri"/>
      <w:szCs w:val="22"/>
    </w:rPr>
  </w:style>
  <w:style w:type="paragraph" w:styleId="19">
    <w:name w:val="toc 3"/>
    <w:basedOn w:val="1"/>
    <w:next w:val="1"/>
    <w:unhideWhenUsed/>
    <w:qFormat/>
    <w:uiPriority w:val="39"/>
    <w:pPr>
      <w:ind w:left="840" w:leftChars="400"/>
    </w:pPr>
  </w:style>
  <w:style w:type="paragraph" w:styleId="20">
    <w:name w:val="Plain Text"/>
    <w:basedOn w:val="1"/>
    <w:link w:val="59"/>
    <w:unhideWhenUsed/>
    <w:qFormat/>
    <w:uiPriority w:val="0"/>
    <w:rPr>
      <w:rFonts w:ascii="Courier New" w:hAnsi="Courier New" w:eastAsiaTheme="minorEastAsia" w:cstheme="minorBidi"/>
      <w:szCs w:val="22"/>
    </w:rPr>
  </w:style>
  <w:style w:type="paragraph" w:styleId="21">
    <w:name w:val="toc 8"/>
    <w:basedOn w:val="1"/>
    <w:next w:val="1"/>
    <w:unhideWhenUsed/>
    <w:qFormat/>
    <w:uiPriority w:val="39"/>
    <w:pPr>
      <w:ind w:left="2940" w:leftChars="1400"/>
    </w:pPr>
    <w:rPr>
      <w:rFonts w:ascii="Calibri" w:hAnsi="Calibri"/>
      <w:szCs w:val="22"/>
    </w:rPr>
  </w:style>
  <w:style w:type="paragraph" w:styleId="22">
    <w:name w:val="Date"/>
    <w:basedOn w:val="1"/>
    <w:next w:val="1"/>
    <w:link w:val="76"/>
    <w:unhideWhenUsed/>
    <w:qFormat/>
    <w:uiPriority w:val="99"/>
    <w:pPr>
      <w:ind w:left="100" w:leftChars="2500"/>
    </w:pPr>
    <w:rPr>
      <w:rFonts w:asciiTheme="minorHAnsi" w:hAnsiTheme="minorHAnsi" w:eastAsiaTheme="minorEastAsia" w:cstheme="minorBidi"/>
    </w:rPr>
  </w:style>
  <w:style w:type="paragraph" w:styleId="23">
    <w:name w:val="Balloon Text"/>
    <w:basedOn w:val="1"/>
    <w:link w:val="60"/>
    <w:unhideWhenUsed/>
    <w:qFormat/>
    <w:uiPriority w:val="99"/>
    <w:rPr>
      <w:rFonts w:asciiTheme="minorHAnsi" w:hAnsiTheme="minorHAnsi" w:eastAsiaTheme="minorEastAsia" w:cstheme="minorBidi"/>
      <w:sz w:val="18"/>
      <w:szCs w:val="18"/>
    </w:rPr>
  </w:style>
  <w:style w:type="paragraph" w:styleId="24">
    <w:name w:val="footer"/>
    <w:basedOn w:val="1"/>
    <w:link w:val="4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25">
    <w:name w:val="header"/>
    <w:basedOn w:val="1"/>
    <w:link w:val="45"/>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26">
    <w:name w:val="toc 1"/>
    <w:basedOn w:val="1"/>
    <w:next w:val="1"/>
    <w:unhideWhenUsed/>
    <w:qFormat/>
    <w:uiPriority w:val="39"/>
    <w:pPr>
      <w:spacing w:before="120" w:after="120"/>
      <w:jc w:val="left"/>
    </w:pPr>
    <w:rPr>
      <w:b/>
      <w:bCs/>
      <w:caps/>
      <w:sz w:val="20"/>
      <w:szCs w:val="20"/>
    </w:rPr>
  </w:style>
  <w:style w:type="paragraph" w:styleId="27">
    <w:name w:val="toc 4"/>
    <w:basedOn w:val="1"/>
    <w:next w:val="1"/>
    <w:unhideWhenUsed/>
    <w:qFormat/>
    <w:uiPriority w:val="39"/>
    <w:pPr>
      <w:ind w:left="1260" w:leftChars="600"/>
    </w:pPr>
    <w:rPr>
      <w:rFonts w:ascii="Calibri" w:hAnsi="Calibri"/>
      <w:szCs w:val="22"/>
    </w:rPr>
  </w:style>
  <w:style w:type="paragraph" w:styleId="28">
    <w:name w:val="footnote text"/>
    <w:basedOn w:val="1"/>
    <w:link w:val="103"/>
    <w:qFormat/>
    <w:uiPriority w:val="0"/>
    <w:rPr>
      <w:sz w:val="20"/>
      <w:szCs w:val="20"/>
    </w:rPr>
  </w:style>
  <w:style w:type="paragraph" w:styleId="29">
    <w:name w:val="toc 6"/>
    <w:basedOn w:val="1"/>
    <w:next w:val="1"/>
    <w:unhideWhenUsed/>
    <w:qFormat/>
    <w:uiPriority w:val="39"/>
    <w:pPr>
      <w:ind w:left="2100" w:leftChars="1000"/>
    </w:pPr>
    <w:rPr>
      <w:rFonts w:ascii="Calibri" w:hAnsi="Calibri"/>
      <w:szCs w:val="22"/>
    </w:rPr>
  </w:style>
  <w:style w:type="paragraph" w:styleId="30">
    <w:name w:val="Body Text Indent 3"/>
    <w:basedOn w:val="1"/>
    <w:link w:val="95"/>
    <w:qFormat/>
    <w:uiPriority w:val="0"/>
    <w:pPr>
      <w:spacing w:after="120"/>
      <w:ind w:left="420" w:leftChars="200"/>
    </w:pPr>
    <w:rPr>
      <w:sz w:val="16"/>
      <w:szCs w:val="16"/>
    </w:rPr>
  </w:style>
  <w:style w:type="paragraph" w:styleId="31">
    <w:name w:val="table of figures"/>
    <w:basedOn w:val="1"/>
    <w:next w:val="1"/>
    <w:qFormat/>
    <w:uiPriority w:val="0"/>
    <w:pPr>
      <w:ind w:left="200" w:leftChars="200" w:hanging="200" w:hangingChars="200"/>
    </w:pPr>
  </w:style>
  <w:style w:type="paragraph" w:styleId="32">
    <w:name w:val="toc 2"/>
    <w:basedOn w:val="1"/>
    <w:next w:val="1"/>
    <w:unhideWhenUsed/>
    <w:qFormat/>
    <w:uiPriority w:val="39"/>
    <w:pPr>
      <w:ind w:left="210"/>
      <w:jc w:val="left"/>
    </w:pPr>
    <w:rPr>
      <w:smallCaps/>
      <w:sz w:val="20"/>
      <w:szCs w:val="20"/>
    </w:rPr>
  </w:style>
  <w:style w:type="paragraph" w:styleId="33">
    <w:name w:val="toc 9"/>
    <w:basedOn w:val="1"/>
    <w:next w:val="1"/>
    <w:unhideWhenUsed/>
    <w:qFormat/>
    <w:uiPriority w:val="39"/>
    <w:pPr>
      <w:ind w:left="3360" w:leftChars="1600"/>
    </w:pPr>
    <w:rPr>
      <w:rFonts w:ascii="Calibri" w:hAnsi="Calibri"/>
      <w:szCs w:val="22"/>
    </w:rPr>
  </w:style>
  <w:style w:type="paragraph" w:styleId="34">
    <w:name w:val="Title"/>
    <w:basedOn w:val="1"/>
    <w:next w:val="1"/>
    <w:link w:val="80"/>
    <w:qFormat/>
    <w:uiPriority w:val="0"/>
    <w:pPr>
      <w:numPr>
        <w:ilvl w:val="1"/>
        <w:numId w:val="1"/>
      </w:numPr>
      <w:spacing w:before="240" w:after="60"/>
      <w:jc w:val="center"/>
      <w:outlineLvl w:val="0"/>
    </w:pPr>
    <w:rPr>
      <w:rFonts w:ascii="Cambria" w:hAnsi="Cambria"/>
      <w:b/>
      <w:bCs/>
      <w:sz w:val="32"/>
      <w:szCs w:val="32"/>
    </w:rPr>
  </w:style>
  <w:style w:type="paragraph" w:styleId="35">
    <w:name w:val="annotation subject"/>
    <w:basedOn w:val="14"/>
    <w:next w:val="14"/>
    <w:link w:val="58"/>
    <w:unhideWhenUsed/>
    <w:qFormat/>
    <w:uiPriority w:val="99"/>
    <w:rPr>
      <w:rFonts w:asciiTheme="minorHAnsi" w:hAnsiTheme="minorHAnsi" w:eastAsiaTheme="minorEastAsia" w:cstheme="minorBidi"/>
      <w:b/>
      <w:bCs/>
    </w:rPr>
  </w:style>
  <w:style w:type="table" w:styleId="37">
    <w:name w:val="Table Grid"/>
    <w:basedOn w:val="36"/>
    <w:unhideWhenUsed/>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basedOn w:val="38"/>
    <w:qFormat/>
    <w:uiPriority w:val="22"/>
    <w:rPr>
      <w:b/>
      <w:bCs/>
    </w:rPr>
  </w:style>
  <w:style w:type="character" w:styleId="40">
    <w:name w:val="page number"/>
    <w:unhideWhenUsed/>
    <w:qFormat/>
    <w:uiPriority w:val="0"/>
  </w:style>
  <w:style w:type="character" w:styleId="41">
    <w:name w:val="FollowedHyperlink"/>
    <w:unhideWhenUsed/>
    <w:qFormat/>
    <w:uiPriority w:val="0"/>
    <w:rPr>
      <w:color w:val="800080"/>
      <w:u w:val="single"/>
    </w:rPr>
  </w:style>
  <w:style w:type="character" w:styleId="42">
    <w:name w:val="Hyperlink"/>
    <w:unhideWhenUsed/>
    <w:qFormat/>
    <w:uiPriority w:val="99"/>
    <w:rPr>
      <w:color w:val="0000FF"/>
      <w:u w:val="single"/>
    </w:rPr>
  </w:style>
  <w:style w:type="character" w:styleId="43">
    <w:name w:val="annotation reference"/>
    <w:unhideWhenUsed/>
    <w:qFormat/>
    <w:uiPriority w:val="0"/>
    <w:rPr>
      <w:sz w:val="21"/>
      <w:szCs w:val="21"/>
    </w:rPr>
  </w:style>
  <w:style w:type="character" w:styleId="44">
    <w:name w:val="footnote reference"/>
    <w:qFormat/>
    <w:uiPriority w:val="0"/>
    <w:rPr>
      <w:vertAlign w:val="superscript"/>
    </w:rPr>
  </w:style>
  <w:style w:type="character" w:customStyle="1" w:styleId="45">
    <w:name w:val="页眉 字符"/>
    <w:basedOn w:val="38"/>
    <w:link w:val="25"/>
    <w:qFormat/>
    <w:uiPriority w:val="0"/>
    <w:rPr>
      <w:sz w:val="18"/>
      <w:szCs w:val="18"/>
    </w:rPr>
  </w:style>
  <w:style w:type="character" w:customStyle="1" w:styleId="46">
    <w:name w:val="页脚 字符1"/>
    <w:basedOn w:val="38"/>
    <w:link w:val="24"/>
    <w:qFormat/>
    <w:uiPriority w:val="99"/>
    <w:rPr>
      <w:sz w:val="18"/>
      <w:szCs w:val="18"/>
    </w:rPr>
  </w:style>
  <w:style w:type="character" w:customStyle="1" w:styleId="47">
    <w:name w:val="标题 1 字符"/>
    <w:basedOn w:val="38"/>
    <w:link w:val="2"/>
    <w:qFormat/>
    <w:uiPriority w:val="0"/>
    <w:rPr>
      <w:rFonts w:ascii="Times New Roman" w:hAnsi="Times New Roman" w:eastAsia="宋体" w:cs="Times New Roman"/>
      <w:b/>
      <w:bCs/>
      <w:kern w:val="44"/>
      <w:sz w:val="44"/>
      <w:szCs w:val="44"/>
    </w:rPr>
  </w:style>
  <w:style w:type="character" w:customStyle="1" w:styleId="48">
    <w:name w:val="标题 2 字符"/>
    <w:basedOn w:val="38"/>
    <w:link w:val="3"/>
    <w:qFormat/>
    <w:uiPriority w:val="9"/>
    <w:rPr>
      <w:rFonts w:ascii="Arial" w:hAnsi="Arial" w:eastAsia="黑体" w:cs="Times New Roman"/>
      <w:b/>
      <w:bCs/>
      <w:sz w:val="32"/>
      <w:szCs w:val="32"/>
    </w:rPr>
  </w:style>
  <w:style w:type="character" w:customStyle="1" w:styleId="49">
    <w:name w:val="标题 3 字符"/>
    <w:basedOn w:val="38"/>
    <w:link w:val="4"/>
    <w:qFormat/>
    <w:uiPriority w:val="0"/>
    <w:rPr>
      <w:rFonts w:ascii="Times New Roman" w:hAnsi="Times New Roman" w:eastAsia="宋体" w:cs="Times New Roman"/>
      <w:b/>
      <w:bCs/>
      <w:sz w:val="32"/>
      <w:szCs w:val="32"/>
    </w:rPr>
  </w:style>
  <w:style w:type="character" w:customStyle="1" w:styleId="50">
    <w:name w:val="标题 4 字符"/>
    <w:basedOn w:val="38"/>
    <w:link w:val="5"/>
    <w:qFormat/>
    <w:uiPriority w:val="0"/>
    <w:rPr>
      <w:rFonts w:ascii="Cambria" w:hAnsi="Cambria" w:eastAsia="宋体" w:cs="黑体"/>
      <w:b/>
      <w:bCs/>
      <w:sz w:val="28"/>
      <w:szCs w:val="28"/>
    </w:rPr>
  </w:style>
  <w:style w:type="character" w:customStyle="1" w:styleId="51">
    <w:name w:val="标题 6 Char"/>
    <w:basedOn w:val="38"/>
    <w:semiHidden/>
    <w:qFormat/>
    <w:uiPriority w:val="9"/>
    <w:rPr>
      <w:rFonts w:asciiTheme="majorHAnsi" w:hAnsiTheme="majorHAnsi" w:eastAsiaTheme="majorEastAsia" w:cstheme="majorBidi"/>
      <w:b/>
      <w:bCs/>
      <w:sz w:val="24"/>
      <w:szCs w:val="24"/>
    </w:rPr>
  </w:style>
  <w:style w:type="character" w:customStyle="1" w:styleId="52">
    <w:name w:val="标题 7 Char"/>
    <w:basedOn w:val="38"/>
    <w:semiHidden/>
    <w:qFormat/>
    <w:uiPriority w:val="9"/>
    <w:rPr>
      <w:rFonts w:ascii="Times New Roman" w:hAnsi="Times New Roman" w:eastAsia="宋体" w:cs="Times New Roman"/>
      <w:b/>
      <w:bCs/>
      <w:sz w:val="24"/>
      <w:szCs w:val="24"/>
    </w:rPr>
  </w:style>
  <w:style w:type="character" w:customStyle="1" w:styleId="53">
    <w:name w:val="标题 8 Char"/>
    <w:basedOn w:val="38"/>
    <w:semiHidden/>
    <w:qFormat/>
    <w:uiPriority w:val="9"/>
    <w:rPr>
      <w:rFonts w:asciiTheme="majorHAnsi" w:hAnsiTheme="majorHAnsi" w:eastAsiaTheme="majorEastAsia" w:cstheme="majorBidi"/>
      <w:sz w:val="24"/>
      <w:szCs w:val="24"/>
    </w:rPr>
  </w:style>
  <w:style w:type="character" w:customStyle="1" w:styleId="54">
    <w:name w:val="标题 9 Char"/>
    <w:basedOn w:val="38"/>
    <w:semiHidden/>
    <w:qFormat/>
    <w:uiPriority w:val="9"/>
    <w:rPr>
      <w:rFonts w:asciiTheme="majorHAnsi" w:hAnsiTheme="majorHAnsi" w:eastAsiaTheme="majorEastAsia" w:cstheme="majorBidi"/>
      <w:szCs w:val="21"/>
    </w:rPr>
  </w:style>
  <w:style w:type="character" w:customStyle="1" w:styleId="55">
    <w:name w:val="批注文字 Char1"/>
    <w:qFormat/>
    <w:uiPriority w:val="99"/>
    <w:rPr>
      <w:kern w:val="2"/>
      <w:sz w:val="21"/>
    </w:rPr>
  </w:style>
  <w:style w:type="character" w:customStyle="1" w:styleId="56">
    <w:name w:val="批注文字 Char"/>
    <w:qFormat/>
    <w:uiPriority w:val="0"/>
    <w:rPr>
      <w:rFonts w:ascii="Times New Roman" w:hAnsi="Times New Roman"/>
      <w:kern w:val="2"/>
      <w:sz w:val="21"/>
    </w:rPr>
  </w:style>
  <w:style w:type="character" w:customStyle="1" w:styleId="57">
    <w:name w:val="正文文本 3 字符"/>
    <w:link w:val="15"/>
    <w:qFormat/>
    <w:uiPriority w:val="0"/>
    <w:rPr>
      <w:rFonts w:ascii="宋体"/>
      <w:sz w:val="24"/>
    </w:rPr>
  </w:style>
  <w:style w:type="character" w:customStyle="1" w:styleId="58">
    <w:name w:val="批注主题 字符"/>
    <w:link w:val="35"/>
    <w:qFormat/>
    <w:uiPriority w:val="99"/>
    <w:rPr>
      <w:b/>
      <w:bCs/>
      <w:szCs w:val="24"/>
    </w:rPr>
  </w:style>
  <w:style w:type="character" w:customStyle="1" w:styleId="59">
    <w:name w:val="纯文本 字符"/>
    <w:link w:val="20"/>
    <w:qFormat/>
    <w:uiPriority w:val="0"/>
    <w:rPr>
      <w:rFonts w:ascii="Courier New" w:hAnsi="Courier New"/>
    </w:rPr>
  </w:style>
  <w:style w:type="character" w:customStyle="1" w:styleId="60">
    <w:name w:val="批注框文本 字符"/>
    <w:link w:val="23"/>
    <w:qFormat/>
    <w:uiPriority w:val="99"/>
    <w:rPr>
      <w:sz w:val="18"/>
      <w:szCs w:val="18"/>
    </w:rPr>
  </w:style>
  <w:style w:type="character" w:customStyle="1" w:styleId="61">
    <w:name w:val="批注文字 字符"/>
    <w:basedOn w:val="38"/>
    <w:link w:val="14"/>
    <w:semiHidden/>
    <w:qFormat/>
    <w:uiPriority w:val="99"/>
    <w:rPr>
      <w:rFonts w:ascii="Times New Roman" w:hAnsi="Times New Roman" w:eastAsia="宋体" w:cs="Times New Roman"/>
      <w:szCs w:val="24"/>
    </w:rPr>
  </w:style>
  <w:style w:type="character" w:customStyle="1" w:styleId="62">
    <w:name w:val="批注主题 Char1"/>
    <w:basedOn w:val="61"/>
    <w:semiHidden/>
    <w:qFormat/>
    <w:uiPriority w:val="99"/>
    <w:rPr>
      <w:rFonts w:ascii="Times New Roman" w:hAnsi="Times New Roman" w:eastAsia="宋体" w:cs="Times New Roman"/>
      <w:b/>
      <w:bCs/>
      <w:szCs w:val="24"/>
    </w:rPr>
  </w:style>
  <w:style w:type="character" w:customStyle="1" w:styleId="63">
    <w:name w:val="纯文本 Char1"/>
    <w:basedOn w:val="38"/>
    <w:semiHidden/>
    <w:qFormat/>
    <w:uiPriority w:val="99"/>
    <w:rPr>
      <w:rFonts w:ascii="宋体" w:hAnsi="Courier New" w:eastAsia="宋体" w:cs="Courier New"/>
      <w:szCs w:val="21"/>
    </w:rPr>
  </w:style>
  <w:style w:type="character" w:customStyle="1" w:styleId="64">
    <w:name w:val="正文文本缩进 字符"/>
    <w:basedOn w:val="38"/>
    <w:link w:val="17"/>
    <w:qFormat/>
    <w:uiPriority w:val="0"/>
    <w:rPr>
      <w:rFonts w:ascii="Times New Roman" w:hAnsi="Times New Roman" w:eastAsia="宋体" w:cs="Times New Roman"/>
      <w:sz w:val="28"/>
      <w:szCs w:val="28"/>
    </w:rPr>
  </w:style>
  <w:style w:type="character" w:customStyle="1" w:styleId="65">
    <w:name w:val="正文文本 3 Char1"/>
    <w:basedOn w:val="38"/>
    <w:semiHidden/>
    <w:qFormat/>
    <w:uiPriority w:val="99"/>
    <w:rPr>
      <w:rFonts w:ascii="Times New Roman" w:hAnsi="Times New Roman" w:eastAsia="宋体" w:cs="Times New Roman"/>
      <w:sz w:val="16"/>
      <w:szCs w:val="16"/>
    </w:rPr>
  </w:style>
  <w:style w:type="character" w:customStyle="1" w:styleId="66">
    <w:name w:val="批注框文本 Char1"/>
    <w:basedOn w:val="38"/>
    <w:semiHidden/>
    <w:qFormat/>
    <w:uiPriority w:val="99"/>
    <w:rPr>
      <w:rFonts w:ascii="Times New Roman" w:hAnsi="Times New Roman" w:eastAsia="宋体" w:cs="Times New Roman"/>
      <w:sz w:val="18"/>
      <w:szCs w:val="18"/>
    </w:rPr>
  </w:style>
  <w:style w:type="character" w:customStyle="1" w:styleId="67">
    <w:name w:val="正文文本 字符"/>
    <w:basedOn w:val="38"/>
    <w:link w:val="16"/>
    <w:qFormat/>
    <w:uiPriority w:val="0"/>
    <w:rPr>
      <w:rFonts w:ascii="Times New Roman" w:hAnsi="Times New Roman" w:eastAsia="宋体" w:cs="Times New Roman"/>
      <w:sz w:val="28"/>
      <w:szCs w:val="20"/>
    </w:rPr>
  </w:style>
  <w:style w:type="paragraph" w:customStyle="1" w:styleId="68">
    <w:name w:val="列出段落1"/>
    <w:basedOn w:val="1"/>
    <w:qFormat/>
    <w:uiPriority w:val="34"/>
    <w:pPr>
      <w:ind w:firstLine="420" w:firstLineChars="200"/>
    </w:pPr>
  </w:style>
  <w:style w:type="paragraph" w:customStyle="1" w:styleId="69">
    <w:name w:val="bt1bt1"/>
    <w:basedOn w:val="2"/>
    <w:qFormat/>
    <w:uiPriority w:val="0"/>
    <w:pPr>
      <w:spacing w:line="240" w:lineRule="auto"/>
      <w:jc w:val="center"/>
    </w:pPr>
    <w:rPr>
      <w:rFonts w:ascii="黑体" w:eastAsia="黑体"/>
      <w:b w:val="0"/>
      <w:sz w:val="36"/>
      <w:szCs w:val="36"/>
    </w:rPr>
  </w:style>
  <w:style w:type="paragraph" w:customStyle="1" w:styleId="70">
    <w:name w:val="节"/>
    <w:basedOn w:val="3"/>
    <w:qFormat/>
    <w:uiPriority w:val="0"/>
    <w:pPr>
      <w:numPr>
        <w:ilvl w:val="2"/>
        <w:numId w:val="1"/>
      </w:numPr>
      <w:tabs>
        <w:tab w:val="left" w:pos="360"/>
        <w:tab w:val="left" w:pos="576"/>
      </w:tabs>
      <w:spacing w:line="240" w:lineRule="auto"/>
      <w:ind w:left="840" w:hanging="420"/>
    </w:pPr>
    <w:rPr>
      <w:rFonts w:ascii="黑体"/>
      <w:b w:val="0"/>
      <w:sz w:val="28"/>
      <w:szCs w:val="28"/>
    </w:rPr>
  </w:style>
  <w:style w:type="paragraph" w:customStyle="1" w:styleId="7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7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7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74">
    <w:name w:val="样式1"/>
    <w:basedOn w:val="1"/>
    <w:qFormat/>
    <w:uiPriority w:val="0"/>
    <w:rPr>
      <w:szCs w:val="21"/>
      <w:lang w:val="zh-CN"/>
    </w:rPr>
  </w:style>
  <w:style w:type="paragraph" w:customStyle="1" w:styleId="75">
    <w:name w:val="Revision"/>
    <w:unhideWhenUsed/>
    <w:qFormat/>
    <w:uiPriority w:val="99"/>
    <w:rPr>
      <w:rFonts w:ascii="Times New Roman" w:hAnsi="Times New Roman" w:eastAsia="宋体" w:cs="Times New Roman"/>
      <w:kern w:val="2"/>
      <w:sz w:val="21"/>
      <w:szCs w:val="24"/>
      <w:lang w:val="en-US" w:eastAsia="zh-CN" w:bidi="ar-SA"/>
    </w:rPr>
  </w:style>
  <w:style w:type="character" w:customStyle="1" w:styleId="76">
    <w:name w:val="日期 字符"/>
    <w:link w:val="22"/>
    <w:qFormat/>
    <w:uiPriority w:val="99"/>
    <w:rPr>
      <w:szCs w:val="24"/>
    </w:rPr>
  </w:style>
  <w:style w:type="character" w:customStyle="1" w:styleId="77">
    <w:name w:val="文档结构图 字符"/>
    <w:link w:val="13"/>
    <w:qFormat/>
    <w:uiPriority w:val="99"/>
    <w:rPr>
      <w:rFonts w:ascii="宋体"/>
      <w:sz w:val="18"/>
      <w:szCs w:val="18"/>
    </w:rPr>
  </w:style>
  <w:style w:type="character" w:customStyle="1" w:styleId="78">
    <w:name w:val="日期 Char1"/>
    <w:basedOn w:val="38"/>
    <w:semiHidden/>
    <w:qFormat/>
    <w:uiPriority w:val="99"/>
    <w:rPr>
      <w:rFonts w:ascii="Times New Roman" w:hAnsi="Times New Roman" w:eastAsia="宋体" w:cs="Times New Roman"/>
      <w:szCs w:val="24"/>
    </w:rPr>
  </w:style>
  <w:style w:type="character" w:customStyle="1" w:styleId="79">
    <w:name w:val="文档结构图 Char1"/>
    <w:basedOn w:val="38"/>
    <w:semiHidden/>
    <w:qFormat/>
    <w:uiPriority w:val="99"/>
    <w:rPr>
      <w:rFonts w:ascii="宋体" w:hAnsi="Times New Roman" w:eastAsia="宋体" w:cs="Times New Roman"/>
      <w:sz w:val="18"/>
      <w:szCs w:val="18"/>
    </w:rPr>
  </w:style>
  <w:style w:type="character" w:customStyle="1" w:styleId="80">
    <w:name w:val="标题 字符"/>
    <w:basedOn w:val="38"/>
    <w:link w:val="34"/>
    <w:qFormat/>
    <w:uiPriority w:val="0"/>
    <w:rPr>
      <w:rFonts w:ascii="Cambria" w:hAnsi="Cambria" w:eastAsia="宋体" w:cs="Times New Roman"/>
      <w:b/>
      <w:bCs/>
      <w:sz w:val="32"/>
      <w:szCs w:val="32"/>
    </w:rPr>
  </w:style>
  <w:style w:type="character" w:customStyle="1" w:styleId="81">
    <w:name w:val="editmail"/>
    <w:qFormat/>
    <w:uiPriority w:val="0"/>
  </w:style>
  <w:style w:type="character" w:customStyle="1" w:styleId="82">
    <w:name w:val="页脚 字符"/>
    <w:qFormat/>
    <w:uiPriority w:val="99"/>
  </w:style>
  <w:style w:type="character" w:customStyle="1" w:styleId="83">
    <w:name w:val="标题 6 字符"/>
    <w:link w:val="6"/>
    <w:qFormat/>
    <w:uiPriority w:val="0"/>
    <w:rPr>
      <w:rFonts w:ascii="Arial" w:hAnsi="Arial" w:eastAsia="黑体" w:cs="Times New Roman"/>
      <w:b/>
      <w:bCs/>
      <w:kern w:val="0"/>
      <w:sz w:val="24"/>
      <w:szCs w:val="24"/>
    </w:rPr>
  </w:style>
  <w:style w:type="character" w:customStyle="1" w:styleId="84">
    <w:name w:val="标题 7 字符"/>
    <w:link w:val="7"/>
    <w:qFormat/>
    <w:uiPriority w:val="0"/>
    <w:rPr>
      <w:rFonts w:ascii="Times New Roman" w:hAnsi="Times New Roman" w:eastAsia="宋体" w:cs="Times New Roman"/>
      <w:b/>
      <w:bCs/>
      <w:kern w:val="0"/>
      <w:sz w:val="24"/>
      <w:szCs w:val="24"/>
    </w:rPr>
  </w:style>
  <w:style w:type="character" w:customStyle="1" w:styleId="85">
    <w:name w:val="标题 8 字符"/>
    <w:link w:val="8"/>
    <w:qFormat/>
    <w:uiPriority w:val="0"/>
    <w:rPr>
      <w:rFonts w:ascii="Arial" w:hAnsi="Arial" w:eastAsia="黑体" w:cs="Times New Roman"/>
      <w:kern w:val="0"/>
      <w:sz w:val="24"/>
      <w:szCs w:val="24"/>
    </w:rPr>
  </w:style>
  <w:style w:type="character" w:customStyle="1" w:styleId="86">
    <w:name w:val="标题 9 字符"/>
    <w:link w:val="9"/>
    <w:qFormat/>
    <w:uiPriority w:val="0"/>
    <w:rPr>
      <w:rFonts w:ascii="Arial" w:hAnsi="Arial" w:eastAsia="黑体" w:cs="Times New Roman"/>
      <w:kern w:val="0"/>
      <w:szCs w:val="21"/>
    </w:rPr>
  </w:style>
  <w:style w:type="character" w:customStyle="1" w:styleId="87">
    <w:name w:val="Char Char8"/>
    <w:qFormat/>
    <w:uiPriority w:val="0"/>
    <w:rPr>
      <w:rFonts w:ascii="Arial" w:hAnsi="Arial" w:eastAsia="黑体"/>
      <w:b/>
      <w:bCs/>
      <w:kern w:val="2"/>
      <w:sz w:val="32"/>
      <w:szCs w:val="32"/>
      <w:lang w:val="en-US" w:eastAsia="zh-CN" w:bidi="ar-SA"/>
    </w:rPr>
  </w:style>
  <w:style w:type="character" w:customStyle="1" w:styleId="88">
    <w:name w:val="Char Char"/>
    <w:qFormat/>
    <w:uiPriority w:val="0"/>
    <w:rPr>
      <w:rFonts w:ascii="Arial" w:hAnsi="Arial" w:eastAsia="黑体"/>
      <w:b/>
      <w:bCs/>
      <w:kern w:val="2"/>
      <w:sz w:val="32"/>
      <w:szCs w:val="32"/>
      <w:lang w:val="en-US" w:eastAsia="zh-CN" w:bidi="ar-SA"/>
    </w:rPr>
  </w:style>
  <w:style w:type="character" w:customStyle="1" w:styleId="89">
    <w:name w:val="font161"/>
    <w:qFormat/>
    <w:uiPriority w:val="0"/>
    <w:rPr>
      <w:b/>
      <w:bCs/>
      <w:sz w:val="32"/>
      <w:szCs w:val="32"/>
    </w:rPr>
  </w:style>
  <w:style w:type="character" w:customStyle="1" w:styleId="90">
    <w:name w:val="Char Char2"/>
    <w:qFormat/>
    <w:uiPriority w:val="0"/>
    <w:rPr>
      <w:rFonts w:eastAsia="宋体"/>
      <w:kern w:val="2"/>
      <w:sz w:val="21"/>
      <w:szCs w:val="24"/>
      <w:lang w:val="en-US" w:eastAsia="zh-CN" w:bidi="ar-SA"/>
    </w:rPr>
  </w:style>
  <w:style w:type="character" w:customStyle="1" w:styleId="91">
    <w:name w:val="Char Char7"/>
    <w:qFormat/>
    <w:uiPriority w:val="0"/>
    <w:rPr>
      <w:rFonts w:ascii="Arial" w:hAnsi="Arial" w:eastAsia="黑体"/>
      <w:b/>
      <w:bCs/>
      <w:kern w:val="2"/>
      <w:sz w:val="32"/>
      <w:szCs w:val="32"/>
      <w:lang w:val="en-US" w:eastAsia="zh-CN" w:bidi="ar-SA"/>
    </w:rPr>
  </w:style>
  <w:style w:type="paragraph" w:customStyle="1" w:styleId="92">
    <w:name w:val="样式4"/>
    <w:basedOn w:val="4"/>
    <w:qFormat/>
    <w:uiPriority w:val="0"/>
    <w:pPr>
      <w:spacing w:line="415" w:lineRule="auto"/>
    </w:pPr>
    <w:rPr>
      <w:rFonts w:eastAsia="Arial"/>
      <w:lang w:val="zh-CN" w:eastAsia="zh-CN"/>
    </w:rPr>
  </w:style>
  <w:style w:type="paragraph" w:customStyle="1" w:styleId="9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94">
    <w:name w:val="正文文本缩进 3 Char"/>
    <w:basedOn w:val="38"/>
    <w:semiHidden/>
    <w:qFormat/>
    <w:uiPriority w:val="99"/>
    <w:rPr>
      <w:rFonts w:ascii="Times New Roman" w:hAnsi="Times New Roman" w:eastAsia="宋体" w:cs="Times New Roman"/>
      <w:sz w:val="16"/>
      <w:szCs w:val="16"/>
    </w:rPr>
  </w:style>
  <w:style w:type="character" w:customStyle="1" w:styleId="95">
    <w:name w:val="正文文本缩进 3 字符"/>
    <w:link w:val="30"/>
    <w:qFormat/>
    <w:uiPriority w:val="0"/>
    <w:rPr>
      <w:rFonts w:ascii="Times New Roman" w:hAnsi="Times New Roman" w:eastAsia="宋体" w:cs="Times New Roman"/>
      <w:sz w:val="16"/>
      <w:szCs w:val="16"/>
    </w:rPr>
  </w:style>
  <w:style w:type="paragraph" w:customStyle="1" w:styleId="96">
    <w:name w:val="1"/>
    <w:basedOn w:val="1"/>
    <w:next w:val="1"/>
    <w:qFormat/>
    <w:uiPriority w:val="0"/>
  </w:style>
  <w:style w:type="paragraph" w:customStyle="1" w:styleId="97">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98">
    <w:name w:val="样式2"/>
    <w:basedOn w:val="4"/>
    <w:qFormat/>
    <w:uiPriority w:val="0"/>
    <w:pPr>
      <w:spacing w:line="415" w:lineRule="auto"/>
    </w:pPr>
    <w:rPr>
      <w:lang w:val="zh-CN" w:eastAsia="zh-CN"/>
    </w:rPr>
  </w:style>
  <w:style w:type="paragraph" w:customStyle="1" w:styleId="99">
    <w:name w:val="表格"/>
    <w:basedOn w:val="1"/>
    <w:qFormat/>
    <w:uiPriority w:val="0"/>
    <w:pPr>
      <w:jc w:val="center"/>
      <w:textAlignment w:val="center"/>
    </w:pPr>
    <w:rPr>
      <w:rFonts w:ascii="华文细黑" w:hAnsi="华文细黑"/>
      <w:kern w:val="0"/>
      <w:szCs w:val="20"/>
    </w:rPr>
  </w:style>
  <w:style w:type="paragraph" w:customStyle="1" w:styleId="100">
    <w:name w:val="样式3"/>
    <w:basedOn w:val="4"/>
    <w:qFormat/>
    <w:uiPriority w:val="0"/>
    <w:pPr>
      <w:spacing w:line="415" w:lineRule="auto"/>
    </w:pPr>
    <w:rPr>
      <w:rFonts w:eastAsia="Arial"/>
      <w:lang w:val="zh-CN" w:eastAsia="zh-CN"/>
    </w:rPr>
  </w:style>
  <w:style w:type="paragraph" w:customStyle="1" w:styleId="101">
    <w:name w:val="Char"/>
    <w:basedOn w:val="1"/>
    <w:qFormat/>
    <w:uiPriority w:val="0"/>
    <w:pPr>
      <w:tabs>
        <w:tab w:val="left" w:pos="360"/>
      </w:tabs>
    </w:pPr>
    <w:rPr>
      <w:sz w:val="24"/>
    </w:rPr>
  </w:style>
  <w:style w:type="character" w:customStyle="1" w:styleId="102">
    <w:name w:val="脚注文本 Char"/>
    <w:basedOn w:val="38"/>
    <w:semiHidden/>
    <w:qFormat/>
    <w:uiPriority w:val="99"/>
    <w:rPr>
      <w:rFonts w:ascii="Times New Roman" w:hAnsi="Times New Roman" w:eastAsia="宋体" w:cs="Times New Roman"/>
      <w:sz w:val="18"/>
      <w:szCs w:val="18"/>
    </w:rPr>
  </w:style>
  <w:style w:type="character" w:customStyle="1" w:styleId="103">
    <w:name w:val="脚注文本 字符"/>
    <w:link w:val="28"/>
    <w:qFormat/>
    <w:uiPriority w:val="0"/>
    <w:rPr>
      <w:rFonts w:ascii="Times New Roman" w:hAnsi="Times New Roman" w:eastAsia="宋体" w:cs="Times New Roman"/>
      <w:sz w:val="20"/>
      <w:szCs w:val="20"/>
    </w:rPr>
  </w:style>
  <w:style w:type="paragraph" w:customStyle="1" w:styleId="104">
    <w:name w:val="表格文字"/>
    <w:basedOn w:val="105"/>
    <w:qFormat/>
    <w:uiPriority w:val="0"/>
    <w:pPr>
      <w:tabs>
        <w:tab w:val="left" w:pos="360"/>
        <w:tab w:val="left" w:pos="720"/>
      </w:tabs>
      <w:adjustRightInd w:val="0"/>
      <w:spacing w:line="420" w:lineRule="atLeast"/>
      <w:jc w:val="left"/>
      <w:textAlignment w:val="baseline"/>
    </w:pPr>
    <w:rPr>
      <w:kern w:val="0"/>
      <w:szCs w:val="20"/>
    </w:rPr>
  </w:style>
  <w:style w:type="paragraph" w:customStyle="1" w:styleId="105">
    <w:name w:val="项目符号"/>
    <w:basedOn w:val="1"/>
    <w:qFormat/>
    <w:uiPriority w:val="0"/>
    <w:pPr>
      <w:tabs>
        <w:tab w:val="left" w:pos="360"/>
        <w:tab w:val="left" w:pos="720"/>
      </w:tabs>
      <w:spacing w:line="360" w:lineRule="auto"/>
      <w:ind w:left="200" w:hanging="200" w:hangingChars="200"/>
    </w:pPr>
    <w:rPr>
      <w:rFonts w:ascii="宋体" w:hAnsi="ˎ̥" w:cs="宋体"/>
      <w:color w:val="000000"/>
      <w:sz w:val="24"/>
    </w:rPr>
  </w:style>
  <w:style w:type="paragraph" w:styleId="106">
    <w:name w:val="List Paragraph"/>
    <w:basedOn w:val="1"/>
    <w:qFormat/>
    <w:uiPriority w:val="34"/>
    <w:pPr>
      <w:ind w:firstLine="420" w:firstLineChars="200"/>
    </w:pPr>
  </w:style>
  <w:style w:type="paragraph" w:customStyle="1" w:styleId="107">
    <w:name w:val="2 Char Char Char Char Char Char Char Char Char Char Char Char Char"/>
    <w:basedOn w:val="13"/>
    <w:qFormat/>
    <w:uiPriority w:val="0"/>
    <w:pPr>
      <w:shd w:val="clear" w:color="auto" w:fill="000080"/>
    </w:pPr>
    <w:rPr>
      <w:rFonts w:ascii="Tahoma" w:hAnsi="Tahoma"/>
      <w:sz w:val="24"/>
      <w:szCs w:val="24"/>
    </w:rPr>
  </w:style>
  <w:style w:type="character" w:customStyle="1" w:styleId="108">
    <w:name w:val="正文缩进2格 Char"/>
    <w:link w:val="109"/>
    <w:qFormat/>
    <w:uiPriority w:val="0"/>
    <w:rPr>
      <w:rFonts w:ascii="仿宋_GB2312" w:hAnsi="宋体" w:eastAsia="仿宋_GB2312"/>
      <w:sz w:val="31"/>
    </w:rPr>
  </w:style>
  <w:style w:type="paragraph" w:customStyle="1" w:styleId="109">
    <w:name w:val="正文缩进2格"/>
    <w:basedOn w:val="1"/>
    <w:next w:val="1"/>
    <w:link w:val="108"/>
    <w:qFormat/>
    <w:uiPriority w:val="0"/>
    <w:pPr>
      <w:widowControl/>
      <w:spacing w:line="600" w:lineRule="exact"/>
      <w:ind w:firstLine="639" w:firstLineChars="206"/>
      <w:jc w:val="left"/>
    </w:pPr>
    <w:rPr>
      <w:rFonts w:ascii="仿宋_GB2312" w:hAnsi="宋体" w:eastAsia="仿宋_GB2312" w:cstheme="minorBidi"/>
      <w:sz w:val="31"/>
      <w:szCs w:val="22"/>
    </w:rPr>
  </w:style>
  <w:style w:type="paragraph" w:customStyle="1" w:styleId="110">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A8895E-22F2-45A8-A364-F0A442BCEC5C}">
  <ds:schemaRefs/>
</ds:datastoreItem>
</file>

<file path=docProps/app.xml><?xml version="1.0" encoding="utf-8"?>
<Properties xmlns="http://schemas.openxmlformats.org/officeDocument/2006/extended-properties" xmlns:vt="http://schemas.openxmlformats.org/officeDocument/2006/docPropsVTypes">
  <Template>Normal</Template>
  <Pages>46</Pages>
  <Words>15826</Words>
  <Characters>16834</Characters>
  <Lines>215</Lines>
  <Paragraphs>60</Paragraphs>
  <TotalTime>97</TotalTime>
  <ScaleCrop>false</ScaleCrop>
  <LinksUpToDate>false</LinksUpToDate>
  <CharactersWithSpaces>17191</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2021-06-06T09:26:00Z</dcterms:created>
  <dc:creator>ZJ</dc:creator>
  <cp:lastModifiedBy>洪峰</cp:lastModifiedBy>
  <cp:lastPrinted>2025-12-18T08:38:00Z</cp:lastPrinted>
  <dcterms:modified xsi:type="dcterms:W3CDTF">2025-12-29T07:37:50Z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E1685293B8B74E3D8DD2042B156D7C87_13</vt:lpwstr>
  </property>
  <property fmtid="{D5CDD505-2E9C-101B-9397-08002B2CF9AE}" pid="4" name="KSOTemplateDocerSaveRecord">
    <vt:lpwstr>eyJoZGlkIjoiNWVkZGYxZDllYWVjZGYzNDNhNmY4NWUwNDU0NmMyNDUiLCJ1c2VySWQiOiIzMDY3MTQ3MjUifQ==</vt:lpwstr>
  </property>
</Properties>
</file>