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16B30A">
      <w:pPr>
        <w:jc w:val="right"/>
        <w:rPr>
          <w:rFonts w:ascii="黑体" w:eastAsia="黑体"/>
          <w:color w:val="auto"/>
          <w:szCs w:val="21"/>
          <w:highlight w:val="none"/>
        </w:rPr>
      </w:pPr>
      <w:bookmarkStart w:id="183" w:name="_GoBack"/>
      <w:bookmarkEnd w:id="183"/>
    </w:p>
    <w:p w14:paraId="760943DB">
      <w:pPr>
        <w:pStyle w:val="42"/>
        <w:ind w:firstLine="400"/>
        <w:rPr>
          <w:color w:val="auto"/>
          <w:highlight w:val="none"/>
        </w:rPr>
      </w:pPr>
    </w:p>
    <w:p w14:paraId="0290B835">
      <w:pPr>
        <w:rPr>
          <w:color w:val="auto"/>
          <w:highlight w:val="none"/>
        </w:rPr>
      </w:pPr>
    </w:p>
    <w:p w14:paraId="4A7A424B">
      <w:pPr>
        <w:rPr>
          <w:color w:val="auto"/>
          <w:highlight w:val="none"/>
        </w:rPr>
      </w:pPr>
    </w:p>
    <w:p w14:paraId="477B674F">
      <w:pPr>
        <w:rPr>
          <w:color w:val="auto"/>
          <w:highlight w:val="none"/>
        </w:rPr>
      </w:pPr>
    </w:p>
    <w:p w14:paraId="680767F4">
      <w:pPr>
        <w:ind w:right="-28"/>
        <w:jc w:val="center"/>
        <w:textAlignment w:val="bottom"/>
        <w:rPr>
          <w:rFonts w:hint="eastAsia"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14:paraId="3FCA4CC0">
      <w:pPr>
        <w:rPr>
          <w:color w:val="auto"/>
          <w:highlight w:val="none"/>
        </w:rPr>
      </w:pPr>
    </w:p>
    <w:p w14:paraId="51DEEF1B">
      <w:pPr>
        <w:pStyle w:val="13"/>
        <w:rPr>
          <w:rFonts w:hint="eastAsia"/>
          <w:color w:val="auto"/>
          <w:highlight w:val="none"/>
        </w:rPr>
      </w:pPr>
    </w:p>
    <w:p w14:paraId="3CD15B3F">
      <w:pPr>
        <w:ind w:firstLine="240"/>
        <w:rPr>
          <w:color w:val="auto"/>
          <w:highlight w:val="none"/>
        </w:rPr>
      </w:pPr>
    </w:p>
    <w:tbl>
      <w:tblPr>
        <w:tblStyle w:val="30"/>
        <w:tblW w:w="8820" w:type="dxa"/>
        <w:tblInd w:w="40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60"/>
        <w:gridCol w:w="6360"/>
      </w:tblGrid>
      <w:tr w14:paraId="2CE5E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67" w:hRule="atLeast"/>
        </w:trPr>
        <w:tc>
          <w:tcPr>
            <w:tcW w:w="2460" w:type="dxa"/>
            <w:noWrap/>
            <w:vAlign w:val="center"/>
          </w:tcPr>
          <w:p w14:paraId="70B560D3">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360" w:type="dxa"/>
            <w:noWrap/>
            <w:vAlign w:val="center"/>
          </w:tcPr>
          <w:p w14:paraId="02883F7D">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东莞浩成玩具有限公司550kW/2200kWh用户侧储能项目</w:t>
            </w:r>
          </w:p>
        </w:tc>
      </w:tr>
      <w:tr w14:paraId="6C3AA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460" w:type="dxa"/>
            <w:noWrap/>
            <w:vAlign w:val="center"/>
          </w:tcPr>
          <w:p w14:paraId="5580C3DB">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360" w:type="dxa"/>
            <w:noWrap/>
            <w:vAlign w:val="center"/>
          </w:tcPr>
          <w:p w14:paraId="484BE873">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WTZB2025DG0064</w:t>
            </w:r>
          </w:p>
        </w:tc>
      </w:tr>
      <w:tr w14:paraId="102E1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460" w:type="dxa"/>
            <w:noWrap/>
            <w:vAlign w:val="center"/>
          </w:tcPr>
          <w:p w14:paraId="368B1C32">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360" w:type="dxa"/>
            <w:noWrap/>
            <w:vAlign w:val="center"/>
          </w:tcPr>
          <w:p w14:paraId="0FCBA720">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东莞市新有能源投资有限公司</w:t>
            </w:r>
          </w:p>
        </w:tc>
      </w:tr>
      <w:tr w14:paraId="0C27C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460" w:type="dxa"/>
            <w:noWrap/>
            <w:vAlign w:val="center"/>
          </w:tcPr>
          <w:p w14:paraId="19999592">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360" w:type="dxa"/>
            <w:noWrap/>
            <w:vAlign w:val="center"/>
          </w:tcPr>
          <w:p w14:paraId="3F40416D">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广州宏达工程顾问集团有限公司</w:t>
            </w:r>
          </w:p>
        </w:tc>
      </w:tr>
    </w:tbl>
    <w:p w14:paraId="6108D85D">
      <w:pPr>
        <w:jc w:val="center"/>
        <w:rPr>
          <w:rFonts w:ascii="黑体" w:eastAsia="黑体"/>
          <w:color w:val="auto"/>
          <w:szCs w:val="21"/>
          <w:highlight w:val="none"/>
        </w:rPr>
      </w:pPr>
    </w:p>
    <w:p w14:paraId="60FD32AE">
      <w:pPr>
        <w:jc w:val="center"/>
        <w:rPr>
          <w:rFonts w:ascii="黑体" w:eastAsia="黑体"/>
          <w:color w:val="auto"/>
          <w:szCs w:val="21"/>
          <w:highlight w:val="none"/>
        </w:rPr>
      </w:pPr>
    </w:p>
    <w:p w14:paraId="770DCD5F">
      <w:pPr>
        <w:jc w:val="center"/>
        <w:rPr>
          <w:rFonts w:ascii="黑体" w:eastAsia="黑体"/>
          <w:color w:val="auto"/>
          <w:szCs w:val="21"/>
          <w:highlight w:val="none"/>
        </w:rPr>
      </w:pPr>
    </w:p>
    <w:p w14:paraId="509AB87F">
      <w:pPr>
        <w:pStyle w:val="42"/>
        <w:ind w:firstLine="400"/>
        <w:rPr>
          <w:color w:val="auto"/>
          <w:highlight w:val="none"/>
        </w:rPr>
      </w:pPr>
    </w:p>
    <w:p w14:paraId="409E49D5">
      <w:pPr>
        <w:jc w:val="center"/>
        <w:rPr>
          <w:rFonts w:ascii="黑体" w:eastAsia="黑体"/>
          <w:color w:val="auto"/>
          <w:szCs w:val="21"/>
          <w:highlight w:val="none"/>
        </w:rPr>
      </w:pPr>
    </w:p>
    <w:p w14:paraId="0F61F441">
      <w:pPr>
        <w:jc w:val="center"/>
        <w:rPr>
          <w:rFonts w:ascii="黑体" w:eastAsia="黑体"/>
          <w:color w:val="auto"/>
          <w:szCs w:val="21"/>
          <w:highlight w:val="none"/>
        </w:rPr>
      </w:pPr>
    </w:p>
    <w:p w14:paraId="16D3A311">
      <w:pPr>
        <w:spacing w:before="200"/>
        <w:jc w:val="center"/>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202</w:t>
      </w:r>
      <w:r>
        <w:rPr>
          <w:rFonts w:hint="eastAsia" w:ascii="黑体" w:hAnsi="黑体" w:eastAsia="黑体" w:cs="黑体"/>
          <w:bCs/>
          <w:color w:val="auto"/>
          <w:sz w:val="32"/>
          <w:szCs w:val="24"/>
          <w:highlight w:val="none"/>
          <w:lang w:val="en-US" w:eastAsia="zh-CN"/>
        </w:rPr>
        <w:t>5</w:t>
      </w:r>
      <w:r>
        <w:rPr>
          <w:rFonts w:hint="eastAsia" w:ascii="黑体" w:hAnsi="黑体" w:eastAsia="黑体" w:cs="黑体"/>
          <w:bCs/>
          <w:color w:val="auto"/>
          <w:sz w:val="32"/>
          <w:szCs w:val="24"/>
          <w:highlight w:val="none"/>
        </w:rPr>
        <w:t>年</w:t>
      </w:r>
      <w:r>
        <w:rPr>
          <w:rFonts w:hint="eastAsia" w:ascii="黑体" w:hAnsi="黑体" w:eastAsia="黑体" w:cs="黑体"/>
          <w:bCs/>
          <w:color w:val="auto"/>
          <w:sz w:val="32"/>
          <w:szCs w:val="24"/>
          <w:highlight w:val="none"/>
          <w:lang w:val="en-US" w:eastAsia="zh-CN"/>
        </w:rPr>
        <w:t>12</w:t>
      </w:r>
      <w:r>
        <w:rPr>
          <w:rFonts w:hint="eastAsia" w:ascii="黑体" w:hAnsi="黑体" w:eastAsia="黑体" w:cs="黑体"/>
          <w:bCs/>
          <w:color w:val="auto"/>
          <w:sz w:val="32"/>
          <w:szCs w:val="24"/>
          <w:highlight w:val="none"/>
        </w:rPr>
        <w:t>月</w:t>
      </w:r>
    </w:p>
    <w:p w14:paraId="246940FA">
      <w:pPr>
        <w:pStyle w:val="39"/>
        <w:spacing w:before="180"/>
        <w:ind w:firstLine="480"/>
        <w:rPr>
          <w:color w:val="auto"/>
          <w:highlight w:val="none"/>
        </w:rPr>
      </w:pPr>
      <w:r>
        <w:rPr>
          <w:rFonts w:hint="eastAsia"/>
          <w:color w:val="auto"/>
          <w:highlight w:val="none"/>
        </w:rPr>
        <w:br w:type="page"/>
      </w:r>
    </w:p>
    <w:p w14:paraId="2302F1F7">
      <w:pPr>
        <w:pStyle w:val="25"/>
        <w:ind w:left="0" w:leftChars="0"/>
        <w:jc w:val="center"/>
        <w:rPr>
          <w:rFonts w:hint="eastAsia"/>
          <w:color w:val="auto"/>
          <w:sz w:val="40"/>
          <w:szCs w:val="40"/>
          <w:highlight w:val="none"/>
        </w:rPr>
      </w:pPr>
      <w:r>
        <w:rPr>
          <w:rFonts w:hint="eastAsia"/>
          <w:color w:val="auto"/>
          <w:sz w:val="40"/>
          <w:szCs w:val="40"/>
          <w:highlight w:val="none"/>
        </w:rPr>
        <w:t>目录</w:t>
      </w:r>
    </w:p>
    <w:p w14:paraId="1103CD67">
      <w:pPr>
        <w:pStyle w:val="25"/>
        <w:ind w:left="0" w:leftChars="0"/>
        <w:jc w:val="center"/>
        <w:rPr>
          <w:rFonts w:hint="eastAsia" w:ascii="宋体" w:hAnsi="宋体" w:eastAsia="宋体" w:cs="宋体"/>
          <w:b w:val="0"/>
          <w:bCs w:val="0"/>
          <w:color w:val="auto"/>
          <w:kern w:val="2"/>
          <w:sz w:val="21"/>
          <w:szCs w:val="21"/>
          <w:highlight w:val="none"/>
          <w14:ligatures w14:val="standardContextual"/>
        </w:rPr>
      </w:pPr>
      <w:r>
        <w:rPr>
          <w:rStyle w:val="35"/>
          <w:rFonts w:hint="eastAsia" w:ascii="宋体" w:hAnsi="宋体" w:eastAsia="宋体" w:cs="宋体"/>
          <w:bCs/>
          <w:color w:val="auto"/>
          <w:sz w:val="21"/>
          <w:szCs w:val="21"/>
          <w:highlight w:val="none"/>
        </w:rPr>
        <w:fldChar w:fldCharType="begin"/>
      </w:r>
      <w:r>
        <w:rPr>
          <w:rStyle w:val="35"/>
          <w:rFonts w:hint="eastAsia" w:ascii="宋体" w:hAnsi="宋体" w:eastAsia="宋体" w:cs="宋体"/>
          <w:bCs/>
          <w:color w:val="auto"/>
          <w:sz w:val="21"/>
          <w:szCs w:val="21"/>
          <w:highlight w:val="none"/>
        </w:rPr>
        <w:instrText xml:space="preserve"> TOC \o "1-4" \h \z \u </w:instrText>
      </w:r>
      <w:r>
        <w:rPr>
          <w:rStyle w:val="35"/>
          <w:rFonts w:hint="eastAsia" w:ascii="宋体" w:hAnsi="宋体" w:eastAsia="宋体" w:cs="宋体"/>
          <w:bCs/>
          <w:color w:val="auto"/>
          <w:sz w:val="21"/>
          <w:szCs w:val="21"/>
          <w:highlight w:val="none"/>
        </w:rPr>
        <w:fldChar w:fldCharType="separate"/>
      </w: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"_Toc182307965"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第一部分投标邀请</w:t>
      </w:r>
      <w:r>
        <w:rPr>
          <w:rFonts w:hint="eastAsia" w:ascii="宋体" w:hAnsi="宋体" w:eastAsia="宋体" w:cs="宋体"/>
          <w:b w:val="0"/>
          <w:bCs w:val="0"/>
          <w:color w:val="auto"/>
          <w:sz w:val="21"/>
          <w:szCs w:val="21"/>
          <w:highlight w:val="none"/>
        </w:rPr>
        <w:tab/>
      </w: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PAGEREF _Toc182307965 \h </w:instrText>
      </w:r>
      <w:r>
        <w:rPr>
          <w:rFonts w:hint="eastAsia" w:ascii="宋体" w:hAnsi="宋体" w:eastAsia="宋体" w:cs="宋体"/>
          <w:b w:val="0"/>
          <w:bCs w:val="0"/>
          <w:color w:val="auto"/>
          <w:sz w:val="21"/>
          <w:szCs w:val="21"/>
          <w:highlight w:val="none"/>
        </w:rPr>
        <w:fldChar w:fldCharType="separate"/>
      </w:r>
      <w:r>
        <w:rPr>
          <w:rFonts w:hint="eastAsia" w:ascii="宋体" w:hAnsi="宋体" w:eastAsia="宋体" w:cs="宋体"/>
          <w:b w:val="0"/>
          <w:bCs w:val="0"/>
          <w:color w:val="auto"/>
          <w:sz w:val="21"/>
          <w:szCs w:val="21"/>
          <w:highlight w:val="none"/>
        </w:rPr>
        <w:t>5</w:t>
      </w:r>
      <w:r>
        <w:rPr>
          <w:rFonts w:hint="eastAsia" w:ascii="宋体" w:hAnsi="宋体" w:eastAsia="宋体" w:cs="宋体"/>
          <w:b w:val="0"/>
          <w:bCs w:val="0"/>
          <w:color w:val="auto"/>
          <w:sz w:val="21"/>
          <w:szCs w:val="21"/>
          <w:highlight w:val="none"/>
        </w:rPr>
        <w:fldChar w:fldCharType="end"/>
      </w:r>
      <w:r>
        <w:rPr>
          <w:rFonts w:hint="eastAsia" w:ascii="宋体" w:hAnsi="宋体" w:eastAsia="宋体" w:cs="宋体"/>
          <w:b w:val="0"/>
          <w:bCs w:val="0"/>
          <w:color w:val="auto"/>
          <w:sz w:val="21"/>
          <w:szCs w:val="21"/>
          <w:highlight w:val="none"/>
        </w:rPr>
        <w:fldChar w:fldCharType="end"/>
      </w:r>
    </w:p>
    <w:p w14:paraId="1559F59E">
      <w:pPr>
        <w:pStyle w:val="15"/>
        <w:ind w:left="0" w:leftChars="0" w:firstLine="0" w:firstLineChars="0"/>
        <w:jc w:val="center"/>
        <w:rPr>
          <w:rFonts w:hint="eastAsia" w:ascii="宋体" w:hAnsi="宋体" w:eastAsia="宋体" w:cs="宋体"/>
          <w:b w:val="0"/>
          <w:bCs w:val="0"/>
          <w:color w:val="auto"/>
          <w:kern w:val="2"/>
          <w:sz w:val="21"/>
          <w:szCs w:val="21"/>
          <w:highlight w:val="none"/>
          <w14:ligatures w14:val="standardContextual"/>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"_Toc182307966"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投标邀请书</w:t>
      </w:r>
      <w:r>
        <w:rPr>
          <w:rFonts w:hint="eastAsia" w:ascii="宋体" w:hAnsi="宋体" w:eastAsia="宋体" w:cs="宋体"/>
          <w:b w:val="0"/>
          <w:bCs w:val="0"/>
          <w:color w:val="auto"/>
          <w:sz w:val="21"/>
          <w:szCs w:val="21"/>
          <w:highlight w:val="none"/>
        </w:rPr>
        <w:tab/>
      </w: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PAGEREF _Toc182307966 \h </w:instrText>
      </w:r>
      <w:r>
        <w:rPr>
          <w:rFonts w:hint="eastAsia" w:ascii="宋体" w:hAnsi="宋体" w:eastAsia="宋体" w:cs="宋体"/>
          <w:b w:val="0"/>
          <w:bCs w:val="0"/>
          <w:color w:val="auto"/>
          <w:sz w:val="21"/>
          <w:szCs w:val="21"/>
          <w:highlight w:val="none"/>
        </w:rPr>
        <w:fldChar w:fldCharType="separate"/>
      </w:r>
      <w:r>
        <w:rPr>
          <w:rFonts w:hint="eastAsia" w:ascii="宋体" w:hAnsi="宋体" w:eastAsia="宋体" w:cs="宋体"/>
          <w:b w:val="0"/>
          <w:bCs w:val="0"/>
          <w:color w:val="auto"/>
          <w:sz w:val="21"/>
          <w:szCs w:val="21"/>
          <w:highlight w:val="none"/>
        </w:rPr>
        <w:t>5</w:t>
      </w:r>
      <w:r>
        <w:rPr>
          <w:rFonts w:hint="eastAsia" w:ascii="宋体" w:hAnsi="宋体" w:eastAsia="宋体" w:cs="宋体"/>
          <w:b w:val="0"/>
          <w:bCs w:val="0"/>
          <w:color w:val="auto"/>
          <w:sz w:val="21"/>
          <w:szCs w:val="21"/>
          <w:highlight w:val="none"/>
        </w:rPr>
        <w:fldChar w:fldCharType="end"/>
      </w:r>
      <w:r>
        <w:rPr>
          <w:rFonts w:hint="eastAsia" w:ascii="宋体" w:hAnsi="宋体" w:eastAsia="宋体" w:cs="宋体"/>
          <w:b w:val="0"/>
          <w:bCs w:val="0"/>
          <w:color w:val="auto"/>
          <w:sz w:val="21"/>
          <w:szCs w:val="21"/>
          <w:highlight w:val="none"/>
        </w:rPr>
        <w:fldChar w:fldCharType="end"/>
      </w:r>
    </w:p>
    <w:p w14:paraId="6DD612FF">
      <w:pPr>
        <w:pStyle w:val="25"/>
        <w:ind w:left="0" w:leftChars="0"/>
        <w:jc w:val="center"/>
        <w:rPr>
          <w:rFonts w:hint="eastAsia" w:ascii="宋体" w:hAnsi="宋体" w:eastAsia="宋体" w:cs="宋体"/>
          <w:b w:val="0"/>
          <w:bCs w:val="0"/>
          <w:color w:val="auto"/>
          <w:kern w:val="2"/>
          <w:sz w:val="21"/>
          <w:szCs w:val="21"/>
          <w:highlight w:val="none"/>
          <w14:ligatures w14:val="standardContextual"/>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"_Toc182307967"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第二部分相关资料表格</w:t>
      </w:r>
      <w:r>
        <w:rPr>
          <w:rFonts w:hint="eastAsia" w:ascii="宋体" w:hAnsi="宋体" w:eastAsia="宋体" w:cs="宋体"/>
          <w:b w:val="0"/>
          <w:bCs w:val="0"/>
          <w:color w:val="auto"/>
          <w:sz w:val="21"/>
          <w:szCs w:val="21"/>
          <w:highlight w:val="none"/>
        </w:rPr>
        <w:tab/>
      </w: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PAGEREF _Toc182307967 \h </w:instrText>
      </w:r>
      <w:r>
        <w:rPr>
          <w:rFonts w:hint="eastAsia" w:ascii="宋体" w:hAnsi="宋体" w:eastAsia="宋体" w:cs="宋体"/>
          <w:b w:val="0"/>
          <w:bCs w:val="0"/>
          <w:color w:val="auto"/>
          <w:sz w:val="21"/>
          <w:szCs w:val="21"/>
          <w:highlight w:val="none"/>
        </w:rPr>
        <w:fldChar w:fldCharType="separate"/>
      </w:r>
      <w:r>
        <w:rPr>
          <w:rFonts w:hint="eastAsia" w:ascii="宋体" w:hAnsi="宋体" w:eastAsia="宋体" w:cs="宋体"/>
          <w:b w:val="0"/>
          <w:bCs w:val="0"/>
          <w:color w:val="auto"/>
          <w:sz w:val="21"/>
          <w:szCs w:val="21"/>
          <w:highlight w:val="none"/>
        </w:rPr>
        <w:t>8</w:t>
      </w:r>
      <w:r>
        <w:rPr>
          <w:rFonts w:hint="eastAsia" w:ascii="宋体" w:hAnsi="宋体" w:eastAsia="宋体" w:cs="宋体"/>
          <w:b w:val="0"/>
          <w:bCs w:val="0"/>
          <w:color w:val="auto"/>
          <w:sz w:val="21"/>
          <w:szCs w:val="21"/>
          <w:highlight w:val="none"/>
        </w:rPr>
        <w:fldChar w:fldCharType="end"/>
      </w:r>
      <w:r>
        <w:rPr>
          <w:rFonts w:hint="eastAsia" w:ascii="宋体" w:hAnsi="宋体" w:eastAsia="宋体" w:cs="宋体"/>
          <w:b w:val="0"/>
          <w:bCs w:val="0"/>
          <w:color w:val="auto"/>
          <w:sz w:val="21"/>
          <w:szCs w:val="21"/>
          <w:highlight w:val="none"/>
        </w:rPr>
        <w:fldChar w:fldCharType="end"/>
      </w:r>
    </w:p>
    <w:p w14:paraId="5F219CD4">
      <w:pPr>
        <w:pStyle w:val="15"/>
        <w:ind w:left="0" w:leftChars="0" w:firstLine="0" w:firstLineChars="0"/>
        <w:jc w:val="center"/>
        <w:rPr>
          <w:rStyle w:val="35"/>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"_Toc182307968"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附表一：投标资料表</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_Toc182307968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2583EF7">
      <w:pPr>
        <w:pStyle w:val="15"/>
        <w:ind w:left="0" w:leftChars="0" w:firstLine="0" w:firstLineChars="0"/>
        <w:jc w:val="center"/>
        <w:rPr>
          <w:rStyle w:val="35"/>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"_Toc182307969"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附表二：商务技术评分及价格权重表（满分100分）</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_Toc182307969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AF5E6C3">
      <w:pPr>
        <w:pStyle w:val="25"/>
        <w:ind w:left="0" w:leftChars="0"/>
        <w:jc w:val="center"/>
        <w:rPr>
          <w:rFonts w:hint="eastAsia" w:ascii="宋体" w:hAnsi="宋体" w:eastAsia="宋体" w:cs="宋体"/>
          <w:b w:val="0"/>
          <w:bCs w:val="0"/>
          <w:color w:val="auto"/>
          <w:kern w:val="2"/>
          <w:sz w:val="21"/>
          <w:szCs w:val="21"/>
          <w:highlight w:val="none"/>
          <w14:ligatures w14:val="standardContextual"/>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"_Toc182307970"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第三部分用户需求书</w:t>
      </w:r>
      <w:r>
        <w:rPr>
          <w:rFonts w:hint="eastAsia" w:ascii="宋体" w:hAnsi="宋体" w:eastAsia="宋体" w:cs="宋体"/>
          <w:b w:val="0"/>
          <w:bCs w:val="0"/>
          <w:color w:val="auto"/>
          <w:sz w:val="21"/>
          <w:szCs w:val="21"/>
          <w:highlight w:val="none"/>
        </w:rPr>
        <w:tab/>
      </w: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PAGEREF _Toc182307970 \h </w:instrText>
      </w:r>
      <w:r>
        <w:rPr>
          <w:rFonts w:hint="eastAsia" w:ascii="宋体" w:hAnsi="宋体" w:eastAsia="宋体" w:cs="宋体"/>
          <w:b w:val="0"/>
          <w:bCs w:val="0"/>
          <w:color w:val="auto"/>
          <w:sz w:val="21"/>
          <w:szCs w:val="21"/>
          <w:highlight w:val="none"/>
        </w:rPr>
        <w:fldChar w:fldCharType="separate"/>
      </w:r>
      <w:r>
        <w:rPr>
          <w:rFonts w:hint="eastAsia" w:ascii="宋体" w:hAnsi="宋体" w:eastAsia="宋体" w:cs="宋体"/>
          <w:b w:val="0"/>
          <w:bCs w:val="0"/>
          <w:color w:val="auto"/>
          <w:sz w:val="21"/>
          <w:szCs w:val="21"/>
          <w:highlight w:val="none"/>
        </w:rPr>
        <w:t>15</w:t>
      </w:r>
      <w:r>
        <w:rPr>
          <w:rFonts w:hint="eastAsia" w:ascii="宋体" w:hAnsi="宋体" w:eastAsia="宋体" w:cs="宋体"/>
          <w:b w:val="0"/>
          <w:bCs w:val="0"/>
          <w:color w:val="auto"/>
          <w:sz w:val="21"/>
          <w:szCs w:val="21"/>
          <w:highlight w:val="none"/>
        </w:rPr>
        <w:fldChar w:fldCharType="end"/>
      </w:r>
      <w:r>
        <w:rPr>
          <w:rFonts w:hint="eastAsia" w:ascii="宋体" w:hAnsi="宋体" w:eastAsia="宋体" w:cs="宋体"/>
          <w:b w:val="0"/>
          <w:bCs w:val="0"/>
          <w:color w:val="auto"/>
          <w:sz w:val="21"/>
          <w:szCs w:val="21"/>
          <w:highlight w:val="none"/>
        </w:rPr>
        <w:fldChar w:fldCharType="end"/>
      </w:r>
    </w:p>
    <w:p w14:paraId="54790EBB">
      <w:pPr>
        <w:pStyle w:val="15"/>
        <w:ind w:left="0" w:leftChars="0" w:firstLine="0" w:firstLineChars="0"/>
        <w:jc w:val="center"/>
        <w:rPr>
          <w:rStyle w:val="35"/>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"_Toc182307971"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第一章 商务需求书</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_Toc182307971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98FD171">
      <w:pPr>
        <w:pStyle w:val="15"/>
        <w:ind w:left="0" w:leftChars="0" w:firstLine="0" w:firstLineChars="0"/>
        <w:jc w:val="center"/>
        <w:rPr>
          <w:rStyle w:val="35"/>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"_Toc182307972"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第二章 技术需求书</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_Toc182307972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D8B1306">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第四部分投标人须知</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CCE305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一、说明</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7439760">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1.适用范围</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8D68C3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2.定义</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ECDEF3A">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3.货物和服务</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26B07CD">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4.投标费用</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295418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5.知识产权</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6A8C60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6.关于联合体投标</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D63087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7.关于分支机构投标</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E1ED165">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8.踏勘现场</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DD667C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二、采购文件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8561F1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9.采购文件的组成</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2284D3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10.采购文件的澄清或修改</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24CBD3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三、投标文件的编制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FBEF6A0">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11.投标文件的语言及度量衡单位</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65518FC">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12.投标文件的组成</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5630F2F">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13.投标文件编制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7D15127D">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14.投标报价说明</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112F56A">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15.投标人所提供的服务或货物的证明文件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37</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3A01AFB">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16.投标有效期</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37</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BDDE119">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17.投标保证金</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37</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A76643F">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四、投标文件的递交</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38</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5B7A9C0">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18.投标文件的装订，签署，密封和标记</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38</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03856C0">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19.迟交的投标文件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86D0F0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20.投标样品（如需提交）</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B8BEF5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21.投标截止期</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8DEAF0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22.投标文件的补充、修改与撤回</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FEEC5E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五、开标与评标</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40</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76DE5AB">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23.开标</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40</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2BBC32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24.评标委员会及评标方法</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40</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5BB876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25.评审原则及评标过程的保密</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41</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D2A1340">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26.评标程序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41</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D832AFD">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27.商务、技术、价格评审（具体评审项目详见投标资料表）</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8D3272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28.纪律和保密事项</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F6D72C0">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六、授予合同</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1E1EAD5">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29.合同授予标准</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A87E406">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30.发布中标结果</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75E8F27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31.资格后审</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3D7D29B">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32.合同的签订与履行</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4F4FF88">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33.履约担保</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387F46F">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34.预付款保函（适用于预付款支付）</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5A994AB">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七、异议</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867E19A">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35.异议</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55859AB">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八、其他</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251B64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36.采购文件的解释权</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E643C4E">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第五部分  合同条款格式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47</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07C82B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第六部分 附件－投标文件格式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47</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728909C5">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投标文件目录</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66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B8D7C6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价格文件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67</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A219617">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附件1.开标一览表格式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68</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37E509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商务文件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69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A476F7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附件1：商务评审评分标准索引表</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70</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11CF57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附件2.投标书格式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71</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FD53089">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附件3. 法定代表人证明书格式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B50D168">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附件4.法定代表人授权书格式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D5DF0E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附件5.资格申明</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CB24275">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附件6.营业执照</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5166A35">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附件7.相关资质证明文件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D4C8030">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附件8.在经营活动中没有重大违法记录的书面声明格式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_Toc182308040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77</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C7F9F28">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附件9. 未被列入“信用中国”记录失信被执行人或重大税收违法失信主体或政府采购严</w:t>
      </w:r>
    </w:p>
    <w:p w14:paraId="07A35D4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t>重违法失信行为记录名单的证明资料</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_Toc182308041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78</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4577CA6">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附件10.承诺书格式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_Toc182308042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E20D726">
      <w:pPr>
        <w:pStyle w:val="25"/>
        <w:ind w:left="0" w:leftChars="0"/>
        <w:jc w:val="center"/>
        <w:rPr>
          <w:rStyle w:val="35"/>
          <w:rFonts w:hint="eastAsia" w:ascii="宋体" w:hAnsi="宋体" w:eastAsia="宋体" w:cs="宋体"/>
          <w:b w:val="0"/>
          <w:bCs w:val="0"/>
          <w:color w:val="auto"/>
          <w:sz w:val="21"/>
          <w:szCs w:val="21"/>
          <w:highlight w:val="none"/>
          <w:lang w:val="en-US" w:eastAsia="zh-CN"/>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附件11.商务需求条款偏离表格式</w:t>
      </w:r>
      <w:r>
        <w:rPr>
          <w:rStyle w:val="35"/>
          <w:rFonts w:hint="eastAsia" w:ascii="宋体" w:hAnsi="宋体" w:eastAsia="宋体" w:cs="宋体"/>
          <w:b w:val="0"/>
          <w:bCs w:val="0"/>
          <w:color w:val="auto"/>
          <w:sz w:val="21"/>
          <w:szCs w:val="21"/>
          <w:highlight w:val="none"/>
        </w:rPr>
        <w:tab/>
      </w:r>
      <w:r>
        <w:rPr>
          <w:rStyle w:val="35"/>
          <w:rFonts w:hint="eastAsia" w:cs="宋体"/>
          <w:b w:val="0"/>
          <w:bCs w:val="0"/>
          <w:color w:val="auto"/>
          <w:sz w:val="21"/>
          <w:szCs w:val="21"/>
          <w:highlight w:val="none"/>
          <w:lang w:val="en-US" w:eastAsia="zh-CN"/>
        </w:rPr>
        <w:t>8</w:t>
      </w:r>
      <w:r>
        <w:rPr>
          <w:rStyle w:val="35"/>
          <w:rFonts w:hint="eastAsia" w:ascii="宋体" w:hAnsi="宋体" w:eastAsia="宋体" w:cs="宋体"/>
          <w:b w:val="0"/>
          <w:bCs w:val="0"/>
          <w:color w:val="auto"/>
          <w:sz w:val="21"/>
          <w:szCs w:val="21"/>
          <w:highlight w:val="none"/>
        </w:rPr>
        <w:fldChar w:fldCharType="end"/>
      </w:r>
      <w:r>
        <w:rPr>
          <w:rStyle w:val="35"/>
          <w:rFonts w:hint="eastAsia" w:cs="宋体"/>
          <w:b w:val="0"/>
          <w:bCs w:val="0"/>
          <w:color w:val="auto"/>
          <w:sz w:val="21"/>
          <w:szCs w:val="21"/>
          <w:highlight w:val="none"/>
          <w:lang w:val="en-US" w:eastAsia="zh-CN"/>
        </w:rPr>
        <w:t>0</w:t>
      </w:r>
    </w:p>
    <w:p w14:paraId="6AB844E2">
      <w:pPr>
        <w:pStyle w:val="25"/>
        <w:ind w:left="0" w:leftChars="0"/>
        <w:jc w:val="center"/>
        <w:rPr>
          <w:rStyle w:val="35"/>
          <w:rFonts w:hint="eastAsia" w:ascii="宋体" w:hAnsi="宋体" w:eastAsia="宋体" w:cs="宋体"/>
          <w:b w:val="0"/>
          <w:bCs w:val="0"/>
          <w:color w:val="auto"/>
          <w:sz w:val="21"/>
          <w:szCs w:val="21"/>
          <w:highlight w:val="none"/>
          <w:lang w:val="en-US" w:eastAsia="zh-CN"/>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附件12.业绩表</w:t>
      </w:r>
      <w:r>
        <w:rPr>
          <w:rStyle w:val="35"/>
          <w:rFonts w:hint="eastAsia" w:ascii="宋体" w:hAnsi="宋体" w:eastAsia="宋体" w:cs="宋体"/>
          <w:b w:val="0"/>
          <w:bCs w:val="0"/>
          <w:color w:val="auto"/>
          <w:sz w:val="21"/>
          <w:szCs w:val="21"/>
          <w:highlight w:val="none"/>
        </w:rPr>
        <w:tab/>
      </w:r>
      <w:r>
        <w:rPr>
          <w:rStyle w:val="35"/>
          <w:rFonts w:hint="eastAsia" w:cs="宋体"/>
          <w:b w:val="0"/>
          <w:bCs w:val="0"/>
          <w:color w:val="auto"/>
          <w:sz w:val="21"/>
          <w:szCs w:val="21"/>
          <w:highlight w:val="none"/>
          <w:lang w:val="en-US" w:eastAsia="zh-CN"/>
        </w:rPr>
        <w:t>8</w:t>
      </w:r>
      <w:r>
        <w:rPr>
          <w:rStyle w:val="35"/>
          <w:rFonts w:hint="eastAsia" w:ascii="宋体" w:hAnsi="宋体" w:eastAsia="宋体" w:cs="宋体"/>
          <w:b w:val="0"/>
          <w:bCs w:val="0"/>
          <w:color w:val="auto"/>
          <w:sz w:val="21"/>
          <w:szCs w:val="21"/>
          <w:highlight w:val="none"/>
        </w:rPr>
        <w:fldChar w:fldCharType="end"/>
      </w:r>
      <w:r>
        <w:rPr>
          <w:rStyle w:val="35"/>
          <w:rFonts w:hint="eastAsia" w:cs="宋体"/>
          <w:b w:val="0"/>
          <w:bCs w:val="0"/>
          <w:color w:val="auto"/>
          <w:sz w:val="21"/>
          <w:szCs w:val="21"/>
          <w:highlight w:val="none"/>
          <w:lang w:val="en-US" w:eastAsia="zh-CN"/>
        </w:rPr>
        <w:t>1</w:t>
      </w:r>
    </w:p>
    <w:p w14:paraId="53032F38">
      <w:pPr>
        <w:pStyle w:val="25"/>
        <w:ind w:left="0" w:leftChars="0"/>
        <w:jc w:val="center"/>
        <w:rPr>
          <w:rStyle w:val="35"/>
          <w:rFonts w:hint="eastAsia" w:ascii="宋体" w:hAnsi="宋体" w:eastAsia="宋体" w:cs="宋体"/>
          <w:b w:val="0"/>
          <w:bCs w:val="0"/>
          <w:color w:val="auto"/>
          <w:sz w:val="21"/>
          <w:szCs w:val="21"/>
          <w:highlight w:val="none"/>
          <w:lang w:val="en-US" w:eastAsia="zh-CN"/>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附件13.</w:t>
      </w:r>
      <w:r>
        <w:rPr>
          <w:rStyle w:val="35"/>
          <w:rFonts w:hint="eastAsia" w:cs="宋体"/>
          <w:b w:val="0"/>
          <w:bCs w:val="0"/>
          <w:color w:val="auto"/>
          <w:sz w:val="21"/>
          <w:szCs w:val="21"/>
          <w:highlight w:val="none"/>
          <w:lang w:val="en-US" w:eastAsia="zh-CN"/>
        </w:rPr>
        <w:t>承诺函</w:t>
      </w:r>
      <w:r>
        <w:rPr>
          <w:rStyle w:val="35"/>
          <w:rFonts w:hint="eastAsia" w:ascii="宋体" w:hAnsi="宋体" w:eastAsia="宋体" w:cs="宋体"/>
          <w:b w:val="0"/>
          <w:bCs w:val="0"/>
          <w:color w:val="auto"/>
          <w:sz w:val="21"/>
          <w:szCs w:val="21"/>
          <w:highlight w:val="none"/>
        </w:rPr>
        <w:tab/>
      </w:r>
      <w:r>
        <w:rPr>
          <w:rStyle w:val="35"/>
          <w:rFonts w:hint="eastAsia" w:cs="宋体"/>
          <w:b w:val="0"/>
          <w:bCs w:val="0"/>
          <w:color w:val="auto"/>
          <w:sz w:val="21"/>
          <w:szCs w:val="21"/>
          <w:highlight w:val="none"/>
          <w:lang w:val="en-US" w:eastAsia="zh-CN"/>
        </w:rPr>
        <w:t>7</w:t>
      </w:r>
      <w:r>
        <w:rPr>
          <w:rStyle w:val="35"/>
          <w:rFonts w:hint="eastAsia" w:ascii="宋体" w:hAnsi="宋体" w:eastAsia="宋体" w:cs="宋体"/>
          <w:b w:val="0"/>
          <w:bCs w:val="0"/>
          <w:color w:val="auto"/>
          <w:sz w:val="21"/>
          <w:szCs w:val="21"/>
          <w:highlight w:val="none"/>
        </w:rPr>
        <w:fldChar w:fldCharType="end"/>
      </w:r>
      <w:r>
        <w:rPr>
          <w:rStyle w:val="35"/>
          <w:rFonts w:hint="eastAsia" w:cs="宋体"/>
          <w:b w:val="0"/>
          <w:bCs w:val="0"/>
          <w:color w:val="auto"/>
          <w:sz w:val="21"/>
          <w:szCs w:val="21"/>
          <w:highlight w:val="none"/>
          <w:lang w:val="en-US" w:eastAsia="zh-CN"/>
        </w:rPr>
        <w:t>9</w:t>
      </w:r>
    </w:p>
    <w:p w14:paraId="733CEBC5">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附件14. 体系认证资料</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_Toc182308046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4AC6CB8">
      <w:pPr>
        <w:pStyle w:val="25"/>
        <w:ind w:left="0" w:leftChars="0"/>
        <w:jc w:val="center"/>
        <w:rPr>
          <w:rStyle w:val="35"/>
          <w:rFonts w:hint="eastAsia" w:ascii="宋体" w:hAnsi="宋体" w:eastAsia="宋体" w:cs="宋体"/>
          <w:b w:val="0"/>
          <w:bCs w:val="0"/>
          <w:color w:val="auto"/>
          <w:sz w:val="21"/>
          <w:szCs w:val="21"/>
          <w:highlight w:val="none"/>
          <w:lang w:val="en-US" w:eastAsia="zh-CN"/>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附件15. 财务资料</w:t>
      </w:r>
      <w:r>
        <w:rPr>
          <w:rStyle w:val="35"/>
          <w:rFonts w:hint="eastAsia" w:ascii="宋体" w:hAnsi="宋体" w:eastAsia="宋体" w:cs="宋体"/>
          <w:b w:val="0"/>
          <w:bCs w:val="0"/>
          <w:color w:val="auto"/>
          <w:sz w:val="21"/>
          <w:szCs w:val="21"/>
          <w:highlight w:val="none"/>
        </w:rPr>
        <w:tab/>
      </w:r>
      <w:r>
        <w:rPr>
          <w:rStyle w:val="35"/>
          <w:rFonts w:hint="eastAsia" w:cs="宋体"/>
          <w:b w:val="0"/>
          <w:bCs w:val="0"/>
          <w:color w:val="auto"/>
          <w:sz w:val="21"/>
          <w:szCs w:val="21"/>
          <w:highlight w:val="none"/>
          <w:lang w:val="en-US" w:eastAsia="zh-CN"/>
        </w:rPr>
        <w:t>8</w:t>
      </w:r>
      <w:r>
        <w:rPr>
          <w:rStyle w:val="35"/>
          <w:rFonts w:hint="eastAsia" w:ascii="宋体" w:hAnsi="宋体" w:eastAsia="宋体" w:cs="宋体"/>
          <w:b w:val="0"/>
          <w:bCs w:val="0"/>
          <w:color w:val="auto"/>
          <w:sz w:val="21"/>
          <w:szCs w:val="21"/>
          <w:highlight w:val="none"/>
        </w:rPr>
        <w:fldChar w:fldCharType="end"/>
      </w:r>
      <w:r>
        <w:rPr>
          <w:rStyle w:val="35"/>
          <w:rFonts w:hint="eastAsia" w:cs="宋体"/>
          <w:b w:val="0"/>
          <w:bCs w:val="0"/>
          <w:color w:val="auto"/>
          <w:sz w:val="21"/>
          <w:szCs w:val="21"/>
          <w:highlight w:val="none"/>
          <w:lang w:val="en-US" w:eastAsia="zh-CN"/>
        </w:rPr>
        <w:t>4</w:t>
      </w:r>
    </w:p>
    <w:p w14:paraId="5A397D2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附件16. 实施本项目的有关人员资料表格式（包括相关人员相关证书资料）</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_Toc182308048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0FB5F4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附件17. 有关人员近期的社保缴纳情况</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_Toc182308049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8964855">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技术文件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87</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1F8CC6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 技术评分标准索引表</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88</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8CFD48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附件2. 技术规格偏离表格式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7D36E1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附件3. 项目实施方案格式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90</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10A15AE">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唱标信封</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91</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FD71CA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附件1.开标一览表（按价格文件要求编制）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67F750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附件2.法定代表人证明书（按商务文件要求编制）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A2E42B9">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附件3.法定代表人授权委托书加盖公章（按商务文件要求编制）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0B1211E">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附件4.投标保证金汇入情况说明（含银行汇款凭证）</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B54CCCB">
      <w:pPr>
        <w:pStyle w:val="25"/>
        <w:ind w:left="0" w:leftChars="0" w:firstLine="630" w:firstLineChars="300"/>
        <w:jc w:val="both"/>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附件5.投标文件电子文件（U盘，须含盖章版PDF投标文件和WORD版投标文件各一版，</w:t>
      </w:r>
    </w:p>
    <w:p w14:paraId="1802DEBF">
      <w:pPr>
        <w:pStyle w:val="25"/>
        <w:ind w:left="0" w:leftChars="0"/>
        <w:jc w:val="center"/>
        <w:rPr>
          <w:rStyle w:val="35"/>
          <w:rFonts w:hint="eastAsia" w:ascii="宋体" w:hAnsi="宋体" w:eastAsia="宋体" w:cs="宋体"/>
          <w:color w:val="auto"/>
          <w:sz w:val="21"/>
          <w:szCs w:val="21"/>
          <w:highlight w:val="none"/>
        </w:rPr>
      </w:pPr>
      <w:r>
        <w:rPr>
          <w:rStyle w:val="35"/>
          <w:rFonts w:hint="eastAsia" w:ascii="宋体" w:hAnsi="宋体" w:eastAsia="宋体" w:cs="宋体"/>
          <w:b w:val="0"/>
          <w:bCs w:val="0"/>
          <w:color w:val="auto"/>
          <w:sz w:val="21"/>
          <w:szCs w:val="21"/>
          <w:highlight w:val="none"/>
        </w:rPr>
        <w:t>文字采用WORD文档，计算表格采用 EXCEL文档。）</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B097F29">
      <w:pPr>
        <w:pStyle w:val="22"/>
        <w:spacing w:after="0"/>
        <w:ind w:left="0" w:leftChars="0" w:firstLine="632" w:firstLineChars="300"/>
        <w:jc w:val="center"/>
        <w:rPr>
          <w:rFonts w:cs="宋体"/>
          <w:color w:val="auto"/>
          <w:szCs w:val="21"/>
          <w:highlight w:val="none"/>
        </w:rPr>
      </w:pPr>
      <w:r>
        <w:rPr>
          <w:rStyle w:val="35"/>
          <w:rFonts w:hint="eastAsia" w:ascii="宋体" w:hAnsi="宋体" w:eastAsia="宋体" w:cs="宋体"/>
          <w:bCs/>
          <w:color w:val="auto"/>
          <w:sz w:val="21"/>
          <w:szCs w:val="21"/>
          <w:highlight w:val="none"/>
        </w:rPr>
        <w:fldChar w:fldCharType="end"/>
      </w:r>
    </w:p>
    <w:p w14:paraId="176B7284">
      <w:pPr>
        <w:rPr>
          <w:rFonts w:hint="eastAsia" w:ascii="宋体" w:hAnsi="宋体" w:cs="宋体"/>
          <w:color w:val="auto"/>
          <w:szCs w:val="21"/>
          <w:highlight w:val="none"/>
        </w:rPr>
      </w:pPr>
      <w:r>
        <w:rPr>
          <w:rFonts w:hint="eastAsia" w:ascii="宋体" w:hAnsi="宋体" w:cs="宋体"/>
          <w:color w:val="auto"/>
          <w:szCs w:val="21"/>
          <w:highlight w:val="none"/>
        </w:rPr>
        <w:br w:type="page"/>
      </w:r>
    </w:p>
    <w:p w14:paraId="76EAA66F">
      <w:pPr>
        <w:pStyle w:val="6"/>
        <w:spacing w:before="0" w:after="0" w:line="240" w:lineRule="auto"/>
        <w:rPr>
          <w:color w:val="auto"/>
          <w:sz w:val="28"/>
          <w:szCs w:val="28"/>
          <w:highlight w:val="none"/>
        </w:rPr>
      </w:pPr>
      <w:bookmarkStart w:id="0" w:name="_Toc182307965"/>
      <w:r>
        <w:rPr>
          <w:rFonts w:hint="eastAsia"/>
          <w:color w:val="auto"/>
          <w:sz w:val="28"/>
          <w:szCs w:val="28"/>
          <w:highlight w:val="none"/>
        </w:rPr>
        <w:t>第一部分投标邀请</w:t>
      </w:r>
      <w:bookmarkEnd w:id="0"/>
    </w:p>
    <w:p w14:paraId="75CC4F1C">
      <w:pPr>
        <w:pStyle w:val="7"/>
        <w:spacing w:before="0" w:after="0" w:line="360" w:lineRule="auto"/>
        <w:jc w:val="center"/>
        <w:rPr>
          <w:rFonts w:hint="eastAsia" w:ascii="宋体" w:hAnsi="宋体" w:cs="宋体"/>
          <w:color w:val="auto"/>
          <w:highlight w:val="none"/>
        </w:rPr>
      </w:pPr>
      <w:bookmarkStart w:id="1" w:name="_Toc182307966"/>
      <w:r>
        <w:rPr>
          <w:rFonts w:hint="eastAsia" w:ascii="宋体" w:hAnsi="宋体" w:cs="宋体"/>
          <w:color w:val="auto"/>
          <w:highlight w:val="none"/>
        </w:rPr>
        <w:t>投标邀请书</w:t>
      </w:r>
      <w:bookmarkEnd w:id="1"/>
    </w:p>
    <w:p w14:paraId="77017D68">
      <w:pPr>
        <w:ind w:firstLine="422" w:firstLineChars="200"/>
        <w:rPr>
          <w:rFonts w:hint="eastAsia" w:ascii="宋体" w:hAnsi="宋体"/>
          <w:color w:val="auto"/>
          <w:szCs w:val="21"/>
          <w:highlight w:val="none"/>
        </w:rPr>
      </w:pPr>
      <w:r>
        <w:rPr>
          <w:rFonts w:hint="eastAsia" w:ascii="宋体" w:hAnsi="宋体"/>
          <w:b/>
          <w:bCs/>
          <w:color w:val="auto"/>
          <w:szCs w:val="21"/>
          <w:highlight w:val="none"/>
          <w:u w:val="single"/>
          <w:lang w:eastAsia="zh-CN"/>
        </w:rPr>
        <w:t>广州宏达工程顾问集团有限公司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color w:val="auto"/>
          <w:szCs w:val="21"/>
          <w:highlight w:val="none"/>
          <w:u w:val="single"/>
          <w:lang w:eastAsia="zh-CN"/>
        </w:rPr>
        <w:t>东莞市新有能源投资有限公司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color w:val="auto"/>
          <w:szCs w:val="21"/>
          <w:highlight w:val="none"/>
          <w:u w:val="single"/>
          <w:lang w:eastAsia="zh-CN"/>
        </w:rPr>
        <w:t>东莞浩成玩具有限公司550kW/2200kWh用户侧储能项目</w:t>
      </w:r>
      <w:r>
        <w:rPr>
          <w:rFonts w:hint="eastAsia" w:ascii="宋体" w:hAnsi="宋体"/>
          <w:color w:val="auto"/>
          <w:szCs w:val="21"/>
          <w:highlight w:val="none"/>
        </w:rPr>
        <w:t>（项目编号：</w:t>
      </w:r>
      <w:r>
        <w:rPr>
          <w:rFonts w:hint="eastAsia" w:ascii="宋体" w:hAnsi="宋体"/>
          <w:b/>
          <w:bCs/>
          <w:color w:val="auto"/>
          <w:szCs w:val="21"/>
          <w:highlight w:val="none"/>
          <w:lang w:eastAsia="zh-CN"/>
        </w:rPr>
        <w:t>WTZB2025DG0064</w:t>
      </w:r>
      <w:r>
        <w:rPr>
          <w:rFonts w:hint="eastAsia" w:ascii="宋体" w:hAnsi="宋体"/>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37531762">
      <w:pPr>
        <w:ind w:firstLine="413" w:firstLineChars="196"/>
        <w:rPr>
          <w:rFonts w:hint="eastAsia" w:ascii="宋体" w:hAnsi="宋体"/>
          <w:b/>
          <w:color w:val="auto"/>
          <w:szCs w:val="21"/>
          <w:highlight w:val="none"/>
        </w:rPr>
      </w:pPr>
    </w:p>
    <w:p w14:paraId="29EC4748">
      <w:pPr>
        <w:rPr>
          <w:rFonts w:hint="eastAsia" w:ascii="宋体" w:hAnsi="宋体"/>
          <w:b/>
          <w:color w:val="auto"/>
          <w:szCs w:val="21"/>
          <w:highlight w:val="none"/>
        </w:rPr>
      </w:pPr>
      <w:r>
        <w:rPr>
          <w:rFonts w:hint="eastAsia" w:ascii="宋体" w:hAnsi="宋体"/>
          <w:b/>
          <w:color w:val="auto"/>
          <w:szCs w:val="21"/>
          <w:highlight w:val="none"/>
        </w:rPr>
        <w:t>一、采购项目概况</w:t>
      </w:r>
    </w:p>
    <w:p w14:paraId="1E7DE11D">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1、采购项目名称：</w:t>
      </w:r>
      <w:r>
        <w:rPr>
          <w:rFonts w:hint="eastAsia" w:ascii="宋体" w:hAnsi="宋体" w:cs="宋体"/>
          <w:b/>
          <w:color w:val="auto"/>
          <w:sz w:val="21"/>
          <w:szCs w:val="21"/>
          <w:highlight w:val="none"/>
          <w:u w:val="single"/>
          <w:lang w:eastAsia="zh-CN"/>
        </w:rPr>
        <w:t>东莞浩成玩具有限公司550kW/2200kWh用户侧储能项目</w:t>
      </w:r>
    </w:p>
    <w:p w14:paraId="3EC05601">
      <w:pPr>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2、预算金额（元）：</w:t>
      </w:r>
      <w:r>
        <w:rPr>
          <w:rFonts w:hint="eastAsia" w:ascii="宋体" w:hAnsi="宋体" w:eastAsia="宋体" w:cs="宋体"/>
          <w:color w:val="auto"/>
          <w:sz w:val="21"/>
          <w:szCs w:val="21"/>
          <w:highlight w:val="none"/>
          <w:u w:val="single"/>
        </w:rPr>
        <w:t>¥</w:t>
      </w:r>
      <w:r>
        <w:rPr>
          <w:rFonts w:hint="eastAsia" w:ascii="宋体" w:hAnsi="宋体" w:cs="宋体"/>
          <w:color w:val="auto"/>
          <w:sz w:val="21"/>
          <w:szCs w:val="21"/>
          <w:highlight w:val="none"/>
          <w:u w:val="single"/>
          <w:lang w:val="en-US" w:eastAsia="zh-CN"/>
        </w:rPr>
        <w:t>2,332,000.00</w:t>
      </w:r>
      <w:r>
        <w:rPr>
          <w:rFonts w:hint="eastAsia" w:ascii="宋体" w:hAnsi="宋体" w:eastAsia="宋体" w:cs="宋体"/>
          <w:color w:val="auto"/>
          <w:sz w:val="21"/>
          <w:szCs w:val="21"/>
          <w:highlight w:val="none"/>
          <w:u w:val="single"/>
        </w:rPr>
        <w:t>元</w:t>
      </w:r>
    </w:p>
    <w:p w14:paraId="1350C0A3">
      <w:pPr>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最高限价</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u w:val="single"/>
        </w:rPr>
        <w:t>¥</w:t>
      </w:r>
      <w:r>
        <w:rPr>
          <w:rFonts w:hint="eastAsia" w:ascii="宋体" w:hAnsi="宋体" w:cs="宋体"/>
          <w:color w:val="auto"/>
          <w:sz w:val="21"/>
          <w:szCs w:val="21"/>
          <w:highlight w:val="none"/>
          <w:u w:val="single"/>
          <w:lang w:val="en-US" w:eastAsia="zh-CN"/>
        </w:rPr>
        <w:t>2,332,000.00</w:t>
      </w:r>
      <w:r>
        <w:rPr>
          <w:rFonts w:hint="eastAsia" w:ascii="宋体" w:hAnsi="宋体" w:eastAsia="宋体" w:cs="宋体"/>
          <w:color w:val="auto"/>
          <w:sz w:val="21"/>
          <w:szCs w:val="21"/>
          <w:highlight w:val="none"/>
          <w:u w:val="single"/>
        </w:rPr>
        <w:t>元</w:t>
      </w:r>
    </w:p>
    <w:p w14:paraId="25DC7035">
      <w:pPr>
        <w:ind w:firstLine="420" w:firstLineChars="200"/>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、本项目</w:t>
      </w:r>
      <w:r>
        <w:rPr>
          <w:rFonts w:hint="eastAsia" w:ascii="宋体" w:hAnsi="宋体" w:eastAsia="宋体" w:cs="宋体"/>
          <w:b/>
          <w:bCs/>
          <w:color w:val="auto"/>
          <w:sz w:val="21"/>
          <w:szCs w:val="21"/>
          <w:highlight w:val="none"/>
          <w:lang w:val="en-US" w:eastAsia="zh-CN"/>
        </w:rPr>
        <w:t>不接受</w:t>
      </w:r>
      <w:r>
        <w:rPr>
          <w:rFonts w:hint="eastAsia" w:ascii="宋体" w:hAnsi="宋体" w:eastAsia="宋体" w:cs="宋体"/>
          <w:color w:val="auto"/>
          <w:sz w:val="21"/>
          <w:szCs w:val="21"/>
          <w:highlight w:val="none"/>
          <w:lang w:val="en-US" w:eastAsia="zh-CN"/>
        </w:rPr>
        <w:t>联合体投标。</w:t>
      </w:r>
    </w:p>
    <w:p w14:paraId="3061DAC9">
      <w:pPr>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、项目内容</w:t>
      </w:r>
    </w:p>
    <w:tbl>
      <w:tblPr>
        <w:tblStyle w:val="29"/>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8"/>
        <w:gridCol w:w="1843"/>
        <w:gridCol w:w="1530"/>
        <w:gridCol w:w="2074"/>
        <w:gridCol w:w="1712"/>
      </w:tblGrid>
      <w:tr w14:paraId="6D105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1" w:hRule="atLeast"/>
          <w:jc w:val="center"/>
        </w:trPr>
        <w:tc>
          <w:tcPr>
            <w:tcW w:w="1968" w:type="dxa"/>
            <w:vAlign w:val="center"/>
          </w:tcPr>
          <w:p w14:paraId="4C2A7EA7">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项目规模</w:t>
            </w:r>
          </w:p>
        </w:tc>
        <w:tc>
          <w:tcPr>
            <w:tcW w:w="1843" w:type="dxa"/>
            <w:vAlign w:val="center"/>
          </w:tcPr>
          <w:p w14:paraId="2976923B">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技术规格、参数及要求</w:t>
            </w:r>
          </w:p>
        </w:tc>
        <w:tc>
          <w:tcPr>
            <w:tcW w:w="1530" w:type="dxa"/>
            <w:vAlign w:val="center"/>
          </w:tcPr>
          <w:p w14:paraId="2DAEF2D1">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采购供货</w:t>
            </w:r>
          </w:p>
          <w:p w14:paraId="2C574BC3">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单位数量</w:t>
            </w:r>
          </w:p>
        </w:tc>
        <w:tc>
          <w:tcPr>
            <w:tcW w:w="2074" w:type="dxa"/>
            <w:vAlign w:val="center"/>
          </w:tcPr>
          <w:p w14:paraId="48A71FAA">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完工期</w:t>
            </w:r>
          </w:p>
        </w:tc>
        <w:tc>
          <w:tcPr>
            <w:tcW w:w="1712" w:type="dxa"/>
            <w:vAlign w:val="center"/>
          </w:tcPr>
          <w:p w14:paraId="47D08AAC">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单价最高限价</w:t>
            </w:r>
          </w:p>
        </w:tc>
      </w:tr>
      <w:tr w14:paraId="673CA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968" w:type="dxa"/>
            <w:vAlign w:val="center"/>
          </w:tcPr>
          <w:p w14:paraId="572292D3">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550kW/2200kWh</w:t>
            </w:r>
          </w:p>
        </w:tc>
        <w:tc>
          <w:tcPr>
            <w:tcW w:w="1843" w:type="dxa"/>
            <w:vAlign w:val="center"/>
          </w:tcPr>
          <w:p w14:paraId="270BD853">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详见采购文件</w:t>
            </w:r>
          </w:p>
        </w:tc>
        <w:tc>
          <w:tcPr>
            <w:tcW w:w="1530" w:type="dxa"/>
            <w:vAlign w:val="center"/>
          </w:tcPr>
          <w:p w14:paraId="199972FA">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1家</w:t>
            </w:r>
          </w:p>
        </w:tc>
        <w:tc>
          <w:tcPr>
            <w:tcW w:w="2074" w:type="dxa"/>
            <w:vAlign w:val="center"/>
          </w:tcPr>
          <w:p w14:paraId="36C9E347">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40 天(以开工令开始计算)</w:t>
            </w:r>
          </w:p>
        </w:tc>
        <w:tc>
          <w:tcPr>
            <w:tcW w:w="1712" w:type="dxa"/>
            <w:vAlign w:val="center"/>
          </w:tcPr>
          <w:p w14:paraId="55C127D0">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1060元/kWh</w:t>
            </w:r>
          </w:p>
        </w:tc>
      </w:tr>
      <w:tr w14:paraId="17430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9127" w:type="dxa"/>
            <w:gridSpan w:val="5"/>
            <w:vAlign w:val="center"/>
          </w:tcPr>
          <w:p w14:paraId="3E017006">
            <w:pPr>
              <w:spacing w:line="240" w:lineRule="auto"/>
              <w:jc w:val="left"/>
              <w:rPr>
                <w:rFonts w:hint="eastAsia" w:ascii="宋体" w:hAnsi="宋体" w:cs="宋体"/>
                <w:color w:val="auto"/>
                <w:kern w:val="2"/>
                <w:sz w:val="21"/>
                <w:szCs w:val="21"/>
                <w:highlight w:val="none"/>
                <w:lang w:val="en-US" w:eastAsia="zh-CN" w:bidi="ar-SA"/>
              </w:rPr>
            </w:pPr>
            <w:r>
              <w:rPr>
                <w:rFonts w:hint="eastAsia" w:ascii="宋体" w:hAnsi="宋体" w:eastAsia="宋体" w:cs="宋体"/>
                <w:b/>
                <w:bCs/>
                <w:i w:val="0"/>
                <w:iCs w:val="0"/>
                <w:color w:val="000000"/>
                <w:sz w:val="24"/>
                <w:szCs w:val="24"/>
                <w:highlight w:val="none"/>
                <w:u w:val="none"/>
                <w:lang w:val="en-US" w:eastAsia="zh-CN"/>
              </w:rPr>
              <w:t>注：最终结算价根据中标单价乘以实际容量进行结算。</w:t>
            </w:r>
          </w:p>
        </w:tc>
      </w:tr>
    </w:tbl>
    <w:p w14:paraId="02CEFE13">
      <w:pPr>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、项目需求：详细内容请参阅采购文件第三部分《用户需求书》。</w:t>
      </w:r>
    </w:p>
    <w:p w14:paraId="575EB128">
      <w:pPr>
        <w:ind w:firstLine="411" w:firstLineChars="196"/>
        <w:rPr>
          <w:rFonts w:hint="eastAsia" w:ascii="宋体" w:hAnsi="宋体"/>
          <w:color w:val="auto"/>
          <w:szCs w:val="21"/>
          <w:highlight w:val="none"/>
        </w:rPr>
      </w:pPr>
    </w:p>
    <w:p w14:paraId="125B546E">
      <w:pPr>
        <w:rPr>
          <w:rFonts w:hint="eastAsia" w:ascii="宋体" w:hAnsi="宋体"/>
          <w:b/>
          <w:color w:val="auto"/>
          <w:szCs w:val="21"/>
          <w:highlight w:val="none"/>
        </w:rPr>
      </w:pPr>
      <w:r>
        <w:rPr>
          <w:rFonts w:hint="eastAsia" w:ascii="宋体" w:hAnsi="宋体"/>
          <w:b/>
          <w:color w:val="auto"/>
          <w:szCs w:val="21"/>
          <w:highlight w:val="none"/>
        </w:rPr>
        <w:t>二、投标人资格要求</w:t>
      </w:r>
    </w:p>
    <w:p w14:paraId="3809D0D7">
      <w:pPr>
        <w:ind w:firstLine="411" w:firstLineChars="196"/>
        <w:rPr>
          <w:rFonts w:hint="eastAsia" w:ascii="宋体" w:hAnsi="宋体"/>
          <w:color w:val="auto"/>
          <w:szCs w:val="21"/>
          <w:highlight w:val="none"/>
        </w:rPr>
      </w:pPr>
      <w:r>
        <w:rPr>
          <w:rFonts w:hint="eastAsia" w:ascii="宋体" w:hAnsi="宋体"/>
          <w:color w:val="auto"/>
          <w:szCs w:val="21"/>
          <w:highlight w:val="none"/>
        </w:rPr>
        <w:t>1、一般要求：</w:t>
      </w:r>
    </w:p>
    <w:p w14:paraId="5B3906B0">
      <w:pPr>
        <w:ind w:firstLine="420" w:firstLineChars="200"/>
        <w:rPr>
          <w:rFonts w:hint="eastAsia" w:ascii="宋体" w:hAnsi="宋体"/>
          <w:color w:val="auto"/>
          <w:szCs w:val="21"/>
          <w:highlight w:val="none"/>
        </w:rPr>
      </w:pPr>
      <w:r>
        <w:rPr>
          <w:rFonts w:hint="eastAsia" w:ascii="宋体" w:hAnsi="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643B9D7B">
      <w:pPr>
        <w:ind w:firstLine="420" w:firstLineChars="200"/>
        <w:rPr>
          <w:rFonts w:hint="eastAsia" w:ascii="宋体" w:hAnsi="宋体"/>
          <w:color w:val="auto"/>
          <w:szCs w:val="21"/>
          <w:highlight w:val="none"/>
        </w:rPr>
      </w:pPr>
      <w:r>
        <w:rPr>
          <w:rFonts w:hint="eastAsia" w:ascii="宋体" w:hAnsi="宋体"/>
          <w:color w:val="auto"/>
          <w:szCs w:val="21"/>
          <w:highlight w:val="none"/>
        </w:rPr>
        <w:t>（2）参加采购活动前三年内，在经营活动中没有重大违法记录（须提供书面声明）。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21DCC015">
      <w:pPr>
        <w:ind w:firstLine="420" w:firstLineChars="200"/>
        <w:rPr>
          <w:rFonts w:hint="eastAsia" w:ascii="宋体" w:hAnsi="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p w14:paraId="3511B38C">
      <w:pPr>
        <w:shd w:val="clear"/>
        <w:ind w:firstLine="420" w:firstLineChars="200"/>
        <w:rPr>
          <w:rFonts w:hint="eastAsia" w:ascii="宋体" w:hAnsi="宋体"/>
          <w:color w:val="auto"/>
          <w:szCs w:val="21"/>
          <w:highlight w:val="none"/>
        </w:rPr>
      </w:pPr>
      <w:r>
        <w:rPr>
          <w:rFonts w:hint="eastAsia" w:ascii="宋体" w:hAnsi="宋体"/>
          <w:color w:val="auto"/>
          <w:szCs w:val="21"/>
          <w:highlight w:val="none"/>
        </w:rPr>
        <w:t>（4）未被列入“信用中国”网站（www.creditchina.gov.cn)“记录失信被执行人或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p w14:paraId="0CBAE800">
      <w:pPr>
        <w:shd w:val="clear"/>
        <w:ind w:firstLine="420" w:firstLineChars="200"/>
        <w:rPr>
          <w:rFonts w:hint="eastAsia" w:ascii="宋体" w:hAnsi="宋体"/>
          <w:color w:val="auto"/>
          <w:szCs w:val="21"/>
          <w:highlight w:val="none"/>
        </w:rPr>
      </w:pPr>
      <w:r>
        <w:rPr>
          <w:rFonts w:hint="eastAsia" w:ascii="宋体" w:hAnsi="宋体"/>
          <w:color w:val="auto"/>
          <w:szCs w:val="21"/>
          <w:highlight w:val="none"/>
        </w:rPr>
        <w:t>（5）投标人自</w:t>
      </w:r>
      <w:r>
        <w:rPr>
          <w:rFonts w:hint="eastAsia" w:ascii="宋体" w:hAnsi="宋体"/>
          <w:color w:val="auto"/>
          <w:szCs w:val="21"/>
          <w:highlight w:val="none"/>
          <w:lang w:val="en-US" w:eastAsia="zh-CN"/>
        </w:rPr>
        <w:t>采购</w:t>
      </w:r>
      <w:r>
        <w:rPr>
          <w:rFonts w:hint="eastAsia" w:ascii="宋体" w:hAnsi="宋体"/>
          <w:color w:val="auto"/>
          <w:szCs w:val="21"/>
          <w:highlight w:val="none"/>
        </w:rPr>
        <w:t>公告发布之日起前两年内，在经营活动中没有因串通投标、弄虚作假、行贿、转包、违法分包、挂靠、死亡事故违法违规行为受到行政、刑事处罚的。以代理机构于投标截止日当天在“信用中国”网站查询结果为准。</w:t>
      </w:r>
    </w:p>
    <w:p w14:paraId="78E9FEAC">
      <w:pPr>
        <w:ind w:firstLine="420" w:firstLineChars="200"/>
        <w:rPr>
          <w:rFonts w:hint="eastAsia" w:ascii="宋体" w:hAnsi="宋体"/>
          <w:color w:val="auto"/>
          <w:szCs w:val="21"/>
          <w:highlight w:val="none"/>
        </w:rPr>
      </w:pPr>
      <w:r>
        <w:rPr>
          <w:rFonts w:hint="eastAsia" w:ascii="宋体" w:hAnsi="宋体"/>
          <w:color w:val="auto"/>
          <w:szCs w:val="21"/>
          <w:highlight w:val="none"/>
        </w:rPr>
        <w:t>2、其他要求</w:t>
      </w:r>
    </w:p>
    <w:p w14:paraId="372F7170">
      <w:p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①投标人须具机电工程施工总承包乙级（含）以上资质或电力工程施工总承包乙级（含）以上资质</w:t>
      </w:r>
    </w:p>
    <w:p w14:paraId="374C56DA">
      <w:p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【或更换资质证书前有效期内的机电工程总承包二级（含）以上资质或电力工程施工总承包二级（含）以上资质】</w:t>
      </w:r>
    </w:p>
    <w:p w14:paraId="4540F8F0">
      <w:p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②投标人须具有《承装（修、试）电力设施许可证》承装类、承修类及承试类三级（10千伏以下）或以上资质。</w:t>
      </w:r>
    </w:p>
    <w:p w14:paraId="1A970A75">
      <w:p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【或更换资质证书前有效期内：《承装（修、试）电力设施许可证》承装类、承修类及承试类五级或以上资质】</w:t>
      </w:r>
    </w:p>
    <w:p w14:paraId="150A9512">
      <w:p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③投标人须具有由建设行政主管部门颁发且在有效期内的《安全生产许可证》证书。</w:t>
      </w:r>
    </w:p>
    <w:p w14:paraId="5EC09AEC">
      <w:pPr>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注：①、②其中有一项即可。提供相关证书复印件。资质证书过期的，如有相关顺延资质有效期文件且符合文件规定的，则视为仍然有效。</w:t>
      </w:r>
    </w:p>
    <w:p w14:paraId="05FB9EF1">
      <w:pPr>
        <w:bidi w:val="0"/>
        <w:rPr>
          <w:rFonts w:hint="eastAsia"/>
          <w:color w:val="auto"/>
          <w:highlight w:val="none"/>
        </w:rPr>
      </w:pPr>
    </w:p>
    <w:p w14:paraId="7233F459">
      <w:pPr>
        <w:rPr>
          <w:rFonts w:hint="eastAsia" w:ascii="宋体" w:hAnsi="宋体"/>
          <w:b/>
          <w:color w:val="auto"/>
          <w:szCs w:val="21"/>
          <w:highlight w:val="none"/>
        </w:rPr>
      </w:pPr>
      <w:r>
        <w:rPr>
          <w:rFonts w:hint="eastAsia" w:ascii="宋体" w:hAnsi="宋体"/>
          <w:b/>
          <w:color w:val="auto"/>
          <w:szCs w:val="21"/>
          <w:highlight w:val="none"/>
        </w:rPr>
        <w:t>三、获取采购文件方式及要求</w:t>
      </w:r>
    </w:p>
    <w:p w14:paraId="5ED45F2E">
      <w:pPr>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1、采购文件领购时间：</w:t>
      </w:r>
      <w:r>
        <w:rPr>
          <w:rFonts w:hint="eastAsia" w:ascii="宋体" w:hAnsi="宋体" w:eastAsia="宋体" w:cs="宋体"/>
          <w:color w:val="auto"/>
          <w:szCs w:val="21"/>
          <w:highlight w:val="none"/>
          <w:lang w:val="en-US" w:eastAsia="zh-CN"/>
        </w:rPr>
        <w:t>2025年</w:t>
      </w:r>
      <w:r>
        <w:rPr>
          <w:rFonts w:hint="eastAsia" w:ascii="宋体" w:hAnsi="宋体" w:cs="宋体"/>
          <w:color w:val="auto"/>
          <w:szCs w:val="21"/>
          <w:highlight w:val="none"/>
          <w:lang w:val="en-US" w:eastAsia="zh-CN"/>
        </w:rPr>
        <w:t xml:space="preserve"> 12 </w:t>
      </w:r>
      <w:r>
        <w:rPr>
          <w:rFonts w:hint="eastAsia" w:ascii="宋体" w:hAnsi="宋体" w:eastAsia="宋体" w:cs="宋体"/>
          <w:color w:val="auto"/>
          <w:szCs w:val="21"/>
          <w:highlight w:val="none"/>
          <w:lang w:val="en-US" w:eastAsia="zh-CN"/>
        </w:rPr>
        <w:t>月</w:t>
      </w:r>
      <w:r>
        <w:rPr>
          <w:rFonts w:hint="eastAsia" w:ascii="宋体" w:hAnsi="宋体" w:cs="宋体"/>
          <w:color w:val="auto"/>
          <w:szCs w:val="21"/>
          <w:highlight w:val="none"/>
          <w:lang w:val="en-US" w:eastAsia="zh-CN"/>
        </w:rPr>
        <w:t xml:space="preserve"> 30 </w:t>
      </w:r>
      <w:r>
        <w:rPr>
          <w:rFonts w:hint="eastAsia" w:ascii="宋体" w:hAnsi="宋体" w:eastAsia="宋体" w:cs="宋体"/>
          <w:color w:val="auto"/>
          <w:szCs w:val="21"/>
          <w:highlight w:val="none"/>
          <w:lang w:val="en-US" w:eastAsia="zh-CN"/>
        </w:rPr>
        <w:t>日至202</w:t>
      </w: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lang w:val="en-US" w:eastAsia="zh-CN"/>
        </w:rPr>
        <w:t>年</w:t>
      </w:r>
      <w:r>
        <w:rPr>
          <w:rFonts w:hint="eastAsia" w:ascii="宋体" w:hAnsi="宋体" w:cs="宋体"/>
          <w:color w:val="auto"/>
          <w:szCs w:val="21"/>
          <w:highlight w:val="none"/>
          <w:lang w:val="en-US" w:eastAsia="zh-CN"/>
        </w:rPr>
        <w:t xml:space="preserve"> 1 </w:t>
      </w:r>
      <w:r>
        <w:rPr>
          <w:rFonts w:hint="eastAsia" w:ascii="宋体" w:hAnsi="宋体" w:eastAsia="宋体" w:cs="宋体"/>
          <w:color w:val="auto"/>
          <w:szCs w:val="21"/>
          <w:highlight w:val="none"/>
          <w:lang w:val="en-US" w:eastAsia="zh-CN"/>
        </w:rPr>
        <w:t>月</w:t>
      </w:r>
      <w:r>
        <w:rPr>
          <w:rFonts w:hint="eastAsia" w:ascii="宋体" w:hAnsi="宋体" w:cs="宋体"/>
          <w:color w:val="auto"/>
          <w:szCs w:val="21"/>
          <w:highlight w:val="none"/>
          <w:lang w:val="en-US" w:eastAsia="zh-CN"/>
        </w:rPr>
        <w:t xml:space="preserve"> 13 </w:t>
      </w:r>
      <w:r>
        <w:rPr>
          <w:rFonts w:hint="eastAsia" w:ascii="宋体" w:hAnsi="宋体" w:eastAsia="宋体" w:cs="宋体"/>
          <w:color w:val="auto"/>
          <w:szCs w:val="21"/>
          <w:highlight w:val="none"/>
          <w:lang w:val="en-US" w:eastAsia="zh-CN"/>
        </w:rPr>
        <w:t>日，上午09:00至12:00，下午14:30至17:30（北京时间，法定节假日除外）。</w:t>
      </w:r>
    </w:p>
    <w:p w14:paraId="6239A8BA">
      <w:pPr>
        <w:keepNext w:val="0"/>
        <w:keepLines w:val="0"/>
        <w:pageBreakBefore w:val="0"/>
        <w:widowControl/>
        <w:kinsoku/>
        <w:wordWrap/>
        <w:overflowPunct/>
        <w:topLinePunct w:val="0"/>
        <w:autoSpaceDE/>
        <w:autoSpaceDN/>
        <w:bidi w:val="0"/>
        <w:spacing w:line="360" w:lineRule="auto"/>
        <w:ind w:left="0" w:leftChars="0" w:right="-21" w:rightChars="-10" w:firstLine="426" w:firstLineChars="203"/>
        <w:textAlignment w:val="auto"/>
        <w:rPr>
          <w:rFonts w:hint="eastAsia" w:ascii="宋体" w:hAnsi="宋体" w:cstheme="minorBidi"/>
          <w:color w:val="auto"/>
          <w:szCs w:val="21"/>
          <w:highlight w:val="none"/>
        </w:rPr>
      </w:pPr>
      <w:r>
        <w:rPr>
          <w:rFonts w:hint="eastAsia" w:ascii="宋体" w:hAnsi="宋体" w:cstheme="minorBidi"/>
          <w:color w:val="auto"/>
          <w:szCs w:val="21"/>
          <w:highlight w:val="none"/>
        </w:rPr>
        <w:t>2、获取方式：网上获取</w:t>
      </w:r>
    </w:p>
    <w:p w14:paraId="6CF33F66">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cstheme="minorBidi"/>
          <w:color w:val="auto"/>
          <w:szCs w:val="21"/>
          <w:highlight w:val="none"/>
        </w:rPr>
        <w:t>注：报名方式为网上下载</w:t>
      </w:r>
      <w:r>
        <w:rPr>
          <w:rFonts w:hint="eastAsia" w:ascii="宋体" w:hAnsi="宋体" w:cstheme="minorBidi"/>
          <w:color w:val="auto"/>
          <w:szCs w:val="21"/>
          <w:highlight w:val="none"/>
          <w:lang w:val="en-US" w:eastAsia="zh-CN"/>
        </w:rPr>
        <w:t>附件《</w:t>
      </w:r>
      <w:r>
        <w:rPr>
          <w:rFonts w:hint="eastAsia" w:ascii="宋体" w:hAnsi="宋体" w:cstheme="minorBidi"/>
          <w:color w:val="auto"/>
          <w:szCs w:val="21"/>
          <w:highlight w:val="none"/>
        </w:rPr>
        <w:t>报名登记表</w:t>
      </w:r>
      <w:r>
        <w:rPr>
          <w:rFonts w:hint="eastAsia" w:ascii="宋体" w:hAnsi="宋体" w:cstheme="minorBidi"/>
          <w:color w:val="auto"/>
          <w:szCs w:val="21"/>
          <w:highlight w:val="none"/>
          <w:lang w:eastAsia="zh-CN"/>
        </w:rPr>
        <w:t>》</w:t>
      </w:r>
      <w:r>
        <w:rPr>
          <w:rFonts w:hint="eastAsia" w:ascii="宋体" w:hAnsi="宋体" w:cstheme="minorBidi"/>
          <w:color w:val="auto"/>
          <w:szCs w:val="21"/>
          <w:highlight w:val="none"/>
        </w:rPr>
        <w:t>，填写完毕后发送到邮箱（</w:t>
      </w:r>
      <w:r>
        <w:rPr>
          <w:rFonts w:hint="eastAsia" w:ascii="宋体" w:hAnsi="宋体"/>
          <w:color w:val="auto"/>
          <w:szCs w:val="21"/>
          <w:highlight w:val="none"/>
          <w:lang w:eastAsia="zh-CN"/>
        </w:rPr>
        <w:t>dgwangtat@163.com</w:t>
      </w:r>
      <w:r>
        <w:rPr>
          <w:rFonts w:hint="eastAsia" w:ascii="宋体" w:hAnsi="宋体" w:cstheme="minorBidi"/>
          <w:color w:val="auto"/>
          <w:szCs w:val="21"/>
          <w:highlight w:val="none"/>
        </w:rPr>
        <w:t>），未按上述方式获取招标文件的供应商，其投标资格将被视为无效。</w:t>
      </w:r>
    </w:p>
    <w:p w14:paraId="08014AEC">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3、须提前准备如下材料：《营业执照》复印件（加盖公章）或《事业单位法人证书》复印件（加盖公章）或其他主体证明复印件（加盖公章），自然人参加投标须提供自然人的身份证明材料</w:t>
      </w: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分支机构投标的，须提供总公司和分公司营业执照副本复印件，以及总公司出具给分支机构的授权书</w:t>
      </w:r>
      <w:r>
        <w:rPr>
          <w:rFonts w:hint="eastAsia" w:ascii="宋体" w:hAnsi="宋体" w:cs="宋体"/>
          <w:color w:val="auto"/>
          <w:szCs w:val="21"/>
          <w:highlight w:val="none"/>
          <w:lang w:val="en-US" w:eastAsia="zh-CN"/>
        </w:rPr>
        <w:t>；</w:t>
      </w:r>
    </w:p>
    <w:p w14:paraId="2935BCB9">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4、须在领购时间内进行报名，逾期报名无效，任何投标人因逾期报名或误缴费用而导致报名无效的，自行承担相应责任</w:t>
      </w:r>
      <w:r>
        <w:rPr>
          <w:rFonts w:hint="eastAsia" w:ascii="宋体" w:hAnsi="宋体" w:cs="宋体"/>
          <w:color w:val="auto"/>
          <w:szCs w:val="21"/>
          <w:highlight w:val="none"/>
          <w:lang w:val="en-US" w:eastAsia="zh-CN"/>
        </w:rPr>
        <w:t>；</w:t>
      </w:r>
    </w:p>
    <w:p w14:paraId="749CD9C0">
      <w:pPr>
        <w:wordWrap w:val="0"/>
        <w:ind w:firstLine="420" w:firstLineChars="200"/>
        <w:rPr>
          <w:color w:val="auto"/>
          <w:highlight w:val="none"/>
        </w:rPr>
      </w:pPr>
      <w:r>
        <w:rPr>
          <w:rFonts w:hint="eastAsia" w:ascii="宋体" w:hAnsi="宋体" w:cs="宋体"/>
          <w:color w:val="auto"/>
          <w:szCs w:val="21"/>
          <w:highlight w:val="none"/>
        </w:rPr>
        <w:t>5、领购价格：每套售价</w:t>
      </w:r>
      <w:r>
        <w:rPr>
          <w:rFonts w:hint="eastAsia" w:ascii="宋体" w:hAnsi="宋体" w:cs="宋体"/>
          <w:color w:val="auto"/>
          <w:szCs w:val="21"/>
          <w:highlight w:val="none"/>
          <w:lang w:val="en-US" w:eastAsia="zh-CN"/>
        </w:rPr>
        <w:t>300</w:t>
      </w:r>
      <w:r>
        <w:rPr>
          <w:rFonts w:hint="eastAsia" w:ascii="宋体" w:hAnsi="宋体" w:cs="宋体"/>
          <w:color w:val="auto"/>
          <w:szCs w:val="21"/>
          <w:highlight w:val="none"/>
        </w:rPr>
        <w:t>元（人民币），售后不退</w:t>
      </w:r>
      <w:r>
        <w:rPr>
          <w:rFonts w:hint="eastAsia" w:ascii="宋体" w:hAnsi="宋体" w:cs="宋体"/>
          <w:color w:val="auto"/>
          <w:szCs w:val="21"/>
          <w:highlight w:val="none"/>
          <w:lang w:eastAsia="zh-CN"/>
        </w:rPr>
        <w:t>；</w:t>
      </w:r>
      <w:r>
        <w:rPr>
          <w:rFonts w:hint="eastAsia" w:ascii="宋体" w:hAnsi="宋体" w:cs="宋体"/>
          <w:color w:val="auto"/>
          <w:szCs w:val="21"/>
          <w:highlight w:val="none"/>
        </w:rPr>
        <w:t>领购咨询人：</w:t>
      </w:r>
      <w:r>
        <w:rPr>
          <w:rFonts w:hint="eastAsia" w:ascii="宋体" w:hAnsi="宋体" w:cs="宋体"/>
          <w:color w:val="auto"/>
          <w:szCs w:val="21"/>
          <w:highlight w:val="none"/>
          <w:lang w:val="en-US" w:eastAsia="zh-CN"/>
        </w:rPr>
        <w:t>杨小姐</w:t>
      </w:r>
      <w:r>
        <w:rPr>
          <w:rFonts w:hint="eastAsia" w:ascii="宋体" w:hAnsi="宋体" w:cs="宋体"/>
          <w:color w:val="auto"/>
          <w:szCs w:val="21"/>
          <w:highlight w:val="none"/>
          <w:lang w:eastAsia="zh-CN"/>
        </w:rPr>
        <w:t>；</w:t>
      </w:r>
      <w:r>
        <w:rPr>
          <w:rFonts w:hint="eastAsia" w:ascii="宋体" w:hAnsi="宋体" w:cs="宋体"/>
          <w:color w:val="auto"/>
          <w:szCs w:val="21"/>
          <w:highlight w:val="none"/>
        </w:rPr>
        <w:t>领购咨询电话：</w:t>
      </w:r>
      <w:r>
        <w:rPr>
          <w:rFonts w:hint="eastAsia" w:ascii="宋体" w:hAnsi="宋体" w:cs="宋体"/>
          <w:color w:val="auto"/>
          <w:szCs w:val="21"/>
          <w:highlight w:val="none"/>
          <w:lang w:eastAsia="zh-CN"/>
        </w:rPr>
        <w:t>0769-28056866</w:t>
      </w:r>
      <w:r>
        <w:rPr>
          <w:rFonts w:hint="eastAsia" w:ascii="宋体" w:hAnsi="宋体" w:cs="宋体"/>
          <w:color w:val="auto"/>
          <w:szCs w:val="21"/>
          <w:highlight w:val="none"/>
          <w:lang w:val="en-US" w:eastAsia="zh-CN"/>
        </w:rPr>
        <w:t>-807</w:t>
      </w:r>
      <w:r>
        <w:rPr>
          <w:rFonts w:hint="eastAsia" w:ascii="宋体" w:hAnsi="宋体" w:cs="宋体"/>
          <w:color w:val="auto"/>
          <w:szCs w:val="21"/>
          <w:highlight w:val="none"/>
          <w:lang w:eastAsia="zh-CN"/>
        </w:rPr>
        <w:t>。</w:t>
      </w:r>
    </w:p>
    <w:p w14:paraId="366A7A92">
      <w:pPr>
        <w:rPr>
          <w:rFonts w:hint="eastAsia" w:ascii="宋体" w:hAnsi="宋体"/>
          <w:b/>
          <w:color w:val="auto"/>
          <w:szCs w:val="21"/>
          <w:highlight w:val="none"/>
        </w:rPr>
      </w:pPr>
      <w:r>
        <w:rPr>
          <w:rFonts w:hint="eastAsia" w:ascii="宋体" w:hAnsi="宋体"/>
          <w:b/>
          <w:color w:val="auto"/>
          <w:szCs w:val="21"/>
          <w:highlight w:val="none"/>
        </w:rPr>
        <w:t>四、投标文件的递交</w:t>
      </w:r>
    </w:p>
    <w:p w14:paraId="028EBE73">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1、递交投标文件时间：</w:t>
      </w:r>
      <w:r>
        <w:rPr>
          <w:rFonts w:hint="eastAsia" w:ascii="宋体" w:hAnsi="宋体" w:eastAsia="宋体" w:cs="宋体"/>
          <w:color w:val="auto"/>
          <w:sz w:val="21"/>
          <w:szCs w:val="21"/>
          <w:highlight w:val="none"/>
          <w:lang w:eastAsia="zh-CN"/>
        </w:rPr>
        <w:t>202</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eastAsia="zh-CN"/>
        </w:rPr>
        <w:t>年</w:t>
      </w:r>
      <w:r>
        <w:rPr>
          <w:rFonts w:hint="eastAsia" w:ascii="宋体" w:hAnsi="宋体" w:cs="宋体"/>
          <w:color w:val="auto"/>
          <w:sz w:val="21"/>
          <w:szCs w:val="21"/>
          <w:highlight w:val="none"/>
          <w:u w:val="single"/>
          <w:lang w:val="en-US" w:eastAsia="zh-CN"/>
        </w:rPr>
        <w:t>01</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 xml:space="preserve"> 21 </w:t>
      </w:r>
      <w:r>
        <w:rPr>
          <w:rFonts w:hint="eastAsia" w:ascii="宋体" w:hAnsi="宋体" w:eastAsia="宋体" w:cs="宋体"/>
          <w:color w:val="auto"/>
          <w:sz w:val="21"/>
          <w:szCs w:val="21"/>
          <w:highlight w:val="none"/>
        </w:rPr>
        <w:t>日（北京时间）</w:t>
      </w:r>
      <w:r>
        <w:rPr>
          <w:rFonts w:hint="eastAsia" w:ascii="宋体" w:hAnsi="宋体" w:cs="宋体"/>
          <w:color w:val="auto"/>
          <w:sz w:val="21"/>
          <w:szCs w:val="21"/>
          <w:highlight w:val="none"/>
          <w:u w:val="single"/>
          <w:lang w:val="en-US" w:eastAsia="zh-CN"/>
        </w:rPr>
        <w:t>14</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00</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u w:val="single"/>
          <w:lang w:val="en-US" w:eastAsia="zh-CN"/>
        </w:rPr>
        <w:t>14</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w:t>
      </w:r>
    </w:p>
    <w:p w14:paraId="371302E1">
      <w:pPr>
        <w:ind w:firstLine="420" w:firstLineChars="200"/>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2、递交投标文件截止及开标时间：</w:t>
      </w:r>
      <w:r>
        <w:rPr>
          <w:rFonts w:hint="eastAsia" w:ascii="宋体" w:hAnsi="宋体" w:eastAsia="宋体" w:cs="宋体"/>
          <w:color w:val="auto"/>
          <w:sz w:val="21"/>
          <w:szCs w:val="21"/>
          <w:highlight w:val="none"/>
          <w:lang w:eastAsia="zh-CN"/>
        </w:rPr>
        <w:t>202</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eastAsia="zh-CN"/>
        </w:rPr>
        <w:t>年</w:t>
      </w:r>
      <w:r>
        <w:rPr>
          <w:rFonts w:hint="eastAsia" w:ascii="宋体" w:hAnsi="宋体" w:cs="宋体"/>
          <w:color w:val="auto"/>
          <w:sz w:val="21"/>
          <w:szCs w:val="21"/>
          <w:highlight w:val="none"/>
          <w:u w:val="single"/>
          <w:lang w:val="en-US" w:eastAsia="zh-CN"/>
        </w:rPr>
        <w:t>01</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 xml:space="preserve"> 21 </w:t>
      </w:r>
      <w:r>
        <w:rPr>
          <w:rFonts w:hint="eastAsia" w:ascii="宋体" w:hAnsi="宋体" w:eastAsia="宋体" w:cs="宋体"/>
          <w:color w:val="auto"/>
          <w:sz w:val="21"/>
          <w:szCs w:val="21"/>
          <w:highlight w:val="none"/>
        </w:rPr>
        <w:t>日</w:t>
      </w:r>
      <w:r>
        <w:rPr>
          <w:rFonts w:hint="eastAsia" w:ascii="宋体" w:hAnsi="宋体" w:cs="宋体"/>
          <w:color w:val="auto"/>
          <w:sz w:val="21"/>
          <w:szCs w:val="21"/>
          <w:highlight w:val="none"/>
          <w:u w:val="single"/>
          <w:lang w:val="en-US" w:eastAsia="zh-CN"/>
        </w:rPr>
        <w:t>14</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（北京时间），所有投标文件应于截止时间之前递交，迟交或以电报、传真形式的投标文件将拒绝接收。</w:t>
      </w:r>
    </w:p>
    <w:p w14:paraId="3356B4D0">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3、开标地点：</w:t>
      </w:r>
      <w:r>
        <w:rPr>
          <w:rFonts w:hint="eastAsia" w:ascii="宋体" w:hAnsi="宋体" w:cs="宋体"/>
          <w:color w:val="auto"/>
          <w:sz w:val="21"/>
          <w:szCs w:val="21"/>
          <w:highlight w:val="none"/>
          <w:lang w:eastAsia="zh-CN"/>
        </w:rPr>
        <w:t>广东省东莞市莞城区美峰路8号1栋1001</w:t>
      </w:r>
      <w:r>
        <w:rPr>
          <w:rFonts w:hint="eastAsia" w:ascii="宋体" w:hAnsi="宋体" w:eastAsia="宋体" w:cs="宋体"/>
          <w:color w:val="auto"/>
          <w:sz w:val="21"/>
          <w:szCs w:val="21"/>
          <w:highlight w:val="none"/>
          <w:lang w:eastAsia="zh-CN"/>
        </w:rPr>
        <w:t>。</w:t>
      </w:r>
    </w:p>
    <w:p w14:paraId="29A09E18">
      <w:pPr>
        <w:ind w:firstLine="411" w:firstLineChars="196"/>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4、开标事宜：</w:t>
      </w:r>
      <w:r>
        <w:rPr>
          <w:rFonts w:hint="eastAsia" w:ascii="宋体" w:hAnsi="宋体" w:eastAsia="宋体" w:cs="宋体"/>
          <w:b/>
          <w:bCs w:val="0"/>
          <w:color w:val="auto"/>
          <w:sz w:val="21"/>
          <w:szCs w:val="21"/>
          <w:highlight w:val="none"/>
          <w:lang w:val="en-US" w:eastAsia="zh-CN"/>
        </w:rPr>
        <w:t>在递交投标文件时，投标人委托授权代表须为本单位正式员工并携带本人身份证原件、社保部门出具的近六个月内任意一个月社会保险证明（或劳动合同证明）备查。无法开具社会保险证明的省市，若相关记录能够在官网上查询，允许以查询记录加盖投标人公章的形式证明。未能提供相关证明可能被认定投标无效。</w:t>
      </w:r>
    </w:p>
    <w:p w14:paraId="2236E2AD">
      <w:pPr>
        <w:pStyle w:val="4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5、出现以下情形时，采购代理机构不予接收投标（响应）文件：</w:t>
      </w:r>
    </w:p>
    <w:p w14:paraId="16121A46">
      <w:pPr>
        <w:pStyle w:val="4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（1）逾期送达或者未送达指定地点的；</w:t>
      </w:r>
    </w:p>
    <w:p w14:paraId="0994AC28">
      <w:pPr>
        <w:pStyle w:val="4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（2）未按采购文件要求密封的。</w:t>
      </w:r>
    </w:p>
    <w:p w14:paraId="569E99D2">
      <w:pPr>
        <w:pStyle w:val="42"/>
        <w:spacing w:line="360" w:lineRule="auto"/>
        <w:rPr>
          <w:rFonts w:hint="eastAsia" w:ascii="宋体" w:hAnsi="宋体" w:eastAsia="宋体" w:cs="宋体"/>
          <w:color w:val="auto"/>
          <w:sz w:val="21"/>
          <w:szCs w:val="21"/>
          <w:highlight w:val="none"/>
        </w:rPr>
      </w:pPr>
    </w:p>
    <w:p w14:paraId="492B514E">
      <w:pPr>
        <w:rPr>
          <w:rFonts w:hint="eastAsia" w:ascii="宋体" w:hAnsi="宋体"/>
          <w:b/>
          <w:color w:val="auto"/>
          <w:szCs w:val="21"/>
          <w:highlight w:val="none"/>
        </w:rPr>
      </w:pPr>
      <w:r>
        <w:rPr>
          <w:rFonts w:hint="eastAsia" w:ascii="宋体" w:hAnsi="宋体"/>
          <w:b/>
          <w:color w:val="auto"/>
          <w:szCs w:val="21"/>
          <w:highlight w:val="none"/>
        </w:rPr>
        <w:t>五、发布公告的媒介</w:t>
      </w:r>
    </w:p>
    <w:p w14:paraId="6F4F6DA3">
      <w:pPr>
        <w:pStyle w:val="42"/>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1、采购公告发布媒介：</w:t>
      </w:r>
    </w:p>
    <w:p w14:paraId="4A577DB5">
      <w:pPr>
        <w:pStyle w:val="42"/>
        <w:spacing w:line="360" w:lineRule="auto"/>
        <w:ind w:left="420" w:leftChars="200"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auto"/>
          <w:sz w:val="21"/>
          <w:szCs w:val="21"/>
          <w:highlight w:val="none"/>
          <w:lang w:eastAsia="zh-CN"/>
        </w:rPr>
        <w:t>东莞实业投资控股集团有限公司-招标采购栏目（http://www.dgsy.com.cn/）</w:t>
      </w:r>
    </w:p>
    <w:p w14:paraId="1E9D1750">
      <w:pPr>
        <w:pStyle w:val="42"/>
        <w:spacing w:line="360" w:lineRule="auto"/>
        <w:ind w:left="420" w:leftChars="20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广州宏达工程顾问集团有限公司</w:t>
      </w:r>
      <w:r>
        <w:rPr>
          <w:rFonts w:hint="eastAsia" w:ascii="宋体" w:hAnsi="宋体" w:eastAsia="宋体" w:cs="宋体"/>
          <w:color w:val="auto"/>
          <w:sz w:val="21"/>
          <w:szCs w:val="21"/>
          <w:highlight w:val="none"/>
        </w:rPr>
        <w:t>（</w:t>
      </w:r>
      <w:r>
        <w:rPr>
          <w:rFonts w:hint="eastAsia" w:ascii="宋体" w:hAnsi="宋体" w:eastAsia="宋体" w:cs="宋体"/>
          <w:bCs/>
          <w:color w:val="auto"/>
          <w:sz w:val="21"/>
          <w:szCs w:val="21"/>
          <w:highlight w:val="none"/>
          <w:lang w:eastAsia="zh-CN"/>
        </w:rPr>
        <w:t>http://www.wangtat.com.cn/</w:t>
      </w:r>
      <w:r>
        <w:rPr>
          <w:rFonts w:hint="eastAsia" w:ascii="宋体" w:hAnsi="宋体" w:eastAsia="宋体" w:cs="宋体"/>
          <w:color w:val="auto"/>
          <w:sz w:val="21"/>
          <w:szCs w:val="21"/>
          <w:highlight w:val="none"/>
        </w:rPr>
        <w:t>)</w:t>
      </w:r>
    </w:p>
    <w:p w14:paraId="08F7552D">
      <w:pPr>
        <w:pStyle w:val="42"/>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bCs/>
          <w:color w:val="000000" w:themeColor="text1"/>
          <w:sz w:val="21"/>
          <w:szCs w:val="21"/>
          <w:highlight w:val="none"/>
          <w14:textFill>
            <w14:solidFill>
              <w14:schemeClr w14:val="tx1"/>
            </w14:solidFill>
          </w14:textFill>
        </w:rPr>
        <w:t>结果公告</w:t>
      </w:r>
      <w:r>
        <w:rPr>
          <w:rFonts w:hint="eastAsia" w:ascii="宋体" w:hAnsi="宋体" w:eastAsia="宋体" w:cs="宋体"/>
          <w:color w:val="000000" w:themeColor="text1"/>
          <w:sz w:val="21"/>
          <w:szCs w:val="21"/>
          <w:highlight w:val="none"/>
          <w14:textFill>
            <w14:solidFill>
              <w14:schemeClr w14:val="tx1"/>
            </w14:solidFill>
          </w14:textFill>
        </w:rPr>
        <w:t>发布媒介：</w:t>
      </w:r>
    </w:p>
    <w:p w14:paraId="44201E4E">
      <w:pPr>
        <w:pStyle w:val="42"/>
        <w:spacing w:line="360" w:lineRule="auto"/>
        <w:ind w:left="420" w:leftChars="200"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auto"/>
          <w:sz w:val="21"/>
          <w:szCs w:val="21"/>
          <w:highlight w:val="none"/>
          <w:lang w:eastAsia="zh-CN"/>
        </w:rPr>
        <w:t>东莞实业投资控股集团有限公司-招标采购栏目（http://www.dgsy.com.cn/）</w:t>
      </w:r>
    </w:p>
    <w:p w14:paraId="005DE03A">
      <w:pPr>
        <w:pStyle w:val="42"/>
        <w:spacing w:line="360" w:lineRule="auto"/>
        <w:ind w:left="420" w:leftChars="20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广州宏达工程顾问集团有限公司</w:t>
      </w:r>
      <w:r>
        <w:rPr>
          <w:rFonts w:hint="eastAsia" w:ascii="宋体" w:hAnsi="宋体" w:eastAsia="宋体" w:cs="宋体"/>
          <w:color w:val="auto"/>
          <w:sz w:val="21"/>
          <w:szCs w:val="21"/>
          <w:highlight w:val="none"/>
        </w:rPr>
        <w:t>（</w:t>
      </w:r>
      <w:r>
        <w:rPr>
          <w:rFonts w:hint="eastAsia" w:ascii="宋体" w:hAnsi="宋体" w:eastAsia="宋体" w:cs="宋体"/>
          <w:bCs/>
          <w:color w:val="auto"/>
          <w:sz w:val="21"/>
          <w:szCs w:val="21"/>
          <w:highlight w:val="none"/>
          <w:lang w:eastAsia="zh-CN"/>
        </w:rPr>
        <w:t>http://www.wangtat.com.cn/</w:t>
      </w:r>
      <w:r>
        <w:rPr>
          <w:rFonts w:hint="eastAsia" w:ascii="宋体" w:hAnsi="宋体" w:eastAsia="宋体" w:cs="宋体"/>
          <w:color w:val="auto"/>
          <w:sz w:val="21"/>
          <w:szCs w:val="21"/>
          <w:highlight w:val="none"/>
        </w:rPr>
        <w:t>)</w:t>
      </w:r>
    </w:p>
    <w:p w14:paraId="01D26E5F">
      <w:pPr>
        <w:rPr>
          <w:rFonts w:hint="eastAsia" w:ascii="宋体" w:hAnsi="宋体"/>
          <w:b/>
          <w:color w:val="auto"/>
          <w:szCs w:val="21"/>
          <w:highlight w:val="none"/>
        </w:rPr>
      </w:pPr>
      <w:r>
        <w:rPr>
          <w:rFonts w:hint="eastAsia" w:ascii="宋体" w:hAnsi="宋体"/>
          <w:b/>
          <w:color w:val="auto"/>
          <w:szCs w:val="21"/>
          <w:highlight w:val="none"/>
        </w:rPr>
        <w:t>六、采购人及采购代理机构的名称、地址和联系方法</w:t>
      </w:r>
    </w:p>
    <w:p w14:paraId="620B81F7">
      <w:pPr>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采购人名称：</w:t>
      </w:r>
      <w:r>
        <w:rPr>
          <w:rFonts w:hint="eastAsia" w:ascii="宋体" w:hAnsi="宋体" w:cs="宋体"/>
          <w:bCs/>
          <w:color w:val="auto"/>
          <w:sz w:val="21"/>
          <w:szCs w:val="21"/>
          <w:highlight w:val="none"/>
          <w:lang w:val="en-US" w:eastAsia="zh-CN"/>
        </w:rPr>
        <w:t>东莞市新有能源投资有限公司</w:t>
      </w:r>
    </w:p>
    <w:p w14:paraId="5A1A36ED">
      <w:pPr>
        <w:ind w:firstLine="420" w:firstLineChars="200"/>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采购人联系人：</w:t>
      </w:r>
      <w:r>
        <w:rPr>
          <w:rFonts w:hint="eastAsia" w:ascii="宋体" w:hAnsi="宋体" w:cs="宋体"/>
          <w:bCs/>
          <w:color w:val="auto"/>
          <w:sz w:val="21"/>
          <w:szCs w:val="21"/>
          <w:highlight w:val="none"/>
          <w:lang w:eastAsia="zh-CN"/>
        </w:rPr>
        <w:t>孟先生</w:t>
      </w:r>
    </w:p>
    <w:p w14:paraId="52286390">
      <w:pPr>
        <w:ind w:firstLine="420" w:firstLineChars="200"/>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采购人地址：</w:t>
      </w:r>
      <w:r>
        <w:rPr>
          <w:rFonts w:hint="eastAsia" w:ascii="宋体" w:hAnsi="宋体" w:cs="宋体"/>
          <w:bCs/>
          <w:color w:val="auto"/>
          <w:sz w:val="21"/>
          <w:szCs w:val="21"/>
          <w:highlight w:val="none"/>
          <w:lang w:eastAsia="zh-CN"/>
        </w:rPr>
        <w:t>东莞市松山湖园区新城路5号1栋505室</w:t>
      </w:r>
    </w:p>
    <w:p w14:paraId="12C7BC82">
      <w:pPr>
        <w:ind w:firstLine="420" w:firstLineChars="200"/>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采购人联系电话：</w:t>
      </w:r>
      <w:r>
        <w:rPr>
          <w:rFonts w:hint="eastAsia" w:ascii="宋体" w:hAnsi="宋体" w:cs="宋体"/>
          <w:bCs/>
          <w:color w:val="auto"/>
          <w:sz w:val="21"/>
          <w:szCs w:val="21"/>
          <w:highlight w:val="none"/>
          <w:lang w:eastAsia="zh-CN"/>
        </w:rPr>
        <w:t>0769-26626338-866</w:t>
      </w:r>
    </w:p>
    <w:p w14:paraId="209C656C">
      <w:pPr>
        <w:ind w:firstLine="420" w:firstLineChars="200"/>
        <w:rPr>
          <w:rFonts w:hint="eastAsia" w:ascii="宋体" w:hAnsi="宋体" w:eastAsia="宋体" w:cs="宋体"/>
          <w:color w:val="auto"/>
          <w:sz w:val="21"/>
          <w:szCs w:val="21"/>
          <w:highlight w:val="none"/>
        </w:rPr>
      </w:pPr>
    </w:p>
    <w:p w14:paraId="24FBE4BD">
      <w:pPr>
        <w:keepNext w:val="0"/>
        <w:keepLines w:val="0"/>
        <w:pageBreakBefore w:val="0"/>
        <w:widowControl/>
        <w:kinsoku/>
        <w:overflowPunct/>
        <w:topLinePunct w:val="0"/>
        <w:autoSpaceDE/>
        <w:autoSpaceDN/>
        <w:bidi w:val="0"/>
        <w:spacing w:line="384" w:lineRule="exact"/>
        <w:ind w:firstLine="420" w:firstLineChars="2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采购代理机构名称：</w:t>
      </w:r>
      <w:r>
        <w:rPr>
          <w:rFonts w:hint="eastAsia" w:ascii="宋体" w:hAnsi="宋体"/>
          <w:color w:val="auto"/>
          <w:szCs w:val="21"/>
          <w:highlight w:val="none"/>
          <w:lang w:eastAsia="zh-CN"/>
        </w:rPr>
        <w:t>广州宏达工程顾问集团有限公司</w:t>
      </w:r>
    </w:p>
    <w:p w14:paraId="6551B941">
      <w:pPr>
        <w:keepNext w:val="0"/>
        <w:keepLines w:val="0"/>
        <w:pageBreakBefore w:val="0"/>
        <w:widowControl/>
        <w:kinsoku/>
        <w:overflowPunct/>
        <w:topLinePunct w:val="0"/>
        <w:autoSpaceDE/>
        <w:autoSpaceDN/>
        <w:bidi w:val="0"/>
        <w:spacing w:line="384" w:lineRule="exact"/>
        <w:ind w:firstLine="420" w:firstLineChars="2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采购代理机构地址：</w:t>
      </w:r>
      <w:r>
        <w:rPr>
          <w:rFonts w:hint="eastAsia" w:ascii="宋体" w:hAnsi="宋体"/>
          <w:color w:val="auto"/>
          <w:szCs w:val="21"/>
          <w:highlight w:val="none"/>
          <w:lang w:eastAsia="zh-CN"/>
        </w:rPr>
        <w:t>广东省东莞市南城街道宏图路105号1栋313室</w:t>
      </w:r>
    </w:p>
    <w:p w14:paraId="3E21CDE8">
      <w:pPr>
        <w:keepNext w:val="0"/>
        <w:keepLines w:val="0"/>
        <w:pageBreakBefore w:val="0"/>
        <w:widowControl/>
        <w:kinsoku/>
        <w:overflowPunct/>
        <w:topLinePunct w:val="0"/>
        <w:autoSpaceDE/>
        <w:autoSpaceDN/>
        <w:bidi w:val="0"/>
        <w:spacing w:line="384" w:lineRule="exact"/>
        <w:ind w:firstLine="420" w:firstLineChars="2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采购代理机构联系人：</w:t>
      </w:r>
      <w:r>
        <w:rPr>
          <w:rFonts w:hint="eastAsia" w:ascii="宋体" w:hAnsi="宋体"/>
          <w:color w:val="auto"/>
          <w:szCs w:val="21"/>
          <w:highlight w:val="none"/>
          <w:lang w:val="en-US" w:eastAsia="zh-CN"/>
        </w:rPr>
        <w:t>杨</w:t>
      </w:r>
      <w:r>
        <w:rPr>
          <w:rFonts w:hint="eastAsia" w:ascii="宋体" w:hAnsi="宋体"/>
          <w:color w:val="auto"/>
          <w:szCs w:val="21"/>
          <w:highlight w:val="none"/>
          <w:lang w:eastAsia="zh-CN"/>
        </w:rPr>
        <w:t>小姐</w:t>
      </w:r>
    </w:p>
    <w:p w14:paraId="4AECBA67">
      <w:pPr>
        <w:keepNext w:val="0"/>
        <w:keepLines w:val="0"/>
        <w:pageBreakBefore w:val="0"/>
        <w:widowControl/>
        <w:kinsoku/>
        <w:overflowPunct/>
        <w:topLinePunct w:val="0"/>
        <w:autoSpaceDE/>
        <w:autoSpaceDN/>
        <w:bidi w:val="0"/>
        <w:spacing w:line="384" w:lineRule="exact"/>
        <w:ind w:firstLine="420" w:firstLineChars="200"/>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rPr>
        <w:t>采购代理机构联系电话：</w:t>
      </w:r>
      <w:r>
        <w:rPr>
          <w:rFonts w:hint="eastAsia" w:ascii="宋体" w:hAnsi="宋体"/>
          <w:color w:val="auto"/>
          <w:szCs w:val="21"/>
          <w:highlight w:val="none"/>
          <w:lang w:eastAsia="zh-CN"/>
        </w:rPr>
        <w:t>0769-28056866</w:t>
      </w:r>
      <w:r>
        <w:rPr>
          <w:rFonts w:hint="eastAsia" w:ascii="宋体" w:hAnsi="宋体"/>
          <w:color w:val="auto"/>
          <w:szCs w:val="21"/>
          <w:highlight w:val="none"/>
          <w:lang w:val="en-US" w:eastAsia="zh-CN"/>
        </w:rPr>
        <w:t>-807</w:t>
      </w:r>
    </w:p>
    <w:p w14:paraId="03E89B64">
      <w:pPr>
        <w:keepNext w:val="0"/>
        <w:keepLines w:val="0"/>
        <w:pageBreakBefore w:val="0"/>
        <w:widowControl/>
        <w:kinsoku/>
        <w:overflowPunct/>
        <w:topLinePunct w:val="0"/>
        <w:autoSpaceDE/>
        <w:autoSpaceDN/>
        <w:bidi w:val="0"/>
        <w:spacing w:line="384" w:lineRule="exact"/>
        <w:ind w:firstLine="420" w:firstLineChars="200"/>
        <w:textAlignment w:val="auto"/>
        <w:rPr>
          <w:rFonts w:hint="eastAsia" w:ascii="宋体" w:hAnsi="宋体"/>
          <w:color w:val="auto"/>
          <w:szCs w:val="21"/>
          <w:highlight w:val="none"/>
          <w:u w:val="none"/>
          <w:lang w:eastAsia="zh-CN"/>
        </w:rPr>
      </w:pPr>
      <w:r>
        <w:rPr>
          <w:rFonts w:hint="eastAsia" w:ascii="宋体" w:hAnsi="宋体"/>
          <w:color w:val="auto"/>
          <w:szCs w:val="21"/>
          <w:highlight w:val="none"/>
        </w:rPr>
        <w:t>采购代理机构邮箱：</w:t>
      </w:r>
      <w:r>
        <w:rPr>
          <w:rFonts w:hint="eastAsia" w:ascii="宋体" w:hAnsi="宋体"/>
          <w:color w:val="auto"/>
          <w:szCs w:val="21"/>
          <w:highlight w:val="none"/>
          <w:u w:val="none"/>
          <w:lang w:eastAsia="zh-CN"/>
        </w:rPr>
        <w:t>dgwangtat@163.com</w:t>
      </w:r>
    </w:p>
    <w:p w14:paraId="18D9BB45">
      <w:pPr>
        <w:keepNext w:val="0"/>
        <w:keepLines w:val="0"/>
        <w:pageBreakBefore w:val="0"/>
        <w:widowControl/>
        <w:kinsoku/>
        <w:wordWrap/>
        <w:overflowPunct/>
        <w:topLinePunct w:val="0"/>
        <w:autoSpaceDE/>
        <w:autoSpaceDN/>
        <w:bidi w:val="0"/>
        <w:adjustRightInd/>
        <w:snapToGrid/>
        <w:spacing w:line="400" w:lineRule="exact"/>
        <w:ind w:right="752" w:rightChars="358"/>
        <w:jc w:val="right"/>
        <w:textAlignment w:val="auto"/>
        <w:rPr>
          <w:rFonts w:hint="eastAsia" w:ascii="宋体" w:hAnsi="宋体" w:eastAsia="宋体" w:cs="宋体"/>
          <w:color w:val="auto"/>
          <w:sz w:val="21"/>
          <w:szCs w:val="21"/>
          <w:highlight w:val="none"/>
        </w:rPr>
      </w:pPr>
    </w:p>
    <w:p w14:paraId="3E74158B">
      <w:pPr>
        <w:pStyle w:val="2"/>
        <w:rPr>
          <w:rFonts w:hint="eastAsia"/>
          <w:highlight w:val="none"/>
        </w:rPr>
      </w:pPr>
    </w:p>
    <w:p w14:paraId="566E5659">
      <w:pPr>
        <w:keepNext w:val="0"/>
        <w:keepLines w:val="0"/>
        <w:pageBreakBefore w:val="0"/>
        <w:widowControl/>
        <w:kinsoku/>
        <w:overflowPunct/>
        <w:topLinePunct w:val="0"/>
        <w:autoSpaceDE/>
        <w:autoSpaceDN/>
        <w:bidi w:val="0"/>
        <w:adjustRightInd/>
        <w:snapToGrid/>
        <w:spacing w:line="384" w:lineRule="exact"/>
        <w:ind w:right="544" w:rightChars="259"/>
        <w:jc w:val="right"/>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采购代理机构：</w:t>
      </w:r>
      <w:r>
        <w:rPr>
          <w:rFonts w:hint="eastAsia" w:ascii="宋体" w:hAnsi="宋体" w:cs="宋体"/>
          <w:bCs/>
          <w:color w:val="auto"/>
          <w:sz w:val="21"/>
          <w:szCs w:val="21"/>
          <w:highlight w:val="none"/>
          <w:lang w:eastAsia="zh-CN"/>
        </w:rPr>
        <w:t>广州宏达工程顾问集团有限公司</w:t>
      </w:r>
    </w:p>
    <w:p w14:paraId="0F1F2A68">
      <w:pPr>
        <w:keepNext w:val="0"/>
        <w:keepLines w:val="0"/>
        <w:pageBreakBefore w:val="0"/>
        <w:widowControl/>
        <w:kinsoku/>
        <w:overflowPunct/>
        <w:topLinePunct w:val="0"/>
        <w:autoSpaceDE/>
        <w:autoSpaceDN/>
        <w:bidi w:val="0"/>
        <w:adjustRightInd/>
        <w:snapToGrid/>
        <w:spacing w:line="384" w:lineRule="exact"/>
        <w:ind w:right="544" w:rightChars="259"/>
        <w:jc w:val="right"/>
        <w:textAlignment w:val="auto"/>
        <w:rPr>
          <w:rFonts w:ascii="宋体" w:hAnsi="宋体" w:cs="宋体"/>
          <w:color w:val="auto"/>
          <w:szCs w:val="21"/>
          <w:highlight w:val="none"/>
        </w:rPr>
      </w:pPr>
      <w:r>
        <w:rPr>
          <w:rFonts w:hint="eastAsia" w:ascii="宋体" w:hAnsi="宋体" w:eastAsia="宋体" w:cs="宋体"/>
          <w:bCs/>
          <w:color w:val="auto"/>
          <w:sz w:val="21"/>
          <w:szCs w:val="21"/>
          <w:highlight w:val="none"/>
          <w:lang w:val="en-US" w:eastAsia="zh-CN"/>
        </w:rPr>
        <w:t>2025年</w:t>
      </w:r>
      <w:r>
        <w:rPr>
          <w:rFonts w:hint="eastAsia" w:ascii="宋体" w:hAnsi="宋体" w:cs="宋体"/>
          <w:bCs/>
          <w:color w:val="auto"/>
          <w:sz w:val="21"/>
          <w:szCs w:val="21"/>
          <w:highlight w:val="none"/>
          <w:lang w:val="en-US" w:eastAsia="zh-CN"/>
        </w:rPr>
        <w:t>12</w:t>
      </w:r>
      <w:r>
        <w:rPr>
          <w:rFonts w:hint="eastAsia" w:ascii="宋体" w:hAnsi="宋体" w:eastAsia="宋体" w:cs="宋体"/>
          <w:bCs/>
          <w:color w:val="auto"/>
          <w:sz w:val="21"/>
          <w:szCs w:val="21"/>
          <w:highlight w:val="none"/>
        </w:rPr>
        <w:t>月</w:t>
      </w:r>
      <w:r>
        <w:rPr>
          <w:rFonts w:hint="eastAsia" w:ascii="宋体" w:hAnsi="宋体" w:cs="宋体"/>
          <w:bCs/>
          <w:color w:val="auto"/>
          <w:sz w:val="21"/>
          <w:szCs w:val="21"/>
          <w:highlight w:val="none"/>
          <w:lang w:val="en-US" w:eastAsia="zh-CN"/>
        </w:rPr>
        <w:t>30</w:t>
      </w:r>
      <w:r>
        <w:rPr>
          <w:rFonts w:hint="eastAsia" w:ascii="宋体" w:hAnsi="宋体" w:eastAsia="宋体" w:cs="宋体"/>
          <w:bCs/>
          <w:color w:val="auto"/>
          <w:sz w:val="21"/>
          <w:szCs w:val="21"/>
          <w:highlight w:val="none"/>
          <w:lang w:val="en-US" w:eastAsia="zh-CN"/>
        </w:rPr>
        <w:t>日</w:t>
      </w:r>
    </w:p>
    <w:p w14:paraId="3B83FFCB">
      <w:pPr>
        <w:ind w:left="6205" w:leftChars="2755" w:hanging="420" w:hangingChars="200"/>
        <w:rPr>
          <w:rFonts w:hint="eastAsia" w:ascii="黑体" w:hAnsi="宋体" w:eastAsia="黑体"/>
          <w:color w:val="auto"/>
          <w:highlight w:val="none"/>
        </w:rPr>
      </w:pPr>
      <w:r>
        <w:rPr>
          <w:rFonts w:hint="eastAsia" w:ascii="宋体" w:hAnsi="宋体" w:cs="宋体"/>
          <w:color w:val="auto"/>
          <w:szCs w:val="21"/>
          <w:highlight w:val="none"/>
        </w:rPr>
        <w:br w:type="page"/>
      </w:r>
    </w:p>
    <w:p w14:paraId="75D19912">
      <w:pPr>
        <w:pStyle w:val="6"/>
        <w:spacing w:before="0" w:after="0" w:line="240" w:lineRule="auto"/>
        <w:rPr>
          <w:color w:val="auto"/>
          <w:sz w:val="28"/>
          <w:szCs w:val="28"/>
          <w:highlight w:val="none"/>
        </w:rPr>
      </w:pPr>
      <w:bookmarkStart w:id="2" w:name="_Toc182307967"/>
      <w:r>
        <w:rPr>
          <w:rFonts w:hint="eastAsia"/>
          <w:color w:val="auto"/>
          <w:sz w:val="28"/>
          <w:szCs w:val="28"/>
          <w:highlight w:val="none"/>
        </w:rPr>
        <w:t>第二部分相关资料表格</w:t>
      </w:r>
      <w:bookmarkEnd w:id="2"/>
    </w:p>
    <w:p w14:paraId="26C8E99F">
      <w:pPr>
        <w:pStyle w:val="7"/>
        <w:spacing w:before="0" w:after="0" w:line="240" w:lineRule="auto"/>
        <w:jc w:val="center"/>
        <w:rPr>
          <w:rFonts w:hint="eastAsia" w:ascii="宋体" w:hAnsi="宋体" w:cs="宋体"/>
          <w:color w:val="auto"/>
          <w:sz w:val="24"/>
          <w:szCs w:val="24"/>
          <w:highlight w:val="none"/>
        </w:rPr>
      </w:pPr>
      <w:bookmarkStart w:id="3" w:name="_Toc182307968"/>
      <w:r>
        <w:rPr>
          <w:rFonts w:hint="eastAsia" w:ascii="宋体" w:hAnsi="宋体" w:cs="宋体"/>
          <w:color w:val="auto"/>
          <w:sz w:val="24"/>
          <w:szCs w:val="24"/>
          <w:highlight w:val="none"/>
        </w:rPr>
        <w:t>附表一：投标资料表</w:t>
      </w:r>
      <w:bookmarkEnd w:id="3"/>
    </w:p>
    <w:tbl>
      <w:tblPr>
        <w:tblStyle w:val="29"/>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2D9457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6F55BD1C">
            <w:pPr>
              <w:jc w:val="center"/>
              <w:rPr>
                <w:rFonts w:ascii="宋体" w:hAnsi="宋体"/>
                <w:color w:val="auto"/>
                <w:szCs w:val="21"/>
                <w:highlight w:val="none"/>
              </w:rPr>
            </w:pPr>
            <w:r>
              <w:rPr>
                <w:rFonts w:hint="eastAsia" w:ascii="宋体" w:hAnsi="宋体"/>
                <w:color w:val="auto"/>
                <w:szCs w:val="21"/>
                <w:highlight w:val="none"/>
              </w:rPr>
              <w:t>序号</w:t>
            </w:r>
          </w:p>
        </w:tc>
        <w:tc>
          <w:tcPr>
            <w:tcW w:w="7532" w:type="dxa"/>
            <w:gridSpan w:val="2"/>
            <w:tcBorders>
              <w:tl2br w:val="nil"/>
              <w:tr2bl w:val="nil"/>
            </w:tcBorders>
            <w:vAlign w:val="center"/>
          </w:tcPr>
          <w:p w14:paraId="4A4A405B">
            <w:pPr>
              <w:jc w:val="center"/>
              <w:rPr>
                <w:rFonts w:ascii="宋体" w:hAnsi="宋体"/>
                <w:b/>
                <w:color w:val="auto"/>
                <w:szCs w:val="21"/>
                <w:highlight w:val="none"/>
              </w:rPr>
            </w:pPr>
            <w:r>
              <w:rPr>
                <w:rFonts w:hint="eastAsia" w:ascii="宋体" w:hAnsi="宋体"/>
                <w:b/>
                <w:color w:val="auto"/>
                <w:szCs w:val="21"/>
                <w:highlight w:val="none"/>
              </w:rPr>
              <w:t>内容</w:t>
            </w:r>
          </w:p>
        </w:tc>
      </w:tr>
      <w:tr w14:paraId="3402999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111F0F33">
            <w:pPr>
              <w:jc w:val="center"/>
              <w:rPr>
                <w:rFonts w:ascii="宋体" w:hAnsi="宋体"/>
                <w:b/>
                <w:color w:val="auto"/>
                <w:szCs w:val="21"/>
                <w:highlight w:val="none"/>
              </w:rPr>
            </w:pPr>
            <w:r>
              <w:rPr>
                <w:rFonts w:hint="eastAsia" w:ascii="宋体" w:hAnsi="宋体"/>
                <w:b/>
                <w:color w:val="auto"/>
                <w:szCs w:val="21"/>
                <w:highlight w:val="none"/>
              </w:rPr>
              <w:t>一、说明</w:t>
            </w:r>
          </w:p>
        </w:tc>
      </w:tr>
      <w:tr w14:paraId="1762BD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40D37F3">
            <w:pPr>
              <w:jc w:val="center"/>
              <w:rPr>
                <w:rFonts w:ascii="宋体" w:hAnsi="宋体"/>
                <w:color w:val="auto"/>
                <w:szCs w:val="21"/>
                <w:highlight w:val="none"/>
              </w:rPr>
            </w:pPr>
            <w:r>
              <w:rPr>
                <w:rFonts w:hint="eastAsia" w:ascii="宋体" w:hAnsi="宋体"/>
                <w:color w:val="auto"/>
                <w:szCs w:val="21"/>
                <w:highlight w:val="none"/>
              </w:rPr>
              <w:t>1</w:t>
            </w:r>
          </w:p>
        </w:tc>
        <w:tc>
          <w:tcPr>
            <w:tcW w:w="7532" w:type="dxa"/>
            <w:gridSpan w:val="2"/>
            <w:tcBorders>
              <w:tl2br w:val="nil"/>
              <w:tr2bl w:val="nil"/>
            </w:tcBorders>
            <w:vAlign w:val="center"/>
          </w:tcPr>
          <w:p w14:paraId="0F6CCE2C">
            <w:pPr>
              <w:rPr>
                <w:rFonts w:ascii="宋体" w:hAnsi="宋体"/>
                <w:b/>
                <w:bCs/>
                <w:color w:val="auto"/>
                <w:szCs w:val="21"/>
                <w:highlight w:val="none"/>
              </w:rPr>
            </w:pPr>
            <w:r>
              <w:rPr>
                <w:rFonts w:hint="eastAsia" w:ascii="宋体" w:hAnsi="宋体"/>
                <w:b/>
                <w:bCs/>
                <w:color w:val="auto"/>
                <w:szCs w:val="21"/>
                <w:highlight w:val="none"/>
              </w:rPr>
              <w:t>项目最高限价（</w:t>
            </w:r>
            <w:r>
              <w:rPr>
                <w:rFonts w:hint="eastAsia" w:ascii="宋体" w:hAnsi="宋体"/>
                <w:b/>
                <w:bCs/>
                <w:color w:val="auto"/>
                <w:szCs w:val="21"/>
                <w:highlight w:val="none"/>
                <w:u w:val="single"/>
              </w:rPr>
              <w:t>单位：元</w:t>
            </w:r>
            <w:r>
              <w:rPr>
                <w:rFonts w:hint="eastAsia" w:ascii="宋体" w:hAnsi="宋体"/>
                <w:b/>
                <w:bCs/>
                <w:color w:val="auto"/>
                <w:szCs w:val="21"/>
                <w:highlight w:val="none"/>
              </w:rPr>
              <w:t>）</w:t>
            </w:r>
          </w:p>
        </w:tc>
      </w:tr>
      <w:tr w14:paraId="073AE15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2BF8173">
            <w:pPr>
              <w:jc w:val="center"/>
              <w:rPr>
                <w:rFonts w:ascii="宋体" w:hAnsi="宋体"/>
                <w:color w:val="auto"/>
                <w:szCs w:val="21"/>
                <w:highlight w:val="none"/>
              </w:rPr>
            </w:pPr>
          </w:p>
        </w:tc>
        <w:tc>
          <w:tcPr>
            <w:tcW w:w="7532" w:type="dxa"/>
            <w:gridSpan w:val="2"/>
            <w:tcBorders>
              <w:tl2br w:val="nil"/>
              <w:tr2bl w:val="nil"/>
            </w:tcBorders>
            <w:vAlign w:val="center"/>
          </w:tcPr>
          <w:p w14:paraId="35B71EF9">
            <w:pPr>
              <w:rPr>
                <w:rFonts w:hint="eastAsia" w:ascii="宋体" w:hAnsi="宋体" w:eastAsia="宋体"/>
                <w:b/>
                <w:bCs/>
                <w:color w:val="auto"/>
                <w:szCs w:val="21"/>
                <w:highlight w:val="none"/>
                <w:lang w:eastAsia="zh-CN"/>
              </w:rPr>
            </w:pPr>
            <w:r>
              <w:rPr>
                <w:rFonts w:hint="eastAsia" w:ascii="宋体" w:hAnsi="宋体"/>
                <w:b w:val="0"/>
                <w:bCs w:val="0"/>
                <w:color w:val="auto"/>
                <w:szCs w:val="21"/>
                <w:highlight w:val="none"/>
              </w:rPr>
              <w:t>与项目预算一致</w:t>
            </w:r>
            <w:r>
              <w:rPr>
                <w:rFonts w:hint="eastAsia" w:ascii="宋体" w:hAnsi="宋体"/>
                <w:b w:val="0"/>
                <w:bCs w:val="0"/>
                <w:color w:val="auto"/>
                <w:szCs w:val="21"/>
                <w:highlight w:val="none"/>
                <w:lang w:eastAsia="zh-CN"/>
              </w:rPr>
              <w:t>。</w:t>
            </w:r>
          </w:p>
        </w:tc>
      </w:tr>
      <w:tr w14:paraId="1680E9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5B9F824D">
            <w:pPr>
              <w:jc w:val="center"/>
              <w:rPr>
                <w:rFonts w:ascii="宋体" w:hAnsi="宋体"/>
                <w:color w:val="auto"/>
                <w:szCs w:val="21"/>
                <w:highlight w:val="none"/>
              </w:rPr>
            </w:pPr>
            <w:r>
              <w:rPr>
                <w:rFonts w:hint="eastAsia" w:ascii="宋体" w:hAnsi="宋体"/>
                <w:color w:val="auto"/>
                <w:szCs w:val="21"/>
                <w:highlight w:val="none"/>
              </w:rPr>
              <w:t>2</w:t>
            </w:r>
          </w:p>
        </w:tc>
        <w:tc>
          <w:tcPr>
            <w:tcW w:w="7532" w:type="dxa"/>
            <w:gridSpan w:val="2"/>
            <w:tcBorders>
              <w:tl2br w:val="nil"/>
              <w:tr2bl w:val="nil"/>
            </w:tcBorders>
            <w:vAlign w:val="center"/>
          </w:tcPr>
          <w:p w14:paraId="6F3DB49F">
            <w:pPr>
              <w:rPr>
                <w:rFonts w:ascii="宋体" w:hAnsi="宋体"/>
                <w:b/>
                <w:bCs/>
                <w:color w:val="auto"/>
                <w:szCs w:val="21"/>
                <w:highlight w:val="none"/>
              </w:rPr>
            </w:pPr>
            <w:r>
              <w:rPr>
                <w:rFonts w:hint="eastAsia" w:ascii="宋体" w:hAnsi="宋体"/>
                <w:b/>
                <w:bCs/>
                <w:color w:val="auto"/>
                <w:szCs w:val="21"/>
                <w:highlight w:val="none"/>
              </w:rPr>
              <w:t>发包方式</w:t>
            </w:r>
          </w:p>
        </w:tc>
      </w:tr>
      <w:tr w14:paraId="596912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ABBF60B">
            <w:pPr>
              <w:jc w:val="center"/>
              <w:rPr>
                <w:rFonts w:ascii="宋体" w:hAnsi="宋体"/>
                <w:color w:val="auto"/>
                <w:szCs w:val="21"/>
                <w:highlight w:val="none"/>
              </w:rPr>
            </w:pPr>
          </w:p>
        </w:tc>
        <w:tc>
          <w:tcPr>
            <w:tcW w:w="7532" w:type="dxa"/>
            <w:gridSpan w:val="2"/>
            <w:tcBorders>
              <w:tl2br w:val="nil"/>
              <w:tr2bl w:val="nil"/>
            </w:tcBorders>
            <w:vAlign w:val="center"/>
          </w:tcPr>
          <w:p w14:paraId="19B96E61">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固定总价包干；</w:t>
            </w:r>
          </w:p>
          <w:p w14:paraId="2E805E46">
            <w:pPr>
              <w:rPr>
                <w:rFonts w:ascii="宋体" w:hAnsi="宋体"/>
                <w:b/>
                <w:bCs/>
                <w:color w:val="auto"/>
                <w:szCs w:val="21"/>
                <w:highlight w:val="none"/>
              </w:rPr>
            </w:pPr>
            <w:r>
              <w:rPr>
                <w:rFonts w:hint="eastAsia" w:ascii="宋体" w:hAnsi="宋体"/>
                <w:color w:val="auto"/>
                <w:szCs w:val="21"/>
                <w:highlight w:val="none"/>
              </w:rPr>
              <w:sym w:font="Wingdings 2" w:char="0052"/>
            </w:r>
            <w:r>
              <w:rPr>
                <w:rFonts w:hint="eastAsia" w:ascii="宋体" w:hAnsi="宋体"/>
                <w:b/>
                <w:bCs/>
                <w:color w:val="auto"/>
                <w:szCs w:val="21"/>
                <w:highlight w:val="none"/>
              </w:rPr>
              <w:t>固定单价暂定总价包干；</w:t>
            </w:r>
          </w:p>
          <w:p w14:paraId="416A702C">
            <w:pPr>
              <w:rPr>
                <w:rFonts w:ascii="宋体" w:hAnsi="宋体"/>
                <w:b/>
                <w:bCs/>
                <w:color w:val="auto"/>
                <w:szCs w:val="21"/>
                <w:highlight w:val="none"/>
                <w:u w:val="single"/>
              </w:rPr>
            </w:pPr>
            <w:r>
              <w:rPr>
                <w:rFonts w:hint="eastAsia" w:ascii="宋体" w:hAnsi="宋体"/>
                <w:color w:val="auto"/>
                <w:szCs w:val="21"/>
                <w:highlight w:val="none"/>
              </w:rPr>
              <w:sym w:font="Wingdings 2" w:char="00A3"/>
            </w:r>
            <w:r>
              <w:rPr>
                <w:rFonts w:hint="eastAsia" w:ascii="宋体" w:hAnsi="宋体"/>
                <w:b/>
                <w:bCs/>
                <w:color w:val="auto"/>
                <w:szCs w:val="21"/>
                <w:highlight w:val="none"/>
              </w:rPr>
              <w:t>费率</w:t>
            </w:r>
            <w:r>
              <w:rPr>
                <w:rFonts w:hint="eastAsia" w:ascii="宋体" w:hAnsi="宋体"/>
                <w:b/>
                <w:bCs/>
                <w:color w:val="auto"/>
                <w:szCs w:val="21"/>
                <w:highlight w:val="none"/>
                <w:u w:val="single"/>
              </w:rPr>
              <w:t xml:space="preserve">         ；</w:t>
            </w:r>
          </w:p>
          <w:p w14:paraId="282FD758">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其他</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w:t>
            </w:r>
          </w:p>
        </w:tc>
      </w:tr>
      <w:tr w14:paraId="33E13E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B4C0B72">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3</w:t>
            </w:r>
          </w:p>
        </w:tc>
        <w:tc>
          <w:tcPr>
            <w:tcW w:w="7532" w:type="dxa"/>
            <w:gridSpan w:val="2"/>
            <w:tcBorders>
              <w:tl2br w:val="nil"/>
              <w:tr2bl w:val="nil"/>
            </w:tcBorders>
            <w:vAlign w:val="center"/>
          </w:tcPr>
          <w:p w14:paraId="2E57473F">
            <w:pPr>
              <w:rPr>
                <w:rFonts w:ascii="宋体" w:hAnsi="宋体"/>
                <w:b/>
                <w:bCs/>
                <w:color w:val="auto"/>
                <w:szCs w:val="21"/>
                <w:highlight w:val="none"/>
              </w:rPr>
            </w:pPr>
            <w:r>
              <w:rPr>
                <w:rFonts w:hint="eastAsia" w:ascii="宋体" w:hAnsi="宋体"/>
                <w:b/>
                <w:bCs/>
                <w:color w:val="auto"/>
                <w:szCs w:val="21"/>
                <w:highlight w:val="none"/>
              </w:rPr>
              <w:t>资金来源</w:t>
            </w:r>
          </w:p>
        </w:tc>
      </w:tr>
      <w:tr w14:paraId="2EC502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54B9EEC">
            <w:pPr>
              <w:jc w:val="center"/>
              <w:rPr>
                <w:rFonts w:ascii="宋体" w:hAnsi="宋体"/>
                <w:color w:val="auto"/>
                <w:szCs w:val="21"/>
                <w:highlight w:val="none"/>
              </w:rPr>
            </w:pPr>
          </w:p>
        </w:tc>
        <w:tc>
          <w:tcPr>
            <w:tcW w:w="7532" w:type="dxa"/>
            <w:gridSpan w:val="2"/>
            <w:tcBorders>
              <w:tl2br w:val="nil"/>
              <w:tr2bl w:val="nil"/>
            </w:tcBorders>
            <w:vAlign w:val="center"/>
          </w:tcPr>
          <w:p w14:paraId="3B807CA8">
            <w:pPr>
              <w:rPr>
                <w:rFonts w:ascii="宋体" w:hAnsi="宋体"/>
                <w:b/>
                <w:bCs/>
                <w:color w:val="auto"/>
                <w:szCs w:val="21"/>
                <w:highlight w:val="none"/>
              </w:rPr>
            </w:pPr>
            <w:r>
              <w:rPr>
                <w:rFonts w:hint="eastAsia" w:ascii="宋体" w:hAnsi="宋体"/>
                <w:color w:val="auto"/>
                <w:szCs w:val="21"/>
                <w:highlight w:val="none"/>
                <w:u w:val="single"/>
              </w:rPr>
              <w:t>自筹资金。</w:t>
            </w:r>
          </w:p>
        </w:tc>
      </w:tr>
      <w:tr w14:paraId="0FB5AA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A84FD25">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4</w:t>
            </w:r>
          </w:p>
        </w:tc>
        <w:tc>
          <w:tcPr>
            <w:tcW w:w="7532" w:type="dxa"/>
            <w:gridSpan w:val="2"/>
            <w:tcBorders>
              <w:tl2br w:val="nil"/>
              <w:tr2bl w:val="nil"/>
            </w:tcBorders>
            <w:vAlign w:val="center"/>
          </w:tcPr>
          <w:p w14:paraId="2D8E2F7A">
            <w:pPr>
              <w:rPr>
                <w:rFonts w:ascii="宋体" w:hAnsi="宋体"/>
                <w:b/>
                <w:color w:val="auto"/>
                <w:szCs w:val="21"/>
                <w:highlight w:val="none"/>
              </w:rPr>
            </w:pPr>
            <w:r>
              <w:rPr>
                <w:rFonts w:hint="eastAsia" w:ascii="宋体" w:hAnsi="宋体"/>
                <w:b/>
                <w:color w:val="auto"/>
                <w:szCs w:val="21"/>
                <w:highlight w:val="none"/>
              </w:rPr>
              <w:t>踏勘现场</w:t>
            </w:r>
          </w:p>
        </w:tc>
      </w:tr>
      <w:tr w14:paraId="43EAF7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308824B">
            <w:pPr>
              <w:jc w:val="center"/>
              <w:rPr>
                <w:rFonts w:ascii="宋体" w:hAnsi="宋体"/>
                <w:color w:val="auto"/>
                <w:szCs w:val="21"/>
                <w:highlight w:val="none"/>
              </w:rPr>
            </w:pPr>
          </w:p>
        </w:tc>
        <w:tc>
          <w:tcPr>
            <w:tcW w:w="7532" w:type="dxa"/>
            <w:gridSpan w:val="2"/>
            <w:tcBorders>
              <w:tl2br w:val="nil"/>
              <w:tr2bl w:val="nil"/>
            </w:tcBorders>
            <w:vAlign w:val="center"/>
          </w:tcPr>
          <w:p w14:paraId="58992E46">
            <w:pPr>
              <w:rPr>
                <w:rFonts w:ascii="宋体" w:hAnsi="宋体"/>
                <w:bCs/>
                <w:color w:val="auto"/>
                <w:szCs w:val="21"/>
                <w:highlight w:val="none"/>
              </w:rPr>
            </w:pPr>
            <w:r>
              <w:rPr>
                <w:rFonts w:hint="eastAsia" w:ascii="宋体" w:hAnsi="宋体"/>
                <w:bCs/>
                <w:color w:val="auto"/>
                <w:szCs w:val="21"/>
                <w:highlight w:val="none"/>
                <w:lang w:eastAsia="zh-CN"/>
              </w:rPr>
              <w:t>☑</w:t>
            </w:r>
            <w:r>
              <w:rPr>
                <w:rFonts w:hint="eastAsia" w:ascii="宋体" w:hAnsi="宋体"/>
                <w:bCs/>
                <w:color w:val="auto"/>
                <w:szCs w:val="21"/>
                <w:highlight w:val="none"/>
              </w:rPr>
              <w:t>不组织 。</w:t>
            </w:r>
          </w:p>
          <w:p w14:paraId="2AA0DB32">
            <w:pPr>
              <w:rPr>
                <w:rFonts w:ascii="宋体" w:hAnsi="宋体"/>
                <w:bCs/>
                <w:color w:val="auto"/>
                <w:szCs w:val="21"/>
                <w:highlight w:val="none"/>
              </w:rPr>
            </w:pPr>
            <w:r>
              <w:rPr>
                <w:rFonts w:hint="eastAsia" w:ascii="宋体" w:hAnsi="宋体"/>
                <w:bCs/>
                <w:color w:val="auto"/>
                <w:szCs w:val="21"/>
                <w:highlight w:val="none"/>
              </w:rPr>
              <w:t>□组织，踏勘现场时间、地点：</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tc>
      </w:tr>
      <w:tr w14:paraId="43F72C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47BF69A7">
            <w:pPr>
              <w:jc w:val="center"/>
              <w:rPr>
                <w:rFonts w:ascii="宋体" w:hAnsi="宋体"/>
                <w:b/>
                <w:color w:val="auto"/>
                <w:szCs w:val="21"/>
                <w:highlight w:val="none"/>
              </w:rPr>
            </w:pPr>
            <w:r>
              <w:rPr>
                <w:rFonts w:hint="eastAsia" w:ascii="宋体" w:hAnsi="宋体"/>
                <w:b/>
                <w:color w:val="auto"/>
                <w:szCs w:val="21"/>
                <w:highlight w:val="none"/>
              </w:rPr>
              <w:t>二、投标文件的编制</w:t>
            </w:r>
          </w:p>
        </w:tc>
      </w:tr>
      <w:tr w14:paraId="0636CB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3A38E6E">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5</w:t>
            </w:r>
          </w:p>
        </w:tc>
        <w:tc>
          <w:tcPr>
            <w:tcW w:w="7532" w:type="dxa"/>
            <w:gridSpan w:val="2"/>
            <w:tcBorders>
              <w:tl2br w:val="nil"/>
              <w:tr2bl w:val="nil"/>
            </w:tcBorders>
            <w:vAlign w:val="center"/>
          </w:tcPr>
          <w:p w14:paraId="45020C3F">
            <w:pPr>
              <w:rPr>
                <w:rFonts w:ascii="宋体" w:hAnsi="宋体"/>
                <w:b/>
                <w:color w:val="auto"/>
                <w:szCs w:val="21"/>
                <w:highlight w:val="none"/>
              </w:rPr>
            </w:pPr>
            <w:r>
              <w:rPr>
                <w:rFonts w:hint="eastAsia" w:ascii="宋体" w:hAnsi="宋体"/>
                <w:b/>
                <w:color w:val="auto"/>
                <w:szCs w:val="21"/>
                <w:highlight w:val="none"/>
              </w:rPr>
              <w:t>投标语言</w:t>
            </w:r>
          </w:p>
        </w:tc>
      </w:tr>
      <w:tr w14:paraId="204782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787C714">
            <w:pPr>
              <w:jc w:val="center"/>
              <w:rPr>
                <w:rFonts w:ascii="宋体" w:hAnsi="宋体"/>
                <w:color w:val="auto"/>
                <w:szCs w:val="21"/>
                <w:highlight w:val="none"/>
              </w:rPr>
            </w:pPr>
          </w:p>
        </w:tc>
        <w:tc>
          <w:tcPr>
            <w:tcW w:w="7532" w:type="dxa"/>
            <w:gridSpan w:val="2"/>
            <w:tcBorders>
              <w:tl2br w:val="nil"/>
              <w:tr2bl w:val="nil"/>
            </w:tcBorders>
            <w:vAlign w:val="center"/>
          </w:tcPr>
          <w:p w14:paraId="11DC732B">
            <w:pPr>
              <w:rPr>
                <w:rFonts w:ascii="宋体" w:hAnsi="宋体"/>
                <w:b/>
                <w:color w:val="auto"/>
                <w:szCs w:val="21"/>
                <w:highlight w:val="none"/>
              </w:rPr>
            </w:pPr>
            <w:r>
              <w:rPr>
                <w:rFonts w:hint="eastAsia" w:ascii="宋体" w:hAnsi="宋体"/>
                <w:color w:val="auto"/>
                <w:szCs w:val="21"/>
                <w:highlight w:val="none"/>
              </w:rPr>
              <w:t>中文。</w:t>
            </w:r>
          </w:p>
        </w:tc>
      </w:tr>
      <w:tr w14:paraId="2B20F8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03321C4">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6</w:t>
            </w:r>
          </w:p>
        </w:tc>
        <w:tc>
          <w:tcPr>
            <w:tcW w:w="7532" w:type="dxa"/>
            <w:gridSpan w:val="2"/>
            <w:tcBorders>
              <w:tl2br w:val="nil"/>
              <w:tr2bl w:val="nil"/>
            </w:tcBorders>
            <w:vAlign w:val="center"/>
          </w:tcPr>
          <w:p w14:paraId="237909A6">
            <w:pPr>
              <w:jc w:val="both"/>
              <w:rPr>
                <w:rFonts w:ascii="宋体" w:hAnsi="宋体"/>
                <w:b/>
                <w:color w:val="auto"/>
                <w:szCs w:val="21"/>
                <w:highlight w:val="none"/>
              </w:rPr>
            </w:pPr>
            <w:r>
              <w:rPr>
                <w:rFonts w:hint="eastAsia" w:ascii="宋体" w:hAnsi="宋体"/>
                <w:b/>
                <w:color w:val="auto"/>
                <w:szCs w:val="21"/>
                <w:highlight w:val="none"/>
              </w:rPr>
              <w:t>投标报价</w:t>
            </w:r>
          </w:p>
        </w:tc>
      </w:tr>
      <w:tr w14:paraId="618CE7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BD73C45">
            <w:pPr>
              <w:jc w:val="center"/>
              <w:rPr>
                <w:rFonts w:ascii="宋体" w:hAnsi="宋体"/>
                <w:color w:val="auto"/>
                <w:szCs w:val="21"/>
                <w:highlight w:val="none"/>
              </w:rPr>
            </w:pPr>
          </w:p>
        </w:tc>
        <w:tc>
          <w:tcPr>
            <w:tcW w:w="7532" w:type="dxa"/>
            <w:gridSpan w:val="2"/>
            <w:tcBorders>
              <w:tl2br w:val="nil"/>
              <w:tr2bl w:val="nil"/>
            </w:tcBorders>
            <w:vAlign w:val="center"/>
          </w:tcPr>
          <w:p w14:paraId="4BC73D05">
            <w:pPr>
              <w:jc w:val="both"/>
              <w:rPr>
                <w:rFonts w:ascii="宋体" w:hAnsi="宋体"/>
                <w:color w:val="auto"/>
                <w:szCs w:val="21"/>
                <w:highlight w:val="none"/>
              </w:rPr>
            </w:pPr>
            <w:r>
              <w:rPr>
                <w:rFonts w:hint="eastAsia" w:ascii="宋体" w:hAnsi="宋体"/>
                <w:color w:val="auto"/>
                <w:szCs w:val="21"/>
                <w:highlight w:val="none"/>
              </w:rPr>
              <w:t>详见投标人须知。</w:t>
            </w:r>
          </w:p>
        </w:tc>
      </w:tr>
      <w:tr w14:paraId="221FEA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6629BA68">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p>
        </w:tc>
        <w:tc>
          <w:tcPr>
            <w:tcW w:w="7532" w:type="dxa"/>
            <w:gridSpan w:val="2"/>
            <w:tcBorders>
              <w:tl2br w:val="nil"/>
              <w:tr2bl w:val="nil"/>
            </w:tcBorders>
            <w:vAlign w:val="center"/>
          </w:tcPr>
          <w:p w14:paraId="016FFD16">
            <w:pPr>
              <w:jc w:val="both"/>
              <w:rPr>
                <w:rFonts w:ascii="宋体" w:hAnsi="宋体"/>
                <w:b/>
                <w:color w:val="auto"/>
                <w:szCs w:val="21"/>
                <w:highlight w:val="none"/>
              </w:rPr>
            </w:pPr>
            <w:r>
              <w:rPr>
                <w:rFonts w:hint="eastAsia" w:ascii="宋体" w:hAnsi="宋体"/>
                <w:b/>
                <w:color w:val="auto"/>
                <w:szCs w:val="21"/>
                <w:highlight w:val="none"/>
              </w:rPr>
              <w:t>投标保证金</w:t>
            </w:r>
          </w:p>
        </w:tc>
      </w:tr>
      <w:tr w14:paraId="49DB67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2FF871BC">
            <w:pPr>
              <w:jc w:val="center"/>
              <w:rPr>
                <w:rFonts w:ascii="宋体" w:hAnsi="宋体"/>
                <w:color w:val="auto"/>
                <w:szCs w:val="21"/>
                <w:highlight w:val="none"/>
              </w:rPr>
            </w:pPr>
          </w:p>
        </w:tc>
        <w:tc>
          <w:tcPr>
            <w:tcW w:w="7532" w:type="dxa"/>
            <w:gridSpan w:val="2"/>
            <w:tcBorders>
              <w:tl2br w:val="nil"/>
              <w:tr2bl w:val="nil"/>
            </w:tcBorders>
            <w:vAlign w:val="center"/>
          </w:tcPr>
          <w:p w14:paraId="5AC6261D">
            <w:pPr>
              <w:jc w:val="both"/>
              <w:rPr>
                <w:rFonts w:ascii="宋体" w:hAnsi="宋体"/>
                <w:color w:val="auto"/>
                <w:szCs w:val="21"/>
                <w:highlight w:val="none"/>
              </w:rPr>
            </w:pPr>
            <w:r>
              <w:rPr>
                <w:rFonts w:hint="eastAsia" w:ascii="宋体" w:hAnsi="宋体"/>
                <w:color w:val="auto"/>
                <w:szCs w:val="21"/>
                <w:highlight w:val="none"/>
              </w:rPr>
              <w:t>（1）投标保证金金额：</w:t>
            </w:r>
            <w:r>
              <w:rPr>
                <w:rFonts w:hint="eastAsia" w:ascii="宋体" w:hAnsi="宋体"/>
                <w:color w:val="auto"/>
                <w:szCs w:val="21"/>
                <w:highlight w:val="none"/>
                <w:lang w:val="en-US" w:eastAsia="zh-CN"/>
              </w:rPr>
              <w:t>人民币</w:t>
            </w:r>
            <w:r>
              <w:rPr>
                <w:rFonts w:hint="eastAsia" w:ascii="宋体" w:hAnsi="宋体"/>
                <w:b/>
                <w:bCs/>
                <w:color w:val="auto"/>
                <w:sz w:val="21"/>
                <w:szCs w:val="21"/>
                <w:highlight w:val="none"/>
                <w:u w:val="single"/>
                <w:lang w:val="en-US" w:eastAsia="zh-CN"/>
              </w:rPr>
              <w:t>46000.00</w:t>
            </w:r>
            <w:r>
              <w:rPr>
                <w:rFonts w:hint="eastAsia" w:ascii="宋体" w:hAnsi="宋体"/>
                <w:b/>
                <w:bCs/>
                <w:color w:val="auto"/>
                <w:sz w:val="21"/>
                <w:szCs w:val="21"/>
                <w:highlight w:val="none"/>
                <w:lang w:val="en-US" w:eastAsia="zh-CN"/>
              </w:rPr>
              <w:t>元</w:t>
            </w:r>
            <w:r>
              <w:rPr>
                <w:rFonts w:hint="eastAsia" w:ascii="宋体" w:hAnsi="宋体"/>
                <w:color w:val="auto"/>
                <w:szCs w:val="21"/>
                <w:highlight w:val="none"/>
              </w:rPr>
              <w:t>。</w:t>
            </w:r>
          </w:p>
        </w:tc>
      </w:tr>
      <w:tr w14:paraId="300B80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51CC09F3">
            <w:pPr>
              <w:jc w:val="center"/>
              <w:rPr>
                <w:rFonts w:ascii="宋体" w:hAnsi="宋体"/>
                <w:color w:val="auto"/>
                <w:szCs w:val="21"/>
                <w:highlight w:val="none"/>
              </w:rPr>
            </w:pPr>
          </w:p>
        </w:tc>
        <w:tc>
          <w:tcPr>
            <w:tcW w:w="7532" w:type="dxa"/>
            <w:gridSpan w:val="2"/>
            <w:tcBorders>
              <w:tl2br w:val="nil"/>
              <w:tr2bl w:val="nil"/>
            </w:tcBorders>
            <w:vAlign w:val="center"/>
          </w:tcPr>
          <w:p w14:paraId="3072FBE0">
            <w:pPr>
              <w:tabs>
                <w:tab w:val="left" w:pos="567"/>
              </w:tabs>
              <w:jc w:val="both"/>
              <w:rPr>
                <w:rFonts w:hAnsi="宋体"/>
                <w:color w:val="auto"/>
                <w:kern w:val="2"/>
                <w:szCs w:val="21"/>
                <w:highlight w:val="none"/>
                <w:lang w:val="zh-CN"/>
              </w:rPr>
            </w:pPr>
            <w:r>
              <w:rPr>
                <w:rFonts w:hint="eastAsia" w:ascii="宋体" w:hAnsi="宋体"/>
                <w:color w:val="auto"/>
                <w:szCs w:val="21"/>
                <w:highlight w:val="none"/>
              </w:rPr>
              <w:t>（2）</w:t>
            </w:r>
            <w:r>
              <w:rPr>
                <w:rFonts w:hint="eastAsia" w:hAnsi="宋体"/>
                <w:color w:val="auto"/>
                <w:kern w:val="2"/>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5315AE83">
            <w:pPr>
              <w:tabs>
                <w:tab w:val="left" w:pos="567"/>
              </w:tabs>
              <w:ind w:left="567" w:hanging="567"/>
              <w:jc w:val="both"/>
              <w:rPr>
                <w:rFonts w:hAnsi="宋体"/>
                <w:color w:val="auto"/>
                <w:kern w:val="2"/>
                <w:szCs w:val="21"/>
                <w:highlight w:val="none"/>
                <w:lang w:val="zh-CN"/>
              </w:rPr>
            </w:pPr>
            <w:r>
              <w:rPr>
                <w:rFonts w:hint="eastAsia" w:hAnsi="宋体"/>
                <w:color w:val="auto"/>
                <w:kern w:val="2"/>
                <w:szCs w:val="21"/>
                <w:highlight w:val="none"/>
                <w:lang w:val="zh-CN"/>
              </w:rPr>
              <w:t>投标保证金专用账户如下：</w:t>
            </w:r>
          </w:p>
          <w:p w14:paraId="0E33A152">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帐户名称：</w:t>
            </w:r>
            <w:r>
              <w:rPr>
                <w:rFonts w:hint="eastAsia" w:hAnsi="宋体" w:cs="宋体"/>
                <w:color w:val="auto"/>
                <w:kern w:val="2"/>
                <w:szCs w:val="21"/>
                <w:highlight w:val="none"/>
                <w:u w:val="single"/>
                <w:lang w:val="zh-CN"/>
              </w:rPr>
              <w:t>广州宏达工程顾问集团有限公司东莞分公司</w:t>
            </w:r>
            <w:r>
              <w:rPr>
                <w:rFonts w:hint="eastAsia" w:hAnsi="宋体" w:cs="宋体"/>
                <w:color w:val="auto"/>
                <w:kern w:val="2"/>
                <w:szCs w:val="21"/>
                <w:highlight w:val="none"/>
                <w:lang w:val="zh-CN"/>
              </w:rPr>
              <w:t>；</w:t>
            </w:r>
          </w:p>
          <w:p w14:paraId="69157643">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开户银行：</w:t>
            </w:r>
            <w:r>
              <w:rPr>
                <w:rFonts w:hint="eastAsia" w:hAnsi="宋体" w:cs="宋体"/>
                <w:color w:val="auto"/>
                <w:kern w:val="2"/>
                <w:sz w:val="21"/>
                <w:szCs w:val="21"/>
                <w:highlight w:val="none"/>
                <w:u w:val="single"/>
              </w:rPr>
              <w:t>广发银行股份有限公司东莞城区支行</w:t>
            </w:r>
            <w:r>
              <w:rPr>
                <w:rFonts w:hint="eastAsia" w:hAnsi="宋体" w:cs="宋体"/>
                <w:color w:val="auto"/>
                <w:kern w:val="2"/>
                <w:szCs w:val="21"/>
                <w:highlight w:val="none"/>
                <w:lang w:val="zh-CN"/>
              </w:rPr>
              <w:t>；</w:t>
            </w:r>
          </w:p>
          <w:p w14:paraId="2AC71D12">
            <w:pPr>
              <w:tabs>
                <w:tab w:val="left" w:pos="567"/>
              </w:tabs>
              <w:ind w:firstLine="420" w:firstLineChars="200"/>
              <w:jc w:val="both"/>
              <w:rPr>
                <w:rFonts w:hint="eastAsia" w:ascii="宋体" w:hAnsi="宋体" w:eastAsia="宋体" w:cs="宋体"/>
                <w:color w:val="auto"/>
                <w:kern w:val="2"/>
                <w:szCs w:val="21"/>
                <w:highlight w:val="none"/>
                <w:lang w:val="zh-CN"/>
              </w:rPr>
            </w:pPr>
            <w:r>
              <w:rPr>
                <w:rFonts w:hint="eastAsia" w:hAnsi="宋体" w:cs="宋体"/>
                <w:color w:val="auto"/>
                <w:kern w:val="2"/>
                <w:szCs w:val="21"/>
                <w:highlight w:val="none"/>
                <w:lang w:val="zh-CN"/>
              </w:rPr>
              <w:t>银行帐</w:t>
            </w:r>
            <w:r>
              <w:rPr>
                <w:rFonts w:hint="eastAsia" w:ascii="宋体" w:hAnsi="宋体" w:eastAsia="宋体" w:cs="宋体"/>
                <w:color w:val="auto"/>
                <w:kern w:val="2"/>
                <w:szCs w:val="21"/>
                <w:highlight w:val="none"/>
                <w:lang w:val="zh-CN"/>
              </w:rPr>
              <w:t>号：</w:t>
            </w:r>
            <w:r>
              <w:rPr>
                <w:rFonts w:hint="eastAsia" w:ascii="宋体" w:hAnsi="宋体" w:eastAsia="宋体" w:cs="宋体"/>
                <w:color w:val="auto"/>
                <w:kern w:val="2"/>
                <w:szCs w:val="21"/>
                <w:highlight w:val="none"/>
                <w:u w:val="single"/>
                <w:lang w:val="zh-CN"/>
              </w:rPr>
              <w:t>6232590699051018610</w:t>
            </w:r>
            <w:r>
              <w:rPr>
                <w:rFonts w:hint="eastAsia" w:ascii="宋体" w:hAnsi="宋体" w:cs="宋体"/>
                <w:color w:val="auto"/>
                <w:kern w:val="2"/>
                <w:szCs w:val="21"/>
                <w:highlight w:val="none"/>
                <w:lang w:val="zh-CN"/>
              </w:rPr>
              <w:t>；</w:t>
            </w:r>
          </w:p>
          <w:p w14:paraId="3E3EDBE7">
            <w:pPr>
              <w:tabs>
                <w:tab w:val="left" w:pos="567"/>
              </w:tabs>
              <w:ind w:firstLine="420" w:firstLineChars="200"/>
              <w:jc w:val="both"/>
              <w:rPr>
                <w:rFonts w:hAnsi="宋体" w:cs="宋体"/>
                <w:color w:val="auto"/>
                <w:kern w:val="2"/>
                <w:szCs w:val="21"/>
                <w:highlight w:val="none"/>
                <w:lang w:val="zh-CN"/>
              </w:rPr>
            </w:pPr>
            <w:r>
              <w:rPr>
                <w:rFonts w:hint="eastAsia" w:ascii="宋体" w:hAnsi="宋体" w:eastAsia="宋体" w:cs="宋体"/>
                <w:color w:val="auto"/>
                <w:kern w:val="2"/>
                <w:szCs w:val="21"/>
                <w:highlight w:val="none"/>
                <w:u w:val="single"/>
              </w:rPr>
              <w:t>保证金相关事宜联系人：</w:t>
            </w:r>
            <w:r>
              <w:rPr>
                <w:rFonts w:hint="eastAsia" w:ascii="宋体" w:hAnsi="宋体" w:cs="宋体"/>
                <w:color w:val="auto"/>
                <w:kern w:val="2"/>
                <w:szCs w:val="21"/>
                <w:highlight w:val="none"/>
                <w:u w:val="single"/>
                <w:lang w:val="en-US" w:eastAsia="zh-CN"/>
              </w:rPr>
              <w:t>杨小姐</w:t>
            </w:r>
            <w:r>
              <w:rPr>
                <w:rFonts w:hint="eastAsia" w:ascii="宋体" w:hAnsi="宋体" w:eastAsia="宋体" w:cs="宋体"/>
                <w:color w:val="auto"/>
                <w:kern w:val="2"/>
                <w:szCs w:val="21"/>
                <w:highlight w:val="none"/>
                <w:u w:val="single"/>
              </w:rPr>
              <w:t>联系电话：</w:t>
            </w:r>
            <w:r>
              <w:rPr>
                <w:rFonts w:hint="eastAsia" w:ascii="宋体" w:hAnsi="宋体" w:cs="宋体"/>
                <w:color w:val="auto"/>
                <w:kern w:val="2"/>
                <w:szCs w:val="21"/>
                <w:highlight w:val="none"/>
                <w:u w:val="single"/>
                <w:lang w:eastAsia="zh-CN"/>
              </w:rPr>
              <w:t>0769-28056866-807</w:t>
            </w:r>
          </w:p>
          <w:p w14:paraId="3F5181B7">
            <w:pPr>
              <w:tabs>
                <w:tab w:val="left" w:pos="567"/>
              </w:tabs>
              <w:ind w:firstLine="422" w:firstLineChars="200"/>
              <w:jc w:val="both"/>
              <w:rPr>
                <w:rFonts w:ascii="宋体" w:hAnsi="宋体"/>
                <w:b/>
                <w:color w:val="auto"/>
                <w:szCs w:val="21"/>
                <w:highlight w:val="none"/>
              </w:rPr>
            </w:pPr>
            <w:r>
              <w:rPr>
                <w:rFonts w:hint="eastAsia" w:hAnsi="宋体" w:cs="宋体"/>
                <w:b/>
                <w:color w:val="auto"/>
                <w:szCs w:val="21"/>
                <w:highlight w:val="none"/>
              </w:rPr>
              <w:t>（注：各投标人在转帐或电汇时须在用途栏上备注项目编号，及项目名称，如有字数限制项目名称可简写。）</w:t>
            </w:r>
          </w:p>
        </w:tc>
      </w:tr>
      <w:tr w14:paraId="5D0461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7B4C51EC">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7532" w:type="dxa"/>
            <w:gridSpan w:val="2"/>
            <w:tcBorders>
              <w:tl2br w:val="nil"/>
              <w:tr2bl w:val="nil"/>
            </w:tcBorders>
            <w:vAlign w:val="center"/>
          </w:tcPr>
          <w:p w14:paraId="2BD1A6D1">
            <w:pPr>
              <w:jc w:val="both"/>
              <w:rPr>
                <w:rFonts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14:paraId="75C710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04" w:hRule="atLeast"/>
        </w:trPr>
        <w:tc>
          <w:tcPr>
            <w:tcW w:w="878" w:type="dxa"/>
            <w:vMerge w:val="continue"/>
            <w:tcBorders>
              <w:tl2br w:val="nil"/>
              <w:tr2bl w:val="nil"/>
            </w:tcBorders>
            <w:vAlign w:val="center"/>
          </w:tcPr>
          <w:p w14:paraId="05BD6E76">
            <w:pPr>
              <w:jc w:val="center"/>
              <w:rPr>
                <w:rFonts w:ascii="宋体" w:hAnsi="宋体"/>
                <w:color w:val="auto"/>
                <w:szCs w:val="21"/>
                <w:highlight w:val="none"/>
              </w:rPr>
            </w:pPr>
          </w:p>
        </w:tc>
        <w:tc>
          <w:tcPr>
            <w:tcW w:w="7532" w:type="dxa"/>
            <w:gridSpan w:val="2"/>
            <w:tcBorders>
              <w:tl2br w:val="nil"/>
              <w:tr2bl w:val="nil"/>
            </w:tcBorders>
            <w:vAlign w:val="center"/>
          </w:tcPr>
          <w:p w14:paraId="24CD32EF">
            <w:pPr>
              <w:jc w:val="both"/>
              <w:rPr>
                <w:rFonts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并缴纳履约保证金</w:t>
            </w:r>
            <w:r>
              <w:rPr>
                <w:rFonts w:hint="eastAsia" w:ascii="宋体" w:hAnsi="宋体"/>
                <w:color w:val="auto"/>
                <w:szCs w:val="21"/>
                <w:highlight w:val="none"/>
                <w:lang w:val="zh-CN"/>
              </w:rPr>
              <w:t>后退还。</w:t>
            </w:r>
          </w:p>
          <w:p w14:paraId="42D57F67">
            <w:pPr>
              <w:jc w:val="both"/>
              <w:rPr>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14:paraId="6F4FEB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D786246">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7532" w:type="dxa"/>
            <w:gridSpan w:val="2"/>
            <w:tcBorders>
              <w:tl2br w:val="nil"/>
              <w:tr2bl w:val="nil"/>
            </w:tcBorders>
            <w:vAlign w:val="center"/>
          </w:tcPr>
          <w:p w14:paraId="6E043CD1">
            <w:pPr>
              <w:jc w:val="both"/>
              <w:rPr>
                <w:rFonts w:ascii="宋体" w:hAnsi="宋体"/>
                <w:b/>
                <w:color w:val="auto"/>
                <w:szCs w:val="21"/>
                <w:highlight w:val="none"/>
              </w:rPr>
            </w:pPr>
            <w:r>
              <w:rPr>
                <w:rFonts w:hint="eastAsia" w:ascii="宋体" w:hAnsi="宋体"/>
                <w:b/>
                <w:color w:val="auto"/>
                <w:szCs w:val="21"/>
                <w:highlight w:val="none"/>
              </w:rPr>
              <w:t>投标有效期</w:t>
            </w:r>
          </w:p>
        </w:tc>
      </w:tr>
      <w:tr w14:paraId="3308FC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B29FDC3">
            <w:pPr>
              <w:jc w:val="center"/>
              <w:rPr>
                <w:rFonts w:ascii="宋体" w:hAnsi="宋体"/>
                <w:color w:val="auto"/>
                <w:szCs w:val="21"/>
                <w:highlight w:val="none"/>
              </w:rPr>
            </w:pPr>
          </w:p>
        </w:tc>
        <w:tc>
          <w:tcPr>
            <w:tcW w:w="7532" w:type="dxa"/>
            <w:gridSpan w:val="2"/>
            <w:tcBorders>
              <w:tl2br w:val="nil"/>
              <w:tr2bl w:val="nil"/>
            </w:tcBorders>
            <w:vAlign w:val="center"/>
          </w:tcPr>
          <w:p w14:paraId="784F15AE">
            <w:pPr>
              <w:jc w:val="both"/>
              <w:rPr>
                <w:rFonts w:ascii="宋体" w:hAnsi="宋体"/>
                <w:b/>
                <w:color w:val="auto"/>
                <w:szCs w:val="21"/>
                <w:highlight w:val="none"/>
              </w:rPr>
            </w:pPr>
            <w:r>
              <w:rPr>
                <w:rFonts w:hint="eastAsia" w:ascii="宋体" w:hAnsi="宋体"/>
                <w:color w:val="auto"/>
                <w:szCs w:val="21"/>
                <w:highlight w:val="none"/>
              </w:rPr>
              <w:t>九十天。</w:t>
            </w:r>
          </w:p>
        </w:tc>
      </w:tr>
      <w:tr w14:paraId="271086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587F6C23">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7532" w:type="dxa"/>
            <w:gridSpan w:val="2"/>
            <w:tcBorders>
              <w:tl2br w:val="nil"/>
              <w:tr2bl w:val="nil"/>
            </w:tcBorders>
            <w:vAlign w:val="center"/>
          </w:tcPr>
          <w:p w14:paraId="1C050A92">
            <w:pPr>
              <w:jc w:val="center"/>
              <w:rPr>
                <w:rFonts w:ascii="宋体" w:hAnsi="宋体"/>
                <w:b/>
                <w:color w:val="auto"/>
                <w:szCs w:val="21"/>
                <w:highlight w:val="none"/>
              </w:rPr>
            </w:pPr>
            <w:r>
              <w:rPr>
                <w:rFonts w:hint="eastAsia" w:ascii="宋体" w:hAnsi="宋体"/>
                <w:b/>
                <w:color w:val="auto"/>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238469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71A5314E">
            <w:pPr>
              <w:jc w:val="center"/>
              <w:rPr>
                <w:rFonts w:ascii="宋体" w:hAnsi="宋体"/>
                <w:color w:val="auto"/>
                <w:szCs w:val="21"/>
                <w:highlight w:val="none"/>
              </w:rPr>
            </w:pPr>
          </w:p>
        </w:tc>
        <w:tc>
          <w:tcPr>
            <w:tcW w:w="2608" w:type="dxa"/>
            <w:tcBorders>
              <w:tl2br w:val="nil"/>
              <w:tr2bl w:val="nil"/>
            </w:tcBorders>
            <w:vAlign w:val="center"/>
          </w:tcPr>
          <w:p w14:paraId="091AE9E8">
            <w:pPr>
              <w:jc w:val="center"/>
              <w:rPr>
                <w:rFonts w:ascii="宋体" w:hAnsi="宋体"/>
                <w:b/>
                <w:color w:val="auto"/>
                <w:szCs w:val="21"/>
                <w:highlight w:val="none"/>
              </w:rPr>
            </w:pPr>
            <w:r>
              <w:rPr>
                <w:rFonts w:hint="eastAsia" w:ascii="宋体" w:hAnsi="宋体"/>
                <w:b/>
                <w:color w:val="auto"/>
                <w:szCs w:val="21"/>
                <w:highlight w:val="none"/>
              </w:rPr>
              <w:t>投标文件类型</w:t>
            </w:r>
          </w:p>
        </w:tc>
        <w:tc>
          <w:tcPr>
            <w:tcW w:w="4924" w:type="dxa"/>
            <w:tcBorders>
              <w:tl2br w:val="nil"/>
              <w:tr2bl w:val="nil"/>
            </w:tcBorders>
            <w:vAlign w:val="center"/>
          </w:tcPr>
          <w:p w14:paraId="39BA9A73">
            <w:pPr>
              <w:jc w:val="center"/>
              <w:rPr>
                <w:rFonts w:ascii="宋体" w:hAnsi="宋体"/>
                <w:b/>
                <w:color w:val="auto"/>
                <w:szCs w:val="21"/>
                <w:highlight w:val="none"/>
              </w:rPr>
            </w:pPr>
            <w:r>
              <w:rPr>
                <w:rFonts w:hint="eastAsia" w:ascii="宋体" w:hAnsi="宋体"/>
                <w:b/>
                <w:color w:val="auto"/>
                <w:szCs w:val="21"/>
                <w:highlight w:val="none"/>
              </w:rPr>
              <w:t>份数</w:t>
            </w:r>
          </w:p>
        </w:tc>
      </w:tr>
      <w:tr w14:paraId="0FDB9C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0E5B0CEC">
            <w:pPr>
              <w:jc w:val="center"/>
              <w:rPr>
                <w:rFonts w:ascii="宋体" w:hAnsi="宋体"/>
                <w:color w:val="auto"/>
                <w:szCs w:val="21"/>
                <w:highlight w:val="none"/>
              </w:rPr>
            </w:pPr>
          </w:p>
        </w:tc>
        <w:tc>
          <w:tcPr>
            <w:tcW w:w="2608" w:type="dxa"/>
            <w:tcBorders>
              <w:tl2br w:val="nil"/>
              <w:tr2bl w:val="nil"/>
            </w:tcBorders>
            <w:vAlign w:val="center"/>
          </w:tcPr>
          <w:p w14:paraId="393D1367">
            <w:pPr>
              <w:jc w:val="center"/>
              <w:rPr>
                <w:rFonts w:ascii="宋体" w:hAnsi="宋体"/>
                <w:b/>
                <w:color w:val="auto"/>
                <w:szCs w:val="21"/>
                <w:highlight w:val="none"/>
              </w:rPr>
            </w:pPr>
            <w:r>
              <w:rPr>
                <w:rFonts w:hint="eastAsia" w:ascii="宋体" w:hAnsi="宋体"/>
                <w:b/>
                <w:color w:val="auto"/>
                <w:szCs w:val="21"/>
                <w:highlight w:val="none"/>
              </w:rPr>
              <w:t>唱标信封</w:t>
            </w:r>
          </w:p>
        </w:tc>
        <w:tc>
          <w:tcPr>
            <w:tcW w:w="4924" w:type="dxa"/>
            <w:tcBorders>
              <w:tl2br w:val="nil"/>
              <w:tr2bl w:val="nil"/>
            </w:tcBorders>
            <w:vAlign w:val="center"/>
          </w:tcPr>
          <w:p w14:paraId="55C9C88D">
            <w:pPr>
              <w:jc w:val="center"/>
              <w:rPr>
                <w:rFonts w:ascii="宋体" w:hAnsi="宋体"/>
                <w:b/>
                <w:color w:val="auto"/>
                <w:szCs w:val="21"/>
                <w:highlight w:val="none"/>
              </w:rPr>
            </w:pPr>
            <w:r>
              <w:rPr>
                <w:rFonts w:hint="eastAsia" w:ascii="宋体" w:hAnsi="宋体"/>
                <w:b/>
                <w:color w:val="auto"/>
                <w:szCs w:val="21"/>
                <w:highlight w:val="none"/>
              </w:rPr>
              <w:t>1</w:t>
            </w:r>
          </w:p>
        </w:tc>
      </w:tr>
      <w:tr w14:paraId="7D8C14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5B8242F8">
            <w:pPr>
              <w:jc w:val="center"/>
              <w:rPr>
                <w:rFonts w:ascii="宋体" w:hAnsi="宋体"/>
                <w:color w:val="auto"/>
                <w:szCs w:val="21"/>
                <w:highlight w:val="none"/>
              </w:rPr>
            </w:pPr>
          </w:p>
        </w:tc>
        <w:tc>
          <w:tcPr>
            <w:tcW w:w="2608" w:type="dxa"/>
            <w:tcBorders>
              <w:tl2br w:val="nil"/>
              <w:tr2bl w:val="nil"/>
            </w:tcBorders>
            <w:vAlign w:val="center"/>
          </w:tcPr>
          <w:p w14:paraId="15B9F8A7">
            <w:pPr>
              <w:jc w:val="center"/>
              <w:rPr>
                <w:rFonts w:ascii="宋体" w:hAnsi="宋体"/>
                <w:b/>
                <w:color w:val="auto"/>
                <w:szCs w:val="21"/>
                <w:highlight w:val="none"/>
              </w:rPr>
            </w:pPr>
            <w:r>
              <w:rPr>
                <w:rFonts w:hint="eastAsia" w:ascii="宋体" w:hAnsi="宋体"/>
                <w:b/>
                <w:color w:val="auto"/>
                <w:szCs w:val="21"/>
                <w:highlight w:val="none"/>
              </w:rPr>
              <w:t>投标文件正本</w:t>
            </w:r>
          </w:p>
        </w:tc>
        <w:tc>
          <w:tcPr>
            <w:tcW w:w="4924" w:type="dxa"/>
            <w:tcBorders>
              <w:tl2br w:val="nil"/>
              <w:tr2bl w:val="nil"/>
            </w:tcBorders>
            <w:vAlign w:val="center"/>
          </w:tcPr>
          <w:p w14:paraId="556BE5F2">
            <w:pPr>
              <w:jc w:val="center"/>
              <w:rPr>
                <w:rFonts w:ascii="宋体" w:hAnsi="宋体"/>
                <w:b/>
                <w:color w:val="auto"/>
                <w:szCs w:val="21"/>
                <w:highlight w:val="none"/>
              </w:rPr>
            </w:pPr>
            <w:r>
              <w:rPr>
                <w:rFonts w:hint="eastAsia" w:ascii="宋体" w:hAnsi="宋体"/>
                <w:b/>
                <w:color w:val="auto"/>
                <w:szCs w:val="21"/>
                <w:highlight w:val="none"/>
              </w:rPr>
              <w:t>1</w:t>
            </w:r>
          </w:p>
        </w:tc>
      </w:tr>
      <w:tr w14:paraId="3048DA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5106D684">
            <w:pPr>
              <w:jc w:val="center"/>
              <w:rPr>
                <w:rFonts w:ascii="宋体" w:hAnsi="宋体"/>
                <w:color w:val="auto"/>
                <w:szCs w:val="21"/>
                <w:highlight w:val="none"/>
              </w:rPr>
            </w:pPr>
          </w:p>
        </w:tc>
        <w:tc>
          <w:tcPr>
            <w:tcW w:w="2608" w:type="dxa"/>
            <w:tcBorders>
              <w:tl2br w:val="nil"/>
              <w:tr2bl w:val="nil"/>
            </w:tcBorders>
            <w:vAlign w:val="center"/>
          </w:tcPr>
          <w:p w14:paraId="55872E89">
            <w:pPr>
              <w:jc w:val="center"/>
              <w:rPr>
                <w:rFonts w:ascii="宋体" w:hAnsi="宋体"/>
                <w:b/>
                <w:color w:val="auto"/>
                <w:szCs w:val="21"/>
                <w:highlight w:val="none"/>
              </w:rPr>
            </w:pPr>
            <w:r>
              <w:rPr>
                <w:rFonts w:hint="eastAsia" w:ascii="宋体" w:hAnsi="宋体"/>
                <w:b/>
                <w:color w:val="auto"/>
                <w:szCs w:val="21"/>
                <w:highlight w:val="none"/>
              </w:rPr>
              <w:t>投标文件副本</w:t>
            </w:r>
          </w:p>
        </w:tc>
        <w:tc>
          <w:tcPr>
            <w:tcW w:w="4924" w:type="dxa"/>
            <w:tcBorders>
              <w:tl2br w:val="nil"/>
              <w:tr2bl w:val="nil"/>
            </w:tcBorders>
            <w:vAlign w:val="center"/>
          </w:tcPr>
          <w:p w14:paraId="5E382C68">
            <w:pPr>
              <w:jc w:val="center"/>
              <w:rPr>
                <w:rFonts w:ascii="宋体" w:hAnsi="宋体"/>
                <w:b/>
                <w:color w:val="auto"/>
                <w:szCs w:val="21"/>
                <w:highlight w:val="none"/>
              </w:rPr>
            </w:pPr>
            <w:r>
              <w:rPr>
                <w:rFonts w:hint="eastAsia" w:ascii="宋体" w:hAnsi="宋体"/>
                <w:b/>
                <w:color w:val="auto"/>
                <w:szCs w:val="21"/>
                <w:highlight w:val="none"/>
              </w:rPr>
              <w:sym w:font="Wingdings 2" w:char="0052"/>
            </w:r>
            <w:r>
              <w:rPr>
                <w:rFonts w:hint="eastAsia" w:ascii="宋体" w:hAnsi="宋体"/>
                <w:b/>
                <w:color w:val="auto"/>
                <w:szCs w:val="21"/>
                <w:highlight w:val="none"/>
              </w:rPr>
              <w:t xml:space="preserve">5  </w:t>
            </w:r>
            <w:r>
              <w:rPr>
                <w:rFonts w:hint="eastAsia" w:ascii="宋体" w:hAnsi="宋体"/>
                <w:b/>
                <w:color w:val="auto"/>
                <w:szCs w:val="21"/>
                <w:highlight w:val="none"/>
              </w:rPr>
              <w:sym w:font="Wingdings 2" w:char="00A3"/>
            </w:r>
            <w:r>
              <w:rPr>
                <w:rFonts w:hint="eastAsia" w:ascii="宋体" w:hAnsi="宋体"/>
                <w:b/>
                <w:color w:val="auto"/>
                <w:szCs w:val="21"/>
                <w:highlight w:val="none"/>
              </w:rPr>
              <w:t>7</w:t>
            </w:r>
          </w:p>
        </w:tc>
      </w:tr>
      <w:tr w14:paraId="48FCC9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05059E11">
            <w:pPr>
              <w:jc w:val="center"/>
              <w:rPr>
                <w:rFonts w:ascii="宋体" w:hAnsi="宋体"/>
                <w:color w:val="auto"/>
                <w:szCs w:val="21"/>
                <w:highlight w:val="none"/>
              </w:rPr>
            </w:pPr>
          </w:p>
        </w:tc>
        <w:tc>
          <w:tcPr>
            <w:tcW w:w="2608" w:type="dxa"/>
            <w:vMerge w:val="restart"/>
            <w:tcBorders>
              <w:tl2br w:val="nil"/>
              <w:tr2bl w:val="nil"/>
            </w:tcBorders>
            <w:vAlign w:val="center"/>
          </w:tcPr>
          <w:p w14:paraId="1BDECE1E">
            <w:pPr>
              <w:jc w:val="center"/>
              <w:rPr>
                <w:rFonts w:ascii="宋体" w:hAnsi="宋体"/>
                <w:b/>
                <w:color w:val="auto"/>
                <w:szCs w:val="21"/>
                <w:highlight w:val="none"/>
              </w:rPr>
            </w:pPr>
            <w:r>
              <w:rPr>
                <w:rFonts w:hint="eastAsia" w:ascii="宋体" w:hAnsi="宋体"/>
                <w:b/>
                <w:color w:val="auto"/>
                <w:szCs w:val="21"/>
                <w:highlight w:val="none"/>
              </w:rPr>
              <w:t>电子文档</w:t>
            </w:r>
          </w:p>
        </w:tc>
        <w:tc>
          <w:tcPr>
            <w:tcW w:w="4924" w:type="dxa"/>
            <w:tcBorders>
              <w:tl2br w:val="nil"/>
              <w:tr2bl w:val="nil"/>
            </w:tcBorders>
            <w:vAlign w:val="center"/>
          </w:tcPr>
          <w:p w14:paraId="3249F9A0">
            <w:pPr>
              <w:jc w:val="center"/>
              <w:rPr>
                <w:rFonts w:ascii="宋体" w:hAnsi="宋体"/>
                <w:b/>
                <w:color w:val="auto"/>
                <w:szCs w:val="21"/>
                <w:highlight w:val="none"/>
              </w:rPr>
            </w:pPr>
            <w:r>
              <w:rPr>
                <w:rFonts w:hint="eastAsia" w:ascii="宋体" w:hAnsi="宋体"/>
                <w:b/>
                <w:color w:val="auto"/>
                <w:szCs w:val="21"/>
                <w:highlight w:val="none"/>
              </w:rPr>
              <w:t>1</w:t>
            </w:r>
          </w:p>
        </w:tc>
      </w:tr>
      <w:tr w14:paraId="7E25B1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775502E7">
            <w:pPr>
              <w:jc w:val="center"/>
              <w:rPr>
                <w:rFonts w:ascii="宋体" w:hAnsi="宋体"/>
                <w:color w:val="auto"/>
                <w:szCs w:val="21"/>
                <w:highlight w:val="none"/>
              </w:rPr>
            </w:pPr>
          </w:p>
        </w:tc>
        <w:tc>
          <w:tcPr>
            <w:tcW w:w="2608" w:type="dxa"/>
            <w:vMerge w:val="continue"/>
            <w:tcBorders>
              <w:tl2br w:val="nil"/>
              <w:tr2bl w:val="nil"/>
            </w:tcBorders>
            <w:vAlign w:val="center"/>
          </w:tcPr>
          <w:p w14:paraId="262588D9">
            <w:pPr>
              <w:jc w:val="center"/>
              <w:rPr>
                <w:rFonts w:ascii="宋体" w:hAnsi="宋体"/>
                <w:b/>
                <w:color w:val="auto"/>
                <w:szCs w:val="21"/>
                <w:highlight w:val="none"/>
              </w:rPr>
            </w:pPr>
          </w:p>
        </w:tc>
        <w:tc>
          <w:tcPr>
            <w:tcW w:w="4924" w:type="dxa"/>
            <w:tcBorders>
              <w:tl2br w:val="nil"/>
              <w:tr2bl w:val="nil"/>
            </w:tcBorders>
            <w:vAlign w:val="center"/>
          </w:tcPr>
          <w:p w14:paraId="1A4CFA4C">
            <w:pPr>
              <w:jc w:val="center"/>
              <w:rPr>
                <w:rFonts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 EXCEL文档。</w:t>
            </w:r>
          </w:p>
        </w:tc>
      </w:tr>
      <w:tr w14:paraId="31F401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389E046E">
            <w:pPr>
              <w:jc w:val="center"/>
              <w:rPr>
                <w:rFonts w:ascii="宋体" w:hAnsi="宋体"/>
                <w:b/>
                <w:color w:val="auto"/>
                <w:szCs w:val="21"/>
                <w:highlight w:val="none"/>
              </w:rPr>
            </w:pPr>
            <w:r>
              <w:rPr>
                <w:rFonts w:hint="eastAsia" w:ascii="宋体" w:hAnsi="宋体"/>
                <w:b/>
                <w:color w:val="auto"/>
                <w:szCs w:val="21"/>
                <w:highlight w:val="none"/>
              </w:rPr>
              <w:t>三、开标与评标</w:t>
            </w:r>
          </w:p>
        </w:tc>
      </w:tr>
      <w:tr w14:paraId="0E3F00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E54B815">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11</w:t>
            </w:r>
          </w:p>
        </w:tc>
        <w:tc>
          <w:tcPr>
            <w:tcW w:w="7532" w:type="dxa"/>
            <w:gridSpan w:val="2"/>
            <w:tcBorders>
              <w:tl2br w:val="nil"/>
              <w:tr2bl w:val="nil"/>
            </w:tcBorders>
            <w:vAlign w:val="center"/>
          </w:tcPr>
          <w:p w14:paraId="03549247">
            <w:pPr>
              <w:jc w:val="both"/>
              <w:rPr>
                <w:rFonts w:ascii="宋体" w:hAnsi="宋体"/>
                <w:color w:val="auto"/>
                <w:szCs w:val="21"/>
                <w:highlight w:val="none"/>
              </w:rPr>
            </w:pPr>
            <w:r>
              <w:rPr>
                <w:rFonts w:hint="eastAsia" w:ascii="宋体" w:hAnsi="宋体"/>
                <w:b/>
                <w:color w:val="auto"/>
                <w:szCs w:val="21"/>
                <w:highlight w:val="none"/>
              </w:rPr>
              <w:t>本项目评标方法</w:t>
            </w:r>
          </w:p>
        </w:tc>
      </w:tr>
      <w:tr w14:paraId="620EC6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986071C">
            <w:pPr>
              <w:jc w:val="center"/>
              <w:rPr>
                <w:rFonts w:ascii="宋体" w:hAnsi="宋体"/>
                <w:color w:val="auto"/>
                <w:szCs w:val="21"/>
                <w:highlight w:val="none"/>
              </w:rPr>
            </w:pPr>
          </w:p>
        </w:tc>
        <w:tc>
          <w:tcPr>
            <w:tcW w:w="7532" w:type="dxa"/>
            <w:gridSpan w:val="2"/>
            <w:tcBorders>
              <w:tl2br w:val="nil"/>
              <w:tr2bl w:val="nil"/>
            </w:tcBorders>
            <w:vAlign w:val="center"/>
          </w:tcPr>
          <w:p w14:paraId="5B5AE7A4">
            <w:pPr>
              <w:jc w:val="both"/>
              <w:rPr>
                <w:rFonts w:ascii="宋体" w:hAnsi="宋体"/>
                <w:b/>
                <w:color w:val="auto"/>
                <w:szCs w:val="21"/>
                <w:highlight w:val="none"/>
              </w:rPr>
            </w:pPr>
            <w:r>
              <w:rPr>
                <w:rFonts w:hint="eastAsia" w:ascii="宋体" w:hAnsi="宋体"/>
                <w:color w:val="auto"/>
                <w:szCs w:val="21"/>
                <w:highlight w:val="none"/>
              </w:rPr>
              <w:t>综合评分法。</w:t>
            </w:r>
          </w:p>
        </w:tc>
      </w:tr>
      <w:tr w14:paraId="3E8738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6F5C7D1F">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12</w:t>
            </w:r>
          </w:p>
        </w:tc>
        <w:tc>
          <w:tcPr>
            <w:tcW w:w="7532" w:type="dxa"/>
            <w:gridSpan w:val="2"/>
            <w:tcBorders>
              <w:tl2br w:val="nil"/>
              <w:tr2bl w:val="nil"/>
            </w:tcBorders>
            <w:vAlign w:val="center"/>
          </w:tcPr>
          <w:p w14:paraId="669DCFCF">
            <w:pPr>
              <w:jc w:val="both"/>
              <w:rPr>
                <w:rFonts w:ascii="宋体" w:hAnsi="宋体"/>
                <w:b/>
                <w:color w:val="auto"/>
                <w:szCs w:val="21"/>
                <w:highlight w:val="none"/>
              </w:rPr>
            </w:pPr>
            <w:r>
              <w:rPr>
                <w:rFonts w:hint="eastAsia" w:ascii="宋体" w:hAnsi="宋体"/>
                <w:b/>
                <w:color w:val="auto"/>
                <w:szCs w:val="21"/>
                <w:highlight w:val="none"/>
              </w:rPr>
              <w:t>综合评分法评分因素和权重分值</w:t>
            </w:r>
          </w:p>
        </w:tc>
      </w:tr>
      <w:tr w14:paraId="791B2E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E664912">
            <w:pPr>
              <w:jc w:val="center"/>
              <w:rPr>
                <w:rFonts w:ascii="宋体" w:hAnsi="宋体"/>
                <w:color w:val="auto"/>
                <w:szCs w:val="21"/>
                <w:highlight w:val="none"/>
              </w:rPr>
            </w:pPr>
          </w:p>
        </w:tc>
        <w:tc>
          <w:tcPr>
            <w:tcW w:w="7532" w:type="dxa"/>
            <w:gridSpan w:val="2"/>
            <w:tcBorders>
              <w:tl2br w:val="nil"/>
              <w:tr2bl w:val="nil"/>
            </w:tcBorders>
            <w:vAlign w:val="center"/>
          </w:tcPr>
          <w:p w14:paraId="2859EFD0">
            <w:pPr>
              <w:jc w:val="both"/>
              <w:rPr>
                <w:rFonts w:ascii="宋体" w:hAnsi="宋体"/>
                <w:b/>
                <w:color w:val="auto"/>
                <w:szCs w:val="21"/>
                <w:highlight w:val="none"/>
              </w:rPr>
            </w:pPr>
            <w:r>
              <w:rPr>
                <w:rFonts w:hint="eastAsia" w:ascii="宋体" w:hAnsi="宋体"/>
                <w:color w:val="auto"/>
                <w:szCs w:val="21"/>
                <w:highlight w:val="none"/>
              </w:rPr>
              <w:t>见附表二。</w:t>
            </w:r>
          </w:p>
        </w:tc>
      </w:tr>
      <w:tr w14:paraId="61764EB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6A59954B">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13</w:t>
            </w:r>
          </w:p>
        </w:tc>
        <w:tc>
          <w:tcPr>
            <w:tcW w:w="7532" w:type="dxa"/>
            <w:gridSpan w:val="2"/>
            <w:tcBorders>
              <w:tl2br w:val="nil"/>
              <w:tr2bl w:val="nil"/>
            </w:tcBorders>
            <w:vAlign w:val="center"/>
          </w:tcPr>
          <w:p w14:paraId="142DE1F5">
            <w:pPr>
              <w:jc w:val="both"/>
              <w:rPr>
                <w:rFonts w:ascii="宋体" w:hAnsi="宋体"/>
                <w:color w:val="auto"/>
                <w:szCs w:val="21"/>
                <w:highlight w:val="none"/>
              </w:rPr>
            </w:pPr>
            <w:r>
              <w:rPr>
                <w:rFonts w:hint="eastAsia" w:ascii="宋体" w:hAnsi="宋体"/>
                <w:b/>
                <w:color w:val="auto"/>
                <w:szCs w:val="21"/>
                <w:highlight w:val="none"/>
              </w:rPr>
              <w:t>评标委员会</w:t>
            </w:r>
          </w:p>
        </w:tc>
      </w:tr>
      <w:tr w14:paraId="4E6DA4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F9E299A">
            <w:pPr>
              <w:jc w:val="center"/>
              <w:rPr>
                <w:rFonts w:ascii="宋体" w:hAnsi="宋体"/>
                <w:color w:val="auto"/>
                <w:szCs w:val="21"/>
                <w:highlight w:val="none"/>
              </w:rPr>
            </w:pPr>
          </w:p>
        </w:tc>
        <w:tc>
          <w:tcPr>
            <w:tcW w:w="7532" w:type="dxa"/>
            <w:gridSpan w:val="2"/>
            <w:tcBorders>
              <w:tl2br w:val="nil"/>
              <w:tr2bl w:val="nil"/>
            </w:tcBorders>
            <w:vAlign w:val="center"/>
          </w:tcPr>
          <w:p w14:paraId="441402BA">
            <w:pPr>
              <w:jc w:val="both"/>
              <w:rPr>
                <w:rFonts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五</w:t>
            </w:r>
            <w:r>
              <w:rPr>
                <w:rFonts w:hint="eastAsia" w:ascii="宋体" w:hAnsi="宋体"/>
                <w:color w:val="auto"/>
                <w:szCs w:val="21"/>
                <w:highlight w:val="none"/>
                <w:u w:val="single"/>
              </w:rPr>
              <w:t xml:space="preserve"> </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w:t>
            </w:r>
            <w:r>
              <w:rPr>
                <w:rFonts w:hint="eastAsia" w:ascii="宋体" w:hAnsi="宋体"/>
                <w:color w:val="auto"/>
                <w:szCs w:val="21"/>
                <w:highlight w:val="none"/>
              </w:rPr>
              <w:t>的</w:t>
            </w:r>
            <w:r>
              <w:rPr>
                <w:rFonts w:hint="eastAsia" w:ascii="宋体" w:hAnsi="宋体"/>
                <w:color w:val="auto"/>
                <w:szCs w:val="21"/>
                <w:highlight w:val="none"/>
                <w:lang w:val="zh-CN"/>
              </w:rPr>
              <w:t>代表和</w:t>
            </w:r>
            <w:r>
              <w:rPr>
                <w:rFonts w:hint="eastAsia" w:ascii="宋体" w:hAnsi="宋体"/>
                <w:color w:val="auto"/>
                <w:szCs w:val="21"/>
                <w:highlight w:val="none"/>
              </w:rPr>
              <w:t>有关方面的</w:t>
            </w:r>
            <w:r>
              <w:rPr>
                <w:rFonts w:hint="eastAsia" w:ascii="宋体" w:hAnsi="宋体"/>
                <w:color w:val="auto"/>
                <w:szCs w:val="21"/>
                <w:highlight w:val="none"/>
                <w:lang w:val="zh-CN"/>
              </w:rPr>
              <w:t>专家组成，</w:t>
            </w:r>
            <w:r>
              <w:rPr>
                <w:rFonts w:hint="eastAsia" w:ascii="宋体" w:hAnsi="宋体"/>
                <w:color w:val="auto"/>
                <w:szCs w:val="21"/>
                <w:highlight w:val="none"/>
              </w:rPr>
              <w:t>成员人数为五人或五人以上单数</w:t>
            </w:r>
            <w:r>
              <w:rPr>
                <w:rFonts w:hint="eastAsia" w:ascii="宋体" w:hAnsi="宋体"/>
                <w:color w:val="auto"/>
                <w:szCs w:val="21"/>
                <w:highlight w:val="none"/>
                <w:lang w:val="zh-CN"/>
              </w:rPr>
              <w:t>，其中专家不得少于成员总数的三分之二。</w:t>
            </w:r>
          </w:p>
        </w:tc>
      </w:tr>
      <w:tr w14:paraId="0CCF18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30CC5552">
            <w:pPr>
              <w:jc w:val="center"/>
              <w:rPr>
                <w:rFonts w:ascii="宋体" w:hAnsi="宋体"/>
                <w:b/>
                <w:color w:val="auto"/>
                <w:szCs w:val="21"/>
                <w:highlight w:val="none"/>
              </w:rPr>
            </w:pPr>
            <w:r>
              <w:rPr>
                <w:rFonts w:hint="eastAsia" w:ascii="宋体" w:hAnsi="宋体"/>
                <w:b/>
                <w:color w:val="auto"/>
                <w:szCs w:val="21"/>
                <w:highlight w:val="none"/>
              </w:rPr>
              <w:t>四、授予合同</w:t>
            </w:r>
          </w:p>
        </w:tc>
      </w:tr>
      <w:tr w14:paraId="565441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40423ABB">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14</w:t>
            </w:r>
          </w:p>
        </w:tc>
        <w:tc>
          <w:tcPr>
            <w:tcW w:w="7532" w:type="dxa"/>
            <w:gridSpan w:val="2"/>
            <w:tcBorders>
              <w:tl2br w:val="nil"/>
              <w:tr2bl w:val="nil"/>
            </w:tcBorders>
            <w:shd w:val="clear" w:color="auto" w:fill="auto"/>
            <w:vAlign w:val="center"/>
          </w:tcPr>
          <w:p w14:paraId="15A34A76">
            <w:pPr>
              <w:jc w:val="both"/>
              <w:rPr>
                <w:rFonts w:ascii="宋体" w:hAnsi="宋体"/>
                <w:b/>
                <w:color w:val="auto"/>
                <w:szCs w:val="21"/>
                <w:highlight w:val="none"/>
              </w:rPr>
            </w:pPr>
            <w:r>
              <w:rPr>
                <w:rFonts w:hint="eastAsia" w:ascii="宋体" w:hAnsi="宋体"/>
                <w:b/>
                <w:color w:val="auto"/>
                <w:szCs w:val="21"/>
                <w:highlight w:val="none"/>
              </w:rPr>
              <w:t>履约担保</w:t>
            </w:r>
          </w:p>
        </w:tc>
      </w:tr>
      <w:tr w14:paraId="620E2B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009B60EA">
            <w:pPr>
              <w:jc w:val="center"/>
              <w:rPr>
                <w:rFonts w:ascii="宋体" w:hAnsi="宋体"/>
                <w:color w:val="auto"/>
                <w:szCs w:val="21"/>
                <w:highlight w:val="none"/>
              </w:rPr>
            </w:pPr>
          </w:p>
        </w:tc>
        <w:tc>
          <w:tcPr>
            <w:tcW w:w="7532" w:type="dxa"/>
            <w:gridSpan w:val="2"/>
            <w:tcBorders>
              <w:tl2br w:val="nil"/>
              <w:tr2bl w:val="nil"/>
            </w:tcBorders>
            <w:shd w:val="clear" w:color="auto" w:fill="auto"/>
            <w:vAlign w:val="center"/>
          </w:tcPr>
          <w:p w14:paraId="37E76A9C">
            <w:pPr>
              <w:jc w:val="both"/>
              <w:rPr>
                <w:rFonts w:ascii="宋体" w:hAnsi="宋体"/>
                <w:color w:val="auto"/>
                <w:szCs w:val="21"/>
                <w:highlight w:val="none"/>
              </w:rPr>
            </w:pPr>
            <w:r>
              <w:rPr>
                <w:rFonts w:hint="eastAsia" w:ascii="宋体" w:hAnsi="宋体"/>
                <w:color w:val="auto"/>
                <w:szCs w:val="21"/>
                <w:highlight w:val="none"/>
              </w:rPr>
              <w:t>1.履约担保金额为：</w:t>
            </w:r>
            <w:r>
              <w:rPr>
                <w:rFonts w:hint="eastAsia" w:ascii="宋体" w:hAnsi="宋体"/>
                <w:color w:val="auto"/>
                <w:szCs w:val="21"/>
                <w:highlight w:val="none"/>
                <w:u w:val="single"/>
              </w:rPr>
              <w:t xml:space="preserve"> 合同金额的10% 。</w:t>
            </w:r>
          </w:p>
          <w:p w14:paraId="4FF25114">
            <w:pPr>
              <w:jc w:val="both"/>
              <w:rPr>
                <w:rFonts w:hint="eastAsia" w:ascii="宋体" w:hAnsi="宋体" w:eastAsia="宋体"/>
                <w:color w:val="auto"/>
                <w:szCs w:val="21"/>
                <w:highlight w:val="none"/>
                <w:lang w:eastAsia="zh-CN"/>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履约保证金账户信息</w:t>
            </w:r>
            <w:r>
              <w:rPr>
                <w:rFonts w:hint="eastAsia" w:ascii="宋体" w:hAnsi="宋体"/>
                <w:color w:val="auto"/>
                <w:szCs w:val="21"/>
                <w:highlight w:val="none"/>
                <w:lang w:eastAsia="zh-CN"/>
              </w:rPr>
              <w:t>（中标结果公示后待中标单位与采购人协商确认）</w:t>
            </w:r>
          </w:p>
          <w:p w14:paraId="248BC846">
            <w:pPr>
              <w:jc w:val="both"/>
              <w:rPr>
                <w:rFonts w:ascii="宋体" w:hAnsi="宋体"/>
                <w:color w:val="auto"/>
                <w:szCs w:val="21"/>
                <w:highlight w:val="none"/>
              </w:rPr>
            </w:pPr>
            <w:r>
              <w:rPr>
                <w:rFonts w:hint="eastAsia" w:ascii="宋体" w:hAnsi="宋体"/>
                <w:color w:val="auto"/>
                <w:szCs w:val="21"/>
                <w:highlight w:val="none"/>
              </w:rPr>
              <w:t>3.中标人在采购（合同签署）时提交履约担保，履约担保金额不超过成交合同金额的10%。</w:t>
            </w:r>
          </w:p>
          <w:p w14:paraId="1C8102DF">
            <w:pPr>
              <w:jc w:val="both"/>
              <w:rPr>
                <w:rFonts w:ascii="宋体" w:hAnsi="宋体"/>
                <w:color w:val="auto"/>
                <w:szCs w:val="21"/>
                <w:highlight w:val="none"/>
              </w:rPr>
            </w:pPr>
            <w:r>
              <w:rPr>
                <w:rFonts w:hint="eastAsia" w:ascii="宋体" w:hAnsi="宋体"/>
                <w:color w:val="auto"/>
                <w:szCs w:val="21"/>
                <w:highlight w:val="none"/>
              </w:rPr>
              <w:t>4.履约担保期限从合同签订之日起至项目完工验收合格并结算完毕后，经双方签字</w:t>
            </w:r>
            <w:r>
              <w:rPr>
                <w:rFonts w:hint="eastAsia" w:ascii="宋体" w:hAnsi="宋体"/>
                <w:color w:val="auto"/>
                <w:szCs w:val="21"/>
                <w:highlight w:val="none"/>
                <w:u w:val="single"/>
              </w:rPr>
              <w:t xml:space="preserve"> 7 </w:t>
            </w:r>
            <w:r>
              <w:rPr>
                <w:rFonts w:hint="eastAsia" w:ascii="宋体" w:hAnsi="宋体"/>
                <w:color w:val="auto"/>
                <w:szCs w:val="21"/>
                <w:highlight w:val="none"/>
              </w:rPr>
              <w:t>天内保持有效。</w:t>
            </w:r>
          </w:p>
          <w:p w14:paraId="4E6BB75C">
            <w:pPr>
              <w:jc w:val="both"/>
              <w:rPr>
                <w:rFonts w:ascii="宋体" w:hAnsi="宋体"/>
                <w:color w:val="auto"/>
                <w:szCs w:val="21"/>
                <w:highlight w:val="none"/>
              </w:rPr>
            </w:pPr>
            <w:r>
              <w:rPr>
                <w:rFonts w:hint="eastAsia" w:ascii="宋体" w:hAnsi="宋体"/>
                <w:color w:val="auto"/>
                <w:szCs w:val="21"/>
                <w:highlight w:val="none"/>
              </w:rPr>
              <w:t>5、履约担保要求：</w:t>
            </w:r>
          </w:p>
          <w:p w14:paraId="52EEF454">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1</w:t>
            </w:r>
            <w:r>
              <w:rPr>
                <w:rFonts w:hint="eastAsia" w:ascii="宋体" w:hAnsi="宋体"/>
                <w:color w:val="auto"/>
                <w:szCs w:val="21"/>
                <w:highlight w:val="none"/>
              </w:rPr>
              <w:t>）履约保证金。可采用电汇、银行汇票等银行转帐方式提交，但不可以采用现金方式提交。中标人必须保证履约保证金以中标人名称在签订合同前提交至采购人指定账户。</w:t>
            </w:r>
          </w:p>
          <w:p w14:paraId="59E5C309">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5A68B934">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）为取得履约担保所需的费用，由中标人承担；若工期延误，履约担保时间延长，延长费用由中标人承担。</w:t>
            </w:r>
          </w:p>
          <w:p w14:paraId="785B5E7C">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7521A7ED">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5</w:t>
            </w:r>
            <w:r>
              <w:rPr>
                <w:rFonts w:hint="eastAsia" w:ascii="宋体" w:hAnsi="宋体"/>
                <w:color w:val="auto"/>
                <w:szCs w:val="21"/>
                <w:highlight w:val="none"/>
              </w:rPr>
              <w:t>）下列任何情况发生时，采购人有权行使享有的担保权利：</w:t>
            </w:r>
          </w:p>
          <w:p w14:paraId="47F8F721">
            <w:pPr>
              <w:jc w:val="both"/>
              <w:rPr>
                <w:rFonts w:ascii="宋体" w:hAnsi="宋体"/>
                <w:color w:val="auto"/>
                <w:szCs w:val="21"/>
                <w:highlight w:val="none"/>
              </w:rPr>
            </w:pPr>
            <w:r>
              <w:rPr>
                <w:rFonts w:hint="eastAsia" w:ascii="宋体" w:hAnsi="宋体"/>
                <w:color w:val="auto"/>
                <w:szCs w:val="21"/>
                <w:highlight w:val="none"/>
              </w:rPr>
              <w:t>①中标人将本项目转让给他人，或者在投标文件中未说明，且未经采购人同意，将中标项目分包给他人的；</w:t>
            </w:r>
          </w:p>
          <w:p w14:paraId="729937AE">
            <w:pPr>
              <w:jc w:val="both"/>
              <w:rPr>
                <w:rFonts w:ascii="宋体" w:hAnsi="宋体"/>
                <w:color w:val="auto"/>
                <w:szCs w:val="21"/>
                <w:highlight w:val="none"/>
              </w:rPr>
            </w:pPr>
            <w:r>
              <w:rPr>
                <w:rFonts w:hint="eastAsia" w:ascii="宋体" w:hAnsi="宋体"/>
                <w:color w:val="auto"/>
                <w:szCs w:val="21"/>
                <w:highlight w:val="none"/>
              </w:rPr>
              <w:t>②中标人在履行采购合同期间，违反有关法律法规的规定及合同约定的条款，损害了采购人的利益。</w:t>
            </w:r>
          </w:p>
          <w:p w14:paraId="4209A216">
            <w:pPr>
              <w:jc w:val="both"/>
              <w:rPr>
                <w:rFonts w:ascii="宋体" w:hAnsi="宋体"/>
                <w:b/>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）在整个项目验收合格后，中标人向采购人提交退回履约担保的申请，采购人办理履约担保退还手续。</w:t>
            </w:r>
          </w:p>
        </w:tc>
      </w:tr>
      <w:tr w14:paraId="3EC6FE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42" w:hRule="atLeast"/>
        </w:trPr>
        <w:tc>
          <w:tcPr>
            <w:tcW w:w="878" w:type="dxa"/>
            <w:vMerge w:val="restart"/>
            <w:tcBorders>
              <w:tl2br w:val="nil"/>
              <w:tr2bl w:val="nil"/>
            </w:tcBorders>
            <w:vAlign w:val="center"/>
          </w:tcPr>
          <w:p w14:paraId="57A779DE">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15</w:t>
            </w:r>
          </w:p>
        </w:tc>
        <w:tc>
          <w:tcPr>
            <w:tcW w:w="7532" w:type="dxa"/>
            <w:gridSpan w:val="2"/>
            <w:tcBorders>
              <w:tl2br w:val="nil"/>
              <w:tr2bl w:val="nil"/>
            </w:tcBorders>
            <w:vAlign w:val="center"/>
          </w:tcPr>
          <w:p w14:paraId="37B88D69">
            <w:pPr>
              <w:jc w:val="both"/>
              <w:rPr>
                <w:rFonts w:ascii="宋体" w:hAnsi="宋体"/>
                <w:b/>
                <w:color w:val="auto"/>
                <w:szCs w:val="21"/>
                <w:highlight w:val="none"/>
              </w:rPr>
            </w:pPr>
            <w:r>
              <w:rPr>
                <w:rFonts w:hint="eastAsia" w:ascii="宋体" w:hAnsi="宋体"/>
                <w:b/>
                <w:color w:val="auto"/>
                <w:szCs w:val="21"/>
                <w:highlight w:val="none"/>
              </w:rPr>
              <w:t>中标服务费</w:t>
            </w:r>
          </w:p>
        </w:tc>
      </w:tr>
      <w:tr w14:paraId="3C9922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80" w:hRule="atLeast"/>
        </w:trPr>
        <w:tc>
          <w:tcPr>
            <w:tcW w:w="878" w:type="dxa"/>
            <w:vMerge w:val="continue"/>
            <w:tcBorders>
              <w:tl2br w:val="nil"/>
              <w:tr2bl w:val="nil"/>
            </w:tcBorders>
            <w:vAlign w:val="center"/>
          </w:tcPr>
          <w:p w14:paraId="6DBC48B6">
            <w:pPr>
              <w:jc w:val="center"/>
              <w:rPr>
                <w:rFonts w:ascii="宋体" w:hAnsi="宋体"/>
                <w:color w:val="auto"/>
                <w:szCs w:val="21"/>
                <w:highlight w:val="none"/>
              </w:rPr>
            </w:pPr>
          </w:p>
        </w:tc>
        <w:tc>
          <w:tcPr>
            <w:tcW w:w="7532" w:type="dxa"/>
            <w:gridSpan w:val="2"/>
            <w:tcBorders>
              <w:tl2br w:val="nil"/>
              <w:tr2bl w:val="nil"/>
            </w:tcBorders>
            <w:vAlign w:val="center"/>
          </w:tcPr>
          <w:p w14:paraId="5DC3DD03">
            <w:pPr>
              <w:keepNext w:val="0"/>
              <w:keepLines w:val="0"/>
              <w:pageBreakBefore w:val="0"/>
              <w:widowControl w:val="0"/>
              <w:tabs>
                <w:tab w:val="left" w:pos="907"/>
              </w:tabs>
              <w:kinsoku/>
              <w:wordWrap/>
              <w:overflowPunct/>
              <w:topLinePunct w:val="0"/>
              <w:autoSpaceDE/>
              <w:autoSpaceDN/>
              <w:bidi w:val="0"/>
              <w:adjustRightInd/>
              <w:snapToGrid/>
              <w:spacing w:after="0" w:line="360" w:lineRule="auto"/>
              <w:jc w:val="both"/>
              <w:textAlignment w:val="auto"/>
              <w:rPr>
                <w:rFonts w:ascii="宋体" w:hAnsi="宋体" w:eastAsia="宋体" w:cstheme="minorBidi"/>
                <w:color w:val="auto"/>
                <w:sz w:val="21"/>
                <w:szCs w:val="21"/>
                <w:highlight w:val="none"/>
                <w:lang w:val="en-US" w:eastAsia="zh-CN" w:bidi="ar-SA"/>
              </w:rPr>
            </w:pPr>
            <w:r>
              <w:rPr>
                <w:rFonts w:hint="eastAsia" w:ascii="宋体" w:hAnsi="宋体" w:eastAsia="宋体"/>
                <w:color w:val="auto"/>
                <w:szCs w:val="21"/>
                <w:highlight w:val="none"/>
              </w:rPr>
              <w:t>（1）中标服务费</w:t>
            </w:r>
            <w:r>
              <w:rPr>
                <w:rFonts w:hint="eastAsia" w:ascii="宋体" w:hAnsi="宋体" w:eastAsia="宋体"/>
                <w:color w:val="auto"/>
                <w:szCs w:val="21"/>
                <w:highlight w:val="none"/>
                <w:lang w:eastAsia="zh-CN"/>
              </w:rPr>
              <w:t>参照</w:t>
            </w:r>
            <w:r>
              <w:rPr>
                <w:rFonts w:hint="eastAsia" w:ascii="宋体" w:hAnsi="宋体" w:eastAsia="宋体"/>
                <w:color w:val="auto"/>
                <w:szCs w:val="21"/>
                <w:highlight w:val="none"/>
              </w:rPr>
              <w:t>国家计委[计价格[2002]1980号]文和国家发改委[发改价格[2011]534号]文及相关规定</w:t>
            </w:r>
            <w:r>
              <w:rPr>
                <w:rFonts w:hint="eastAsia" w:ascii="宋体" w:hAnsi="宋体" w:eastAsia="宋体"/>
                <w:color w:val="auto"/>
                <w:szCs w:val="21"/>
                <w:highlight w:val="none"/>
                <w:lang w:eastAsia="zh-CN"/>
              </w:rPr>
              <w:t>并下浮</w:t>
            </w:r>
            <w:r>
              <w:rPr>
                <w:rFonts w:hint="eastAsia" w:ascii="宋体" w:hAnsi="宋体"/>
                <w:color w:val="auto"/>
                <w:szCs w:val="21"/>
                <w:highlight w:val="none"/>
                <w:lang w:val="en-US" w:eastAsia="zh-CN"/>
              </w:rPr>
              <w:t>30</w:t>
            </w:r>
            <w:r>
              <w:rPr>
                <w:rFonts w:hint="eastAsia" w:ascii="宋体" w:hAnsi="宋体" w:eastAsia="宋体"/>
                <w:color w:val="auto"/>
                <w:szCs w:val="21"/>
                <w:highlight w:val="none"/>
                <w:lang w:val="en-US" w:eastAsia="zh-CN"/>
              </w:rPr>
              <w:t>%</w:t>
            </w:r>
            <w:r>
              <w:rPr>
                <w:rFonts w:hint="eastAsia" w:ascii="宋体" w:hAnsi="宋体" w:eastAsia="宋体"/>
                <w:color w:val="auto"/>
                <w:szCs w:val="21"/>
                <w:highlight w:val="none"/>
              </w:rPr>
              <w:t>向中标单位收取，按差额定率累进法计算，以中标通知书中确定的中标总金额作为收费的计算</w:t>
            </w:r>
            <w:r>
              <w:rPr>
                <w:rFonts w:hint="eastAsia" w:ascii="宋体" w:hAnsi="宋体" w:eastAsia="宋体"/>
                <w:color w:val="auto"/>
                <w:szCs w:val="21"/>
                <w:highlight w:val="none"/>
                <w:lang w:eastAsia="zh-CN"/>
              </w:rPr>
              <w:t>参照</w:t>
            </w:r>
            <w:r>
              <w:rPr>
                <w:rFonts w:hint="eastAsia" w:ascii="宋体" w:hAnsi="宋体" w:eastAsia="宋体"/>
                <w:color w:val="auto"/>
                <w:szCs w:val="21"/>
                <w:highlight w:val="none"/>
              </w:rPr>
              <w:t>；中标服务费最低收费标准为</w:t>
            </w:r>
            <w:r>
              <w:rPr>
                <w:rFonts w:hint="eastAsia" w:ascii="宋体" w:hAnsi="宋体" w:eastAsia="宋体"/>
                <w:color w:val="auto"/>
                <w:szCs w:val="21"/>
                <w:highlight w:val="none"/>
                <w:lang w:eastAsia="zh-CN"/>
              </w:rPr>
              <w:t>陆</w:t>
            </w:r>
            <w:r>
              <w:rPr>
                <w:rFonts w:hint="eastAsia" w:ascii="宋体" w:hAnsi="宋体" w:eastAsia="宋体"/>
                <w:color w:val="auto"/>
                <w:szCs w:val="21"/>
                <w:highlight w:val="none"/>
              </w:rPr>
              <w:t>仟元整。</w:t>
            </w:r>
          </w:p>
        </w:tc>
      </w:tr>
      <w:tr w14:paraId="02F63A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732" w:hRule="atLeast"/>
        </w:trPr>
        <w:tc>
          <w:tcPr>
            <w:tcW w:w="878" w:type="dxa"/>
            <w:vMerge w:val="continue"/>
            <w:tcBorders>
              <w:tl2br w:val="nil"/>
              <w:tr2bl w:val="nil"/>
            </w:tcBorders>
            <w:vAlign w:val="center"/>
          </w:tcPr>
          <w:p w14:paraId="15034DEF">
            <w:pPr>
              <w:jc w:val="center"/>
              <w:rPr>
                <w:rFonts w:hint="default" w:ascii="宋体" w:hAnsi="宋体" w:eastAsia="宋体"/>
                <w:color w:val="auto"/>
                <w:szCs w:val="21"/>
                <w:highlight w:val="none"/>
                <w:lang w:val="en-US" w:eastAsia="zh-CN"/>
              </w:rPr>
            </w:pPr>
          </w:p>
        </w:tc>
        <w:tc>
          <w:tcPr>
            <w:tcW w:w="7532" w:type="dxa"/>
            <w:gridSpan w:val="2"/>
            <w:tcBorders>
              <w:tl2br w:val="nil"/>
              <w:tr2bl w:val="nil"/>
            </w:tcBorders>
            <w:vAlign w:val="center"/>
          </w:tcPr>
          <w:p w14:paraId="5FD7DAB8">
            <w:pPr>
              <w:jc w:val="both"/>
              <w:rPr>
                <w:rFonts w:ascii="宋体" w:hAnsi="宋体" w:eastAsia="宋体" w:cstheme="minorBidi"/>
                <w:color w:val="auto"/>
                <w:sz w:val="21"/>
                <w:szCs w:val="21"/>
                <w:highlight w:val="none"/>
                <w:lang w:val="en-US" w:eastAsia="zh-CN" w:bidi="ar-SA"/>
              </w:rPr>
            </w:pPr>
            <w:r>
              <w:rPr>
                <w:rFonts w:hint="eastAsia" w:ascii="宋体" w:hAnsi="宋体" w:eastAsia="宋体" w:cstheme="minorBidi"/>
                <w:color w:val="auto"/>
                <w:sz w:val="21"/>
                <w:szCs w:val="21"/>
                <w:highlight w:val="none"/>
                <w:lang w:val="en-US" w:eastAsia="zh-CN" w:bidi="ar-SA"/>
              </w:rPr>
              <w:t>（2）本项目中标服务费由中标单位支付。</w:t>
            </w:r>
          </w:p>
        </w:tc>
      </w:tr>
      <w:tr w14:paraId="3997C4F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087" w:hRule="atLeast"/>
        </w:trPr>
        <w:tc>
          <w:tcPr>
            <w:tcW w:w="8410" w:type="dxa"/>
            <w:gridSpan w:val="3"/>
            <w:tcBorders>
              <w:tl2br w:val="nil"/>
              <w:tr2bl w:val="nil"/>
            </w:tcBorders>
            <w:vAlign w:val="center"/>
          </w:tcPr>
          <w:p w14:paraId="7916126C">
            <w:pPr>
              <w:widowControl w:val="0"/>
              <w:tabs>
                <w:tab w:val="left" w:pos="907"/>
              </w:tabs>
              <w:adjustRightInd/>
              <w:snapToGrid/>
              <w:ind w:firstLine="420" w:firstLineChars="200"/>
              <w:jc w:val="both"/>
              <w:rPr>
                <w:rFonts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14:paraId="7D7FA5E7">
      <w:pPr>
        <w:jc w:val="center"/>
        <w:rPr>
          <w:color w:val="auto"/>
          <w:highlight w:val="none"/>
        </w:rPr>
      </w:pPr>
      <w:r>
        <w:rPr>
          <w:rFonts w:hint="eastAsia"/>
          <w:color w:val="auto"/>
          <w:highlight w:val="none"/>
        </w:rPr>
        <w:br w:type="page"/>
      </w:r>
    </w:p>
    <w:p w14:paraId="0327192C">
      <w:pPr>
        <w:pStyle w:val="7"/>
        <w:spacing w:before="0" w:after="0" w:line="240" w:lineRule="auto"/>
        <w:jc w:val="center"/>
        <w:rPr>
          <w:rFonts w:hint="eastAsia" w:hAnsi="宋体" w:cs="宋体"/>
          <w:color w:val="auto"/>
          <w:sz w:val="21"/>
          <w:szCs w:val="21"/>
          <w:highlight w:val="none"/>
        </w:rPr>
      </w:pPr>
      <w:bookmarkStart w:id="4" w:name="_Toc31223"/>
      <w:bookmarkStart w:id="5" w:name="_Toc182307969"/>
      <w:r>
        <w:rPr>
          <w:rFonts w:hint="eastAsia" w:ascii="宋体" w:hAnsi="宋体" w:cs="宋体"/>
          <w:color w:val="auto"/>
          <w:sz w:val="24"/>
          <w:szCs w:val="24"/>
          <w:highlight w:val="none"/>
        </w:rPr>
        <w:t>附表二：商务技术评分及价格权重表（满分100分）</w:t>
      </w:r>
      <w:bookmarkEnd w:id="4"/>
      <w:bookmarkEnd w:id="5"/>
    </w:p>
    <w:tbl>
      <w:tblPr>
        <w:tblStyle w:val="29"/>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326"/>
        <w:gridCol w:w="907"/>
        <w:gridCol w:w="6289"/>
      </w:tblGrid>
      <w:tr w14:paraId="7F725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6404A5FC">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序号</w:t>
            </w:r>
          </w:p>
        </w:tc>
        <w:tc>
          <w:tcPr>
            <w:tcW w:w="1326" w:type="dxa"/>
            <w:tcBorders>
              <w:top w:val="single" w:color="auto" w:sz="4" w:space="0"/>
              <w:left w:val="single" w:color="auto" w:sz="4" w:space="0"/>
              <w:bottom w:val="single" w:color="auto" w:sz="4" w:space="0"/>
              <w:right w:val="single" w:color="auto" w:sz="4" w:space="0"/>
            </w:tcBorders>
            <w:vAlign w:val="center"/>
          </w:tcPr>
          <w:p w14:paraId="5D7EBD80">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评审项目</w:t>
            </w:r>
          </w:p>
        </w:tc>
        <w:tc>
          <w:tcPr>
            <w:tcW w:w="907" w:type="dxa"/>
            <w:tcBorders>
              <w:top w:val="single" w:color="auto" w:sz="4" w:space="0"/>
              <w:left w:val="single" w:color="auto" w:sz="4" w:space="0"/>
              <w:bottom w:val="single" w:color="auto" w:sz="4" w:space="0"/>
              <w:right w:val="single" w:color="auto" w:sz="4" w:space="0"/>
            </w:tcBorders>
            <w:vAlign w:val="center"/>
          </w:tcPr>
          <w:p w14:paraId="70F9685C">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分值</w:t>
            </w:r>
          </w:p>
        </w:tc>
        <w:tc>
          <w:tcPr>
            <w:tcW w:w="6289" w:type="dxa"/>
            <w:tcBorders>
              <w:top w:val="single" w:color="auto" w:sz="4" w:space="0"/>
              <w:left w:val="single" w:color="auto" w:sz="4" w:space="0"/>
              <w:bottom w:val="single" w:color="auto" w:sz="4" w:space="0"/>
              <w:right w:val="single" w:color="auto" w:sz="4" w:space="0"/>
            </w:tcBorders>
            <w:vAlign w:val="center"/>
          </w:tcPr>
          <w:p w14:paraId="02F78F67">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评审细则</w:t>
            </w:r>
          </w:p>
        </w:tc>
      </w:tr>
      <w:tr w14:paraId="6888B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9358" w:type="dxa"/>
            <w:gridSpan w:val="4"/>
            <w:tcBorders>
              <w:top w:val="single" w:color="auto" w:sz="4" w:space="0"/>
              <w:left w:val="single" w:color="auto" w:sz="4" w:space="0"/>
              <w:bottom w:val="single" w:color="auto" w:sz="4" w:space="0"/>
              <w:right w:val="single" w:color="auto" w:sz="4" w:space="0"/>
            </w:tcBorders>
            <w:vAlign w:val="center"/>
          </w:tcPr>
          <w:p w14:paraId="3FAACE85">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商务评审（</w:t>
            </w:r>
            <w:r>
              <w:rPr>
                <w:rFonts w:hint="eastAsia" w:ascii="宋体" w:eastAsia="宋体" w:cs="宋体"/>
                <w:b w:val="0"/>
                <w:bCs w:val="0"/>
                <w:color w:val="auto"/>
                <w:sz w:val="21"/>
                <w:szCs w:val="21"/>
                <w:highlight w:val="none"/>
                <w:lang w:val="en-US" w:eastAsia="zh-CN"/>
              </w:rPr>
              <w:t>30</w:t>
            </w:r>
            <w:r>
              <w:rPr>
                <w:rFonts w:hint="eastAsia" w:ascii="宋体" w:eastAsia="宋体" w:cs="宋体"/>
                <w:b w:val="0"/>
                <w:bCs w:val="0"/>
                <w:color w:val="auto"/>
                <w:sz w:val="21"/>
                <w:szCs w:val="21"/>
                <w:highlight w:val="none"/>
              </w:rPr>
              <w:t>分）</w:t>
            </w:r>
          </w:p>
        </w:tc>
      </w:tr>
      <w:tr w14:paraId="0A75E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836" w:type="dxa"/>
            <w:tcBorders>
              <w:top w:val="single" w:color="auto" w:sz="4" w:space="0"/>
              <w:left w:val="single" w:color="auto" w:sz="4" w:space="0"/>
              <w:right w:val="single" w:color="auto" w:sz="4" w:space="0"/>
            </w:tcBorders>
            <w:vAlign w:val="center"/>
          </w:tcPr>
          <w:p w14:paraId="20E4DF08">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1</w:t>
            </w:r>
          </w:p>
        </w:tc>
        <w:tc>
          <w:tcPr>
            <w:tcW w:w="1326" w:type="dxa"/>
            <w:tcBorders>
              <w:top w:val="single" w:color="auto" w:sz="4" w:space="0"/>
              <w:left w:val="single" w:color="auto" w:sz="4" w:space="0"/>
              <w:right w:val="single" w:color="auto" w:sz="4" w:space="0"/>
            </w:tcBorders>
            <w:vAlign w:val="center"/>
          </w:tcPr>
          <w:p w14:paraId="46A42078">
            <w:pPr>
              <w:pStyle w:val="48"/>
              <w:spacing w:line="360" w:lineRule="auto"/>
              <w:ind w:firstLine="0" w:firstLineChars="0"/>
              <w:jc w:val="center"/>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体系</w:t>
            </w:r>
            <w:r>
              <w:rPr>
                <w:rFonts w:hint="eastAsia" w:ascii="宋体" w:eastAsia="宋体" w:cs="宋体"/>
                <w:b w:val="0"/>
                <w:bCs w:val="0"/>
                <w:color w:val="auto"/>
                <w:sz w:val="21"/>
                <w:szCs w:val="21"/>
                <w:highlight w:val="none"/>
                <w:u w:val="none"/>
                <w:lang w:eastAsia="zh-CN"/>
              </w:rPr>
              <w:t>认证</w:t>
            </w:r>
          </w:p>
        </w:tc>
        <w:tc>
          <w:tcPr>
            <w:tcW w:w="907" w:type="dxa"/>
            <w:tcBorders>
              <w:top w:val="single" w:color="auto" w:sz="4" w:space="0"/>
              <w:left w:val="single" w:color="auto" w:sz="4" w:space="0"/>
              <w:bottom w:val="single" w:color="auto" w:sz="4" w:space="0"/>
              <w:right w:val="single" w:color="auto" w:sz="4" w:space="0"/>
            </w:tcBorders>
            <w:vAlign w:val="center"/>
          </w:tcPr>
          <w:p w14:paraId="32598BF2">
            <w:pPr>
              <w:pStyle w:val="48"/>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3</w:t>
            </w:r>
          </w:p>
        </w:tc>
        <w:tc>
          <w:tcPr>
            <w:tcW w:w="6289" w:type="dxa"/>
            <w:tcBorders>
              <w:top w:val="single" w:color="auto" w:sz="4" w:space="0"/>
              <w:left w:val="single" w:color="auto" w:sz="4" w:space="0"/>
              <w:bottom w:val="single" w:color="auto" w:sz="4" w:space="0"/>
              <w:right w:val="single" w:color="auto" w:sz="4" w:space="0"/>
            </w:tcBorders>
            <w:vAlign w:val="center"/>
          </w:tcPr>
          <w:p w14:paraId="4FDC048F">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投标人具有由国家认证认可监督管理部门批准设立的认证机构颁发的有效期内认证证书：</w:t>
            </w:r>
          </w:p>
          <w:p w14:paraId="18C93355">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①质量管理体系认证；</w:t>
            </w:r>
          </w:p>
          <w:p w14:paraId="1D449192">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②环境管理体系认证；</w:t>
            </w:r>
          </w:p>
          <w:p w14:paraId="4311E6C2">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③职业健康安全管理体系认证；</w:t>
            </w:r>
          </w:p>
          <w:p w14:paraId="15253626">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lang w:val="zh-CN"/>
              </w:rPr>
            </w:pPr>
            <w:r>
              <w:rPr>
                <w:rFonts w:hint="eastAsia" w:ascii="宋体" w:eastAsia="宋体" w:cs="宋体"/>
                <w:b w:val="0"/>
                <w:bCs w:val="0"/>
                <w:color w:val="auto"/>
                <w:sz w:val="21"/>
                <w:szCs w:val="21"/>
                <w:highlight w:val="none"/>
                <w:u w:val="none"/>
                <w:lang w:val="zh-CN"/>
              </w:rPr>
              <w:t>注：投标人</w:t>
            </w:r>
            <w:r>
              <w:rPr>
                <w:rFonts w:hint="eastAsia" w:ascii="宋体" w:eastAsia="宋体" w:cs="宋体"/>
                <w:b w:val="0"/>
                <w:bCs w:val="0"/>
                <w:color w:val="auto"/>
                <w:sz w:val="21"/>
                <w:szCs w:val="21"/>
                <w:highlight w:val="none"/>
                <w:u w:val="none"/>
              </w:rPr>
              <w:t>每提供一项得</w:t>
            </w:r>
            <w:r>
              <w:rPr>
                <w:rFonts w:hint="eastAsia" w:ascii="宋体" w:eastAsia="宋体" w:cs="宋体"/>
                <w:b w:val="0"/>
                <w:bCs w:val="0"/>
                <w:color w:val="auto"/>
                <w:sz w:val="21"/>
                <w:szCs w:val="21"/>
                <w:highlight w:val="none"/>
                <w:u w:val="none"/>
                <w:lang w:val="en-US" w:eastAsia="zh-CN"/>
              </w:rPr>
              <w:t>1</w:t>
            </w:r>
            <w:r>
              <w:rPr>
                <w:rFonts w:hint="eastAsia" w:ascii="宋体" w:eastAsia="宋体" w:cs="宋体"/>
                <w:b w:val="0"/>
                <w:bCs w:val="0"/>
                <w:color w:val="auto"/>
                <w:sz w:val="21"/>
                <w:szCs w:val="21"/>
                <w:highlight w:val="none"/>
                <w:u w:val="none"/>
              </w:rPr>
              <w:t>分，本项最高得</w:t>
            </w:r>
            <w:r>
              <w:rPr>
                <w:rFonts w:hint="eastAsia" w:ascii="宋体" w:eastAsia="宋体" w:cs="宋体"/>
                <w:b w:val="0"/>
                <w:bCs w:val="0"/>
                <w:color w:val="auto"/>
                <w:sz w:val="21"/>
                <w:szCs w:val="21"/>
                <w:highlight w:val="none"/>
                <w:u w:val="none"/>
                <w:lang w:val="en-US" w:eastAsia="zh-CN"/>
              </w:rPr>
              <w:t>3</w:t>
            </w:r>
            <w:r>
              <w:rPr>
                <w:rFonts w:hint="eastAsia" w:ascii="宋体" w:eastAsia="宋体" w:cs="宋体"/>
                <w:b w:val="0"/>
                <w:bCs w:val="0"/>
                <w:color w:val="auto"/>
                <w:sz w:val="21"/>
                <w:szCs w:val="21"/>
                <w:highlight w:val="none"/>
                <w:u w:val="none"/>
              </w:rPr>
              <w:t>分</w:t>
            </w:r>
            <w:r>
              <w:rPr>
                <w:rFonts w:hint="eastAsia" w:ascii="宋体" w:eastAsia="宋体" w:cs="宋体"/>
                <w:b w:val="0"/>
                <w:bCs w:val="0"/>
                <w:color w:val="auto"/>
                <w:sz w:val="21"/>
                <w:szCs w:val="21"/>
                <w:highlight w:val="none"/>
                <w:u w:val="none"/>
                <w:lang w:val="en-US" w:eastAsia="zh-CN"/>
              </w:rPr>
              <w:t>,</w:t>
            </w:r>
            <w:r>
              <w:rPr>
                <w:rFonts w:hint="eastAsia" w:ascii="宋体" w:eastAsia="宋体" w:cs="宋体"/>
                <w:b w:val="0"/>
                <w:bCs w:val="0"/>
                <w:color w:val="auto"/>
                <w:sz w:val="21"/>
                <w:szCs w:val="21"/>
                <w:highlight w:val="none"/>
                <w:u w:val="none"/>
                <w:lang w:val="zh-CN"/>
              </w:rPr>
              <w:t>应提供上述有效证书复印件及能显示证书有效状态的全国认证认可信息公共服务平台（http://cx.cnca.cn/）查询结果凭证[凭证界面需显示有“全国认证认可信息公共服务平台”或“认证证书（需显示网址cx.cnca.cn）”]，否则不得分。</w:t>
            </w:r>
          </w:p>
        </w:tc>
      </w:tr>
      <w:tr w14:paraId="27A81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1B21E6E6">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2</w:t>
            </w:r>
          </w:p>
        </w:tc>
        <w:tc>
          <w:tcPr>
            <w:tcW w:w="1326" w:type="dxa"/>
            <w:tcBorders>
              <w:top w:val="single" w:color="auto" w:sz="4" w:space="0"/>
              <w:left w:val="single" w:color="auto" w:sz="4" w:space="0"/>
              <w:bottom w:val="single" w:color="auto" w:sz="4" w:space="0"/>
              <w:right w:val="single" w:color="auto" w:sz="4" w:space="0"/>
            </w:tcBorders>
            <w:vAlign w:val="center"/>
          </w:tcPr>
          <w:p w14:paraId="0C936CF0">
            <w:pPr>
              <w:pStyle w:val="48"/>
              <w:spacing w:line="360" w:lineRule="auto"/>
              <w:ind w:firstLine="0" w:firstLineChars="0"/>
              <w:jc w:val="center"/>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财务状况</w:t>
            </w:r>
          </w:p>
        </w:tc>
        <w:tc>
          <w:tcPr>
            <w:tcW w:w="907" w:type="dxa"/>
            <w:tcBorders>
              <w:top w:val="single" w:color="auto" w:sz="4" w:space="0"/>
              <w:left w:val="single" w:color="auto" w:sz="4" w:space="0"/>
              <w:bottom w:val="single" w:color="auto" w:sz="4" w:space="0"/>
              <w:right w:val="single" w:color="auto" w:sz="4" w:space="0"/>
            </w:tcBorders>
            <w:vAlign w:val="center"/>
          </w:tcPr>
          <w:p w14:paraId="4C361286">
            <w:pPr>
              <w:pStyle w:val="48"/>
              <w:spacing w:line="360" w:lineRule="auto"/>
              <w:ind w:firstLine="0" w:firstLineChars="0"/>
              <w:jc w:val="center"/>
              <w:rPr>
                <w:rFonts w:hint="eastAsia"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2</w:t>
            </w:r>
          </w:p>
        </w:tc>
        <w:tc>
          <w:tcPr>
            <w:tcW w:w="6289" w:type="dxa"/>
            <w:tcBorders>
              <w:top w:val="single" w:color="auto" w:sz="4" w:space="0"/>
              <w:left w:val="single" w:color="auto" w:sz="4" w:space="0"/>
              <w:bottom w:val="single" w:color="auto" w:sz="4" w:space="0"/>
              <w:right w:val="single" w:color="auto" w:sz="4" w:space="0"/>
            </w:tcBorders>
            <w:vAlign w:val="center"/>
          </w:tcPr>
          <w:p w14:paraId="19E6AF39">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lang w:val="zh-CN"/>
              </w:rPr>
            </w:pPr>
            <w:r>
              <w:rPr>
                <w:rFonts w:hint="eastAsia" w:ascii="宋体" w:eastAsia="宋体" w:cs="宋体"/>
                <w:b w:val="0"/>
                <w:bCs w:val="0"/>
                <w:color w:val="auto"/>
                <w:sz w:val="21"/>
                <w:szCs w:val="21"/>
                <w:highlight w:val="none"/>
                <w:u w:val="none"/>
                <w:lang w:val="zh-CN"/>
              </w:rPr>
              <w:t>根据各投标人</w:t>
            </w:r>
            <w:r>
              <w:rPr>
                <w:rFonts w:hint="eastAsia" w:ascii="宋体" w:eastAsia="宋体" w:cs="宋体"/>
                <w:b w:val="0"/>
                <w:bCs w:val="0"/>
                <w:color w:val="auto"/>
                <w:sz w:val="21"/>
                <w:szCs w:val="21"/>
                <w:highlight w:val="none"/>
                <w:u w:val="none"/>
                <w:lang w:val="en-US" w:eastAsia="zh-CN"/>
              </w:rPr>
              <w:t>2022</w:t>
            </w:r>
            <w:r>
              <w:rPr>
                <w:rFonts w:hint="eastAsia" w:ascii="宋体" w:eastAsia="宋体" w:cs="宋体"/>
                <w:b w:val="0"/>
                <w:bCs w:val="0"/>
                <w:color w:val="auto"/>
                <w:sz w:val="21"/>
                <w:szCs w:val="21"/>
                <w:highlight w:val="none"/>
                <w:u w:val="none"/>
                <w:lang w:val="zh-CN"/>
              </w:rPr>
              <w:t>年</w:t>
            </w:r>
            <w:r>
              <w:rPr>
                <w:rFonts w:hint="eastAsia" w:ascii="宋体" w:eastAsia="宋体" w:cs="宋体"/>
                <w:b w:val="0"/>
                <w:bCs w:val="0"/>
                <w:color w:val="auto"/>
                <w:sz w:val="21"/>
                <w:szCs w:val="21"/>
                <w:highlight w:val="none"/>
                <w:u w:val="none"/>
                <w:lang w:val="en-US" w:eastAsia="zh-CN"/>
              </w:rPr>
              <w:t>1月1日</w:t>
            </w:r>
            <w:r>
              <w:rPr>
                <w:rFonts w:hint="eastAsia" w:ascii="宋体" w:eastAsia="宋体" w:cs="宋体"/>
                <w:b w:val="0"/>
                <w:bCs w:val="0"/>
                <w:color w:val="auto"/>
                <w:sz w:val="21"/>
                <w:szCs w:val="21"/>
                <w:highlight w:val="none"/>
                <w:u w:val="none"/>
                <w:lang w:val="zh-CN"/>
              </w:rPr>
              <w:t>至今的财务状况进行评价，三年盈利得</w:t>
            </w:r>
            <w:r>
              <w:rPr>
                <w:rFonts w:hint="eastAsia" w:ascii="宋体" w:eastAsia="宋体" w:cs="宋体"/>
                <w:b w:val="0"/>
                <w:bCs w:val="0"/>
                <w:color w:val="auto"/>
                <w:sz w:val="21"/>
                <w:szCs w:val="21"/>
                <w:highlight w:val="none"/>
                <w:u w:val="none"/>
                <w:lang w:val="en-US" w:eastAsia="zh-CN"/>
              </w:rPr>
              <w:t>2</w:t>
            </w:r>
            <w:r>
              <w:rPr>
                <w:rFonts w:hint="eastAsia" w:ascii="宋体" w:eastAsia="宋体" w:cs="宋体"/>
                <w:b w:val="0"/>
                <w:bCs w:val="0"/>
                <w:color w:val="auto"/>
                <w:sz w:val="21"/>
                <w:szCs w:val="21"/>
                <w:highlight w:val="none"/>
                <w:u w:val="none"/>
                <w:lang w:val="zh-CN"/>
              </w:rPr>
              <w:t>分，两年盈利得</w:t>
            </w:r>
            <w:r>
              <w:rPr>
                <w:rFonts w:hint="eastAsia" w:ascii="宋体" w:eastAsia="宋体" w:cs="宋体"/>
                <w:b w:val="0"/>
                <w:bCs w:val="0"/>
                <w:color w:val="auto"/>
                <w:sz w:val="21"/>
                <w:szCs w:val="21"/>
                <w:highlight w:val="none"/>
                <w:u w:val="none"/>
                <w:lang w:val="en-US" w:eastAsia="zh-CN"/>
              </w:rPr>
              <w:t>1</w:t>
            </w:r>
            <w:r>
              <w:rPr>
                <w:rFonts w:hint="eastAsia" w:ascii="宋体" w:eastAsia="宋体" w:cs="宋体"/>
                <w:b w:val="0"/>
                <w:bCs w:val="0"/>
                <w:color w:val="auto"/>
                <w:sz w:val="21"/>
                <w:szCs w:val="21"/>
                <w:highlight w:val="none"/>
                <w:u w:val="none"/>
                <w:lang w:val="zh-CN"/>
              </w:rPr>
              <w:t>分，一年盈利得</w:t>
            </w:r>
            <w:r>
              <w:rPr>
                <w:rFonts w:hint="eastAsia" w:ascii="宋体" w:eastAsia="宋体" w:cs="宋体"/>
                <w:b w:val="0"/>
                <w:bCs w:val="0"/>
                <w:color w:val="auto"/>
                <w:sz w:val="21"/>
                <w:szCs w:val="21"/>
                <w:highlight w:val="none"/>
                <w:u w:val="none"/>
                <w:lang w:val="en-US" w:eastAsia="zh-CN"/>
              </w:rPr>
              <w:t>0.5</w:t>
            </w:r>
            <w:r>
              <w:rPr>
                <w:rFonts w:hint="eastAsia" w:ascii="宋体" w:eastAsia="宋体" w:cs="宋体"/>
                <w:b w:val="0"/>
                <w:bCs w:val="0"/>
                <w:color w:val="auto"/>
                <w:sz w:val="21"/>
                <w:szCs w:val="21"/>
                <w:highlight w:val="none"/>
                <w:u w:val="none"/>
                <w:lang w:val="zh-CN"/>
              </w:rPr>
              <w:t>分，无盈利不得分。</w:t>
            </w:r>
          </w:p>
          <w:p w14:paraId="1A13692E">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eastAsia="宋体"/>
                <w:b w:val="0"/>
                <w:bCs w:val="0"/>
                <w:color w:val="auto"/>
                <w:highlight w:val="none"/>
                <w:u w:val="none"/>
                <w:lang w:eastAsia="zh-CN"/>
              </w:rPr>
            </w:pPr>
            <w:r>
              <w:rPr>
                <w:rFonts w:hint="eastAsia" w:ascii="宋体" w:eastAsia="宋体" w:cs="宋体"/>
                <w:b w:val="0"/>
                <w:bCs w:val="0"/>
                <w:color w:val="auto"/>
                <w:sz w:val="21"/>
                <w:szCs w:val="21"/>
                <w:highlight w:val="none"/>
                <w:u w:val="none"/>
                <w:lang w:val="zh-CN"/>
              </w:rPr>
              <w:t>注：须提供</w:t>
            </w:r>
            <w:r>
              <w:rPr>
                <w:rFonts w:hint="eastAsia" w:ascii="宋体" w:eastAsia="宋体" w:cs="宋体"/>
                <w:b w:val="0"/>
                <w:bCs w:val="0"/>
                <w:color w:val="auto"/>
                <w:sz w:val="21"/>
                <w:szCs w:val="21"/>
                <w:highlight w:val="none"/>
                <w:u w:val="none"/>
              </w:rPr>
              <w:t>会计师事务所审计的</w:t>
            </w:r>
            <w:r>
              <w:rPr>
                <w:rFonts w:hint="eastAsia" w:ascii="宋体" w:eastAsia="宋体" w:cs="宋体"/>
                <w:b w:val="0"/>
                <w:bCs w:val="0"/>
                <w:color w:val="auto"/>
                <w:sz w:val="21"/>
                <w:szCs w:val="21"/>
                <w:highlight w:val="none"/>
                <w:u w:val="none"/>
                <w:lang w:eastAsia="zh-CN"/>
              </w:rPr>
              <w:t>完整的</w:t>
            </w:r>
            <w:r>
              <w:rPr>
                <w:rFonts w:hint="eastAsia" w:ascii="宋体" w:eastAsia="宋体" w:cs="宋体"/>
                <w:b w:val="0"/>
                <w:bCs w:val="0"/>
                <w:color w:val="auto"/>
                <w:sz w:val="21"/>
                <w:szCs w:val="21"/>
                <w:highlight w:val="none"/>
                <w:u w:val="none"/>
              </w:rPr>
              <w:t>财务报表复印件加盖投标人公章</w:t>
            </w:r>
            <w:r>
              <w:rPr>
                <w:rFonts w:hint="eastAsia" w:ascii="宋体" w:eastAsia="宋体" w:cs="宋体"/>
                <w:b w:val="0"/>
                <w:bCs w:val="0"/>
                <w:color w:val="auto"/>
                <w:sz w:val="21"/>
                <w:szCs w:val="21"/>
                <w:highlight w:val="none"/>
                <w:u w:val="none"/>
                <w:lang w:eastAsia="zh-CN"/>
              </w:rPr>
              <w:t>。</w:t>
            </w:r>
          </w:p>
        </w:tc>
      </w:tr>
      <w:tr w14:paraId="130DF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836" w:type="dxa"/>
            <w:tcBorders>
              <w:top w:val="single" w:color="auto" w:sz="4" w:space="0"/>
              <w:left w:val="single" w:color="auto" w:sz="4" w:space="0"/>
              <w:right w:val="single" w:color="auto" w:sz="4" w:space="0"/>
            </w:tcBorders>
            <w:vAlign w:val="center"/>
          </w:tcPr>
          <w:p w14:paraId="30FAFE6B">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3</w:t>
            </w:r>
          </w:p>
        </w:tc>
        <w:tc>
          <w:tcPr>
            <w:tcW w:w="1326" w:type="dxa"/>
            <w:tcBorders>
              <w:top w:val="single" w:color="auto" w:sz="4" w:space="0"/>
              <w:left w:val="single" w:color="auto" w:sz="4" w:space="0"/>
              <w:right w:val="single" w:color="auto" w:sz="4" w:space="0"/>
            </w:tcBorders>
            <w:vAlign w:val="center"/>
          </w:tcPr>
          <w:p w14:paraId="6E4B8532">
            <w:pPr>
              <w:pStyle w:val="48"/>
              <w:spacing w:line="360" w:lineRule="auto"/>
              <w:ind w:firstLine="0" w:firstLineChars="0"/>
              <w:jc w:val="center"/>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lang w:eastAsia="zh-CN"/>
              </w:rPr>
              <w:t>同类</w:t>
            </w:r>
            <w:r>
              <w:rPr>
                <w:rFonts w:hint="eastAsia" w:ascii="宋体" w:eastAsia="宋体" w:cs="宋体"/>
                <w:b w:val="0"/>
                <w:bCs w:val="0"/>
                <w:color w:val="auto"/>
                <w:sz w:val="21"/>
                <w:szCs w:val="21"/>
                <w:highlight w:val="none"/>
                <w:u w:val="none"/>
              </w:rPr>
              <w:t>业绩</w:t>
            </w:r>
          </w:p>
        </w:tc>
        <w:tc>
          <w:tcPr>
            <w:tcW w:w="907" w:type="dxa"/>
            <w:tcBorders>
              <w:top w:val="single" w:color="auto" w:sz="4" w:space="0"/>
              <w:left w:val="single" w:color="auto" w:sz="4" w:space="0"/>
              <w:bottom w:val="single" w:color="auto" w:sz="4" w:space="0"/>
              <w:right w:val="single" w:color="auto" w:sz="4" w:space="0"/>
            </w:tcBorders>
            <w:vAlign w:val="center"/>
          </w:tcPr>
          <w:p w14:paraId="4E36B7E8">
            <w:pPr>
              <w:pStyle w:val="48"/>
              <w:spacing w:line="360" w:lineRule="auto"/>
              <w:ind w:firstLine="0" w:firstLineChars="0"/>
              <w:jc w:val="center"/>
              <w:rPr>
                <w:rFonts w:hint="default"/>
                <w:b w:val="0"/>
                <w:bCs w:val="0"/>
                <w:color w:val="auto"/>
                <w:highlight w:val="none"/>
                <w:u w:val="none"/>
                <w:lang w:val="en-US"/>
              </w:rPr>
            </w:pPr>
            <w:r>
              <w:rPr>
                <w:rFonts w:hint="eastAsia" w:ascii="宋体" w:eastAsia="宋体" w:cs="宋体"/>
                <w:b w:val="0"/>
                <w:bCs w:val="0"/>
                <w:color w:val="auto"/>
                <w:sz w:val="21"/>
                <w:szCs w:val="21"/>
                <w:highlight w:val="none"/>
                <w:u w:val="none"/>
                <w:lang w:val="en-US" w:eastAsia="zh-CN"/>
              </w:rPr>
              <w:t>10</w:t>
            </w:r>
          </w:p>
        </w:tc>
        <w:tc>
          <w:tcPr>
            <w:tcW w:w="6289" w:type="dxa"/>
            <w:tcBorders>
              <w:top w:val="single" w:color="auto" w:sz="4" w:space="0"/>
              <w:left w:val="single" w:color="auto" w:sz="4" w:space="0"/>
              <w:bottom w:val="single" w:color="auto" w:sz="4" w:space="0"/>
              <w:right w:val="single" w:color="auto" w:sz="4" w:space="0"/>
            </w:tcBorders>
            <w:vAlign w:val="center"/>
          </w:tcPr>
          <w:p w14:paraId="347FAD35">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投标人自2022年至今承接过储能项目，每具有一个项目业绩，得2分，最高得10分。</w:t>
            </w:r>
          </w:p>
          <w:p w14:paraId="763769DD">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lang w:val="zh-CN"/>
              </w:rPr>
            </w:pPr>
            <w:r>
              <w:rPr>
                <w:rFonts w:hint="eastAsia" w:ascii="宋体" w:eastAsia="宋体" w:cs="宋体"/>
                <w:b w:val="0"/>
                <w:bCs w:val="0"/>
                <w:color w:val="auto"/>
                <w:sz w:val="21"/>
                <w:szCs w:val="21"/>
                <w:highlight w:val="none"/>
                <w:u w:val="none"/>
                <w:lang w:val="en-US" w:eastAsia="zh-CN"/>
              </w:rPr>
              <w:t>注：须提供合同复印件并同时加盖投标人公章，不符合以上要求得不得分。</w:t>
            </w:r>
          </w:p>
        </w:tc>
      </w:tr>
      <w:tr w14:paraId="3D877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0C139F0B">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4</w:t>
            </w:r>
          </w:p>
        </w:tc>
        <w:tc>
          <w:tcPr>
            <w:tcW w:w="1326" w:type="dxa"/>
            <w:tcBorders>
              <w:top w:val="single" w:color="auto" w:sz="4" w:space="0"/>
              <w:left w:val="single" w:color="auto" w:sz="4" w:space="0"/>
              <w:bottom w:val="single" w:color="auto" w:sz="4" w:space="0"/>
              <w:right w:val="single" w:color="auto" w:sz="4" w:space="0"/>
            </w:tcBorders>
            <w:vAlign w:val="center"/>
          </w:tcPr>
          <w:p w14:paraId="533EB2A4">
            <w:pPr>
              <w:pStyle w:val="48"/>
              <w:spacing w:line="360" w:lineRule="auto"/>
              <w:ind w:firstLine="0" w:firstLineChars="0"/>
              <w:jc w:val="center"/>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人员要求</w:t>
            </w:r>
          </w:p>
        </w:tc>
        <w:tc>
          <w:tcPr>
            <w:tcW w:w="907" w:type="dxa"/>
            <w:tcBorders>
              <w:top w:val="single" w:color="auto" w:sz="4" w:space="0"/>
              <w:left w:val="single" w:color="auto" w:sz="4" w:space="0"/>
              <w:bottom w:val="single" w:color="auto" w:sz="4" w:space="0"/>
              <w:right w:val="single" w:color="auto" w:sz="4" w:space="0"/>
            </w:tcBorders>
            <w:vAlign w:val="center"/>
          </w:tcPr>
          <w:p w14:paraId="3D1ADA98">
            <w:pPr>
              <w:pStyle w:val="48"/>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3BCC0981">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根据投标人拟投入的团队人员进行综合评审：</w:t>
            </w:r>
          </w:p>
          <w:p w14:paraId="19134688">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1、团队人员中具有注册于投标人本单位的机电工程专业二级注册建造师执业资格证书和有效的安全生产考核合格证（B证）的，得2分；机电工程专业一级注册建造师执业资格证书和有效的安全生产考核合格证（B证），得</w:t>
            </w:r>
            <w:r>
              <w:rPr>
                <w:rFonts w:hint="eastAsia" w:ascii="宋体" w:eastAsia="宋体" w:cs="宋体"/>
                <w:b w:val="0"/>
                <w:bCs w:val="0"/>
                <w:color w:val="auto"/>
                <w:sz w:val="21"/>
                <w:szCs w:val="21"/>
                <w:highlight w:val="none"/>
                <w:u w:val="none"/>
                <w:lang w:val="en-US" w:eastAsia="zh-CN"/>
              </w:rPr>
              <w:t>3</w:t>
            </w:r>
            <w:r>
              <w:rPr>
                <w:rFonts w:hint="eastAsia" w:ascii="宋体" w:eastAsia="宋体" w:cs="宋体"/>
                <w:b w:val="0"/>
                <w:bCs w:val="0"/>
                <w:color w:val="auto"/>
                <w:sz w:val="21"/>
                <w:szCs w:val="21"/>
                <w:highlight w:val="none"/>
                <w:u w:val="none"/>
              </w:rPr>
              <w:t>分，最高得</w:t>
            </w:r>
            <w:r>
              <w:rPr>
                <w:rFonts w:hint="eastAsia" w:ascii="宋体" w:eastAsia="宋体" w:cs="宋体"/>
                <w:b w:val="0"/>
                <w:bCs w:val="0"/>
                <w:color w:val="auto"/>
                <w:sz w:val="21"/>
                <w:szCs w:val="21"/>
                <w:highlight w:val="none"/>
                <w:u w:val="none"/>
                <w:lang w:val="en-US" w:eastAsia="zh-CN"/>
              </w:rPr>
              <w:t>3</w:t>
            </w:r>
            <w:r>
              <w:rPr>
                <w:rFonts w:hint="eastAsia" w:ascii="宋体" w:eastAsia="宋体" w:cs="宋体"/>
                <w:b w:val="0"/>
                <w:bCs w:val="0"/>
                <w:color w:val="auto"/>
                <w:sz w:val="21"/>
                <w:szCs w:val="21"/>
                <w:highlight w:val="none"/>
                <w:u w:val="none"/>
              </w:rPr>
              <w:t>分；</w:t>
            </w:r>
          </w:p>
          <w:p w14:paraId="2CED9B01">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2、团队人员中具有电工作业证（特种作业操作证），每提供一人得1分，最高得2分；</w:t>
            </w:r>
          </w:p>
          <w:p w14:paraId="0FBE8FA1">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注：以上人员在履行期间，拟投入本项目的所有人员须专职服务本项目，如相关人员有变更应及时向采购人办理变更备案手续；提供的人员不得重复得分；须提供有效的相关证书复印件加盖投标人公章, 并提供社保部门出具的投标人为其购买的近六个月年内任意一个月的社会保险证明材料加盖投标人公章，否则不得分。</w:t>
            </w:r>
          </w:p>
        </w:tc>
      </w:tr>
      <w:tr w14:paraId="3BAFA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1B90D5F1">
            <w:pPr>
              <w:pStyle w:val="48"/>
              <w:spacing w:line="360" w:lineRule="auto"/>
              <w:ind w:firstLine="0" w:firstLineChars="0"/>
              <w:jc w:val="center"/>
              <w:rPr>
                <w:rFonts w:hint="eastAsia" w:asci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5</w:t>
            </w:r>
          </w:p>
        </w:tc>
        <w:tc>
          <w:tcPr>
            <w:tcW w:w="1326" w:type="dxa"/>
            <w:tcBorders>
              <w:top w:val="single" w:color="auto" w:sz="4" w:space="0"/>
              <w:left w:val="single" w:color="auto" w:sz="4" w:space="0"/>
              <w:bottom w:val="single" w:color="auto" w:sz="4" w:space="0"/>
              <w:right w:val="single" w:color="auto" w:sz="4" w:space="0"/>
            </w:tcBorders>
            <w:vAlign w:val="center"/>
          </w:tcPr>
          <w:p w14:paraId="325E82E4">
            <w:pPr>
              <w:pStyle w:val="48"/>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企业信誉</w:t>
            </w:r>
          </w:p>
        </w:tc>
        <w:tc>
          <w:tcPr>
            <w:tcW w:w="907" w:type="dxa"/>
            <w:tcBorders>
              <w:top w:val="single" w:color="auto" w:sz="4" w:space="0"/>
              <w:left w:val="single" w:color="auto" w:sz="4" w:space="0"/>
              <w:bottom w:val="single" w:color="auto" w:sz="4" w:space="0"/>
              <w:right w:val="single" w:color="auto" w:sz="4" w:space="0"/>
            </w:tcBorders>
            <w:vAlign w:val="center"/>
          </w:tcPr>
          <w:p w14:paraId="5ED8A01B">
            <w:pPr>
              <w:pStyle w:val="48"/>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2</w:t>
            </w:r>
          </w:p>
        </w:tc>
        <w:tc>
          <w:tcPr>
            <w:tcW w:w="6289" w:type="dxa"/>
            <w:tcBorders>
              <w:top w:val="single" w:color="auto" w:sz="4" w:space="0"/>
              <w:left w:val="single" w:color="auto" w:sz="4" w:space="0"/>
              <w:bottom w:val="single" w:color="auto" w:sz="4" w:space="0"/>
              <w:right w:val="single" w:color="auto" w:sz="4" w:space="0"/>
            </w:tcBorders>
            <w:vAlign w:val="center"/>
          </w:tcPr>
          <w:p w14:paraId="003AD8AA">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投标人提供2022年1月1日至今未受到</w:t>
            </w:r>
            <w:r>
              <w:rPr>
                <w:rFonts w:hint="eastAsia" w:ascii="宋体" w:eastAsia="宋体" w:cs="宋体"/>
                <w:b w:val="0"/>
                <w:bCs w:val="0"/>
                <w:color w:val="auto"/>
                <w:sz w:val="21"/>
                <w:szCs w:val="21"/>
                <w:highlight w:val="none"/>
                <w:u w:val="none"/>
                <w:lang w:val="en-US" w:eastAsia="zh-CN"/>
              </w:rPr>
              <w:t>相关</w:t>
            </w:r>
            <w:r>
              <w:rPr>
                <w:rFonts w:hint="eastAsia" w:ascii="宋体" w:eastAsia="宋体" w:cs="宋体"/>
                <w:b w:val="0"/>
                <w:bCs w:val="0"/>
                <w:color w:val="auto"/>
                <w:sz w:val="21"/>
                <w:szCs w:val="21"/>
                <w:highlight w:val="none"/>
                <w:u w:val="none"/>
              </w:rPr>
              <w:t>主管部门的行政处罚或开标前未处在行政处罚内的得</w:t>
            </w:r>
            <w:r>
              <w:rPr>
                <w:rFonts w:hint="eastAsia" w:ascii="宋体" w:eastAsia="宋体" w:cs="宋体"/>
                <w:b w:val="0"/>
                <w:bCs w:val="0"/>
                <w:color w:val="auto"/>
                <w:sz w:val="21"/>
                <w:szCs w:val="21"/>
                <w:highlight w:val="none"/>
                <w:u w:val="none"/>
                <w:lang w:val="en-US" w:eastAsia="zh-CN"/>
              </w:rPr>
              <w:t>2</w:t>
            </w:r>
            <w:r>
              <w:rPr>
                <w:rFonts w:hint="eastAsia" w:ascii="宋体" w:eastAsia="宋体" w:cs="宋体"/>
                <w:b w:val="0"/>
                <w:bCs w:val="0"/>
                <w:color w:val="auto"/>
                <w:sz w:val="21"/>
                <w:szCs w:val="21"/>
                <w:highlight w:val="none"/>
                <w:u w:val="none"/>
              </w:rPr>
              <w:t>分;未提供证明材料或受到1次以上行政处罚并在开标前处于行政处罚内的不得分。(以信用中国查询截图为准)注:此处行政处罚指供应商因违法经营受到的警告、通报批评、200万元以下罚款、限制开展生产经营活动、限制从业的行政处罚。</w:t>
            </w:r>
          </w:p>
        </w:tc>
      </w:tr>
      <w:tr w14:paraId="376B5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55AE8AA0">
            <w:pPr>
              <w:pStyle w:val="48"/>
              <w:spacing w:line="360" w:lineRule="auto"/>
              <w:ind w:firstLine="0" w:firstLineChars="0"/>
              <w:jc w:val="center"/>
              <w:rPr>
                <w:rFonts w:hint="default" w:asci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6</w:t>
            </w:r>
          </w:p>
        </w:tc>
        <w:tc>
          <w:tcPr>
            <w:tcW w:w="1326" w:type="dxa"/>
            <w:tcBorders>
              <w:top w:val="single" w:color="auto" w:sz="4" w:space="0"/>
              <w:left w:val="single" w:color="auto" w:sz="4" w:space="0"/>
              <w:bottom w:val="single" w:color="auto" w:sz="4" w:space="0"/>
              <w:right w:val="single" w:color="auto" w:sz="4" w:space="0"/>
            </w:tcBorders>
            <w:vAlign w:val="center"/>
          </w:tcPr>
          <w:p w14:paraId="1960F4A3">
            <w:pPr>
              <w:pStyle w:val="48"/>
              <w:spacing w:line="360" w:lineRule="auto"/>
              <w:ind w:firstLine="0" w:firstLineChars="0"/>
              <w:jc w:val="center"/>
              <w:rPr>
                <w:rFonts w:hint="eastAsia"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服务便利性</w:t>
            </w:r>
          </w:p>
        </w:tc>
        <w:tc>
          <w:tcPr>
            <w:tcW w:w="907" w:type="dxa"/>
            <w:tcBorders>
              <w:top w:val="single" w:color="auto" w:sz="4" w:space="0"/>
              <w:left w:val="single" w:color="auto" w:sz="4" w:space="0"/>
              <w:bottom w:val="single" w:color="auto" w:sz="4" w:space="0"/>
              <w:right w:val="single" w:color="auto" w:sz="4" w:space="0"/>
            </w:tcBorders>
            <w:vAlign w:val="center"/>
          </w:tcPr>
          <w:p w14:paraId="36B5BD3A">
            <w:pPr>
              <w:pStyle w:val="48"/>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8</w:t>
            </w:r>
          </w:p>
        </w:tc>
        <w:tc>
          <w:tcPr>
            <w:tcW w:w="6289" w:type="dxa"/>
            <w:tcBorders>
              <w:top w:val="single" w:color="auto" w:sz="4" w:space="0"/>
              <w:left w:val="single" w:color="auto" w:sz="4" w:space="0"/>
              <w:bottom w:val="single" w:color="auto" w:sz="4" w:space="0"/>
              <w:right w:val="single" w:color="auto" w:sz="4" w:space="0"/>
            </w:tcBorders>
            <w:vAlign w:val="center"/>
          </w:tcPr>
          <w:p w14:paraId="394A78C4">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根据</w:t>
            </w: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提供的服务响应时间承诺进行评分</w:t>
            </w:r>
            <w:r>
              <w:rPr>
                <w:rFonts w:hint="eastAsia" w:ascii="宋体" w:eastAsia="宋体" w:cs="宋体"/>
                <w:b w:val="0"/>
                <w:bCs w:val="0"/>
                <w:color w:val="auto"/>
                <w:sz w:val="21"/>
                <w:szCs w:val="21"/>
                <w:highlight w:val="none"/>
                <w:u w:val="none"/>
                <w:lang w:eastAsia="zh-CN"/>
              </w:rPr>
              <w:t>：</w:t>
            </w:r>
          </w:p>
          <w:p w14:paraId="40F77EE1">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承诺在接到招标人通知后1小时内到现场，得</w:t>
            </w:r>
            <w:r>
              <w:rPr>
                <w:rFonts w:hint="eastAsia" w:ascii="宋体" w:eastAsia="宋体" w:cs="宋体"/>
                <w:b w:val="0"/>
                <w:bCs w:val="0"/>
                <w:color w:val="auto"/>
                <w:sz w:val="21"/>
                <w:szCs w:val="21"/>
                <w:highlight w:val="none"/>
                <w:u w:val="none"/>
                <w:lang w:val="en-US" w:eastAsia="zh-CN"/>
              </w:rPr>
              <w:t>8</w:t>
            </w:r>
            <w:r>
              <w:rPr>
                <w:rFonts w:hint="eastAsia" w:ascii="宋体" w:eastAsia="宋体" w:cs="宋体"/>
                <w:b w:val="0"/>
                <w:bCs w:val="0"/>
                <w:color w:val="auto"/>
                <w:sz w:val="21"/>
                <w:szCs w:val="21"/>
                <w:highlight w:val="none"/>
                <w:u w:val="none"/>
              </w:rPr>
              <w:t>分；</w:t>
            </w:r>
          </w:p>
          <w:p w14:paraId="7BDF303D">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承诺在接到招标人通知后2小时内到现场，得</w:t>
            </w:r>
            <w:r>
              <w:rPr>
                <w:rFonts w:hint="eastAsia" w:ascii="宋体" w:eastAsia="宋体" w:cs="宋体"/>
                <w:b w:val="0"/>
                <w:bCs w:val="0"/>
                <w:color w:val="auto"/>
                <w:sz w:val="21"/>
                <w:szCs w:val="21"/>
                <w:highlight w:val="none"/>
                <w:u w:val="none"/>
                <w:lang w:val="en-US" w:eastAsia="zh-CN"/>
              </w:rPr>
              <w:t>5</w:t>
            </w:r>
            <w:r>
              <w:rPr>
                <w:rFonts w:hint="eastAsia" w:ascii="宋体" w:eastAsia="宋体" w:cs="宋体"/>
                <w:b w:val="0"/>
                <w:bCs w:val="0"/>
                <w:color w:val="auto"/>
                <w:sz w:val="21"/>
                <w:szCs w:val="21"/>
                <w:highlight w:val="none"/>
                <w:u w:val="none"/>
              </w:rPr>
              <w:t>分；</w:t>
            </w:r>
          </w:p>
          <w:p w14:paraId="260A282F">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承诺在接到招标人通知后4小时内到现场，得</w:t>
            </w:r>
            <w:r>
              <w:rPr>
                <w:rFonts w:hint="eastAsia" w:ascii="宋体" w:eastAsia="宋体" w:cs="宋体"/>
                <w:b w:val="0"/>
                <w:bCs w:val="0"/>
                <w:color w:val="auto"/>
                <w:sz w:val="21"/>
                <w:szCs w:val="21"/>
                <w:highlight w:val="none"/>
                <w:u w:val="none"/>
                <w:lang w:val="en-US" w:eastAsia="zh-CN"/>
              </w:rPr>
              <w:t>2</w:t>
            </w:r>
            <w:r>
              <w:rPr>
                <w:rFonts w:hint="eastAsia" w:ascii="宋体" w:eastAsia="宋体" w:cs="宋体"/>
                <w:b w:val="0"/>
                <w:bCs w:val="0"/>
                <w:color w:val="auto"/>
                <w:sz w:val="21"/>
                <w:szCs w:val="21"/>
                <w:highlight w:val="none"/>
                <w:u w:val="none"/>
              </w:rPr>
              <w:t>分；</w:t>
            </w:r>
          </w:p>
          <w:p w14:paraId="41AF6BB4">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承诺在接到招标人通知后超过4小时到现场，不得分。</w:t>
            </w:r>
          </w:p>
          <w:p w14:paraId="5814E719">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提供服务承诺书并加盖</w:t>
            </w: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公章，不符合以上要求得不得分。</w:t>
            </w:r>
          </w:p>
        </w:tc>
      </w:tr>
      <w:tr w14:paraId="647A6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9358" w:type="dxa"/>
            <w:gridSpan w:val="4"/>
            <w:tcBorders>
              <w:top w:val="single" w:color="auto" w:sz="4" w:space="0"/>
              <w:left w:val="single" w:color="auto" w:sz="4" w:space="0"/>
              <w:bottom w:val="single" w:color="auto" w:sz="4" w:space="0"/>
              <w:right w:val="single" w:color="auto" w:sz="4" w:space="0"/>
            </w:tcBorders>
            <w:vAlign w:val="center"/>
          </w:tcPr>
          <w:p w14:paraId="7B824EE6">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技术评审（</w:t>
            </w:r>
            <w:r>
              <w:rPr>
                <w:rFonts w:hint="eastAsia" w:ascii="宋体" w:eastAsia="宋体" w:cs="宋体"/>
                <w:b w:val="0"/>
                <w:bCs w:val="0"/>
                <w:color w:val="auto"/>
                <w:sz w:val="21"/>
                <w:szCs w:val="21"/>
                <w:highlight w:val="none"/>
                <w:lang w:val="en-US" w:eastAsia="zh-CN"/>
              </w:rPr>
              <w:t>20</w:t>
            </w:r>
            <w:r>
              <w:rPr>
                <w:rFonts w:hint="eastAsia" w:ascii="宋体" w:eastAsia="宋体" w:cs="宋体"/>
                <w:b w:val="0"/>
                <w:bCs w:val="0"/>
                <w:color w:val="auto"/>
                <w:sz w:val="21"/>
                <w:szCs w:val="21"/>
                <w:highlight w:val="none"/>
              </w:rPr>
              <w:t>分）</w:t>
            </w:r>
          </w:p>
        </w:tc>
      </w:tr>
      <w:tr w14:paraId="75850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71B9C2FB">
            <w:pPr>
              <w:pStyle w:val="48"/>
              <w:spacing w:line="360" w:lineRule="auto"/>
              <w:ind w:firstLine="0" w:firstLineChars="0"/>
              <w:jc w:val="center"/>
              <w:rPr>
                <w:rFonts w:hint="eastAsia" w:ascii="宋体" w:eastAsia="宋体" w:cs="宋体"/>
                <w:b w:val="0"/>
                <w:bCs w:val="0"/>
                <w:color w:val="auto"/>
                <w:sz w:val="21"/>
                <w:szCs w:val="21"/>
                <w:highlight w:val="none"/>
                <w:lang w:eastAsia="zh-CN"/>
              </w:rPr>
            </w:pPr>
            <w:r>
              <w:rPr>
                <w:rFonts w:hint="eastAsia" w:ascii="宋体" w:eastAsia="宋体" w:cs="宋体"/>
                <w:b w:val="0"/>
                <w:bCs w:val="0"/>
                <w:color w:val="auto"/>
                <w:sz w:val="21"/>
                <w:szCs w:val="21"/>
                <w:highlight w:val="none"/>
                <w:lang w:val="en-US" w:eastAsia="zh-CN"/>
              </w:rPr>
              <w:t>1</w:t>
            </w:r>
          </w:p>
        </w:tc>
        <w:tc>
          <w:tcPr>
            <w:tcW w:w="1326" w:type="dxa"/>
            <w:tcBorders>
              <w:top w:val="single" w:color="auto" w:sz="4" w:space="0"/>
              <w:left w:val="single" w:color="auto" w:sz="4" w:space="0"/>
              <w:bottom w:val="single" w:color="auto" w:sz="4" w:space="0"/>
              <w:right w:val="single" w:color="auto" w:sz="4" w:space="0"/>
            </w:tcBorders>
            <w:vAlign w:val="center"/>
          </w:tcPr>
          <w:p w14:paraId="0861E22C">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szCs w:val="21"/>
                <w:highlight w:val="none"/>
                <w:u w:val="none"/>
              </w:rPr>
            </w:pPr>
            <w:r>
              <w:rPr>
                <w:rFonts w:hint="eastAsia" w:hAnsi="宋体" w:cs="宋体"/>
                <w:b w:val="0"/>
                <w:bCs w:val="0"/>
                <w:color w:val="auto"/>
                <w:spacing w:val="2"/>
                <w:szCs w:val="21"/>
                <w:highlight w:val="none"/>
                <w:u w:val="none"/>
              </w:rPr>
              <w:t>项目实施（</w:t>
            </w:r>
            <w:r>
              <w:rPr>
                <w:rFonts w:hint="eastAsia" w:hAnsi="宋体" w:cs="宋体"/>
                <w:b w:val="0"/>
                <w:bCs w:val="0"/>
                <w:color w:val="auto"/>
                <w:spacing w:val="2"/>
                <w:szCs w:val="21"/>
                <w:highlight w:val="none"/>
                <w:u w:val="none"/>
                <w:lang w:eastAsia="zh-CN"/>
              </w:rPr>
              <w:t>设计、</w:t>
            </w:r>
            <w:r>
              <w:rPr>
                <w:rFonts w:hint="eastAsia" w:hAnsi="宋体" w:cs="宋体"/>
                <w:b w:val="0"/>
                <w:bCs w:val="0"/>
                <w:color w:val="auto"/>
                <w:spacing w:val="2"/>
                <w:szCs w:val="21"/>
                <w:highlight w:val="none"/>
                <w:u w:val="none"/>
              </w:rPr>
              <w:t>供货、安装）方案及进度计划</w:t>
            </w:r>
          </w:p>
        </w:tc>
        <w:tc>
          <w:tcPr>
            <w:tcW w:w="907" w:type="dxa"/>
            <w:tcBorders>
              <w:top w:val="single" w:color="auto" w:sz="4" w:space="0"/>
              <w:left w:val="single" w:color="auto" w:sz="4" w:space="0"/>
              <w:bottom w:val="single" w:color="auto" w:sz="4" w:space="0"/>
              <w:right w:val="single" w:color="auto" w:sz="4" w:space="0"/>
            </w:tcBorders>
            <w:vAlign w:val="center"/>
          </w:tcPr>
          <w:p w14:paraId="78D3B13D">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6FFB03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根据</w:t>
            </w:r>
            <w:r>
              <w:rPr>
                <w:rFonts w:hint="eastAsia" w:ascii="宋体" w:hAnsi="宋体" w:cs="宋体"/>
                <w:b w:val="0"/>
                <w:bCs w:val="0"/>
                <w:color w:val="auto"/>
                <w:szCs w:val="21"/>
                <w:highlight w:val="none"/>
                <w:u w:val="none"/>
                <w:lang w:val="en-US" w:eastAsia="zh-CN"/>
              </w:rPr>
              <w:t>投标人</w:t>
            </w:r>
            <w:r>
              <w:rPr>
                <w:rFonts w:hint="eastAsia" w:ascii="宋体" w:hAnsi="宋体" w:cs="宋体"/>
                <w:b w:val="0"/>
                <w:bCs w:val="0"/>
                <w:color w:val="auto"/>
                <w:szCs w:val="21"/>
                <w:highlight w:val="none"/>
                <w:u w:val="none"/>
              </w:rPr>
              <w:t>提供的项目实施方案（包括不限于</w:t>
            </w:r>
            <w:r>
              <w:rPr>
                <w:rFonts w:hint="eastAsia" w:ascii="宋体" w:hAnsi="宋体" w:cs="宋体"/>
                <w:b w:val="0"/>
                <w:bCs w:val="0"/>
                <w:color w:val="auto"/>
                <w:szCs w:val="21"/>
                <w:highlight w:val="none"/>
                <w:u w:val="none"/>
                <w:lang w:eastAsia="zh-CN"/>
              </w:rPr>
              <w:t>初步设计方案、</w:t>
            </w:r>
            <w:r>
              <w:rPr>
                <w:rFonts w:hint="eastAsia" w:ascii="宋体" w:hAnsi="宋体" w:cs="宋体"/>
                <w:b w:val="0"/>
                <w:bCs w:val="0"/>
                <w:color w:val="auto"/>
                <w:szCs w:val="21"/>
                <w:highlight w:val="none"/>
                <w:u w:val="none"/>
              </w:rPr>
              <w:t>项目进度安排、项目验收方案、货物运输及保护措施、安装调试方案）进行评审：</w:t>
            </w:r>
          </w:p>
          <w:p w14:paraId="0C837C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①针对本项目特征制定的实施方案的可靠性、可行性、安全性非常高的，进度计划安排非常科学合理，可行性强的，得</w:t>
            </w:r>
            <w:r>
              <w:rPr>
                <w:rFonts w:hint="eastAsia" w:ascii="宋体" w:hAnsi="宋体" w:cs="宋体"/>
                <w:b w:val="0"/>
                <w:bCs w:val="0"/>
                <w:color w:val="auto"/>
                <w:szCs w:val="21"/>
                <w:highlight w:val="none"/>
                <w:u w:val="none"/>
                <w:lang w:val="en-US" w:eastAsia="zh-CN"/>
              </w:rPr>
              <w:t>5</w:t>
            </w:r>
            <w:r>
              <w:rPr>
                <w:rFonts w:hint="eastAsia" w:ascii="宋体" w:hAnsi="宋体" w:cs="宋体"/>
                <w:b w:val="0"/>
                <w:bCs w:val="0"/>
                <w:color w:val="auto"/>
                <w:szCs w:val="21"/>
                <w:highlight w:val="none"/>
                <w:u w:val="none"/>
              </w:rPr>
              <w:t>分；</w:t>
            </w:r>
          </w:p>
          <w:p w14:paraId="72FCB8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②针对本项目特征制定的实施方案的可靠性、可行性、安全性比较高的，进度计划安排比较科学合理，可行性较强的，得</w:t>
            </w:r>
            <w:r>
              <w:rPr>
                <w:rFonts w:hint="eastAsia" w:ascii="宋体" w:hAnsi="宋体" w:cs="宋体"/>
                <w:b w:val="0"/>
                <w:bCs w:val="0"/>
                <w:color w:val="auto"/>
                <w:szCs w:val="21"/>
                <w:highlight w:val="none"/>
                <w:u w:val="none"/>
                <w:lang w:val="en-US" w:eastAsia="zh-CN"/>
              </w:rPr>
              <w:t>4</w:t>
            </w:r>
            <w:r>
              <w:rPr>
                <w:rFonts w:hint="eastAsia" w:ascii="宋体" w:hAnsi="宋体" w:cs="宋体"/>
                <w:b w:val="0"/>
                <w:bCs w:val="0"/>
                <w:color w:val="auto"/>
                <w:szCs w:val="21"/>
                <w:highlight w:val="none"/>
                <w:u w:val="none"/>
              </w:rPr>
              <w:t>分；</w:t>
            </w:r>
          </w:p>
          <w:p w14:paraId="46A119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③针对本项目特征制定的实施方案的可靠性、可行性、安全性一般的，进度计划安排基本科学合理，可行性一般的，得</w:t>
            </w:r>
            <w:r>
              <w:rPr>
                <w:rFonts w:hint="eastAsia" w:ascii="宋体" w:hAnsi="宋体" w:cs="宋体"/>
                <w:b w:val="0"/>
                <w:bCs w:val="0"/>
                <w:color w:val="auto"/>
                <w:szCs w:val="21"/>
                <w:highlight w:val="none"/>
                <w:u w:val="none"/>
                <w:lang w:val="en-US" w:eastAsia="zh-CN"/>
              </w:rPr>
              <w:t>3</w:t>
            </w:r>
            <w:r>
              <w:rPr>
                <w:rFonts w:hint="eastAsia" w:ascii="宋体" w:hAnsi="宋体" w:cs="宋体"/>
                <w:b w:val="0"/>
                <w:bCs w:val="0"/>
                <w:color w:val="auto"/>
                <w:szCs w:val="21"/>
                <w:highlight w:val="none"/>
                <w:u w:val="none"/>
              </w:rPr>
              <w:t>分；</w:t>
            </w:r>
          </w:p>
          <w:p w14:paraId="5CC91C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eastAsia="宋体" w:cs="宋体"/>
                <w:b w:val="0"/>
                <w:bCs w:val="0"/>
                <w:color w:val="auto"/>
                <w:szCs w:val="21"/>
                <w:highlight w:val="none"/>
                <w:u w:val="none"/>
                <w:lang w:val="en-US" w:eastAsia="zh-CN"/>
              </w:rPr>
            </w:pPr>
            <w:r>
              <w:rPr>
                <w:rFonts w:hint="eastAsia" w:ascii="宋体" w:hAnsi="宋体" w:cs="宋体"/>
                <w:b w:val="0"/>
                <w:bCs w:val="0"/>
                <w:color w:val="auto"/>
                <w:szCs w:val="21"/>
                <w:highlight w:val="none"/>
                <w:u w:val="none"/>
              </w:rPr>
              <w:t>④针对本项目特征制定的实施方案的可靠性、可行性、安全性差的，进度计划安排比较简单，可行性差</w:t>
            </w:r>
            <w:r>
              <w:rPr>
                <w:rFonts w:hint="eastAsia" w:ascii="宋体" w:hAnsi="宋体" w:cs="宋体"/>
                <w:b w:val="0"/>
                <w:bCs w:val="0"/>
                <w:color w:val="auto"/>
                <w:szCs w:val="21"/>
                <w:highlight w:val="none"/>
                <w:u w:val="none"/>
                <w:lang w:eastAsia="zh-CN"/>
              </w:rPr>
              <w:t>的，得</w:t>
            </w:r>
            <w:r>
              <w:rPr>
                <w:rFonts w:hint="eastAsia" w:ascii="宋体" w:hAnsi="宋体" w:cs="宋体"/>
                <w:b w:val="0"/>
                <w:bCs w:val="0"/>
                <w:color w:val="auto"/>
                <w:szCs w:val="21"/>
                <w:highlight w:val="none"/>
                <w:u w:val="none"/>
                <w:lang w:val="en-US" w:eastAsia="zh-CN"/>
              </w:rPr>
              <w:t>1分；</w:t>
            </w:r>
          </w:p>
          <w:p w14:paraId="67EAD5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eastAsia" w:ascii="宋体" w:hAnsi="宋体" w:eastAsia="宋体" w:cs="宋体"/>
                <w:b w:val="0"/>
                <w:bCs w:val="0"/>
                <w:color w:val="auto"/>
                <w:szCs w:val="21"/>
                <w:highlight w:val="none"/>
                <w:u w:val="none"/>
                <w:lang w:eastAsia="zh-CN"/>
              </w:rPr>
            </w:pPr>
            <w:r>
              <w:rPr>
                <w:rFonts w:hint="eastAsia" w:ascii="宋体" w:hAnsi="宋体" w:cs="宋体"/>
                <w:b w:val="0"/>
                <w:bCs w:val="0"/>
                <w:color w:val="auto"/>
                <w:szCs w:val="21"/>
                <w:highlight w:val="none"/>
                <w:u w:val="none"/>
                <w:lang w:eastAsia="zh-CN"/>
              </w:rPr>
              <w:t>⑤</w:t>
            </w:r>
            <w:r>
              <w:rPr>
                <w:rFonts w:hint="eastAsia" w:ascii="宋体" w:hAnsi="宋体" w:cs="宋体"/>
                <w:b w:val="0"/>
                <w:bCs w:val="0"/>
                <w:color w:val="auto"/>
                <w:szCs w:val="21"/>
                <w:highlight w:val="none"/>
                <w:u w:val="none"/>
              </w:rPr>
              <w:t>未提供</w:t>
            </w:r>
            <w:r>
              <w:rPr>
                <w:rFonts w:hint="eastAsia" w:ascii="宋体" w:hAnsi="宋体" w:cs="宋体"/>
                <w:b w:val="0"/>
                <w:bCs w:val="0"/>
                <w:color w:val="auto"/>
                <w:szCs w:val="21"/>
                <w:highlight w:val="none"/>
                <w:u w:val="none"/>
                <w:lang w:eastAsia="zh-CN"/>
              </w:rPr>
              <w:t>相关方案的</w:t>
            </w:r>
            <w:r>
              <w:rPr>
                <w:rFonts w:hint="eastAsia" w:ascii="宋体" w:hAnsi="宋体" w:cs="宋体"/>
                <w:b w:val="0"/>
                <w:bCs w:val="0"/>
                <w:color w:val="auto"/>
                <w:szCs w:val="21"/>
                <w:highlight w:val="none"/>
                <w:u w:val="none"/>
              </w:rPr>
              <w:t>，不得分</w:t>
            </w:r>
            <w:r>
              <w:rPr>
                <w:rFonts w:hint="eastAsia" w:ascii="宋体" w:hAnsi="宋体" w:cs="宋体"/>
                <w:b w:val="0"/>
                <w:bCs w:val="0"/>
                <w:color w:val="auto"/>
                <w:szCs w:val="21"/>
                <w:highlight w:val="none"/>
                <w:u w:val="none"/>
                <w:lang w:eastAsia="zh-CN"/>
              </w:rPr>
              <w:t>。</w:t>
            </w:r>
          </w:p>
        </w:tc>
      </w:tr>
      <w:tr w14:paraId="7C356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3953DF41">
            <w:pPr>
              <w:pStyle w:val="48"/>
              <w:spacing w:line="360" w:lineRule="auto"/>
              <w:ind w:firstLine="0" w:firstLineChars="0"/>
              <w:jc w:val="center"/>
              <w:rPr>
                <w:rFonts w:hint="eastAsia" w:asci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2</w:t>
            </w:r>
          </w:p>
        </w:tc>
        <w:tc>
          <w:tcPr>
            <w:tcW w:w="1326" w:type="dxa"/>
            <w:tcBorders>
              <w:top w:val="single" w:color="auto" w:sz="4" w:space="0"/>
              <w:left w:val="single" w:color="auto" w:sz="4" w:space="0"/>
              <w:bottom w:val="single" w:color="auto" w:sz="4" w:space="0"/>
              <w:right w:val="single" w:color="auto" w:sz="4" w:space="0"/>
            </w:tcBorders>
            <w:vAlign w:val="center"/>
          </w:tcPr>
          <w:p w14:paraId="62B46E8D">
            <w:pPr>
              <w:keepNext w:val="0"/>
              <w:keepLines w:val="0"/>
              <w:widowControl w:val="0"/>
              <w:suppressLineNumbers w:val="0"/>
              <w:adjustRightInd/>
              <w:snapToGrid/>
              <w:spacing w:before="0" w:beforeAutospacing="0" w:after="0" w:afterAutospacing="0"/>
              <w:ind w:left="0" w:right="0"/>
              <w:jc w:val="center"/>
              <w:rPr>
                <w:rFonts w:hint="eastAsia" w:ascii="Tahoma" w:hAnsi="宋体" w:eastAsia="宋体" w:cs="宋体"/>
                <w:b w:val="0"/>
                <w:bCs w:val="0"/>
                <w:color w:val="auto"/>
                <w:spacing w:val="2"/>
                <w:sz w:val="21"/>
                <w:szCs w:val="21"/>
                <w:highlight w:val="none"/>
                <w:u w:val="none"/>
                <w:lang w:val="en-US" w:eastAsia="zh-CN" w:bidi="ar-SA"/>
              </w:rPr>
            </w:pPr>
            <w:r>
              <w:rPr>
                <w:rFonts w:hint="eastAsia" w:hAnsi="宋体" w:cs="宋体"/>
                <w:b w:val="0"/>
                <w:bCs w:val="0"/>
                <w:color w:val="auto"/>
                <w:spacing w:val="2"/>
                <w:szCs w:val="21"/>
                <w:highlight w:val="none"/>
                <w:u w:val="none"/>
                <w:lang w:eastAsia="zh-CN"/>
              </w:rPr>
              <w:t>产品性能</w:t>
            </w:r>
          </w:p>
        </w:tc>
        <w:tc>
          <w:tcPr>
            <w:tcW w:w="907" w:type="dxa"/>
            <w:tcBorders>
              <w:top w:val="single" w:color="auto" w:sz="4" w:space="0"/>
              <w:left w:val="single" w:color="auto" w:sz="4" w:space="0"/>
              <w:bottom w:val="single" w:color="auto" w:sz="4" w:space="0"/>
              <w:right w:val="single" w:color="auto" w:sz="4" w:space="0"/>
            </w:tcBorders>
            <w:vAlign w:val="center"/>
          </w:tcPr>
          <w:p w14:paraId="156BF252">
            <w:pPr>
              <w:keepNext w:val="0"/>
              <w:keepLines w:val="0"/>
              <w:widowControl w:val="0"/>
              <w:suppressLineNumbers w:val="0"/>
              <w:adjustRightInd/>
              <w:snapToGrid/>
              <w:spacing w:before="0" w:beforeAutospacing="0" w:after="0" w:afterAutospacing="0"/>
              <w:ind w:left="0" w:right="0"/>
              <w:jc w:val="center"/>
              <w:rPr>
                <w:rFonts w:hint="eastAsia" w:ascii="宋体" w:hAnsi="宋体" w:eastAsia="宋体" w:cs="宋体"/>
                <w:b w:val="0"/>
                <w:bCs w:val="0"/>
                <w:color w:val="auto"/>
                <w:sz w:val="21"/>
                <w:szCs w:val="21"/>
                <w:highlight w:val="none"/>
                <w:lang w:val="en-US" w:eastAsia="zh-CN" w:bidi="ar-SA"/>
              </w:rPr>
            </w:pPr>
            <w:r>
              <w:rPr>
                <w:rFonts w:hint="eastAsia" w:ascii="宋体" w:hAnsi="宋体" w:cs="宋体"/>
                <w:b w:val="0"/>
                <w:bCs w:val="0"/>
                <w:color w:val="auto"/>
                <w:szCs w:val="21"/>
                <w:highlight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0C9A7E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rPr>
              <w:t>根据投标人所投设备的综合性能</w:t>
            </w:r>
            <w:r>
              <w:rPr>
                <w:rFonts w:hint="eastAsia" w:ascii="宋体" w:hAnsi="宋体" w:eastAsia="宋体" w:cs="宋体"/>
                <w:b w:val="0"/>
                <w:bCs w:val="0"/>
                <w:color w:val="auto"/>
                <w:szCs w:val="21"/>
                <w:highlight w:val="none"/>
                <w:u w:val="none"/>
                <w:lang w:eastAsia="zh-CN"/>
              </w:rPr>
              <w:t>（包括设计与配置、材质、实用性、耐用性等）</w:t>
            </w:r>
            <w:r>
              <w:rPr>
                <w:rFonts w:hint="eastAsia" w:ascii="宋体" w:hAnsi="宋体" w:eastAsia="宋体" w:cs="宋体"/>
                <w:b w:val="0"/>
                <w:bCs w:val="0"/>
                <w:color w:val="auto"/>
                <w:szCs w:val="21"/>
                <w:highlight w:val="none"/>
                <w:u w:val="none"/>
              </w:rPr>
              <w:t>进行综合评分。</w:t>
            </w:r>
          </w:p>
          <w:p w14:paraId="656B22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lang w:eastAsia="zh-CN"/>
              </w:rPr>
              <w:t>①</w:t>
            </w:r>
            <w:r>
              <w:rPr>
                <w:rFonts w:hint="eastAsia" w:ascii="宋体" w:hAnsi="宋体" w:eastAsia="宋体" w:cs="宋体"/>
                <w:b w:val="0"/>
                <w:bCs w:val="0"/>
                <w:color w:val="auto"/>
                <w:szCs w:val="21"/>
                <w:highlight w:val="none"/>
                <w:u w:val="none"/>
              </w:rPr>
              <w:t>设备设计及配置先进，材质可靠，实用性、耐用性好，得</w:t>
            </w:r>
            <w:r>
              <w:rPr>
                <w:rFonts w:hint="eastAsia" w:ascii="宋体" w:hAnsi="宋体" w:eastAsia="宋体" w:cs="宋体"/>
                <w:b w:val="0"/>
                <w:bCs w:val="0"/>
                <w:color w:val="auto"/>
                <w:szCs w:val="21"/>
                <w:highlight w:val="none"/>
                <w:u w:val="none"/>
                <w:lang w:val="en-US" w:eastAsia="zh-CN"/>
              </w:rPr>
              <w:t>5</w:t>
            </w:r>
            <w:r>
              <w:rPr>
                <w:rFonts w:hint="eastAsia" w:ascii="宋体" w:hAnsi="宋体" w:eastAsia="宋体" w:cs="宋体"/>
                <w:b w:val="0"/>
                <w:bCs w:val="0"/>
                <w:color w:val="auto"/>
                <w:szCs w:val="21"/>
                <w:highlight w:val="none"/>
                <w:u w:val="none"/>
              </w:rPr>
              <w:t>分</w:t>
            </w:r>
            <w:r>
              <w:rPr>
                <w:rFonts w:hint="eastAsia" w:ascii="宋体" w:hAnsi="宋体" w:eastAsia="宋体" w:cs="宋体"/>
                <w:b w:val="0"/>
                <w:bCs w:val="0"/>
                <w:color w:val="auto"/>
                <w:szCs w:val="21"/>
                <w:highlight w:val="none"/>
                <w:u w:val="none"/>
                <w:lang w:eastAsia="zh-CN"/>
              </w:rPr>
              <w:t>；</w:t>
            </w:r>
          </w:p>
          <w:p w14:paraId="5A10628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lang w:eastAsia="zh-CN"/>
              </w:rPr>
              <w:t>②</w:t>
            </w:r>
            <w:r>
              <w:rPr>
                <w:rFonts w:hint="eastAsia" w:ascii="宋体" w:hAnsi="宋体" w:eastAsia="宋体" w:cs="宋体"/>
                <w:b w:val="0"/>
                <w:bCs w:val="0"/>
                <w:color w:val="auto"/>
                <w:szCs w:val="21"/>
                <w:highlight w:val="none"/>
                <w:u w:val="none"/>
              </w:rPr>
              <w:t>设备设计及配置较为先进，材质可靠，实用性、耐用性一般，得</w:t>
            </w:r>
            <w:r>
              <w:rPr>
                <w:rFonts w:hint="eastAsia" w:ascii="宋体" w:hAnsi="宋体" w:eastAsia="宋体" w:cs="宋体"/>
                <w:b w:val="0"/>
                <w:bCs w:val="0"/>
                <w:color w:val="auto"/>
                <w:szCs w:val="21"/>
                <w:highlight w:val="none"/>
                <w:u w:val="none"/>
                <w:lang w:val="en-US" w:eastAsia="zh-CN"/>
              </w:rPr>
              <w:t>4</w:t>
            </w:r>
            <w:r>
              <w:rPr>
                <w:rFonts w:hint="eastAsia" w:ascii="宋体" w:hAnsi="宋体" w:eastAsia="宋体" w:cs="宋体"/>
                <w:b w:val="0"/>
                <w:bCs w:val="0"/>
                <w:color w:val="auto"/>
                <w:szCs w:val="21"/>
                <w:highlight w:val="none"/>
                <w:u w:val="none"/>
              </w:rPr>
              <w:t>分</w:t>
            </w:r>
            <w:r>
              <w:rPr>
                <w:rFonts w:hint="eastAsia" w:ascii="宋体" w:hAnsi="宋体" w:eastAsia="宋体" w:cs="宋体"/>
                <w:b w:val="0"/>
                <w:bCs w:val="0"/>
                <w:color w:val="auto"/>
                <w:szCs w:val="21"/>
                <w:highlight w:val="none"/>
                <w:u w:val="none"/>
                <w:lang w:eastAsia="zh-CN"/>
              </w:rPr>
              <w:t>；</w:t>
            </w:r>
          </w:p>
          <w:p w14:paraId="6BF9459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lang w:eastAsia="zh-CN"/>
              </w:rPr>
              <w:t>③</w:t>
            </w:r>
            <w:r>
              <w:rPr>
                <w:rFonts w:hint="eastAsia" w:ascii="宋体" w:hAnsi="宋体" w:eastAsia="宋体" w:cs="宋体"/>
                <w:b w:val="0"/>
                <w:bCs w:val="0"/>
                <w:color w:val="auto"/>
                <w:szCs w:val="21"/>
                <w:highlight w:val="none"/>
                <w:u w:val="none"/>
              </w:rPr>
              <w:t>设备设计及配置一般，材质一般，实用性、耐用性一般，得</w:t>
            </w:r>
            <w:r>
              <w:rPr>
                <w:rFonts w:hint="eastAsia" w:ascii="宋体" w:hAnsi="宋体" w:eastAsia="宋体" w:cs="宋体"/>
                <w:b w:val="0"/>
                <w:bCs w:val="0"/>
                <w:color w:val="auto"/>
                <w:szCs w:val="21"/>
                <w:highlight w:val="none"/>
                <w:u w:val="none"/>
                <w:lang w:val="en-US" w:eastAsia="zh-CN"/>
              </w:rPr>
              <w:t>3</w:t>
            </w:r>
            <w:r>
              <w:rPr>
                <w:rFonts w:hint="eastAsia" w:ascii="宋体" w:hAnsi="宋体" w:eastAsia="宋体" w:cs="宋体"/>
                <w:b w:val="0"/>
                <w:bCs w:val="0"/>
                <w:color w:val="auto"/>
                <w:szCs w:val="21"/>
                <w:highlight w:val="none"/>
                <w:u w:val="none"/>
              </w:rPr>
              <w:t>分</w:t>
            </w:r>
            <w:r>
              <w:rPr>
                <w:rFonts w:hint="eastAsia" w:ascii="宋体" w:hAnsi="宋体" w:eastAsia="宋体" w:cs="宋体"/>
                <w:b w:val="0"/>
                <w:bCs w:val="0"/>
                <w:color w:val="auto"/>
                <w:szCs w:val="21"/>
                <w:highlight w:val="none"/>
                <w:u w:val="none"/>
                <w:lang w:eastAsia="zh-CN"/>
              </w:rPr>
              <w:t>；</w:t>
            </w:r>
          </w:p>
          <w:p w14:paraId="5FDFCCE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val="zh-CN"/>
              </w:rPr>
            </w:pPr>
            <w:r>
              <w:rPr>
                <w:rFonts w:hint="eastAsia" w:ascii="宋体" w:hAnsi="宋体" w:eastAsia="宋体" w:cs="宋体"/>
                <w:b w:val="0"/>
                <w:bCs w:val="0"/>
                <w:color w:val="auto"/>
                <w:szCs w:val="21"/>
                <w:highlight w:val="none"/>
                <w:u w:val="none"/>
                <w:lang w:val="zh-CN"/>
              </w:rPr>
              <w:t>④设备设计及配置差，材质差，实用性、耐用性差，得</w:t>
            </w:r>
            <w:r>
              <w:rPr>
                <w:rFonts w:hint="eastAsia" w:ascii="宋体" w:hAnsi="宋体" w:eastAsia="宋体" w:cs="宋体"/>
                <w:b w:val="0"/>
                <w:bCs w:val="0"/>
                <w:color w:val="auto"/>
                <w:szCs w:val="21"/>
                <w:highlight w:val="none"/>
                <w:u w:val="none"/>
              </w:rPr>
              <w:t>1</w:t>
            </w:r>
            <w:r>
              <w:rPr>
                <w:rFonts w:hint="eastAsia" w:ascii="宋体" w:hAnsi="宋体" w:eastAsia="宋体" w:cs="宋体"/>
                <w:b w:val="0"/>
                <w:bCs w:val="0"/>
                <w:color w:val="auto"/>
                <w:szCs w:val="21"/>
                <w:highlight w:val="none"/>
                <w:u w:val="none"/>
                <w:lang w:val="zh-CN"/>
              </w:rPr>
              <w:t>分；</w:t>
            </w:r>
          </w:p>
          <w:p w14:paraId="5E13232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 w:val="21"/>
                <w:szCs w:val="21"/>
                <w:highlight w:val="none"/>
                <w:u w:val="none"/>
                <w:lang w:val="zh-CN" w:eastAsia="zh-CN" w:bidi="ar-SA"/>
              </w:rPr>
            </w:pPr>
            <w:r>
              <w:rPr>
                <w:rFonts w:hint="eastAsia" w:ascii="宋体" w:hAnsi="宋体" w:eastAsia="宋体" w:cs="宋体"/>
                <w:b w:val="0"/>
                <w:bCs w:val="0"/>
                <w:color w:val="auto"/>
                <w:szCs w:val="21"/>
                <w:highlight w:val="none"/>
                <w:u w:val="none"/>
                <w:lang w:eastAsia="zh-CN"/>
              </w:rPr>
              <w:t>⑤</w:t>
            </w:r>
            <w:r>
              <w:rPr>
                <w:rFonts w:hint="eastAsia" w:ascii="宋体" w:hAnsi="宋体" w:eastAsia="宋体" w:cs="宋体"/>
                <w:b w:val="0"/>
                <w:bCs w:val="0"/>
                <w:color w:val="auto"/>
                <w:szCs w:val="21"/>
                <w:highlight w:val="none"/>
                <w:u w:val="none"/>
              </w:rPr>
              <w:t>未提供对应方案不得分。</w:t>
            </w:r>
          </w:p>
        </w:tc>
      </w:tr>
      <w:tr w14:paraId="189E2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0EA0E772">
            <w:pPr>
              <w:pStyle w:val="48"/>
              <w:spacing w:line="360" w:lineRule="auto"/>
              <w:ind w:firstLine="0" w:firstLineChars="0"/>
              <w:jc w:val="center"/>
              <w:rPr>
                <w:rFonts w:ascii="宋体" w:eastAsia="宋体" w:cs="宋体"/>
                <w:b w:val="0"/>
                <w:bCs w:val="0"/>
                <w:color w:val="auto"/>
                <w:sz w:val="21"/>
                <w:szCs w:val="21"/>
                <w:highlight w:val="none"/>
              </w:rPr>
            </w:pPr>
            <w:r>
              <w:rPr>
                <w:rFonts w:ascii="宋体" w:eastAsia="宋体" w:cs="宋体"/>
                <w:b w:val="0"/>
                <w:bCs w:val="0"/>
                <w:color w:val="auto"/>
                <w:sz w:val="21"/>
                <w:szCs w:val="21"/>
                <w:highlight w:val="none"/>
              </w:rPr>
              <w:t>3</w:t>
            </w:r>
          </w:p>
        </w:tc>
        <w:tc>
          <w:tcPr>
            <w:tcW w:w="1326" w:type="dxa"/>
            <w:tcBorders>
              <w:top w:val="single" w:color="auto" w:sz="4" w:space="0"/>
              <w:left w:val="single" w:color="auto" w:sz="4" w:space="0"/>
              <w:bottom w:val="single" w:color="auto" w:sz="4" w:space="0"/>
              <w:right w:val="single" w:color="auto" w:sz="4" w:space="0"/>
            </w:tcBorders>
            <w:vAlign w:val="center"/>
          </w:tcPr>
          <w:p w14:paraId="1E6D4205">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szCs w:val="21"/>
                <w:highlight w:val="none"/>
                <w:u w:val="none"/>
              </w:rPr>
            </w:pPr>
            <w:r>
              <w:rPr>
                <w:rFonts w:hint="eastAsia" w:hAnsi="宋体" w:cs="宋体"/>
                <w:b w:val="0"/>
                <w:bCs w:val="0"/>
                <w:color w:val="auto"/>
                <w:szCs w:val="21"/>
                <w:highlight w:val="none"/>
                <w:u w:val="none"/>
                <w:lang w:bidi="ar"/>
              </w:rPr>
              <w:t>质量保证措施</w:t>
            </w:r>
          </w:p>
        </w:tc>
        <w:tc>
          <w:tcPr>
            <w:tcW w:w="907" w:type="dxa"/>
            <w:tcBorders>
              <w:top w:val="single" w:color="auto" w:sz="4" w:space="0"/>
              <w:left w:val="single" w:color="auto" w:sz="4" w:space="0"/>
              <w:bottom w:val="single" w:color="auto" w:sz="4" w:space="0"/>
              <w:right w:val="single" w:color="auto" w:sz="4" w:space="0"/>
            </w:tcBorders>
            <w:vAlign w:val="center"/>
          </w:tcPr>
          <w:p w14:paraId="13D6ADDA">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3BCC3BCE">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根据供应商提供质量保证措施方案（包括但不限于质量目标、项目质量的控制、质量保证措施等）进行评审；</w:t>
            </w:r>
          </w:p>
          <w:p w14:paraId="2FDAC873">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①质量目标非常明确、对项目质量的控制非常详细、检验手段非常科学，质量保证措施非常具体，可行</w:t>
            </w:r>
            <w:r>
              <w:rPr>
                <w:rFonts w:hint="eastAsia" w:ascii="宋体" w:hAnsi="宋体" w:cs="宋体"/>
                <w:b w:val="0"/>
                <w:bCs w:val="0"/>
                <w:color w:val="auto"/>
                <w:szCs w:val="21"/>
                <w:highlight w:val="none"/>
                <w:u w:val="none"/>
                <w:lang w:val="en-US" w:eastAsia="zh-CN"/>
              </w:rPr>
              <w:t>性强</w:t>
            </w:r>
            <w:r>
              <w:rPr>
                <w:rFonts w:hint="eastAsia" w:ascii="宋体" w:hAnsi="宋体" w:cs="宋体"/>
                <w:b w:val="0"/>
                <w:bCs w:val="0"/>
                <w:color w:val="auto"/>
                <w:szCs w:val="21"/>
                <w:highlight w:val="none"/>
                <w:u w:val="none"/>
              </w:rPr>
              <w:t>的，得</w:t>
            </w:r>
            <w:r>
              <w:rPr>
                <w:rFonts w:hint="eastAsia" w:ascii="宋体" w:hAnsi="宋体" w:cs="宋体"/>
                <w:b w:val="0"/>
                <w:bCs w:val="0"/>
                <w:color w:val="auto"/>
                <w:szCs w:val="21"/>
                <w:highlight w:val="none"/>
                <w:u w:val="none"/>
                <w:lang w:val="en-US" w:eastAsia="zh-CN"/>
              </w:rPr>
              <w:t>5</w:t>
            </w:r>
            <w:r>
              <w:rPr>
                <w:rFonts w:hint="eastAsia" w:ascii="宋体" w:hAnsi="宋体" w:cs="宋体"/>
                <w:b w:val="0"/>
                <w:bCs w:val="0"/>
                <w:color w:val="auto"/>
                <w:szCs w:val="21"/>
                <w:highlight w:val="none"/>
                <w:u w:val="none"/>
              </w:rPr>
              <w:t>分；</w:t>
            </w:r>
          </w:p>
          <w:p w14:paraId="32864F97">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②质量目标比较明确、对项目质量的控制较为详细、检验手段比较科学，质量保证措施比较具体，可行</w:t>
            </w:r>
            <w:r>
              <w:rPr>
                <w:rFonts w:hint="eastAsia" w:ascii="宋体" w:hAnsi="宋体" w:cs="宋体"/>
                <w:b w:val="0"/>
                <w:bCs w:val="0"/>
                <w:color w:val="auto"/>
                <w:szCs w:val="21"/>
                <w:highlight w:val="none"/>
                <w:u w:val="none"/>
                <w:lang w:val="en-US" w:eastAsia="zh-CN"/>
              </w:rPr>
              <w:t>性较强</w:t>
            </w:r>
            <w:r>
              <w:rPr>
                <w:rFonts w:hint="eastAsia" w:ascii="宋体" w:hAnsi="宋体" w:cs="宋体"/>
                <w:b w:val="0"/>
                <w:bCs w:val="0"/>
                <w:color w:val="auto"/>
                <w:szCs w:val="21"/>
                <w:highlight w:val="none"/>
                <w:u w:val="none"/>
              </w:rPr>
              <w:t>的，得</w:t>
            </w:r>
            <w:r>
              <w:rPr>
                <w:rFonts w:hint="eastAsia" w:ascii="宋体" w:hAnsi="宋体" w:cs="宋体"/>
                <w:b w:val="0"/>
                <w:bCs w:val="0"/>
                <w:color w:val="auto"/>
                <w:szCs w:val="21"/>
                <w:highlight w:val="none"/>
                <w:u w:val="none"/>
                <w:lang w:val="en-US" w:eastAsia="zh-CN"/>
              </w:rPr>
              <w:t>4</w:t>
            </w:r>
            <w:r>
              <w:rPr>
                <w:rFonts w:hint="eastAsia" w:ascii="宋体" w:hAnsi="宋体" w:cs="宋体"/>
                <w:b w:val="0"/>
                <w:bCs w:val="0"/>
                <w:color w:val="auto"/>
                <w:szCs w:val="21"/>
                <w:highlight w:val="none"/>
                <w:u w:val="none"/>
              </w:rPr>
              <w:t>分；</w:t>
            </w:r>
          </w:p>
          <w:p w14:paraId="417305F5">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ascii="宋体" w:hAnsi="宋体" w:eastAsia="宋体" w:cs="宋体"/>
                <w:b w:val="0"/>
                <w:bCs w:val="0"/>
                <w:color w:val="auto"/>
                <w:szCs w:val="21"/>
                <w:highlight w:val="none"/>
                <w:u w:val="none"/>
                <w:lang w:val="en-US" w:eastAsia="zh-CN"/>
              </w:rPr>
            </w:pPr>
            <w:r>
              <w:rPr>
                <w:rFonts w:hint="eastAsia" w:ascii="宋体" w:hAnsi="宋体" w:cs="宋体"/>
                <w:b w:val="0"/>
                <w:bCs w:val="0"/>
                <w:color w:val="auto"/>
                <w:szCs w:val="21"/>
                <w:highlight w:val="none"/>
                <w:u w:val="none"/>
              </w:rPr>
              <w:t>③质量目标基本明确、对项目质量的控制详细程度</w:t>
            </w:r>
            <w:r>
              <w:rPr>
                <w:rFonts w:hint="eastAsia" w:ascii="宋体" w:hAnsi="宋体" w:cs="宋体"/>
                <w:b w:val="0"/>
                <w:bCs w:val="0"/>
                <w:color w:val="auto"/>
                <w:szCs w:val="21"/>
                <w:highlight w:val="none"/>
                <w:u w:val="none"/>
                <w:lang w:val="en-US" w:eastAsia="zh-CN"/>
              </w:rPr>
              <w:t>一般</w:t>
            </w:r>
            <w:r>
              <w:rPr>
                <w:rFonts w:hint="eastAsia" w:ascii="宋体" w:hAnsi="宋体" w:cs="宋体"/>
                <w:b w:val="0"/>
                <w:bCs w:val="0"/>
                <w:color w:val="auto"/>
                <w:szCs w:val="21"/>
                <w:highlight w:val="none"/>
                <w:u w:val="none"/>
              </w:rPr>
              <w:t>、检验手段科学性</w:t>
            </w:r>
            <w:r>
              <w:rPr>
                <w:rFonts w:hint="eastAsia" w:ascii="宋体" w:hAnsi="宋体" w:cs="宋体"/>
                <w:b w:val="0"/>
                <w:bCs w:val="0"/>
                <w:color w:val="auto"/>
                <w:szCs w:val="21"/>
                <w:highlight w:val="none"/>
                <w:u w:val="none"/>
                <w:lang w:eastAsia="zh-CN"/>
              </w:rPr>
              <w:t>一般</w:t>
            </w:r>
            <w:r>
              <w:rPr>
                <w:rFonts w:hint="eastAsia" w:ascii="宋体" w:hAnsi="宋体" w:cs="宋体"/>
                <w:b w:val="0"/>
                <w:bCs w:val="0"/>
                <w:color w:val="auto"/>
                <w:szCs w:val="21"/>
                <w:highlight w:val="none"/>
                <w:u w:val="none"/>
              </w:rPr>
              <w:t>，质量保证措施不够具体，可行性</w:t>
            </w:r>
            <w:r>
              <w:rPr>
                <w:rFonts w:hint="eastAsia" w:ascii="宋体" w:hAnsi="宋体" w:cs="宋体"/>
                <w:b w:val="0"/>
                <w:bCs w:val="0"/>
                <w:color w:val="auto"/>
                <w:szCs w:val="21"/>
                <w:highlight w:val="none"/>
                <w:u w:val="none"/>
                <w:lang w:eastAsia="zh-CN"/>
              </w:rPr>
              <w:t>一般的，得</w:t>
            </w:r>
            <w:r>
              <w:rPr>
                <w:rFonts w:hint="eastAsia" w:ascii="宋体" w:hAnsi="宋体" w:cs="宋体"/>
                <w:b w:val="0"/>
                <w:bCs w:val="0"/>
                <w:color w:val="auto"/>
                <w:szCs w:val="21"/>
                <w:highlight w:val="none"/>
                <w:u w:val="none"/>
                <w:lang w:val="en-US" w:eastAsia="zh-CN"/>
              </w:rPr>
              <w:t>3分；</w:t>
            </w:r>
          </w:p>
          <w:p w14:paraId="5193BAEB">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ascii="宋体" w:hAnsi="宋体" w:eastAsia="宋体" w:cs="宋体"/>
                <w:b w:val="0"/>
                <w:bCs w:val="0"/>
                <w:color w:val="auto"/>
                <w:szCs w:val="21"/>
                <w:highlight w:val="none"/>
                <w:u w:val="none"/>
                <w:lang w:val="en-US" w:eastAsia="zh-CN"/>
              </w:rPr>
            </w:pPr>
            <w:r>
              <w:rPr>
                <w:rFonts w:hint="eastAsia" w:ascii="宋体" w:hAnsi="宋体" w:cs="宋体"/>
                <w:b w:val="0"/>
                <w:bCs w:val="0"/>
                <w:color w:val="auto"/>
                <w:szCs w:val="21"/>
                <w:highlight w:val="none"/>
                <w:u w:val="none"/>
                <w:lang w:eastAsia="zh-CN"/>
              </w:rPr>
              <w:t>④</w:t>
            </w:r>
            <w:r>
              <w:rPr>
                <w:rFonts w:hint="eastAsia" w:ascii="宋体" w:hAnsi="宋体" w:cs="宋体"/>
                <w:b w:val="0"/>
                <w:bCs w:val="0"/>
                <w:color w:val="auto"/>
                <w:szCs w:val="21"/>
                <w:highlight w:val="none"/>
                <w:u w:val="none"/>
              </w:rPr>
              <w:t>质量目标</w:t>
            </w:r>
            <w:r>
              <w:rPr>
                <w:rFonts w:hint="eastAsia" w:ascii="宋体" w:hAnsi="宋体" w:cs="宋体"/>
                <w:b w:val="0"/>
                <w:bCs w:val="0"/>
                <w:color w:val="auto"/>
                <w:szCs w:val="21"/>
                <w:highlight w:val="none"/>
                <w:u w:val="none"/>
                <w:lang w:eastAsia="zh-CN"/>
              </w:rPr>
              <w:t>不</w:t>
            </w:r>
            <w:r>
              <w:rPr>
                <w:rFonts w:hint="eastAsia" w:ascii="宋体" w:hAnsi="宋体" w:cs="宋体"/>
                <w:b w:val="0"/>
                <w:bCs w:val="0"/>
                <w:color w:val="auto"/>
                <w:szCs w:val="21"/>
                <w:highlight w:val="none"/>
                <w:u w:val="none"/>
              </w:rPr>
              <w:t>明确、对项目质量的控制</w:t>
            </w:r>
            <w:r>
              <w:rPr>
                <w:rFonts w:hint="eastAsia" w:ascii="宋体" w:hAnsi="宋体" w:cs="宋体"/>
                <w:b w:val="0"/>
                <w:bCs w:val="0"/>
                <w:color w:val="auto"/>
                <w:szCs w:val="21"/>
                <w:highlight w:val="none"/>
                <w:u w:val="none"/>
                <w:lang w:eastAsia="zh-CN"/>
              </w:rPr>
              <w:t>方案</w:t>
            </w:r>
            <w:r>
              <w:rPr>
                <w:rFonts w:hint="eastAsia" w:ascii="宋体" w:hAnsi="宋体" w:cs="宋体"/>
                <w:b w:val="0"/>
                <w:bCs w:val="0"/>
                <w:color w:val="auto"/>
                <w:szCs w:val="21"/>
                <w:highlight w:val="none"/>
                <w:u w:val="none"/>
              </w:rPr>
              <w:t>、检验手段科学性</w:t>
            </w:r>
            <w:r>
              <w:rPr>
                <w:rFonts w:hint="eastAsia" w:ascii="宋体" w:hAnsi="宋体" w:cs="宋体"/>
                <w:b w:val="0"/>
                <w:bCs w:val="0"/>
                <w:color w:val="auto"/>
                <w:szCs w:val="21"/>
                <w:highlight w:val="none"/>
                <w:u w:val="none"/>
                <w:lang w:eastAsia="zh-CN"/>
              </w:rPr>
              <w:t>差</w:t>
            </w:r>
            <w:r>
              <w:rPr>
                <w:rFonts w:hint="eastAsia" w:ascii="宋体" w:hAnsi="宋体" w:cs="宋体"/>
                <w:b w:val="0"/>
                <w:bCs w:val="0"/>
                <w:color w:val="auto"/>
                <w:szCs w:val="21"/>
                <w:highlight w:val="none"/>
                <w:u w:val="none"/>
              </w:rPr>
              <w:t>，质量保证措施不具体，</w:t>
            </w:r>
            <w:r>
              <w:rPr>
                <w:rFonts w:hint="eastAsia" w:ascii="宋体" w:hAnsi="宋体" w:cs="宋体"/>
                <w:b w:val="0"/>
                <w:bCs w:val="0"/>
                <w:color w:val="auto"/>
                <w:szCs w:val="21"/>
                <w:highlight w:val="none"/>
                <w:u w:val="none"/>
                <w:lang w:eastAsia="zh-CN"/>
              </w:rPr>
              <w:t>不</w:t>
            </w:r>
            <w:r>
              <w:rPr>
                <w:rFonts w:hint="eastAsia" w:ascii="宋体" w:hAnsi="宋体" w:cs="宋体"/>
                <w:b w:val="0"/>
                <w:bCs w:val="0"/>
                <w:color w:val="auto"/>
                <w:szCs w:val="21"/>
                <w:highlight w:val="none"/>
                <w:u w:val="none"/>
              </w:rPr>
              <w:t>可行</w:t>
            </w:r>
            <w:r>
              <w:rPr>
                <w:rFonts w:hint="eastAsia" w:ascii="宋体" w:hAnsi="宋体" w:cs="宋体"/>
                <w:b w:val="0"/>
                <w:bCs w:val="0"/>
                <w:color w:val="auto"/>
                <w:szCs w:val="21"/>
                <w:highlight w:val="none"/>
                <w:u w:val="none"/>
                <w:lang w:eastAsia="zh-CN"/>
              </w:rPr>
              <w:t>的，得</w:t>
            </w:r>
            <w:r>
              <w:rPr>
                <w:rFonts w:hint="eastAsia" w:ascii="宋体" w:hAnsi="宋体" w:cs="宋体"/>
                <w:b w:val="0"/>
                <w:bCs w:val="0"/>
                <w:color w:val="auto"/>
                <w:szCs w:val="21"/>
                <w:highlight w:val="none"/>
                <w:u w:val="none"/>
                <w:lang w:val="en-US" w:eastAsia="zh-CN"/>
              </w:rPr>
              <w:t>1分；</w:t>
            </w:r>
          </w:p>
          <w:p w14:paraId="058CAF61">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hAnsi="宋体" w:cs="宋体"/>
                <w:b w:val="0"/>
                <w:bCs w:val="0"/>
                <w:color w:val="auto"/>
                <w:szCs w:val="21"/>
                <w:highlight w:val="none"/>
                <w:u w:val="none"/>
              </w:rPr>
            </w:pPr>
            <w:r>
              <w:rPr>
                <w:rFonts w:hint="eastAsia" w:ascii="宋体" w:hAnsi="宋体" w:cs="宋体"/>
                <w:b w:val="0"/>
                <w:bCs w:val="0"/>
                <w:color w:val="auto"/>
                <w:szCs w:val="21"/>
                <w:highlight w:val="none"/>
                <w:u w:val="none"/>
                <w:lang w:eastAsia="zh-CN"/>
              </w:rPr>
              <w:t>⑤</w:t>
            </w:r>
            <w:r>
              <w:rPr>
                <w:rFonts w:hint="eastAsia" w:ascii="宋体" w:hAnsi="宋体" w:cs="宋体"/>
                <w:b w:val="0"/>
                <w:bCs w:val="0"/>
                <w:color w:val="auto"/>
                <w:szCs w:val="21"/>
                <w:highlight w:val="none"/>
                <w:u w:val="none"/>
              </w:rPr>
              <w:t>未提供</w:t>
            </w:r>
            <w:r>
              <w:rPr>
                <w:rFonts w:hint="eastAsia" w:ascii="宋体" w:hAnsi="宋体" w:cs="宋体"/>
                <w:b w:val="0"/>
                <w:bCs w:val="0"/>
                <w:color w:val="auto"/>
                <w:szCs w:val="21"/>
                <w:highlight w:val="none"/>
                <w:u w:val="none"/>
                <w:lang w:eastAsia="zh-CN"/>
              </w:rPr>
              <w:t>相关方案的</w:t>
            </w:r>
            <w:r>
              <w:rPr>
                <w:rFonts w:hint="eastAsia" w:ascii="宋体" w:hAnsi="宋体" w:cs="宋体"/>
                <w:b w:val="0"/>
                <w:bCs w:val="0"/>
                <w:color w:val="auto"/>
                <w:szCs w:val="21"/>
                <w:highlight w:val="none"/>
                <w:u w:val="none"/>
              </w:rPr>
              <w:t>，不得分</w:t>
            </w:r>
            <w:r>
              <w:rPr>
                <w:rFonts w:hint="eastAsia" w:ascii="宋体" w:hAnsi="宋体" w:cs="宋体"/>
                <w:b w:val="0"/>
                <w:bCs w:val="0"/>
                <w:color w:val="auto"/>
                <w:szCs w:val="21"/>
                <w:highlight w:val="none"/>
                <w:u w:val="none"/>
                <w:lang w:eastAsia="zh-CN"/>
              </w:rPr>
              <w:t>。</w:t>
            </w:r>
          </w:p>
        </w:tc>
      </w:tr>
      <w:tr w14:paraId="39BC5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518D0D4F">
            <w:pPr>
              <w:pStyle w:val="48"/>
              <w:spacing w:line="360" w:lineRule="auto"/>
              <w:ind w:firstLine="0" w:firstLineChars="0"/>
              <w:jc w:val="center"/>
              <w:rPr>
                <w:rFonts w:ascii="宋体" w:eastAsia="宋体" w:cs="宋体"/>
                <w:b w:val="0"/>
                <w:bCs w:val="0"/>
                <w:color w:val="auto"/>
                <w:sz w:val="21"/>
                <w:szCs w:val="21"/>
                <w:highlight w:val="none"/>
              </w:rPr>
            </w:pPr>
            <w:r>
              <w:rPr>
                <w:rFonts w:ascii="宋体" w:eastAsia="宋体" w:cs="宋体"/>
                <w:b w:val="0"/>
                <w:bCs w:val="0"/>
                <w:color w:val="auto"/>
                <w:sz w:val="21"/>
                <w:szCs w:val="21"/>
                <w:highlight w:val="none"/>
              </w:rPr>
              <w:t>4</w:t>
            </w:r>
          </w:p>
        </w:tc>
        <w:tc>
          <w:tcPr>
            <w:tcW w:w="1326" w:type="dxa"/>
            <w:tcBorders>
              <w:top w:val="single" w:color="auto" w:sz="4" w:space="0"/>
              <w:left w:val="single" w:color="auto" w:sz="4" w:space="0"/>
              <w:bottom w:val="single" w:color="auto" w:sz="4" w:space="0"/>
              <w:right w:val="single" w:color="auto" w:sz="4" w:space="0"/>
            </w:tcBorders>
            <w:vAlign w:val="center"/>
          </w:tcPr>
          <w:p w14:paraId="36CDF40F">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szCs w:val="21"/>
                <w:highlight w:val="none"/>
                <w:u w:val="none"/>
              </w:rPr>
            </w:pPr>
            <w:r>
              <w:rPr>
                <w:rFonts w:hint="eastAsia" w:hAnsi="宋体" w:cs="宋体"/>
                <w:b w:val="0"/>
                <w:bCs w:val="0"/>
                <w:color w:val="auto"/>
                <w:spacing w:val="2"/>
                <w:szCs w:val="21"/>
                <w:highlight w:val="none"/>
                <w:u w:val="none"/>
              </w:rPr>
              <w:t>售后服务</w:t>
            </w:r>
          </w:p>
        </w:tc>
        <w:tc>
          <w:tcPr>
            <w:tcW w:w="907" w:type="dxa"/>
            <w:tcBorders>
              <w:top w:val="single" w:color="auto" w:sz="4" w:space="0"/>
              <w:left w:val="single" w:color="auto" w:sz="4" w:space="0"/>
              <w:bottom w:val="single" w:color="auto" w:sz="4" w:space="0"/>
              <w:right w:val="single" w:color="auto" w:sz="4" w:space="0"/>
            </w:tcBorders>
            <w:vAlign w:val="center"/>
          </w:tcPr>
          <w:p w14:paraId="018A2657">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237CC43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rPr>
              <w:t>根据各投标人提供的售后服务方案（包括售后响应时间、技术支持和售后服务计划、质保期外的维修服务收费标准、服务质量保证、应急方案）进行</w:t>
            </w:r>
            <w:r>
              <w:rPr>
                <w:rFonts w:hint="eastAsia" w:ascii="宋体" w:hAnsi="宋体" w:eastAsia="宋体" w:cs="宋体"/>
                <w:b w:val="0"/>
                <w:bCs w:val="0"/>
                <w:color w:val="auto"/>
                <w:szCs w:val="21"/>
                <w:highlight w:val="none"/>
                <w:u w:val="none"/>
                <w:lang w:eastAsia="zh-CN"/>
              </w:rPr>
              <w:t>评审</w:t>
            </w:r>
            <w:r>
              <w:rPr>
                <w:rFonts w:hint="eastAsia" w:ascii="宋体" w:hAnsi="宋体" w:eastAsia="宋体" w:cs="宋体"/>
                <w:b w:val="0"/>
                <w:bCs w:val="0"/>
                <w:color w:val="auto"/>
                <w:szCs w:val="21"/>
                <w:highlight w:val="none"/>
                <w:u w:val="none"/>
              </w:rPr>
              <w:t>：</w:t>
            </w:r>
          </w:p>
          <w:p w14:paraId="781E78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rPr>
              <w:t>①售后服务方案保障措施详细完整，</w:t>
            </w:r>
            <w:r>
              <w:rPr>
                <w:rFonts w:hint="eastAsia" w:ascii="宋体" w:hAnsi="宋体" w:eastAsia="宋体" w:cs="宋体"/>
                <w:b w:val="0"/>
                <w:bCs w:val="0"/>
                <w:color w:val="auto"/>
                <w:szCs w:val="21"/>
                <w:highlight w:val="none"/>
                <w:u w:val="none"/>
                <w:lang w:eastAsia="zh-CN"/>
              </w:rPr>
              <w:t>科学合理，</w:t>
            </w:r>
            <w:r>
              <w:rPr>
                <w:rFonts w:hint="eastAsia" w:ascii="宋体" w:hAnsi="宋体" w:eastAsia="宋体" w:cs="宋体"/>
                <w:b w:val="0"/>
                <w:bCs w:val="0"/>
                <w:color w:val="auto"/>
                <w:szCs w:val="21"/>
                <w:highlight w:val="none"/>
                <w:u w:val="none"/>
              </w:rPr>
              <w:t>切实可行的</w:t>
            </w:r>
            <w:r>
              <w:rPr>
                <w:rFonts w:hint="eastAsia" w:ascii="宋体" w:hAnsi="宋体" w:eastAsia="宋体" w:cs="宋体"/>
                <w:b w:val="0"/>
                <w:bCs w:val="0"/>
                <w:color w:val="auto"/>
                <w:szCs w:val="21"/>
                <w:highlight w:val="none"/>
                <w:u w:val="none"/>
                <w:lang w:eastAsia="zh-CN"/>
              </w:rPr>
              <w:t>，</w:t>
            </w:r>
            <w:r>
              <w:rPr>
                <w:rFonts w:hint="eastAsia" w:ascii="宋体" w:hAnsi="宋体" w:eastAsia="宋体" w:cs="宋体"/>
                <w:b w:val="0"/>
                <w:bCs w:val="0"/>
                <w:color w:val="auto"/>
                <w:szCs w:val="21"/>
                <w:highlight w:val="none"/>
                <w:u w:val="none"/>
              </w:rPr>
              <w:t>得</w:t>
            </w:r>
            <w:r>
              <w:rPr>
                <w:rFonts w:hint="eastAsia" w:ascii="宋体" w:hAnsi="宋体" w:cs="宋体"/>
                <w:b w:val="0"/>
                <w:bCs w:val="0"/>
                <w:color w:val="auto"/>
                <w:szCs w:val="21"/>
                <w:highlight w:val="none"/>
                <w:u w:val="none"/>
                <w:lang w:val="en-US" w:eastAsia="zh-CN"/>
              </w:rPr>
              <w:t>5</w:t>
            </w:r>
            <w:r>
              <w:rPr>
                <w:rFonts w:hint="eastAsia" w:ascii="宋体" w:hAnsi="宋体" w:eastAsia="宋体" w:cs="宋体"/>
                <w:b w:val="0"/>
                <w:bCs w:val="0"/>
                <w:color w:val="auto"/>
                <w:szCs w:val="21"/>
                <w:highlight w:val="none"/>
                <w:u w:val="none"/>
              </w:rPr>
              <w:t>分；</w:t>
            </w:r>
          </w:p>
          <w:p w14:paraId="5FAB2A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rPr>
              <w:t>②售后服务方案保障措施基本完整，</w:t>
            </w:r>
            <w:r>
              <w:rPr>
                <w:rFonts w:hint="eastAsia" w:ascii="宋体" w:hAnsi="宋体" w:eastAsia="宋体" w:cs="宋体"/>
                <w:b w:val="0"/>
                <w:bCs w:val="0"/>
                <w:color w:val="auto"/>
                <w:szCs w:val="21"/>
                <w:highlight w:val="none"/>
                <w:u w:val="none"/>
                <w:lang w:eastAsia="zh-CN"/>
              </w:rPr>
              <w:t>较科学合理，</w:t>
            </w:r>
            <w:r>
              <w:rPr>
                <w:rFonts w:hint="eastAsia" w:ascii="宋体" w:hAnsi="宋体" w:eastAsia="宋体" w:cs="宋体"/>
                <w:b w:val="0"/>
                <w:bCs w:val="0"/>
                <w:color w:val="auto"/>
                <w:szCs w:val="21"/>
                <w:highlight w:val="none"/>
                <w:u w:val="none"/>
              </w:rPr>
              <w:t>可行性</w:t>
            </w:r>
            <w:r>
              <w:rPr>
                <w:rFonts w:hint="eastAsia" w:ascii="宋体" w:hAnsi="宋体" w:eastAsia="宋体" w:cs="宋体"/>
                <w:b w:val="0"/>
                <w:bCs w:val="0"/>
                <w:color w:val="auto"/>
                <w:szCs w:val="21"/>
                <w:highlight w:val="none"/>
                <w:u w:val="none"/>
                <w:lang w:val="en-US" w:eastAsia="zh-CN"/>
              </w:rPr>
              <w:t>较强</w:t>
            </w:r>
            <w:r>
              <w:rPr>
                <w:rFonts w:hint="eastAsia" w:ascii="宋体" w:hAnsi="宋体" w:eastAsia="宋体" w:cs="宋体"/>
                <w:b w:val="0"/>
                <w:bCs w:val="0"/>
                <w:color w:val="auto"/>
                <w:szCs w:val="21"/>
                <w:highlight w:val="none"/>
                <w:u w:val="none"/>
              </w:rPr>
              <w:t>的</w:t>
            </w:r>
            <w:r>
              <w:rPr>
                <w:rFonts w:hint="eastAsia" w:ascii="宋体" w:hAnsi="宋体" w:eastAsia="宋体" w:cs="宋体"/>
                <w:b w:val="0"/>
                <w:bCs w:val="0"/>
                <w:color w:val="auto"/>
                <w:szCs w:val="21"/>
                <w:highlight w:val="none"/>
                <w:u w:val="none"/>
                <w:lang w:eastAsia="zh-CN"/>
              </w:rPr>
              <w:t>，</w:t>
            </w:r>
            <w:r>
              <w:rPr>
                <w:rFonts w:hint="eastAsia" w:ascii="宋体" w:hAnsi="宋体" w:eastAsia="宋体" w:cs="宋体"/>
                <w:b w:val="0"/>
                <w:bCs w:val="0"/>
                <w:color w:val="auto"/>
                <w:szCs w:val="21"/>
                <w:highlight w:val="none"/>
                <w:u w:val="none"/>
              </w:rPr>
              <w:t>得</w:t>
            </w:r>
            <w:r>
              <w:rPr>
                <w:rFonts w:hint="eastAsia" w:ascii="宋体" w:hAnsi="宋体" w:cs="宋体"/>
                <w:b w:val="0"/>
                <w:bCs w:val="0"/>
                <w:color w:val="auto"/>
                <w:szCs w:val="21"/>
                <w:highlight w:val="none"/>
                <w:u w:val="none"/>
                <w:lang w:val="en-US" w:eastAsia="zh-CN"/>
              </w:rPr>
              <w:t>4</w:t>
            </w:r>
            <w:r>
              <w:rPr>
                <w:rFonts w:hint="eastAsia" w:ascii="宋体" w:hAnsi="宋体" w:eastAsia="宋体" w:cs="宋体"/>
                <w:b w:val="0"/>
                <w:bCs w:val="0"/>
                <w:color w:val="auto"/>
                <w:szCs w:val="21"/>
                <w:highlight w:val="none"/>
                <w:u w:val="none"/>
              </w:rPr>
              <w:t>分；</w:t>
            </w:r>
          </w:p>
          <w:p w14:paraId="73B0FC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rPr>
              <w:t>③售后服务方案保障措施可行性</w:t>
            </w:r>
            <w:r>
              <w:rPr>
                <w:rFonts w:hint="eastAsia" w:ascii="宋体" w:hAnsi="宋体" w:eastAsia="宋体" w:cs="宋体"/>
                <w:b w:val="0"/>
                <w:bCs w:val="0"/>
                <w:color w:val="auto"/>
                <w:szCs w:val="21"/>
                <w:highlight w:val="none"/>
                <w:u w:val="none"/>
                <w:lang w:eastAsia="zh-CN"/>
              </w:rPr>
              <w:t>一般，合理性一般，不太可行的，得</w:t>
            </w:r>
            <w:r>
              <w:rPr>
                <w:rFonts w:hint="eastAsia" w:ascii="宋体" w:hAnsi="宋体" w:eastAsia="宋体" w:cs="宋体"/>
                <w:b w:val="0"/>
                <w:bCs w:val="0"/>
                <w:color w:val="auto"/>
                <w:szCs w:val="21"/>
                <w:highlight w:val="none"/>
                <w:u w:val="none"/>
                <w:lang w:val="en-US" w:eastAsia="zh-CN"/>
              </w:rPr>
              <w:t>3分</w:t>
            </w:r>
            <w:r>
              <w:rPr>
                <w:rFonts w:hint="eastAsia" w:ascii="宋体" w:hAnsi="宋体" w:eastAsia="宋体" w:cs="宋体"/>
                <w:b w:val="0"/>
                <w:bCs w:val="0"/>
                <w:color w:val="auto"/>
                <w:szCs w:val="21"/>
                <w:highlight w:val="none"/>
                <w:u w:val="none"/>
                <w:lang w:eastAsia="zh-CN"/>
              </w:rPr>
              <w:t>；</w:t>
            </w:r>
          </w:p>
          <w:p w14:paraId="151074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lang w:eastAsia="zh-CN"/>
              </w:rPr>
              <w:t>④</w:t>
            </w:r>
            <w:r>
              <w:rPr>
                <w:rFonts w:hint="eastAsia" w:ascii="宋体" w:hAnsi="宋体" w:eastAsia="宋体" w:cs="宋体"/>
                <w:b w:val="0"/>
                <w:bCs w:val="0"/>
                <w:color w:val="auto"/>
                <w:szCs w:val="21"/>
                <w:highlight w:val="none"/>
                <w:u w:val="none"/>
              </w:rPr>
              <w:t>售后服务方案保障措施可行性</w:t>
            </w:r>
            <w:r>
              <w:rPr>
                <w:rFonts w:hint="eastAsia" w:ascii="宋体" w:hAnsi="宋体" w:eastAsia="宋体" w:cs="宋体"/>
                <w:b w:val="0"/>
                <w:bCs w:val="0"/>
                <w:color w:val="auto"/>
                <w:szCs w:val="21"/>
                <w:highlight w:val="none"/>
                <w:u w:val="none"/>
                <w:lang w:eastAsia="zh-CN"/>
              </w:rPr>
              <w:t>差，不合理的，不可行的，得</w:t>
            </w:r>
            <w:r>
              <w:rPr>
                <w:rFonts w:hint="eastAsia" w:ascii="宋体" w:hAnsi="宋体" w:eastAsia="宋体" w:cs="宋体"/>
                <w:b w:val="0"/>
                <w:bCs w:val="0"/>
                <w:color w:val="auto"/>
                <w:szCs w:val="21"/>
                <w:highlight w:val="none"/>
                <w:u w:val="none"/>
                <w:lang w:val="en-US" w:eastAsia="zh-CN"/>
              </w:rPr>
              <w:t>1分</w:t>
            </w:r>
            <w:r>
              <w:rPr>
                <w:rFonts w:hint="eastAsia" w:ascii="宋体" w:hAnsi="宋体" w:eastAsia="宋体" w:cs="宋体"/>
                <w:b w:val="0"/>
                <w:bCs w:val="0"/>
                <w:color w:val="auto"/>
                <w:szCs w:val="21"/>
                <w:highlight w:val="none"/>
                <w:u w:val="none"/>
                <w:lang w:eastAsia="zh-CN"/>
              </w:rPr>
              <w:t>；</w:t>
            </w:r>
          </w:p>
          <w:p w14:paraId="63249E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val="zh-CN"/>
              </w:rPr>
            </w:pPr>
            <w:r>
              <w:rPr>
                <w:rFonts w:hint="eastAsia" w:ascii="宋体" w:hAnsi="宋体" w:eastAsia="宋体" w:cs="宋体"/>
                <w:b w:val="0"/>
                <w:bCs w:val="0"/>
                <w:color w:val="auto"/>
                <w:szCs w:val="21"/>
                <w:highlight w:val="none"/>
                <w:u w:val="none"/>
                <w:lang w:eastAsia="zh-CN"/>
              </w:rPr>
              <w:t>⑤</w:t>
            </w:r>
            <w:r>
              <w:rPr>
                <w:rFonts w:hint="eastAsia" w:ascii="宋体" w:hAnsi="宋体" w:eastAsia="宋体" w:cs="宋体"/>
                <w:b w:val="0"/>
                <w:bCs w:val="0"/>
                <w:color w:val="auto"/>
                <w:szCs w:val="21"/>
                <w:highlight w:val="none"/>
                <w:u w:val="none"/>
              </w:rPr>
              <w:t>未提供</w:t>
            </w:r>
            <w:r>
              <w:rPr>
                <w:rFonts w:hint="eastAsia" w:ascii="宋体" w:hAnsi="宋体" w:eastAsia="宋体" w:cs="宋体"/>
                <w:b w:val="0"/>
                <w:bCs w:val="0"/>
                <w:color w:val="auto"/>
                <w:szCs w:val="21"/>
                <w:highlight w:val="none"/>
                <w:u w:val="none"/>
                <w:lang w:eastAsia="zh-CN"/>
              </w:rPr>
              <w:t>相关方案的</w:t>
            </w:r>
            <w:r>
              <w:rPr>
                <w:rFonts w:hint="eastAsia" w:ascii="宋体" w:hAnsi="宋体" w:eastAsia="宋体" w:cs="宋体"/>
                <w:b w:val="0"/>
                <w:bCs w:val="0"/>
                <w:color w:val="auto"/>
                <w:szCs w:val="21"/>
                <w:highlight w:val="none"/>
                <w:u w:val="none"/>
              </w:rPr>
              <w:t>，不得分</w:t>
            </w:r>
            <w:r>
              <w:rPr>
                <w:rFonts w:hint="eastAsia" w:ascii="宋体" w:hAnsi="宋体" w:eastAsia="宋体" w:cs="宋体"/>
                <w:b w:val="0"/>
                <w:bCs w:val="0"/>
                <w:color w:val="auto"/>
                <w:szCs w:val="21"/>
                <w:highlight w:val="none"/>
                <w:u w:val="none"/>
                <w:lang w:eastAsia="zh-CN"/>
              </w:rPr>
              <w:t>。</w:t>
            </w:r>
          </w:p>
        </w:tc>
      </w:tr>
      <w:tr w14:paraId="4CBD4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9358" w:type="dxa"/>
            <w:gridSpan w:val="4"/>
            <w:tcBorders>
              <w:top w:val="single" w:color="auto" w:sz="4" w:space="0"/>
              <w:left w:val="single" w:color="auto" w:sz="4" w:space="0"/>
              <w:bottom w:val="single" w:color="auto" w:sz="4" w:space="0"/>
              <w:right w:val="single" w:color="auto" w:sz="4" w:space="0"/>
            </w:tcBorders>
            <w:vAlign w:val="center"/>
          </w:tcPr>
          <w:p w14:paraId="06478CEB">
            <w:pPr>
              <w:keepNext w:val="0"/>
              <w:keepLines w:val="0"/>
              <w:widowControl w:val="0"/>
              <w:suppressLineNumbers w:val="0"/>
              <w:tabs>
                <w:tab w:val="left" w:pos="907"/>
              </w:tabs>
              <w:adjustRightInd/>
              <w:snapToGrid/>
              <w:spacing w:before="0" w:beforeAutospacing="0" w:after="0" w:afterAutospacing="0"/>
              <w:ind w:left="0" w:right="0" w:firstLine="420" w:firstLineChars="200"/>
              <w:jc w:val="both"/>
              <w:rPr>
                <w:rFonts w:hint="default" w:ascii="宋体" w:hAnsi="宋体" w:cs="宋体"/>
                <w:b w:val="0"/>
                <w:bCs w:val="0"/>
                <w:color w:val="auto"/>
                <w:szCs w:val="21"/>
                <w:highlight w:val="none"/>
              </w:rPr>
            </w:pPr>
            <w:r>
              <w:rPr>
                <w:rFonts w:hint="eastAsia" w:ascii="宋体" w:hAnsi="宋体" w:cs="宋体"/>
                <w:b w:val="0"/>
                <w:bCs w:val="0"/>
                <w:color w:val="auto"/>
                <w:szCs w:val="21"/>
                <w:highlight w:val="none"/>
              </w:rPr>
              <w:t>注：</w:t>
            </w:r>
          </w:p>
          <w:p w14:paraId="3425738B">
            <w:pPr>
              <w:keepNext w:val="0"/>
              <w:keepLines w:val="0"/>
              <w:widowControl w:val="0"/>
              <w:suppressLineNumbers w:val="0"/>
              <w:tabs>
                <w:tab w:val="left" w:pos="907"/>
              </w:tabs>
              <w:adjustRightInd/>
              <w:snapToGrid/>
              <w:spacing w:before="0" w:beforeAutospacing="0" w:after="0" w:afterAutospacing="0"/>
              <w:ind w:left="0" w:right="0" w:firstLine="420" w:firstLineChars="200"/>
              <w:jc w:val="both"/>
              <w:rPr>
                <w:rFonts w:hint="default" w:ascii="宋体" w:hAnsi="宋体" w:cs="宋体"/>
                <w:b w:val="0"/>
                <w:bCs w:val="0"/>
                <w:color w:val="auto"/>
                <w:szCs w:val="21"/>
                <w:highlight w:val="none"/>
              </w:rPr>
            </w:pPr>
            <w:r>
              <w:rPr>
                <w:rFonts w:hint="eastAsia" w:ascii="宋体" w:hAnsi="宋体" w:cs="宋体"/>
                <w:b w:val="0"/>
                <w:bCs w:val="0"/>
                <w:color w:val="auto"/>
                <w:szCs w:val="21"/>
                <w:highlight w:val="none"/>
              </w:rPr>
              <w:t>（1）无特殊说明外，以上评审项，同一证明文件不重复计分。</w:t>
            </w:r>
          </w:p>
          <w:p w14:paraId="4B01BC8B">
            <w:pPr>
              <w:keepNext w:val="0"/>
              <w:keepLines w:val="0"/>
              <w:widowControl w:val="0"/>
              <w:suppressLineNumbers w:val="0"/>
              <w:tabs>
                <w:tab w:val="left" w:pos="907"/>
              </w:tabs>
              <w:adjustRightInd/>
              <w:snapToGrid/>
              <w:spacing w:before="0" w:beforeAutospacing="0" w:after="0" w:afterAutospacing="0"/>
              <w:ind w:left="0" w:right="0" w:firstLine="420" w:firstLineChars="200"/>
              <w:jc w:val="both"/>
              <w:rPr>
                <w:rFonts w:hint="default" w:ascii="宋体" w:hAnsi="宋体" w:cs="宋体"/>
                <w:b w:val="0"/>
                <w:bCs w:val="0"/>
                <w:color w:val="auto"/>
                <w:szCs w:val="21"/>
                <w:highlight w:val="none"/>
              </w:rPr>
            </w:pPr>
            <w:r>
              <w:rPr>
                <w:rFonts w:hint="eastAsia" w:ascii="宋体" w:hAnsi="宋体" w:cs="宋体"/>
                <w:b w:val="0"/>
                <w:bCs w:val="0"/>
                <w:color w:val="auto"/>
                <w:szCs w:val="21"/>
                <w:highlight w:val="none"/>
              </w:rPr>
              <w:t>（2）投标人根据以上评分要求提供的投标材料因模糊不清导致评标委员会无法清晰辨认进行评审的，视为无效材料。</w:t>
            </w:r>
          </w:p>
        </w:tc>
      </w:tr>
      <w:tr w14:paraId="56D7C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9358" w:type="dxa"/>
            <w:gridSpan w:val="4"/>
            <w:tcBorders>
              <w:top w:val="single" w:color="auto" w:sz="4" w:space="0"/>
              <w:left w:val="single" w:color="auto" w:sz="4" w:space="0"/>
              <w:bottom w:val="single" w:color="auto" w:sz="4" w:space="0"/>
              <w:right w:val="single" w:color="auto" w:sz="4" w:space="0"/>
            </w:tcBorders>
            <w:vAlign w:val="center"/>
          </w:tcPr>
          <w:p w14:paraId="4A79D5CF">
            <w:pPr>
              <w:pStyle w:val="48"/>
              <w:spacing w:line="360" w:lineRule="auto"/>
              <w:ind w:firstLine="0" w:firstLineChars="0"/>
              <w:jc w:val="center"/>
              <w:rPr>
                <w:rFonts w:ascii="宋体" w:eastAsia="宋体" w:cs="宋体"/>
                <w:b w:val="0"/>
                <w:bCs w:val="0"/>
                <w:color w:val="auto"/>
                <w:sz w:val="21"/>
                <w:szCs w:val="21"/>
                <w:highlight w:val="none"/>
                <w:lang w:val="zh-CN"/>
              </w:rPr>
            </w:pPr>
            <w:r>
              <w:rPr>
                <w:rFonts w:hint="eastAsia" w:ascii="宋体" w:eastAsia="宋体" w:cs="宋体"/>
                <w:b w:val="0"/>
                <w:bCs w:val="0"/>
                <w:color w:val="auto"/>
                <w:sz w:val="21"/>
                <w:szCs w:val="21"/>
                <w:highlight w:val="none"/>
              </w:rPr>
              <w:t>价格评审（</w:t>
            </w:r>
            <w:r>
              <w:rPr>
                <w:rFonts w:hint="eastAsia" w:ascii="宋体" w:eastAsia="宋体" w:cs="宋体"/>
                <w:b w:val="0"/>
                <w:bCs w:val="0"/>
                <w:color w:val="auto"/>
                <w:sz w:val="21"/>
                <w:szCs w:val="21"/>
                <w:highlight w:val="none"/>
                <w:lang w:val="en-US" w:eastAsia="zh-CN"/>
              </w:rPr>
              <w:t>50</w:t>
            </w:r>
            <w:r>
              <w:rPr>
                <w:rFonts w:hint="eastAsia" w:ascii="宋体" w:eastAsia="宋体" w:cs="宋体"/>
                <w:b w:val="0"/>
                <w:bCs w:val="0"/>
                <w:color w:val="auto"/>
                <w:sz w:val="21"/>
                <w:szCs w:val="21"/>
                <w:highlight w:val="none"/>
              </w:rPr>
              <w:t>分）</w:t>
            </w:r>
          </w:p>
        </w:tc>
      </w:tr>
      <w:tr w14:paraId="64288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70BCC2F4">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1</w:t>
            </w:r>
          </w:p>
        </w:tc>
        <w:tc>
          <w:tcPr>
            <w:tcW w:w="1326" w:type="dxa"/>
            <w:tcBorders>
              <w:top w:val="single" w:color="auto" w:sz="4" w:space="0"/>
              <w:left w:val="single" w:color="auto" w:sz="4" w:space="0"/>
              <w:bottom w:val="single" w:color="auto" w:sz="4" w:space="0"/>
              <w:right w:val="single" w:color="auto" w:sz="4" w:space="0"/>
            </w:tcBorders>
            <w:vAlign w:val="center"/>
          </w:tcPr>
          <w:p w14:paraId="5B7DD78C">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kern w:val="2"/>
                <w:szCs w:val="21"/>
                <w:highlight w:val="none"/>
              </w:rPr>
            </w:pPr>
            <w:r>
              <w:rPr>
                <w:rFonts w:hint="eastAsia" w:ascii="宋体" w:hAnsi="宋体" w:cs="宋体"/>
                <w:b w:val="0"/>
                <w:bCs w:val="0"/>
                <w:color w:val="auto"/>
                <w:kern w:val="2"/>
                <w:szCs w:val="21"/>
                <w:highlight w:val="none"/>
              </w:rPr>
              <w:t>投标总价</w:t>
            </w:r>
          </w:p>
        </w:tc>
        <w:tc>
          <w:tcPr>
            <w:tcW w:w="907" w:type="dxa"/>
            <w:tcBorders>
              <w:top w:val="single" w:color="auto" w:sz="4" w:space="0"/>
              <w:left w:val="single" w:color="auto" w:sz="4" w:space="0"/>
              <w:bottom w:val="single" w:color="auto" w:sz="4" w:space="0"/>
              <w:right w:val="single" w:color="auto" w:sz="4" w:space="0"/>
            </w:tcBorders>
            <w:vAlign w:val="center"/>
          </w:tcPr>
          <w:p w14:paraId="12152943">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kern w:val="2"/>
                <w:szCs w:val="21"/>
                <w:highlight w:val="none"/>
              </w:rPr>
            </w:pPr>
            <w:r>
              <w:rPr>
                <w:rFonts w:hint="eastAsia" w:ascii="宋体" w:hAnsi="宋体" w:cs="宋体"/>
                <w:b w:val="0"/>
                <w:bCs w:val="0"/>
                <w:color w:val="auto"/>
                <w:kern w:val="2"/>
                <w:szCs w:val="21"/>
                <w:highlight w:val="none"/>
                <w:lang w:val="en-US" w:eastAsia="zh-CN"/>
              </w:rPr>
              <w:t>50</w:t>
            </w:r>
          </w:p>
        </w:tc>
        <w:tc>
          <w:tcPr>
            <w:tcW w:w="6289" w:type="dxa"/>
            <w:tcBorders>
              <w:top w:val="single" w:color="auto" w:sz="4" w:space="0"/>
              <w:left w:val="single" w:color="auto" w:sz="4" w:space="0"/>
              <w:bottom w:val="single" w:color="auto" w:sz="4" w:space="0"/>
              <w:right w:val="single" w:color="auto" w:sz="4" w:space="0"/>
            </w:tcBorders>
            <w:vAlign w:val="center"/>
          </w:tcPr>
          <w:p w14:paraId="756E99CE">
            <w:pPr>
              <w:keepNext w:val="0"/>
              <w:keepLines w:val="0"/>
              <w:widowControl w:val="0"/>
              <w:suppressLineNumbers w:val="0"/>
              <w:adjustRightInd/>
              <w:snapToGrid/>
              <w:spacing w:before="0" w:beforeAutospacing="0" w:after="0" w:afterAutospacing="0"/>
              <w:ind w:left="0" w:right="0" w:firstLine="420" w:firstLineChars="200"/>
              <w:rPr>
                <w:rFonts w:hint="eastAsia" w:ascii="宋体" w:hAnsi="宋体" w:cs="宋体"/>
                <w:b w:val="0"/>
                <w:bCs w:val="0"/>
                <w:color w:val="auto"/>
                <w:kern w:val="2"/>
                <w:szCs w:val="21"/>
                <w:highlight w:val="none"/>
                <w:lang w:val="zh-CN"/>
              </w:rPr>
            </w:pPr>
            <w:r>
              <w:rPr>
                <w:rFonts w:hint="eastAsia" w:ascii="宋体" w:hAnsi="宋体" w:cs="宋体"/>
                <w:b w:val="0"/>
                <w:bCs w:val="0"/>
                <w:color w:val="auto"/>
                <w:kern w:val="2"/>
                <w:szCs w:val="21"/>
                <w:highlight w:val="none"/>
                <w:lang w:val="zh-CN"/>
              </w:rPr>
              <w:t>满足采购文件要求，排除最高和最低的投标报价，剩余的投标人投标报价最低的为评标基准价，评标基准价与投标报价最低的投标人价格分均为满分。其余投标人的价格分（结果四舍五入后保留两位小数）（“价格得分最低为0分”）统一按照下列公式计算：</w:t>
            </w:r>
          </w:p>
          <w:p w14:paraId="751CA285">
            <w:pPr>
              <w:keepNext w:val="0"/>
              <w:keepLines w:val="0"/>
              <w:widowControl w:val="0"/>
              <w:suppressLineNumbers w:val="0"/>
              <w:adjustRightInd/>
              <w:snapToGrid/>
              <w:spacing w:before="0" w:beforeAutospacing="0" w:after="0" w:afterAutospacing="0"/>
              <w:ind w:left="0" w:right="0" w:firstLine="420" w:firstLineChars="200"/>
              <w:rPr>
                <w:rFonts w:hint="default" w:ascii="宋体" w:hAnsi="宋体" w:cs="宋体"/>
                <w:b w:val="0"/>
                <w:bCs w:val="0"/>
                <w:color w:val="auto"/>
                <w:kern w:val="2"/>
                <w:szCs w:val="21"/>
                <w:highlight w:val="none"/>
              </w:rPr>
            </w:pPr>
            <w:r>
              <w:rPr>
                <w:rFonts w:hint="eastAsia" w:ascii="宋体" w:hAnsi="宋体" w:cs="宋体"/>
                <w:b w:val="0"/>
                <w:bCs w:val="0"/>
                <w:color w:val="auto"/>
                <w:kern w:val="2"/>
                <w:szCs w:val="21"/>
                <w:highlight w:val="none"/>
                <w:lang w:val="zh-CN"/>
              </w:rPr>
              <w:t>计算公式为：价格得分 = 50 -（投标人投标报价 -评标基准价 ）÷10 ×2</w:t>
            </w:r>
          </w:p>
        </w:tc>
      </w:tr>
    </w:tbl>
    <w:p w14:paraId="05147488">
      <w:pPr>
        <w:ind w:firstLine="420" w:firstLineChars="200"/>
        <w:rPr>
          <w:color w:val="auto"/>
          <w:highlight w:val="none"/>
        </w:rPr>
      </w:pPr>
      <w:r>
        <w:rPr>
          <w:rFonts w:hint="eastAsia"/>
          <w:color w:val="auto"/>
          <w:highlight w:val="none"/>
        </w:rPr>
        <w:br w:type="page"/>
      </w:r>
    </w:p>
    <w:p w14:paraId="580D6451">
      <w:pPr>
        <w:pStyle w:val="6"/>
        <w:spacing w:before="0" w:after="0" w:line="240" w:lineRule="auto"/>
        <w:rPr>
          <w:color w:val="auto"/>
          <w:sz w:val="36"/>
          <w:szCs w:val="36"/>
          <w:highlight w:val="none"/>
        </w:rPr>
      </w:pPr>
      <w:bookmarkStart w:id="6" w:name="_Toc182307970"/>
      <w:r>
        <w:rPr>
          <w:rFonts w:hint="eastAsia"/>
          <w:color w:val="auto"/>
          <w:sz w:val="28"/>
          <w:szCs w:val="28"/>
          <w:highlight w:val="none"/>
        </w:rPr>
        <w:t>第三部分用户需求书</w:t>
      </w:r>
      <w:bookmarkEnd w:id="6"/>
    </w:p>
    <w:p w14:paraId="768781BA">
      <w:pPr>
        <w:pStyle w:val="7"/>
        <w:spacing w:before="0" w:after="0" w:line="360" w:lineRule="auto"/>
        <w:jc w:val="center"/>
        <w:rPr>
          <w:highlight w:val="none"/>
        </w:rPr>
      </w:pPr>
      <w:bookmarkStart w:id="7" w:name="_Toc1593"/>
      <w:bookmarkStart w:id="8" w:name="_Toc182307971"/>
      <w:bookmarkStart w:id="9" w:name="_Toc13112"/>
      <w:bookmarkStart w:id="10" w:name="_Toc308786492"/>
      <w:bookmarkStart w:id="11" w:name="_Toc31278"/>
      <w:bookmarkStart w:id="12" w:name="_Toc24679"/>
      <w:bookmarkStart w:id="13" w:name="_Toc14462"/>
      <w:r>
        <w:rPr>
          <w:rFonts w:hint="eastAsia" w:ascii="宋体" w:hAnsi="宋体"/>
          <w:color w:val="auto"/>
          <w:highlight w:val="none"/>
        </w:rPr>
        <w:t>第一章 商务需求书</w:t>
      </w:r>
      <w:bookmarkEnd w:id="7"/>
      <w:bookmarkEnd w:id="8"/>
    </w:p>
    <w:p w14:paraId="2DF5CA3F">
      <w:pPr>
        <w:rPr>
          <w:rFonts w:hint="eastAsia"/>
          <w:highlight w:val="none"/>
          <w:u w:val="none"/>
        </w:rPr>
      </w:pPr>
      <w:r>
        <w:rPr>
          <w:rFonts w:hint="eastAsia" w:ascii="宋体" w:hAnsi="宋体" w:eastAsia="宋体" w:cs="宋体"/>
          <w:color w:val="auto"/>
          <w:sz w:val="21"/>
          <w:szCs w:val="21"/>
          <w:highlight w:val="none"/>
        </w:rPr>
        <w:t>项目名称：</w:t>
      </w:r>
      <w:r>
        <w:rPr>
          <w:rFonts w:hint="eastAsia" w:ascii="宋体" w:hAnsi="宋体" w:cs="宋体"/>
          <w:b/>
          <w:color w:val="auto"/>
          <w:sz w:val="21"/>
          <w:szCs w:val="21"/>
          <w:highlight w:val="none"/>
          <w:u w:val="none"/>
          <w:lang w:eastAsia="zh-CN"/>
        </w:rPr>
        <w:t>东莞浩成玩具有限公司550kW/2200kWh用户侧储能项目</w:t>
      </w:r>
    </w:p>
    <w:tbl>
      <w:tblPr>
        <w:tblStyle w:val="29"/>
        <w:tblW w:w="4998" w:type="pct"/>
        <w:jc w:val="center"/>
        <w:tblCellSpacing w:w="0" w:type="dxa"/>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Layout w:type="autofit"/>
        <w:tblCellMar>
          <w:top w:w="15" w:type="dxa"/>
          <w:left w:w="15" w:type="dxa"/>
          <w:bottom w:w="15" w:type="dxa"/>
          <w:right w:w="15" w:type="dxa"/>
        </w:tblCellMar>
      </w:tblPr>
      <w:tblGrid>
        <w:gridCol w:w="1346"/>
        <w:gridCol w:w="8173"/>
      </w:tblGrid>
      <w:tr w14:paraId="33ADAB0D">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518" w:hRule="atLeast"/>
          <w:tblCellSpacing w:w="0" w:type="dxa"/>
          <w:jc w:val="center"/>
        </w:trPr>
        <w:tc>
          <w:tcPr>
            <w:tcW w:w="707" w:type="pct"/>
            <w:shd w:val="clear" w:color="auto" w:fill="FFFFFF" w:themeFill="background1"/>
            <w:vAlign w:val="center"/>
          </w:tcPr>
          <w:p w14:paraId="05FD3E16">
            <w:pPr>
              <w:spacing w:after="0" w:line="240" w:lineRule="auto"/>
              <w:jc w:val="center"/>
              <w:rPr>
                <w:rFonts w:hint="eastAsia" w:ascii="宋体" w:hAnsi="宋体" w:eastAsia="宋体" w:cs="宋体"/>
                <w:b/>
                <w:bCs/>
                <w:color w:val="auto"/>
                <w:sz w:val="21"/>
                <w:szCs w:val="21"/>
                <w:highlight w:val="none"/>
              </w:rPr>
            </w:pPr>
            <w:bookmarkStart w:id="14" w:name="_Toc19316"/>
            <w:r>
              <w:rPr>
                <w:rFonts w:hint="eastAsia" w:ascii="宋体" w:hAnsi="宋体" w:eastAsia="宋体" w:cs="宋体"/>
                <w:b/>
                <w:bCs/>
                <w:color w:val="auto"/>
                <w:sz w:val="21"/>
                <w:szCs w:val="21"/>
                <w:highlight w:val="none"/>
              </w:rPr>
              <w:t>需求名称</w:t>
            </w:r>
          </w:p>
        </w:tc>
        <w:tc>
          <w:tcPr>
            <w:tcW w:w="4292" w:type="pct"/>
            <w:shd w:val="clear" w:color="auto" w:fill="FFFFFF" w:themeFill="background1"/>
            <w:vAlign w:val="center"/>
          </w:tcPr>
          <w:p w14:paraId="085A6B52">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需求说明</w:t>
            </w:r>
          </w:p>
        </w:tc>
      </w:tr>
      <w:tr w14:paraId="042D1447">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90" w:hRule="atLeast"/>
          <w:tblCellSpacing w:w="0" w:type="dxa"/>
          <w:jc w:val="center"/>
        </w:trPr>
        <w:tc>
          <w:tcPr>
            <w:tcW w:w="707" w:type="pct"/>
            <w:shd w:val="clear" w:color="auto" w:fill="FFFFFF" w:themeFill="background1"/>
            <w:vAlign w:val="center"/>
          </w:tcPr>
          <w:p w14:paraId="711BB828">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工期</w:t>
            </w:r>
          </w:p>
        </w:tc>
        <w:tc>
          <w:tcPr>
            <w:tcW w:w="4292" w:type="pct"/>
            <w:shd w:val="clear" w:color="auto" w:fill="FFFFFF" w:themeFill="background1"/>
            <w:vAlign w:val="center"/>
          </w:tcPr>
          <w:p w14:paraId="022421F6">
            <w:pPr>
              <w:keepNext w:val="0"/>
              <w:keepLines w:val="0"/>
              <w:pageBreakBefore w:val="0"/>
              <w:tabs>
                <w:tab w:val="left" w:pos="709"/>
              </w:tabs>
              <w:kinsoku/>
              <w:wordWrap/>
              <w:overflowPunct/>
              <w:topLinePunct w:val="0"/>
              <w:bidi w:val="0"/>
              <w:spacing w:after="0" w:line="360" w:lineRule="auto"/>
              <w:ind w:left="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合同总工期数为</w:t>
            </w:r>
            <w:r>
              <w:rPr>
                <w:rFonts w:hint="eastAsia" w:ascii="宋体" w:hAnsi="宋体" w:eastAsia="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40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个日历天（</w:t>
            </w:r>
            <w:bookmarkStart w:id="15" w:name="OLE_LINK2"/>
            <w:r>
              <w:rPr>
                <w:rFonts w:hint="eastAsia" w:ascii="宋体" w:hAnsi="宋体" w:eastAsia="宋体" w:cs="宋体"/>
                <w:color w:val="auto"/>
                <w:sz w:val="21"/>
                <w:szCs w:val="21"/>
                <w:highlight w:val="none"/>
              </w:rPr>
              <w:t>自</w:t>
            </w:r>
            <w:r>
              <w:rPr>
                <w:rFonts w:hint="eastAsia" w:ascii="宋体" w:hAnsi="宋体" w:eastAsia="宋体" w:cs="宋体"/>
                <w:color w:val="auto"/>
                <w:sz w:val="21"/>
                <w:szCs w:val="21"/>
                <w:highlight w:val="none"/>
                <w:lang w:val="en-US" w:eastAsia="zh-CN"/>
              </w:rPr>
              <w:t>采购人工程技术部</w:t>
            </w:r>
            <w:r>
              <w:rPr>
                <w:rFonts w:hint="eastAsia" w:ascii="宋体" w:hAnsi="宋体" w:eastAsia="宋体" w:cs="宋体"/>
                <w:color w:val="auto"/>
                <w:sz w:val="21"/>
                <w:szCs w:val="21"/>
                <w:highlight w:val="none"/>
              </w:rPr>
              <w:t>开</w:t>
            </w:r>
            <w:r>
              <w:rPr>
                <w:rFonts w:hint="eastAsia" w:ascii="宋体" w:hAnsi="宋体" w:eastAsia="宋体" w:cs="宋体"/>
                <w:color w:val="auto"/>
                <w:sz w:val="21"/>
                <w:szCs w:val="21"/>
                <w:highlight w:val="none"/>
                <w:lang w:val="en-US" w:eastAsia="zh-CN"/>
              </w:rPr>
              <w:t>工令</w:t>
            </w:r>
            <w:r>
              <w:rPr>
                <w:rFonts w:hint="eastAsia" w:ascii="宋体" w:hAnsi="宋体" w:eastAsia="宋体" w:cs="宋体"/>
                <w:color w:val="auto"/>
                <w:sz w:val="21"/>
                <w:szCs w:val="21"/>
                <w:highlight w:val="none"/>
              </w:rPr>
              <w:t>确定的日期起）</w:t>
            </w:r>
            <w:bookmarkEnd w:id="15"/>
            <w:r>
              <w:rPr>
                <w:rFonts w:hint="eastAsia" w:ascii="宋体" w:hAnsi="宋体" w:eastAsia="宋体" w:cs="宋体"/>
                <w:color w:val="auto"/>
                <w:sz w:val="21"/>
                <w:szCs w:val="21"/>
                <w:highlight w:val="none"/>
              </w:rPr>
              <w:t>。</w:t>
            </w:r>
          </w:p>
        </w:tc>
      </w:tr>
      <w:tr w14:paraId="7E54DA93">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454" w:hRule="atLeast"/>
          <w:tblCellSpacing w:w="0" w:type="dxa"/>
          <w:jc w:val="center"/>
        </w:trPr>
        <w:tc>
          <w:tcPr>
            <w:tcW w:w="707" w:type="pct"/>
            <w:shd w:val="clear" w:color="auto" w:fill="FFFFFF" w:themeFill="background1"/>
            <w:vAlign w:val="center"/>
          </w:tcPr>
          <w:p w14:paraId="7EA756AD">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项目地点</w:t>
            </w:r>
          </w:p>
        </w:tc>
        <w:tc>
          <w:tcPr>
            <w:tcW w:w="4292" w:type="pct"/>
            <w:shd w:val="clear" w:color="auto" w:fill="FFFFFF" w:themeFill="background1"/>
            <w:vAlign w:val="center"/>
          </w:tcPr>
          <w:p w14:paraId="2F51FDDF">
            <w:pPr>
              <w:keepNext w:val="0"/>
              <w:keepLines w:val="0"/>
              <w:pageBreakBefore w:val="0"/>
              <w:kinsoku/>
              <w:wordWrap/>
              <w:overflowPunct/>
              <w:topLinePunct w:val="0"/>
              <w:bidi w:val="0"/>
              <w:spacing w:after="0" w:line="36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采购人指定地点（如有变化另行确定）。</w:t>
            </w:r>
          </w:p>
        </w:tc>
      </w:tr>
      <w:tr w14:paraId="29A3329D">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454" w:hRule="atLeast"/>
          <w:tblCellSpacing w:w="0" w:type="dxa"/>
          <w:jc w:val="center"/>
        </w:trPr>
        <w:tc>
          <w:tcPr>
            <w:tcW w:w="707" w:type="pct"/>
            <w:shd w:val="clear" w:color="auto" w:fill="FFFFFF" w:themeFill="background1"/>
            <w:vAlign w:val="center"/>
          </w:tcPr>
          <w:p w14:paraId="1D1F5B5C">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付款方式</w:t>
            </w:r>
          </w:p>
        </w:tc>
        <w:tc>
          <w:tcPr>
            <w:tcW w:w="4292" w:type="pct"/>
            <w:shd w:val="clear" w:color="auto" w:fill="FFFFFF" w:themeFill="background1"/>
            <w:vAlign w:val="center"/>
          </w:tcPr>
          <w:p w14:paraId="1B340E0C">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1.</w:t>
            </w:r>
            <w:r>
              <w:rPr>
                <w:rFonts w:hint="eastAsia" w:ascii="宋体" w:hAnsi="宋体" w:eastAsia="宋体" w:cs="宋体"/>
                <w:color w:val="auto"/>
                <w:sz w:val="21"/>
                <w:szCs w:val="21"/>
                <w:highlight w:val="none"/>
                <w:lang w:val="en-US" w:eastAsia="zh-CN"/>
              </w:rPr>
              <w:t>预付款：</w:t>
            </w:r>
            <w:r>
              <w:rPr>
                <w:rFonts w:hint="eastAsia" w:ascii="宋体" w:hAnsi="宋体" w:eastAsia="宋体" w:cs="宋体"/>
                <w:color w:val="auto"/>
                <w:sz w:val="21"/>
                <w:szCs w:val="21"/>
                <w:highlight w:val="none"/>
                <w:lang w:eastAsia="zh-CN"/>
              </w:rPr>
              <w:t>自施工图纸经采购人审查确认且中标人获采购人</w:t>
            </w:r>
            <w:r>
              <w:rPr>
                <w:rFonts w:hint="eastAsia" w:ascii="宋体" w:hAnsi="宋体" w:eastAsia="宋体" w:cs="宋体"/>
                <w:color w:val="auto"/>
                <w:sz w:val="21"/>
                <w:szCs w:val="21"/>
                <w:highlight w:val="none"/>
                <w:lang w:val="en-US" w:eastAsia="zh-CN"/>
              </w:rPr>
              <w:t>工程技术部</w:t>
            </w:r>
            <w:r>
              <w:rPr>
                <w:rFonts w:hint="eastAsia" w:ascii="宋体" w:hAnsi="宋体" w:eastAsia="宋体" w:cs="宋体"/>
                <w:color w:val="auto"/>
                <w:sz w:val="21"/>
                <w:szCs w:val="21"/>
                <w:highlight w:val="none"/>
                <w:lang w:eastAsia="zh-CN"/>
              </w:rPr>
              <w:t>开工令之后,中标人可向采购人申请支付合同总金额的30%</w:t>
            </w:r>
            <w:r>
              <w:rPr>
                <w:rFonts w:hint="eastAsia" w:ascii="宋体" w:hAnsi="宋体" w:eastAsia="宋体" w:cs="宋体"/>
                <w:color w:val="auto"/>
                <w:sz w:val="21"/>
                <w:szCs w:val="21"/>
                <w:highlight w:val="none"/>
                <w:lang w:val="en-US" w:eastAsia="zh-CN"/>
              </w:rPr>
              <w:t>预付款</w:t>
            </w:r>
            <w:r>
              <w:rPr>
                <w:rFonts w:hint="eastAsia" w:ascii="宋体" w:hAnsi="宋体" w:eastAsia="宋体" w:cs="宋体"/>
                <w:color w:val="auto"/>
                <w:sz w:val="21"/>
                <w:szCs w:val="21"/>
                <w:highlight w:val="none"/>
              </w:rPr>
              <w:t>。</w:t>
            </w:r>
          </w:p>
          <w:p w14:paraId="5CBCC15F">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2.</w:t>
            </w:r>
            <w:r>
              <w:rPr>
                <w:rFonts w:hint="eastAsia" w:ascii="宋体" w:hAnsi="宋体" w:eastAsia="宋体" w:cs="宋体"/>
                <w:color w:val="auto"/>
                <w:sz w:val="21"/>
                <w:szCs w:val="21"/>
                <w:highlight w:val="none"/>
              </w:rPr>
              <w:t>进度款</w:t>
            </w:r>
            <w:r>
              <w:rPr>
                <w:rFonts w:hint="eastAsia" w:ascii="宋体" w:hAnsi="宋体" w:eastAsia="宋体" w:cs="宋体"/>
                <w:color w:val="auto"/>
                <w:sz w:val="21"/>
                <w:szCs w:val="21"/>
                <w:highlight w:val="none"/>
                <w:lang w:eastAsia="zh-CN"/>
              </w:rPr>
              <w:t>：中标人完成设备承台、电缆铺设施工、设备安装完毕后经双方书面确认完成该施工进度后，中标人可向采购人申请支付合同总金额的40%</w:t>
            </w:r>
            <w:r>
              <w:rPr>
                <w:rFonts w:hint="eastAsia" w:ascii="宋体" w:hAnsi="宋体" w:eastAsia="宋体" w:cs="宋体"/>
                <w:color w:val="auto"/>
                <w:sz w:val="21"/>
                <w:szCs w:val="21"/>
                <w:highlight w:val="none"/>
              </w:rPr>
              <w:t>进度款。</w:t>
            </w:r>
          </w:p>
          <w:p w14:paraId="6ADAC227">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ar-SA"/>
              </w:rPr>
              <w:t>3.</w:t>
            </w:r>
            <w:r>
              <w:rPr>
                <w:rFonts w:hint="eastAsia" w:ascii="宋体" w:hAnsi="宋体" w:eastAsia="宋体" w:cs="宋体"/>
                <w:color w:val="auto"/>
                <w:sz w:val="21"/>
                <w:szCs w:val="21"/>
                <w:highlight w:val="none"/>
              </w:rPr>
              <w:t>竣工验收款</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lang w:val="en-US" w:eastAsia="zh-CN"/>
              </w:rPr>
              <w:t>完成并满足</w:t>
            </w:r>
            <w:r>
              <w:rPr>
                <w:rFonts w:hint="eastAsia" w:ascii="宋体" w:hAnsi="宋体" w:eastAsia="宋体" w:cs="宋体"/>
                <w:color w:val="auto"/>
                <w:sz w:val="21"/>
                <w:szCs w:val="21"/>
                <w:highlight w:val="none"/>
                <w:lang w:eastAsia="zh-CN"/>
              </w:rPr>
              <w:t>以下</w:t>
            </w:r>
            <w:r>
              <w:rPr>
                <w:rFonts w:hint="eastAsia" w:ascii="宋体" w:hAnsi="宋体" w:eastAsia="宋体" w:cs="宋体"/>
                <w:color w:val="auto"/>
                <w:sz w:val="21"/>
                <w:szCs w:val="21"/>
                <w:highlight w:val="none"/>
                <w:lang w:val="en-US" w:eastAsia="zh-CN"/>
              </w:rPr>
              <w:t>要求后</w:t>
            </w:r>
            <w:r>
              <w:rPr>
                <w:rFonts w:hint="eastAsia" w:ascii="宋体" w:hAnsi="宋体" w:eastAsia="宋体" w:cs="宋体"/>
                <w:color w:val="auto"/>
                <w:sz w:val="21"/>
                <w:szCs w:val="21"/>
                <w:highlight w:val="none"/>
                <w:lang w:eastAsia="zh-CN"/>
              </w:rPr>
              <w:t>可向采购人申请竣工验收款：</w:t>
            </w:r>
          </w:p>
          <w:p w14:paraId="0C545C98">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ar-SA"/>
              </w:rPr>
              <w:t>（1）</w:t>
            </w:r>
            <w:r>
              <w:rPr>
                <w:rFonts w:hint="eastAsia" w:ascii="宋体" w:hAnsi="宋体" w:eastAsia="宋体" w:cs="宋体"/>
                <w:color w:val="auto"/>
                <w:sz w:val="21"/>
                <w:szCs w:val="21"/>
                <w:highlight w:val="none"/>
                <w:lang w:eastAsia="zh-CN"/>
              </w:rPr>
              <w:t>本项目需完成通电调试且系统试运行正常；</w:t>
            </w:r>
          </w:p>
          <w:p w14:paraId="618E3A67">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bidi="ar-SA"/>
              </w:rPr>
              <w:t>（2）</w:t>
            </w:r>
            <w:r>
              <w:rPr>
                <w:rFonts w:hint="eastAsia" w:ascii="宋体" w:hAnsi="宋体" w:eastAsia="宋体" w:cs="宋体"/>
                <w:b w:val="0"/>
                <w:bCs w:val="0"/>
                <w:color w:val="auto"/>
                <w:sz w:val="21"/>
                <w:szCs w:val="21"/>
                <w:highlight w:val="none"/>
                <w:lang w:val="en-US" w:eastAsia="zh-CN"/>
              </w:rPr>
              <w:t>Modbus TCP协议及云平台对接要求：</w:t>
            </w:r>
            <w:r>
              <w:rPr>
                <w:rFonts w:hint="eastAsia" w:ascii="宋体" w:hAnsi="宋体" w:eastAsia="宋体" w:cs="宋体"/>
                <w:b w:val="0"/>
                <w:bCs w:val="0"/>
                <w:color w:val="auto"/>
                <w:sz w:val="21"/>
                <w:szCs w:val="21"/>
                <w:highlight w:val="none"/>
                <w:lang w:eastAsia="zh-CN"/>
              </w:rPr>
              <w:t>中标人</w:t>
            </w:r>
            <w:r>
              <w:rPr>
                <w:rFonts w:hint="eastAsia" w:ascii="宋体" w:hAnsi="宋体" w:eastAsia="宋体" w:cs="宋体"/>
                <w:b w:val="0"/>
                <w:bCs w:val="0"/>
                <w:color w:val="auto"/>
                <w:sz w:val="21"/>
                <w:szCs w:val="21"/>
                <w:highlight w:val="none"/>
                <w:lang w:val="en-US" w:eastAsia="zh-CN"/>
              </w:rPr>
              <w:t>的设备厂家需严格按照采购人提供的附件5</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M</w:t>
            </w:r>
            <w:bookmarkStart w:id="16" w:name="OLE_LINK5"/>
            <w:r>
              <w:rPr>
                <w:rFonts w:hint="eastAsia" w:ascii="宋体" w:hAnsi="宋体" w:eastAsia="宋体" w:cs="宋体"/>
                <w:b w:val="0"/>
                <w:bCs w:val="0"/>
                <w:color w:val="auto"/>
                <w:sz w:val="21"/>
                <w:szCs w:val="21"/>
                <w:highlight w:val="none"/>
                <w:lang w:val="en-US" w:eastAsia="zh-CN"/>
              </w:rPr>
              <w:t>odbus TCP规约点表</w:t>
            </w:r>
            <w:bookmarkEnd w:id="16"/>
            <w:r>
              <w:rPr>
                <w:rFonts w:hint="eastAsia" w:ascii="宋体" w:hAnsi="宋体" w:eastAsia="宋体" w:cs="宋体"/>
                <w:b w:val="0"/>
                <w:bCs w:val="0"/>
                <w:color w:val="auto"/>
                <w:sz w:val="21"/>
                <w:szCs w:val="21"/>
                <w:highlight w:val="none"/>
                <w:lang w:val="en-US" w:eastAsia="zh-CN"/>
              </w:rPr>
              <w:t>》完成本地数据释放，并配合采购人完成本地硬件安装，本项目在采购人自有云平台上线运行，需实现全部数据正确展示、各类控制功能正常执行；</w:t>
            </w:r>
          </w:p>
          <w:p w14:paraId="7B16B8CD">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bidi="ar-SA"/>
              </w:rPr>
              <w:t>（3）</w:t>
            </w:r>
            <w:r>
              <w:rPr>
                <w:rFonts w:hint="eastAsia" w:ascii="宋体" w:hAnsi="宋体" w:eastAsia="宋体" w:cs="宋体"/>
                <w:b w:val="0"/>
                <w:bCs w:val="0"/>
                <w:color w:val="auto"/>
                <w:sz w:val="21"/>
                <w:szCs w:val="21"/>
                <w:highlight w:val="none"/>
                <w:lang w:eastAsia="zh-CN"/>
              </w:rPr>
              <w:t>采购人收到业主方第一个月的储能节能款；</w:t>
            </w:r>
          </w:p>
          <w:p w14:paraId="22E040FD">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ar-SA"/>
              </w:rPr>
              <w:t>（4）</w:t>
            </w:r>
            <w:r>
              <w:rPr>
                <w:rFonts w:hint="eastAsia" w:ascii="宋体" w:hAnsi="宋体" w:eastAsia="宋体" w:cs="宋体"/>
                <w:color w:val="auto"/>
                <w:sz w:val="21"/>
                <w:szCs w:val="21"/>
                <w:highlight w:val="none"/>
                <w:lang w:eastAsia="zh-CN"/>
              </w:rPr>
              <w:t>中标人按采购人要求完成项目竣工资料并出具双方加盖公章的竣工验收合格报告。竣工款支付至总合同结算金额的97%。</w:t>
            </w:r>
          </w:p>
          <w:p w14:paraId="306AD99A">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4.</w:t>
            </w:r>
            <w:r>
              <w:rPr>
                <w:rFonts w:hint="eastAsia" w:ascii="宋体" w:hAnsi="宋体" w:eastAsia="宋体" w:cs="宋体"/>
                <w:color w:val="auto"/>
                <w:sz w:val="21"/>
                <w:szCs w:val="21"/>
                <w:highlight w:val="none"/>
              </w:rPr>
              <w:t>质保款</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剩余3%作为质保款，自</w:t>
            </w:r>
            <w:r>
              <w:rPr>
                <w:rFonts w:hint="eastAsia" w:ascii="宋体" w:hAnsi="宋体" w:eastAsia="宋体" w:cs="宋体"/>
                <w:color w:val="auto"/>
                <w:sz w:val="21"/>
                <w:szCs w:val="21"/>
                <w:highlight w:val="none"/>
                <w:lang w:val="en-US" w:eastAsia="zh-CN"/>
              </w:rPr>
              <w:t>验收通过</w:t>
            </w:r>
            <w:r>
              <w:rPr>
                <w:rFonts w:hint="eastAsia" w:ascii="宋体" w:hAnsi="宋体" w:eastAsia="宋体" w:cs="宋体"/>
                <w:color w:val="auto"/>
                <w:sz w:val="21"/>
                <w:szCs w:val="21"/>
                <w:highlight w:val="none"/>
              </w:rPr>
              <w:t>起</w:t>
            </w:r>
            <w:r>
              <w:rPr>
                <w:rFonts w:hint="eastAsia" w:ascii="宋体" w:hAnsi="宋体" w:eastAsia="宋体" w:cs="宋体"/>
                <w:color w:val="auto"/>
                <w:sz w:val="21"/>
                <w:szCs w:val="21"/>
                <w:highlight w:val="none"/>
                <w:u w:val="single"/>
              </w:rPr>
              <w:t xml:space="preserve"> 壹 </w:t>
            </w:r>
            <w:r>
              <w:rPr>
                <w:rFonts w:hint="eastAsia" w:ascii="宋体" w:hAnsi="宋体" w:eastAsia="宋体" w:cs="宋体"/>
                <w:color w:val="auto"/>
                <w:sz w:val="21"/>
                <w:szCs w:val="21"/>
                <w:highlight w:val="none"/>
              </w:rPr>
              <w:t>年质保期满后且</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不存在违约行为的前提下，由</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无息支付给</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w:t>
            </w:r>
          </w:p>
          <w:p w14:paraId="7ACE0694">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5.</w:t>
            </w:r>
            <w:r>
              <w:rPr>
                <w:rFonts w:hint="eastAsia" w:ascii="宋体" w:hAnsi="宋体" w:eastAsia="宋体" w:cs="宋体"/>
                <w:color w:val="auto"/>
                <w:sz w:val="21"/>
                <w:szCs w:val="21"/>
                <w:highlight w:val="none"/>
              </w:rPr>
              <w:t xml:space="preserve"> 结算总价不得超过中标价。</w:t>
            </w:r>
          </w:p>
        </w:tc>
      </w:tr>
      <w:tr w14:paraId="2276CBD5">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90" w:hRule="atLeast"/>
          <w:tblCellSpacing w:w="0" w:type="dxa"/>
          <w:jc w:val="center"/>
        </w:trPr>
        <w:tc>
          <w:tcPr>
            <w:tcW w:w="707" w:type="pct"/>
            <w:shd w:val="clear" w:color="auto" w:fill="FFFFFF" w:themeFill="background1"/>
            <w:vAlign w:val="center"/>
          </w:tcPr>
          <w:p w14:paraId="33719603">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质保期及售后服务</w:t>
            </w:r>
          </w:p>
        </w:tc>
        <w:tc>
          <w:tcPr>
            <w:tcW w:w="4292" w:type="pct"/>
            <w:shd w:val="clear" w:color="auto" w:fill="FFFFFF" w:themeFill="background1"/>
            <w:vAlign w:val="center"/>
          </w:tcPr>
          <w:p w14:paraId="1736E82B">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1.</w:t>
            </w:r>
            <w:r>
              <w:rPr>
                <w:rFonts w:hint="eastAsia" w:ascii="宋体" w:hAnsi="宋体" w:eastAsia="宋体" w:cs="宋体"/>
                <w:color w:val="auto"/>
                <w:sz w:val="21"/>
                <w:szCs w:val="21"/>
                <w:highlight w:val="none"/>
              </w:rPr>
              <w:t>质量缺陷责任期：本工程施工保修期限为</w:t>
            </w:r>
            <w:r>
              <w:rPr>
                <w:rFonts w:hint="eastAsia" w:ascii="宋体" w:hAnsi="宋体" w:eastAsia="宋体" w:cs="宋体"/>
                <w:color w:val="auto"/>
                <w:sz w:val="21"/>
                <w:szCs w:val="21"/>
                <w:highlight w:val="none"/>
                <w:u w:val="single"/>
              </w:rPr>
              <w:t>壹</w:t>
            </w:r>
            <w:r>
              <w:rPr>
                <w:rFonts w:hint="eastAsia" w:ascii="宋体" w:hAnsi="宋体" w:eastAsia="宋体" w:cs="宋体"/>
                <w:color w:val="auto"/>
                <w:sz w:val="21"/>
                <w:szCs w:val="21"/>
                <w:highlight w:val="none"/>
              </w:rPr>
              <w:t>年，电化学储能设备整体保修期限为 5 年，电池系统寿命不少于 10 年或电池循环次数6500次，6500次循环剩余容量≧原始容量的70%且放电倍率0.5C，EOL≧70%（以先到为准），储能设备电芯参考品牌为宁德时代、比亚迪、亿纬锂能等</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自工程竣工并经</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书面验收合格起算。保修期内，如出现相关质量异常或使用问题，</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应无偿进行维修处理。</w:t>
            </w:r>
          </w:p>
          <w:p w14:paraId="2D423717">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2.</w:t>
            </w:r>
            <w:r>
              <w:rPr>
                <w:rFonts w:hint="eastAsia" w:ascii="宋体" w:hAnsi="宋体" w:eastAsia="宋体" w:cs="宋体"/>
                <w:color w:val="auto"/>
                <w:sz w:val="21"/>
                <w:szCs w:val="21"/>
                <w:highlight w:val="none"/>
              </w:rPr>
              <w:t>在免费保修期内，</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应保证通讯畅通，令</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能够随时同</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取得联系。</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在接到</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维修通知后24小时内到达现场并及时处理。如</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更换保修人员或联系电话，应及时通知</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。若因</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通讯不畅或故意不接，拖延推诿，</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将视为</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放弃保修责任，有权自行解决（包括聘请第三方维修等），由</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承担所有费用。</w:t>
            </w:r>
          </w:p>
          <w:p w14:paraId="7C55202B">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3.</w:t>
            </w:r>
            <w:r>
              <w:rPr>
                <w:rFonts w:hint="eastAsia" w:ascii="宋体" w:hAnsi="宋体" w:eastAsia="宋体" w:cs="宋体"/>
                <w:color w:val="auto"/>
                <w:sz w:val="21"/>
                <w:szCs w:val="21"/>
                <w:highlight w:val="none"/>
              </w:rPr>
              <w:t>质保期内，如设备或零部件因非人为因素出现故障而造成短期停用时，则质保期和免费维修期相应顺延。如停用时间累计超过60天则质保期重新计算。</w:t>
            </w:r>
          </w:p>
          <w:p w14:paraId="50BD1729">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4.</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应建立并实施符合工程各项要求的质量管理体系，如因</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原因，使得项目工作受到影响，相应责任由</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承担；</w:t>
            </w:r>
          </w:p>
          <w:p w14:paraId="49D61B77">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5.</w:t>
            </w:r>
            <w:r>
              <w:rPr>
                <w:rFonts w:hint="eastAsia" w:ascii="宋体" w:hAnsi="宋体" w:eastAsia="宋体" w:cs="宋体"/>
                <w:color w:val="auto"/>
                <w:sz w:val="21"/>
                <w:szCs w:val="21"/>
                <w:highlight w:val="none"/>
              </w:rPr>
              <w:t>采购人有权在工作时间内进入</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的工作地点对其文件和设施实行与合同有关的质保监查，以便监查其质保手册，质量计划及其它与质量相关的文件的实施情况。</w:t>
            </w:r>
          </w:p>
          <w:p w14:paraId="4E13E186">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6.</w:t>
            </w:r>
            <w:r>
              <w:rPr>
                <w:rFonts w:hint="eastAsia" w:ascii="宋体" w:hAnsi="宋体" w:eastAsia="宋体" w:cs="宋体"/>
                <w:color w:val="auto"/>
                <w:sz w:val="21"/>
                <w:szCs w:val="21"/>
                <w:highlight w:val="none"/>
              </w:rPr>
              <w:t>对采购人的服务通知，</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在接报后1小时内响应，4小时内到达现场，48小时内处理完毕。若在48小时内仍未能有效解决，</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须免费提供同档次的设备予采购人临时使用。</w:t>
            </w:r>
          </w:p>
        </w:tc>
      </w:tr>
      <w:tr w14:paraId="582A2DD8">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400" w:hRule="atLeast"/>
          <w:tblCellSpacing w:w="0" w:type="dxa"/>
          <w:jc w:val="center"/>
        </w:trPr>
        <w:tc>
          <w:tcPr>
            <w:tcW w:w="707" w:type="pct"/>
            <w:shd w:val="clear" w:color="auto" w:fill="FFFFFF" w:themeFill="background1"/>
            <w:vAlign w:val="center"/>
          </w:tcPr>
          <w:p w14:paraId="6ABC2C89">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验收要求</w:t>
            </w:r>
          </w:p>
        </w:tc>
        <w:tc>
          <w:tcPr>
            <w:tcW w:w="4292" w:type="pct"/>
            <w:shd w:val="clear" w:color="auto" w:fill="FFFFFF" w:themeFill="background1"/>
            <w:vAlign w:val="center"/>
          </w:tcPr>
          <w:p w14:paraId="091D68D4">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00" w:firstLineChars="200"/>
              <w:jc w:val="both"/>
              <w:textAlignment w:val="auto"/>
              <w:rPr>
                <w:rFonts w:hint="eastAsia" w:ascii="宋体" w:hAnsi="宋体" w:eastAsia="宋体" w:cs="宋体"/>
                <w:color w:val="auto"/>
                <w:sz w:val="21"/>
                <w:szCs w:val="21"/>
                <w:highlight w:val="none"/>
              </w:rPr>
            </w:pPr>
            <w:r>
              <w:rPr>
                <w:rFonts w:hint="default" w:ascii="宋体" w:hAnsi="宋体" w:eastAsia="宋体" w:cs="宋体"/>
                <w:color w:val="auto"/>
                <w:sz w:val="20"/>
                <w:szCs w:val="20"/>
                <w:highlight w:val="none"/>
                <w:lang w:val="en-US" w:eastAsia="zh-CN" w:bidi="ar-SA"/>
              </w:rPr>
              <w:t>1.</w:t>
            </w:r>
            <w:r>
              <w:rPr>
                <w:rFonts w:hint="eastAsia" w:ascii="宋体" w:hAnsi="宋体" w:eastAsia="宋体" w:cs="宋体"/>
                <w:color w:val="auto"/>
                <w:sz w:val="21"/>
                <w:szCs w:val="21"/>
                <w:highlight w:val="none"/>
              </w:rPr>
              <w:t>工程具备隐蔽条件，</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先进行自检，并在隐蔽工程验收前 24 小时通知</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验收。验收合格，</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现场代表在验收记录上签字后，承包人可进行隐蔽工程继续施工。验收不合格，</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予以整改后再交由</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重新验收。</w:t>
            </w:r>
          </w:p>
          <w:p w14:paraId="65C2F8CA">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00" w:firstLineChars="200"/>
              <w:jc w:val="both"/>
              <w:textAlignment w:val="auto"/>
              <w:rPr>
                <w:rFonts w:hint="eastAsia" w:ascii="宋体" w:hAnsi="宋体" w:eastAsia="宋体" w:cs="宋体"/>
                <w:color w:val="auto"/>
                <w:sz w:val="21"/>
                <w:szCs w:val="21"/>
                <w:highlight w:val="none"/>
              </w:rPr>
            </w:pPr>
            <w:r>
              <w:rPr>
                <w:rFonts w:hint="default" w:ascii="宋体" w:hAnsi="宋体" w:eastAsia="宋体" w:cs="宋体"/>
                <w:color w:val="auto"/>
                <w:sz w:val="20"/>
                <w:szCs w:val="20"/>
                <w:highlight w:val="none"/>
                <w:lang w:val="en-US" w:eastAsia="zh-CN" w:bidi="ar-SA"/>
              </w:rPr>
              <w:t>2.</w:t>
            </w:r>
            <w:r>
              <w:rPr>
                <w:rFonts w:hint="eastAsia" w:ascii="宋体" w:hAnsi="宋体" w:eastAsia="宋体" w:cs="宋体"/>
                <w:color w:val="auto"/>
                <w:sz w:val="21"/>
                <w:szCs w:val="21"/>
                <w:highlight w:val="none"/>
              </w:rPr>
              <w:t>工程具备竣工验收条件，</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提供完整竣工资料及竣工验收报告，包含：竣工图、有资质公司设计盖章图和现场签证单（如有）等。 验收合格的，双方进行交接，验收不合格的，</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应及时返工，费用由</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自行承担，返工导致工期延误的，</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应承担相应的违约责任。由于</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原因造成质量事故，其返工费用由</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承担，工期不变。</w:t>
            </w:r>
          </w:p>
          <w:p w14:paraId="6337676A">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00" w:firstLineChars="200"/>
              <w:jc w:val="both"/>
              <w:textAlignment w:val="auto"/>
              <w:rPr>
                <w:rFonts w:hint="eastAsia" w:ascii="宋体" w:hAnsi="宋体" w:eastAsia="宋体" w:cs="宋体"/>
                <w:color w:val="auto"/>
                <w:sz w:val="21"/>
                <w:szCs w:val="21"/>
                <w:highlight w:val="none"/>
              </w:rPr>
            </w:pPr>
            <w:r>
              <w:rPr>
                <w:rFonts w:hint="default" w:ascii="宋体" w:hAnsi="宋体" w:eastAsia="宋体" w:cs="宋体"/>
                <w:color w:val="auto"/>
                <w:sz w:val="20"/>
                <w:szCs w:val="20"/>
                <w:highlight w:val="none"/>
                <w:lang w:val="en-US" w:eastAsia="zh-CN" w:bidi="ar-SA"/>
              </w:rPr>
              <w:t>3.</w:t>
            </w:r>
            <w:r>
              <w:rPr>
                <w:rFonts w:hint="eastAsia" w:ascii="宋体" w:hAnsi="宋体" w:eastAsia="宋体" w:cs="宋体"/>
                <w:color w:val="auto"/>
                <w:sz w:val="21"/>
                <w:szCs w:val="21"/>
                <w:highlight w:val="none"/>
              </w:rPr>
              <w:t>经双方特别提出并约定，</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应当在合同工程通过竣工验收后90日内为</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完成合同工程中低压工程部分的并网申请工作直至最终完成低压并网，否则</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有权不支付验收款及其他任何款项。同时，需要特别明确的是，因工程发包的不可分割性（低压并网和低压接入并存的接入方式）及基于支付风险的商业考量和违约责任分配，</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清晰知晓并承诺：在合同所涉低压工程成功并网前，即使</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已对合同工程完成竣工验收或已实际使用工程中的非低压工程部分，</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仍无权要求</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就合同工程的整体或单独部分（无论该单独部分是否可独立核算）支付验收款及其他任何款项。除此之外，</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清晰知晓因低压工程并网所产生的一切费用（包括但不限于设备整改费用、检验报告出具费用、因并网所产生的各单位协调费用等各费用）均由其自行承担。</w:t>
            </w:r>
          </w:p>
          <w:p w14:paraId="26C6B948">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00" w:firstLineChars="200"/>
              <w:jc w:val="both"/>
              <w:textAlignment w:val="auto"/>
              <w:rPr>
                <w:rFonts w:hint="eastAsia" w:ascii="宋体" w:hAnsi="宋体" w:eastAsia="宋体" w:cs="宋体"/>
                <w:color w:val="auto"/>
                <w:sz w:val="21"/>
                <w:szCs w:val="21"/>
                <w:highlight w:val="none"/>
              </w:rPr>
            </w:pPr>
            <w:r>
              <w:rPr>
                <w:rFonts w:hint="default" w:ascii="宋体" w:hAnsi="宋体" w:eastAsia="宋体" w:cs="宋体"/>
                <w:color w:val="auto"/>
                <w:sz w:val="20"/>
                <w:szCs w:val="20"/>
                <w:highlight w:val="none"/>
                <w:lang w:val="en-US" w:eastAsia="zh-CN" w:bidi="ar-SA"/>
              </w:rPr>
              <w:t>4.</w:t>
            </w:r>
            <w:r>
              <w:rPr>
                <w:rFonts w:hint="eastAsia" w:ascii="宋体" w:hAnsi="宋体" w:eastAsia="宋体" w:cs="宋体"/>
                <w:color w:val="auto"/>
                <w:sz w:val="21"/>
                <w:szCs w:val="21"/>
                <w:highlight w:val="none"/>
              </w:rPr>
              <w:t>工程质量满足：电力行业相关制度标准、国标以及该项目签署的《技术协议》要求见附件：技术协议。</w:t>
            </w:r>
          </w:p>
        </w:tc>
      </w:tr>
      <w:tr w14:paraId="4131022B">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145" w:hRule="atLeast"/>
          <w:tblCellSpacing w:w="0" w:type="dxa"/>
          <w:jc w:val="center"/>
        </w:trPr>
        <w:tc>
          <w:tcPr>
            <w:tcW w:w="707" w:type="pct"/>
            <w:shd w:val="clear" w:color="auto" w:fill="FFFFFF" w:themeFill="background1"/>
            <w:vAlign w:val="center"/>
          </w:tcPr>
          <w:p w14:paraId="56892CE9">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报价方式及要求</w:t>
            </w:r>
          </w:p>
        </w:tc>
        <w:tc>
          <w:tcPr>
            <w:tcW w:w="4292" w:type="pct"/>
            <w:shd w:val="clear" w:color="auto" w:fill="FFFFFF" w:themeFill="background1"/>
            <w:vAlign w:val="center"/>
          </w:tcPr>
          <w:p w14:paraId="478C352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1.本次采购总容量为</w:t>
            </w:r>
            <w:r>
              <w:rPr>
                <w:rFonts w:hint="eastAsia" w:ascii="宋体" w:hAnsi="宋体" w:cs="宋体"/>
                <w:b/>
                <w:bCs/>
                <w:color w:val="auto"/>
                <w:kern w:val="2"/>
                <w:sz w:val="21"/>
                <w:szCs w:val="21"/>
                <w:highlight w:val="none"/>
                <w:lang w:val="en-US" w:eastAsia="zh-CN" w:bidi="ar-SA"/>
              </w:rPr>
              <w:t>550kW/2200kWh，</w:t>
            </w:r>
            <w:r>
              <w:rPr>
                <w:rFonts w:hint="eastAsia" w:ascii="宋体" w:hAnsi="宋体" w:eastAsia="宋体" w:cs="宋体"/>
                <w:b/>
                <w:bCs/>
                <w:color w:val="auto"/>
                <w:kern w:val="2"/>
                <w:sz w:val="21"/>
                <w:szCs w:val="21"/>
                <w:highlight w:val="none"/>
                <w:lang w:val="en-US" w:eastAsia="zh-CN" w:bidi="ar-SA"/>
              </w:rPr>
              <w:t>本项目报价采用单价报价，最高限价为1060</w:t>
            </w:r>
            <w:r>
              <w:rPr>
                <w:rFonts w:hint="eastAsia" w:ascii="宋体" w:hAnsi="宋体" w:cs="宋体"/>
                <w:b/>
                <w:bCs/>
                <w:color w:val="auto"/>
                <w:kern w:val="2"/>
                <w:sz w:val="21"/>
                <w:szCs w:val="21"/>
                <w:highlight w:val="none"/>
                <w:lang w:val="en-US" w:eastAsia="zh-CN" w:bidi="ar-SA"/>
              </w:rPr>
              <w:t>元/kWh，</w:t>
            </w:r>
            <w:r>
              <w:rPr>
                <w:rFonts w:hint="eastAsia" w:ascii="宋体" w:hAnsi="宋体" w:eastAsia="宋体" w:cs="宋体"/>
                <w:b/>
                <w:bCs/>
                <w:color w:val="auto"/>
                <w:kern w:val="2"/>
                <w:sz w:val="21"/>
                <w:szCs w:val="21"/>
                <w:highlight w:val="none"/>
                <w:lang w:val="en-US" w:eastAsia="zh-CN" w:bidi="ar-SA"/>
              </w:rPr>
              <w:t>最终结算以第三方设计单位所设计的容量为准；最终设计的容量偏差≤预算容量的10%（如遇现场位置不能满足设计要求，容量缩减不受降低容量偏差限制），超出部分不做结算。</w:t>
            </w:r>
          </w:p>
          <w:p w14:paraId="6610F1F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报价要求：包括但不限于项目的供货、建安费、垃圾清运费、安装、测试、验收直至取得验收合格证明文件及材料价之任何市场差价、管理费、综合费率、保险费、利润和国家规定的应由中标人承担的任何收费、税金、必须的加班费、费率或汇率的变动、专利费、运输、货品迟到工地的窝工费等直至交付采购人正常使用的所有费用；中标人根据项目中标金额及项目需求进行施工，建安费等费用不可超过本项目中标价。中标人施工图预算超出本项目中标价的，中标人须无偿为采购人修改施工图纸，直至采购人审定的施工图预算不超过本项目预算金额。双方约定条件范围内包工包料、包各项税费、材料购置费、安装费、运输费、装卸费、人工费、项目开工前需安装摄像头监控系统，包安全文明施工措施费、相关部门监督验收及合同实施过程中不可预见费用等中标人为履行本合同所发生的一切费用。</w:t>
            </w:r>
          </w:p>
        </w:tc>
      </w:tr>
      <w:tr w14:paraId="337ADDD4">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1827" w:hRule="atLeast"/>
          <w:tblCellSpacing w:w="0" w:type="dxa"/>
          <w:jc w:val="center"/>
        </w:trPr>
        <w:tc>
          <w:tcPr>
            <w:tcW w:w="707" w:type="pct"/>
            <w:shd w:val="clear" w:color="auto" w:fill="FFFFFF" w:themeFill="background1"/>
            <w:vAlign w:val="center"/>
          </w:tcPr>
          <w:p w14:paraId="73DAEE90">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合同签订说明</w:t>
            </w:r>
          </w:p>
        </w:tc>
        <w:tc>
          <w:tcPr>
            <w:tcW w:w="4292" w:type="pct"/>
            <w:shd w:val="clear" w:color="auto" w:fill="FFFFFF" w:themeFill="background1"/>
            <w:vAlign w:val="center"/>
          </w:tcPr>
          <w:p w14:paraId="29F6A2B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中标通知书发出之日起30个日历天内，按照招标文件和投标文件的约定，与采购人签订书面合同，所签订的合同不得对招标文件确定的事项和投标文件已承诺的内容作实质性修改，中标人不得向采购人提出任何不合理的要求作为签订合同的条件，中标人无正当理由拒签合同的，</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有权取消其中标资格。</w:t>
            </w:r>
          </w:p>
        </w:tc>
      </w:tr>
      <w:tr w14:paraId="557977DF">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454" w:hRule="atLeast"/>
          <w:tblCellSpacing w:w="0" w:type="dxa"/>
          <w:jc w:val="center"/>
        </w:trPr>
        <w:tc>
          <w:tcPr>
            <w:tcW w:w="707" w:type="pct"/>
            <w:shd w:val="clear" w:color="auto" w:fill="FFFFFF" w:themeFill="background1"/>
            <w:vAlign w:val="center"/>
          </w:tcPr>
          <w:p w14:paraId="5F85106B">
            <w:pPr>
              <w:spacing w:after="0" w:line="240" w:lineRule="auto"/>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b/>
                <w:bCs/>
                <w:color w:val="auto"/>
                <w:sz w:val="21"/>
                <w:szCs w:val="21"/>
                <w:highlight w:val="none"/>
                <w:lang w:val="en-US" w:eastAsia="zh-CN"/>
              </w:rPr>
              <w:t>其他要求</w:t>
            </w:r>
          </w:p>
        </w:tc>
        <w:tc>
          <w:tcPr>
            <w:tcW w:w="4292" w:type="pct"/>
            <w:shd w:val="clear" w:color="auto" w:fill="FFFFFF" w:themeFill="background1"/>
            <w:vAlign w:val="center"/>
          </w:tcPr>
          <w:p w14:paraId="1BED935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一、响应要求</w:t>
            </w:r>
          </w:p>
          <w:p w14:paraId="2E7383F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投标人在投标文件必须承诺:为保证产品来源的合法性和可靠性及兼容性,如中标，在采购结果公示后主动向采购人提供所投设备的设备厂家的原厂制造商授权书和售后服务函、原厂技术参数响应表(加盖制造商公章)、提供所投设备(如采购人要求)的相关证书、或检测报告等证明材料原件给予采购人审查，以确保采购人的正常利益。如有虚假应标将上报相关部门处理。</w:t>
            </w:r>
          </w:p>
          <w:p w14:paraId="321C9BB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2、投标人需对提交资料真实性负责，如提交虚假材料谋取中标，一经发现，采购人有权暂停签订合同，并将报市政府采购监管部门进行处理，由此引发的所有损失由中标人负责，并追究其违规责任。</w:t>
            </w:r>
          </w:p>
          <w:p w14:paraId="25AEBFA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3、项目采用磷酸铁锂电池(行业主流安全技术)，通过国家权威机构认证(如 UL、CE、GB/T等)，具备防过充、过放、短路等多重保护机制，优先选用国优一线品牌。</w:t>
            </w:r>
          </w:p>
          <w:p w14:paraId="7BD7FE8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4、储能设备配备稳定可靠的气体自动灭火系统，同时柜体覆盖了一层阻燃保温层，最大程度上减小火灾的扩散。</w:t>
            </w:r>
          </w:p>
          <w:p w14:paraId="38E8242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5、设备布局严格遵循消防规范，配备防火墙、自动灭火装置及独立通风系统;施工过程由专业团队执行，严格按照行业规范及企业安全管理要求;</w:t>
            </w:r>
          </w:p>
          <w:p w14:paraId="4CAC578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6、采取线上+线下的安全运营策略，线上管理平台系统 24小时实时监控储能系统内部的温度、压力、电流、烟雾浓度等信息，异常情况自动预警并启动消防联动，同时中标供应商需安排安全运维人员到运营项目做定期的维保，确保风险“早发现、早处宜”。</w:t>
            </w:r>
          </w:p>
          <w:p w14:paraId="57638D92">
            <w:pPr>
              <w:pStyle w:val="2"/>
              <w:rPr>
                <w:rFonts w:hint="eastAsia" w:ascii="宋体" w:hAnsi="宋体" w:cs="宋体"/>
                <w:b w:val="0"/>
                <w:bCs w:val="0"/>
                <w:color w:val="auto"/>
                <w:kern w:val="2"/>
                <w:sz w:val="21"/>
                <w:szCs w:val="21"/>
                <w:highlight w:val="none"/>
                <w:lang w:val="en-US" w:eastAsia="zh-CN" w:bidi="ar-SA"/>
              </w:rPr>
            </w:pPr>
            <w:r>
              <w:rPr>
                <w:rFonts w:hint="eastAsia" w:ascii="宋体" w:hAnsi="宋体" w:cs="宋体"/>
                <w:b w:val="0"/>
                <w:bCs w:val="0"/>
                <w:color w:val="auto"/>
                <w:kern w:val="2"/>
                <w:sz w:val="21"/>
                <w:szCs w:val="21"/>
                <w:highlight w:val="none"/>
                <w:lang w:val="en-US" w:eastAsia="zh-CN" w:bidi="ar-SA"/>
              </w:rPr>
              <w:t>二、承诺要求</w:t>
            </w:r>
          </w:p>
          <w:p w14:paraId="5FFD72E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1.★Modbus TCP协议及云平台对接要求：投标人须承诺无偏离响应并执行达到附件5《Modbus TCP规约点表》的要求，包含：地址规划、系统数据、PCS、电堆、电池簇、单体电压、单体温度、电表数据、空调数据、液冷数据、遥控遥调、PCS故障字解析表、BMS报警码解析表、空调故障字解析表、液冷故障字解析表。（须提供承诺函，格式详见“第六部分附件－投标文件格式”）</w:t>
            </w:r>
          </w:p>
        </w:tc>
      </w:tr>
    </w:tbl>
    <w:p w14:paraId="559E919B">
      <w:pPr>
        <w:rPr>
          <w:rFonts w:hint="eastAsia" w:ascii="宋体" w:hAnsi="宋体"/>
          <w:color w:val="auto"/>
          <w:highlight w:val="none"/>
        </w:rPr>
      </w:pPr>
    </w:p>
    <w:p w14:paraId="0AC6DB56">
      <w:pPr>
        <w:rPr>
          <w:rFonts w:hint="eastAsia" w:ascii="宋体" w:hAnsi="宋体"/>
          <w:color w:val="auto"/>
          <w:highlight w:val="none"/>
        </w:rPr>
      </w:pPr>
      <w:bookmarkStart w:id="17" w:name="_Toc182307972"/>
      <w:r>
        <w:rPr>
          <w:rFonts w:hint="eastAsia" w:ascii="宋体" w:hAnsi="宋体"/>
          <w:color w:val="auto"/>
          <w:highlight w:val="none"/>
        </w:rPr>
        <w:br w:type="page"/>
      </w:r>
    </w:p>
    <w:p w14:paraId="7ED8548C">
      <w:pPr>
        <w:pStyle w:val="7"/>
        <w:spacing w:before="0" w:after="0" w:line="360" w:lineRule="auto"/>
        <w:jc w:val="center"/>
        <w:rPr>
          <w:color w:val="auto"/>
          <w:highlight w:val="none"/>
        </w:rPr>
      </w:pPr>
      <w:r>
        <w:rPr>
          <w:rFonts w:hint="eastAsia" w:ascii="宋体" w:hAnsi="宋体"/>
          <w:color w:val="auto"/>
          <w:highlight w:val="none"/>
        </w:rPr>
        <w:t>第二章 技术需求书</w:t>
      </w:r>
      <w:bookmarkEnd w:id="14"/>
      <w:bookmarkEnd w:id="17"/>
    </w:p>
    <w:bookmarkEnd w:id="9"/>
    <w:bookmarkEnd w:id="10"/>
    <w:bookmarkEnd w:id="11"/>
    <w:bookmarkEnd w:id="12"/>
    <w:bookmarkEnd w:id="13"/>
    <w:p w14:paraId="390E1682">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color w:val="auto"/>
          <w:sz w:val="24"/>
          <w:szCs w:val="24"/>
          <w:highlight w:val="none"/>
          <w:lang w:val="en-US" w:eastAsia="zh-CN" w:bidi="ar-SA"/>
        </w:rPr>
        <w:t>一、</w:t>
      </w:r>
      <w:r>
        <w:rPr>
          <w:rFonts w:hint="eastAsia" w:ascii="宋体" w:hAnsi="宋体" w:eastAsia="宋体" w:cs="宋体"/>
          <w:b/>
          <w:bCs/>
          <w:color w:val="auto"/>
          <w:sz w:val="24"/>
          <w:szCs w:val="24"/>
          <w:highlight w:val="none"/>
        </w:rPr>
        <w:t>项目名称</w:t>
      </w:r>
    </w:p>
    <w:p w14:paraId="6B952C2E">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420" w:firstLineChars="200"/>
        <w:jc w:val="both"/>
        <w:textAlignment w:val="auto"/>
        <w:rPr>
          <w:rFonts w:hint="eastAsia" w:ascii="宋体" w:hAnsi="宋体" w:cs="宋体"/>
          <w:b w:val="0"/>
          <w:bCs w:val="0"/>
          <w:color w:val="auto"/>
          <w:sz w:val="21"/>
          <w:szCs w:val="21"/>
          <w:highlight w:val="none"/>
          <w:lang w:eastAsia="zh-CN"/>
        </w:rPr>
      </w:pPr>
      <w:r>
        <w:rPr>
          <w:rFonts w:hint="eastAsia" w:ascii="宋体" w:hAnsi="宋体" w:cs="宋体"/>
          <w:b w:val="0"/>
          <w:bCs w:val="0"/>
          <w:color w:val="auto"/>
          <w:sz w:val="21"/>
          <w:szCs w:val="21"/>
          <w:highlight w:val="none"/>
          <w:lang w:eastAsia="zh-CN"/>
        </w:rPr>
        <w:t>东莞浩成玩具有限公司550kW/2200kWh用户侧储能项目</w:t>
      </w:r>
    </w:p>
    <w:p w14:paraId="64EE21F4">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二、项目概况</w:t>
      </w:r>
    </w:p>
    <w:p w14:paraId="782F8C3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bookmarkStart w:id="18" w:name="_Toc7598"/>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项目公司：东莞浩成玩具有限公司</w:t>
      </w:r>
    </w:p>
    <w:p w14:paraId="0693D8D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项目地址：广东省东莞市塘厦镇辉利二路1号</w:t>
      </w:r>
    </w:p>
    <w:p w14:paraId="47B5222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建设规模：</w:t>
      </w:r>
      <w:bookmarkEnd w:id="18"/>
      <w:r>
        <w:rPr>
          <w:rFonts w:hint="eastAsia" w:ascii="宋体" w:hAnsi="宋体" w:eastAsia="宋体" w:cs="宋体"/>
          <w:color w:val="auto"/>
          <w:kern w:val="2"/>
          <w:sz w:val="21"/>
          <w:szCs w:val="21"/>
          <w:highlight w:val="none"/>
          <w:lang w:val="en-US" w:eastAsia="zh-CN" w:bidi="ar-SA"/>
        </w:rPr>
        <w:t>总建设规模为0.55MW/2.2MWh</w:t>
      </w:r>
    </w:p>
    <w:p w14:paraId="5FE95F6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储能技术规格：分布式储能柜，国内知名品牌磷酸铁锂电池</w:t>
      </w:r>
    </w:p>
    <w:p w14:paraId="4AF5CDF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default" w:ascii="宋体" w:hAnsi="宋体" w:eastAsia="宋体" w:cs="宋体"/>
          <w:color w:val="auto"/>
          <w:kern w:val="2"/>
          <w:sz w:val="21"/>
          <w:szCs w:val="21"/>
          <w:highlight w:val="none"/>
          <w:lang w:val="en-US" w:eastAsia="zh-CN" w:bidi="ar-SA"/>
        </w:rPr>
      </w:pPr>
      <w:bookmarkStart w:id="19" w:name="_Toc24599"/>
      <w:r>
        <w:rPr>
          <w:rFonts w:hint="default" w:ascii="宋体" w:hAnsi="宋体" w:eastAsia="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用户侧储能设备运行控制原则：</w:t>
      </w:r>
      <w:bookmarkEnd w:id="19"/>
    </w:p>
    <w:p w14:paraId="107573F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（1）储能充电不超变压器容量。</w:t>
      </w:r>
    </w:p>
    <w:p w14:paraId="26A79DC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（2）储能放电将剩余电量逆变予变压器所接负载供电。</w:t>
      </w:r>
    </w:p>
    <w:p w14:paraId="158FB1B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（3）放电不逆流上至电网系统</w:t>
      </w:r>
    </w:p>
    <w:p w14:paraId="411FB0BF">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三、设计依据</w:t>
      </w:r>
    </w:p>
    <w:p w14:paraId="590712E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1)《电化学储能电站设计规范》 GB 51048-2014</w:t>
      </w:r>
    </w:p>
    <w:p w14:paraId="710BB13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2)《电化学储能系统接入电网技术规定》 GB/T 36547-2018</w:t>
      </w:r>
    </w:p>
    <w:p w14:paraId="7E2ECDF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3)《电力系统电化学储能系统通用技术条件》 GB/T 36558-2018</w:t>
      </w:r>
    </w:p>
    <w:p w14:paraId="23933C7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4)《电化学储能系统储能变流器技术规范》 GB/T 34120-2017</w:t>
      </w:r>
    </w:p>
    <w:p w14:paraId="14E2F8C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5)《电化学储能站用鲤离子电池管理系统技术规范》 GB/T 34131-2017</w:t>
      </w:r>
    </w:p>
    <w:p w14:paraId="400E514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6)《电力储能用理高子电池》 GB/T 36276-2018</w:t>
      </w:r>
    </w:p>
    <w:p w14:paraId="7662886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7)《电化学储能电站运行指标及评价》 GB/T 36549-2018</w:t>
      </w:r>
    </w:p>
    <w:p w14:paraId="3D6FC32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8)《导体和电器选择设计技术规定》 DL/T 5222-2005</w:t>
      </w:r>
    </w:p>
    <w:p w14:paraId="55C702E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9)《高压配电装置设计技术规程》 DL/T5352-2018</w:t>
      </w:r>
    </w:p>
    <w:p w14:paraId="6657E57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10)《交流电气装置的过电压保护和绝缘配合》 GB/T 50064-2014</w:t>
      </w:r>
    </w:p>
    <w:p w14:paraId="028AA77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11)《交流电气装置的接地设计规范》 GB/50065-2011</w:t>
      </w:r>
    </w:p>
    <w:p w14:paraId="53F9C98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12)《电力工程电缆设计标准》 GB 50217-2018</w:t>
      </w:r>
    </w:p>
    <w:p w14:paraId="12E8891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13)《变电所总布置设计技术规程》 DL/ 5056-2007</w:t>
      </w:r>
    </w:p>
    <w:p w14:paraId="28D11A2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14《电力设备典型消防规程》 DL5027-2015</w:t>
      </w:r>
    </w:p>
    <w:p w14:paraId="36463F7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15)《供配电系统设计规范》 (GB 50052-2009</w:t>
      </w:r>
    </w:p>
    <w:p w14:paraId="67E13A6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16)《低压配电设计规范》(GB 50054-2011)</w:t>
      </w:r>
    </w:p>
    <w:p w14:paraId="624C8C5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17其它有关国家及地方的现行规程、规范及现场勘查情况</w:t>
      </w:r>
    </w:p>
    <w:p w14:paraId="470C2C12">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四、服务内容</w:t>
      </w:r>
    </w:p>
    <w:p w14:paraId="6C154CE9">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1、中标人需提供针对此储能项目方案的电气、土建及相关配套图纸设计；所有需经</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确认的图纸和说明文件，均应由投标人在技术协议签订后规定的时间内提交给</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及其所指定的单位进行审定认可。</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及其所指定的单位在收到需认可图纸后，将一套经确认的或签有</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校定标记的图纸（</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负责人签字）返还给投标人。</w:t>
      </w:r>
    </w:p>
    <w:p w14:paraId="33536481">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2、设计需提供的图纸资料</w:t>
      </w:r>
    </w:p>
    <w:p w14:paraId="45BEE3A9">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设备布置图：应包括所有设备排布位置，各设备型尺寸、总重量等。（需在签订合同之日起1周内提供）</w:t>
      </w:r>
    </w:p>
    <w:p w14:paraId="183C1288">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基础图：应注明设备和其控制柜的尺寸，基础螺栓的位置和尺寸等。</w:t>
      </w:r>
    </w:p>
    <w:p w14:paraId="0C564F91">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电气原理图：储能系统一次图。</w:t>
      </w:r>
    </w:p>
    <w:p w14:paraId="114AC140">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设备部分：储能系统的设备选型、制造、软件设计开发、验收、提供相关图纸资料、试验（包括工厂试验、出厂试验）、包装、设备运输、现场开箱检查，现场技术服务、安装、调试和试验，参加联调试运行、验收，参加招标人组织的其它设备的设计联络会及协调会， 投标人应保证设备、文件和技术服务按合同要求的时间及内容进行等。其中储能系统所有的机械、电气、通信、外壳、接地等连接和配合（包括电池舱与 PCS 的连接电缆、PCS 与汇流柜（或隔离变压器或升压变压器）的连接电缆、储能系统自用动力照明等辅助用电的配电系统及电源、防逆流装置系统）、消防设施以及其他辅助设施；储能设备满足接入我司智慧储能系统云平台的技术要求。</w:t>
      </w:r>
    </w:p>
    <w:p w14:paraId="22EEC68F">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施工部分：提供储能项目工程建设服务（含施工临时电源、储能系统的土建、电气整体安装、调试达标交付及全体竣工资料）包括储能系统电气、土建基础及配套相关安装工程施工、工程质量及工期控制、调试、报装、并网试运行直至验收交付等全过程的施工承包工作。</w:t>
      </w:r>
    </w:p>
    <w:p w14:paraId="74BD7417">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五、建设范围与交接点</w:t>
      </w:r>
    </w:p>
    <w:p w14:paraId="694BE30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本项目对中标方的要求包含但不限于以下范围，交接点遵循以下基本原则：</w:t>
      </w:r>
    </w:p>
    <w:p w14:paraId="2CDB24F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1）对建设地点的可行性现场勘查，包括在采购人不能提供建设地点地质条件情况下的地勘勘察确认，以及周边居民距离情况，以确保土建、噪声、消防和环保符合管理和规范要求。</w:t>
      </w:r>
    </w:p>
    <w:p w14:paraId="012ECEEA">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2）现场勘查确定能源供应点的距离和通道情况，项目服务地点具体位置如下图所示。</w:t>
      </w:r>
    </w:p>
    <w:p w14:paraId="1014AE5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bookmarkStart w:id="20" w:name="_Toc13483"/>
      <w:bookmarkStart w:id="21" w:name="_Toc1549"/>
      <w:r>
        <w:rPr>
          <w:rFonts w:hint="eastAsia" w:ascii="宋体" w:hAnsi="宋体" w:cs="宋体"/>
          <w:color w:val="auto"/>
          <w:kern w:val="2"/>
          <w:sz w:val="21"/>
          <w:szCs w:val="21"/>
          <w:highlight w:val="none"/>
          <w:lang w:val="en-US" w:eastAsia="zh-CN" w:bidi="ar-SA"/>
        </w:rPr>
        <w:t>1.</w:t>
      </w:r>
      <w:bookmarkEnd w:id="20"/>
      <w:r>
        <w:rPr>
          <w:rFonts w:hint="eastAsia" w:ascii="宋体" w:hAnsi="宋体" w:eastAsia="宋体" w:cs="宋体"/>
          <w:color w:val="auto"/>
          <w:kern w:val="2"/>
          <w:sz w:val="21"/>
          <w:szCs w:val="21"/>
          <w:highlight w:val="none"/>
          <w:lang w:val="en-US" w:eastAsia="zh-CN" w:bidi="ar-SA"/>
        </w:rPr>
        <w:t>本项目</w:t>
      </w:r>
      <w:r>
        <w:rPr>
          <w:rFonts w:hint="eastAsia" w:ascii="宋体" w:hAnsi="宋体" w:cs="宋体"/>
          <w:color w:val="auto"/>
          <w:kern w:val="2"/>
          <w:sz w:val="21"/>
          <w:szCs w:val="21"/>
          <w:highlight w:val="none"/>
          <w:lang w:val="en-US" w:eastAsia="zh-CN" w:bidi="ar-SA"/>
        </w:rPr>
        <w:t>550kW/2200kWh</w:t>
      </w:r>
      <w:r>
        <w:rPr>
          <w:rFonts w:hint="eastAsia" w:ascii="宋体" w:hAnsi="宋体" w:eastAsia="宋体" w:cs="宋体"/>
          <w:color w:val="auto"/>
          <w:kern w:val="2"/>
          <w:sz w:val="21"/>
          <w:szCs w:val="21"/>
          <w:highlight w:val="none"/>
          <w:lang w:val="en-US" w:eastAsia="zh-CN" w:bidi="ar-SA"/>
        </w:rPr>
        <w:t>接入系统方案：</w:t>
      </w:r>
    </w:p>
    <w:p w14:paraId="6384BB3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本项目拟在厂区闲置空地布置1套0.55MW/2.2MWh的分布式储能柜，就近原则通过电缆分别接入低压配电房0.4kV母排，实现与原有低压配电系统并网，自动控制充放电。</w:t>
      </w:r>
    </w:p>
    <w:p w14:paraId="10A7E16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5F62C82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458C4A7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73B59DB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7E9B296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22E5A02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4BB218A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644F69F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271A79D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5C43220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储能设备布置图：</w:t>
      </w:r>
    </w:p>
    <w:p w14:paraId="54FC2879">
      <w:pPr>
        <w:pStyle w:val="2"/>
        <w:rPr>
          <w:rFonts w:hint="default"/>
          <w:highlight w:val="none"/>
          <w:lang w:val="en-US" w:eastAsia="zh-CN"/>
        </w:rPr>
      </w:pPr>
      <w:r>
        <w:rPr>
          <w:rFonts w:hint="default" w:ascii="黑体" w:hAnsi="黑体" w:eastAsia="黑体" w:cs="黑体"/>
          <w:sz w:val="28"/>
          <w:szCs w:val="28"/>
          <w:highlight w:val="none"/>
          <w:vertAlign w:val="baseline"/>
          <w:lang w:val="en-US" w:eastAsia="zh-CN"/>
        </w:rPr>
        <w:drawing>
          <wp:inline distT="0" distB="0" distL="114300" distR="114300">
            <wp:extent cx="5231765" cy="3451225"/>
            <wp:effectExtent l="0" t="0" r="6985" b="15875"/>
            <wp:docPr id="8" name="图片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
                    <pic:cNvPicPr>
                      <a:picLocks noChangeAspect="1"/>
                    </pic:cNvPicPr>
                  </pic:nvPicPr>
                  <pic:blipFill>
                    <a:blip r:embed="rId17"/>
                    <a:stretch>
                      <a:fillRect/>
                    </a:stretch>
                  </pic:blipFill>
                  <pic:spPr>
                    <a:xfrm>
                      <a:off x="0" y="0"/>
                      <a:ext cx="5231765" cy="3451225"/>
                    </a:xfrm>
                    <a:prstGeom prst="rect">
                      <a:avLst/>
                    </a:prstGeom>
                  </pic:spPr>
                </pic:pic>
              </a:graphicData>
            </a:graphic>
          </wp:inline>
        </w:drawing>
      </w:r>
    </w:p>
    <w:p w14:paraId="759C07B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jc w:val="both"/>
        <w:textAlignment w:val="auto"/>
        <w:rPr>
          <w:rFonts w:hint="eastAsia" w:ascii="宋体" w:hAnsi="宋体" w:cs="宋体"/>
          <w:color w:val="auto"/>
          <w:kern w:val="2"/>
          <w:sz w:val="21"/>
          <w:szCs w:val="21"/>
          <w:highlight w:val="none"/>
          <w:lang w:val="en-US" w:eastAsia="zh-CN" w:bidi="ar-SA"/>
        </w:rPr>
      </w:pPr>
      <w:bookmarkStart w:id="22" w:name="_Toc9839"/>
    </w:p>
    <w:p w14:paraId="5271A8D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接入一次设计</w:t>
      </w:r>
      <w:bookmarkEnd w:id="22"/>
      <w:r>
        <w:rPr>
          <w:rFonts w:hint="eastAsia" w:ascii="宋体" w:hAnsi="宋体" w:eastAsia="宋体" w:cs="宋体"/>
          <w:color w:val="auto"/>
          <w:kern w:val="2"/>
          <w:sz w:val="21"/>
          <w:szCs w:val="21"/>
          <w:highlight w:val="none"/>
          <w:lang w:val="en-US" w:eastAsia="zh-CN" w:bidi="ar-SA"/>
        </w:rPr>
        <w:t>（示范图例）</w:t>
      </w:r>
    </w:p>
    <w:p w14:paraId="24B0A963">
      <w:pPr>
        <w:pStyle w:val="2"/>
        <w:jc w:val="center"/>
        <w:rPr>
          <w:rFonts w:hint="eastAsia"/>
          <w:highlight w:val="none"/>
          <w:lang w:val="en-US" w:eastAsia="zh-CN"/>
        </w:rPr>
      </w:pPr>
      <w:r>
        <w:rPr>
          <w:rFonts w:hint="eastAsia" w:ascii="仿宋_GB2312" w:hAnsi="仿宋_GB2312" w:eastAsia="仿宋_GB2312" w:cs="仿宋_GB2312"/>
          <w:highlight w:val="none"/>
        </w:rPr>
        <w:object>
          <v:shape id="_x0000_i1025" o:spt="75" type="#_x0000_t75" style="height:246.8pt;width:352.5pt;" o:ole="t" filled="f" o:preferrelative="t" stroked="f" coordsize="21600,21600">
            <v:path/>
            <v:fill on="f" focussize="0,0"/>
            <v:stroke on="f" joinstyle="miter"/>
            <v:imagedata r:id="rId19" o:title=""/>
            <o:lock v:ext="edit" aspectratio="t"/>
            <w10:wrap type="none"/>
            <w10:anchorlock/>
          </v:shape>
          <o:OLEObject Type="Embed" ProgID="Visio.Drawing.11" ShapeID="_x0000_i1025" DrawAspect="Content" ObjectID="_1468075725" r:id="rId18">
            <o:LockedField>false</o:LockedField>
          </o:OLEObject>
        </w:object>
      </w:r>
    </w:p>
    <w:p w14:paraId="015A84B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center"/>
        <w:textAlignment w:val="auto"/>
        <w:rPr>
          <w:rFonts w:hint="default" w:ascii="宋体" w:hAnsi="宋体" w:eastAsia="宋体" w:cs="宋体"/>
          <w:color w:val="auto"/>
          <w:kern w:val="2"/>
          <w:sz w:val="21"/>
          <w:szCs w:val="21"/>
          <w:highlight w:val="none"/>
          <w:lang w:val="en-US" w:eastAsia="zh-CN" w:bidi="ar-SA"/>
        </w:rPr>
      </w:pPr>
    </w:p>
    <w:p w14:paraId="64FEB07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储能接入拓扑图（示范图例）</w:t>
      </w:r>
    </w:p>
    <w:p w14:paraId="650A90F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0" w:firstLineChars="0"/>
        <w:jc w:val="both"/>
        <w:textAlignment w:val="auto"/>
        <w:rPr>
          <w:rFonts w:hint="default" w:ascii="宋体" w:hAnsi="宋体" w:eastAsia="宋体" w:cs="宋体"/>
          <w:color w:val="auto"/>
          <w:kern w:val="2"/>
          <w:sz w:val="21"/>
          <w:szCs w:val="21"/>
          <w:highlight w:val="none"/>
          <w:lang w:val="en-US" w:eastAsia="zh-CN" w:bidi="ar-SA"/>
        </w:rPr>
      </w:pPr>
      <w:r>
        <w:rPr>
          <w:highlight w:val="none"/>
        </w:rPr>
        <w:drawing>
          <wp:inline distT="0" distB="0" distL="114300" distR="114300">
            <wp:extent cx="6120130" cy="3704590"/>
            <wp:effectExtent l="0" t="0" r="13970" b="1016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20"/>
                    <a:stretch>
                      <a:fillRect/>
                    </a:stretch>
                  </pic:blipFill>
                  <pic:spPr>
                    <a:xfrm>
                      <a:off x="0" y="0"/>
                      <a:ext cx="6120130" cy="3704590"/>
                    </a:xfrm>
                    <a:prstGeom prst="rect">
                      <a:avLst/>
                    </a:prstGeom>
                    <a:noFill/>
                    <a:ln>
                      <a:noFill/>
                    </a:ln>
                  </pic:spPr>
                </pic:pic>
              </a:graphicData>
            </a:graphic>
          </wp:inline>
        </w:drawing>
      </w:r>
    </w:p>
    <w:p w14:paraId="0310BEC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3）供应电缆接入采购人电缆桥架的，必须由设计方书面计算确认电缆符合规范，并由采购人管理部门许可方可确定，否则自行设计施工架设。</w:t>
      </w:r>
    </w:p>
    <w:p w14:paraId="3D7F42F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4）所有设计必须符合现行法规和技术规范要求，提供相应规范标准号。所有设备必须保证是符合现行能耗标准的设备，不得使用国家明令淘汰的高耗能设备。</w:t>
      </w:r>
    </w:p>
    <w:p w14:paraId="2B9919FB">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5）建设设计内容必须符合国家现行能源、安全、环保、消防和职业健康法律法规要求，并办理所有开工运营合规性手续。运营过程中要严格遵守政府和公司的安全环保管理要求。</w:t>
      </w:r>
    </w:p>
    <w:p w14:paraId="4A489E30">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6）电交接点为：中标方按采购人指定的变电站主变低压侧的开关柜母线分支接点之后的所有设计、施工、运维，由中标方负责。接入采购人的开关柜，后期运行、管理责任划归中标方。</w:t>
      </w:r>
    </w:p>
    <w:p w14:paraId="627FAD1D">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其他能源介质供应，由采购人指定接入位置，中标方负责接出，交接点为中标方接出的第一个阀门（含）。</w:t>
      </w:r>
    </w:p>
    <w:p w14:paraId="43030C0A">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所有结算计量设备的选用应符合规范，由中标方采购、安装和运营期间，必须满足采购人要求的精度等级和检验要求，计量的安装和参数设置过程要提前告知采购人计量部门现场确认，防止出现信号干扰等异常情况。计量符合国家相关检定周期标准，接入采购人能源计量网络。服从采购人的计量管理制度。</w:t>
      </w:r>
    </w:p>
    <w:bookmarkEnd w:id="21"/>
    <w:p w14:paraId="203EFAEE">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六、项目建设责任内容要求</w:t>
      </w:r>
    </w:p>
    <w:p w14:paraId="507AB47C">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1）投标单位需明确系统设计符合哪些最新国家技术规范、安全规范、消防、环保规范等各项规范的要求，注明规范的名称、标准号和发布时间。</w:t>
      </w:r>
    </w:p>
    <w:p w14:paraId="36B4D032">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2）项目建设和运营必须遵守采购人的各项管理制度，遵守各项法定安全规范与安全管理制度，确保承担相应安全、环保管理各项责任。</w:t>
      </w:r>
    </w:p>
    <w:p w14:paraId="086F9D69">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3）该项目噪声、电离辐射以及其他污染物排放必须符合国家及项目所在区域地方环保规范要求，设计建设必须充分考虑。</w:t>
      </w:r>
    </w:p>
    <w:p w14:paraId="54A2C4A2">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4）采购人不提供建设场地的地勘资料，由中标方负责进行地勘数据的取得。</w:t>
      </w:r>
    </w:p>
    <w:p w14:paraId="22A776B6">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中标人和所成立的项目公司在未经过采购人书面许可情况下，不得将项目用于抵押、质押、融资、转让等行为。合同期结束项目移交时，中标方应确保项目没有抵押、质押、负债等行为，项目所有负债归中标方，采购人正常获得项目所有产权。</w:t>
      </w:r>
    </w:p>
    <w:p w14:paraId="33B1DFAC">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6）合同期满移交时，储能系统应正常运行，各类监控、保护、测量、降温、消防等系统应运行状态良好。</w:t>
      </w:r>
    </w:p>
    <w:p w14:paraId="4FB7231C">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7）投标方的工作范围应包括下列内容：</w:t>
      </w:r>
    </w:p>
    <w:p w14:paraId="57410EB5">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a）提供标书内所有设备及设计说明书及制造方面的说明；</w:t>
      </w:r>
    </w:p>
    <w:p w14:paraId="105D5452">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b）提供设备安装、使用的说明书；</w:t>
      </w:r>
    </w:p>
    <w:p w14:paraId="34BCE706">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c）提供试验和检验的标准，包括试验报告和试验数据；</w:t>
      </w:r>
    </w:p>
    <w:p w14:paraId="316BC448">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d）提供图纸、制造和质量保证过程的一览表以及标书规定的其他资料；</w:t>
      </w:r>
    </w:p>
    <w:p w14:paraId="61C645DB">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e）提供设备管理和运行所需有关资料；</w:t>
      </w:r>
    </w:p>
    <w:p w14:paraId="3607E328">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f）所提供设备应发运到规定的目的地；</w:t>
      </w:r>
    </w:p>
    <w:p w14:paraId="6E5BDBC1">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g）在更换所用的准则、标准、规程或修改设备技术数据时，投标方应接受招标方的选择；</w:t>
      </w:r>
    </w:p>
    <w:p w14:paraId="1246015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h）现场服务。</w:t>
      </w:r>
    </w:p>
    <w:p w14:paraId="324C2919">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七、售后服务</w:t>
      </w:r>
    </w:p>
    <w:p w14:paraId="188F761C">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1、免费送货上门、安装、调试。</w:t>
      </w:r>
    </w:p>
    <w:p w14:paraId="43DE93AF">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2、质保期：工程施工部分质保期1年，质保期自项目通过验收交付使用日开始计算。（技术需求中有特殊要求的，按技术需求为准）</w:t>
      </w:r>
    </w:p>
    <w:p w14:paraId="1DC34595">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3、提供针对本项目的售后服务承诺及保证措施，所有货物须按国家“三包”及相关标准。</w:t>
      </w:r>
    </w:p>
    <w:p w14:paraId="07F24977">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4、质量、工期、保修、保养的要求：</w:t>
      </w:r>
    </w:p>
    <w:p w14:paraId="5CD0A60C">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（1）设计和安装和验收要求达到合格以上标准（含合格）；货物的验收及质保期内的运行均要求达到招标要求。</w:t>
      </w:r>
    </w:p>
    <w:p w14:paraId="3E888EC2">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在质保期内免费维护，并免费提供备品、备件；无论在保修期内或保修期外，投标人需提供上门服务。投标人需提供终身售后服务，保修期内，定期做免费巡检。设备出现异常或故障时，中标人及时到场处理。</w:t>
      </w:r>
    </w:p>
    <w:p w14:paraId="71DA7FD3">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（3）在质保期内，同一配件、同一质量问题连续两次维修仍无法正常使用，中标人必须无条件在采购人规定的期限内免费予以更换同品牌、同型号产品。</w:t>
      </w:r>
    </w:p>
    <w:p w14:paraId="1954E4F1">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（4）在质保期内，接到采购人电话通知后，中标人应当在一天内上门服务，如不能及时修复，采购人可委托其它单位维修，其费用由中标人承担。</w:t>
      </w:r>
    </w:p>
    <w:p w14:paraId="081B929F">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（5）培训：对采购人操作人员提供设备安全操作规程培训，讲解设备的基本结构及工作原理，直至操作人员掌握设备的日常使用、维护保养方法，保证操作人员可正确操作使用，并能排除一般故障。</w:t>
      </w:r>
    </w:p>
    <w:p w14:paraId="581FC9B5">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5、投标人需在投标文件中提供完整的服务体系和相应的具体措施。</w:t>
      </w:r>
    </w:p>
    <w:p w14:paraId="1B7AB5E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6、投标人需在投标文件中提供定期检查制度和保养方案。</w:t>
      </w:r>
    </w:p>
    <w:p w14:paraId="2F3ED38A">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八、其他</w:t>
      </w:r>
    </w:p>
    <w:p w14:paraId="4D40167A">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技术要求中产品技术参数为参考值，所投产品对应参数可上下浮动不超过10%。采购文件的技术规格中指出的工艺、材料和设备的标准以及参照的品牌或型号仅起说明作用，并没有任何限制性，仅供参考，投标人在投标中可以选用替代标准、品牌或型号，但这些替代要实质上满足或超过采购文件的要求。项目评审时，由评标委员会负责对投标人提供的替代标准、品牌或型号的响应性进行审查。</w:t>
      </w:r>
    </w:p>
    <w:p w14:paraId="71F185AD">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投标单位应保证提供的货物在不需要增配未列出配件（特别指出的除外）的前提下货物功能、技术标准能够达到采购文件的要求，而无须再增配未列出的配件；如供应商所提供的产品需要增配配件才能达到要求的，所增配的配件须由供应商免费提供。</w:t>
      </w:r>
    </w:p>
    <w:p w14:paraId="545C24BA">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3、所有产品材料及货物标准必须符合国家标准及相关规定。</w:t>
      </w:r>
    </w:p>
    <w:p w14:paraId="3A69E2D8">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4、中标人在供货安装过程中必须采取足够的安全措施，确保供货的安全，并自行负责相关安全责任。</w:t>
      </w:r>
    </w:p>
    <w:p w14:paraId="2709C4B5">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5、中标人在安装过程中，如需对场地作局部破损，必须在供货安装实施前取得采购人的书面同意，并承诺负责恢复原状，采购人不另行支付任何费用。</w:t>
      </w:r>
    </w:p>
    <w:p w14:paraId="47A49187">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6、项目未尽事宜将在采购合同中另行约定，中标人需无条件同意采购人基于为顺利完成本项目所提出的各项合理要求。</w:t>
      </w:r>
    </w:p>
    <w:p w14:paraId="4AD30F6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7、项目清单为本次采购最低要求，各供应商可以自行优化供货计划，为本项目设计最优投标方案。</w:t>
      </w:r>
    </w:p>
    <w:p w14:paraId="20166920">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九、主要技术要求</w:t>
      </w:r>
    </w:p>
    <w:p w14:paraId="5DFCDB8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1、需遵循的标准</w:t>
      </w:r>
    </w:p>
    <w:p w14:paraId="014B3FA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本项目装置至少应满足所列标准的最新版本要求，但不限于所列标准。下列文件对于本文件的应用是必不可少的。凡是注日期的引用文件，仅注日期的版本适用于本文件。 凡是不注日期的引用文件，其最新版本（包括所有的修改单）适用于本文件。</w:t>
      </w:r>
    </w:p>
    <w:p w14:paraId="0AD6D649">
      <w:pPr>
        <w:pStyle w:val="99"/>
        <w:pageBreakBefore w:val="0"/>
        <w:kinsoku/>
        <w:wordWrap/>
        <w:bidi w:val="0"/>
        <w:spacing w:before="0" w:after="0" w:line="360" w:lineRule="auto"/>
        <w:ind w:left="0" w:leftChars="0" w:firstLine="438" w:firstLineChars="20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表1  遵循的主要标准</w:t>
      </w:r>
    </w:p>
    <w:tbl>
      <w:tblPr>
        <w:tblStyle w:val="29"/>
        <w:tblW w:w="4999"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368"/>
        <w:gridCol w:w="7309"/>
      </w:tblGrid>
      <w:tr w14:paraId="20596FD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0A15E13">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right="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标准号</w:t>
            </w:r>
          </w:p>
        </w:tc>
        <w:tc>
          <w:tcPr>
            <w:tcW w:w="3775" w:type="pct"/>
            <w:noWrap w:val="0"/>
            <w:vAlign w:val="center"/>
          </w:tcPr>
          <w:p w14:paraId="14120757">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标准名称</w:t>
            </w:r>
          </w:p>
        </w:tc>
      </w:tr>
      <w:tr w14:paraId="1AD764C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53DB453">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13384</w:t>
            </w:r>
          </w:p>
        </w:tc>
        <w:tc>
          <w:tcPr>
            <w:tcW w:w="3775" w:type="pct"/>
            <w:noWrap w:val="0"/>
            <w:vAlign w:val="top"/>
          </w:tcPr>
          <w:p w14:paraId="0A1F79F7">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机电产品包装通用技术条件</w:t>
            </w:r>
          </w:p>
        </w:tc>
      </w:tr>
      <w:tr w14:paraId="6A34743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3ED879D">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191</w:t>
            </w:r>
          </w:p>
        </w:tc>
        <w:tc>
          <w:tcPr>
            <w:tcW w:w="3775" w:type="pct"/>
            <w:noWrap w:val="0"/>
            <w:vAlign w:val="top"/>
          </w:tcPr>
          <w:p w14:paraId="662F454A">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包装储运图示标志</w:t>
            </w:r>
          </w:p>
        </w:tc>
      </w:tr>
      <w:tr w14:paraId="5E55D41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0281C81B">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GB/T14537</w:t>
            </w:r>
          </w:p>
        </w:tc>
        <w:tc>
          <w:tcPr>
            <w:tcW w:w="3775" w:type="pct"/>
            <w:noWrap w:val="0"/>
            <w:vAlign w:val="center"/>
          </w:tcPr>
          <w:p w14:paraId="519BC0C5">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量度继电器和保护装置的冲击及碰撞试验</w:t>
            </w:r>
          </w:p>
        </w:tc>
      </w:tr>
      <w:tr w14:paraId="54A52CF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BE273D7">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GB/T14598.27</w:t>
            </w:r>
          </w:p>
        </w:tc>
        <w:tc>
          <w:tcPr>
            <w:tcW w:w="3775" w:type="pct"/>
            <w:noWrap w:val="0"/>
            <w:vAlign w:val="center"/>
          </w:tcPr>
          <w:p w14:paraId="3AA18D3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量度继电器和保护装置 第27部分：产品安全要求</w:t>
            </w:r>
          </w:p>
        </w:tc>
      </w:tr>
      <w:tr w14:paraId="6F345C0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3DB52AC0">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478-2010</w:t>
            </w:r>
          </w:p>
        </w:tc>
        <w:tc>
          <w:tcPr>
            <w:tcW w:w="3775" w:type="pct"/>
            <w:noWrap w:val="0"/>
            <w:vAlign w:val="top"/>
          </w:tcPr>
          <w:p w14:paraId="1AA92F7B">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继电保护及安全自动装置通用技术条件</w:t>
            </w:r>
          </w:p>
        </w:tc>
      </w:tr>
      <w:tr w14:paraId="578D0C7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E8DB7CA">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2423.1</w:t>
            </w:r>
          </w:p>
        </w:tc>
        <w:tc>
          <w:tcPr>
            <w:tcW w:w="3775" w:type="pct"/>
            <w:noWrap w:val="0"/>
            <w:vAlign w:val="top"/>
          </w:tcPr>
          <w:p w14:paraId="061463F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 第2部分：试验方法 试验A：低温</w:t>
            </w:r>
          </w:p>
        </w:tc>
      </w:tr>
      <w:tr w14:paraId="6D3F39E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211726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2423.2</w:t>
            </w:r>
          </w:p>
        </w:tc>
        <w:tc>
          <w:tcPr>
            <w:tcW w:w="3775" w:type="pct"/>
            <w:noWrap w:val="0"/>
            <w:vAlign w:val="top"/>
          </w:tcPr>
          <w:p w14:paraId="73D5004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 第2部分：试验方法 试验B：高温</w:t>
            </w:r>
          </w:p>
        </w:tc>
      </w:tr>
      <w:tr w14:paraId="44CBA99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4843C2F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2423.3</w:t>
            </w:r>
          </w:p>
        </w:tc>
        <w:tc>
          <w:tcPr>
            <w:tcW w:w="3775" w:type="pct"/>
            <w:noWrap w:val="0"/>
            <w:vAlign w:val="top"/>
          </w:tcPr>
          <w:p w14:paraId="6ACCC601">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 第2部分：试验方法 试验Cab：恒定湿热试验</w:t>
            </w:r>
          </w:p>
        </w:tc>
      </w:tr>
      <w:tr w14:paraId="64CF705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F94D5F3">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2423.8</w:t>
            </w:r>
          </w:p>
        </w:tc>
        <w:tc>
          <w:tcPr>
            <w:tcW w:w="3775" w:type="pct"/>
            <w:noWrap w:val="0"/>
            <w:vAlign w:val="top"/>
          </w:tcPr>
          <w:p w14:paraId="5C6382AD">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 第2部分：试验方法 试验Ed：自由跌落</w:t>
            </w:r>
          </w:p>
        </w:tc>
      </w:tr>
      <w:tr w14:paraId="0EC44F1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217842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2423.10</w:t>
            </w:r>
          </w:p>
        </w:tc>
        <w:tc>
          <w:tcPr>
            <w:tcW w:w="3775" w:type="pct"/>
            <w:noWrap w:val="0"/>
            <w:vAlign w:val="top"/>
          </w:tcPr>
          <w:p w14:paraId="68B20DA4">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 第2部分：试验方法 试验Fc：振动（正弦）</w:t>
            </w:r>
          </w:p>
        </w:tc>
      </w:tr>
      <w:tr w14:paraId="2A18348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D9EDD38">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3859.1</w:t>
            </w:r>
          </w:p>
        </w:tc>
        <w:tc>
          <w:tcPr>
            <w:tcW w:w="3775" w:type="pct"/>
            <w:noWrap w:val="0"/>
            <w:vAlign w:val="top"/>
          </w:tcPr>
          <w:p w14:paraId="0F7FB1A9">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半导体变流器 基本要求的规定</w:t>
            </w:r>
          </w:p>
        </w:tc>
      </w:tr>
      <w:tr w14:paraId="52F1FBF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B80CD8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3859.2</w:t>
            </w:r>
          </w:p>
        </w:tc>
        <w:tc>
          <w:tcPr>
            <w:tcW w:w="3775" w:type="pct"/>
            <w:noWrap w:val="0"/>
            <w:vAlign w:val="top"/>
          </w:tcPr>
          <w:p w14:paraId="7307BD5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半导体变流器 应用导则</w:t>
            </w:r>
          </w:p>
        </w:tc>
      </w:tr>
      <w:tr w14:paraId="2730AFB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043F4F88">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3859.3</w:t>
            </w:r>
          </w:p>
        </w:tc>
        <w:tc>
          <w:tcPr>
            <w:tcW w:w="3775" w:type="pct"/>
            <w:noWrap w:val="0"/>
            <w:vAlign w:val="top"/>
          </w:tcPr>
          <w:p w14:paraId="1258F82D">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半导体变流器 变压器和电抗器</w:t>
            </w:r>
          </w:p>
        </w:tc>
      </w:tr>
      <w:tr w14:paraId="456CF10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1C0FD1E">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GB/T 17626</w:t>
            </w:r>
          </w:p>
        </w:tc>
        <w:tc>
          <w:tcPr>
            <w:tcW w:w="3775" w:type="pct"/>
            <w:noWrap w:val="0"/>
            <w:vAlign w:val="center"/>
          </w:tcPr>
          <w:p w14:paraId="476E8701">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电磁兼容 试验和测量技术</w:t>
            </w:r>
          </w:p>
        </w:tc>
      </w:tr>
      <w:tr w14:paraId="6A2DBE3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789B55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GB/T 14048.1</w:t>
            </w:r>
          </w:p>
        </w:tc>
        <w:tc>
          <w:tcPr>
            <w:tcW w:w="3775" w:type="pct"/>
            <w:noWrap w:val="0"/>
            <w:vAlign w:val="center"/>
          </w:tcPr>
          <w:p w14:paraId="6FCAEDA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低压开关设备和控制设备  第1部分：总则</w:t>
            </w:r>
          </w:p>
        </w:tc>
      </w:tr>
      <w:tr w14:paraId="3D83C04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6FB5DDE">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 7947</w:t>
            </w:r>
          </w:p>
        </w:tc>
        <w:tc>
          <w:tcPr>
            <w:tcW w:w="3775" w:type="pct"/>
            <w:noWrap w:val="0"/>
            <w:vAlign w:val="center"/>
          </w:tcPr>
          <w:p w14:paraId="4D0DBE28">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人机界面标志标识的基本和安全规则 导体的颜色或数字标识</w:t>
            </w:r>
          </w:p>
        </w:tc>
      </w:tr>
      <w:tr w14:paraId="73A5B81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4BC6B6AB">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12325</w:t>
            </w:r>
          </w:p>
        </w:tc>
        <w:tc>
          <w:tcPr>
            <w:tcW w:w="3775" w:type="pct"/>
            <w:noWrap w:val="0"/>
            <w:vAlign w:val="top"/>
          </w:tcPr>
          <w:p w14:paraId="7264BAEE">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 供电电压允许偏差</w:t>
            </w:r>
          </w:p>
        </w:tc>
      </w:tr>
      <w:tr w14:paraId="720C43F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667DB5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12326</w:t>
            </w:r>
          </w:p>
        </w:tc>
        <w:tc>
          <w:tcPr>
            <w:tcW w:w="3775" w:type="pct"/>
            <w:noWrap w:val="0"/>
            <w:vAlign w:val="top"/>
          </w:tcPr>
          <w:p w14:paraId="2453D8AA">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 电压波动和闪变</w:t>
            </w:r>
          </w:p>
        </w:tc>
      </w:tr>
      <w:tr w14:paraId="1DAD1C9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951753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14549</w:t>
            </w:r>
          </w:p>
        </w:tc>
        <w:tc>
          <w:tcPr>
            <w:tcW w:w="3775" w:type="pct"/>
            <w:noWrap w:val="0"/>
            <w:vAlign w:val="top"/>
          </w:tcPr>
          <w:p w14:paraId="0CD4BF77">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 公用电网谐波</w:t>
            </w:r>
          </w:p>
        </w:tc>
      </w:tr>
      <w:tr w14:paraId="09CE619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F04A15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15543</w:t>
            </w:r>
          </w:p>
        </w:tc>
        <w:tc>
          <w:tcPr>
            <w:tcW w:w="3775" w:type="pct"/>
            <w:noWrap w:val="0"/>
            <w:vAlign w:val="top"/>
          </w:tcPr>
          <w:p w14:paraId="5D6633E4">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 三相电压不平衡</w:t>
            </w:r>
          </w:p>
        </w:tc>
      </w:tr>
      <w:tr w14:paraId="77B97F4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971EB4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/T 15945</w:t>
            </w:r>
          </w:p>
        </w:tc>
        <w:tc>
          <w:tcPr>
            <w:tcW w:w="3775" w:type="pct"/>
            <w:noWrap w:val="0"/>
            <w:vAlign w:val="top"/>
          </w:tcPr>
          <w:p w14:paraId="3F19A249">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 电力系统频率偏差</w:t>
            </w:r>
          </w:p>
        </w:tc>
      </w:tr>
      <w:tr w14:paraId="65E74AE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558261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24337</w:t>
            </w:r>
          </w:p>
        </w:tc>
        <w:tc>
          <w:tcPr>
            <w:tcW w:w="3775" w:type="pct"/>
            <w:noWrap w:val="0"/>
            <w:vAlign w:val="top"/>
          </w:tcPr>
          <w:p w14:paraId="7479CB8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电能质量公用电网间谐波</w:t>
            </w:r>
          </w:p>
        </w:tc>
      </w:tr>
      <w:tr w14:paraId="129F4EC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02762EC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17799.3</w:t>
            </w:r>
          </w:p>
        </w:tc>
        <w:tc>
          <w:tcPr>
            <w:tcW w:w="3775" w:type="pct"/>
            <w:noWrap w:val="0"/>
            <w:vAlign w:val="center"/>
          </w:tcPr>
          <w:p w14:paraId="3075E963">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电磁兼容 通用标准 居住、商业和轻工业环境中的发射</w:t>
            </w:r>
          </w:p>
        </w:tc>
      </w:tr>
      <w:tr w14:paraId="65D25C7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E76A60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17799.4</w:t>
            </w:r>
          </w:p>
        </w:tc>
        <w:tc>
          <w:tcPr>
            <w:tcW w:w="3775" w:type="pct"/>
            <w:noWrap w:val="0"/>
            <w:vAlign w:val="top"/>
          </w:tcPr>
          <w:p w14:paraId="7AB4C749">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电磁兼容 通用标准 工业环境中的发射</w:t>
            </w:r>
          </w:p>
        </w:tc>
      </w:tr>
      <w:tr w14:paraId="41E1334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top"/>
          </w:tcPr>
          <w:p w14:paraId="676EC3CB">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311.1</w:t>
            </w:r>
          </w:p>
        </w:tc>
        <w:tc>
          <w:tcPr>
            <w:tcW w:w="3775" w:type="pct"/>
            <w:noWrap w:val="0"/>
            <w:vAlign w:val="top"/>
          </w:tcPr>
          <w:p w14:paraId="55CF157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绝缘配合 第1部分：定义、原则和规则</w:t>
            </w:r>
          </w:p>
        </w:tc>
      </w:tr>
      <w:tr w14:paraId="716AFEA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top"/>
          </w:tcPr>
          <w:p w14:paraId="0480588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311.2</w:t>
            </w:r>
          </w:p>
        </w:tc>
        <w:tc>
          <w:tcPr>
            <w:tcW w:w="3775" w:type="pct"/>
            <w:noWrap w:val="0"/>
            <w:vAlign w:val="top"/>
          </w:tcPr>
          <w:p w14:paraId="5BE557E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绝缘配合 第2部分：使用导则</w:t>
            </w:r>
          </w:p>
        </w:tc>
      </w:tr>
      <w:tr w14:paraId="261B3F6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4160CE93">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14598.3</w:t>
            </w:r>
          </w:p>
        </w:tc>
        <w:tc>
          <w:tcPr>
            <w:tcW w:w="3775" w:type="pct"/>
            <w:noWrap w:val="0"/>
            <w:vAlign w:val="center"/>
          </w:tcPr>
          <w:p w14:paraId="66B93C78">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绝缘试验</w:t>
            </w:r>
          </w:p>
        </w:tc>
      </w:tr>
      <w:tr w14:paraId="02199F0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5E14CDC">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4208</w:t>
            </w:r>
          </w:p>
        </w:tc>
        <w:tc>
          <w:tcPr>
            <w:tcW w:w="3775" w:type="pct"/>
            <w:noWrap w:val="0"/>
            <w:vAlign w:val="top"/>
          </w:tcPr>
          <w:p w14:paraId="1BB40FA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外壳防护等级（IP代码）（IEC 60529:1998）</w:t>
            </w:r>
          </w:p>
        </w:tc>
      </w:tr>
      <w:tr w14:paraId="0D1E7CE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327ECA56">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4942.2</w:t>
            </w:r>
          </w:p>
        </w:tc>
        <w:tc>
          <w:tcPr>
            <w:tcW w:w="3775" w:type="pct"/>
            <w:noWrap w:val="0"/>
            <w:vAlign w:val="top"/>
          </w:tcPr>
          <w:p w14:paraId="79D2C2E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低压电器外壳防护等级</w:t>
            </w:r>
          </w:p>
        </w:tc>
      </w:tr>
      <w:tr w14:paraId="601E9CB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F3D49A8">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50054</w:t>
            </w:r>
          </w:p>
        </w:tc>
        <w:tc>
          <w:tcPr>
            <w:tcW w:w="3775" w:type="pct"/>
            <w:noWrap w:val="0"/>
            <w:vAlign w:val="top"/>
          </w:tcPr>
          <w:p w14:paraId="0DCC1E5D">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低压配电设计规范</w:t>
            </w:r>
          </w:p>
        </w:tc>
      </w:tr>
      <w:tr w14:paraId="35026B1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53D493B">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1984</w:t>
            </w:r>
          </w:p>
        </w:tc>
        <w:tc>
          <w:tcPr>
            <w:tcW w:w="3775" w:type="pct"/>
            <w:noWrap w:val="0"/>
            <w:vAlign w:val="top"/>
          </w:tcPr>
          <w:p w14:paraId="2B6D72E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高压交流断路器</w:t>
            </w:r>
          </w:p>
        </w:tc>
      </w:tr>
      <w:tr w14:paraId="743905F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1766E83">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3906</w:t>
            </w:r>
          </w:p>
        </w:tc>
        <w:tc>
          <w:tcPr>
            <w:tcW w:w="3775" w:type="pct"/>
            <w:noWrap w:val="0"/>
            <w:vAlign w:val="top"/>
          </w:tcPr>
          <w:p w14:paraId="05D2869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3.6kV～40.5kV 交流金属封闭开关设备和控制设备</w:t>
            </w:r>
          </w:p>
        </w:tc>
      </w:tr>
      <w:tr w14:paraId="47C85C6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91D0C2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11022</w:t>
            </w:r>
          </w:p>
        </w:tc>
        <w:tc>
          <w:tcPr>
            <w:tcW w:w="3775" w:type="pct"/>
            <w:noWrap w:val="0"/>
            <w:vAlign w:val="top"/>
          </w:tcPr>
          <w:p w14:paraId="4A2F6AA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高压开关设备和控制设备标准的共用技术要求</w:t>
            </w:r>
          </w:p>
        </w:tc>
      </w:tr>
      <w:tr w14:paraId="6728FE8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30EEBEF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1208</w:t>
            </w:r>
          </w:p>
        </w:tc>
        <w:tc>
          <w:tcPr>
            <w:tcW w:w="3775" w:type="pct"/>
            <w:noWrap w:val="0"/>
            <w:vAlign w:val="center"/>
          </w:tcPr>
          <w:p w14:paraId="555F798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电流互感器</w:t>
            </w:r>
          </w:p>
        </w:tc>
      </w:tr>
      <w:tr w14:paraId="00E8637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DD0664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1207</w:t>
            </w:r>
          </w:p>
        </w:tc>
        <w:tc>
          <w:tcPr>
            <w:tcW w:w="3775" w:type="pct"/>
            <w:noWrap w:val="0"/>
            <w:vAlign w:val="center"/>
          </w:tcPr>
          <w:p w14:paraId="3752B1D7">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电压互感器</w:t>
            </w:r>
          </w:p>
        </w:tc>
      </w:tr>
      <w:tr w14:paraId="1317F0F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68EE330">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11032</w:t>
            </w:r>
          </w:p>
        </w:tc>
        <w:tc>
          <w:tcPr>
            <w:tcW w:w="3775" w:type="pct"/>
            <w:noWrap w:val="0"/>
            <w:vAlign w:val="center"/>
          </w:tcPr>
          <w:p w14:paraId="41844B0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交流无间隙金属氧化物避雷器</w:t>
            </w:r>
          </w:p>
        </w:tc>
      </w:tr>
      <w:tr w14:paraId="1919B65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07CF8C4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7251</w:t>
            </w:r>
          </w:p>
        </w:tc>
        <w:tc>
          <w:tcPr>
            <w:tcW w:w="3775" w:type="pct"/>
            <w:noWrap w:val="0"/>
            <w:vAlign w:val="center"/>
          </w:tcPr>
          <w:p w14:paraId="129BAF6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低压成套开关设备</w:t>
            </w:r>
          </w:p>
        </w:tc>
      </w:tr>
      <w:tr w14:paraId="0C0863C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30FBB7FC">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50150</w:t>
            </w:r>
          </w:p>
        </w:tc>
        <w:tc>
          <w:tcPr>
            <w:tcW w:w="3775" w:type="pct"/>
            <w:noWrap w:val="0"/>
            <w:vAlign w:val="center"/>
          </w:tcPr>
          <w:p w14:paraId="50060A5A">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电气装置安装工程电气设备交接试验标准</w:t>
            </w:r>
          </w:p>
        </w:tc>
      </w:tr>
      <w:tr w14:paraId="04FFE51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6162AC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50064</w:t>
            </w:r>
          </w:p>
        </w:tc>
        <w:tc>
          <w:tcPr>
            <w:tcW w:w="3775" w:type="pct"/>
            <w:noWrap w:val="0"/>
            <w:vAlign w:val="center"/>
          </w:tcPr>
          <w:p w14:paraId="0383D32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交流电气装置的过电压保护和绝缘配合设计规范</w:t>
            </w:r>
          </w:p>
        </w:tc>
      </w:tr>
      <w:tr w14:paraId="164602B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3E2DDB10">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50063</w:t>
            </w:r>
          </w:p>
        </w:tc>
        <w:tc>
          <w:tcPr>
            <w:tcW w:w="3775" w:type="pct"/>
            <w:noWrap w:val="0"/>
            <w:vAlign w:val="center"/>
          </w:tcPr>
          <w:p w14:paraId="2506053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电力装置电测量仪表装置设计规范</w:t>
            </w:r>
          </w:p>
        </w:tc>
      </w:tr>
      <w:tr w14:paraId="11E11E8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031503FA">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19666</w:t>
            </w:r>
          </w:p>
        </w:tc>
        <w:tc>
          <w:tcPr>
            <w:tcW w:w="3775" w:type="pct"/>
            <w:noWrap w:val="0"/>
            <w:vAlign w:val="top"/>
          </w:tcPr>
          <w:p w14:paraId="4B643857">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fldChar w:fldCharType="begin"/>
            </w:r>
            <w:r>
              <w:rPr>
                <w:rFonts w:hint="eastAsia" w:ascii="宋体" w:hAnsi="宋体" w:eastAsia="宋体" w:cs="宋体"/>
                <w:color w:val="auto"/>
                <w:kern w:val="2"/>
                <w:sz w:val="21"/>
                <w:szCs w:val="21"/>
                <w:highlight w:val="none"/>
                <w:lang w:val="en-US" w:eastAsia="zh-CN" w:bidi="ar-SA"/>
              </w:rPr>
              <w:instrText xml:space="preserve"> HYPERLINK "http://www.baidu.com/link?url=p-_zT9GdgDnCVLIoZC2Z_3Umi22gCl0clfYN4p2ELON9F7D3Ssxqevm0sptraljCArGVyzzmAE2bV2-btzcX7QW4UrWfgx1PmhXSSTmXbTy" \t "_blank" </w:instrText>
            </w:r>
            <w:r>
              <w:rPr>
                <w:rFonts w:hint="eastAsia" w:ascii="宋体" w:hAnsi="宋体" w:eastAsia="宋体" w:cs="宋体"/>
                <w:color w:val="auto"/>
                <w:kern w:val="2"/>
                <w:sz w:val="21"/>
                <w:szCs w:val="21"/>
                <w:highlight w:val="none"/>
                <w:lang w:val="en-US" w:eastAsia="zh-CN" w:bidi="ar-SA"/>
              </w:rPr>
              <w:fldChar w:fldCharType="separate"/>
            </w:r>
            <w:r>
              <w:rPr>
                <w:rFonts w:hint="eastAsia" w:ascii="宋体" w:hAnsi="宋体" w:eastAsia="宋体" w:cs="宋体"/>
                <w:color w:val="auto"/>
                <w:kern w:val="2"/>
                <w:sz w:val="21"/>
                <w:szCs w:val="21"/>
                <w:highlight w:val="none"/>
                <w:lang w:val="en-US" w:eastAsia="zh-CN" w:bidi="ar-SA"/>
              </w:rPr>
              <w:t>阻燃和耐火电线电缆通则</w:t>
            </w:r>
            <w:r>
              <w:rPr>
                <w:rFonts w:hint="eastAsia" w:ascii="宋体" w:hAnsi="宋体" w:eastAsia="宋体" w:cs="宋体"/>
                <w:color w:val="auto"/>
                <w:kern w:val="2"/>
                <w:sz w:val="21"/>
                <w:szCs w:val="21"/>
                <w:highlight w:val="none"/>
                <w:lang w:val="en-US" w:eastAsia="zh-CN" w:bidi="ar-SA"/>
              </w:rPr>
              <w:fldChar w:fldCharType="end"/>
            </w:r>
          </w:p>
        </w:tc>
      </w:tr>
      <w:tr w14:paraId="66A0065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34B67B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14598.9</w:t>
            </w:r>
          </w:p>
        </w:tc>
        <w:tc>
          <w:tcPr>
            <w:tcW w:w="3775" w:type="pct"/>
            <w:noWrap w:val="0"/>
            <w:vAlign w:val="center"/>
          </w:tcPr>
          <w:p w14:paraId="44EFAC7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辐射电磁场干扰试验</w:t>
            </w:r>
          </w:p>
        </w:tc>
      </w:tr>
      <w:tr w14:paraId="69250D5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545D9B8">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14598.14</w:t>
            </w:r>
          </w:p>
        </w:tc>
        <w:tc>
          <w:tcPr>
            <w:tcW w:w="3775" w:type="pct"/>
            <w:noWrap w:val="0"/>
            <w:vAlign w:val="center"/>
          </w:tcPr>
          <w:p w14:paraId="445AD68A">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静电放电试验</w:t>
            </w:r>
          </w:p>
        </w:tc>
      </w:tr>
      <w:tr w14:paraId="76940BD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50C27333">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17626.8</w:t>
            </w:r>
          </w:p>
        </w:tc>
        <w:tc>
          <w:tcPr>
            <w:tcW w:w="3775" w:type="pct"/>
            <w:noWrap w:val="0"/>
            <w:vAlign w:val="center"/>
          </w:tcPr>
          <w:p w14:paraId="497A4C95">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工频磁场抗扰度试验</w:t>
            </w:r>
          </w:p>
        </w:tc>
      </w:tr>
      <w:tr w14:paraId="7E47495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81C580C">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51048-2014</w:t>
            </w:r>
          </w:p>
        </w:tc>
        <w:tc>
          <w:tcPr>
            <w:tcW w:w="3775" w:type="pct"/>
            <w:noWrap w:val="0"/>
            <w:vAlign w:val="top"/>
          </w:tcPr>
          <w:p w14:paraId="6039DA89">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电化学储能电站设计规范</w:t>
            </w:r>
          </w:p>
        </w:tc>
      </w:tr>
      <w:tr w14:paraId="669F705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423434A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34120</w:t>
            </w:r>
          </w:p>
        </w:tc>
        <w:tc>
          <w:tcPr>
            <w:tcW w:w="3775" w:type="pct"/>
            <w:noWrap w:val="0"/>
            <w:vAlign w:val="top"/>
          </w:tcPr>
          <w:p w14:paraId="4AFA8EA9">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电化学储能系统储能变流器技术规范</w:t>
            </w:r>
          </w:p>
        </w:tc>
      </w:tr>
      <w:tr w14:paraId="4CDD6F9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0E5E8AD">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34133</w:t>
            </w:r>
          </w:p>
        </w:tc>
        <w:tc>
          <w:tcPr>
            <w:tcW w:w="3775" w:type="pct"/>
            <w:noWrap w:val="0"/>
            <w:vAlign w:val="top"/>
          </w:tcPr>
          <w:p w14:paraId="1370ABC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储能变流器检测技术规程</w:t>
            </w:r>
          </w:p>
        </w:tc>
      </w:tr>
      <w:tr w14:paraId="771A88D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top"/>
          </w:tcPr>
          <w:p w14:paraId="0E7ACAB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36547</w:t>
            </w:r>
          </w:p>
        </w:tc>
        <w:tc>
          <w:tcPr>
            <w:tcW w:w="3775" w:type="pct"/>
            <w:noWrap w:val="0"/>
            <w:vAlign w:val="top"/>
          </w:tcPr>
          <w:p w14:paraId="217C1717">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电化学储能系统接入电网技术规定</w:t>
            </w:r>
          </w:p>
        </w:tc>
      </w:tr>
      <w:tr w14:paraId="5A6BDCE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top"/>
          </w:tcPr>
          <w:p w14:paraId="212B0B6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36548</w:t>
            </w:r>
          </w:p>
        </w:tc>
        <w:tc>
          <w:tcPr>
            <w:tcW w:w="3775" w:type="pct"/>
            <w:noWrap w:val="0"/>
            <w:vAlign w:val="top"/>
          </w:tcPr>
          <w:p w14:paraId="6A60982E">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电化学储能系统接入电网测试规范</w:t>
            </w:r>
          </w:p>
        </w:tc>
      </w:tr>
      <w:tr w14:paraId="086D799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top"/>
          </w:tcPr>
          <w:p w14:paraId="0B42901B">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36549</w:t>
            </w:r>
          </w:p>
        </w:tc>
        <w:tc>
          <w:tcPr>
            <w:tcW w:w="3775" w:type="pct"/>
            <w:noWrap w:val="0"/>
            <w:vAlign w:val="top"/>
          </w:tcPr>
          <w:p w14:paraId="456B09F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电化学储能电站运行指标及评价</w:t>
            </w:r>
          </w:p>
        </w:tc>
      </w:tr>
      <w:tr w14:paraId="3684253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top"/>
          </w:tcPr>
          <w:p w14:paraId="2B9F277D">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36558</w:t>
            </w:r>
          </w:p>
        </w:tc>
        <w:tc>
          <w:tcPr>
            <w:tcW w:w="3775" w:type="pct"/>
            <w:noWrap w:val="0"/>
            <w:vAlign w:val="top"/>
          </w:tcPr>
          <w:p w14:paraId="19DA66BC">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电力系统电化学储能系统通用技术条件</w:t>
            </w:r>
          </w:p>
        </w:tc>
      </w:tr>
      <w:tr w14:paraId="28E77F3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57EBBC46">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IEC 63056</w:t>
            </w:r>
          </w:p>
        </w:tc>
        <w:tc>
          <w:tcPr>
            <w:tcW w:w="3775" w:type="pct"/>
            <w:noWrap w:val="0"/>
            <w:vAlign w:val="center"/>
          </w:tcPr>
          <w:p w14:paraId="47158F1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最高直流电压为1500V的电力储能系统用二次锂电池和电池组的安全要求和测试方法</w:t>
            </w:r>
          </w:p>
        </w:tc>
      </w:tr>
      <w:tr w14:paraId="202B256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0420A67">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527</w:t>
            </w:r>
          </w:p>
        </w:tc>
        <w:tc>
          <w:tcPr>
            <w:tcW w:w="3775" w:type="pct"/>
            <w:noWrap w:val="0"/>
            <w:vAlign w:val="top"/>
          </w:tcPr>
          <w:p w14:paraId="284C173E">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静态继电保护装置逆变电源技术条件</w:t>
            </w:r>
          </w:p>
        </w:tc>
      </w:tr>
      <w:tr w14:paraId="2439574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344AC13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402</w:t>
            </w:r>
          </w:p>
        </w:tc>
        <w:tc>
          <w:tcPr>
            <w:tcW w:w="3775" w:type="pct"/>
            <w:noWrap w:val="0"/>
            <w:vAlign w:val="center"/>
          </w:tcPr>
          <w:p w14:paraId="2FE46FDE">
            <w:pPr>
              <w:keepNext w:val="0"/>
              <w:keepLines w:val="0"/>
              <w:pageBreakBefore w:val="0"/>
              <w:suppressLineNumbers w:val="0"/>
              <w:kinsoku/>
              <w:wordWrap/>
              <w:autoSpaceDE w:val="0"/>
              <w:autoSpaceDN w:val="0"/>
              <w:bidi w:val="0"/>
              <w:adjustRightIn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高压交流断路器订货技术条件</w:t>
            </w:r>
          </w:p>
        </w:tc>
      </w:tr>
      <w:tr w14:paraId="18F0D09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3E20B5D">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404</w:t>
            </w:r>
          </w:p>
        </w:tc>
        <w:tc>
          <w:tcPr>
            <w:tcW w:w="3775" w:type="pct"/>
            <w:noWrap w:val="0"/>
            <w:vAlign w:val="center"/>
          </w:tcPr>
          <w:p w14:paraId="0E760965">
            <w:pPr>
              <w:keepNext w:val="0"/>
              <w:keepLines w:val="0"/>
              <w:pageBreakBefore w:val="0"/>
              <w:suppressLineNumbers w:val="0"/>
              <w:kinsoku/>
              <w:wordWrap/>
              <w:autoSpaceDE w:val="0"/>
              <w:autoSpaceDN w:val="0"/>
              <w:bidi w:val="0"/>
              <w:adjustRightIn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3.6kV～40.5kV 交流金属封闭开关设备和控制设备</w:t>
            </w:r>
          </w:p>
        </w:tc>
      </w:tr>
      <w:tr w14:paraId="7A5876D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DB40F5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645</w:t>
            </w:r>
          </w:p>
        </w:tc>
        <w:tc>
          <w:tcPr>
            <w:tcW w:w="3775" w:type="pct"/>
            <w:noWrap w:val="0"/>
            <w:vAlign w:val="top"/>
          </w:tcPr>
          <w:p w14:paraId="2C4392A4">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多功能电能表通信规约</w:t>
            </w:r>
          </w:p>
        </w:tc>
      </w:tr>
      <w:tr w14:paraId="3C91F9D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5E12878F">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5429</w:t>
            </w:r>
          </w:p>
        </w:tc>
        <w:tc>
          <w:tcPr>
            <w:tcW w:w="3775" w:type="pct"/>
            <w:noWrap w:val="0"/>
            <w:vAlign w:val="top"/>
          </w:tcPr>
          <w:p w14:paraId="03B369CD">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电力系统设计技术规程</w:t>
            </w:r>
          </w:p>
        </w:tc>
      </w:tr>
      <w:tr w14:paraId="1B1EDF1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4A974F32">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527</w:t>
            </w:r>
          </w:p>
        </w:tc>
        <w:tc>
          <w:tcPr>
            <w:tcW w:w="3775" w:type="pct"/>
            <w:noWrap w:val="0"/>
            <w:vAlign w:val="top"/>
          </w:tcPr>
          <w:p w14:paraId="22A7EAB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静态继电保护装置逆变电源技术条件</w:t>
            </w:r>
          </w:p>
        </w:tc>
      </w:tr>
      <w:tr w14:paraId="30B086D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34CAD78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Q/GDW 10769-2017</w:t>
            </w:r>
          </w:p>
        </w:tc>
        <w:tc>
          <w:tcPr>
            <w:tcW w:w="3775" w:type="pct"/>
            <w:noWrap w:val="0"/>
            <w:vAlign w:val="center"/>
          </w:tcPr>
          <w:p w14:paraId="071B856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电化学储能电站技术导则</w:t>
            </w:r>
          </w:p>
        </w:tc>
      </w:tr>
      <w:tr w14:paraId="5D678C4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4B15FB8A">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16935.1</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587B00C3">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低压系统内设备的绝缘配合 第1部分：原理、要求和试验</w:t>
            </w:r>
          </w:p>
        </w:tc>
      </w:tr>
      <w:tr w14:paraId="4AE5F54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52F94AD8">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36276</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3497D7FA">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电力储能用锂离子电池</w:t>
            </w:r>
          </w:p>
        </w:tc>
      </w:tr>
      <w:tr w14:paraId="5A4B24B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6B58912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34131</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2010B9F3">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电化学储能站用锂离子电池管理系统技术规范</w:t>
            </w:r>
          </w:p>
        </w:tc>
      </w:tr>
      <w:tr w14:paraId="76C1AE5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755903F0">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50065</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08D2126C">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交流电气装置的接地设计规范</w:t>
            </w:r>
          </w:p>
        </w:tc>
      </w:tr>
      <w:tr w14:paraId="00ECF17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359885C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50217</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7558B6E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电力工程电缆设计标准</w:t>
            </w:r>
          </w:p>
        </w:tc>
      </w:tr>
      <w:tr w14:paraId="191773F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4F2FBC9F">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51309</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6E27FD5B">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消防应急照明和疏散指示系统技术标准</w:t>
            </w:r>
          </w:p>
        </w:tc>
      </w:tr>
      <w:tr w14:paraId="488EF20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71845138">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866</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3DF722DB">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电流互感器和电压互咸器选择及计算规程</w:t>
            </w:r>
          </w:p>
        </w:tc>
      </w:tr>
    </w:tbl>
    <w:p w14:paraId="4BBF922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2、设备技术要求</w:t>
      </w:r>
    </w:p>
    <w:p w14:paraId="220E32B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详见附件2《东莞市新有能源投资有限公司电化学储能电站-储能柜技术规范总要求》、附件5：《Modbus TCP规约点表》</w:t>
      </w:r>
    </w:p>
    <w:p w14:paraId="33AB67E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3、施工技术要求</w:t>
      </w:r>
    </w:p>
    <w:p w14:paraId="68FBDF5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维护及雨棚、监控系统、建设需要符合采购人的要求（如：项目设备设计在房屋内无需加装雨棚）。详见附件3：《东莞市新有能源投资有限公司电化学储能电站-施工技术要求》、附件4：《东莞市新有能源投资有限公司电化学储能电站配套设施建设标准》。</w:t>
      </w:r>
    </w:p>
    <w:p w14:paraId="7D984EC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详见附件1《东莞市新有能源投资有限公司储能项目-技术要求》等全过程的施工承包工作</w:t>
      </w:r>
    </w:p>
    <w:p w14:paraId="630F949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4、服务要求</w:t>
      </w:r>
    </w:p>
    <w:p w14:paraId="633804C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4.1一般要求</w:t>
      </w:r>
    </w:p>
    <w:p w14:paraId="2669AE7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投标人在提供储能设备的同时，应提供相应的技术服务，以确保储能设备能顺利投入使用，并且能正常、高效和长期运行。投标人应提供的主要技术服务包括如下几大类：</w:t>
      </w:r>
    </w:p>
    <w:p w14:paraId="65EA583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负责所供设备的运输；</w:t>
      </w:r>
    </w:p>
    <w:p w14:paraId="7D75800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负责所供设备的调试和试运行；</w:t>
      </w:r>
    </w:p>
    <w:p w14:paraId="722F43D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负责所供设备质量保证期的保证责任，如设备的维修、免费更换；</w:t>
      </w:r>
    </w:p>
    <w:p w14:paraId="2C0020B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对</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指派的运行、维护、检修等人员的培训；</w:t>
      </w:r>
    </w:p>
    <w:p w14:paraId="633CB7D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4.2 安装、调试、试运行</w:t>
      </w:r>
    </w:p>
    <w:p w14:paraId="6DDE311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4.2.1 安装</w:t>
      </w:r>
    </w:p>
    <w:p w14:paraId="7CC7BB8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安装、对现场安装人员的培训及安装交底、调试和试运行包括：</w:t>
      </w:r>
    </w:p>
    <w:p w14:paraId="59A7F01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负责设备安装前准备工作：</w:t>
      </w:r>
    </w:p>
    <w:p w14:paraId="4B2C50F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提供所供设备的安装手册，详细说明设备卸货、组装、安装和试运行；</w:t>
      </w:r>
    </w:p>
    <w:p w14:paraId="10094E2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对安装人员提供确保安全装配/安装所需的必要培训；</w:t>
      </w:r>
    </w:p>
    <w:p w14:paraId="2CF7491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提供安装必需的专用工具；</w:t>
      </w:r>
    </w:p>
    <w:p w14:paraId="60D250F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检查安装现场的准备情况；</w:t>
      </w:r>
    </w:p>
    <w:p w14:paraId="5B05723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对将要安装的设备进行检查和清点。</w:t>
      </w:r>
    </w:p>
    <w:p w14:paraId="7F8300D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设备安装期间投标人的工作：</w:t>
      </w:r>
    </w:p>
    <w:p w14:paraId="369287F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现场进行所供设备的安装工作；</w:t>
      </w:r>
    </w:p>
    <w:p w14:paraId="68D1B4E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与现场其它投标人（如果有的话）协调。</w:t>
      </w:r>
    </w:p>
    <w:p w14:paraId="518A538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4.2.2 设备调试</w:t>
      </w:r>
    </w:p>
    <w:p w14:paraId="2387F2C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设备安装结束后，投标人全面参与设备的调试，设备调试结束后投标人应提交一份调试完成报告书，报告应包括（但不限于）以下内容：</w:t>
      </w:r>
    </w:p>
    <w:p w14:paraId="61FBEB2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调试的执行情况；</w:t>
      </w:r>
    </w:p>
    <w:p w14:paraId="39F296A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调试的起止时间；</w:t>
      </w:r>
    </w:p>
    <w:p w14:paraId="672EEC5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调试中发生的典型问题及解决办法；</w:t>
      </w:r>
    </w:p>
    <w:p w14:paraId="3F997EE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调试中更换的部件。</w:t>
      </w:r>
    </w:p>
    <w:p w14:paraId="33F383C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4.2.3 设备试运行</w:t>
      </w:r>
    </w:p>
    <w:p w14:paraId="506FF04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设备安装结束后，投标人全面参与设备的试运行，试运行结束后投标人应提交一份试运行验收申请书，经</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确认后进入设备的正常运行。</w:t>
      </w:r>
    </w:p>
    <w:p w14:paraId="642C769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 现场技术服务</w:t>
      </w:r>
    </w:p>
    <w:p w14:paraId="74E6645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投标人现场服务人员的目的是使所供设备安全、正常投运。投标人应派合格的、能独立解决问题的现场服务人员。</w:t>
      </w:r>
    </w:p>
    <w:p w14:paraId="2146863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4.3.1 投标人提供的包括服务人天数的现场服务计划表应能满足工程需要。如果由于投标人的原因，实际的人天数不满足投标人在下表中的承诺，并有权要求投标人追加人天数；如果由于</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的原因，实际的人天数不能满足工程需要，</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要求追加人天数的，发生的费用由</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承担。</w:t>
      </w:r>
    </w:p>
    <w:p w14:paraId="701B992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4.3.2 投标人服务人员的一切费用已包含在投标总价中，它包括诸如服务人员的工资及各种补助、交通费、通讯费、食宿费、医疗费、各种保险费、各种税费等等。</w:t>
      </w:r>
    </w:p>
    <w:p w14:paraId="79BD055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4.3.3 现场服务人员的工作时间应与现场要求相一致，以满足现场安装、调试和试运行的要求。</w:t>
      </w:r>
    </w:p>
    <w:p w14:paraId="219BF24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4.3.4 下述现场服务表中的天数均为现场服务人员天数。</w:t>
      </w:r>
    </w:p>
    <w:p w14:paraId="001AFAE3">
      <w:pPr>
        <w:rPr>
          <w:rFonts w:hint="eastAsia" w:ascii="宋体" w:hAnsi="宋体" w:eastAsia="宋体" w:cs="宋体"/>
          <w:color w:val="auto"/>
          <w:spacing w:val="-1"/>
          <w:kern w:val="0"/>
          <w:sz w:val="21"/>
          <w:szCs w:val="21"/>
          <w:highlight w:val="none"/>
        </w:rPr>
      </w:pPr>
      <w:r>
        <w:rPr>
          <w:rFonts w:hint="eastAsia" w:ascii="宋体" w:hAnsi="宋体" w:eastAsia="宋体" w:cs="宋体"/>
          <w:color w:val="auto"/>
          <w:spacing w:val="-1"/>
          <w:kern w:val="0"/>
          <w:sz w:val="21"/>
          <w:szCs w:val="21"/>
          <w:highlight w:val="none"/>
        </w:rPr>
        <w:br w:type="page"/>
      </w:r>
    </w:p>
    <w:p w14:paraId="3A9B3542">
      <w:pPr>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ascii="宋体" w:hAnsi="宋体" w:eastAsia="宋体" w:cs="宋体"/>
          <w:color w:val="auto"/>
          <w:spacing w:val="-1"/>
          <w:kern w:val="0"/>
          <w:sz w:val="21"/>
          <w:szCs w:val="21"/>
          <w:highlight w:val="none"/>
        </w:rPr>
      </w:pPr>
      <w:r>
        <w:rPr>
          <w:rFonts w:hint="eastAsia" w:ascii="宋体" w:hAnsi="宋体" w:eastAsia="宋体" w:cs="宋体"/>
          <w:color w:val="auto"/>
          <w:spacing w:val="-1"/>
          <w:kern w:val="0"/>
          <w:sz w:val="21"/>
          <w:szCs w:val="21"/>
          <w:highlight w:val="none"/>
        </w:rPr>
        <w:t>表10 现场服务计划表</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08"/>
        <w:gridCol w:w="1971"/>
        <w:gridCol w:w="1779"/>
        <w:gridCol w:w="1405"/>
        <w:gridCol w:w="1504"/>
        <w:gridCol w:w="2148"/>
      </w:tblGrid>
      <w:tr w14:paraId="6B9E9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372" w:type="pct"/>
            <w:vMerge w:val="restart"/>
            <w:noWrap w:val="0"/>
            <w:vAlign w:val="center"/>
          </w:tcPr>
          <w:p w14:paraId="46CAFE89">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035" w:type="pct"/>
            <w:vMerge w:val="restart"/>
            <w:noWrap w:val="0"/>
            <w:vAlign w:val="center"/>
          </w:tcPr>
          <w:p w14:paraId="29FD8C3A">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技术服务内容</w:t>
            </w:r>
          </w:p>
        </w:tc>
        <w:tc>
          <w:tcPr>
            <w:tcW w:w="934" w:type="pct"/>
            <w:vMerge w:val="restart"/>
            <w:noWrap w:val="0"/>
            <w:vAlign w:val="center"/>
          </w:tcPr>
          <w:p w14:paraId="28273916">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总的计划</w:t>
            </w:r>
            <w:r>
              <w:rPr>
                <w:rFonts w:hint="eastAsia" w:ascii="宋体" w:hAnsi="宋体" w:eastAsia="宋体" w:cs="宋体"/>
                <w:color w:val="auto"/>
                <w:sz w:val="21"/>
                <w:szCs w:val="21"/>
                <w:highlight w:val="none"/>
                <w:lang w:val="en-US" w:eastAsia="zh-CN"/>
              </w:rPr>
              <w:t>天</w:t>
            </w:r>
            <w:r>
              <w:rPr>
                <w:rFonts w:hint="eastAsia" w:ascii="宋体" w:hAnsi="宋体" w:eastAsia="宋体" w:cs="宋体"/>
                <w:color w:val="auto"/>
                <w:sz w:val="21"/>
                <w:szCs w:val="21"/>
                <w:highlight w:val="none"/>
              </w:rPr>
              <w:t>数</w:t>
            </w:r>
          </w:p>
        </w:tc>
        <w:tc>
          <w:tcPr>
            <w:tcW w:w="1528" w:type="pct"/>
            <w:gridSpan w:val="2"/>
            <w:noWrap w:val="0"/>
            <w:vAlign w:val="center"/>
          </w:tcPr>
          <w:p w14:paraId="24A39677">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派出人员构成</w:t>
            </w:r>
          </w:p>
        </w:tc>
        <w:tc>
          <w:tcPr>
            <w:tcW w:w="1128" w:type="pct"/>
            <w:vMerge w:val="restart"/>
            <w:noWrap w:val="0"/>
            <w:vAlign w:val="center"/>
          </w:tcPr>
          <w:p w14:paraId="43CE9A22">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216D4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372" w:type="pct"/>
            <w:vMerge w:val="continue"/>
            <w:noWrap w:val="0"/>
            <w:vAlign w:val="center"/>
          </w:tcPr>
          <w:p w14:paraId="117337DF">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035" w:type="pct"/>
            <w:vMerge w:val="continue"/>
            <w:noWrap w:val="0"/>
            <w:vAlign w:val="center"/>
          </w:tcPr>
          <w:p w14:paraId="73961C6D">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934" w:type="pct"/>
            <w:vMerge w:val="continue"/>
            <w:noWrap w:val="0"/>
            <w:vAlign w:val="center"/>
          </w:tcPr>
          <w:p w14:paraId="18094626">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8" w:type="pct"/>
            <w:noWrap w:val="0"/>
            <w:vAlign w:val="center"/>
          </w:tcPr>
          <w:p w14:paraId="37F8B2A0">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职称</w:t>
            </w:r>
          </w:p>
        </w:tc>
        <w:tc>
          <w:tcPr>
            <w:tcW w:w="790" w:type="pct"/>
            <w:noWrap w:val="0"/>
            <w:vAlign w:val="center"/>
          </w:tcPr>
          <w:p w14:paraId="24075917">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人数</w:t>
            </w:r>
          </w:p>
        </w:tc>
        <w:tc>
          <w:tcPr>
            <w:tcW w:w="1128" w:type="pct"/>
            <w:vMerge w:val="continue"/>
            <w:noWrap w:val="0"/>
            <w:vAlign w:val="center"/>
          </w:tcPr>
          <w:p w14:paraId="3E11ABC6">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1EA80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372" w:type="pct"/>
            <w:noWrap w:val="0"/>
            <w:vAlign w:val="center"/>
          </w:tcPr>
          <w:p w14:paraId="74E4401C">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035" w:type="pct"/>
            <w:noWrap w:val="0"/>
            <w:vAlign w:val="center"/>
          </w:tcPr>
          <w:p w14:paraId="61B6CD5C">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934" w:type="pct"/>
            <w:noWrap w:val="0"/>
            <w:vAlign w:val="center"/>
          </w:tcPr>
          <w:p w14:paraId="5CAB627F">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8" w:type="pct"/>
            <w:noWrap w:val="0"/>
            <w:vAlign w:val="center"/>
          </w:tcPr>
          <w:p w14:paraId="5248F50A">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90" w:type="pct"/>
            <w:noWrap w:val="0"/>
            <w:vAlign w:val="center"/>
          </w:tcPr>
          <w:p w14:paraId="37D5AF8B">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128" w:type="pct"/>
            <w:noWrap w:val="0"/>
            <w:vAlign w:val="center"/>
          </w:tcPr>
          <w:p w14:paraId="3A1B0FDF">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404EE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372" w:type="pct"/>
            <w:noWrap w:val="0"/>
            <w:vAlign w:val="center"/>
          </w:tcPr>
          <w:p w14:paraId="30BE5D4E">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035" w:type="pct"/>
            <w:noWrap w:val="0"/>
            <w:vAlign w:val="center"/>
          </w:tcPr>
          <w:p w14:paraId="0F7C0E84">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934" w:type="pct"/>
            <w:noWrap w:val="0"/>
            <w:vAlign w:val="center"/>
          </w:tcPr>
          <w:p w14:paraId="48A9F292">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8" w:type="pct"/>
            <w:noWrap w:val="0"/>
            <w:vAlign w:val="center"/>
          </w:tcPr>
          <w:p w14:paraId="7C3B31E7">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90" w:type="pct"/>
            <w:noWrap w:val="0"/>
            <w:vAlign w:val="center"/>
          </w:tcPr>
          <w:p w14:paraId="6B9CC4A2">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128" w:type="pct"/>
            <w:noWrap w:val="0"/>
            <w:vAlign w:val="center"/>
          </w:tcPr>
          <w:p w14:paraId="3A2763D9">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4F575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372" w:type="pct"/>
            <w:noWrap w:val="0"/>
            <w:vAlign w:val="center"/>
          </w:tcPr>
          <w:p w14:paraId="29AE135F">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035" w:type="pct"/>
            <w:noWrap w:val="0"/>
            <w:vAlign w:val="center"/>
          </w:tcPr>
          <w:p w14:paraId="266084EE">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934" w:type="pct"/>
            <w:noWrap w:val="0"/>
            <w:vAlign w:val="center"/>
          </w:tcPr>
          <w:p w14:paraId="78B336E9">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8" w:type="pct"/>
            <w:noWrap w:val="0"/>
            <w:vAlign w:val="center"/>
          </w:tcPr>
          <w:p w14:paraId="71287462">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90" w:type="pct"/>
            <w:noWrap w:val="0"/>
            <w:vAlign w:val="center"/>
          </w:tcPr>
          <w:p w14:paraId="78C6EFD5">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128" w:type="pct"/>
            <w:noWrap w:val="0"/>
            <w:vAlign w:val="center"/>
          </w:tcPr>
          <w:p w14:paraId="47FD14BD">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bl>
    <w:p w14:paraId="6617C62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4.3.5 投标人现场服务人员具有下列资质：</w:t>
      </w:r>
    </w:p>
    <w:p w14:paraId="5781B7F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遵守中华人民共和国法律，遵守现场的各项规章和制度；</w:t>
      </w:r>
    </w:p>
    <w:p w14:paraId="1A95A5E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有较强的责任感和事业心，按时到位；</w:t>
      </w:r>
    </w:p>
    <w:p w14:paraId="2606515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了解招标设备的设计，熟悉其结构，有相同或相近设备的现场工作经验，能够正确地进行现场指导及作业；</w:t>
      </w:r>
    </w:p>
    <w:p w14:paraId="445AF56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现场安装和调试人员应具备相应专业作业的国家承认的资格证书，具备从事相应工作的技术能力、管理能力。</w:t>
      </w:r>
    </w:p>
    <w:p w14:paraId="66E3053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身体健康，适应现场工作的条件。</w:t>
      </w:r>
    </w:p>
    <w:p w14:paraId="5A6B9297">
      <w:pPr>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ascii="宋体" w:hAnsi="宋体" w:eastAsia="宋体" w:cs="宋体"/>
          <w:color w:val="auto"/>
          <w:spacing w:val="-1"/>
          <w:kern w:val="0"/>
          <w:sz w:val="21"/>
          <w:szCs w:val="21"/>
          <w:highlight w:val="none"/>
        </w:rPr>
      </w:pPr>
      <w:r>
        <w:rPr>
          <w:rFonts w:hint="eastAsia" w:ascii="宋体" w:hAnsi="宋体" w:eastAsia="宋体" w:cs="宋体"/>
          <w:color w:val="auto"/>
          <w:spacing w:val="-1"/>
          <w:kern w:val="0"/>
          <w:sz w:val="21"/>
          <w:szCs w:val="21"/>
          <w:highlight w:val="none"/>
        </w:rPr>
        <w:t>表11 服务人员情况表</w:t>
      </w:r>
    </w:p>
    <w:tbl>
      <w:tblPr>
        <w:tblStyle w:val="29"/>
        <w:tblW w:w="4997" w:type="pct"/>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4"/>
        <w:gridCol w:w="962"/>
        <w:gridCol w:w="1637"/>
        <w:gridCol w:w="1223"/>
        <w:gridCol w:w="1130"/>
        <w:gridCol w:w="1132"/>
        <w:gridCol w:w="1229"/>
        <w:gridCol w:w="896"/>
      </w:tblGrid>
      <w:tr w14:paraId="2FA95E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57" w:type="pct"/>
            <w:tcBorders>
              <w:top w:val="single" w:color="auto" w:sz="4" w:space="0"/>
              <w:left w:val="single" w:color="auto" w:sz="4" w:space="0"/>
              <w:bottom w:val="single" w:color="auto" w:sz="4" w:space="0"/>
            </w:tcBorders>
            <w:noWrap w:val="0"/>
            <w:vAlign w:val="center"/>
          </w:tcPr>
          <w:p w14:paraId="06FEC79B">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姓名</w:t>
            </w:r>
          </w:p>
        </w:tc>
        <w:tc>
          <w:tcPr>
            <w:tcW w:w="497" w:type="pct"/>
            <w:tcBorders>
              <w:top w:val="single" w:color="auto" w:sz="4" w:space="0"/>
              <w:bottom w:val="single" w:color="auto" w:sz="4" w:space="0"/>
            </w:tcBorders>
            <w:noWrap w:val="0"/>
            <w:vAlign w:val="center"/>
          </w:tcPr>
          <w:p w14:paraId="02A868E7">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846" w:type="pct"/>
            <w:tcBorders>
              <w:top w:val="single" w:color="auto" w:sz="4" w:space="0"/>
              <w:bottom w:val="single" w:color="auto" w:sz="4" w:space="0"/>
            </w:tcBorders>
            <w:noWrap w:val="0"/>
            <w:vAlign w:val="center"/>
          </w:tcPr>
          <w:p w14:paraId="12AAF904">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性别</w:t>
            </w:r>
          </w:p>
        </w:tc>
        <w:tc>
          <w:tcPr>
            <w:tcW w:w="632" w:type="pct"/>
            <w:tcBorders>
              <w:top w:val="single" w:color="auto" w:sz="4" w:space="0"/>
              <w:bottom w:val="single" w:color="auto" w:sz="4" w:space="0"/>
            </w:tcBorders>
            <w:noWrap w:val="0"/>
            <w:vAlign w:val="center"/>
          </w:tcPr>
          <w:p w14:paraId="431664A1">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584" w:type="pct"/>
            <w:tcBorders>
              <w:top w:val="single" w:color="auto" w:sz="4" w:space="0"/>
              <w:bottom w:val="single" w:color="auto" w:sz="4" w:space="0"/>
            </w:tcBorders>
            <w:noWrap w:val="0"/>
            <w:vAlign w:val="center"/>
          </w:tcPr>
          <w:p w14:paraId="45CF727A">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年龄</w:t>
            </w:r>
          </w:p>
        </w:tc>
        <w:tc>
          <w:tcPr>
            <w:tcW w:w="585" w:type="pct"/>
            <w:tcBorders>
              <w:top w:val="single" w:color="auto" w:sz="4" w:space="0"/>
              <w:bottom w:val="single" w:color="auto" w:sz="4" w:space="0"/>
            </w:tcBorders>
            <w:noWrap w:val="0"/>
            <w:vAlign w:val="center"/>
          </w:tcPr>
          <w:p w14:paraId="3A0BB25F">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635" w:type="pct"/>
            <w:tcBorders>
              <w:top w:val="single" w:color="auto" w:sz="4" w:space="0"/>
              <w:bottom w:val="single" w:color="auto" w:sz="4" w:space="0"/>
            </w:tcBorders>
            <w:noWrap w:val="0"/>
            <w:vAlign w:val="center"/>
          </w:tcPr>
          <w:p w14:paraId="26C4C250">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民族</w:t>
            </w:r>
          </w:p>
        </w:tc>
        <w:tc>
          <w:tcPr>
            <w:tcW w:w="460" w:type="pct"/>
            <w:tcBorders>
              <w:top w:val="single" w:color="auto" w:sz="4" w:space="0"/>
              <w:bottom w:val="single" w:color="auto" w:sz="4" w:space="0"/>
              <w:right w:val="single" w:color="auto" w:sz="4" w:space="0"/>
            </w:tcBorders>
            <w:noWrap w:val="0"/>
            <w:vAlign w:val="center"/>
          </w:tcPr>
          <w:p w14:paraId="1062E1F1">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r>
      <w:tr w14:paraId="45A436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57" w:type="pct"/>
            <w:tcBorders>
              <w:top w:val="single" w:color="auto" w:sz="4" w:space="0"/>
              <w:left w:val="single" w:color="auto" w:sz="4" w:space="0"/>
              <w:bottom w:val="single" w:color="auto" w:sz="4" w:space="0"/>
            </w:tcBorders>
            <w:noWrap w:val="0"/>
            <w:vAlign w:val="center"/>
          </w:tcPr>
          <w:p w14:paraId="2CBA4DBA">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政治</w:t>
            </w:r>
          </w:p>
          <w:p w14:paraId="1923DBD6">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面貌</w:t>
            </w:r>
          </w:p>
        </w:tc>
        <w:tc>
          <w:tcPr>
            <w:tcW w:w="497" w:type="pct"/>
            <w:tcBorders>
              <w:top w:val="single" w:color="auto" w:sz="4" w:space="0"/>
              <w:bottom w:val="single" w:color="auto" w:sz="4" w:space="0"/>
            </w:tcBorders>
            <w:noWrap w:val="0"/>
            <w:vAlign w:val="center"/>
          </w:tcPr>
          <w:p w14:paraId="76747039">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846" w:type="pct"/>
            <w:tcBorders>
              <w:top w:val="single" w:color="auto" w:sz="4" w:space="0"/>
              <w:bottom w:val="single" w:color="auto" w:sz="4" w:space="0"/>
            </w:tcBorders>
            <w:noWrap w:val="0"/>
            <w:vAlign w:val="center"/>
          </w:tcPr>
          <w:p w14:paraId="3B9B2ED6">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学校和专业</w:t>
            </w:r>
          </w:p>
        </w:tc>
        <w:tc>
          <w:tcPr>
            <w:tcW w:w="632" w:type="pct"/>
            <w:tcBorders>
              <w:top w:val="single" w:color="auto" w:sz="4" w:space="0"/>
              <w:bottom w:val="single" w:color="auto" w:sz="4" w:space="0"/>
            </w:tcBorders>
            <w:noWrap w:val="0"/>
            <w:vAlign w:val="center"/>
          </w:tcPr>
          <w:p w14:paraId="24E77EEB">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584" w:type="pct"/>
            <w:tcBorders>
              <w:top w:val="single" w:color="auto" w:sz="4" w:space="0"/>
              <w:bottom w:val="single" w:color="auto" w:sz="4" w:space="0"/>
            </w:tcBorders>
            <w:noWrap w:val="0"/>
            <w:vAlign w:val="center"/>
          </w:tcPr>
          <w:p w14:paraId="4870730E">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p>
        </w:tc>
        <w:tc>
          <w:tcPr>
            <w:tcW w:w="585" w:type="pct"/>
            <w:tcBorders>
              <w:top w:val="single" w:color="auto" w:sz="4" w:space="0"/>
              <w:bottom w:val="single" w:color="auto" w:sz="4" w:space="0"/>
            </w:tcBorders>
            <w:noWrap w:val="0"/>
            <w:vAlign w:val="center"/>
          </w:tcPr>
          <w:p w14:paraId="5C5127B7">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635" w:type="pct"/>
            <w:tcBorders>
              <w:top w:val="single" w:color="auto" w:sz="4" w:space="0"/>
              <w:bottom w:val="single" w:color="auto" w:sz="4" w:space="0"/>
            </w:tcBorders>
            <w:noWrap w:val="0"/>
            <w:vAlign w:val="center"/>
          </w:tcPr>
          <w:p w14:paraId="79E85310">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职称</w:t>
            </w:r>
          </w:p>
        </w:tc>
        <w:tc>
          <w:tcPr>
            <w:tcW w:w="460" w:type="pct"/>
            <w:tcBorders>
              <w:top w:val="single" w:color="auto" w:sz="4" w:space="0"/>
              <w:bottom w:val="single" w:color="auto" w:sz="4" w:space="0"/>
              <w:right w:val="single" w:color="auto" w:sz="4" w:space="0"/>
            </w:tcBorders>
            <w:noWrap w:val="0"/>
            <w:vAlign w:val="center"/>
          </w:tcPr>
          <w:p w14:paraId="394E1340">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r>
      <w:tr w14:paraId="0DBA7B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843" w:hRule="atLeast"/>
        </w:trPr>
        <w:tc>
          <w:tcPr>
            <w:tcW w:w="757" w:type="pct"/>
            <w:tcBorders>
              <w:top w:val="single" w:color="auto" w:sz="4" w:space="0"/>
              <w:left w:val="single" w:color="auto" w:sz="4" w:space="0"/>
              <w:bottom w:val="single" w:color="auto" w:sz="4" w:space="0"/>
              <w:right w:val="single" w:color="auto" w:sz="4" w:space="0"/>
            </w:tcBorders>
            <w:noWrap w:val="0"/>
            <w:textDirection w:val="tbRlV"/>
            <w:vAlign w:val="center"/>
          </w:tcPr>
          <w:p w14:paraId="3F64B662">
            <w:pPr>
              <w:pageBreakBefore w:val="0"/>
              <w:kinsoku/>
              <w:wordWrap/>
              <w:bidi w:val="0"/>
              <w:spacing w:after="0" w:line="240" w:lineRule="auto"/>
              <w:ind w:left="0" w:leftChars="0" w:right="113"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工作简历</w:t>
            </w:r>
          </w:p>
        </w:tc>
        <w:tc>
          <w:tcPr>
            <w:tcW w:w="4242" w:type="pct"/>
            <w:gridSpan w:val="7"/>
            <w:tcBorders>
              <w:top w:val="single" w:color="auto" w:sz="4" w:space="0"/>
              <w:left w:val="single" w:color="auto" w:sz="4" w:space="0"/>
              <w:bottom w:val="single" w:color="auto" w:sz="4" w:space="0"/>
              <w:right w:val="single" w:color="auto" w:sz="4" w:space="0"/>
            </w:tcBorders>
            <w:noWrap w:val="0"/>
            <w:vAlign w:val="center"/>
          </w:tcPr>
          <w:p w14:paraId="05365D8F">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（包括参加了哪些工程的现场服务）</w:t>
            </w:r>
          </w:p>
        </w:tc>
      </w:tr>
      <w:tr w14:paraId="22FE06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524" w:hRule="atLeast"/>
        </w:trPr>
        <w:tc>
          <w:tcPr>
            <w:tcW w:w="757" w:type="pct"/>
            <w:tcBorders>
              <w:top w:val="single" w:color="auto" w:sz="4" w:space="0"/>
              <w:left w:val="single" w:color="auto" w:sz="4" w:space="0"/>
              <w:bottom w:val="single" w:color="auto" w:sz="4" w:space="0"/>
              <w:right w:val="single" w:color="auto" w:sz="4" w:space="0"/>
            </w:tcBorders>
            <w:noWrap w:val="0"/>
            <w:textDirection w:val="tbRlV"/>
            <w:vAlign w:val="center"/>
          </w:tcPr>
          <w:p w14:paraId="15A1F01B">
            <w:pPr>
              <w:pageBreakBefore w:val="0"/>
              <w:kinsoku/>
              <w:wordWrap/>
              <w:bidi w:val="0"/>
              <w:spacing w:after="0" w:line="240" w:lineRule="auto"/>
              <w:ind w:left="0" w:leftChars="0" w:right="113"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单位评价</w:t>
            </w:r>
          </w:p>
        </w:tc>
        <w:tc>
          <w:tcPr>
            <w:tcW w:w="4242" w:type="pct"/>
            <w:gridSpan w:val="7"/>
            <w:tcBorders>
              <w:top w:val="single" w:color="auto" w:sz="4" w:space="0"/>
              <w:left w:val="single" w:color="auto" w:sz="4" w:space="0"/>
              <w:bottom w:val="single" w:color="auto" w:sz="4" w:space="0"/>
              <w:right w:val="single" w:color="auto" w:sz="4" w:space="0"/>
            </w:tcBorders>
            <w:noWrap w:val="0"/>
            <w:vAlign w:val="center"/>
          </w:tcPr>
          <w:p w14:paraId="5424ABF0">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（按资质5条逐条评价）</w:t>
            </w:r>
          </w:p>
          <w:p w14:paraId="01BDDBA7">
            <w:pPr>
              <w:pageBreakBefore w:val="0"/>
              <w:kinsoku/>
              <w:wordWrap/>
              <w:bidi w:val="0"/>
              <w:spacing w:after="0" w:line="240" w:lineRule="auto"/>
              <w:ind w:left="0" w:leftChars="0" w:firstLine="0" w:firstLineChars="0"/>
              <w:jc w:val="right"/>
              <w:rPr>
                <w:rFonts w:hint="eastAsia" w:ascii="宋体" w:hAnsi="宋体" w:eastAsia="宋体" w:cs="宋体"/>
                <w:color w:val="auto"/>
                <w:sz w:val="21"/>
                <w:szCs w:val="21"/>
                <w:highlight w:val="none"/>
              </w:rPr>
            </w:pPr>
          </w:p>
          <w:p w14:paraId="5BAAEA96">
            <w:pPr>
              <w:pageBreakBefore w:val="0"/>
              <w:kinsoku/>
              <w:wordWrap/>
              <w:bidi w:val="0"/>
              <w:spacing w:after="0" w:line="240" w:lineRule="auto"/>
              <w:ind w:left="0" w:leftChars="0" w:right="420" w:firstLine="0" w:firstLineChars="0"/>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单位（盖章）</w:t>
            </w:r>
          </w:p>
          <w:p w14:paraId="7EF60300">
            <w:pPr>
              <w:pageBreakBefore w:val="0"/>
              <w:kinsoku/>
              <w:wordWrap/>
              <w:bidi w:val="0"/>
              <w:spacing w:after="0" w:line="240" w:lineRule="auto"/>
              <w:ind w:left="0" w:leftChars="0" w:right="480" w:firstLine="0" w:firstLineChars="0"/>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tc>
      </w:tr>
    </w:tbl>
    <w:p w14:paraId="0800653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（注：每人一表）</w:t>
      </w:r>
    </w:p>
    <w:p w14:paraId="4DF8A83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4.3.6 投标人现场技术服务人员的职责</w:t>
      </w:r>
    </w:p>
    <w:p w14:paraId="2009643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投标人现场服务人员的任务主要包括设备的开箱检验、设备质量问题的处理和设备调试的协调、参加试运和性能验收试验以及现场技术培训。</w:t>
      </w:r>
    </w:p>
    <w:p w14:paraId="45D37B0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在安装和调试前，投标人技术服务人员应向</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进行交底，提供设备安装和调试的重要工序和进度表，</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技术人员要对此进行确认。经</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确认的工序不因此而减轻投标人技术服务人员的任何责任，对安装和调试中出现的任何问题投标人仍要负全部责任。</w:t>
      </w:r>
    </w:p>
    <w:p w14:paraId="6E76181C">
      <w:pPr>
        <w:rPr>
          <w:rFonts w:hint="eastAsia" w:ascii="宋体" w:hAnsi="宋体" w:eastAsia="宋体" w:cs="宋体"/>
          <w:color w:val="auto"/>
          <w:spacing w:val="-1"/>
          <w:kern w:val="0"/>
          <w:sz w:val="21"/>
          <w:szCs w:val="21"/>
          <w:highlight w:val="none"/>
        </w:rPr>
      </w:pPr>
      <w:r>
        <w:rPr>
          <w:rFonts w:hint="eastAsia" w:ascii="宋体" w:hAnsi="宋体" w:eastAsia="宋体" w:cs="宋体"/>
          <w:color w:val="auto"/>
          <w:spacing w:val="-1"/>
          <w:kern w:val="0"/>
          <w:sz w:val="21"/>
          <w:szCs w:val="21"/>
          <w:highlight w:val="none"/>
        </w:rPr>
        <w:br w:type="page"/>
      </w:r>
    </w:p>
    <w:p w14:paraId="3AE697F6">
      <w:pPr>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pacing w:val="-1"/>
          <w:kern w:val="0"/>
          <w:sz w:val="21"/>
          <w:szCs w:val="21"/>
          <w:highlight w:val="none"/>
        </w:rPr>
        <w:t>表12</w:t>
      </w:r>
      <w:r>
        <w:rPr>
          <w:rFonts w:hint="eastAsia" w:ascii="宋体" w:hAnsi="宋体" w:eastAsia="宋体" w:cs="宋体"/>
          <w:color w:val="auto"/>
          <w:spacing w:val="-1"/>
          <w:kern w:val="0"/>
          <w:sz w:val="21"/>
          <w:szCs w:val="21"/>
          <w:highlight w:val="none"/>
        </w:rPr>
        <w:tab/>
      </w:r>
      <w:r>
        <w:rPr>
          <w:rFonts w:hint="eastAsia" w:ascii="宋体" w:hAnsi="宋体" w:eastAsia="宋体" w:cs="宋体"/>
          <w:color w:val="auto"/>
          <w:spacing w:val="-1"/>
          <w:kern w:val="0"/>
          <w:sz w:val="21"/>
          <w:szCs w:val="21"/>
          <w:highlight w:val="none"/>
        </w:rPr>
        <w:t>安装和调试监督的重要工序表</w:t>
      </w:r>
    </w:p>
    <w:tbl>
      <w:tblPr>
        <w:tblStyle w:val="29"/>
        <w:tblW w:w="4998"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28" w:type="dxa"/>
          <w:bottom w:w="0" w:type="dxa"/>
          <w:right w:w="28" w:type="dxa"/>
        </w:tblCellMar>
      </w:tblPr>
      <w:tblGrid>
        <w:gridCol w:w="923"/>
        <w:gridCol w:w="3021"/>
        <w:gridCol w:w="3021"/>
        <w:gridCol w:w="2550"/>
      </w:tblGrid>
      <w:tr w14:paraId="5E04E9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85" w:type="pct"/>
            <w:noWrap w:val="0"/>
            <w:vAlign w:val="center"/>
          </w:tcPr>
          <w:p w14:paraId="05D0F61E">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587" w:type="pct"/>
            <w:noWrap w:val="0"/>
            <w:vAlign w:val="center"/>
          </w:tcPr>
          <w:p w14:paraId="44B608F6">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 序 名 称</w:t>
            </w:r>
          </w:p>
        </w:tc>
        <w:tc>
          <w:tcPr>
            <w:tcW w:w="1587" w:type="pct"/>
            <w:noWrap w:val="0"/>
            <w:vAlign w:val="center"/>
          </w:tcPr>
          <w:p w14:paraId="6779EBB5">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工序主要内容</w:t>
            </w:r>
          </w:p>
        </w:tc>
        <w:tc>
          <w:tcPr>
            <w:tcW w:w="1339" w:type="pct"/>
            <w:noWrap w:val="0"/>
            <w:vAlign w:val="center"/>
          </w:tcPr>
          <w:p w14:paraId="3C3D52CC">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    注</w:t>
            </w:r>
          </w:p>
        </w:tc>
      </w:tr>
      <w:tr w14:paraId="415902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85" w:type="pct"/>
            <w:noWrap w:val="0"/>
            <w:vAlign w:val="center"/>
          </w:tcPr>
          <w:p w14:paraId="0DB08E38">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587" w:type="pct"/>
            <w:noWrap w:val="0"/>
            <w:vAlign w:val="center"/>
          </w:tcPr>
          <w:p w14:paraId="7BE4018A">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设备安装</w:t>
            </w:r>
          </w:p>
        </w:tc>
        <w:tc>
          <w:tcPr>
            <w:tcW w:w="1587" w:type="pct"/>
            <w:noWrap w:val="0"/>
            <w:vAlign w:val="center"/>
          </w:tcPr>
          <w:p w14:paraId="6C812717">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339" w:type="pct"/>
            <w:noWrap w:val="0"/>
            <w:vAlign w:val="center"/>
          </w:tcPr>
          <w:p w14:paraId="36F7C8A8">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169A11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85" w:type="pct"/>
            <w:noWrap w:val="0"/>
            <w:vAlign w:val="center"/>
          </w:tcPr>
          <w:p w14:paraId="473A8D02">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587" w:type="pct"/>
            <w:noWrap w:val="0"/>
            <w:vAlign w:val="center"/>
          </w:tcPr>
          <w:p w14:paraId="2A9BF640">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设备调试</w:t>
            </w:r>
          </w:p>
        </w:tc>
        <w:tc>
          <w:tcPr>
            <w:tcW w:w="1587" w:type="pct"/>
            <w:noWrap w:val="0"/>
            <w:vAlign w:val="center"/>
          </w:tcPr>
          <w:p w14:paraId="23036F39">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339" w:type="pct"/>
            <w:noWrap w:val="0"/>
            <w:vAlign w:val="center"/>
          </w:tcPr>
          <w:p w14:paraId="161DB020">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bl>
    <w:p w14:paraId="44C3B23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投标人现场服务人员负责全权处理现场出现的一切技术问题。如现场发生质量问题，投标人现场人员要在</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规定的时间内处理解决。</w:t>
      </w:r>
    </w:p>
    <w:p w14:paraId="15B5AF6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投标人对其现场服务人员的一切行为负全部责任。</w:t>
      </w:r>
    </w:p>
    <w:p w14:paraId="2A7B1D5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4.3.7 </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的义务</w:t>
      </w:r>
    </w:p>
    <w:p w14:paraId="3017029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应配合投标人现场服务人员的工作，并在生活、交通和通讯上提供方便。</w:t>
      </w:r>
    </w:p>
    <w:p w14:paraId="2D9D949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4.4 人员培训</w:t>
      </w:r>
    </w:p>
    <w:p w14:paraId="2903684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为使招标设备能正常安装、调试、运行、维护及检修，投标人有责任提供相应的技术培训。</w:t>
      </w:r>
    </w:p>
    <w:p w14:paraId="48009E5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4.4.1 培训内容应包括：投标人所提供设备的性能、技术原理和操作使用方法，维护管理的技术，实际操作练习，培训内容和时间应与工程进度相一致。</w:t>
      </w:r>
    </w:p>
    <w:p w14:paraId="5257429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4.4.2 投标人应列出具体的培训计划。</w:t>
      </w:r>
    </w:p>
    <w:p w14:paraId="1B0C746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4.4.3 厂验及培训人数、时间等事宜在谈判时再由双方商定，投标人先报出人·天单价。</w:t>
      </w:r>
    </w:p>
    <w:p w14:paraId="0E9E65A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4.4.4 培训计划和内容列出如下：</w:t>
      </w:r>
    </w:p>
    <w:p w14:paraId="02472414">
      <w:pPr>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ascii="宋体" w:hAnsi="宋体" w:eastAsia="宋体" w:cs="宋体"/>
          <w:color w:val="auto"/>
          <w:spacing w:val="-1"/>
          <w:kern w:val="0"/>
          <w:sz w:val="21"/>
          <w:szCs w:val="21"/>
          <w:highlight w:val="none"/>
        </w:rPr>
      </w:pPr>
      <w:r>
        <w:rPr>
          <w:rFonts w:hint="eastAsia" w:ascii="宋体" w:hAnsi="宋体" w:eastAsia="宋体" w:cs="宋体"/>
          <w:color w:val="auto"/>
          <w:spacing w:val="-1"/>
          <w:kern w:val="0"/>
          <w:sz w:val="21"/>
          <w:szCs w:val="21"/>
          <w:highlight w:val="none"/>
        </w:rPr>
        <w:t>表13 培训计划表</w:t>
      </w:r>
    </w:p>
    <w:tbl>
      <w:tblPr>
        <w:tblStyle w:val="29"/>
        <w:tblW w:w="4997"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28" w:type="dxa"/>
          <w:bottom w:w="0" w:type="dxa"/>
          <w:right w:w="28" w:type="dxa"/>
        </w:tblCellMar>
      </w:tblPr>
      <w:tblGrid>
        <w:gridCol w:w="1158"/>
        <w:gridCol w:w="1677"/>
        <w:gridCol w:w="1611"/>
        <w:gridCol w:w="1224"/>
        <w:gridCol w:w="1224"/>
        <w:gridCol w:w="1224"/>
        <w:gridCol w:w="1395"/>
      </w:tblGrid>
      <w:tr w14:paraId="78FDEC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608" w:type="pct"/>
            <w:vMerge w:val="restart"/>
            <w:noWrap w:val="0"/>
            <w:vAlign w:val="center"/>
          </w:tcPr>
          <w:p w14:paraId="5348C07F">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881" w:type="pct"/>
            <w:vMerge w:val="restart"/>
            <w:noWrap w:val="0"/>
            <w:vAlign w:val="center"/>
          </w:tcPr>
          <w:p w14:paraId="32ABC2C5">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培训内容</w:t>
            </w:r>
          </w:p>
        </w:tc>
        <w:tc>
          <w:tcPr>
            <w:tcW w:w="846" w:type="pct"/>
            <w:vMerge w:val="restart"/>
            <w:noWrap w:val="0"/>
            <w:vAlign w:val="center"/>
          </w:tcPr>
          <w:p w14:paraId="799EDC26">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计划</w:t>
            </w:r>
            <w:r>
              <w:rPr>
                <w:rFonts w:hint="eastAsia" w:ascii="宋体" w:hAnsi="宋体" w:eastAsia="宋体" w:cs="宋体"/>
                <w:color w:val="auto"/>
                <w:sz w:val="21"/>
                <w:szCs w:val="21"/>
                <w:highlight w:val="none"/>
                <w:lang w:val="en-US" w:eastAsia="zh-CN"/>
              </w:rPr>
              <w:t>天</w:t>
            </w:r>
            <w:r>
              <w:rPr>
                <w:rFonts w:hint="eastAsia" w:ascii="宋体" w:hAnsi="宋体" w:eastAsia="宋体" w:cs="宋体"/>
                <w:color w:val="auto"/>
                <w:sz w:val="21"/>
                <w:szCs w:val="21"/>
                <w:highlight w:val="none"/>
              </w:rPr>
              <w:t>数</w:t>
            </w:r>
          </w:p>
        </w:tc>
        <w:tc>
          <w:tcPr>
            <w:tcW w:w="1286" w:type="pct"/>
            <w:gridSpan w:val="2"/>
            <w:noWrap w:val="0"/>
            <w:vAlign w:val="center"/>
          </w:tcPr>
          <w:p w14:paraId="4FB044A8">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培训教师构成</w:t>
            </w:r>
          </w:p>
        </w:tc>
        <w:tc>
          <w:tcPr>
            <w:tcW w:w="643" w:type="pct"/>
            <w:vMerge w:val="restart"/>
            <w:noWrap w:val="0"/>
            <w:vAlign w:val="center"/>
          </w:tcPr>
          <w:p w14:paraId="3E262226">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 点</w:t>
            </w:r>
          </w:p>
        </w:tc>
        <w:tc>
          <w:tcPr>
            <w:tcW w:w="733" w:type="pct"/>
            <w:vMerge w:val="restart"/>
            <w:noWrap w:val="0"/>
            <w:vAlign w:val="center"/>
          </w:tcPr>
          <w:p w14:paraId="63A60EB8">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 注</w:t>
            </w:r>
          </w:p>
        </w:tc>
      </w:tr>
      <w:tr w14:paraId="15AEEB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608" w:type="pct"/>
            <w:vMerge w:val="continue"/>
            <w:noWrap w:val="0"/>
            <w:vAlign w:val="center"/>
          </w:tcPr>
          <w:p w14:paraId="72B82B56">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81" w:type="pct"/>
            <w:vMerge w:val="continue"/>
            <w:noWrap w:val="0"/>
            <w:vAlign w:val="center"/>
          </w:tcPr>
          <w:p w14:paraId="2501A7FE">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46" w:type="pct"/>
            <w:vMerge w:val="continue"/>
            <w:noWrap w:val="0"/>
            <w:vAlign w:val="center"/>
          </w:tcPr>
          <w:p w14:paraId="7BEA1F88">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49278D43">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 称</w:t>
            </w:r>
          </w:p>
        </w:tc>
        <w:tc>
          <w:tcPr>
            <w:tcW w:w="643" w:type="pct"/>
            <w:noWrap w:val="0"/>
            <w:vAlign w:val="center"/>
          </w:tcPr>
          <w:p w14:paraId="45E05862">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 数</w:t>
            </w:r>
          </w:p>
        </w:tc>
        <w:tc>
          <w:tcPr>
            <w:tcW w:w="643" w:type="pct"/>
            <w:vMerge w:val="continue"/>
            <w:noWrap w:val="0"/>
            <w:vAlign w:val="center"/>
          </w:tcPr>
          <w:p w14:paraId="64995348">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3" w:type="pct"/>
            <w:vMerge w:val="continue"/>
            <w:noWrap w:val="0"/>
            <w:vAlign w:val="center"/>
          </w:tcPr>
          <w:p w14:paraId="09B8EC78">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16F510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608" w:type="pct"/>
            <w:noWrap w:val="0"/>
            <w:vAlign w:val="center"/>
          </w:tcPr>
          <w:p w14:paraId="461BF496">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81" w:type="pct"/>
            <w:noWrap w:val="0"/>
            <w:vAlign w:val="center"/>
          </w:tcPr>
          <w:p w14:paraId="37B26FF4">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46" w:type="pct"/>
            <w:noWrap w:val="0"/>
            <w:vAlign w:val="center"/>
          </w:tcPr>
          <w:p w14:paraId="6A837455">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33B3D654">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2F37E062">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1057B3AD">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3" w:type="pct"/>
            <w:noWrap w:val="0"/>
            <w:vAlign w:val="center"/>
          </w:tcPr>
          <w:p w14:paraId="55D80D19">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1CF761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608" w:type="pct"/>
            <w:noWrap w:val="0"/>
            <w:vAlign w:val="center"/>
          </w:tcPr>
          <w:p w14:paraId="2FFCC181">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81" w:type="pct"/>
            <w:noWrap w:val="0"/>
            <w:vAlign w:val="center"/>
          </w:tcPr>
          <w:p w14:paraId="1AB0DCF3">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46" w:type="pct"/>
            <w:noWrap w:val="0"/>
            <w:vAlign w:val="center"/>
          </w:tcPr>
          <w:p w14:paraId="580329E9">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0EECB090">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2C7C0DA5">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55FB3FAC">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3" w:type="pct"/>
            <w:noWrap w:val="0"/>
            <w:vAlign w:val="center"/>
          </w:tcPr>
          <w:p w14:paraId="296148BF">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11681E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608" w:type="pct"/>
            <w:noWrap w:val="0"/>
            <w:vAlign w:val="center"/>
          </w:tcPr>
          <w:p w14:paraId="55604E7A">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81" w:type="pct"/>
            <w:noWrap w:val="0"/>
            <w:vAlign w:val="center"/>
          </w:tcPr>
          <w:p w14:paraId="66F0FDEF">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46" w:type="pct"/>
            <w:noWrap w:val="0"/>
            <w:vAlign w:val="center"/>
          </w:tcPr>
          <w:p w14:paraId="48590E81">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627739FF">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7698F182">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702CCDEB">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3" w:type="pct"/>
            <w:noWrap w:val="0"/>
            <w:vAlign w:val="center"/>
          </w:tcPr>
          <w:p w14:paraId="540775F5">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bl>
    <w:p w14:paraId="70609B1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4.4.5 培训的时间、人数、地点由投标人填写。</w:t>
      </w:r>
    </w:p>
    <w:p w14:paraId="2E5A196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4.5 设计联络</w:t>
      </w:r>
    </w:p>
    <w:p w14:paraId="39EC6A7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有关设计联络的计划、时间、地点和内容要求由招投标双方商定。</w:t>
      </w:r>
    </w:p>
    <w:p w14:paraId="050BF77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 包装、装卸、运输与储存</w:t>
      </w:r>
    </w:p>
    <w:p w14:paraId="2F4A2E4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5.1  投标人负责合同设备的包装、装卸、运输及倒运；</w:t>
      </w:r>
    </w:p>
    <w:p w14:paraId="02986F7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5.2  所有部件经妥善包装或装箱后，在运输过程中尚应采取其它防护措施，以免散失损坏或被盗。</w:t>
      </w:r>
    </w:p>
    <w:p w14:paraId="28CF7B5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5.3  在包装箱外应标明采购方的订货号、发货号。</w:t>
      </w:r>
    </w:p>
    <w:p w14:paraId="5B86EDA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5.4  各种包装应等确保各零部件在运输过程中不致遭到损坏、丢失、变形、受潮和腐蚀。</w:t>
      </w:r>
    </w:p>
    <w:p w14:paraId="01F98A5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5.5  包装箱上应有明显的包装储运图示标志（按GB191）。</w:t>
      </w:r>
    </w:p>
    <w:p w14:paraId="35C1A9A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5.6  整体产品或分别运输的部件都要适合运输和装载的要求。</w:t>
      </w:r>
    </w:p>
    <w:p w14:paraId="66BADE9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5.7  随产品提供的技术资料应完整无缺，提供份额符合GB19.32的要求。</w:t>
      </w:r>
    </w:p>
    <w:p w14:paraId="697ABD4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5.8  </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为投标人设备存放提供现场场地。</w:t>
      </w:r>
    </w:p>
    <w:p w14:paraId="55E0852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6、文件资料和图纸</w:t>
      </w:r>
    </w:p>
    <w:p w14:paraId="4B8536F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6.1 一般要求</w:t>
      </w:r>
    </w:p>
    <w:p w14:paraId="2B2E5E5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6.1.1 技术文件中所含的内容将构成投标人进行产品设计、生产、售后服务的技术依据，也是电池系统集成的基本技术条件和要求。</w:t>
      </w:r>
    </w:p>
    <w:p w14:paraId="302F292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6.1.2 投标人应按照</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要求准备和提供有关电池系统的运行、维护、修理、事故预案等相关资料。</w:t>
      </w:r>
    </w:p>
    <w:p w14:paraId="0EDE5FA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6.1.3 投标人应汇总并提交有关电池储能系统的相关标准及技术支持性文件测试报告、认证证书等文件。</w:t>
      </w:r>
    </w:p>
    <w:p w14:paraId="095607A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6.1.4 投标人、招标机构和</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（包括与本项目涉及的其他中方机构）之间的所有文件及信件以中文简体为准。无论何时需要对合同条款进行编写、标注也应使用中文；如必须使用中英文对照文本，则以中文简体为准。</w:t>
      </w:r>
    </w:p>
    <w:p w14:paraId="3D49C7D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6.2 资料的提交和认可</w:t>
      </w:r>
    </w:p>
    <w:p w14:paraId="5883A51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6.2.1 所有需经</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确认的图纸和说明文件，均应由投标人在技术协议签订后规定的时间内提交给</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及其所指定的单位进行审定认可。</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及其所指定的单位在收到需认可图纸后，将一套经确认的或签有</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校定标记的图纸（</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负责人签字）返还给投标人。</w:t>
      </w:r>
    </w:p>
    <w:p w14:paraId="65E85D1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6.2.2 图纸资料</w:t>
      </w:r>
    </w:p>
    <w:p w14:paraId="72AE1B9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1）设备布置图：应包括所有设备排布位置，各设备型尺寸、总重量等。（需在签订合同之日起1周内提供）</w:t>
      </w:r>
    </w:p>
    <w:p w14:paraId="2F7FB6A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2）基础图：应注明设备和其控制柜的尺寸，基础螺栓的位置和尺寸等。</w:t>
      </w:r>
    </w:p>
    <w:p w14:paraId="2C4884C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3）电气原理图：储能系统一次图。</w:t>
      </w:r>
    </w:p>
    <w:p w14:paraId="5DB5D06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4）设备出厂前需进行出厂测试。</w:t>
      </w:r>
    </w:p>
    <w:p w14:paraId="2C40257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5）使用说明书；</w:t>
      </w:r>
    </w:p>
    <w:p w14:paraId="6069201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6）产品合格证明书；</w:t>
      </w:r>
    </w:p>
    <w:p w14:paraId="6D4B2A9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7）工厂试验报告；</w:t>
      </w:r>
    </w:p>
    <w:p w14:paraId="1F192EC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8）设备清单；</w:t>
      </w:r>
    </w:p>
    <w:p w14:paraId="48E6984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9）安装手册；</w:t>
      </w:r>
    </w:p>
    <w:p w14:paraId="434F670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10）储能电站运维规程；</w:t>
      </w:r>
    </w:p>
    <w:p w14:paraId="1F9591F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11）型式试验报告；</w:t>
      </w:r>
    </w:p>
    <w:p w14:paraId="460114F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12）原厂保修卡；</w:t>
      </w:r>
    </w:p>
    <w:p w14:paraId="0450E53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7、质量保证</w:t>
      </w:r>
    </w:p>
    <w:p w14:paraId="36B187A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投标方产品的试运行期为：累积72小时试运行，质保期不小于1年（技术需求中有特殊要求的，按技术需求为准）。</w:t>
      </w:r>
    </w:p>
    <w:p w14:paraId="2628272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7.1 如在安装和试运行期间发现部件缺陷、损坏情况，在证实设备储存安装、维护和运行都符合要求时，投标方应尽快免费更换。</w:t>
      </w:r>
    </w:p>
    <w:p w14:paraId="6924AB2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7.2 在保证期内，投标方产品各部件因制造不良或设计不当而发生损坏或未能达到合同规定的各项指标时，投标方应无偿地为采购人修理或更换零部件。</w:t>
      </w:r>
    </w:p>
    <w:p w14:paraId="3582014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7.3 设备在验收试验时达不到合同规定的一个或多个技术指标保证值而属于投标方责任时，则投标方应自费采用有效措施在商定的时间内，使之达到保证指标。</w:t>
      </w:r>
    </w:p>
    <w:p w14:paraId="6503C3C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7.4 在保证期内，由于下列情况所造成的缺陷、损坏或达不到指标时，不属投标方责任：</w:t>
      </w:r>
    </w:p>
    <w:p w14:paraId="1FB8F56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—由于采购人错误操作和维修；</w:t>
      </w:r>
    </w:p>
    <w:p w14:paraId="6FCC8F7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—设备在现场保存时间超过合同规定期限的问题；</w:t>
      </w:r>
    </w:p>
    <w:p w14:paraId="2D1B2E86">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—由于非投标方造成的其它错误和缺陷。</w:t>
      </w:r>
    </w:p>
    <w:p w14:paraId="040D636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8</w:t>
      </w:r>
      <w:r>
        <w:rPr>
          <w:rFonts w:hint="eastAsia" w:ascii="宋体" w:hAnsi="宋体" w:eastAsia="宋体" w:cs="宋体"/>
          <w:color w:val="auto"/>
          <w:kern w:val="2"/>
          <w:sz w:val="21"/>
          <w:szCs w:val="21"/>
          <w:highlight w:val="none"/>
          <w:lang w:val="en-US" w:eastAsia="zh-CN" w:bidi="ar-SA"/>
        </w:rPr>
        <w:t>、项目实施方案</w:t>
      </w:r>
    </w:p>
    <w:p w14:paraId="20735E0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按照：《东莞市标域纸品有限公司储能项目实施方案》（方案仅供参考，实施方案以最终建设为准）。</w:t>
      </w:r>
    </w:p>
    <w:p w14:paraId="6B8B68B6">
      <w:pPr>
        <w:rPr>
          <w:rFonts w:hint="eastAsia"/>
          <w:color w:val="auto"/>
          <w:sz w:val="28"/>
          <w:szCs w:val="28"/>
          <w:highlight w:val="none"/>
        </w:rPr>
      </w:pPr>
      <w:bookmarkStart w:id="23" w:name="_Toc182307980"/>
    </w:p>
    <w:p w14:paraId="354B2091">
      <w:pPr>
        <w:rPr>
          <w:rFonts w:hint="eastAsia"/>
          <w:color w:val="auto"/>
          <w:sz w:val="28"/>
          <w:szCs w:val="28"/>
          <w:highlight w:val="none"/>
        </w:rPr>
      </w:pPr>
      <w:r>
        <w:rPr>
          <w:rFonts w:hint="eastAsia"/>
          <w:color w:val="auto"/>
          <w:sz w:val="28"/>
          <w:szCs w:val="28"/>
          <w:highlight w:val="none"/>
        </w:rPr>
        <w:br w:type="page"/>
      </w:r>
    </w:p>
    <w:p w14:paraId="5725BB05">
      <w:pPr>
        <w:pStyle w:val="6"/>
        <w:spacing w:before="0" w:after="0" w:line="240" w:lineRule="auto"/>
        <w:rPr>
          <w:color w:val="auto"/>
          <w:sz w:val="24"/>
          <w:szCs w:val="24"/>
          <w:highlight w:val="none"/>
        </w:rPr>
      </w:pPr>
      <w:r>
        <w:rPr>
          <w:rFonts w:hint="eastAsia"/>
          <w:color w:val="auto"/>
          <w:sz w:val="28"/>
          <w:szCs w:val="28"/>
          <w:highlight w:val="none"/>
        </w:rPr>
        <w:t>第四部分投标人须知</w:t>
      </w:r>
      <w:bookmarkEnd w:id="23"/>
    </w:p>
    <w:p w14:paraId="64ACC700">
      <w:pPr>
        <w:pStyle w:val="7"/>
        <w:numPr>
          <w:ilvl w:val="0"/>
          <w:numId w:val="1"/>
        </w:numPr>
        <w:spacing w:before="0" w:after="0" w:line="480" w:lineRule="auto"/>
        <w:jc w:val="center"/>
        <w:rPr>
          <w:rFonts w:hint="eastAsia" w:ascii="宋体" w:hAnsi="宋体"/>
          <w:color w:val="auto"/>
          <w:highlight w:val="none"/>
        </w:rPr>
      </w:pPr>
      <w:bookmarkStart w:id="24" w:name="_Toc182307981"/>
      <w:r>
        <w:rPr>
          <w:rFonts w:hint="eastAsia" w:ascii="宋体" w:hAnsi="宋体"/>
          <w:color w:val="auto"/>
          <w:highlight w:val="none"/>
        </w:rPr>
        <w:t>说明</w:t>
      </w:r>
      <w:bookmarkEnd w:id="24"/>
    </w:p>
    <w:p w14:paraId="6D4CA659">
      <w:pPr>
        <w:pStyle w:val="8"/>
        <w:widowControl w:val="0"/>
        <w:numPr>
          <w:ilvl w:val="0"/>
          <w:numId w:val="2"/>
        </w:numPr>
        <w:overflowPunct w:val="0"/>
        <w:rPr>
          <w:rFonts w:hint="eastAsia" w:ascii="宋体" w:hAnsi="宋体" w:cs="宋体"/>
          <w:color w:val="auto"/>
          <w:sz w:val="21"/>
          <w:szCs w:val="21"/>
          <w:highlight w:val="none"/>
        </w:rPr>
      </w:pPr>
      <w:bookmarkStart w:id="25" w:name="_Toc182307982"/>
      <w:r>
        <w:rPr>
          <w:rFonts w:hint="eastAsia" w:ascii="宋体" w:hAnsi="宋体" w:cs="宋体"/>
          <w:color w:val="auto"/>
          <w:sz w:val="21"/>
          <w:szCs w:val="21"/>
          <w:highlight w:val="none"/>
        </w:rPr>
        <w:t>适用范围</w:t>
      </w:r>
      <w:bookmarkEnd w:id="25"/>
    </w:p>
    <w:p w14:paraId="26DEE3E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采购范围：见本文件《用户需求书》</w:t>
      </w:r>
    </w:p>
    <w:p w14:paraId="13DC0D77">
      <w:pPr>
        <w:rPr>
          <w:rFonts w:hint="eastAsia" w:ascii="宋体" w:hAnsi="宋体" w:cs="宋体"/>
          <w:color w:val="auto"/>
          <w:highlight w:val="none"/>
        </w:rPr>
      </w:pPr>
    </w:p>
    <w:p w14:paraId="2AE01847">
      <w:pPr>
        <w:pStyle w:val="8"/>
        <w:widowControl w:val="0"/>
        <w:numPr>
          <w:ilvl w:val="0"/>
          <w:numId w:val="2"/>
        </w:numPr>
        <w:overflowPunct w:val="0"/>
        <w:rPr>
          <w:rFonts w:hint="eastAsia" w:ascii="宋体" w:hAnsi="宋体" w:cs="宋体"/>
          <w:color w:val="auto"/>
          <w:sz w:val="21"/>
          <w:szCs w:val="21"/>
          <w:highlight w:val="none"/>
        </w:rPr>
      </w:pPr>
      <w:bookmarkStart w:id="26" w:name="_Toc182307983"/>
      <w:bookmarkStart w:id="27" w:name="_Toc298847174"/>
      <w:bookmarkStart w:id="28" w:name="_Toc1530"/>
      <w:bookmarkStart w:id="29" w:name="_Toc303084246"/>
      <w:bookmarkStart w:id="30" w:name="_Toc382049092"/>
      <w:r>
        <w:rPr>
          <w:rFonts w:hint="eastAsia" w:ascii="宋体" w:hAnsi="宋体" w:cs="宋体"/>
          <w:color w:val="auto"/>
          <w:sz w:val="21"/>
          <w:szCs w:val="21"/>
          <w:highlight w:val="none"/>
        </w:rPr>
        <w:t>定义</w:t>
      </w:r>
      <w:bookmarkEnd w:id="26"/>
      <w:bookmarkEnd w:id="27"/>
      <w:bookmarkEnd w:id="28"/>
      <w:bookmarkEnd w:id="29"/>
      <w:bookmarkEnd w:id="30"/>
    </w:p>
    <w:p w14:paraId="2434BA9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采购人：见投标邀请书。</w:t>
      </w:r>
    </w:p>
    <w:p w14:paraId="5C074E3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228C95B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66384EB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5FAB5A6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采购代理机构：见投标邀请书。</w:t>
      </w:r>
    </w:p>
    <w:p w14:paraId="01E9DBC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评标委员会：评标委员会是依据相关规定组建的专门负责本次采购评标工作的临时性机构。</w:t>
      </w:r>
    </w:p>
    <w:p w14:paraId="549C1EE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602D479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3370303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6DE4DCFB">
      <w:pPr>
        <w:rPr>
          <w:rFonts w:hint="eastAsia" w:ascii="宋体" w:hAnsi="宋体" w:cs="宋体"/>
          <w:color w:val="auto"/>
          <w:highlight w:val="none"/>
        </w:rPr>
      </w:pPr>
    </w:p>
    <w:p w14:paraId="12ED53CF">
      <w:pPr>
        <w:pStyle w:val="8"/>
        <w:widowControl w:val="0"/>
        <w:numPr>
          <w:ilvl w:val="0"/>
          <w:numId w:val="2"/>
        </w:numPr>
        <w:overflowPunct w:val="0"/>
        <w:rPr>
          <w:rFonts w:hint="eastAsia" w:ascii="宋体" w:hAnsi="宋体" w:cs="宋体"/>
          <w:color w:val="auto"/>
          <w:sz w:val="21"/>
          <w:szCs w:val="21"/>
          <w:highlight w:val="none"/>
        </w:rPr>
      </w:pPr>
      <w:bookmarkStart w:id="31" w:name="_Toc182307984"/>
      <w:r>
        <w:rPr>
          <w:rFonts w:hint="eastAsia" w:ascii="宋体" w:hAnsi="宋体" w:cs="宋体"/>
          <w:color w:val="auto"/>
          <w:sz w:val="21"/>
          <w:szCs w:val="21"/>
          <w:highlight w:val="none"/>
        </w:rPr>
        <w:t>货物和服务</w:t>
      </w:r>
      <w:bookmarkEnd w:id="31"/>
    </w:p>
    <w:p w14:paraId="1FF1247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539AB18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54F96136">
      <w:pPr>
        <w:rPr>
          <w:rFonts w:hint="eastAsia" w:ascii="宋体" w:hAnsi="宋体" w:cs="宋体"/>
          <w:color w:val="auto"/>
          <w:highlight w:val="none"/>
        </w:rPr>
      </w:pPr>
    </w:p>
    <w:p w14:paraId="7168F3D8">
      <w:pPr>
        <w:pStyle w:val="8"/>
        <w:widowControl w:val="0"/>
        <w:numPr>
          <w:ilvl w:val="0"/>
          <w:numId w:val="2"/>
        </w:numPr>
        <w:overflowPunct w:val="0"/>
        <w:rPr>
          <w:rFonts w:hint="eastAsia" w:ascii="宋体" w:hAnsi="宋体" w:cs="宋体"/>
          <w:color w:val="auto"/>
          <w:sz w:val="21"/>
          <w:szCs w:val="21"/>
          <w:highlight w:val="none"/>
        </w:rPr>
      </w:pPr>
      <w:bookmarkStart w:id="32" w:name="_Toc182307985"/>
      <w:r>
        <w:rPr>
          <w:rFonts w:hint="eastAsia" w:ascii="宋体" w:hAnsi="宋体" w:cs="宋体"/>
          <w:color w:val="auto"/>
          <w:sz w:val="21"/>
          <w:szCs w:val="21"/>
          <w:highlight w:val="none"/>
        </w:rPr>
        <w:t>投标费用</w:t>
      </w:r>
      <w:bookmarkEnd w:id="32"/>
    </w:p>
    <w:p w14:paraId="2C745B5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6ADB79CC">
      <w:pPr>
        <w:widowControl w:val="0"/>
        <w:adjustRightInd/>
        <w:snapToGrid/>
        <w:jc w:val="both"/>
        <w:rPr>
          <w:rFonts w:hint="eastAsia" w:ascii="宋体" w:hAnsi="宋体" w:cs="宋体"/>
          <w:color w:val="auto"/>
          <w:szCs w:val="21"/>
          <w:highlight w:val="none"/>
        </w:rPr>
      </w:pPr>
    </w:p>
    <w:p w14:paraId="1BAD3727">
      <w:pPr>
        <w:pStyle w:val="8"/>
        <w:widowControl w:val="0"/>
        <w:numPr>
          <w:ilvl w:val="0"/>
          <w:numId w:val="2"/>
        </w:numPr>
        <w:overflowPunct w:val="0"/>
        <w:rPr>
          <w:rFonts w:hint="eastAsia" w:ascii="宋体" w:hAnsi="宋体" w:cs="宋体"/>
          <w:color w:val="auto"/>
          <w:sz w:val="21"/>
          <w:szCs w:val="21"/>
          <w:highlight w:val="none"/>
        </w:rPr>
      </w:pPr>
      <w:bookmarkStart w:id="33" w:name="_Toc182307986"/>
      <w:r>
        <w:rPr>
          <w:rFonts w:hint="eastAsia" w:ascii="宋体" w:hAnsi="宋体" w:cs="宋体"/>
          <w:color w:val="auto"/>
          <w:sz w:val="21"/>
          <w:szCs w:val="21"/>
          <w:highlight w:val="none"/>
        </w:rPr>
        <w:t>知识产权</w:t>
      </w:r>
      <w:bookmarkEnd w:id="33"/>
    </w:p>
    <w:p w14:paraId="4D45E77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7193F0B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24F8A02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2936B21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53AD5AC2">
      <w:pPr>
        <w:widowControl w:val="0"/>
        <w:adjustRightInd/>
        <w:snapToGrid/>
        <w:ind w:left="567"/>
        <w:jc w:val="both"/>
        <w:rPr>
          <w:rFonts w:hint="eastAsia" w:ascii="宋体" w:hAnsi="宋体" w:cs="宋体"/>
          <w:color w:val="auto"/>
          <w:szCs w:val="21"/>
          <w:highlight w:val="none"/>
        </w:rPr>
      </w:pPr>
    </w:p>
    <w:p w14:paraId="68A704A6">
      <w:pPr>
        <w:pStyle w:val="8"/>
        <w:widowControl w:val="0"/>
        <w:numPr>
          <w:ilvl w:val="0"/>
          <w:numId w:val="2"/>
        </w:numPr>
        <w:overflowPunct w:val="0"/>
        <w:rPr>
          <w:rFonts w:hint="eastAsia" w:ascii="宋体" w:hAnsi="宋体" w:cs="宋体"/>
          <w:color w:val="auto"/>
          <w:sz w:val="21"/>
          <w:szCs w:val="21"/>
          <w:highlight w:val="none"/>
        </w:rPr>
      </w:pPr>
      <w:bookmarkStart w:id="34" w:name="_Toc182307987"/>
      <w:r>
        <w:rPr>
          <w:rFonts w:hint="eastAsia" w:ascii="宋体" w:hAnsi="宋体" w:cs="宋体"/>
          <w:color w:val="auto"/>
          <w:sz w:val="21"/>
          <w:szCs w:val="21"/>
          <w:highlight w:val="none"/>
        </w:rPr>
        <w:t>关于联合体投标</w:t>
      </w:r>
      <w:bookmarkEnd w:id="34"/>
    </w:p>
    <w:p w14:paraId="49ED306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7F688FF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3B884B6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0F6E87C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4FDA3BC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502107F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02AEC43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7C47CF9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2BA4966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进行评分时，除评分标准有规定或说明外，业绩、奖项等的认定和评分根据共同投标协议约定的各方承担的工作和相应责任，确定一方打分，不累加打分；评审标准不明确或难以明确以哪一方计算评分情况时，则按主体方情况评分。</w:t>
      </w:r>
    </w:p>
    <w:p w14:paraId="4FF89E41">
      <w:pPr>
        <w:widowControl w:val="0"/>
        <w:adjustRightInd/>
        <w:snapToGrid/>
        <w:ind w:left="567"/>
        <w:jc w:val="both"/>
        <w:rPr>
          <w:rFonts w:hint="eastAsia" w:ascii="宋体" w:hAnsi="宋体" w:cs="宋体"/>
          <w:color w:val="auto"/>
          <w:szCs w:val="21"/>
          <w:highlight w:val="none"/>
        </w:rPr>
      </w:pPr>
    </w:p>
    <w:p w14:paraId="22665228">
      <w:pPr>
        <w:pStyle w:val="8"/>
        <w:widowControl w:val="0"/>
        <w:numPr>
          <w:ilvl w:val="0"/>
          <w:numId w:val="2"/>
        </w:numPr>
        <w:overflowPunct w:val="0"/>
        <w:rPr>
          <w:rFonts w:hint="eastAsia" w:ascii="宋体" w:hAnsi="宋体" w:cs="宋体"/>
          <w:color w:val="auto"/>
          <w:sz w:val="21"/>
          <w:szCs w:val="21"/>
          <w:highlight w:val="none"/>
        </w:rPr>
      </w:pPr>
      <w:bookmarkStart w:id="35" w:name="_Toc182307988"/>
      <w:r>
        <w:rPr>
          <w:rFonts w:hint="eastAsia" w:ascii="宋体" w:hAnsi="宋体" w:cs="宋体"/>
          <w:color w:val="auto"/>
          <w:sz w:val="21"/>
          <w:szCs w:val="21"/>
          <w:highlight w:val="none"/>
        </w:rPr>
        <w:t>关于分支机构投标</w:t>
      </w:r>
      <w:bookmarkEnd w:id="35"/>
    </w:p>
    <w:p w14:paraId="17F10D3E">
      <w:pPr>
        <w:widowControl w:val="0"/>
        <w:numPr>
          <w:ilvl w:val="1"/>
          <w:numId w:val="2"/>
        </w:numPr>
        <w:overflowPunct w:val="0"/>
        <w:rPr>
          <w:rFonts w:hint="eastAsia" w:ascii="宋体" w:hAnsi="宋体" w:cs="宋体"/>
          <w:color w:val="auto"/>
          <w:szCs w:val="21"/>
          <w:highlight w:val="none"/>
        </w:rPr>
      </w:pPr>
      <w:bookmarkStart w:id="36" w:name="EB389f116341dd4693875bc7987e7327f3"/>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6"/>
    </w:p>
    <w:p w14:paraId="1BE48CDE">
      <w:pPr>
        <w:widowControl w:val="0"/>
        <w:adjustRightInd/>
        <w:snapToGrid/>
        <w:ind w:left="567"/>
        <w:jc w:val="both"/>
        <w:rPr>
          <w:rFonts w:hint="eastAsia" w:ascii="宋体" w:hAnsi="宋体" w:cs="宋体"/>
          <w:color w:val="auto"/>
          <w:szCs w:val="21"/>
          <w:highlight w:val="none"/>
        </w:rPr>
      </w:pPr>
    </w:p>
    <w:p w14:paraId="1604085D">
      <w:pPr>
        <w:pStyle w:val="8"/>
        <w:widowControl w:val="0"/>
        <w:numPr>
          <w:ilvl w:val="0"/>
          <w:numId w:val="2"/>
        </w:numPr>
        <w:overflowPunct w:val="0"/>
        <w:rPr>
          <w:rFonts w:hint="eastAsia" w:ascii="宋体" w:hAnsi="宋体" w:cs="宋体"/>
          <w:color w:val="auto"/>
          <w:sz w:val="21"/>
          <w:szCs w:val="21"/>
          <w:highlight w:val="none"/>
        </w:rPr>
      </w:pPr>
      <w:bookmarkStart w:id="37" w:name="_Toc182307989"/>
      <w:r>
        <w:rPr>
          <w:rFonts w:hint="eastAsia" w:ascii="宋体" w:hAnsi="宋体" w:cs="宋体"/>
          <w:color w:val="auto"/>
          <w:sz w:val="21"/>
          <w:szCs w:val="21"/>
          <w:highlight w:val="none"/>
        </w:rPr>
        <w:t>踏勘现场</w:t>
      </w:r>
      <w:bookmarkEnd w:id="37"/>
    </w:p>
    <w:p w14:paraId="7A177D7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3DD90CA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45029A1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1C893AD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724D31C9">
      <w:pPr>
        <w:rPr>
          <w:rFonts w:hint="eastAsia" w:ascii="宋体" w:hAnsi="宋体" w:cs="宋体"/>
          <w:color w:val="auto"/>
          <w:highlight w:val="none"/>
        </w:rPr>
      </w:pPr>
    </w:p>
    <w:p w14:paraId="44124773">
      <w:pPr>
        <w:pStyle w:val="7"/>
        <w:numPr>
          <w:ilvl w:val="0"/>
          <w:numId w:val="1"/>
        </w:numPr>
        <w:spacing w:before="0" w:after="0" w:line="360" w:lineRule="auto"/>
        <w:jc w:val="center"/>
        <w:rPr>
          <w:rFonts w:hint="eastAsia" w:ascii="宋体" w:hAnsi="宋体" w:cs="宋体"/>
          <w:color w:val="auto"/>
          <w:highlight w:val="none"/>
        </w:rPr>
      </w:pPr>
      <w:bookmarkStart w:id="38" w:name="_Toc182307990"/>
      <w:r>
        <w:rPr>
          <w:rFonts w:hint="eastAsia" w:ascii="宋体" w:hAnsi="宋体" w:cs="宋体"/>
          <w:color w:val="auto"/>
          <w:highlight w:val="none"/>
        </w:rPr>
        <w:t>采购文件</w:t>
      </w:r>
      <w:bookmarkEnd w:id="38"/>
    </w:p>
    <w:p w14:paraId="37E2710A">
      <w:pPr>
        <w:pStyle w:val="8"/>
        <w:widowControl w:val="0"/>
        <w:numPr>
          <w:ilvl w:val="0"/>
          <w:numId w:val="2"/>
        </w:numPr>
        <w:overflowPunct w:val="0"/>
        <w:rPr>
          <w:rFonts w:hint="eastAsia" w:ascii="宋体" w:hAnsi="宋体" w:cs="宋体"/>
          <w:color w:val="auto"/>
          <w:sz w:val="21"/>
          <w:szCs w:val="21"/>
          <w:highlight w:val="none"/>
        </w:rPr>
      </w:pPr>
      <w:bookmarkStart w:id="39" w:name="_Toc182307991"/>
      <w:r>
        <w:rPr>
          <w:rFonts w:hint="eastAsia" w:ascii="宋体" w:hAnsi="宋体" w:cs="宋体"/>
          <w:color w:val="auto"/>
          <w:sz w:val="21"/>
          <w:szCs w:val="21"/>
          <w:highlight w:val="none"/>
        </w:rPr>
        <w:t>采购文件的组成</w:t>
      </w:r>
      <w:bookmarkEnd w:id="39"/>
    </w:p>
    <w:p w14:paraId="70BCE57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采购文件包括：</w:t>
      </w:r>
    </w:p>
    <w:p w14:paraId="19DC281F">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（1）投标邀请书；</w:t>
      </w:r>
    </w:p>
    <w:p w14:paraId="3FFFAFE1">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（2）投标资料表；</w:t>
      </w:r>
    </w:p>
    <w:p w14:paraId="4B4F5418">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（3）用户需求书；</w:t>
      </w:r>
    </w:p>
    <w:p w14:paraId="2671F3E1">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（4）投标人须知；</w:t>
      </w:r>
    </w:p>
    <w:p w14:paraId="3CD22EF4">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（5）拟签订的合同文本；</w:t>
      </w:r>
    </w:p>
    <w:p w14:paraId="6EC615D0">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（6）投标文件格式；</w:t>
      </w:r>
    </w:p>
    <w:p w14:paraId="520C7230">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24CDBC44">
      <w:pPr>
        <w:rPr>
          <w:rFonts w:hint="eastAsia" w:ascii="宋体" w:hAnsi="宋体" w:cs="宋体"/>
          <w:color w:val="auto"/>
          <w:highlight w:val="none"/>
        </w:rPr>
      </w:pPr>
    </w:p>
    <w:p w14:paraId="4CFDF0CE">
      <w:pPr>
        <w:pStyle w:val="8"/>
        <w:widowControl w:val="0"/>
        <w:numPr>
          <w:ilvl w:val="0"/>
          <w:numId w:val="2"/>
        </w:numPr>
        <w:overflowPunct w:val="0"/>
        <w:rPr>
          <w:rFonts w:hint="eastAsia" w:ascii="宋体" w:hAnsi="宋体" w:cs="宋体"/>
          <w:color w:val="auto"/>
          <w:sz w:val="21"/>
          <w:szCs w:val="21"/>
          <w:highlight w:val="none"/>
        </w:rPr>
      </w:pPr>
      <w:bookmarkStart w:id="40" w:name="_Toc182307992"/>
      <w:r>
        <w:rPr>
          <w:rFonts w:hint="eastAsia" w:ascii="宋体" w:hAnsi="宋体" w:cs="宋体"/>
          <w:color w:val="auto"/>
          <w:sz w:val="21"/>
          <w:szCs w:val="21"/>
          <w:highlight w:val="none"/>
        </w:rPr>
        <w:t>采购文件的澄清或修改</w:t>
      </w:r>
      <w:bookmarkEnd w:id="40"/>
    </w:p>
    <w:p w14:paraId="3C945EA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6DDD2CBE">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6D15C91E">
      <w:pPr>
        <w:widowControl w:val="0"/>
        <w:adjustRightInd/>
        <w:snapToGrid/>
        <w:ind w:left="567"/>
        <w:jc w:val="both"/>
        <w:rPr>
          <w:rFonts w:hint="eastAsia" w:ascii="宋体" w:hAnsi="宋体" w:cs="宋体"/>
          <w:color w:val="auto"/>
          <w:szCs w:val="21"/>
          <w:highlight w:val="none"/>
        </w:rPr>
      </w:pPr>
    </w:p>
    <w:p w14:paraId="5E31B7CA">
      <w:pPr>
        <w:pStyle w:val="7"/>
        <w:numPr>
          <w:ilvl w:val="0"/>
          <w:numId w:val="1"/>
        </w:numPr>
        <w:spacing w:before="0" w:after="0" w:line="360" w:lineRule="auto"/>
        <w:jc w:val="center"/>
        <w:rPr>
          <w:rFonts w:hint="eastAsia" w:ascii="宋体" w:hAnsi="宋体" w:cs="宋体"/>
          <w:color w:val="auto"/>
          <w:highlight w:val="none"/>
        </w:rPr>
      </w:pPr>
      <w:bookmarkStart w:id="41" w:name="_Toc182307993"/>
      <w:r>
        <w:rPr>
          <w:rFonts w:hint="eastAsia" w:ascii="宋体" w:hAnsi="宋体" w:cs="宋体"/>
          <w:color w:val="auto"/>
          <w:highlight w:val="none"/>
        </w:rPr>
        <w:t>投标文件的编制</w:t>
      </w:r>
      <w:bookmarkEnd w:id="41"/>
    </w:p>
    <w:p w14:paraId="6BB356E0">
      <w:pPr>
        <w:pStyle w:val="8"/>
        <w:widowControl w:val="0"/>
        <w:numPr>
          <w:ilvl w:val="0"/>
          <w:numId w:val="2"/>
        </w:numPr>
        <w:overflowPunct w:val="0"/>
        <w:rPr>
          <w:rFonts w:hint="eastAsia" w:ascii="宋体" w:hAnsi="宋体" w:cs="宋体"/>
          <w:color w:val="auto"/>
          <w:sz w:val="21"/>
          <w:szCs w:val="21"/>
          <w:highlight w:val="none"/>
        </w:rPr>
      </w:pPr>
      <w:bookmarkStart w:id="42" w:name="_Toc182307994"/>
      <w:r>
        <w:rPr>
          <w:rFonts w:hint="eastAsia" w:ascii="宋体" w:hAnsi="宋体" w:cs="宋体"/>
          <w:color w:val="auto"/>
          <w:sz w:val="21"/>
          <w:szCs w:val="21"/>
          <w:highlight w:val="none"/>
        </w:rPr>
        <w:t>投标文件的语言及度量衡单位</w:t>
      </w:r>
      <w:bookmarkEnd w:id="42"/>
    </w:p>
    <w:p w14:paraId="3A1DEB2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0D26C28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27362252">
      <w:pPr>
        <w:widowControl w:val="0"/>
        <w:adjustRightInd/>
        <w:snapToGrid/>
        <w:ind w:left="567"/>
        <w:jc w:val="both"/>
        <w:rPr>
          <w:rFonts w:hint="eastAsia" w:ascii="宋体" w:hAnsi="宋体" w:cs="宋体"/>
          <w:color w:val="auto"/>
          <w:szCs w:val="21"/>
          <w:highlight w:val="none"/>
        </w:rPr>
      </w:pPr>
    </w:p>
    <w:p w14:paraId="692AA20E">
      <w:pPr>
        <w:pStyle w:val="8"/>
        <w:widowControl w:val="0"/>
        <w:numPr>
          <w:ilvl w:val="0"/>
          <w:numId w:val="2"/>
        </w:numPr>
        <w:overflowPunct w:val="0"/>
        <w:rPr>
          <w:rFonts w:hint="eastAsia" w:ascii="宋体" w:hAnsi="宋体" w:cs="宋体"/>
          <w:color w:val="auto"/>
          <w:sz w:val="21"/>
          <w:szCs w:val="21"/>
          <w:highlight w:val="none"/>
        </w:rPr>
      </w:pPr>
      <w:bookmarkStart w:id="43" w:name="_Toc182307995"/>
      <w:bookmarkStart w:id="44" w:name="_Toc28866"/>
      <w:bookmarkStart w:id="45" w:name="_Toc382049103"/>
      <w:bookmarkStart w:id="46" w:name="_Toc303084256"/>
      <w:bookmarkStart w:id="47" w:name="_Toc307934854"/>
      <w:r>
        <w:rPr>
          <w:rFonts w:hint="eastAsia" w:ascii="宋体" w:hAnsi="宋体" w:cs="宋体"/>
          <w:color w:val="auto"/>
          <w:sz w:val="21"/>
          <w:szCs w:val="21"/>
          <w:highlight w:val="none"/>
        </w:rPr>
        <w:t>投标文件的组成</w:t>
      </w:r>
      <w:bookmarkEnd w:id="43"/>
      <w:bookmarkEnd w:id="44"/>
      <w:bookmarkEnd w:id="45"/>
      <w:bookmarkEnd w:id="46"/>
      <w:bookmarkEnd w:id="47"/>
    </w:p>
    <w:p w14:paraId="1C35CBC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74BF9DD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1E3AF08F">
      <w:pPr>
        <w:rPr>
          <w:rFonts w:hint="eastAsia" w:ascii="宋体" w:hAnsi="宋体" w:cs="宋体"/>
          <w:color w:val="auto"/>
          <w:highlight w:val="none"/>
        </w:rPr>
      </w:pPr>
    </w:p>
    <w:p w14:paraId="14CEF915">
      <w:pPr>
        <w:pStyle w:val="8"/>
        <w:widowControl w:val="0"/>
        <w:numPr>
          <w:ilvl w:val="0"/>
          <w:numId w:val="2"/>
        </w:numPr>
        <w:overflowPunct w:val="0"/>
        <w:rPr>
          <w:rFonts w:hint="eastAsia" w:ascii="宋体" w:hAnsi="宋体" w:cs="宋体"/>
          <w:color w:val="auto"/>
          <w:sz w:val="21"/>
          <w:szCs w:val="21"/>
          <w:highlight w:val="none"/>
        </w:rPr>
      </w:pPr>
      <w:bookmarkStart w:id="48" w:name="_Toc182307996"/>
      <w:r>
        <w:rPr>
          <w:rFonts w:hint="eastAsia" w:ascii="宋体" w:hAnsi="宋体" w:cs="宋体"/>
          <w:color w:val="auto"/>
          <w:sz w:val="21"/>
          <w:szCs w:val="21"/>
          <w:highlight w:val="none"/>
        </w:rPr>
        <w:t>投标文件编制</w:t>
      </w:r>
      <w:bookmarkEnd w:id="48"/>
    </w:p>
    <w:p w14:paraId="31938604">
      <w:pPr>
        <w:widowControl w:val="0"/>
        <w:numPr>
          <w:ilvl w:val="1"/>
          <w:numId w:val="2"/>
        </w:numPr>
        <w:overflowPunct w:val="0"/>
        <w:rPr>
          <w:rFonts w:hint="eastAsia" w:ascii="宋体" w:hAnsi="宋体" w:cs="宋体"/>
          <w:color w:val="auto"/>
          <w:szCs w:val="21"/>
          <w:highlight w:val="none"/>
        </w:rPr>
      </w:pPr>
      <w:bookmarkStart w:id="49" w:name="_Toc303084258"/>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3A5168D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2B27944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投标人名称与投标人公章不一致，若投标人名称已进行变更，应在投标文件中提供相应的证明材料并加盖公章，否则投标文件无效。</w:t>
      </w:r>
    </w:p>
    <w:p w14:paraId="03E05F0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068B771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6ABC949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0EE77004">
      <w:pPr>
        <w:pStyle w:val="45"/>
        <w:widowControl w:val="0"/>
        <w:numPr>
          <w:ilvl w:val="0"/>
          <w:numId w:val="3"/>
        </w:numPr>
        <w:adjustRightInd/>
        <w:snapToGrid/>
        <w:ind w:firstLineChars="0"/>
        <w:jc w:val="both"/>
        <w:rPr>
          <w:rFonts w:hint="eastAsia"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6357D693">
      <w:pPr>
        <w:pStyle w:val="45"/>
        <w:widowControl w:val="0"/>
        <w:numPr>
          <w:ilvl w:val="0"/>
          <w:numId w:val="3"/>
        </w:numPr>
        <w:adjustRightInd/>
        <w:snapToGrid/>
        <w:ind w:firstLineChars="0"/>
        <w:jc w:val="both"/>
        <w:rPr>
          <w:rFonts w:hint="eastAsia"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565E5785">
      <w:pPr>
        <w:widowControl w:val="0"/>
        <w:numPr>
          <w:ilvl w:val="1"/>
          <w:numId w:val="2"/>
        </w:numPr>
        <w:overflowPunct w:val="0"/>
        <w:spacing w:line="264" w:lineRule="auto"/>
        <w:rPr>
          <w:rFonts w:hint="eastAsia"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5FF53F0F">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58477BAC">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1C2E9A76">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396D39AC">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72B414C5">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1BF38A34">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49"/>
    <w:p w14:paraId="05564C58">
      <w:pPr>
        <w:rPr>
          <w:rFonts w:hint="eastAsia" w:ascii="宋体" w:hAnsi="宋体" w:cs="宋体"/>
          <w:color w:val="auto"/>
          <w:highlight w:val="none"/>
        </w:rPr>
      </w:pPr>
    </w:p>
    <w:p w14:paraId="46F5B426">
      <w:pPr>
        <w:pStyle w:val="8"/>
        <w:widowControl w:val="0"/>
        <w:numPr>
          <w:ilvl w:val="0"/>
          <w:numId w:val="2"/>
        </w:numPr>
        <w:overflowPunct w:val="0"/>
        <w:rPr>
          <w:rFonts w:hint="eastAsia" w:ascii="宋体" w:hAnsi="宋体" w:cs="宋体"/>
          <w:color w:val="auto"/>
          <w:sz w:val="21"/>
          <w:szCs w:val="21"/>
          <w:highlight w:val="none"/>
        </w:rPr>
      </w:pPr>
      <w:bookmarkStart w:id="50" w:name="_Toc182307997"/>
      <w:r>
        <w:rPr>
          <w:rFonts w:hint="eastAsia" w:ascii="宋体" w:hAnsi="宋体" w:cs="宋体"/>
          <w:color w:val="auto"/>
          <w:sz w:val="21"/>
          <w:szCs w:val="21"/>
          <w:highlight w:val="none"/>
        </w:rPr>
        <w:t>投标报价说明</w:t>
      </w:r>
      <w:bookmarkEnd w:id="50"/>
    </w:p>
    <w:p w14:paraId="5FFC7EA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019D311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6981D7F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25F25AE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6F2B707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67DB6D63">
      <w:pPr>
        <w:rPr>
          <w:rFonts w:hint="eastAsia" w:ascii="宋体" w:hAnsi="宋体" w:cs="宋体"/>
          <w:color w:val="auto"/>
          <w:highlight w:val="none"/>
        </w:rPr>
      </w:pPr>
    </w:p>
    <w:p w14:paraId="7EF3F3C8">
      <w:pPr>
        <w:pStyle w:val="8"/>
        <w:widowControl w:val="0"/>
        <w:numPr>
          <w:ilvl w:val="0"/>
          <w:numId w:val="2"/>
        </w:numPr>
        <w:overflowPunct w:val="0"/>
        <w:rPr>
          <w:rFonts w:hint="eastAsia" w:ascii="宋体" w:hAnsi="宋体" w:cs="宋体"/>
          <w:color w:val="auto"/>
          <w:sz w:val="21"/>
          <w:szCs w:val="21"/>
          <w:highlight w:val="none"/>
        </w:rPr>
      </w:pPr>
      <w:bookmarkStart w:id="51" w:name="_Toc182307998"/>
      <w:r>
        <w:rPr>
          <w:rFonts w:hint="eastAsia" w:ascii="宋体" w:hAnsi="宋体" w:cs="宋体"/>
          <w:color w:val="auto"/>
          <w:sz w:val="21"/>
          <w:szCs w:val="21"/>
          <w:highlight w:val="none"/>
        </w:rPr>
        <w:t>投标人所提供的服务或货物的证明文件</w:t>
      </w:r>
      <w:bookmarkEnd w:id="51"/>
    </w:p>
    <w:p w14:paraId="65A00B5E">
      <w:pPr>
        <w:widowControl w:val="0"/>
        <w:numPr>
          <w:ilvl w:val="1"/>
          <w:numId w:val="2"/>
        </w:numPr>
        <w:overflowPunct w:val="0"/>
        <w:rPr>
          <w:rFonts w:hint="eastAsia" w:ascii="宋体" w:hAnsi="宋体" w:cs="宋体"/>
          <w:color w:val="auto"/>
          <w:szCs w:val="21"/>
          <w:highlight w:val="none"/>
        </w:rPr>
      </w:pPr>
      <w:bookmarkStart w:id="52" w:name="_Hlt107925638"/>
      <w:bookmarkEnd w:id="52"/>
      <w:bookmarkStart w:id="53" w:name="_Hlt107925668"/>
      <w:bookmarkEnd w:id="53"/>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3DC3B61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0ED1E0A3">
      <w:pPr>
        <w:pStyle w:val="45"/>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2E094336">
      <w:pPr>
        <w:pStyle w:val="45"/>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51CC3996">
      <w:pPr>
        <w:pStyle w:val="45"/>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（1）使用伪造、变造的许可证件；</w:t>
      </w:r>
    </w:p>
    <w:p w14:paraId="5DFCD82A">
      <w:pPr>
        <w:pStyle w:val="45"/>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（2）提供虚假的财务状况或者业绩；</w:t>
      </w:r>
    </w:p>
    <w:p w14:paraId="3707F968">
      <w:pPr>
        <w:pStyle w:val="45"/>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14:paraId="12DFAEF1">
      <w:pPr>
        <w:pStyle w:val="45"/>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（4）提供虚假的信用状况；</w:t>
      </w:r>
    </w:p>
    <w:p w14:paraId="4C602009">
      <w:pPr>
        <w:pStyle w:val="45"/>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（5）其他弄虚作假的行为。</w:t>
      </w:r>
    </w:p>
    <w:p w14:paraId="72AA28D4">
      <w:pPr>
        <w:pStyle w:val="8"/>
        <w:widowControl w:val="0"/>
        <w:numPr>
          <w:ilvl w:val="0"/>
          <w:numId w:val="2"/>
        </w:numPr>
        <w:overflowPunct w:val="0"/>
        <w:rPr>
          <w:rFonts w:hint="eastAsia" w:ascii="宋体" w:hAnsi="宋体" w:cs="宋体"/>
          <w:color w:val="auto"/>
          <w:sz w:val="21"/>
          <w:szCs w:val="21"/>
          <w:highlight w:val="none"/>
        </w:rPr>
      </w:pPr>
      <w:bookmarkStart w:id="54" w:name="_Toc182307999"/>
      <w:r>
        <w:rPr>
          <w:rFonts w:hint="eastAsia" w:ascii="宋体" w:hAnsi="宋体" w:cs="宋体"/>
          <w:color w:val="auto"/>
          <w:sz w:val="21"/>
          <w:szCs w:val="21"/>
          <w:highlight w:val="none"/>
        </w:rPr>
        <w:t>投标有效期</w:t>
      </w:r>
      <w:bookmarkEnd w:id="54"/>
    </w:p>
    <w:p w14:paraId="676728D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1BC0D12C">
      <w:pPr>
        <w:widowControl w:val="0"/>
        <w:adjustRightInd/>
        <w:snapToGrid/>
        <w:ind w:left="567"/>
        <w:jc w:val="both"/>
        <w:rPr>
          <w:rFonts w:hint="eastAsia" w:ascii="宋体" w:hAnsi="宋体" w:cs="宋体"/>
          <w:color w:val="auto"/>
          <w:highlight w:val="none"/>
        </w:rPr>
      </w:pPr>
    </w:p>
    <w:p w14:paraId="0A943BB7">
      <w:pPr>
        <w:pStyle w:val="8"/>
        <w:widowControl w:val="0"/>
        <w:numPr>
          <w:ilvl w:val="0"/>
          <w:numId w:val="2"/>
        </w:numPr>
        <w:overflowPunct w:val="0"/>
        <w:rPr>
          <w:rFonts w:hint="eastAsia" w:ascii="宋体" w:hAnsi="宋体" w:cs="宋体"/>
          <w:color w:val="auto"/>
          <w:sz w:val="21"/>
          <w:szCs w:val="21"/>
          <w:highlight w:val="none"/>
        </w:rPr>
      </w:pPr>
      <w:bookmarkStart w:id="55" w:name="_Toc182308000"/>
      <w:r>
        <w:rPr>
          <w:rFonts w:hint="eastAsia" w:ascii="宋体" w:hAnsi="宋体" w:cs="宋体"/>
          <w:color w:val="auto"/>
          <w:sz w:val="21"/>
          <w:szCs w:val="21"/>
          <w:highlight w:val="none"/>
        </w:rPr>
        <w:t>投标保证金</w:t>
      </w:r>
      <w:bookmarkEnd w:id="55"/>
    </w:p>
    <w:p w14:paraId="1F0138E8">
      <w:pPr>
        <w:widowControl w:val="0"/>
        <w:numPr>
          <w:ilvl w:val="1"/>
          <w:numId w:val="2"/>
        </w:numPr>
        <w:overflowPunct w:val="0"/>
        <w:rPr>
          <w:rFonts w:hint="eastAsia" w:ascii="宋体" w:hAnsi="宋体" w:cs="宋体"/>
          <w:color w:val="auto"/>
          <w:szCs w:val="21"/>
          <w:highlight w:val="none"/>
        </w:rPr>
      </w:pPr>
      <w:bookmarkStart w:id="56" w:name="_Ref179619405"/>
      <w:r>
        <w:rPr>
          <w:rFonts w:hint="eastAsia" w:ascii="宋体" w:hAnsi="宋体" w:cs="宋体"/>
          <w:color w:val="auto"/>
          <w:szCs w:val="21"/>
          <w:highlight w:val="none"/>
        </w:rPr>
        <w:t>投标人应在投标文件递交截止前提交相应的投标保证金，并作为其投标的一部分。</w:t>
      </w:r>
      <w:bookmarkEnd w:id="56"/>
    </w:p>
    <w:p w14:paraId="774B4BD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3F26151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采用转账、电汇方式提交，应符合以下要求：采用银行转账、电汇方式提交的，保证金汇入《投标资料表》中投标保证金专用账户，不接收由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49521E4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44EC45D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25B9DCF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14ED77E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129A733C">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14:paraId="507F4F6C">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p>
    <w:p w14:paraId="7FAACC16">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14:paraId="14D0B226">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14:paraId="7EEC205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14:paraId="2FCCEAAA">
      <w:pPr>
        <w:rPr>
          <w:rFonts w:hint="eastAsia" w:ascii="宋体" w:hAnsi="宋体" w:cs="宋体"/>
          <w:color w:val="auto"/>
          <w:highlight w:val="none"/>
        </w:rPr>
      </w:pPr>
    </w:p>
    <w:p w14:paraId="785B69FF">
      <w:pPr>
        <w:pStyle w:val="7"/>
        <w:numPr>
          <w:ilvl w:val="0"/>
          <w:numId w:val="1"/>
        </w:numPr>
        <w:spacing w:before="0" w:after="0" w:line="360" w:lineRule="auto"/>
        <w:jc w:val="center"/>
        <w:rPr>
          <w:rFonts w:hint="eastAsia" w:ascii="宋体" w:hAnsi="宋体" w:cs="宋体"/>
          <w:color w:val="auto"/>
          <w:highlight w:val="none"/>
        </w:rPr>
      </w:pPr>
      <w:bookmarkStart w:id="57" w:name="_Toc182308001"/>
      <w:r>
        <w:rPr>
          <w:rFonts w:hint="eastAsia" w:ascii="宋体" w:hAnsi="宋体" w:cs="宋体"/>
          <w:color w:val="auto"/>
          <w:highlight w:val="none"/>
        </w:rPr>
        <w:t>投标文件的递交</w:t>
      </w:r>
      <w:bookmarkEnd w:id="57"/>
    </w:p>
    <w:p w14:paraId="3D20DA58">
      <w:pPr>
        <w:pStyle w:val="8"/>
        <w:widowControl w:val="0"/>
        <w:numPr>
          <w:ilvl w:val="0"/>
          <w:numId w:val="2"/>
        </w:numPr>
        <w:overflowPunct w:val="0"/>
        <w:rPr>
          <w:rFonts w:hint="eastAsia" w:ascii="宋体" w:hAnsi="宋体" w:cs="宋体"/>
          <w:color w:val="auto"/>
          <w:sz w:val="21"/>
          <w:szCs w:val="21"/>
          <w:highlight w:val="none"/>
        </w:rPr>
      </w:pPr>
      <w:bookmarkStart w:id="58" w:name="_Toc382049111"/>
      <w:bookmarkStart w:id="59" w:name="_Toc182308002"/>
      <w:bookmarkStart w:id="60" w:name="_Toc303084264"/>
      <w:bookmarkStart w:id="61" w:name="_Toc24997"/>
      <w:r>
        <w:rPr>
          <w:rFonts w:hint="eastAsia" w:ascii="宋体" w:hAnsi="宋体" w:cs="宋体"/>
          <w:color w:val="auto"/>
          <w:sz w:val="21"/>
          <w:szCs w:val="21"/>
          <w:highlight w:val="none"/>
        </w:rPr>
        <w:t>投标文件的装订，签署，密封和标记</w:t>
      </w:r>
      <w:bookmarkEnd w:id="58"/>
      <w:bookmarkEnd w:id="59"/>
      <w:bookmarkEnd w:id="60"/>
      <w:bookmarkEnd w:id="61"/>
    </w:p>
    <w:p w14:paraId="2F58D82C">
      <w:pPr>
        <w:widowControl w:val="0"/>
        <w:numPr>
          <w:ilvl w:val="1"/>
          <w:numId w:val="2"/>
        </w:numPr>
        <w:overflowPunct w:val="0"/>
        <w:rPr>
          <w:rFonts w:hint="eastAsia"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14:paraId="427E8E5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070782F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73E1393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3F5CA45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4148CEF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3B832F8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694132D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核查）和投标保证金汇入情况说明（加盖公章）。投标人的法定代表人参加投标时，须开具法定代表人证明书，按上述要求与开标一览表一并密封提交。“唱标信封”份数及签章等要求与投标文件正本相同（1份）。</w:t>
      </w:r>
    </w:p>
    <w:p w14:paraId="1CFA7D94">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14:paraId="4302649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 xml:space="preserve">所有的信封均应注明： </w:t>
      </w:r>
    </w:p>
    <w:p w14:paraId="54A5A76B">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 xml:space="preserve">收件人： </w:t>
      </w:r>
    </w:p>
    <w:p w14:paraId="29D58B21">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投标人名称：</w:t>
      </w:r>
    </w:p>
    <w:p w14:paraId="39B7200C">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项目名称：</w:t>
      </w:r>
    </w:p>
    <w:p w14:paraId="02FFF68B">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项目采购项目编号：</w:t>
      </w:r>
    </w:p>
    <w:p w14:paraId="3BE9C4D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5A796FE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4CDAA32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14:paraId="543C794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传真、电传的投标文件将被拒绝。</w:t>
      </w:r>
    </w:p>
    <w:p w14:paraId="1987246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2BED81B3">
      <w:pPr>
        <w:rPr>
          <w:rFonts w:hint="eastAsia" w:ascii="宋体" w:hAnsi="宋体" w:cs="宋体"/>
          <w:color w:val="auto"/>
          <w:highlight w:val="none"/>
        </w:rPr>
      </w:pPr>
    </w:p>
    <w:p w14:paraId="60E0A87E">
      <w:pPr>
        <w:pStyle w:val="8"/>
        <w:widowControl w:val="0"/>
        <w:numPr>
          <w:ilvl w:val="0"/>
          <w:numId w:val="2"/>
        </w:numPr>
        <w:overflowPunct w:val="0"/>
        <w:rPr>
          <w:rFonts w:hint="eastAsia" w:ascii="宋体" w:hAnsi="宋体" w:cs="宋体"/>
          <w:color w:val="auto"/>
          <w:sz w:val="21"/>
          <w:szCs w:val="21"/>
          <w:highlight w:val="none"/>
        </w:rPr>
      </w:pPr>
      <w:bookmarkStart w:id="62" w:name="_Toc182308003"/>
      <w:r>
        <w:rPr>
          <w:rFonts w:hint="eastAsia" w:ascii="宋体" w:hAnsi="宋体" w:cs="宋体"/>
          <w:color w:val="auto"/>
          <w:sz w:val="21"/>
          <w:szCs w:val="21"/>
          <w:highlight w:val="none"/>
        </w:rPr>
        <w:t>迟交的投标文件</w:t>
      </w:r>
      <w:bookmarkEnd w:id="62"/>
    </w:p>
    <w:p w14:paraId="2C2B528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3D298B1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235738F8">
      <w:pPr>
        <w:rPr>
          <w:rFonts w:hint="eastAsia" w:ascii="宋体" w:hAnsi="宋体" w:cs="宋体"/>
          <w:color w:val="auto"/>
          <w:highlight w:val="none"/>
        </w:rPr>
      </w:pPr>
    </w:p>
    <w:p w14:paraId="2AE0504C">
      <w:pPr>
        <w:pStyle w:val="8"/>
        <w:widowControl w:val="0"/>
        <w:numPr>
          <w:ilvl w:val="0"/>
          <w:numId w:val="2"/>
        </w:numPr>
        <w:overflowPunct w:val="0"/>
        <w:rPr>
          <w:rFonts w:hint="eastAsia" w:ascii="宋体" w:hAnsi="宋体" w:cs="宋体"/>
          <w:color w:val="auto"/>
          <w:sz w:val="21"/>
          <w:szCs w:val="21"/>
          <w:highlight w:val="none"/>
        </w:rPr>
      </w:pPr>
      <w:bookmarkStart w:id="63" w:name="_Toc182308004"/>
      <w:r>
        <w:rPr>
          <w:rFonts w:hint="eastAsia" w:ascii="宋体" w:hAnsi="宋体" w:cs="宋体"/>
          <w:color w:val="auto"/>
          <w:sz w:val="21"/>
          <w:szCs w:val="21"/>
          <w:highlight w:val="none"/>
        </w:rPr>
        <w:t>投标样品（如需提交）</w:t>
      </w:r>
      <w:bookmarkEnd w:id="63"/>
    </w:p>
    <w:p w14:paraId="00EDE44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7777FD8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36C26C8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074BFF1D">
      <w:pPr>
        <w:rPr>
          <w:rFonts w:hint="eastAsia" w:ascii="宋体" w:hAnsi="宋体" w:cs="宋体"/>
          <w:color w:val="auto"/>
          <w:highlight w:val="none"/>
        </w:rPr>
      </w:pPr>
    </w:p>
    <w:p w14:paraId="6CDE53D4">
      <w:pPr>
        <w:pStyle w:val="8"/>
        <w:widowControl w:val="0"/>
        <w:numPr>
          <w:ilvl w:val="0"/>
          <w:numId w:val="2"/>
        </w:numPr>
        <w:overflowPunct w:val="0"/>
        <w:rPr>
          <w:rFonts w:hint="eastAsia" w:ascii="宋体" w:hAnsi="宋体" w:cs="宋体"/>
          <w:color w:val="auto"/>
          <w:sz w:val="21"/>
          <w:szCs w:val="21"/>
          <w:highlight w:val="none"/>
        </w:rPr>
      </w:pPr>
      <w:bookmarkStart w:id="64" w:name="_Toc382049112"/>
      <w:bookmarkStart w:id="65" w:name="_Toc9777"/>
      <w:bookmarkStart w:id="66" w:name="_Toc303084265"/>
      <w:bookmarkStart w:id="67" w:name="_Toc182308005"/>
      <w:r>
        <w:rPr>
          <w:rFonts w:hint="eastAsia" w:ascii="宋体" w:hAnsi="宋体" w:cs="宋体"/>
          <w:color w:val="auto"/>
          <w:sz w:val="21"/>
          <w:szCs w:val="21"/>
          <w:highlight w:val="none"/>
        </w:rPr>
        <w:t>投标截止期</w:t>
      </w:r>
      <w:bookmarkEnd w:id="64"/>
      <w:bookmarkEnd w:id="65"/>
      <w:bookmarkEnd w:id="66"/>
      <w:bookmarkEnd w:id="67"/>
    </w:p>
    <w:p w14:paraId="39E2800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投标人应在采购文件规定的截止日期和时间内，将投标文件送达指定地点。</w:t>
      </w:r>
    </w:p>
    <w:p w14:paraId="61703B3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60F9C92D">
      <w:pPr>
        <w:rPr>
          <w:rFonts w:hint="eastAsia" w:ascii="宋体" w:hAnsi="宋体" w:cs="宋体"/>
          <w:color w:val="auto"/>
          <w:highlight w:val="none"/>
        </w:rPr>
      </w:pPr>
    </w:p>
    <w:p w14:paraId="6AFC171A">
      <w:pPr>
        <w:pStyle w:val="8"/>
        <w:widowControl w:val="0"/>
        <w:numPr>
          <w:ilvl w:val="0"/>
          <w:numId w:val="2"/>
        </w:numPr>
        <w:overflowPunct w:val="0"/>
        <w:rPr>
          <w:rFonts w:hint="eastAsia" w:ascii="宋体" w:hAnsi="宋体" w:cs="宋体"/>
          <w:color w:val="auto"/>
          <w:sz w:val="21"/>
          <w:szCs w:val="21"/>
          <w:highlight w:val="none"/>
        </w:rPr>
      </w:pPr>
      <w:bookmarkStart w:id="68" w:name="_Toc182308006"/>
      <w:r>
        <w:rPr>
          <w:rFonts w:hint="eastAsia" w:ascii="宋体" w:hAnsi="宋体" w:cs="宋体"/>
          <w:color w:val="auto"/>
          <w:sz w:val="21"/>
          <w:szCs w:val="21"/>
          <w:highlight w:val="none"/>
        </w:rPr>
        <w:t>投标文件的补充、修改与撤回</w:t>
      </w:r>
      <w:bookmarkEnd w:id="68"/>
    </w:p>
    <w:p w14:paraId="75F75E7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03D2949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2654DAB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投标文件一经递交不予退还。</w:t>
      </w:r>
    </w:p>
    <w:p w14:paraId="6E3D364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5D9E6699">
      <w:pPr>
        <w:pStyle w:val="13"/>
        <w:rPr>
          <w:rFonts w:hint="eastAsia"/>
          <w:color w:val="auto"/>
          <w:highlight w:val="none"/>
        </w:rPr>
      </w:pPr>
    </w:p>
    <w:p w14:paraId="419D7168">
      <w:pPr>
        <w:pStyle w:val="7"/>
        <w:numPr>
          <w:ilvl w:val="0"/>
          <w:numId w:val="1"/>
        </w:numPr>
        <w:spacing w:before="0" w:after="0" w:line="360" w:lineRule="auto"/>
        <w:jc w:val="center"/>
        <w:rPr>
          <w:rFonts w:hint="eastAsia" w:ascii="宋体" w:hAnsi="宋体" w:cs="宋体"/>
          <w:color w:val="auto"/>
          <w:highlight w:val="none"/>
        </w:rPr>
      </w:pPr>
      <w:bookmarkStart w:id="69" w:name="_Toc182308007"/>
      <w:r>
        <w:rPr>
          <w:rFonts w:hint="eastAsia" w:ascii="宋体" w:hAnsi="宋体" w:cs="宋体"/>
          <w:color w:val="auto"/>
          <w:highlight w:val="none"/>
        </w:rPr>
        <w:t>开标与评标</w:t>
      </w:r>
      <w:bookmarkEnd w:id="69"/>
    </w:p>
    <w:p w14:paraId="1932E92C">
      <w:pPr>
        <w:pStyle w:val="8"/>
        <w:widowControl w:val="0"/>
        <w:numPr>
          <w:ilvl w:val="0"/>
          <w:numId w:val="2"/>
        </w:numPr>
        <w:overflowPunct w:val="0"/>
        <w:rPr>
          <w:rFonts w:hint="eastAsia" w:ascii="宋体" w:hAnsi="宋体" w:cs="宋体"/>
          <w:color w:val="auto"/>
          <w:sz w:val="21"/>
          <w:szCs w:val="21"/>
          <w:highlight w:val="none"/>
        </w:rPr>
      </w:pPr>
      <w:bookmarkStart w:id="70" w:name="_Toc182308008"/>
      <w:r>
        <w:rPr>
          <w:rFonts w:hint="eastAsia" w:ascii="宋体" w:hAnsi="宋体" w:cs="宋体"/>
          <w:color w:val="auto"/>
          <w:sz w:val="21"/>
          <w:szCs w:val="21"/>
          <w:highlight w:val="none"/>
        </w:rPr>
        <w:t>开标</w:t>
      </w:r>
      <w:bookmarkEnd w:id="70"/>
    </w:p>
    <w:p w14:paraId="21BFD48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66A2C49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开标程序：</w:t>
      </w:r>
    </w:p>
    <w:p w14:paraId="4CDDD7D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4F6DF61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1E024F7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4FEAA52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49E535F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合格投标人不足3家的，不得开标；</w:t>
      </w:r>
    </w:p>
    <w:p w14:paraId="36C49F5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4931690B">
      <w:pPr>
        <w:widowControl w:val="0"/>
        <w:adjustRightInd/>
        <w:snapToGrid/>
        <w:ind w:left="567"/>
        <w:jc w:val="both"/>
        <w:rPr>
          <w:rFonts w:hint="eastAsia" w:ascii="宋体" w:hAnsi="宋体" w:cs="宋体"/>
          <w:color w:val="auto"/>
          <w:highlight w:val="none"/>
        </w:rPr>
      </w:pPr>
    </w:p>
    <w:p w14:paraId="15765158">
      <w:pPr>
        <w:pStyle w:val="8"/>
        <w:widowControl w:val="0"/>
        <w:numPr>
          <w:ilvl w:val="0"/>
          <w:numId w:val="2"/>
        </w:numPr>
        <w:overflowPunct w:val="0"/>
        <w:rPr>
          <w:rFonts w:hint="eastAsia" w:ascii="宋体" w:hAnsi="宋体" w:cs="宋体"/>
          <w:color w:val="auto"/>
          <w:sz w:val="21"/>
          <w:szCs w:val="21"/>
          <w:highlight w:val="none"/>
        </w:rPr>
      </w:pPr>
      <w:bookmarkStart w:id="71" w:name="_Toc182308009"/>
      <w:r>
        <w:rPr>
          <w:rFonts w:hint="eastAsia" w:ascii="宋体" w:hAnsi="宋体" w:cs="宋体"/>
          <w:color w:val="auto"/>
          <w:sz w:val="21"/>
          <w:szCs w:val="21"/>
          <w:highlight w:val="none"/>
        </w:rPr>
        <w:t>评标委员会及评标方法</w:t>
      </w:r>
      <w:bookmarkEnd w:id="71"/>
    </w:p>
    <w:p w14:paraId="65F2782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319F6E4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14:paraId="68E599E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6D0EAA7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7EE2D50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33ECAD5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51117487">
      <w:pPr>
        <w:rPr>
          <w:rFonts w:hint="eastAsia" w:ascii="宋体" w:hAnsi="宋体" w:cs="宋体"/>
          <w:color w:val="auto"/>
          <w:highlight w:val="none"/>
        </w:rPr>
      </w:pPr>
    </w:p>
    <w:p w14:paraId="26756454">
      <w:pPr>
        <w:pStyle w:val="8"/>
        <w:widowControl w:val="0"/>
        <w:numPr>
          <w:ilvl w:val="0"/>
          <w:numId w:val="2"/>
        </w:numPr>
        <w:overflowPunct w:val="0"/>
        <w:rPr>
          <w:rFonts w:hint="eastAsia" w:ascii="宋体" w:hAnsi="宋体" w:cs="宋体"/>
          <w:color w:val="auto"/>
          <w:sz w:val="21"/>
          <w:szCs w:val="21"/>
          <w:highlight w:val="none"/>
        </w:rPr>
      </w:pPr>
      <w:bookmarkStart w:id="72" w:name="_Toc182308010"/>
      <w:r>
        <w:rPr>
          <w:rFonts w:hint="eastAsia" w:ascii="宋体" w:hAnsi="宋体" w:cs="宋体"/>
          <w:color w:val="auto"/>
          <w:sz w:val="21"/>
          <w:szCs w:val="21"/>
          <w:highlight w:val="none"/>
        </w:rPr>
        <w:t>评审原则及评标过程的保密</w:t>
      </w:r>
      <w:bookmarkEnd w:id="72"/>
    </w:p>
    <w:p w14:paraId="4EBA82B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122BA03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22EC66A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5E6362D4">
      <w:pPr>
        <w:rPr>
          <w:rFonts w:hint="eastAsia" w:ascii="宋体" w:hAnsi="宋体" w:cs="宋体"/>
          <w:color w:val="auto"/>
          <w:highlight w:val="none"/>
        </w:rPr>
      </w:pPr>
    </w:p>
    <w:p w14:paraId="47EE6E26">
      <w:pPr>
        <w:pStyle w:val="8"/>
        <w:widowControl w:val="0"/>
        <w:numPr>
          <w:ilvl w:val="0"/>
          <w:numId w:val="2"/>
        </w:numPr>
        <w:overflowPunct w:val="0"/>
        <w:rPr>
          <w:rFonts w:hint="eastAsia" w:ascii="宋体" w:hAnsi="宋体" w:cs="宋体"/>
          <w:color w:val="auto"/>
          <w:sz w:val="21"/>
          <w:szCs w:val="21"/>
          <w:highlight w:val="none"/>
        </w:rPr>
      </w:pPr>
      <w:bookmarkStart w:id="73" w:name="_Toc182308011"/>
      <w:bookmarkStart w:id="74" w:name="_Toc7361"/>
      <w:r>
        <w:rPr>
          <w:rFonts w:hint="eastAsia" w:ascii="宋体" w:hAnsi="宋体" w:cs="宋体"/>
          <w:color w:val="auto"/>
          <w:sz w:val="21"/>
          <w:szCs w:val="21"/>
          <w:highlight w:val="none"/>
        </w:rPr>
        <w:t>评标程序</w:t>
      </w:r>
      <w:bookmarkEnd w:id="73"/>
    </w:p>
    <w:p w14:paraId="55F7D7D2">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资格性、符合性审查</w:t>
      </w:r>
    </w:p>
    <w:p w14:paraId="4F9045FB">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14:paraId="7805960A">
      <w:pP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14:paraId="02679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4C54F1E">
            <w:pPr>
              <w:jc w:val="center"/>
              <w:rPr>
                <w:rFonts w:hint="eastAsia" w:ascii="宋体" w:hAnsi="宋体" w:cs="宋体"/>
                <w:b/>
                <w:color w:val="auto"/>
                <w:szCs w:val="21"/>
                <w:highlight w:val="none"/>
              </w:rPr>
            </w:pPr>
            <w:r>
              <w:rPr>
                <w:rFonts w:hint="eastAsia" w:ascii="宋体" w:hAnsi="宋体" w:cs="宋体"/>
                <w:b/>
                <w:color w:val="auto"/>
                <w:szCs w:val="21"/>
                <w:highlight w:val="none"/>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1417F24">
            <w:pPr>
              <w:jc w:val="center"/>
              <w:rPr>
                <w:rFonts w:hint="eastAsia" w:ascii="宋体" w:hAnsi="宋体" w:cs="宋体"/>
                <w:b/>
                <w:color w:val="auto"/>
                <w:szCs w:val="21"/>
                <w:highlight w:val="none"/>
              </w:rPr>
            </w:pPr>
            <w:r>
              <w:rPr>
                <w:rFonts w:hint="eastAsia" w:ascii="宋体" w:hAnsi="宋体" w:cs="宋体"/>
                <w:b/>
                <w:color w:val="auto"/>
                <w:szCs w:val="21"/>
                <w:highlight w:val="none"/>
              </w:rPr>
              <w:t>评 审 内 容</w:t>
            </w:r>
          </w:p>
        </w:tc>
      </w:tr>
      <w:tr w14:paraId="76B5B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55259D7A">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1</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AA300A3">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olor w:val="auto"/>
                <w:szCs w:val="21"/>
                <w:highlight w:val="none"/>
              </w:rPr>
              <w:t>投标人须为在中华人民共和国境内登记注册的具有独立承担民事责任能力的法人或其他组织【提供《营业执照》复印件（加盖公章）或《事业单位法人证书》复印件（加盖公章）或其他主体证书复印件（加盖公章）】。</w:t>
            </w:r>
          </w:p>
        </w:tc>
      </w:tr>
      <w:tr w14:paraId="2AEC0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7D19A6E1">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0BC4EC9">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olor w:val="auto"/>
                <w:szCs w:val="21"/>
                <w:highlight w:val="none"/>
              </w:rPr>
              <w:t>参加采购活动前三年内，在经营活动中没有重大违法记录（须提供书面声明）。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tc>
      </w:tr>
      <w:tr w14:paraId="1656D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4B7B80DD">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26BFEEA">
            <w:pPr>
              <w:tabs>
                <w:tab w:val="left" w:pos="612"/>
              </w:tabs>
              <w:rPr>
                <w:rFonts w:hint="eastAsia" w:ascii="宋体" w:hAnsi="宋体" w:cs="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tc>
      </w:tr>
      <w:tr w14:paraId="5A1F2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155CF105">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62D89A9">
            <w:pPr>
              <w:tabs>
                <w:tab w:val="left" w:pos="612"/>
              </w:tabs>
              <w:rPr>
                <w:rFonts w:hint="eastAsia" w:ascii="宋体" w:hAnsi="宋体" w:cs="宋体"/>
                <w:color w:val="auto"/>
                <w:szCs w:val="21"/>
                <w:highlight w:val="none"/>
              </w:rPr>
            </w:pPr>
            <w:r>
              <w:rPr>
                <w:rFonts w:hint="eastAsia" w:ascii="宋体" w:hAnsi="宋体"/>
                <w:color w:val="auto"/>
                <w:szCs w:val="21"/>
                <w:highlight w:val="none"/>
              </w:rPr>
              <w:t>（4）未被列入“信用中国”网站（www.creditchina.gov.cn )“记录失信被执行人或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tc>
      </w:tr>
      <w:tr w14:paraId="7B745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5F8F4560">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2D6CC24">
            <w:pPr>
              <w:shd w:val="clear"/>
              <w:rPr>
                <w:rFonts w:hint="eastAsia" w:ascii="宋体" w:hAnsi="宋体" w:cs="宋体"/>
                <w:color w:val="auto"/>
                <w:szCs w:val="21"/>
                <w:highlight w:val="none"/>
              </w:rPr>
            </w:pPr>
            <w:r>
              <w:rPr>
                <w:rFonts w:hint="eastAsia" w:ascii="宋体" w:hAnsi="宋体"/>
                <w:color w:val="auto"/>
                <w:szCs w:val="21"/>
                <w:highlight w:val="none"/>
              </w:rPr>
              <w:t>（5）投标人自</w:t>
            </w:r>
            <w:r>
              <w:rPr>
                <w:rFonts w:hint="eastAsia" w:ascii="宋体" w:hAnsi="宋体"/>
                <w:color w:val="auto"/>
                <w:szCs w:val="21"/>
                <w:highlight w:val="none"/>
                <w:lang w:val="en-US" w:eastAsia="zh-CN"/>
              </w:rPr>
              <w:t>采购</w:t>
            </w:r>
            <w:r>
              <w:rPr>
                <w:rFonts w:hint="eastAsia" w:ascii="宋体" w:hAnsi="宋体"/>
                <w:color w:val="auto"/>
                <w:szCs w:val="21"/>
                <w:highlight w:val="none"/>
              </w:rPr>
              <w:t>公告发布之日起前两年内，在经营活动中没有因串通投标、弄虚作假、行贿、转包、违法分包、挂靠、死亡事故违法违规行为受到行政、刑事处罚的。以代理机构于投标截止日当天在“信用中国”网站查询结果为准。</w:t>
            </w:r>
          </w:p>
        </w:tc>
      </w:tr>
      <w:tr w14:paraId="161F6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1BEB821A">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42D3BBA">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）符合“投标人资格要求”中“其他要求”（如有）。（提供《附件7.相关资质证明文件》中对应证明文件。）</w:t>
            </w:r>
          </w:p>
        </w:tc>
      </w:tr>
      <w:tr w14:paraId="6EF14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29A99325">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2</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376A8CD">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16856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3B9949FD">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3</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8355D9B">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57537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284EF105">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4</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76508A0">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14:paraId="6452A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7277825">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3A958BA">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079AC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3AE8F563">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190CAE3">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标注“★”符号的条款无负偏离。</w:t>
            </w:r>
          </w:p>
        </w:tc>
      </w:tr>
      <w:tr w14:paraId="1B4DC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2C801FD9">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DDDF996">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rPr>
              <w:t>未出现法律法规</w:t>
            </w:r>
            <w:r>
              <w:rPr>
                <w:rFonts w:hint="eastAsia" w:ascii="宋体" w:hAnsi="宋体" w:cs="宋体"/>
                <w:color w:val="auto"/>
                <w:szCs w:val="21"/>
                <w:highlight w:val="none"/>
                <w:lang w:bidi="ar"/>
              </w:rPr>
              <w:t>和采购文件规定的其他无效情形。</w:t>
            </w:r>
          </w:p>
        </w:tc>
      </w:tr>
      <w:bookmarkEnd w:id="74"/>
    </w:tbl>
    <w:p w14:paraId="101C754E">
      <w:pPr>
        <w:widowControl w:val="0"/>
        <w:overflowPunct w:val="0"/>
        <w:ind w:firstLine="420" w:firstLineChars="200"/>
        <w:rPr>
          <w:rFonts w:hint="eastAsia" w:ascii="宋体" w:hAnsi="宋体"/>
          <w:color w:val="auto"/>
          <w:szCs w:val="21"/>
          <w:highlight w:val="none"/>
        </w:rPr>
      </w:pPr>
      <w:r>
        <w:rPr>
          <w:rFonts w:hint="eastAsia" w:ascii="宋体" w:hAnsi="宋体"/>
          <w:color w:val="auto"/>
          <w:szCs w:val="21"/>
          <w:highlight w:val="none"/>
        </w:rPr>
        <w:t>以上资格性、符合性审查中带有不合格分项的投标文件，将作无效标处理。经评标委员会确认的无效投标文件，采购人和采购代理机构将予以拒绝，并且不允许通过修正或撤销其不符合要求的差异，使之成为具有符合性的投标文件。经评标委员会资格性、符合性审查确认具有有效投标文件的投标人不足三家时将重新组织采购。</w:t>
      </w:r>
    </w:p>
    <w:p w14:paraId="1999A939">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64404562">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3906FEDE">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511D50A4">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3188C1A0">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5C7181C8">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4C1F2171">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1E1D2DEC">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14:paraId="325A8879">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456AAE12">
      <w:pPr>
        <w:pStyle w:val="13"/>
        <w:rPr>
          <w:rFonts w:hint="eastAsia"/>
          <w:color w:val="auto"/>
          <w:highlight w:val="none"/>
        </w:rPr>
      </w:pPr>
    </w:p>
    <w:p w14:paraId="411B78CA">
      <w:pPr>
        <w:pStyle w:val="8"/>
        <w:widowControl w:val="0"/>
        <w:numPr>
          <w:ilvl w:val="0"/>
          <w:numId w:val="2"/>
        </w:numPr>
        <w:overflowPunct w:val="0"/>
        <w:rPr>
          <w:rFonts w:hint="eastAsia" w:ascii="宋体" w:hAnsi="宋体" w:cs="宋体"/>
          <w:color w:val="auto"/>
          <w:sz w:val="21"/>
          <w:szCs w:val="21"/>
          <w:highlight w:val="none"/>
        </w:rPr>
      </w:pPr>
      <w:bookmarkStart w:id="75" w:name="_Toc182308012"/>
      <w:r>
        <w:rPr>
          <w:rFonts w:hint="eastAsia" w:ascii="宋体" w:hAnsi="宋体" w:cs="宋体"/>
          <w:color w:val="auto"/>
          <w:sz w:val="21"/>
          <w:szCs w:val="21"/>
          <w:highlight w:val="none"/>
        </w:rPr>
        <w:t>商务、技术、价格评审（具体评审项目详见投标资料表）</w:t>
      </w:r>
      <w:bookmarkEnd w:id="75"/>
    </w:p>
    <w:p w14:paraId="6D65540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6F8C1F2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2FA3533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w:t>
      </w:r>
      <w:r>
        <w:rPr>
          <w:rFonts w:hint="eastAsia" w:ascii="宋体" w:hAnsi="宋体"/>
          <w:color w:val="auto"/>
          <w:szCs w:val="21"/>
          <w:highlight w:val="none"/>
        </w:rPr>
        <w:t>投标报价</w:t>
      </w:r>
      <w:r>
        <w:rPr>
          <w:rFonts w:hint="eastAsia" w:ascii="宋体" w:hAnsi="宋体" w:cs="宋体"/>
          <w:color w:val="auto"/>
          <w:szCs w:val="21"/>
          <w:highlight w:val="none"/>
        </w:rPr>
        <w:t>由高到低顺序排列。综合</w:t>
      </w:r>
      <w:r>
        <w:rPr>
          <w:rFonts w:hint="eastAsia" w:ascii="宋体" w:hAnsi="宋体"/>
          <w:color w:val="auto"/>
          <w:szCs w:val="21"/>
          <w:highlight w:val="none"/>
        </w:rPr>
        <w:t>得分相同且投标报价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33326F02">
      <w:pPr>
        <w:widowControl w:val="0"/>
        <w:tabs>
          <w:tab w:val="left" w:pos="907"/>
        </w:tabs>
        <w:adjustRightInd/>
        <w:snapToGrid/>
        <w:ind w:left="567"/>
        <w:jc w:val="both"/>
        <w:rPr>
          <w:rFonts w:hint="eastAsia" w:ascii="宋体" w:hAnsi="宋体" w:cs="宋体"/>
          <w:color w:val="auto"/>
          <w:szCs w:val="21"/>
          <w:highlight w:val="none"/>
        </w:rPr>
      </w:pPr>
    </w:p>
    <w:p w14:paraId="4DDCF027">
      <w:pPr>
        <w:pStyle w:val="8"/>
        <w:widowControl w:val="0"/>
        <w:numPr>
          <w:ilvl w:val="0"/>
          <w:numId w:val="2"/>
        </w:numPr>
        <w:overflowPunct w:val="0"/>
        <w:rPr>
          <w:rFonts w:hint="eastAsia" w:ascii="宋体" w:hAnsi="宋体" w:cs="宋体"/>
          <w:color w:val="auto"/>
          <w:sz w:val="21"/>
          <w:szCs w:val="21"/>
          <w:highlight w:val="none"/>
        </w:rPr>
      </w:pPr>
      <w:bookmarkStart w:id="76" w:name="_Toc316375620"/>
      <w:bookmarkStart w:id="77" w:name="_Toc182308013"/>
      <w:bookmarkStart w:id="78" w:name="_Toc20328"/>
      <w:bookmarkStart w:id="79" w:name="_Toc382049120"/>
      <w:r>
        <w:rPr>
          <w:rFonts w:hint="eastAsia" w:ascii="宋体" w:hAnsi="宋体" w:cs="宋体"/>
          <w:color w:val="auto"/>
          <w:sz w:val="21"/>
          <w:szCs w:val="21"/>
          <w:highlight w:val="none"/>
        </w:rPr>
        <w:t>纪律和保密</w:t>
      </w:r>
      <w:bookmarkEnd w:id="76"/>
      <w:r>
        <w:rPr>
          <w:rFonts w:hint="eastAsia" w:ascii="宋体" w:hAnsi="宋体" w:cs="宋体"/>
          <w:color w:val="auto"/>
          <w:sz w:val="21"/>
          <w:szCs w:val="21"/>
          <w:highlight w:val="none"/>
        </w:rPr>
        <w:t>事项</w:t>
      </w:r>
      <w:bookmarkEnd w:id="77"/>
      <w:bookmarkEnd w:id="78"/>
      <w:bookmarkEnd w:id="79"/>
    </w:p>
    <w:p w14:paraId="1943360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75DC10A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2DF294A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74A47DA2">
      <w:pPr>
        <w:rPr>
          <w:rFonts w:hint="eastAsia" w:ascii="宋体" w:hAnsi="宋体" w:cs="宋体"/>
          <w:color w:val="auto"/>
          <w:highlight w:val="none"/>
        </w:rPr>
      </w:pPr>
    </w:p>
    <w:p w14:paraId="3E838564">
      <w:pPr>
        <w:pStyle w:val="7"/>
        <w:numPr>
          <w:ilvl w:val="0"/>
          <w:numId w:val="1"/>
        </w:numPr>
        <w:spacing w:before="0" w:after="0" w:line="360" w:lineRule="auto"/>
        <w:jc w:val="center"/>
        <w:rPr>
          <w:rFonts w:hint="eastAsia" w:ascii="宋体" w:hAnsi="宋体" w:cs="宋体"/>
          <w:color w:val="auto"/>
          <w:highlight w:val="none"/>
        </w:rPr>
      </w:pPr>
      <w:bookmarkStart w:id="80" w:name="_Toc182308014"/>
      <w:r>
        <w:rPr>
          <w:rFonts w:hint="eastAsia" w:ascii="宋体" w:hAnsi="宋体" w:cs="宋体"/>
          <w:color w:val="auto"/>
          <w:highlight w:val="none"/>
        </w:rPr>
        <w:t>授予合同</w:t>
      </w:r>
      <w:bookmarkEnd w:id="80"/>
    </w:p>
    <w:p w14:paraId="0FA9B150">
      <w:pPr>
        <w:pStyle w:val="8"/>
        <w:widowControl w:val="0"/>
        <w:numPr>
          <w:ilvl w:val="0"/>
          <w:numId w:val="2"/>
        </w:numPr>
        <w:overflowPunct w:val="0"/>
        <w:rPr>
          <w:rFonts w:hint="eastAsia" w:ascii="宋体" w:hAnsi="宋体" w:cs="宋体"/>
          <w:color w:val="auto"/>
          <w:sz w:val="21"/>
          <w:szCs w:val="21"/>
          <w:highlight w:val="none"/>
        </w:rPr>
      </w:pPr>
      <w:bookmarkStart w:id="81" w:name="_Toc182308015"/>
      <w:bookmarkStart w:id="82" w:name="_Toc508284011"/>
      <w:r>
        <w:rPr>
          <w:rFonts w:hint="eastAsia" w:ascii="宋体" w:hAnsi="宋体" w:cs="宋体"/>
          <w:color w:val="auto"/>
          <w:sz w:val="21"/>
          <w:szCs w:val="21"/>
          <w:highlight w:val="none"/>
        </w:rPr>
        <w:t>合同授予标准</w:t>
      </w:r>
      <w:bookmarkEnd w:id="81"/>
      <w:bookmarkEnd w:id="82"/>
    </w:p>
    <w:p w14:paraId="6D83EDD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5634B460">
      <w:pPr>
        <w:rPr>
          <w:rFonts w:hint="eastAsia" w:ascii="宋体" w:hAnsi="宋体" w:cs="宋体"/>
          <w:color w:val="auto"/>
          <w:highlight w:val="none"/>
        </w:rPr>
      </w:pPr>
    </w:p>
    <w:p w14:paraId="1CEA4EA6">
      <w:pPr>
        <w:pStyle w:val="8"/>
        <w:widowControl w:val="0"/>
        <w:numPr>
          <w:ilvl w:val="0"/>
          <w:numId w:val="2"/>
        </w:numPr>
        <w:overflowPunct w:val="0"/>
        <w:rPr>
          <w:rFonts w:hint="eastAsia" w:ascii="宋体" w:hAnsi="宋体" w:cs="宋体"/>
          <w:color w:val="auto"/>
          <w:sz w:val="21"/>
          <w:szCs w:val="21"/>
          <w:highlight w:val="none"/>
        </w:rPr>
      </w:pPr>
      <w:bookmarkStart w:id="83" w:name="_Toc182308016"/>
      <w:bookmarkStart w:id="84" w:name="_Toc508284013"/>
      <w:r>
        <w:rPr>
          <w:rFonts w:hint="eastAsia" w:ascii="宋体" w:hAnsi="宋体" w:cs="宋体"/>
          <w:color w:val="auto"/>
          <w:sz w:val="21"/>
          <w:szCs w:val="21"/>
          <w:highlight w:val="none"/>
        </w:rPr>
        <w:t>发布中标结果</w:t>
      </w:r>
      <w:bookmarkEnd w:id="83"/>
      <w:bookmarkEnd w:id="84"/>
    </w:p>
    <w:p w14:paraId="79FCC69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016DA77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中标公告期限为3个日历日。</w:t>
      </w:r>
    </w:p>
    <w:p w14:paraId="4FCCB9C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219FC235">
      <w:pPr>
        <w:widowControl w:val="0"/>
        <w:tabs>
          <w:tab w:val="left" w:pos="907"/>
        </w:tabs>
        <w:adjustRightInd/>
        <w:snapToGrid/>
        <w:jc w:val="both"/>
        <w:rPr>
          <w:rFonts w:hint="eastAsia" w:ascii="宋体" w:hAnsi="宋体" w:cs="宋体"/>
          <w:color w:val="auto"/>
          <w:szCs w:val="21"/>
          <w:highlight w:val="none"/>
        </w:rPr>
      </w:pPr>
    </w:p>
    <w:p w14:paraId="599C6A0E">
      <w:pPr>
        <w:pStyle w:val="8"/>
        <w:widowControl w:val="0"/>
        <w:numPr>
          <w:ilvl w:val="0"/>
          <w:numId w:val="2"/>
        </w:numPr>
        <w:overflowPunct w:val="0"/>
        <w:rPr>
          <w:rFonts w:hint="eastAsia" w:ascii="宋体" w:hAnsi="宋体" w:cs="宋体"/>
          <w:color w:val="auto"/>
          <w:sz w:val="21"/>
          <w:szCs w:val="21"/>
          <w:highlight w:val="none"/>
        </w:rPr>
      </w:pPr>
      <w:bookmarkStart w:id="85" w:name="_Toc182308017"/>
      <w:r>
        <w:rPr>
          <w:rFonts w:hint="eastAsia" w:ascii="宋体" w:hAnsi="宋体" w:cs="宋体"/>
          <w:color w:val="auto"/>
          <w:sz w:val="21"/>
          <w:szCs w:val="21"/>
          <w:highlight w:val="none"/>
        </w:rPr>
        <w:t>资格后审</w:t>
      </w:r>
      <w:bookmarkEnd w:id="85"/>
    </w:p>
    <w:p w14:paraId="682D80E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采购人将</w:t>
      </w:r>
      <w:r>
        <w:rPr>
          <w:rFonts w:hint="eastAsia" w:ascii="宋体" w:hAnsi="宋体" w:cs="宋体"/>
          <w:b/>
          <w:bCs/>
          <w:color w:val="auto"/>
          <w:szCs w:val="21"/>
          <w:highlight w:val="none"/>
        </w:rPr>
        <w:t>有权</w:t>
      </w:r>
      <w:r>
        <w:rPr>
          <w:rFonts w:hint="eastAsia" w:ascii="宋体" w:hAnsi="宋体" w:cs="宋体"/>
          <w:color w:val="auto"/>
          <w:szCs w:val="21"/>
          <w:highlight w:val="none"/>
        </w:rPr>
        <w:t>根据本文件中的要求，对评委会推荐的中标候选人进行资格后审。</w:t>
      </w:r>
    </w:p>
    <w:p w14:paraId="6965660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61E9D34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2242C26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4E2FB13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639E6145">
      <w:pPr>
        <w:rPr>
          <w:rFonts w:hint="eastAsia" w:ascii="宋体" w:hAnsi="宋体" w:cs="宋体"/>
          <w:color w:val="auto"/>
          <w:highlight w:val="none"/>
        </w:rPr>
      </w:pPr>
    </w:p>
    <w:p w14:paraId="7EE0FB45">
      <w:pPr>
        <w:pStyle w:val="8"/>
        <w:widowControl w:val="0"/>
        <w:numPr>
          <w:ilvl w:val="0"/>
          <w:numId w:val="2"/>
        </w:numPr>
        <w:overflowPunct w:val="0"/>
        <w:rPr>
          <w:rFonts w:hint="eastAsia" w:ascii="宋体" w:hAnsi="宋体" w:cs="宋体"/>
          <w:color w:val="auto"/>
          <w:sz w:val="21"/>
          <w:szCs w:val="21"/>
          <w:highlight w:val="none"/>
        </w:rPr>
      </w:pPr>
      <w:bookmarkStart w:id="86" w:name="_Toc182308018"/>
      <w:r>
        <w:rPr>
          <w:rFonts w:hint="eastAsia" w:ascii="宋体" w:hAnsi="宋体" w:cs="宋体"/>
          <w:color w:val="auto"/>
          <w:sz w:val="21"/>
          <w:szCs w:val="21"/>
          <w:highlight w:val="none"/>
        </w:rPr>
        <w:t>合同的签订与履行</w:t>
      </w:r>
      <w:bookmarkEnd w:id="86"/>
    </w:p>
    <w:p w14:paraId="074F413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18C3701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2DDCB33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09B1349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终止合同。</w:t>
      </w:r>
    </w:p>
    <w:p w14:paraId="0AEF5D07">
      <w:pPr>
        <w:widowControl w:val="0"/>
        <w:tabs>
          <w:tab w:val="left" w:pos="907"/>
        </w:tabs>
        <w:adjustRightInd/>
        <w:snapToGrid/>
        <w:jc w:val="both"/>
        <w:rPr>
          <w:rFonts w:hint="eastAsia" w:ascii="宋体" w:hAnsi="宋体" w:cs="宋体"/>
          <w:color w:val="auto"/>
          <w:highlight w:val="none"/>
        </w:rPr>
      </w:pPr>
    </w:p>
    <w:p w14:paraId="133DEA91">
      <w:pPr>
        <w:pStyle w:val="8"/>
        <w:widowControl w:val="0"/>
        <w:numPr>
          <w:ilvl w:val="0"/>
          <w:numId w:val="2"/>
        </w:numPr>
        <w:overflowPunct w:val="0"/>
        <w:rPr>
          <w:rFonts w:hint="eastAsia" w:ascii="宋体" w:hAnsi="宋体" w:cs="宋体"/>
          <w:color w:val="auto"/>
          <w:sz w:val="21"/>
          <w:szCs w:val="21"/>
          <w:highlight w:val="none"/>
        </w:rPr>
      </w:pPr>
      <w:bookmarkStart w:id="87" w:name="_Toc29009"/>
      <w:bookmarkStart w:id="88" w:name="_Toc303084277"/>
      <w:bookmarkStart w:id="89" w:name="_Toc382049124"/>
      <w:bookmarkStart w:id="90" w:name="_Toc182308019"/>
      <w:r>
        <w:rPr>
          <w:rFonts w:hint="eastAsia" w:ascii="宋体" w:hAnsi="宋体" w:cs="宋体"/>
          <w:color w:val="auto"/>
          <w:sz w:val="21"/>
          <w:szCs w:val="21"/>
          <w:highlight w:val="none"/>
        </w:rPr>
        <w:t>履约</w:t>
      </w:r>
      <w:bookmarkEnd w:id="87"/>
      <w:bookmarkEnd w:id="88"/>
      <w:bookmarkEnd w:id="89"/>
      <w:r>
        <w:rPr>
          <w:rFonts w:hint="eastAsia" w:ascii="宋体" w:hAnsi="宋体" w:cs="宋体"/>
          <w:color w:val="auto"/>
          <w:sz w:val="21"/>
          <w:szCs w:val="21"/>
          <w:highlight w:val="none"/>
        </w:rPr>
        <w:t>担保</w:t>
      </w:r>
      <w:bookmarkEnd w:id="90"/>
    </w:p>
    <w:p w14:paraId="54D2223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6EF65A1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2A1F2B3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32198B5E">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14:paraId="00F8404B">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①保函应由银行支行或以上银行机构开具，非东莞市行政区内的银行开具的保函要由银行所在地公证部门出具的公证书。</w:t>
      </w:r>
    </w:p>
    <w:p w14:paraId="4CA08812">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6FEB5A12">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③履约保函必须打印，手写、涂改无效。</w:t>
      </w:r>
    </w:p>
    <w:p w14:paraId="024D7BC1">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2）履约保证金。可采用电汇、银行汇票等银行转账方式提交，但不可以采用现金方式提交。履约保证金金额为中标价的10%。中标人必须保证履约保证金以中标人的名称在（合同约定的日期）前提交至采购人指定账户。</w:t>
      </w:r>
    </w:p>
    <w:p w14:paraId="102B154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249094A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14:paraId="76501D8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264478C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14:paraId="1B35F329">
      <w:pPr>
        <w:widowControl w:val="0"/>
        <w:tabs>
          <w:tab w:val="left" w:pos="907"/>
        </w:tabs>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325D5CB3">
      <w:pPr>
        <w:widowControl w:val="0"/>
        <w:tabs>
          <w:tab w:val="left" w:pos="907"/>
        </w:tabs>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1B32C45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4CC49EEB">
      <w:pPr>
        <w:widowControl w:val="0"/>
        <w:tabs>
          <w:tab w:val="left" w:pos="907"/>
        </w:tabs>
        <w:adjustRightInd/>
        <w:snapToGrid/>
        <w:jc w:val="both"/>
        <w:rPr>
          <w:rFonts w:hint="eastAsia" w:ascii="宋体" w:hAnsi="宋体" w:cs="宋体"/>
          <w:color w:val="auto"/>
          <w:highlight w:val="none"/>
        </w:rPr>
      </w:pPr>
    </w:p>
    <w:p w14:paraId="010C4A91">
      <w:pPr>
        <w:pStyle w:val="8"/>
        <w:widowControl w:val="0"/>
        <w:numPr>
          <w:ilvl w:val="0"/>
          <w:numId w:val="2"/>
        </w:numPr>
        <w:overflowPunct w:val="0"/>
        <w:rPr>
          <w:rFonts w:hint="eastAsia" w:ascii="宋体" w:hAnsi="宋体" w:cs="宋体"/>
          <w:vanish/>
          <w:color w:val="auto"/>
          <w:szCs w:val="21"/>
          <w:highlight w:val="none"/>
        </w:rPr>
      </w:pPr>
      <w:bookmarkStart w:id="91" w:name="_Toc182308020"/>
      <w:r>
        <w:rPr>
          <w:rFonts w:hint="eastAsia" w:ascii="宋体" w:hAnsi="宋体" w:cs="宋体"/>
          <w:color w:val="auto"/>
          <w:sz w:val="21"/>
          <w:szCs w:val="21"/>
          <w:highlight w:val="none"/>
        </w:rPr>
        <w:t>预付款保函（适用于预付款支付）</w:t>
      </w:r>
      <w:bookmarkEnd w:id="91"/>
    </w:p>
    <w:p w14:paraId="7D251BB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702FBB9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预付款保函应：</w:t>
      </w:r>
    </w:p>
    <w:p w14:paraId="7F98C8AC">
      <w:pPr>
        <w:widowControl w:val="0"/>
        <w:tabs>
          <w:tab w:val="left" w:pos="907"/>
        </w:tabs>
        <w:adjustRightInd/>
        <w:snapToGrid/>
        <w:spacing w:line="264"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（1）由东莞市行政区域内的银行支行及以上银行机构开具。非东莞市行政区内的银行开具的保函要由银行所在地公证部门出具的公证书。</w:t>
      </w:r>
    </w:p>
    <w:p w14:paraId="0F3913EF">
      <w:pPr>
        <w:widowControl w:val="0"/>
        <w:tabs>
          <w:tab w:val="left" w:pos="907"/>
        </w:tabs>
        <w:adjustRightInd/>
        <w:snapToGrid/>
        <w:spacing w:line="264"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（2）必须打印，手写、涂改无效</w:t>
      </w:r>
    </w:p>
    <w:p w14:paraId="3653962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4D9523D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5AB836E3">
      <w:pPr>
        <w:rPr>
          <w:rFonts w:hint="eastAsia" w:ascii="宋体" w:hAnsi="宋体" w:cs="宋体"/>
          <w:color w:val="auto"/>
          <w:highlight w:val="none"/>
        </w:rPr>
      </w:pPr>
    </w:p>
    <w:p w14:paraId="286AD75C">
      <w:pPr>
        <w:pStyle w:val="7"/>
        <w:numPr>
          <w:ilvl w:val="0"/>
          <w:numId w:val="1"/>
        </w:numPr>
        <w:spacing w:before="0" w:after="0" w:line="360" w:lineRule="auto"/>
        <w:jc w:val="center"/>
        <w:rPr>
          <w:rFonts w:hint="eastAsia" w:ascii="宋体" w:hAnsi="宋体" w:cs="宋体"/>
          <w:color w:val="auto"/>
          <w:highlight w:val="none"/>
        </w:rPr>
      </w:pPr>
      <w:bookmarkStart w:id="92" w:name="_Toc182308021"/>
      <w:r>
        <w:rPr>
          <w:rFonts w:hint="eastAsia" w:ascii="宋体" w:hAnsi="宋体" w:cs="宋体"/>
          <w:color w:val="auto"/>
          <w:highlight w:val="none"/>
        </w:rPr>
        <w:t>异议</w:t>
      </w:r>
      <w:bookmarkEnd w:id="92"/>
    </w:p>
    <w:p w14:paraId="1FB84EAE">
      <w:pPr>
        <w:pStyle w:val="8"/>
        <w:widowControl w:val="0"/>
        <w:numPr>
          <w:ilvl w:val="0"/>
          <w:numId w:val="2"/>
        </w:numPr>
        <w:overflowPunct w:val="0"/>
        <w:rPr>
          <w:rFonts w:hint="eastAsia" w:ascii="宋体" w:hAnsi="宋体" w:cs="宋体"/>
          <w:color w:val="auto"/>
          <w:sz w:val="21"/>
          <w:szCs w:val="21"/>
          <w:highlight w:val="none"/>
        </w:rPr>
      </w:pPr>
      <w:bookmarkStart w:id="93" w:name="_Toc182308022"/>
      <w:r>
        <w:rPr>
          <w:rFonts w:hint="eastAsia" w:ascii="宋体" w:hAnsi="宋体" w:cs="宋体"/>
          <w:color w:val="auto"/>
          <w:sz w:val="21"/>
          <w:szCs w:val="21"/>
          <w:highlight w:val="none"/>
        </w:rPr>
        <w:t>异议</w:t>
      </w:r>
      <w:bookmarkEnd w:id="93"/>
    </w:p>
    <w:p w14:paraId="4A3596C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14:paraId="59B6A520">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zh-CN"/>
        </w:rPr>
        <w:t>投标人或者其他利害关系人对采购文件有异议的，应当在投标截止时间10日前以书面形式向采购代理机构提出，并将材料原件送达采购代理机构，逾期则视为对采购文件所有内容无异议。异议书面材料必须加盖投标人法人公章，并注明联系人、联系电话、联系地址。超出提交接收异议截止时间而提出的任何疑问，</w:t>
      </w:r>
      <w:r>
        <w:rPr>
          <w:rFonts w:hint="eastAsia" w:ascii="宋体" w:hAnsi="宋体" w:cs="宋体"/>
          <w:color w:val="auto"/>
          <w:szCs w:val="21"/>
          <w:highlight w:val="none"/>
        </w:rPr>
        <w:t>采购人或</w:t>
      </w:r>
      <w:r>
        <w:rPr>
          <w:rFonts w:hint="eastAsia" w:ascii="宋体" w:hAnsi="宋体" w:cs="宋体"/>
          <w:color w:val="auto"/>
          <w:szCs w:val="21"/>
          <w:highlight w:val="none"/>
          <w:lang w:val="zh-CN"/>
        </w:rPr>
        <w:t>采购代理机构可不予答复。</w:t>
      </w:r>
    </w:p>
    <w:p w14:paraId="73A07CC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14:paraId="2F420F6B">
      <w:pPr>
        <w:widowControl w:val="0"/>
        <w:overflowPunct w:val="0"/>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12727553">
      <w:pPr>
        <w:widowControl w:val="0"/>
        <w:overflowPunct w:val="0"/>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259E6AA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77A34B04">
      <w:pPr>
        <w:pStyle w:val="7"/>
        <w:numPr>
          <w:ilvl w:val="0"/>
          <w:numId w:val="1"/>
        </w:numPr>
        <w:spacing w:before="0" w:after="0" w:line="360" w:lineRule="auto"/>
        <w:jc w:val="center"/>
        <w:rPr>
          <w:rFonts w:hint="eastAsia" w:ascii="宋体" w:hAnsi="宋体" w:cs="宋体"/>
          <w:color w:val="auto"/>
          <w:highlight w:val="none"/>
        </w:rPr>
      </w:pPr>
      <w:bookmarkStart w:id="94" w:name="_Toc182308023"/>
      <w:r>
        <w:rPr>
          <w:rFonts w:hint="eastAsia" w:ascii="宋体" w:hAnsi="宋体" w:cs="宋体"/>
          <w:color w:val="auto"/>
          <w:highlight w:val="none"/>
        </w:rPr>
        <w:t>其他</w:t>
      </w:r>
      <w:bookmarkEnd w:id="94"/>
    </w:p>
    <w:p w14:paraId="56F08550">
      <w:pPr>
        <w:pStyle w:val="8"/>
        <w:widowControl w:val="0"/>
        <w:numPr>
          <w:ilvl w:val="0"/>
          <w:numId w:val="2"/>
        </w:numPr>
        <w:overflowPunct w:val="0"/>
        <w:rPr>
          <w:rFonts w:hint="eastAsia" w:ascii="宋体" w:hAnsi="宋体" w:cs="宋体"/>
          <w:color w:val="auto"/>
          <w:sz w:val="21"/>
          <w:szCs w:val="21"/>
          <w:highlight w:val="none"/>
        </w:rPr>
      </w:pPr>
      <w:bookmarkStart w:id="95" w:name="_Toc182308024"/>
      <w:r>
        <w:rPr>
          <w:rFonts w:hint="eastAsia" w:ascii="宋体" w:hAnsi="宋体" w:cs="宋体"/>
          <w:color w:val="auto"/>
          <w:sz w:val="21"/>
          <w:szCs w:val="21"/>
          <w:highlight w:val="none"/>
        </w:rPr>
        <w:t>采购文件的解释权</w:t>
      </w:r>
      <w:bookmarkEnd w:id="95"/>
    </w:p>
    <w:p w14:paraId="3ED8230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r>
        <w:rPr>
          <w:rFonts w:hint="eastAsia" w:ascii="宋体" w:hAnsi="宋体" w:cs="宋体"/>
          <w:color w:val="auto"/>
          <w:szCs w:val="21"/>
          <w:highlight w:val="none"/>
        </w:rPr>
        <w:br w:type="page"/>
      </w:r>
    </w:p>
    <w:p w14:paraId="11D8FCA7">
      <w:pPr>
        <w:pStyle w:val="6"/>
        <w:spacing w:before="0" w:after="0" w:line="240" w:lineRule="auto"/>
        <w:rPr>
          <w:color w:val="auto"/>
          <w:sz w:val="28"/>
          <w:szCs w:val="28"/>
          <w:highlight w:val="none"/>
        </w:rPr>
      </w:pPr>
      <w:bookmarkStart w:id="96" w:name="_Toc182308025"/>
      <w:r>
        <w:rPr>
          <w:rFonts w:hint="eastAsia"/>
          <w:color w:val="auto"/>
          <w:sz w:val="28"/>
          <w:szCs w:val="28"/>
          <w:highlight w:val="none"/>
        </w:rPr>
        <w:t>第五部分  合同条款格式</w:t>
      </w:r>
      <w:bookmarkEnd w:id="96"/>
      <w:bookmarkStart w:id="97" w:name="_Toc15636"/>
    </w:p>
    <w:bookmarkEnd w:id="97"/>
    <w:p w14:paraId="01D3F807">
      <w:pPr>
        <w:jc w:val="center"/>
        <w:rPr>
          <w:rFonts w:ascii="宋体" w:hAnsi="宋体" w:cs="宋体"/>
          <w:color w:val="auto"/>
          <w:szCs w:val="21"/>
          <w:highlight w:val="none"/>
          <w:lang w:bidi="ar"/>
        </w:rPr>
      </w:pPr>
      <w:bookmarkStart w:id="98" w:name="_Hlt109815959"/>
      <w:bookmarkEnd w:id="98"/>
      <w:bookmarkStart w:id="99" w:name="_Toc182308026"/>
      <w:r>
        <w:rPr>
          <w:rFonts w:hint="eastAsia" w:ascii="宋体" w:hAnsi="宋体"/>
          <w:b/>
          <w:color w:val="auto"/>
          <w:szCs w:val="21"/>
          <w:highlight w:val="none"/>
          <w:lang w:eastAsia="zh-CN"/>
        </w:rPr>
        <w:t>（</w:t>
      </w:r>
      <w:r>
        <w:rPr>
          <w:rFonts w:hint="eastAsia" w:ascii="宋体" w:hAnsi="宋体"/>
          <w:b/>
          <w:color w:val="auto"/>
          <w:szCs w:val="21"/>
          <w:highlight w:val="none"/>
        </w:rPr>
        <w:t>此仅为合同书样本，中标人需根据实际情况和甲方签订相应的合同</w:t>
      </w:r>
      <w:r>
        <w:rPr>
          <w:rFonts w:hint="eastAsia" w:ascii="宋体" w:hAnsi="宋体"/>
          <w:b/>
          <w:color w:val="auto"/>
          <w:szCs w:val="21"/>
          <w:highlight w:val="none"/>
          <w:lang w:eastAsia="zh-CN"/>
        </w:rPr>
        <w:t>）</w:t>
      </w:r>
    </w:p>
    <w:p w14:paraId="05971B81">
      <w:pPr>
        <w:rPr>
          <w:rFonts w:hint="eastAsia" w:ascii="宋体" w:hAnsi="宋体" w:cs="宋体"/>
          <w:color w:val="auto"/>
          <w:szCs w:val="21"/>
          <w:highlight w:val="none"/>
        </w:rPr>
      </w:pPr>
    </w:p>
    <w:p w14:paraId="34ABAFD8">
      <w:pPr>
        <w:spacing w:before="1092" w:beforeLines="350" w:after="468" w:afterLines="150" w:line="360" w:lineRule="auto"/>
        <w:jc w:val="center"/>
        <w:outlineLvl w:val="9"/>
        <w:rPr>
          <w:rFonts w:hint="eastAsia" w:ascii="仿宋_GB2312" w:hAnsi="仿宋_GB2312" w:eastAsia="仿宋_GB2312" w:cs="仿宋_GB2312"/>
          <w:b/>
          <w:bCs/>
          <w:color w:val="auto"/>
          <w:spacing w:val="60"/>
          <w:sz w:val="52"/>
          <w:szCs w:val="52"/>
          <w:highlight w:val="none"/>
        </w:rPr>
      </w:pPr>
    </w:p>
    <w:p w14:paraId="71F09A35">
      <w:pPr>
        <w:spacing w:before="1092" w:beforeLines="350" w:after="468" w:afterLines="150" w:line="360" w:lineRule="auto"/>
        <w:jc w:val="center"/>
        <w:outlineLvl w:val="0"/>
        <w:rPr>
          <w:rFonts w:hint="eastAsia" w:ascii="仿宋_GB2312" w:hAnsi="仿宋_GB2312" w:eastAsia="仿宋_GB2312" w:cs="仿宋_GB2312"/>
          <w:b/>
          <w:bCs/>
          <w:color w:val="auto"/>
          <w:spacing w:val="60"/>
          <w:sz w:val="52"/>
          <w:szCs w:val="52"/>
          <w:highlight w:val="none"/>
        </w:rPr>
      </w:pPr>
      <w:bookmarkStart w:id="100" w:name="_Toc5547"/>
      <w:r>
        <w:rPr>
          <w:rFonts w:hint="eastAsia" w:ascii="仿宋_GB2312" w:hAnsi="仿宋_GB2312" w:eastAsia="仿宋_GB2312" w:cs="仿宋_GB2312"/>
          <w:b/>
          <w:bCs/>
          <w:color w:val="auto"/>
          <w:spacing w:val="60"/>
          <w:sz w:val="52"/>
          <w:szCs w:val="52"/>
          <w:highlight w:val="none"/>
        </w:rPr>
        <w:t>合同文件</w:t>
      </w:r>
      <w:bookmarkEnd w:id="100"/>
    </w:p>
    <w:p w14:paraId="106CF62A">
      <w:pPr>
        <w:spacing w:after="200" w:line="360" w:lineRule="auto"/>
        <w:jc w:val="center"/>
        <w:rPr>
          <w:rFonts w:hint="eastAsia" w:ascii="宋体" w:hAnsi="宋体" w:eastAsia="宋体" w:cs="宋体"/>
          <w:b/>
          <w:bCs/>
          <w:color w:val="auto"/>
          <w:sz w:val="22"/>
          <w:szCs w:val="21"/>
          <w:highlight w:val="none"/>
        </w:rPr>
      </w:pPr>
      <w:r>
        <w:rPr>
          <w:rFonts w:hint="eastAsia" w:ascii="宋体" w:hAnsi="宋体" w:eastAsia="宋体" w:cs="宋体"/>
          <w:b/>
          <w:bCs/>
          <w:color w:val="auto"/>
          <w:sz w:val="22"/>
          <w:szCs w:val="21"/>
          <w:highlight w:val="none"/>
        </w:rPr>
        <w:t>（合同编号：</w:t>
      </w:r>
      <w:r>
        <w:rPr>
          <w:rFonts w:hint="eastAsia" w:ascii="宋体" w:hAnsi="宋体" w:eastAsia="宋体" w:cs="宋体"/>
          <w:b/>
          <w:bCs/>
          <w:color w:val="auto"/>
          <w:sz w:val="22"/>
          <w:szCs w:val="21"/>
          <w:highlight w:val="none"/>
          <w:u w:val="single"/>
        </w:rPr>
        <w:t xml:space="preserve">         </w:t>
      </w:r>
      <w:r>
        <w:rPr>
          <w:rFonts w:hint="eastAsia" w:ascii="宋体" w:hAnsi="宋体" w:eastAsia="宋体" w:cs="宋体"/>
          <w:b/>
          <w:bCs/>
          <w:color w:val="auto"/>
          <w:sz w:val="22"/>
          <w:szCs w:val="21"/>
          <w:highlight w:val="none"/>
        </w:rPr>
        <w:t>）</w:t>
      </w:r>
    </w:p>
    <w:p w14:paraId="5D3EF51F">
      <w:pPr>
        <w:spacing w:after="200" w:line="360" w:lineRule="auto"/>
        <w:rPr>
          <w:rFonts w:hint="eastAsia" w:ascii="仿宋_GB2312" w:hAnsi="仿宋_GB2312" w:eastAsia="仿宋_GB2312" w:cs="仿宋_GB2312"/>
          <w:b/>
          <w:bCs/>
          <w:color w:val="auto"/>
          <w:sz w:val="22"/>
          <w:szCs w:val="21"/>
          <w:highlight w:val="none"/>
        </w:rPr>
      </w:pPr>
    </w:p>
    <w:p w14:paraId="22B13F31">
      <w:pPr>
        <w:spacing w:after="200" w:line="360" w:lineRule="auto"/>
        <w:rPr>
          <w:rFonts w:hint="eastAsia" w:ascii="仿宋_GB2312" w:hAnsi="仿宋_GB2312" w:eastAsia="仿宋_GB2312" w:cs="仿宋_GB2312"/>
          <w:b/>
          <w:bCs/>
          <w:color w:val="auto"/>
          <w:sz w:val="22"/>
          <w:szCs w:val="21"/>
          <w:highlight w:val="none"/>
        </w:rPr>
      </w:pPr>
    </w:p>
    <w:p w14:paraId="1597A37D">
      <w:pPr>
        <w:spacing w:after="200" w:line="360" w:lineRule="auto"/>
        <w:rPr>
          <w:rFonts w:hint="eastAsia" w:ascii="仿宋_GB2312" w:hAnsi="仿宋_GB2312" w:eastAsia="仿宋_GB2312" w:cs="仿宋_GB2312"/>
          <w:b/>
          <w:bCs/>
          <w:color w:val="auto"/>
          <w:sz w:val="22"/>
          <w:szCs w:val="21"/>
          <w:highlight w:val="none"/>
        </w:rPr>
      </w:pPr>
    </w:p>
    <w:tbl>
      <w:tblPr>
        <w:tblStyle w:val="29"/>
        <w:tblW w:w="4998" w:type="pct"/>
        <w:jc w:val="center"/>
        <w:tblLayout w:type="autofit"/>
        <w:tblCellMar>
          <w:top w:w="0" w:type="dxa"/>
          <w:left w:w="108" w:type="dxa"/>
          <w:bottom w:w="0" w:type="dxa"/>
          <w:right w:w="108" w:type="dxa"/>
        </w:tblCellMar>
      </w:tblPr>
      <w:tblGrid>
        <w:gridCol w:w="3108"/>
        <w:gridCol w:w="6567"/>
      </w:tblGrid>
      <w:tr w14:paraId="7A2B1D09">
        <w:tblPrEx>
          <w:tblCellMar>
            <w:top w:w="0" w:type="dxa"/>
            <w:left w:w="108" w:type="dxa"/>
            <w:bottom w:w="0" w:type="dxa"/>
            <w:right w:w="108" w:type="dxa"/>
          </w:tblCellMar>
        </w:tblPrEx>
        <w:trPr>
          <w:trHeight w:val="90" w:hRule="atLeast"/>
          <w:jc w:val="center"/>
        </w:trPr>
        <w:tc>
          <w:tcPr>
            <w:tcW w:w="1606" w:type="pct"/>
            <w:noWrap w:val="0"/>
            <w:vAlign w:val="top"/>
          </w:tcPr>
          <w:p w14:paraId="75828ECB">
            <w:pPr>
              <w:spacing w:after="200" w:line="360" w:lineRule="auto"/>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甲方（采购人）：</w:t>
            </w:r>
          </w:p>
        </w:tc>
        <w:tc>
          <w:tcPr>
            <w:tcW w:w="3393" w:type="pct"/>
            <w:noWrap w:val="0"/>
            <w:vAlign w:val="top"/>
          </w:tcPr>
          <w:p w14:paraId="13C6F111">
            <w:pPr>
              <w:spacing w:after="200" w:line="360" w:lineRule="auto"/>
              <w:rPr>
                <w:rFonts w:hint="eastAsia" w:ascii="仿宋_GB2312" w:hAnsi="仿宋_GB2312" w:eastAsia="仿宋_GB2312" w:cs="仿宋_GB2312"/>
                <w:b/>
                <w:bCs/>
                <w:color w:val="auto"/>
                <w:sz w:val="28"/>
                <w:szCs w:val="28"/>
                <w:highlight w:val="none"/>
                <w:u w:val="single"/>
              </w:rPr>
            </w:pPr>
            <w:r>
              <w:rPr>
                <w:rFonts w:hint="eastAsia" w:ascii="宋体" w:hAnsi="宋体" w:eastAsia="微软雅黑"/>
                <w:b/>
                <w:bCs/>
                <w:color w:val="auto"/>
                <w:sz w:val="28"/>
                <w:szCs w:val="28"/>
                <w:highlight w:val="none"/>
                <w:u w:val="single"/>
              </w:rPr>
              <w:t xml:space="preserve"> </w:t>
            </w:r>
            <w:r>
              <w:rPr>
                <w:rFonts w:hint="eastAsia" w:ascii="宋体" w:hAnsi="宋体" w:eastAsia="宋体" w:cs="宋体"/>
                <w:b/>
                <w:bCs/>
                <w:color w:val="auto"/>
                <w:sz w:val="28"/>
                <w:szCs w:val="28"/>
                <w:highlight w:val="none"/>
                <w:u w:val="single"/>
              </w:rPr>
              <w:t xml:space="preserve">东莞市新有能源投资有限公司 </w:t>
            </w:r>
          </w:p>
        </w:tc>
      </w:tr>
      <w:tr w14:paraId="33DB0D35">
        <w:tblPrEx>
          <w:tblCellMar>
            <w:top w:w="0" w:type="dxa"/>
            <w:left w:w="108" w:type="dxa"/>
            <w:bottom w:w="0" w:type="dxa"/>
            <w:right w:w="108" w:type="dxa"/>
          </w:tblCellMar>
        </w:tblPrEx>
        <w:trPr>
          <w:trHeight w:val="745" w:hRule="atLeast"/>
          <w:jc w:val="center"/>
        </w:trPr>
        <w:tc>
          <w:tcPr>
            <w:tcW w:w="1606" w:type="pct"/>
            <w:noWrap w:val="0"/>
            <w:vAlign w:val="top"/>
          </w:tcPr>
          <w:p w14:paraId="4B11FDA4">
            <w:pPr>
              <w:spacing w:after="200" w:line="360" w:lineRule="auto"/>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乙方（中标</w:t>
            </w:r>
            <w:r>
              <w:rPr>
                <w:rFonts w:hint="eastAsia" w:ascii="宋体" w:hAnsi="宋体" w:eastAsia="宋体" w:cs="宋体"/>
                <w:b/>
                <w:bCs/>
                <w:color w:val="auto"/>
                <w:sz w:val="28"/>
                <w:szCs w:val="28"/>
                <w:highlight w:val="none"/>
                <w:lang w:val="en-US" w:eastAsia="zh-CN"/>
              </w:rPr>
              <w:t>人</w:t>
            </w:r>
            <w:r>
              <w:rPr>
                <w:rFonts w:hint="eastAsia" w:ascii="宋体" w:hAnsi="宋体" w:eastAsia="宋体" w:cs="宋体"/>
                <w:b/>
                <w:bCs/>
                <w:color w:val="auto"/>
                <w:sz w:val="28"/>
                <w:szCs w:val="28"/>
                <w:highlight w:val="none"/>
              </w:rPr>
              <w:t>）：</w:t>
            </w:r>
          </w:p>
        </w:tc>
        <w:tc>
          <w:tcPr>
            <w:tcW w:w="3393" w:type="pct"/>
            <w:noWrap w:val="0"/>
            <w:vAlign w:val="top"/>
          </w:tcPr>
          <w:p w14:paraId="7A2AFE03">
            <w:pPr>
              <w:spacing w:after="200" w:line="360" w:lineRule="auto"/>
              <w:rPr>
                <w:rFonts w:hint="eastAsia" w:ascii="仿宋_GB2312" w:hAnsi="仿宋_GB2312" w:eastAsia="仿宋_GB2312" w:cs="仿宋_GB2312"/>
                <w:b/>
                <w:bCs/>
                <w:color w:val="auto"/>
                <w:sz w:val="28"/>
                <w:szCs w:val="28"/>
                <w:highlight w:val="none"/>
                <w:u w:val="single"/>
              </w:rPr>
            </w:pPr>
            <w:r>
              <w:rPr>
                <w:rFonts w:hint="eastAsia" w:ascii="仿宋_GB2312" w:hAnsi="仿宋_GB2312" w:eastAsia="仿宋_GB2312" w:cs="仿宋_GB2312"/>
                <w:b/>
                <w:bCs/>
                <w:color w:val="auto"/>
                <w:sz w:val="28"/>
                <w:szCs w:val="28"/>
                <w:highlight w:val="none"/>
                <w:u w:val="single"/>
              </w:rPr>
              <w:t xml:space="preserve"> </w:t>
            </w:r>
            <w:r>
              <w:rPr>
                <w:rFonts w:hint="eastAsia" w:ascii="仿宋_GB2312" w:hAnsi="仿宋_GB2312" w:eastAsia="仿宋_GB2312" w:cs="仿宋_GB2312"/>
                <w:b/>
                <w:bCs/>
                <w:color w:val="auto"/>
                <w:sz w:val="28"/>
                <w:szCs w:val="28"/>
                <w:highlight w:val="none"/>
                <w:u w:val="single"/>
                <w:lang w:val="en-US" w:eastAsia="zh-CN"/>
              </w:rPr>
              <w:t xml:space="preserve">                          </w:t>
            </w:r>
            <w:r>
              <w:rPr>
                <w:rFonts w:hint="eastAsia" w:ascii="仿宋_GB2312" w:hAnsi="仿宋_GB2312" w:eastAsia="仿宋_GB2312" w:cs="仿宋_GB2312"/>
                <w:b/>
                <w:bCs/>
                <w:color w:val="auto"/>
                <w:sz w:val="28"/>
                <w:szCs w:val="28"/>
                <w:highlight w:val="none"/>
                <w:u w:val="single"/>
              </w:rPr>
              <w:t xml:space="preserve"> </w:t>
            </w:r>
          </w:p>
        </w:tc>
      </w:tr>
      <w:tr w14:paraId="1F678BE0">
        <w:tblPrEx>
          <w:tblCellMar>
            <w:top w:w="0" w:type="dxa"/>
            <w:left w:w="108" w:type="dxa"/>
            <w:bottom w:w="0" w:type="dxa"/>
            <w:right w:w="108" w:type="dxa"/>
          </w:tblCellMar>
        </w:tblPrEx>
        <w:trPr>
          <w:trHeight w:val="706" w:hRule="atLeast"/>
          <w:jc w:val="center"/>
        </w:trPr>
        <w:tc>
          <w:tcPr>
            <w:tcW w:w="1606" w:type="pct"/>
            <w:noWrap w:val="0"/>
            <w:vAlign w:val="top"/>
          </w:tcPr>
          <w:p w14:paraId="4E1FEC0B">
            <w:pPr>
              <w:spacing w:after="200" w:line="360" w:lineRule="auto"/>
              <w:jc w:val="both"/>
              <w:rPr>
                <w:rFonts w:hint="eastAsia" w:ascii="宋体" w:hAnsi="宋体" w:eastAsia="宋体" w:cs="宋体"/>
                <w:b/>
                <w:bCs/>
                <w:color w:val="auto"/>
                <w:spacing w:val="9"/>
                <w:sz w:val="28"/>
                <w:szCs w:val="28"/>
                <w:highlight w:val="none"/>
              </w:rPr>
            </w:pPr>
            <w:r>
              <w:rPr>
                <w:rFonts w:hint="eastAsia" w:ascii="宋体" w:hAnsi="宋体" w:eastAsia="宋体" w:cs="宋体"/>
                <w:b/>
                <w:bCs/>
                <w:color w:val="auto"/>
                <w:spacing w:val="9"/>
                <w:sz w:val="28"/>
                <w:szCs w:val="28"/>
                <w:highlight w:val="none"/>
              </w:rPr>
              <w:t>协议签订时间：</w:t>
            </w:r>
          </w:p>
        </w:tc>
        <w:tc>
          <w:tcPr>
            <w:tcW w:w="3393" w:type="pct"/>
            <w:noWrap w:val="0"/>
            <w:vAlign w:val="top"/>
          </w:tcPr>
          <w:p w14:paraId="456B9A4F">
            <w:pPr>
              <w:tabs>
                <w:tab w:val="left" w:pos="720"/>
              </w:tabs>
              <w:spacing w:after="200" w:line="360" w:lineRule="auto"/>
              <w:jc w:val="both"/>
              <w:rPr>
                <w:rFonts w:hint="eastAsia" w:ascii="宋体" w:hAnsi="宋体" w:eastAsia="宋体" w:cs="宋体"/>
                <w:b/>
                <w:bCs/>
                <w:color w:val="auto"/>
                <w:sz w:val="28"/>
                <w:szCs w:val="28"/>
                <w:highlight w:val="none"/>
                <w:u w:val="single"/>
              </w:rPr>
            </w:pPr>
            <w:r>
              <w:rPr>
                <w:rFonts w:hint="eastAsia" w:ascii="宋体" w:hAnsi="宋体" w:eastAsia="宋体" w:cs="宋体"/>
                <w:color w:val="auto"/>
                <w:spacing w:val="20"/>
                <w:sz w:val="28"/>
                <w:szCs w:val="28"/>
                <w:highlight w:val="none"/>
                <w:u w:val="single"/>
              </w:rPr>
              <w:t xml:space="preserve"> </w:t>
            </w:r>
            <w:r>
              <w:rPr>
                <w:rFonts w:hint="eastAsia" w:ascii="宋体" w:hAnsi="宋体" w:eastAsia="宋体" w:cs="宋体"/>
                <w:color w:val="auto"/>
                <w:spacing w:val="20"/>
                <w:sz w:val="28"/>
                <w:szCs w:val="28"/>
                <w:highlight w:val="none"/>
                <w:u w:val="single"/>
                <w:lang w:val="en-US" w:eastAsia="zh-CN"/>
              </w:rPr>
              <w:t xml:space="preserve">     </w:t>
            </w:r>
            <w:r>
              <w:rPr>
                <w:rFonts w:hint="eastAsia" w:ascii="宋体" w:hAnsi="宋体" w:eastAsia="宋体" w:cs="宋体"/>
                <w:color w:val="auto"/>
                <w:spacing w:val="20"/>
                <w:sz w:val="28"/>
                <w:szCs w:val="28"/>
                <w:highlight w:val="none"/>
              </w:rPr>
              <w:t>年</w:t>
            </w:r>
            <w:r>
              <w:rPr>
                <w:rFonts w:hint="eastAsia" w:ascii="宋体" w:hAnsi="宋体" w:eastAsia="宋体" w:cs="宋体"/>
                <w:color w:val="auto"/>
                <w:spacing w:val="20"/>
                <w:sz w:val="28"/>
                <w:szCs w:val="28"/>
                <w:highlight w:val="none"/>
                <w:u w:val="single"/>
              </w:rPr>
              <w:t xml:space="preserve"> </w:t>
            </w:r>
            <w:r>
              <w:rPr>
                <w:rFonts w:hint="eastAsia" w:ascii="宋体" w:hAnsi="宋体" w:eastAsia="宋体" w:cs="宋体"/>
                <w:color w:val="auto"/>
                <w:spacing w:val="20"/>
                <w:sz w:val="28"/>
                <w:szCs w:val="28"/>
                <w:highlight w:val="none"/>
                <w:u w:val="single"/>
                <w:lang w:val="en-US" w:eastAsia="zh-CN"/>
              </w:rPr>
              <w:t xml:space="preserve"> </w:t>
            </w:r>
            <w:r>
              <w:rPr>
                <w:rFonts w:hint="eastAsia" w:ascii="宋体" w:hAnsi="宋体" w:eastAsia="宋体" w:cs="宋体"/>
                <w:color w:val="auto"/>
                <w:spacing w:val="20"/>
                <w:sz w:val="28"/>
                <w:szCs w:val="28"/>
                <w:highlight w:val="none"/>
                <w:u w:val="single"/>
              </w:rPr>
              <w:t xml:space="preserve">  </w:t>
            </w:r>
            <w:r>
              <w:rPr>
                <w:rFonts w:hint="eastAsia" w:ascii="宋体" w:hAnsi="宋体" w:eastAsia="宋体" w:cs="宋体"/>
                <w:color w:val="auto"/>
                <w:spacing w:val="20"/>
                <w:sz w:val="28"/>
                <w:szCs w:val="28"/>
                <w:highlight w:val="none"/>
              </w:rPr>
              <w:t>月</w:t>
            </w:r>
            <w:r>
              <w:rPr>
                <w:rFonts w:hint="eastAsia" w:ascii="宋体" w:hAnsi="宋体" w:eastAsia="宋体" w:cs="宋体"/>
                <w:color w:val="auto"/>
                <w:spacing w:val="20"/>
                <w:sz w:val="28"/>
                <w:szCs w:val="28"/>
                <w:highlight w:val="none"/>
                <w:u w:val="single"/>
              </w:rPr>
              <w:t xml:space="preserve">  </w:t>
            </w:r>
            <w:r>
              <w:rPr>
                <w:rFonts w:hint="eastAsia" w:ascii="宋体" w:hAnsi="宋体" w:eastAsia="宋体" w:cs="宋体"/>
                <w:color w:val="auto"/>
                <w:spacing w:val="20"/>
                <w:sz w:val="28"/>
                <w:szCs w:val="28"/>
                <w:highlight w:val="none"/>
                <w:u w:val="single"/>
                <w:lang w:val="en-US" w:eastAsia="zh-CN"/>
              </w:rPr>
              <w:t xml:space="preserve"> </w:t>
            </w:r>
            <w:r>
              <w:rPr>
                <w:rFonts w:hint="eastAsia" w:ascii="宋体" w:hAnsi="宋体" w:eastAsia="宋体" w:cs="宋体"/>
                <w:color w:val="auto"/>
                <w:spacing w:val="20"/>
                <w:sz w:val="28"/>
                <w:szCs w:val="28"/>
                <w:highlight w:val="none"/>
                <w:u w:val="single"/>
              </w:rPr>
              <w:t xml:space="preserve"> </w:t>
            </w:r>
            <w:r>
              <w:rPr>
                <w:rFonts w:hint="eastAsia" w:ascii="宋体" w:hAnsi="宋体" w:eastAsia="宋体" w:cs="宋体"/>
                <w:color w:val="auto"/>
                <w:spacing w:val="20"/>
                <w:sz w:val="28"/>
                <w:szCs w:val="28"/>
                <w:highlight w:val="none"/>
                <w:u w:val="none"/>
              </w:rPr>
              <w:t>日</w:t>
            </w:r>
          </w:p>
        </w:tc>
      </w:tr>
    </w:tbl>
    <w:p w14:paraId="682F8C6D">
      <w:pPr>
        <w:autoSpaceDE w:val="0"/>
        <w:autoSpaceDN w:val="0"/>
        <w:adjustRightInd w:val="0"/>
        <w:spacing w:line="360" w:lineRule="auto"/>
        <w:jc w:val="center"/>
        <w:rPr>
          <w:rFonts w:hint="eastAsia" w:ascii="仿宋_GB2312" w:hAnsi="仿宋_GB2312" w:eastAsia="仿宋_GB2312" w:cs="仿宋_GB2312"/>
          <w:b/>
          <w:color w:val="auto"/>
          <w:kern w:val="0"/>
          <w:sz w:val="36"/>
          <w:szCs w:val="36"/>
          <w:highlight w:val="none"/>
        </w:rPr>
        <w:sectPr>
          <w:footerReference r:id="rId6" w:type="first"/>
          <w:footerReference r:id="rId5" w:type="default"/>
          <w:pgSz w:w="11907" w:h="16839"/>
          <w:pgMar w:top="1440" w:right="1080" w:bottom="1440" w:left="1080" w:header="1020" w:footer="992" w:gutter="284"/>
          <w:pgBorders>
            <w:top w:val="none" w:sz="0" w:space="0"/>
            <w:left w:val="none" w:sz="0" w:space="0"/>
            <w:bottom w:val="none" w:sz="0" w:space="0"/>
            <w:right w:val="none" w:sz="0" w:space="0"/>
          </w:pgBorders>
          <w:pgNumType w:fmt="decimal" w:start="1"/>
          <w:cols w:space="720" w:num="1"/>
          <w:docGrid w:linePitch="360" w:charSpace="0"/>
        </w:sectPr>
      </w:pPr>
    </w:p>
    <w:p w14:paraId="2D1DE8E2">
      <w:pPr>
        <w:pageBreakBefore w:val="0"/>
        <w:kinsoku/>
        <w:wordWrap/>
        <w:autoSpaceDE w:val="0"/>
        <w:autoSpaceDN w:val="0"/>
        <w:bidi w:val="0"/>
        <w:adjustRightInd w:val="0"/>
        <w:spacing w:after="0"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合同书</w:t>
      </w:r>
    </w:p>
    <w:p w14:paraId="06E61F3B">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合同编号：</w:t>
      </w:r>
    </w:p>
    <w:p w14:paraId="61ADC3FB">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p>
    <w:p w14:paraId="163AA64F">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甲方：（采购人）</w:t>
      </w:r>
      <w:r>
        <w:rPr>
          <w:rFonts w:hint="eastAsia" w:ascii="宋体" w:hAnsi="宋体" w:eastAsia="宋体" w:cs="宋体"/>
          <w:color w:val="auto"/>
          <w:sz w:val="21"/>
          <w:szCs w:val="21"/>
          <w:highlight w:val="none"/>
          <w:u w:val="single"/>
        </w:rPr>
        <w:t>东莞市新有能源投资有限公司</w:t>
      </w:r>
      <w:r>
        <w:rPr>
          <w:rFonts w:hint="eastAsia" w:ascii="宋体" w:hAnsi="宋体" w:eastAsia="宋体" w:cs="宋体"/>
          <w:color w:val="auto"/>
          <w:sz w:val="21"/>
          <w:szCs w:val="21"/>
          <w:highlight w:val="none"/>
        </w:rPr>
        <w:t xml:space="preserve"> </w:t>
      </w:r>
    </w:p>
    <w:p w14:paraId="20C148D2">
      <w:pPr>
        <w:pageBreakBefore w:val="0"/>
        <w:kinsoku/>
        <w:wordWrap/>
        <w:bidi w:val="0"/>
        <w:spacing w:after="0" w:line="360" w:lineRule="auto"/>
        <w:ind w:firstLine="480"/>
        <w:jc w:val="lef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项目联系人：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联系电话：</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14:paraId="3E0F932C">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 xml:space="preserve"> </w:t>
      </w:r>
    </w:p>
    <w:p w14:paraId="49AAA46A">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项目联系人：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联系电话：      </w:t>
      </w:r>
    </w:p>
    <w:p w14:paraId="2327862A">
      <w:pPr>
        <w:pageBreakBefore w:val="0"/>
        <w:kinsoku/>
        <w:wordWrap/>
        <w:bidi w:val="0"/>
        <w:spacing w:after="0" w:line="360" w:lineRule="auto"/>
        <w:ind w:firstLine="480"/>
        <w:jc w:val="left"/>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受甲方委托，</w:t>
      </w:r>
      <w:r>
        <w:rPr>
          <w:rFonts w:hint="eastAsia" w:ascii="宋体" w:hAnsi="宋体" w:cs="宋体"/>
          <w:color w:val="auto"/>
          <w:sz w:val="21"/>
          <w:szCs w:val="21"/>
          <w:highlight w:val="none"/>
          <w:u w:val="single"/>
          <w:lang w:val="en-US" w:eastAsia="zh-CN"/>
        </w:rPr>
        <w:t>广州宏达工程顾问集团有限公司</w:t>
      </w:r>
      <w:r>
        <w:rPr>
          <w:rFonts w:hint="eastAsia" w:ascii="宋体" w:hAnsi="宋体" w:eastAsia="宋体" w:cs="宋体"/>
          <w:color w:val="auto"/>
          <w:sz w:val="21"/>
          <w:szCs w:val="21"/>
          <w:highlight w:val="none"/>
          <w:u w:val="none"/>
        </w:rPr>
        <w:t>(采购代理机构)</w:t>
      </w:r>
      <w:r>
        <w:rPr>
          <w:rFonts w:hint="eastAsia" w:ascii="宋体" w:hAnsi="宋体" w:eastAsia="宋体" w:cs="宋体"/>
          <w:color w:val="auto"/>
          <w:sz w:val="21"/>
          <w:szCs w:val="21"/>
          <w:highlight w:val="none"/>
        </w:rPr>
        <w:t>组织对甲方</w:t>
      </w:r>
      <w:r>
        <w:rPr>
          <w:rFonts w:hint="eastAsia" w:ascii="宋体" w:hAnsi="宋体" w:eastAsia="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lang w:eastAsia="zh-CN"/>
        </w:rPr>
        <w:t>东莞浩成玩具有限公司550kW/2200kWh用户侧储能项目</w:t>
      </w:r>
      <w:r>
        <w:rPr>
          <w:rFonts w:hint="eastAsia" w:ascii="宋体" w:hAnsi="宋体" w:eastAsia="宋体" w:cs="宋体"/>
          <w:color w:val="auto"/>
          <w:sz w:val="21"/>
          <w:szCs w:val="21"/>
          <w:highlight w:val="none"/>
        </w:rPr>
        <w:t>采购项目（项目编号</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）进行采购，于202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XX</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 xml:space="preserve">XX </w:t>
      </w:r>
      <w:r>
        <w:rPr>
          <w:rFonts w:hint="eastAsia" w:ascii="宋体" w:hAnsi="宋体" w:eastAsia="宋体" w:cs="宋体"/>
          <w:color w:val="auto"/>
          <w:sz w:val="21"/>
          <w:szCs w:val="21"/>
          <w:highlight w:val="none"/>
        </w:rPr>
        <w:t>通过 公开（公开、邀请、竞争性谈判、询价、单一来源）招标，经评标委员会评定乙方</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为中标供应商。为了保护甲乙双方合法权益，根据《中华人民共和国</w:t>
      </w:r>
      <w:r>
        <w:rPr>
          <w:rFonts w:hint="eastAsia" w:ascii="宋体" w:hAnsi="宋体" w:eastAsia="宋体" w:cs="宋体"/>
          <w:color w:val="auto"/>
          <w:sz w:val="21"/>
          <w:szCs w:val="21"/>
          <w:highlight w:val="none"/>
          <w:lang w:val="en-US" w:eastAsia="zh-CN"/>
        </w:rPr>
        <w:t>民法典</w:t>
      </w:r>
      <w:r>
        <w:rPr>
          <w:rFonts w:hint="eastAsia" w:ascii="宋体" w:hAnsi="宋体" w:eastAsia="宋体" w:cs="宋体"/>
          <w:color w:val="auto"/>
          <w:sz w:val="21"/>
          <w:szCs w:val="21"/>
          <w:highlight w:val="none"/>
        </w:rPr>
        <w:t>》《中华人民共和国政府采购法》及其实施条例，在平等自愿的基础上，按照下面的条款和条件，签署本合同。</w:t>
      </w:r>
    </w:p>
    <w:p w14:paraId="357A80D9">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01" w:name="_Toc10689"/>
      <w:r>
        <w:rPr>
          <w:rFonts w:hint="eastAsia" w:ascii="宋体" w:hAnsi="宋体" w:eastAsia="宋体" w:cs="宋体"/>
          <w:b/>
          <w:bCs/>
          <w:color w:val="auto"/>
          <w:sz w:val="21"/>
          <w:szCs w:val="21"/>
          <w:highlight w:val="none"/>
        </w:rPr>
        <w:t>第一条　合同项目</w:t>
      </w:r>
      <w:bookmarkEnd w:id="101"/>
      <w:r>
        <w:rPr>
          <w:rFonts w:hint="eastAsia" w:ascii="宋体" w:hAnsi="宋体" w:eastAsia="宋体" w:cs="宋体"/>
          <w:b/>
          <w:bCs/>
          <w:color w:val="auto"/>
          <w:sz w:val="21"/>
          <w:szCs w:val="21"/>
          <w:highlight w:val="none"/>
        </w:rPr>
        <w:t xml:space="preserve"> </w:t>
      </w:r>
    </w:p>
    <w:p w14:paraId="2659FB91">
      <w:pPr>
        <w:keepNext w:val="0"/>
        <w:keepLines w:val="0"/>
        <w:pageBreakBefore w:val="0"/>
        <w:widowControl/>
        <w:shd w:val="clear" w:color="auto" w:fill="FFFFFF"/>
        <w:kinsoku/>
        <w:wordWrap/>
        <w:overflowPunct/>
        <w:topLinePunct w:val="0"/>
        <w:autoSpaceDE/>
        <w:autoSpaceDN/>
        <w:bidi w:val="0"/>
        <w:adjustRightInd/>
        <w:snapToGrid/>
        <w:spacing w:after="0" w:line="360" w:lineRule="auto"/>
        <w:ind w:left="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1.工程名称：</w:t>
      </w:r>
    </w:p>
    <w:p w14:paraId="5F3EAAD1">
      <w:pPr>
        <w:keepNext w:val="0"/>
        <w:keepLines w:val="0"/>
        <w:pageBreakBefore w:val="0"/>
        <w:widowControl/>
        <w:shd w:val="clear" w:color="auto" w:fill="FFFFFF"/>
        <w:kinsoku/>
        <w:wordWrap/>
        <w:overflowPunct/>
        <w:topLinePunct w:val="0"/>
        <w:autoSpaceDE/>
        <w:autoSpaceDN/>
        <w:bidi w:val="0"/>
        <w:adjustRightInd/>
        <w:snapToGrid/>
        <w:spacing w:after="0" w:line="360" w:lineRule="auto"/>
        <w:ind w:left="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工程地点：</w:t>
      </w:r>
    </w:p>
    <w:p w14:paraId="59DBA95F">
      <w:pPr>
        <w:keepNext w:val="0"/>
        <w:keepLines w:val="0"/>
        <w:pageBreakBefore w:val="0"/>
        <w:widowControl/>
        <w:shd w:val="clear" w:color="auto" w:fill="FFFFFF"/>
        <w:kinsoku/>
        <w:wordWrap/>
        <w:overflowPunct/>
        <w:topLinePunct w:val="0"/>
        <w:autoSpaceDE/>
        <w:autoSpaceDN/>
        <w:bidi w:val="0"/>
        <w:adjustRightInd/>
        <w:snapToGrid/>
        <w:spacing w:after="0" w:line="360" w:lineRule="auto"/>
        <w:ind w:left="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 xml:space="preserve">工程建设规模：  </w:t>
      </w:r>
    </w:p>
    <w:p w14:paraId="49F9759C">
      <w:pPr>
        <w:keepNext w:val="0"/>
        <w:keepLines w:val="0"/>
        <w:pageBreakBefore w:val="0"/>
        <w:kinsoku/>
        <w:wordWrap/>
        <w:overflowPunct/>
        <w:topLinePunct w:val="0"/>
        <w:autoSpaceDE/>
        <w:autoSpaceDN/>
        <w:bidi w:val="0"/>
        <w:adjustRightInd/>
        <w:snapToGrid/>
        <w:spacing w:after="0" w:line="360" w:lineRule="auto"/>
        <w:ind w:left="0" w:firstLine="420" w:firstLineChars="20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.工程内容：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负责现场勘察、设备安装位置协调选址、施工图设计；</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提供设备：</w:t>
      </w:r>
      <w:r>
        <w:rPr>
          <w:rFonts w:hint="eastAsia" w:ascii="宋体" w:hAnsi="宋体" w:eastAsia="宋体" w:cs="宋体"/>
          <w:color w:val="auto"/>
          <w:sz w:val="21"/>
          <w:szCs w:val="21"/>
          <w:highlight w:val="none"/>
        </w:rPr>
        <w:t>储能系统的设备选型、制造、软件设计开发、验收、提供相关图纸资料、试验（包括工厂试验、出厂试验）、包装、设备运输、现场开箱检查，现场技术服务、安装、调试和试验，参加联调试运行、验收，参加</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组织的其它设备的设计联络会及协调会，投标人应保证设备、文件和技术服务按合同要求的时间及内容进行等。其中储能系统所有的机械、电气、通信、外壳、接地等连接和配合（包括电池舱与 PCS 的连接电缆、PCS 与隔离变压器或升压变压器的连接电缆、储能系统自用动力照明等辅助用电的配电系统及电源、防逆流装置）、消防设施以及其他辅助设施。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提供储能项目工程建设服务（含施工临时电源、储能系统的土建及电气整体安装、调试达标交付）包括设备和材料采购供应、建筑安装工程施工、工程质量及工期控制、调试、报装、并网试运行直至验收交付等全过程的施工承包工作</w:t>
      </w:r>
      <w:r>
        <w:rPr>
          <w:rFonts w:hint="eastAsia" w:ascii="宋体" w:hAnsi="宋体" w:eastAsia="宋体" w:cs="宋体"/>
          <w:color w:val="auto"/>
          <w:sz w:val="21"/>
          <w:szCs w:val="21"/>
          <w:highlight w:val="none"/>
          <w:lang w:eastAsia="zh-CN"/>
        </w:rPr>
        <w:t>。</w:t>
      </w:r>
    </w:p>
    <w:p w14:paraId="6FFA860A">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施工部分：提供储能项目工程建设服务（含施工临时电源、项目施工材料的采购（电缆需要采用铜芯电缆）、储能系统的土建、电气整体安装、调试达标交付</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施工过程资料及全套竣工资料）包括储能系统电气、土建基础及配套相关安装工程施工、工程质量及工期控制、调试、报装、并网试运行直至验收交付等全过程的施工承包工作。设备维护及雨棚</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监控系统、</w:t>
      </w:r>
      <w:r>
        <w:rPr>
          <w:rFonts w:hint="eastAsia" w:ascii="宋体" w:hAnsi="宋体" w:eastAsia="宋体" w:cs="宋体"/>
          <w:color w:val="auto"/>
          <w:sz w:val="21"/>
          <w:szCs w:val="21"/>
          <w:highlight w:val="none"/>
        </w:rPr>
        <w:t>建设需要符合采购人的要求，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如设备设计在房屋内无需加装雨棚</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详见</w:t>
      </w:r>
      <w:r>
        <w:rPr>
          <w:rFonts w:hint="eastAsia" w:ascii="宋体" w:hAnsi="宋体" w:eastAsia="宋体" w:cs="宋体"/>
          <w:color w:val="auto"/>
          <w:sz w:val="21"/>
          <w:szCs w:val="21"/>
          <w:highlight w:val="none"/>
          <w:lang w:val="en-US" w:eastAsia="zh-CN"/>
        </w:rPr>
        <w:t>附件4：</w:t>
      </w:r>
      <w:r>
        <w:rPr>
          <w:rFonts w:hint="eastAsia" w:ascii="宋体" w:hAnsi="宋体" w:eastAsia="宋体" w:cs="宋体"/>
          <w:color w:val="auto"/>
          <w:sz w:val="21"/>
          <w:szCs w:val="21"/>
          <w:highlight w:val="none"/>
        </w:rPr>
        <w:t>《东莞市新有能源投资有限公司电化学储能电站配套设施建设标准》。</w:t>
      </w:r>
      <w:r>
        <w:rPr>
          <w:rFonts w:hint="eastAsia" w:ascii="宋体" w:hAnsi="宋体" w:eastAsia="宋体" w:cs="宋体"/>
          <w:color w:val="auto"/>
          <w:sz w:val="21"/>
          <w:szCs w:val="21"/>
          <w:highlight w:val="none"/>
          <w:lang w:val="en-US" w:eastAsia="zh-CN"/>
        </w:rPr>
        <w:t>项目开工前需安装摄像头监控系统，包安全文明施工措施费、相关部门监督验收及合同实施过程中不可预见费用等中标人为履行本合同所发生的一切费用</w:t>
      </w:r>
      <w:r>
        <w:rPr>
          <w:rFonts w:hint="eastAsia" w:ascii="宋体" w:hAnsi="宋体" w:eastAsia="宋体" w:cs="宋体"/>
          <w:color w:val="auto"/>
          <w:sz w:val="21"/>
          <w:szCs w:val="21"/>
          <w:highlight w:val="none"/>
        </w:rPr>
        <w:t>。</w:t>
      </w:r>
    </w:p>
    <w:p w14:paraId="599626BD">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.承包形式：总报价金额包含供货、建安费、垃圾清运费、安装、测试、验收直至取得验收合格证明文件及材料价之任何市场差价、管理费、综合费率、保险</w:t>
      </w:r>
      <w:r>
        <w:rPr>
          <w:rFonts w:hint="eastAsia" w:ascii="宋体" w:hAnsi="宋体" w:eastAsia="宋体" w:cs="宋体"/>
          <w:color w:val="auto"/>
          <w:sz w:val="21"/>
          <w:szCs w:val="21"/>
          <w:highlight w:val="none"/>
          <w:lang w:val="en-US" w:eastAsia="zh-Hans"/>
        </w:rPr>
        <w:t>费</w:t>
      </w:r>
      <w:r>
        <w:rPr>
          <w:rFonts w:hint="eastAsia" w:ascii="宋体" w:hAnsi="宋体" w:eastAsia="宋体" w:cs="宋体"/>
          <w:color w:val="auto"/>
          <w:sz w:val="21"/>
          <w:szCs w:val="21"/>
          <w:highlight w:val="none"/>
        </w:rPr>
        <w:t>、利润和国家规定的应由中标人承担的任何收费、税金、必须的加班费、费率或汇率的变动、专利费、运输、货品迟到工地的窝工费等直至交付采购人正常使用的所有费用；中标人根据项目中标金额及项目需求进行施工，建安费等费用不可超过本项目中标价。中标人施工图预算超出本项目中标价的，中标人须无偿为采购人修改施工图纸，直至采购人审定的施工图预算不超过本项目预算金额。双方约定条件范围内包工包料、包各项税费、材料购置费、安装费、运输费、装卸费、人工费、项目开工前需安装摄像头监控系统，包安全文明施工措施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相关部门监督验收及</w:t>
      </w:r>
      <w:r>
        <w:rPr>
          <w:rFonts w:hint="eastAsia" w:ascii="宋体" w:hAnsi="宋体" w:eastAsia="宋体" w:cs="宋体"/>
          <w:color w:val="auto"/>
          <w:sz w:val="21"/>
          <w:szCs w:val="21"/>
          <w:highlight w:val="none"/>
        </w:rPr>
        <w:t>合同实施过程中不可预见费用等中标人为履行本合同所发生的一切费用。</w:t>
      </w:r>
    </w:p>
    <w:p w14:paraId="5902E79D">
      <w:pPr>
        <w:pageBreakBefore w:val="0"/>
        <w:kinsoku/>
        <w:wordWrap/>
        <w:bidi w:val="0"/>
        <w:spacing w:after="0" w:line="360" w:lineRule="auto"/>
        <w:ind w:firstLine="420" w:firstLineChars="200"/>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7.甲方现场代表：</w:t>
      </w:r>
      <w:r>
        <w:rPr>
          <w:rFonts w:hint="eastAsia" w:ascii="宋体" w:hAnsi="宋体" w:eastAsia="宋体" w:cs="宋体"/>
          <w:color w:val="auto"/>
          <w:sz w:val="21"/>
          <w:szCs w:val="21"/>
          <w:highlight w:val="none"/>
          <w:u w:val="single"/>
          <w:lang w:val="en-US" w:eastAsia="zh-CN"/>
        </w:rPr>
        <w:t xml:space="preserve">       ，联系方式：      </w:t>
      </w:r>
      <w:r>
        <w:rPr>
          <w:rFonts w:hint="eastAsia" w:ascii="宋体" w:hAnsi="宋体" w:eastAsia="宋体" w:cs="宋体"/>
          <w:color w:val="auto"/>
          <w:sz w:val="21"/>
          <w:szCs w:val="21"/>
          <w:highlight w:val="none"/>
          <w:u w:val="none"/>
          <w:lang w:val="en-US" w:eastAsia="zh-CN"/>
        </w:rPr>
        <w:t xml:space="preserve"> </w:t>
      </w:r>
    </w:p>
    <w:p w14:paraId="55A0AB97">
      <w:pPr>
        <w:pageBreakBefore w:val="0"/>
        <w:kinsoku/>
        <w:wordWrap/>
        <w:bidi w:val="0"/>
        <w:spacing w:after="0" w:line="360" w:lineRule="auto"/>
        <w:ind w:firstLine="420" w:firstLineChars="200"/>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u w:val="none"/>
          <w:lang w:val="en-US" w:eastAsia="zh-CN"/>
        </w:rPr>
        <w:t>乙方项目负责人：</w:t>
      </w:r>
      <w:r>
        <w:rPr>
          <w:rFonts w:hint="eastAsia" w:ascii="宋体" w:hAnsi="宋体" w:eastAsia="宋体" w:cs="宋体"/>
          <w:color w:val="auto"/>
          <w:sz w:val="21"/>
          <w:szCs w:val="21"/>
          <w:highlight w:val="none"/>
          <w:u w:val="single"/>
          <w:lang w:val="en-US" w:eastAsia="zh-CN"/>
        </w:rPr>
        <w:t xml:space="preserve">       ，联系方式：      </w:t>
      </w:r>
      <w:r>
        <w:rPr>
          <w:rFonts w:hint="eastAsia" w:ascii="宋体" w:hAnsi="宋体" w:eastAsia="宋体" w:cs="宋体"/>
          <w:color w:val="auto"/>
          <w:sz w:val="21"/>
          <w:szCs w:val="21"/>
          <w:highlight w:val="none"/>
          <w:u w:val="none"/>
          <w:lang w:val="en-US" w:eastAsia="zh-CN"/>
        </w:rPr>
        <w:t xml:space="preserve"> </w:t>
      </w:r>
    </w:p>
    <w:p w14:paraId="69E71E7D">
      <w:pPr>
        <w:pageBreakBefore w:val="0"/>
        <w:kinsoku/>
        <w:wordWrap/>
        <w:bidi w:val="0"/>
        <w:spacing w:after="0" w:line="360" w:lineRule="auto"/>
        <w:jc w:val="left"/>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第二条　工程期限</w:t>
      </w:r>
    </w:p>
    <w:p w14:paraId="1D6EA126">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1.合同工期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合同总工期数为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个日历天（自</w:t>
      </w:r>
      <w:r>
        <w:rPr>
          <w:rFonts w:hint="eastAsia" w:ascii="宋体" w:hAnsi="宋体" w:eastAsia="宋体" w:cs="宋体"/>
          <w:color w:val="auto"/>
          <w:sz w:val="21"/>
          <w:szCs w:val="21"/>
          <w:highlight w:val="none"/>
          <w:lang w:val="en-US" w:eastAsia="zh-CN"/>
        </w:rPr>
        <w:t>采购人工程技术部</w:t>
      </w:r>
      <w:r>
        <w:rPr>
          <w:rFonts w:hint="eastAsia" w:ascii="宋体" w:hAnsi="宋体" w:eastAsia="宋体" w:cs="宋体"/>
          <w:color w:val="auto"/>
          <w:sz w:val="21"/>
          <w:szCs w:val="21"/>
          <w:highlight w:val="none"/>
        </w:rPr>
        <w:t>开</w:t>
      </w:r>
      <w:r>
        <w:rPr>
          <w:rFonts w:hint="eastAsia" w:ascii="宋体" w:hAnsi="宋体" w:eastAsia="宋体" w:cs="宋体"/>
          <w:color w:val="auto"/>
          <w:sz w:val="21"/>
          <w:szCs w:val="21"/>
          <w:highlight w:val="none"/>
          <w:lang w:val="en-US" w:eastAsia="zh-CN"/>
        </w:rPr>
        <w:t>工令</w:t>
      </w:r>
      <w:r>
        <w:rPr>
          <w:rFonts w:hint="eastAsia" w:ascii="宋体" w:hAnsi="宋体" w:eastAsia="宋体" w:cs="宋体"/>
          <w:color w:val="auto"/>
          <w:sz w:val="21"/>
          <w:szCs w:val="21"/>
          <w:highlight w:val="none"/>
        </w:rPr>
        <w:t>确定的日期起）。具体以甲方签发的开工通知确定的日期为准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若甲方无另行开工通知的，乙方应按照前述约定日期开工。</w:t>
      </w:r>
    </w:p>
    <w:p w14:paraId="1C752B0D">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2.如遇下列情况，经甲方现场代表签证后，工期可相应顺延。</w:t>
      </w:r>
    </w:p>
    <w:p w14:paraId="000BDD82">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（1）在施工中如因停电、停水</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小时以上或连续间歇性停水、停电</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天以上（每次连续</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小时以上），影响正常施工；停水停电2天以上；</w:t>
      </w:r>
    </w:p>
    <w:p w14:paraId="6930FA9C">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（2）因台风暴雨飓风等不可抗力的因素；</w:t>
      </w:r>
    </w:p>
    <w:p w14:paraId="323A5DB2">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（3）因人力不可抗拒的其他因素而延误工期。</w:t>
      </w:r>
    </w:p>
    <w:p w14:paraId="26D31FBF">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3.由于</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的下列原因造成工期延误的，</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有权</w:t>
      </w:r>
      <w:r>
        <w:rPr>
          <w:rFonts w:hint="eastAsia" w:ascii="宋体" w:hAnsi="宋体" w:eastAsia="宋体" w:cs="宋体"/>
          <w:color w:val="auto"/>
          <w:sz w:val="21"/>
          <w:szCs w:val="21"/>
          <w:highlight w:val="none"/>
          <w:lang w:val="en-US" w:eastAsia="zh-CN"/>
        </w:rPr>
        <w:t>顺延</w:t>
      </w:r>
      <w:r>
        <w:rPr>
          <w:rFonts w:hint="eastAsia" w:ascii="宋体" w:hAnsi="宋体" w:eastAsia="宋体" w:cs="宋体"/>
          <w:color w:val="auto"/>
          <w:sz w:val="21"/>
          <w:szCs w:val="21"/>
          <w:highlight w:val="none"/>
        </w:rPr>
        <w:t>工期</w:t>
      </w:r>
      <w:r>
        <w:rPr>
          <w:rFonts w:hint="eastAsia" w:ascii="宋体" w:hAnsi="宋体" w:eastAsia="宋体" w:cs="宋体"/>
          <w:color w:val="auto"/>
          <w:sz w:val="21"/>
          <w:szCs w:val="21"/>
          <w:highlight w:val="none"/>
          <w:lang w:eastAsia="zh-CN"/>
        </w:rPr>
        <w:t>：</w:t>
      </w:r>
    </w:p>
    <w:p w14:paraId="43877FB6">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（l）由于</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原因引起的变更；</w:t>
      </w:r>
    </w:p>
    <w:p w14:paraId="1EF40E51">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（2）未能按照合同要求的期限对</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文件进行审查；</w:t>
      </w:r>
    </w:p>
    <w:p w14:paraId="12AF59CE">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（3）因</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原因导致的暂停施工；</w:t>
      </w:r>
    </w:p>
    <w:p w14:paraId="167FE9CE">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（5) </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造成工期延误的其他原因。</w:t>
      </w:r>
    </w:p>
    <w:p w14:paraId="5D29303C">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因乙方原因造成施工延迟的，不得请求顺延工期。</w:t>
      </w:r>
    </w:p>
    <w:p w14:paraId="79AF49A9">
      <w:pPr>
        <w:pageBreakBefore w:val="0"/>
        <w:kinsoku/>
        <w:wordWrap/>
        <w:bidi w:val="0"/>
        <w:spacing w:after="0" w:line="360" w:lineRule="auto"/>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第三条　工程</w:t>
      </w:r>
      <w:r>
        <w:rPr>
          <w:rFonts w:hint="eastAsia" w:ascii="宋体" w:hAnsi="宋体" w:eastAsia="宋体" w:cs="宋体"/>
          <w:b/>
          <w:bCs/>
          <w:color w:val="auto"/>
          <w:sz w:val="21"/>
          <w:szCs w:val="21"/>
          <w:highlight w:val="none"/>
          <w:lang w:val="en-US" w:eastAsia="zh-CN"/>
        </w:rPr>
        <w:t>履约保证金</w:t>
      </w:r>
    </w:p>
    <w:p w14:paraId="211B9C87">
      <w:pPr>
        <w:pageBreakBefore w:val="0"/>
        <w:kinsoku/>
        <w:wordWrap/>
        <w:bidi w:val="0"/>
        <w:spacing w:after="0" w:line="360" w:lineRule="auto"/>
        <w:ind w:firstLine="48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1.为保证乙方在建设工程施工合同中承诺的履约义务得到切实履行，根据招标要求，乙方须向甲方提交履约保证金或银行履约保函</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w:t>
      </w:r>
      <w:bookmarkStart w:id="102" w:name="OLE_LINK4"/>
      <w:r>
        <w:rPr>
          <w:rFonts w:hint="eastAsia" w:ascii="宋体" w:hAnsi="宋体" w:eastAsia="宋体" w:cs="宋体"/>
          <w:color w:val="auto"/>
          <w:sz w:val="21"/>
          <w:szCs w:val="21"/>
          <w:highlight w:val="none"/>
          <w:lang w:val="en-US" w:eastAsia="zh-CN"/>
        </w:rPr>
        <w:t>保函起保时间不低于180天</w:t>
      </w:r>
      <w:bookmarkEnd w:id="102"/>
      <w:r>
        <w:rPr>
          <w:rFonts w:hint="eastAsia" w:ascii="宋体" w:hAnsi="宋体" w:eastAsia="宋体" w:cs="宋体"/>
          <w:color w:val="auto"/>
          <w:sz w:val="21"/>
          <w:szCs w:val="21"/>
          <w:highlight w:val="none"/>
          <w:lang w:val="en-US" w:eastAsia="zh-CN"/>
        </w:rPr>
        <w:t>）。乙方应当按照合同总金额的10%，即金额：(</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lang w:val="en-US" w:eastAsia="zh-CN"/>
        </w:rPr>
        <w:t>元</w:t>
      </w:r>
      <w:r>
        <w:rPr>
          <w:rFonts w:hint="eastAsia" w:ascii="宋体" w:hAnsi="宋体" w:eastAsia="宋体" w:cs="宋体"/>
          <w:color w:val="auto"/>
          <w:sz w:val="21"/>
          <w:szCs w:val="21"/>
          <w:highlight w:val="none"/>
          <w:lang w:val="en-US" w:eastAsia="zh-CN"/>
        </w:rPr>
        <w:t>)大写人民币：</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作为履约保证金或银行履约保函交付给甲方，此笔履约保证金由乙方通过支付到甲方公司账户，此款项不计利息或资金占用费。</w:t>
      </w:r>
    </w:p>
    <w:p w14:paraId="2D20DD34">
      <w:pPr>
        <w:pageBreakBefore w:val="0"/>
        <w:kinsoku/>
        <w:wordWrap/>
        <w:bidi w:val="0"/>
        <w:spacing w:after="0" w:line="360" w:lineRule="auto"/>
        <w:ind w:firstLine="48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保证范围为乙方未按建设工程施工合同约定履行义务，包括但不限于因乙方原因不能按约定竣工日期竣工、安全生产、工程质量达不到标准时以及因违反《民法典》的相关约定应向甲方支付的违约金或赔偿的损失。</w:t>
      </w:r>
    </w:p>
    <w:p w14:paraId="35038D10">
      <w:pPr>
        <w:pageBreakBefore w:val="0"/>
        <w:kinsoku/>
        <w:wordWrap/>
        <w:bidi w:val="0"/>
        <w:spacing w:after="0" w:line="360" w:lineRule="auto"/>
        <w:ind w:firstLine="48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3.保证期间自甲乙双方签订合同生效之日起至建设工程竣工验收合格后，项目完成通电调试未出现影响甲方收益的故障，乙方可申请甲方退回乙方履约保证金。</w:t>
      </w:r>
    </w:p>
    <w:p w14:paraId="01822B99">
      <w:pPr>
        <w:pageBreakBefore w:val="0"/>
        <w:kinsoku/>
        <w:wordWrap/>
        <w:bidi w:val="0"/>
        <w:spacing w:after="0" w:line="360" w:lineRule="auto"/>
        <w:outlineLvl w:val="0"/>
        <w:rPr>
          <w:rFonts w:hint="eastAsia" w:ascii="宋体" w:hAnsi="宋体" w:eastAsia="宋体" w:cs="宋体"/>
          <w:color w:val="auto"/>
          <w:sz w:val="21"/>
          <w:szCs w:val="21"/>
          <w:highlight w:val="none"/>
          <w:lang w:val="en-US" w:eastAsia="zh-CN"/>
        </w:rPr>
      </w:pPr>
      <w:bookmarkStart w:id="103" w:name="_Toc14221"/>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rPr>
        <w:t>条　工程价款、结算及付款</w:t>
      </w:r>
      <w:r>
        <w:rPr>
          <w:rFonts w:hint="eastAsia" w:ascii="宋体" w:hAnsi="宋体" w:eastAsia="宋体" w:cs="宋体"/>
          <w:b/>
          <w:bCs w:val="0"/>
          <w:color w:val="auto"/>
          <w:kern w:val="2"/>
          <w:sz w:val="21"/>
          <w:szCs w:val="21"/>
          <w:highlight w:val="none"/>
          <w:lang w:val="en-US" w:eastAsia="zh-CN" w:bidi="ar-SA"/>
        </w:rPr>
        <w:t>方式</w:t>
      </w:r>
      <w:bookmarkEnd w:id="103"/>
    </w:p>
    <w:p w14:paraId="2F1ACE6F">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w:t>
      </w:r>
      <w:r>
        <w:rPr>
          <w:rFonts w:hint="eastAsia" w:ascii="宋体" w:hAnsi="宋体" w:cs="宋体"/>
          <w:bCs w:val="0"/>
          <w:color w:val="auto"/>
          <w:kern w:val="2"/>
          <w:sz w:val="21"/>
          <w:szCs w:val="21"/>
          <w:highlight w:val="none"/>
          <w:lang w:val="en-US" w:eastAsia="zh-CN" w:bidi="ar-SA"/>
        </w:rPr>
        <w:t>XXX</w:t>
      </w:r>
      <w:r>
        <w:rPr>
          <w:rFonts w:hint="eastAsia" w:ascii="宋体" w:hAnsi="宋体" w:eastAsia="宋体" w:cs="宋体"/>
          <w:bCs w:val="0"/>
          <w:color w:val="auto"/>
          <w:kern w:val="2"/>
          <w:sz w:val="21"/>
          <w:szCs w:val="21"/>
          <w:highlight w:val="none"/>
          <w:lang w:val="en-US" w:eastAsia="zh-CN" w:bidi="ar-SA"/>
        </w:rPr>
        <w:t>有限公司用户侧储能项目最终第三方设计装机容量</w:t>
      </w:r>
      <w:r>
        <w:rPr>
          <w:rFonts w:hint="eastAsia" w:ascii="宋体" w:hAnsi="宋体" w:cs="宋体"/>
          <w:bCs w:val="0"/>
          <w:color w:val="auto"/>
          <w:kern w:val="2"/>
          <w:sz w:val="21"/>
          <w:szCs w:val="21"/>
          <w:highlight w:val="none"/>
          <w:lang w:val="en-US" w:eastAsia="zh-CN" w:bidi="ar-SA"/>
        </w:rPr>
        <w:t>XXX</w:t>
      </w:r>
      <w:r>
        <w:rPr>
          <w:rFonts w:hint="eastAsia" w:ascii="宋体" w:hAnsi="宋体" w:eastAsia="宋体" w:cs="宋体"/>
          <w:bCs w:val="0"/>
          <w:color w:val="auto"/>
          <w:kern w:val="2"/>
          <w:sz w:val="21"/>
          <w:szCs w:val="21"/>
          <w:highlight w:val="none"/>
          <w:lang w:val="en-US" w:eastAsia="zh-CN" w:bidi="ar-SA"/>
        </w:rPr>
        <w:t>kW/</w:t>
      </w:r>
      <w:r>
        <w:rPr>
          <w:rFonts w:hint="eastAsia" w:ascii="宋体" w:hAnsi="宋体" w:cs="宋体"/>
          <w:bCs w:val="0"/>
          <w:color w:val="auto"/>
          <w:kern w:val="2"/>
          <w:sz w:val="21"/>
          <w:szCs w:val="21"/>
          <w:highlight w:val="none"/>
          <w:lang w:val="en-US" w:eastAsia="zh-CN" w:bidi="ar-SA"/>
        </w:rPr>
        <w:t>XXX</w:t>
      </w:r>
      <w:r>
        <w:rPr>
          <w:rFonts w:hint="eastAsia" w:ascii="宋体" w:hAnsi="宋体" w:eastAsia="宋体" w:cs="宋体"/>
          <w:bCs w:val="0"/>
          <w:color w:val="auto"/>
          <w:kern w:val="2"/>
          <w:sz w:val="21"/>
          <w:szCs w:val="21"/>
          <w:highlight w:val="none"/>
          <w:lang w:val="en-US" w:eastAsia="zh-CN" w:bidi="ar-SA"/>
        </w:rPr>
        <w:t>kWh，（现场位置不能满足设计要求，容量缩减不受降低容量偏差限制），本项目现场位置不能满足设计要求最终装机容量相对招标容量发生调整，项目最终结算总价按招标结果中标单价进行结算，中标价：¥</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元/kWh，合计总额（小写）¥</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；（大写）</w:t>
      </w:r>
      <w:r>
        <w:rPr>
          <w:rFonts w:hint="eastAsia" w:ascii="宋体" w:hAnsi="宋体" w:eastAsia="宋体" w:cs="宋体"/>
          <w:bCs w:val="0"/>
          <w:color w:val="auto"/>
          <w:kern w:val="2"/>
          <w:sz w:val="21"/>
          <w:szCs w:val="21"/>
          <w:highlight w:val="none"/>
          <w:u w:val="single"/>
          <w:lang w:val="en-US" w:eastAsia="zh-CN" w:bidi="ar-SA"/>
        </w:rPr>
        <w:t>XXXXXXXX</w:t>
      </w:r>
      <w:r>
        <w:rPr>
          <w:rFonts w:hint="eastAsia" w:ascii="宋体" w:hAnsi="宋体" w:eastAsia="宋体" w:cs="宋体"/>
          <w:bCs w:val="0"/>
          <w:color w:val="auto"/>
          <w:kern w:val="2"/>
          <w:sz w:val="21"/>
          <w:szCs w:val="21"/>
          <w:highlight w:val="none"/>
          <w:lang w:val="en-US" w:eastAsia="zh-CN" w:bidi="ar-SA"/>
        </w:rPr>
        <w:t>。合同签订后乙方请款需开具等额的合法有效的增值税发票，设备部分为合同款总额的80%，增值税率为13%，工程施工部分为合同款总额的20%，增值税率为9%，具体税率可根据国家税率</w:t>
      </w:r>
      <w:r>
        <w:rPr>
          <w:rFonts w:hint="eastAsia" w:ascii="宋体" w:hAnsi="宋体" w:eastAsia="宋体" w:cs="宋体"/>
          <w:bCs w:val="0"/>
          <w:color w:val="auto"/>
          <w:kern w:val="2"/>
          <w:sz w:val="21"/>
          <w:szCs w:val="21"/>
          <w:highlight w:val="none"/>
          <w:lang w:val="en-US" w:eastAsia="zh-Hans" w:bidi="ar-SA"/>
        </w:rPr>
        <w:t>政策</w:t>
      </w:r>
      <w:r>
        <w:rPr>
          <w:rFonts w:hint="eastAsia" w:ascii="宋体" w:hAnsi="宋体" w:eastAsia="宋体" w:cs="宋体"/>
          <w:bCs w:val="0"/>
          <w:color w:val="auto"/>
          <w:kern w:val="2"/>
          <w:sz w:val="21"/>
          <w:szCs w:val="21"/>
          <w:highlight w:val="none"/>
          <w:lang w:val="en-US" w:eastAsia="zh-CN" w:bidi="ar-SA"/>
        </w:rPr>
        <w:t>要求进行调整。</w:t>
      </w:r>
    </w:p>
    <w:p w14:paraId="10F33ECB">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2.本项目合同金额包含供货、建安费、垃圾清运费、安装、测试、验收直至取得验收合格证明文件及材料价之任何市场差价、管理费、综合费率、保险</w:t>
      </w:r>
      <w:r>
        <w:rPr>
          <w:rFonts w:hint="eastAsia" w:ascii="宋体" w:hAnsi="宋体" w:eastAsia="宋体" w:cs="宋体"/>
          <w:bCs w:val="0"/>
          <w:color w:val="auto"/>
          <w:kern w:val="2"/>
          <w:sz w:val="21"/>
          <w:szCs w:val="21"/>
          <w:highlight w:val="none"/>
          <w:lang w:val="en-US" w:eastAsia="zh-Hans" w:bidi="ar-SA"/>
        </w:rPr>
        <w:t>费</w:t>
      </w:r>
      <w:r>
        <w:rPr>
          <w:rFonts w:hint="eastAsia" w:ascii="宋体" w:hAnsi="宋体" w:eastAsia="宋体" w:cs="宋体"/>
          <w:bCs w:val="0"/>
          <w:color w:val="auto"/>
          <w:kern w:val="2"/>
          <w:sz w:val="21"/>
          <w:szCs w:val="21"/>
          <w:highlight w:val="none"/>
          <w:lang w:val="en-US" w:eastAsia="zh-CN" w:bidi="ar-SA"/>
        </w:rPr>
        <w:t>、利润和国家规定的应由乙方承担的任何收费、税金、必须的加班费、费率或汇率的变动、专利费、运输、货品迟到工地的窝工费等直至交付甲方正常使用的所有费用；乙方根据项目预算金额及项目需求进行施工，建安费等费用不可超过本项目预算金额。乙方施工图预算超出本项目预算金额的，乙方须无偿为甲方修改施工图纸，直至甲方审定的施工图预算不超过本项目预算金额。双方约定条件范围内包工包料、包各项税费、材料购置费、安装费、运输费、装卸费、人工费、包安全文明施工措施费及合同实施过程中不可预见费用等乙方为履行本合同所发生的一切费用。</w:t>
      </w:r>
    </w:p>
    <w:p w14:paraId="50D4FBE5">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3.付款方式：</w:t>
      </w:r>
    </w:p>
    <w:p w14:paraId="1BC4E978">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3.1.预付款</w:t>
      </w:r>
    </w:p>
    <w:p w14:paraId="54C75A6F">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自施工图纸经甲方审查确认且乙方获甲方开工令之后,乙方可向甲方申请支付合同总金额的30%，即¥</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元；（大写：</w:t>
      </w:r>
      <w:r>
        <w:rPr>
          <w:rFonts w:hint="eastAsia" w:ascii="宋体" w:hAnsi="宋体" w:eastAsia="宋体" w:cs="宋体"/>
          <w:bCs w:val="0"/>
          <w:color w:val="auto"/>
          <w:kern w:val="2"/>
          <w:sz w:val="21"/>
          <w:szCs w:val="21"/>
          <w:highlight w:val="none"/>
          <w:u w:val="single"/>
          <w:lang w:val="en-US" w:eastAsia="zh-CN" w:bidi="ar-SA"/>
        </w:rPr>
        <w:t xml:space="preserve">  </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w:t>
      </w:r>
    </w:p>
    <w:p w14:paraId="5618149A">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3.2.进度款</w:t>
      </w:r>
    </w:p>
    <w:p w14:paraId="3F721079">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乙方完成设备承台、电缆铺设施工、设备安装完毕后经甲、乙双方书面确认完成该施工进度后，乙方可向甲方申请支付合同总金额的40%,即¥</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元；（大写：</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w:t>
      </w:r>
    </w:p>
    <w:p w14:paraId="209B6DA2">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3.3.竣工验收款</w:t>
      </w:r>
    </w:p>
    <w:p w14:paraId="67B41D8A">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乙方</w:t>
      </w:r>
      <w:r>
        <w:rPr>
          <w:rFonts w:hint="eastAsia" w:ascii="宋体" w:hAnsi="宋体" w:eastAsia="宋体" w:cs="宋体"/>
          <w:bCs/>
          <w:color w:val="auto"/>
          <w:sz w:val="21"/>
          <w:szCs w:val="21"/>
          <w:highlight w:val="none"/>
          <w:lang w:val="en-US" w:eastAsia="zh-CN" w:bidi="ar-SA"/>
        </w:rPr>
        <w:t>完成并满足以下要求后</w:t>
      </w:r>
      <w:r>
        <w:rPr>
          <w:rFonts w:hint="eastAsia" w:ascii="宋体" w:hAnsi="宋体" w:eastAsia="宋体" w:cs="宋体"/>
          <w:bCs w:val="0"/>
          <w:color w:val="auto"/>
          <w:kern w:val="2"/>
          <w:sz w:val="21"/>
          <w:szCs w:val="21"/>
          <w:highlight w:val="none"/>
          <w:lang w:val="en-US" w:eastAsia="zh-CN" w:bidi="ar-SA"/>
        </w:rPr>
        <w:t>可向甲方申请竣工验收款：</w:t>
      </w:r>
    </w:p>
    <w:p w14:paraId="311D866D">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（1）本项目需完成通电调试且系统试运行正常；</w:t>
      </w:r>
    </w:p>
    <w:p w14:paraId="42ED9F98">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（2）Modbus TCP协议及云平台对接要求：乙方的设备厂家需严格按照</w:t>
      </w:r>
      <w:bookmarkStart w:id="104" w:name="OLE_LINK3"/>
      <w:r>
        <w:rPr>
          <w:rFonts w:hint="eastAsia" w:ascii="宋体" w:hAnsi="宋体" w:eastAsia="宋体" w:cs="宋体"/>
          <w:bCs w:val="0"/>
          <w:color w:val="auto"/>
          <w:kern w:val="2"/>
          <w:sz w:val="21"/>
          <w:szCs w:val="21"/>
          <w:highlight w:val="none"/>
          <w:lang w:val="en-US" w:eastAsia="zh-CN" w:bidi="ar-SA"/>
        </w:rPr>
        <w:t>甲方提供的附件5《Modbus TCP规约点表》完成本地数据释放</w:t>
      </w:r>
      <w:bookmarkEnd w:id="104"/>
      <w:r>
        <w:rPr>
          <w:rFonts w:hint="eastAsia" w:ascii="宋体" w:hAnsi="宋体" w:eastAsia="宋体" w:cs="宋体"/>
          <w:bCs w:val="0"/>
          <w:color w:val="auto"/>
          <w:kern w:val="2"/>
          <w:sz w:val="21"/>
          <w:szCs w:val="21"/>
          <w:highlight w:val="none"/>
          <w:lang w:val="en-US" w:eastAsia="zh-CN" w:bidi="ar-SA"/>
        </w:rPr>
        <w:t>，并配合甲方完成本地硬件安装，本项目在甲方自有云平台上线运行，需实现全部数据正确展示、各类控制功能正常执行；</w:t>
      </w:r>
    </w:p>
    <w:p w14:paraId="4D95F8CE">
      <w:pPr>
        <w:pageBreakBefore w:val="0"/>
        <w:widowControl w:val="0"/>
        <w:kinsoku/>
        <w:wordWrap/>
        <w:bidi w:val="0"/>
        <w:spacing w:after="0" w:line="360" w:lineRule="auto"/>
        <w:ind w:left="0" w:leftChars="0" w:firstLine="435" w:firstLineChars="0"/>
        <w:jc w:val="both"/>
        <w:rPr>
          <w:rFonts w:hint="eastAsia" w:ascii="宋体" w:hAnsi="宋体" w:eastAsia="宋体" w:cs="宋体"/>
          <w:bCs/>
          <w:color w:val="auto"/>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w:t>
      </w:r>
      <w:r>
        <w:rPr>
          <w:rFonts w:hint="eastAsia" w:ascii="宋体" w:hAnsi="宋体" w:eastAsia="宋体" w:cs="宋体"/>
          <w:b w:val="0"/>
          <w:bCs w:val="0"/>
          <w:color w:val="auto"/>
          <w:sz w:val="21"/>
          <w:szCs w:val="21"/>
          <w:highlight w:val="none"/>
          <w:lang w:val="en-US" w:eastAsia="zh-CN" w:bidi="ar-SA"/>
        </w:rPr>
        <w:t>甲方收到业主方第一个月的储能节能款</w:t>
      </w:r>
      <w:r>
        <w:rPr>
          <w:rFonts w:hint="eastAsia" w:ascii="宋体" w:hAnsi="宋体" w:eastAsia="宋体" w:cs="宋体"/>
          <w:bCs w:val="0"/>
          <w:color w:val="auto"/>
          <w:kern w:val="2"/>
          <w:sz w:val="21"/>
          <w:szCs w:val="21"/>
          <w:highlight w:val="none"/>
          <w:lang w:val="en-US" w:eastAsia="zh-CN" w:bidi="ar-SA"/>
        </w:rPr>
        <w:t>；</w:t>
      </w:r>
    </w:p>
    <w:p w14:paraId="6AA34FBF">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（4）乙方按甲方要求完成项目竣工资料并出具双方加盖公章的竣工验收合格报告。竣工款支付至总合同结算金额的97%，即¥</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cs="宋体"/>
          <w:bCs w:val="0"/>
          <w:color w:val="auto"/>
          <w:kern w:val="2"/>
          <w:sz w:val="21"/>
          <w:szCs w:val="21"/>
          <w:highlight w:val="non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元；（大写</w:t>
      </w:r>
      <w:r>
        <w:rPr>
          <w:rFonts w:hint="eastAsia" w:ascii="宋体" w:hAnsi="宋体" w:eastAsia="宋体" w:cs="宋体"/>
          <w:bCs w:val="0"/>
          <w:color w:val="auto"/>
          <w:kern w:val="2"/>
          <w:sz w:val="21"/>
          <w:szCs w:val="21"/>
          <w:highlight w:val="none"/>
          <w:u w:val="single"/>
          <w:lang w:val="en-US" w:eastAsia="zh-CN" w:bidi="ar-SA"/>
        </w:rPr>
        <w:t>：</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w:t>
      </w:r>
    </w:p>
    <w:p w14:paraId="5D1FA48A">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3.4.质保款</w:t>
      </w:r>
    </w:p>
    <w:p w14:paraId="33B2CD76">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留本工程合同总结算金额的3%作为质量保修金，自本工程保修期届满后，甲方扣除乙方应付的维修、维护及质量损失赔偿金等金额后乙方可向甲方申请无息退还。</w:t>
      </w:r>
    </w:p>
    <w:p w14:paraId="7744D326">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05" w:name="_Toc501"/>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五</w:t>
      </w:r>
      <w:r>
        <w:rPr>
          <w:rFonts w:hint="eastAsia" w:ascii="宋体" w:hAnsi="宋体" w:eastAsia="宋体" w:cs="宋体"/>
          <w:b/>
          <w:bCs/>
          <w:color w:val="auto"/>
          <w:sz w:val="21"/>
          <w:szCs w:val="21"/>
          <w:highlight w:val="none"/>
        </w:rPr>
        <w:t>条　建筑材料、设备的供应和采购</w:t>
      </w:r>
      <w:bookmarkEnd w:id="105"/>
      <w:r>
        <w:rPr>
          <w:rFonts w:hint="eastAsia" w:ascii="宋体" w:hAnsi="宋体" w:eastAsia="宋体" w:cs="宋体"/>
          <w:b/>
          <w:bCs/>
          <w:color w:val="auto"/>
          <w:sz w:val="21"/>
          <w:szCs w:val="21"/>
          <w:highlight w:val="none"/>
        </w:rPr>
        <w:t xml:space="preserve"> </w:t>
      </w:r>
    </w:p>
    <w:p w14:paraId="764C2D62">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 xml:space="preserve">1.工程材料、设备由乙方采购。 </w:t>
      </w:r>
    </w:p>
    <w:p w14:paraId="52D40DF5">
      <w:pPr>
        <w:pageBreakBefore w:val="0"/>
        <w:widowControl w:val="0"/>
        <w:kinsoku/>
        <w:wordWrap/>
        <w:bidi w:val="0"/>
        <w:spacing w:after="0" w:line="360" w:lineRule="auto"/>
        <w:ind w:left="0" w:leftChars="0" w:firstLine="435" w:firstLineChars="0"/>
        <w:jc w:val="both"/>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乙方采购的设备，必须附有产品合格证和试验报告才能用于工程，甲方认为乙方提供的材料需要复验的，乙方应按要求提供复验报告。经复验符合质量要求的，方可用于工程，相关复验费用由甲方承担；复验不符合质量要求的，应退货处理，其复验费和退货损失由乙方承担。</w:t>
      </w:r>
      <w:r>
        <w:rPr>
          <w:rFonts w:hint="eastAsia" w:ascii="宋体" w:hAnsi="宋体" w:eastAsia="宋体" w:cs="宋体"/>
          <w:bCs/>
          <w:color w:val="auto"/>
          <w:sz w:val="21"/>
          <w:szCs w:val="21"/>
          <w:highlight w:val="none"/>
          <w:lang w:val="en-US" w:eastAsia="zh-CN" w:bidi="ar-SA"/>
        </w:rPr>
        <w:t xml:space="preserve"> </w:t>
      </w:r>
    </w:p>
    <w:p w14:paraId="6B0005E4">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06" w:name="_Toc4485"/>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六</w:t>
      </w:r>
      <w:r>
        <w:rPr>
          <w:rFonts w:hint="eastAsia" w:ascii="宋体" w:hAnsi="宋体" w:eastAsia="宋体" w:cs="宋体"/>
          <w:b/>
          <w:bCs/>
          <w:color w:val="auto"/>
          <w:sz w:val="21"/>
          <w:szCs w:val="21"/>
          <w:highlight w:val="none"/>
        </w:rPr>
        <w:t>条　施工与设计</w:t>
      </w:r>
      <w:bookmarkEnd w:id="106"/>
      <w:r>
        <w:rPr>
          <w:rFonts w:hint="eastAsia" w:ascii="宋体" w:hAnsi="宋体" w:eastAsia="宋体" w:cs="宋体"/>
          <w:b/>
          <w:bCs/>
          <w:color w:val="auto"/>
          <w:sz w:val="21"/>
          <w:szCs w:val="21"/>
          <w:highlight w:val="none"/>
        </w:rPr>
        <w:t xml:space="preserve"> </w:t>
      </w:r>
    </w:p>
    <w:p w14:paraId="4781306A">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1.乙方负责聘请具有合格资质的设计单位出具正规设计图纸及相关设计资料，由甲方签字认定交付的设计图纸、说明和有关技术资料，作为施工的有效依据，乙方不得擅自修改。 乙方对于设计过程中所需的设计资料或其他需甲方配合的事项应及时通知甲方,协助和参与甲方的设计资料的收集工作，协助甲方使方案设计及施工图设计获得批准。</w:t>
      </w:r>
    </w:p>
    <w:p w14:paraId="1B5AE995">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2、自本合同签订之日起5个工作日内，乙方需提交项目的施工图，经甲方审查合格后，在3日内做好相关开工准备工作并向甲方提交项目的开工申请。</w:t>
      </w:r>
    </w:p>
    <w:p w14:paraId="1AC27EC8">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甲方因使用功能提出的变更内容，甲方应向乙方出具变更意向书，说明变更的目的、范围、变更内容以及变更的工程量及其进度和技术要求，并附有关图纸和文件。为不影响施工进度，乙方收到变更意向书后应先行实施，并及时做好现场签证。</w:t>
      </w:r>
    </w:p>
    <w:p w14:paraId="3E5489DB">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4.实现包干价格，除法律规定的条件外一般不变更包干价格。</w:t>
      </w:r>
    </w:p>
    <w:p w14:paraId="110CBEBC">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5、施工过程中必须遵守甲方的工程管理制度，接受甲方的上级、工程、安全部门的检查考核，相关管理制度详细资料在交底时提供。</w:t>
      </w:r>
    </w:p>
    <w:p w14:paraId="77624ACC">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07" w:name="_Toc30697"/>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七</w:t>
      </w:r>
      <w:r>
        <w:rPr>
          <w:rFonts w:hint="eastAsia" w:ascii="宋体" w:hAnsi="宋体" w:eastAsia="宋体" w:cs="宋体"/>
          <w:b/>
          <w:bCs/>
          <w:color w:val="auto"/>
          <w:sz w:val="21"/>
          <w:szCs w:val="21"/>
          <w:highlight w:val="none"/>
        </w:rPr>
        <w:t>条　工程质量管理及验收</w:t>
      </w:r>
      <w:bookmarkEnd w:id="107"/>
    </w:p>
    <w:p w14:paraId="0230068B">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1.工程具备隐蔽条件，乙方先进行自检，并在隐蔽工程验收前 24 小时通知甲方验收。验收合格，甲方现场代表在验收记录上签字后，承包人可进行隐蔽工程继续施工。验收不合格，乙方予以整改后再交由甲方重新验收。</w:t>
      </w:r>
    </w:p>
    <w:p w14:paraId="28822FC4">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工程具备竣工验收条件，乙方向甲方提供完整竣工资料及竣工验收报告，包含：竣工图、有资质公司设计盖章图和现场签证单（如有）等。验收合格的，双方进行交接，验收不合格的，乙方应及时返工，费用由乙方自行承担，返工导致工期延误的，乙方应承担相应的违约责任。由于乙方原因造成质量事故，其返工费用由乙方承担，工期不变。</w:t>
      </w:r>
    </w:p>
    <w:p w14:paraId="66231C55">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经甲、乙双方特别提出并约定，乙方应当在合同工程通过竣工验收后90日内为甲方完成合同工程中低压工程部分的并网申请工作直至最终完成低压并网，否则甲方有权不支付验收款及其他任何款项。同时，需要特别明确的是，因工程发包的不可分割性（低压并网和低压接入并存的接入方式）及基于支付风险的商业考量和违约责任分配，乙方清晰知晓并承诺：在合同所涉低压工程成功并网前，即使甲方已对合同工程完成竣工验收或已实际使用工程中的非低压工程部分，乙方仍无权要求甲方就合同工程的整体或单独部分（无论该单独部分是否可独立核算）支付验收款及其他任何款项。除此之外，乙方清晰知晓因低压工程并网所产生的一切费用（包括但不限于设备整改费用、检验报告出具费用、因并网所产生的各单位协调费用等各费用）均由其自行承担。</w:t>
      </w:r>
    </w:p>
    <w:p w14:paraId="39CA4B94">
      <w:pPr>
        <w:pageBreakBefore w:val="0"/>
        <w:kinsoku/>
        <w:wordWrap/>
        <w:bidi w:val="0"/>
        <w:spacing w:after="0" w:line="360" w:lineRule="auto"/>
        <w:ind w:firstLine="420" w:firstLineChars="200"/>
        <w:rPr>
          <w:rFonts w:hint="eastAsia" w:ascii="宋体" w:hAnsi="宋体" w:eastAsia="宋体" w:cs="宋体"/>
          <w:b/>
          <w:bCs/>
          <w:color w:val="auto"/>
          <w:sz w:val="21"/>
          <w:szCs w:val="21"/>
          <w:highlight w:val="none"/>
        </w:rPr>
      </w:pPr>
      <w:r>
        <w:rPr>
          <w:rFonts w:hint="eastAsia" w:ascii="宋体" w:hAnsi="宋体" w:eastAsia="宋体" w:cs="宋体"/>
          <w:bCs w:val="0"/>
          <w:color w:val="auto"/>
          <w:kern w:val="2"/>
          <w:sz w:val="21"/>
          <w:szCs w:val="21"/>
          <w:highlight w:val="none"/>
          <w:lang w:val="en-US" w:eastAsia="zh-CN" w:bidi="ar-SA"/>
        </w:rPr>
        <w:t>4.工程质量满足：电力行业相关制度标准、国标以及该项目签署的《技术协议》要求见附件：技术协议。</w:t>
      </w:r>
    </w:p>
    <w:p w14:paraId="7908296D">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08" w:name="_Toc8501"/>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八</w:t>
      </w:r>
      <w:r>
        <w:rPr>
          <w:rFonts w:hint="eastAsia" w:ascii="宋体" w:hAnsi="宋体" w:eastAsia="宋体" w:cs="宋体"/>
          <w:b/>
          <w:bCs/>
          <w:color w:val="auto"/>
          <w:sz w:val="21"/>
          <w:szCs w:val="21"/>
          <w:highlight w:val="none"/>
        </w:rPr>
        <w:t>条　安全施工</w:t>
      </w:r>
      <w:bookmarkEnd w:id="108"/>
    </w:p>
    <w:p w14:paraId="2DC7E63E">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乙方在获得甲方开具的开工令后方可进场施工，未经甲方允许乙方自行施工的一切后果由乙方承担。乙方应遵守工程建设安全生产有关管理规定，严格按安全标准组织施工，乙方应进行现场管理，采取必要的安全防护措施，消除事故隐患。由于乙方安全措施不力造成事故的责任和因此发生的费用，由乙方承担。</w:t>
      </w:r>
    </w:p>
    <w:p w14:paraId="12829C79">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乙方应与作业人员签订劳动合同，购买社保及相关待遇的申领、发放，负责项目安装工人的用工关系及社会保险等。因乙方与实际施工人之间的包括但不限于薪资、工伤等劳动关系争议或一切债权债务关系均由乙方负责，与甲方无关。乙方作业过程中发生安全事故，造成甲方工作人员或第三人、人身伤害或财产损失的，乙方应当及时向保险公司</w:t>
      </w:r>
      <w:r>
        <w:rPr>
          <w:rFonts w:hint="eastAsia" w:ascii="宋体" w:hAnsi="宋体" w:eastAsia="宋体" w:cs="宋体"/>
          <w:bCs w:val="0"/>
          <w:color w:val="auto"/>
          <w:kern w:val="2"/>
          <w:sz w:val="21"/>
          <w:szCs w:val="21"/>
          <w:highlight w:val="none"/>
          <w:lang w:val="en-US" w:eastAsia="zh-Hans" w:bidi="ar-SA"/>
        </w:rPr>
        <w:t>或社保部门</w:t>
      </w:r>
      <w:r>
        <w:rPr>
          <w:rFonts w:hint="eastAsia" w:ascii="宋体" w:hAnsi="宋体" w:eastAsia="宋体" w:cs="宋体"/>
          <w:bCs w:val="0"/>
          <w:color w:val="auto"/>
          <w:kern w:val="2"/>
          <w:sz w:val="21"/>
          <w:szCs w:val="21"/>
          <w:highlight w:val="none"/>
          <w:lang w:val="en-US" w:eastAsia="zh-CN" w:bidi="ar-SA"/>
        </w:rPr>
        <w:t>申请赔付；如因乙方未购买保险</w:t>
      </w:r>
      <w:r>
        <w:rPr>
          <w:rFonts w:hint="eastAsia" w:ascii="宋体" w:hAnsi="宋体" w:eastAsia="宋体" w:cs="宋体"/>
          <w:bCs w:val="0"/>
          <w:color w:val="auto"/>
          <w:kern w:val="2"/>
          <w:sz w:val="21"/>
          <w:szCs w:val="21"/>
          <w:highlight w:val="none"/>
          <w:lang w:val="en-US" w:eastAsia="zh-Hans" w:bidi="ar-SA"/>
        </w:rPr>
        <w:t>或社保</w:t>
      </w:r>
      <w:r>
        <w:rPr>
          <w:rFonts w:hint="eastAsia" w:ascii="宋体" w:hAnsi="宋体" w:eastAsia="宋体" w:cs="宋体"/>
          <w:bCs w:val="0"/>
          <w:color w:val="auto"/>
          <w:kern w:val="2"/>
          <w:sz w:val="21"/>
          <w:szCs w:val="21"/>
          <w:highlight w:val="none"/>
          <w:lang w:val="en-US" w:eastAsia="zh-CN" w:bidi="ar-SA"/>
        </w:rPr>
        <w:t>及乙方原因导致的安全事故，乙方应当承担全部赔偿责任。</w:t>
      </w:r>
    </w:p>
    <w:p w14:paraId="289CBA20">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乙方需针对本工程购买工程相关保险。合同期内发生重大消防安全事故，事故责任的最终认定以消防安全事故专业认定机构或司法机构认定结果为准。乙方应当及时向保险公司申请赔付；如因乙方任何操作不当而导致火情发生或火情发生时不能及时遏制火情，经公安消防部门鉴定确实是乙方未及时报警或操作不当导致的，甲方有权单方解除合同，乙方须赔偿甲方因此而造成的直接损失及第三方的损失，并</w:t>
      </w:r>
      <w:r>
        <w:rPr>
          <w:rFonts w:hint="eastAsia" w:ascii="宋体" w:hAnsi="宋体" w:eastAsia="宋体" w:cs="宋体"/>
          <w:bCs w:val="0"/>
          <w:color w:val="auto"/>
          <w:kern w:val="2"/>
          <w:sz w:val="21"/>
          <w:szCs w:val="21"/>
          <w:highlight w:val="none"/>
          <w:lang w:val="en-US" w:eastAsia="zh-Hans" w:bidi="ar-SA"/>
        </w:rPr>
        <w:t>向甲方支付</w:t>
      </w:r>
      <w:r>
        <w:rPr>
          <w:rFonts w:hint="eastAsia" w:ascii="宋体" w:hAnsi="宋体" w:eastAsia="宋体" w:cs="宋体"/>
          <w:bCs w:val="0"/>
          <w:color w:val="auto"/>
          <w:kern w:val="2"/>
          <w:sz w:val="21"/>
          <w:szCs w:val="21"/>
          <w:highlight w:val="none"/>
          <w:lang w:val="en-US" w:eastAsia="zh-CN" w:bidi="ar-SA"/>
        </w:rPr>
        <w:t>合同价款的15%作为违约金。</w:t>
      </w:r>
    </w:p>
    <w:p w14:paraId="71D53AB4">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09" w:name="_Toc31964"/>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九</w:t>
      </w:r>
      <w:r>
        <w:rPr>
          <w:rFonts w:hint="eastAsia" w:ascii="宋体" w:hAnsi="宋体" w:eastAsia="宋体" w:cs="宋体"/>
          <w:b/>
          <w:bCs/>
          <w:color w:val="auto"/>
          <w:sz w:val="21"/>
          <w:szCs w:val="21"/>
          <w:highlight w:val="none"/>
        </w:rPr>
        <w:t>条　质量保修</w:t>
      </w:r>
      <w:bookmarkEnd w:id="109"/>
    </w:p>
    <w:p w14:paraId="7973A48E">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1.本工程施工保修期限为</w:t>
      </w:r>
      <w:r>
        <w:rPr>
          <w:rFonts w:hint="eastAsia" w:ascii="宋体" w:hAnsi="宋体" w:eastAsia="宋体" w:cs="宋体"/>
          <w:bCs w:val="0"/>
          <w:color w:val="auto"/>
          <w:kern w:val="2"/>
          <w:sz w:val="21"/>
          <w:szCs w:val="21"/>
          <w:highlight w:val="none"/>
          <w:u w:val="single"/>
          <w:lang w:val="en-US" w:eastAsia="zh-CN" w:bidi="ar-SA"/>
        </w:rPr>
        <w:t xml:space="preserve"> 壹 </w:t>
      </w:r>
      <w:r>
        <w:rPr>
          <w:rFonts w:hint="eastAsia" w:ascii="宋体" w:hAnsi="宋体" w:eastAsia="宋体" w:cs="宋体"/>
          <w:bCs w:val="0"/>
          <w:color w:val="auto"/>
          <w:kern w:val="2"/>
          <w:sz w:val="21"/>
          <w:szCs w:val="21"/>
          <w:highlight w:val="none"/>
          <w:lang w:val="en-US" w:eastAsia="zh-CN" w:bidi="ar-SA"/>
        </w:rPr>
        <w:t>年，电化学储能设备整体保修期限为 5 年，电池系统寿命不少于 10 年或电池循环次数6500次，6500次循环剩余容量≧原始容量的70%且放电倍率0.5C，EOL≧70%（以先到为准），自工程竣工并经甲方书面验收合格起算。保修期内，如出现相关质量异常或使用问题，乙方应无偿进行维修处理。</w:t>
      </w:r>
    </w:p>
    <w:p w14:paraId="43E754BA">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在免费保修期内，乙方应保证通讯畅通，令甲方能够随时同乙方取得联系。乙方在接到甲方维修通知后24小时内到达现场并及时处理。如乙方更换保修人员或联系电话，应及时通知甲方。若因乙方通讯不畅或故意不接，拖延推诿，甲方将视为乙方放弃保修责任，有权自行解决（包括聘请第三方维修等），由乙方承担所有费用。</w:t>
      </w:r>
    </w:p>
    <w:p w14:paraId="087E3C99">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乙方保修联系人：</w:t>
      </w:r>
      <w:r>
        <w:rPr>
          <w:rFonts w:hint="eastAsia" w:ascii="宋体" w:hAnsi="宋体" w:eastAsia="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；乙方保修联系电话：</w:t>
      </w:r>
      <w:r>
        <w:rPr>
          <w:rFonts w:hint="eastAsia" w:ascii="宋体" w:hAnsi="宋体" w:eastAsia="宋体" w:cs="宋体"/>
          <w:bCs w:val="0"/>
          <w:color w:val="auto"/>
          <w:kern w:val="2"/>
          <w:sz w:val="21"/>
          <w:szCs w:val="21"/>
          <w:highlight w:val="none"/>
          <w:u w:val="single"/>
          <w:lang w:val="en-US" w:eastAsia="zh-CN" w:bidi="ar-SA"/>
        </w:rPr>
        <w:t xml:space="preserve">   </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u w:val="single"/>
          <w:lang w:val="en-US" w:eastAsia="zh-CN" w:bidi="ar-SA"/>
        </w:rPr>
        <w:t xml:space="preserve"> </w:t>
      </w:r>
    </w:p>
    <w:p w14:paraId="23C5009E">
      <w:pPr>
        <w:pageBreakBefore w:val="0"/>
        <w:numPr>
          <w:ilvl w:val="0"/>
          <w:numId w:val="0"/>
        </w:numPr>
        <w:kinsoku/>
        <w:wordWrap/>
        <w:bidi w:val="0"/>
        <w:spacing w:after="0" w:line="360" w:lineRule="auto"/>
        <w:outlineLvl w:val="0"/>
        <w:rPr>
          <w:rFonts w:hint="eastAsia" w:ascii="宋体" w:hAnsi="宋体" w:eastAsia="宋体" w:cs="宋体"/>
          <w:b/>
          <w:bCs/>
          <w:color w:val="auto"/>
          <w:sz w:val="21"/>
          <w:szCs w:val="21"/>
          <w:highlight w:val="none"/>
        </w:rPr>
      </w:pPr>
      <w:bookmarkStart w:id="110" w:name="_Toc23665"/>
      <w:r>
        <w:rPr>
          <w:rFonts w:hint="eastAsia" w:ascii="宋体" w:hAnsi="宋体" w:eastAsia="宋体" w:cs="宋体"/>
          <w:b/>
          <w:bCs/>
          <w:color w:val="auto"/>
          <w:sz w:val="21"/>
          <w:szCs w:val="21"/>
          <w:highlight w:val="none"/>
          <w:lang w:val="en-US" w:eastAsia="zh-CN"/>
        </w:rPr>
        <w:t xml:space="preserve">第十条 </w:t>
      </w:r>
      <w:r>
        <w:rPr>
          <w:rFonts w:hint="eastAsia" w:ascii="宋体" w:hAnsi="宋体" w:eastAsia="宋体" w:cs="宋体"/>
          <w:b/>
          <w:bCs/>
          <w:color w:val="auto"/>
          <w:sz w:val="21"/>
          <w:szCs w:val="21"/>
          <w:highlight w:val="none"/>
        </w:rPr>
        <w:t>违约责任</w:t>
      </w:r>
      <w:bookmarkEnd w:id="110"/>
    </w:p>
    <w:p w14:paraId="749FA084">
      <w:pPr>
        <w:pageBreakBefore w:val="0"/>
        <w:numPr>
          <w:ilvl w:val="0"/>
          <w:numId w:val="6"/>
        </w:numPr>
        <w:kinsoku/>
        <w:wordWrap/>
        <w:bidi w:val="0"/>
        <w:spacing w:after="0" w:line="360" w:lineRule="auto"/>
        <w:outlineLvl w:val="0"/>
        <w:rPr>
          <w:rFonts w:hint="eastAsia" w:ascii="宋体" w:hAnsi="宋体" w:eastAsia="宋体" w:cs="宋体"/>
          <w:b/>
          <w:bCs/>
          <w:color w:val="auto"/>
          <w:sz w:val="21"/>
          <w:szCs w:val="21"/>
          <w:highlight w:val="none"/>
          <w:lang w:val="en-US" w:eastAsia="zh-CN"/>
        </w:rPr>
      </w:pPr>
      <w:bookmarkStart w:id="111" w:name="_Toc14978"/>
      <w:r>
        <w:rPr>
          <w:rFonts w:hint="eastAsia" w:ascii="宋体" w:hAnsi="宋体" w:eastAsia="宋体" w:cs="宋体"/>
          <w:b/>
          <w:bCs/>
          <w:color w:val="auto"/>
          <w:sz w:val="21"/>
          <w:szCs w:val="21"/>
          <w:highlight w:val="none"/>
          <w:lang w:val="en-US" w:eastAsia="zh-CN"/>
        </w:rPr>
        <w:t>甲方违约责任</w:t>
      </w:r>
      <w:bookmarkEnd w:id="111"/>
    </w:p>
    <w:p w14:paraId="7B2698D3">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若甲方无正当理由延期支付工程款的，乙方可向甲方发出履约通知，甲方在收到通知后仍不按照约定支付工程款的，乙方可以停工并顺延工期且不承担任何违约责任，甲方应当从应付之日起向乙方支付应付工程款的利息，并赔偿因此给乙方造成的停工、窝工损失。</w:t>
      </w:r>
    </w:p>
    <w:p w14:paraId="5231AB50">
      <w:pPr>
        <w:pageBreakBefore w:val="0"/>
        <w:numPr>
          <w:ilvl w:val="-1"/>
          <w:numId w:val="0"/>
        </w:numPr>
        <w:kinsoku/>
        <w:wordWrap/>
        <w:bidi w:val="0"/>
        <w:spacing w:after="0" w:line="360" w:lineRule="auto"/>
        <w:outlineLvl w:val="0"/>
        <w:rPr>
          <w:rFonts w:hint="eastAsia" w:ascii="宋体" w:hAnsi="宋体" w:eastAsia="宋体" w:cs="宋体"/>
          <w:b/>
          <w:bCs/>
          <w:color w:val="auto"/>
          <w:sz w:val="21"/>
          <w:szCs w:val="21"/>
          <w:highlight w:val="none"/>
          <w:lang w:val="en-US" w:eastAsia="zh-CN"/>
        </w:rPr>
      </w:pPr>
      <w:bookmarkStart w:id="112" w:name="_Toc27788"/>
      <w:r>
        <w:rPr>
          <w:rFonts w:hint="eastAsia" w:ascii="宋体" w:hAnsi="宋体" w:eastAsia="宋体" w:cs="宋体"/>
          <w:b/>
          <w:bCs/>
          <w:color w:val="auto"/>
          <w:sz w:val="21"/>
          <w:szCs w:val="21"/>
          <w:highlight w:val="none"/>
          <w:lang w:val="en-US" w:eastAsia="zh-CN"/>
        </w:rPr>
        <w:t>（二）乙方违约责任</w:t>
      </w:r>
      <w:bookmarkEnd w:id="112"/>
    </w:p>
    <w:p w14:paraId="5368D415">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1.由于乙方违法甲方的工程、安全管理制度，接受甲方相关部门的按照开工交底前双方确认的制度执行处罚，罚款金额另外支付，不在工程款项中扣除。</w:t>
      </w:r>
    </w:p>
    <w:p w14:paraId="229BE0B0">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因乙方原因致使工程质量不符合约定的，甲方有权要求乙方在合理期限内无偿修理或者返工。此外乙方应赔偿因此给甲方造成的直接损失与相关费用(包括但不限于守约方为维护自己的合法权益而支付的律师费、公证费、调查费、诉讼费、保全费、保全保险费等相关各项费用)。</w:t>
      </w:r>
    </w:p>
    <w:p w14:paraId="4B94F714">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3.因乙方原因导致工期延</w:t>
      </w:r>
      <w:r>
        <w:rPr>
          <w:rFonts w:hint="eastAsia" w:ascii="宋体" w:hAnsi="宋体" w:eastAsia="宋体" w:cs="宋体"/>
          <w:bCs w:val="0"/>
          <w:color w:val="auto"/>
          <w:kern w:val="2"/>
          <w:sz w:val="21"/>
          <w:szCs w:val="21"/>
          <w:highlight w:val="none"/>
          <w:lang w:val="en-US" w:eastAsia="zh-Hans" w:bidi="ar-SA"/>
        </w:rPr>
        <w:t>期</w:t>
      </w:r>
      <w:r>
        <w:rPr>
          <w:rFonts w:hint="eastAsia" w:ascii="宋体" w:hAnsi="宋体" w:eastAsia="宋体" w:cs="宋体"/>
          <w:bCs w:val="0"/>
          <w:color w:val="auto"/>
          <w:kern w:val="2"/>
          <w:sz w:val="21"/>
          <w:szCs w:val="21"/>
          <w:highlight w:val="none"/>
          <w:lang w:val="en-US" w:eastAsia="zh-CN" w:bidi="ar-SA"/>
        </w:rPr>
        <w:t>的，乙方应当承担违约责任，以合同价款为基数，向甲方赔偿；如逾期超15日，甲方要求乙方承担违约金的同时</w:t>
      </w:r>
      <w:r>
        <w:rPr>
          <w:rFonts w:hint="eastAsia" w:ascii="宋体" w:hAnsi="宋体" w:eastAsia="宋体" w:cs="宋体"/>
          <w:bCs w:val="0"/>
          <w:color w:val="auto"/>
          <w:kern w:val="2"/>
          <w:sz w:val="21"/>
          <w:szCs w:val="21"/>
          <w:highlight w:val="none"/>
          <w:lang w:val="en-US" w:eastAsia="zh-Hans" w:bidi="ar-SA"/>
        </w:rPr>
        <w:t>有权</w:t>
      </w:r>
      <w:r>
        <w:rPr>
          <w:rFonts w:hint="eastAsia" w:ascii="宋体" w:hAnsi="宋体" w:eastAsia="宋体" w:cs="宋体"/>
          <w:bCs w:val="0"/>
          <w:color w:val="auto"/>
          <w:kern w:val="2"/>
          <w:sz w:val="21"/>
          <w:szCs w:val="21"/>
          <w:highlight w:val="none"/>
          <w:lang w:val="en-US" w:eastAsia="zh-CN" w:bidi="ar-SA"/>
        </w:rPr>
        <w:t>单方解除本合同，违约金最高不超过每日万分之三的违约金；如逾期超15日，甲方要求乙方承担违约金的同时</w:t>
      </w:r>
      <w:r>
        <w:rPr>
          <w:rFonts w:hint="eastAsia" w:ascii="宋体" w:hAnsi="宋体" w:eastAsia="宋体" w:cs="宋体"/>
          <w:bCs w:val="0"/>
          <w:color w:val="auto"/>
          <w:kern w:val="2"/>
          <w:sz w:val="21"/>
          <w:szCs w:val="21"/>
          <w:highlight w:val="none"/>
          <w:lang w:val="en-US" w:eastAsia="zh-Hans" w:bidi="ar-SA"/>
        </w:rPr>
        <w:t>有权</w:t>
      </w:r>
      <w:r>
        <w:rPr>
          <w:rFonts w:hint="eastAsia" w:ascii="宋体" w:hAnsi="宋体" w:eastAsia="宋体" w:cs="宋体"/>
          <w:bCs w:val="0"/>
          <w:color w:val="auto"/>
          <w:kern w:val="2"/>
          <w:sz w:val="21"/>
          <w:szCs w:val="21"/>
          <w:highlight w:val="none"/>
          <w:lang w:val="en-US" w:eastAsia="zh-CN" w:bidi="ar-SA"/>
        </w:rPr>
        <w:t>解除合同。</w:t>
      </w:r>
    </w:p>
    <w:p w14:paraId="23F04D47">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乙方擅自拆改房屋承重结构或共用管线和设施，由此发生的损失或事故（包括罚款），由乙方负责并承担责任，同时支付甲方由此遭受的直接损失与相关费用(包括但不限于守约方为维护自己的合法权益而支付的律师费、公证费、调查费、诉讼费、保全费、保全保险费等相关各项费用)。</w:t>
      </w:r>
    </w:p>
    <w:p w14:paraId="19578A95">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5.乙方提供的材料、设备是假冒伪劣产品的，应按材料、设备价款的双倍赔偿甲方。</w:t>
      </w:r>
    </w:p>
    <w:p w14:paraId="6A3D3FB1">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6.乙方未能按照第七条第3点在约定期限内完成并网的，甲方有权要求乙方以合同价款为基数，向甲方按日赔偿日万分之三的违约金，此外还应赔偿因此给甲方造成的直接损失与相关费用(包括但不限于守约方为维护自己的合法权益而支付的律师费、公证费、调查费、诉讼费、保全费、保全保险费等相关各项费用)。</w:t>
      </w:r>
    </w:p>
    <w:p w14:paraId="1C3250CD">
      <w:pPr>
        <w:pageBreakBefore w:val="0"/>
        <w:kinsoku/>
        <w:wordWrap/>
        <w:bidi w:val="0"/>
        <w:spacing w:after="0" w:line="360" w:lineRule="auto"/>
        <w:ind w:firstLine="0" w:firstLine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其他</w:t>
      </w:r>
    </w:p>
    <w:p w14:paraId="1F743A83">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协议一方于施工后擅自解除或终止本合同的，违约方应按工程款的15 %向守约方支付违约金，若该违约金不足以弥补守约方由此遭受的直接损失与相关费用(包括但不限于守约方为维护自己的合法权益而支付的律师费、公证费、调查费、诉讼费、保全费、保全保险费等相关各项费用)，守约方有权追偿。</w:t>
      </w:r>
    </w:p>
    <w:p w14:paraId="753A656D">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2.不可抗力是指甲乙双方在订立合同时不可预见，在履行合同过程中不可避免发生并不能克服的自然灾害和社会性突发事件，包括但不限于下列情况：</w:t>
      </w:r>
    </w:p>
    <w:p w14:paraId="5B2FDE6A">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（1）战争、敌对行动（无论宣战与否）、入侵、外敌行为；</w:t>
      </w:r>
    </w:p>
    <w:p w14:paraId="67463AFC">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（2）叛乱、恐怖主义、暴动、军事政变或篡夺政权、或内战；</w:t>
      </w:r>
    </w:p>
    <w:p w14:paraId="43CBBB00">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（3）暴乱、骚动、混乱、非承包人员工以及非承包人和分包人的其他雇员所造成的罢工或停工；</w:t>
      </w:r>
    </w:p>
    <w:p w14:paraId="3407B6E6">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（4）战争军火、爆炸材料、放射能产生的离子辐射污染，但可能因承包人使用此类军火、炸药、放射或辐射能引起的除外；</w:t>
      </w:r>
    </w:p>
    <w:p w14:paraId="1847A27F">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（5）自然灾难,例如地震、瘟疫、飓风、台风、雷暴或火山爆发；</w:t>
      </w:r>
    </w:p>
    <w:p w14:paraId="7D107E25">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合同一方遇到不可抗力事件，使其履行合同义务受到阻碍时，应立即通知合同另一方，书面说明不可抗力和受阻碍的详细情况，并提供必要的证明。不可抗力发生后，甲方和乙方均应采取措施尽量避免和减少损失的扩大，任何一方没有采取有效措施导致损失扩大的，应对扩大的损失承担责任。</w:t>
      </w:r>
    </w:p>
    <w:p w14:paraId="6FEBB5DD">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合同一方因不可抗力不能履行合同的，应当及时通知对方解除合同。合同解除后的付款，双方应根据实际工程量及各方损失协商确定。</w:t>
      </w:r>
    </w:p>
    <w:p w14:paraId="32D1822C">
      <w:pPr>
        <w:pageBreakBefore w:val="0"/>
        <w:kinsoku/>
        <w:wordWrap/>
        <w:bidi w:val="0"/>
        <w:spacing w:after="0" w:line="360" w:lineRule="auto"/>
        <w:ind w:left="0" w:leftChars="0" w:firstLine="0" w:firstLineChars="0"/>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第十</w:t>
      </w:r>
      <w:r>
        <w:rPr>
          <w:rFonts w:hint="eastAsia" w:ascii="宋体" w:hAnsi="宋体" w:eastAsia="宋体" w:cs="宋体"/>
          <w:b/>
          <w:bCs/>
          <w:color w:val="auto"/>
          <w:sz w:val="21"/>
          <w:szCs w:val="21"/>
          <w:highlight w:val="none"/>
          <w:lang w:val="en-US" w:eastAsia="zh-CN"/>
        </w:rPr>
        <w:t>一</w:t>
      </w:r>
      <w:r>
        <w:rPr>
          <w:rFonts w:hint="eastAsia" w:ascii="宋体" w:hAnsi="宋体" w:eastAsia="宋体" w:cs="宋体"/>
          <w:b/>
          <w:bCs/>
          <w:color w:val="auto"/>
          <w:sz w:val="21"/>
          <w:szCs w:val="21"/>
          <w:highlight w:val="none"/>
        </w:rPr>
        <w:t xml:space="preserve">条　纠纷解决办法 </w:t>
      </w:r>
    </w:p>
    <w:p w14:paraId="57FCD33A">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合同经双方签字生效后，双方必须严格遵守。任何一方需变更合同内容，应经协商一致后，重新签订补充协议。合同签订后施工前，一方如要终止合同，应以书面形式提出，并按合同总价款10%支付违约金，办理终止合同手续。</w:t>
      </w:r>
    </w:p>
    <w:p w14:paraId="7B450260">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2.因本合同产生纠纷，如协商无法解决，双方均有权向甲方所在地人民法院提起诉讼。</w:t>
      </w:r>
    </w:p>
    <w:p w14:paraId="5F830964">
      <w:pPr>
        <w:pageBreakBefore w:val="0"/>
        <w:widowControl/>
        <w:shd w:val="clear"/>
        <w:kinsoku/>
        <w:wordWrap/>
        <w:bidi w:val="0"/>
        <w:spacing w:after="0" w:line="360" w:lineRule="auto"/>
        <w:ind w:left="0" w:leftChars="0" w:firstLine="0" w:firstLineChars="0"/>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第十</w:t>
      </w:r>
      <w:r>
        <w:rPr>
          <w:rFonts w:hint="eastAsia" w:ascii="宋体" w:hAns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rPr>
        <w:t xml:space="preserve">条　附　则 </w:t>
      </w:r>
    </w:p>
    <w:p w14:paraId="59B4E8AA">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 xml:space="preserve">1.甲方代表为 </w:t>
      </w:r>
      <w:r>
        <w:rPr>
          <w:rFonts w:hint="eastAsia" w:ascii="宋体" w:hAnsi="宋体" w:eastAsia="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 xml:space="preserve">，乙方代表为 </w:t>
      </w:r>
      <w:r>
        <w:rPr>
          <w:rFonts w:hint="eastAsia" w:ascii="宋体" w:hAnsi="宋体" w:eastAsia="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 xml:space="preserve"> 。</w:t>
      </w:r>
    </w:p>
    <w:p w14:paraId="28662FB8">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2.本合同一式肆份，甲乙双方各执贰份，自甲乙双方代表签字，加盖双方公章或合同专用章后生效。</w:t>
      </w:r>
    </w:p>
    <w:p w14:paraId="1A03BA9C">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3.附件1：《开票明细表》。</w:t>
      </w:r>
    </w:p>
    <w:p w14:paraId="7974C0FF">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4.附件2：《廉洁协议书》。</w:t>
      </w:r>
    </w:p>
    <w:p w14:paraId="4F6278C6">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5.附件3：《不拖欠农民工工资承诺书》。</w:t>
      </w:r>
    </w:p>
    <w:p w14:paraId="6E3DF8E0">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6.附件4：《工程施工安全协议书》。</w:t>
      </w:r>
    </w:p>
    <w:p w14:paraId="7027D940">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7.附件5：《承包商违章处罚条例》。</w:t>
      </w:r>
    </w:p>
    <w:p w14:paraId="78F05C04">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8.附件6：《技术用户需求》。</w:t>
      </w:r>
    </w:p>
    <w:p w14:paraId="2ED70624">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bCs w:val="0"/>
          <w:color w:val="auto"/>
          <w:kern w:val="2"/>
          <w:sz w:val="21"/>
          <w:szCs w:val="21"/>
          <w:highlight w:val="none"/>
          <w:lang w:val="en-US" w:eastAsia="zh-CN" w:bidi="ar-SA"/>
        </w:rPr>
        <w:t>9.附件7：《技术协议》。</w:t>
      </w:r>
    </w:p>
    <w:p w14:paraId="639B7576">
      <w:pPr>
        <w:pageBreakBefore w:val="0"/>
        <w:kinsoku/>
        <w:wordWrap/>
        <w:bidi w:val="0"/>
        <w:spacing w:after="0" w:line="360" w:lineRule="auto"/>
        <w:ind w:firstLine="0" w:firstLineChars="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（以下无正文）</w:t>
      </w:r>
    </w:p>
    <w:p w14:paraId="7C4A211D">
      <w:pPr>
        <w:spacing w:after="200" w:line="240" w:lineRule="auto"/>
        <w:rPr>
          <w:rFonts w:hint="eastAsia" w:ascii="宋体" w:hAnsi="宋体" w:eastAsia="宋体" w:cs="宋体"/>
          <w:bCs w:val="0"/>
          <w:color w:val="auto"/>
          <w:kern w:val="2"/>
          <w:sz w:val="21"/>
          <w:szCs w:val="21"/>
          <w:highlight w:val="none"/>
          <w:lang w:val="en-US" w:eastAsia="zh-CN" w:bidi="ar-SA"/>
        </w:rPr>
      </w:pPr>
    </w:p>
    <w:tbl>
      <w:tblPr>
        <w:tblStyle w:val="29"/>
        <w:tblpPr w:leftFromText="180" w:rightFromText="180" w:vertAnchor="text" w:horzAnchor="page" w:tblpX="1150" w:tblpY="443"/>
        <w:tblOverlap w:val="never"/>
        <w:tblW w:w="4999" w:type="pct"/>
        <w:tblInd w:w="0" w:type="dxa"/>
        <w:tblLayout w:type="autofit"/>
        <w:tblCellMar>
          <w:top w:w="0" w:type="dxa"/>
          <w:left w:w="108" w:type="dxa"/>
          <w:bottom w:w="0" w:type="dxa"/>
          <w:right w:w="108" w:type="dxa"/>
        </w:tblCellMar>
      </w:tblPr>
      <w:tblGrid>
        <w:gridCol w:w="4930"/>
        <w:gridCol w:w="4747"/>
      </w:tblGrid>
      <w:tr w14:paraId="6E4A6191">
        <w:tblPrEx>
          <w:tblCellMar>
            <w:top w:w="0" w:type="dxa"/>
            <w:left w:w="108" w:type="dxa"/>
            <w:bottom w:w="0" w:type="dxa"/>
            <w:right w:w="108" w:type="dxa"/>
          </w:tblCellMar>
        </w:tblPrEx>
        <w:tc>
          <w:tcPr>
            <w:tcW w:w="2547" w:type="pct"/>
            <w:noWrap w:val="0"/>
            <w:vAlign w:val="top"/>
          </w:tcPr>
          <w:p w14:paraId="3011C045">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p>
          <w:p w14:paraId="36386792">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甲方（盖章）：东莞市新有能源投资有限公司</w:t>
            </w:r>
          </w:p>
        </w:tc>
        <w:tc>
          <w:tcPr>
            <w:tcW w:w="2452" w:type="pct"/>
            <w:noWrap w:val="0"/>
            <w:vAlign w:val="top"/>
          </w:tcPr>
          <w:p w14:paraId="1F853EAB">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p>
          <w:p w14:paraId="579F52E4">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 xml:space="preserve">乙方(盖章)： </w:t>
            </w:r>
          </w:p>
        </w:tc>
      </w:tr>
      <w:tr w14:paraId="4A4C5160">
        <w:tblPrEx>
          <w:tblCellMar>
            <w:top w:w="0" w:type="dxa"/>
            <w:left w:w="108" w:type="dxa"/>
            <w:bottom w:w="0" w:type="dxa"/>
            <w:right w:w="108" w:type="dxa"/>
          </w:tblCellMar>
        </w:tblPrEx>
        <w:tc>
          <w:tcPr>
            <w:tcW w:w="2547" w:type="pct"/>
            <w:noWrap w:val="0"/>
            <w:vAlign w:val="top"/>
          </w:tcPr>
          <w:p w14:paraId="38E6EE5A">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法定代表人或</w:t>
            </w:r>
          </w:p>
          <w:p w14:paraId="5382C9FA">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授权代表(签章)：</w:t>
            </w:r>
          </w:p>
          <w:p w14:paraId="24E8CBE6">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p>
        </w:tc>
        <w:tc>
          <w:tcPr>
            <w:tcW w:w="2452" w:type="pct"/>
            <w:noWrap w:val="0"/>
            <w:vAlign w:val="top"/>
          </w:tcPr>
          <w:p w14:paraId="31569D7F">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法定代表人或</w:t>
            </w:r>
          </w:p>
          <w:p w14:paraId="40F5E866">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授权代表(签章)：</w:t>
            </w:r>
          </w:p>
        </w:tc>
      </w:tr>
      <w:tr w14:paraId="6C4E749D">
        <w:tblPrEx>
          <w:tblCellMar>
            <w:top w:w="0" w:type="dxa"/>
            <w:left w:w="108" w:type="dxa"/>
            <w:bottom w:w="0" w:type="dxa"/>
            <w:right w:w="108" w:type="dxa"/>
          </w:tblCellMar>
        </w:tblPrEx>
        <w:tc>
          <w:tcPr>
            <w:tcW w:w="2547" w:type="pct"/>
            <w:noWrap w:val="0"/>
            <w:vAlign w:val="top"/>
          </w:tcPr>
          <w:p w14:paraId="3A6868E3">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地址：广东省东莞市松山湖园区新城路5号1栋505室</w:t>
            </w:r>
          </w:p>
        </w:tc>
        <w:tc>
          <w:tcPr>
            <w:tcW w:w="2452" w:type="pct"/>
            <w:noWrap w:val="0"/>
            <w:vAlign w:val="top"/>
          </w:tcPr>
          <w:p w14:paraId="1D62CBBF">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地址：</w:t>
            </w:r>
          </w:p>
        </w:tc>
      </w:tr>
      <w:tr w14:paraId="3C0B3D37">
        <w:tblPrEx>
          <w:tblCellMar>
            <w:top w:w="0" w:type="dxa"/>
            <w:left w:w="108" w:type="dxa"/>
            <w:bottom w:w="0" w:type="dxa"/>
            <w:right w:w="108" w:type="dxa"/>
          </w:tblCellMar>
        </w:tblPrEx>
        <w:tc>
          <w:tcPr>
            <w:tcW w:w="2547" w:type="pct"/>
            <w:noWrap w:val="0"/>
            <w:vAlign w:val="top"/>
          </w:tcPr>
          <w:p w14:paraId="5E3E3336">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电话：0769-26626338</w:t>
            </w:r>
          </w:p>
        </w:tc>
        <w:tc>
          <w:tcPr>
            <w:tcW w:w="2452" w:type="pct"/>
            <w:noWrap w:val="0"/>
            <w:vAlign w:val="top"/>
          </w:tcPr>
          <w:p w14:paraId="5CD8A833">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电话：</w:t>
            </w:r>
          </w:p>
        </w:tc>
      </w:tr>
      <w:tr w14:paraId="5AFE95C2">
        <w:tblPrEx>
          <w:tblCellMar>
            <w:top w:w="0" w:type="dxa"/>
            <w:left w:w="108" w:type="dxa"/>
            <w:bottom w:w="0" w:type="dxa"/>
            <w:right w:w="108" w:type="dxa"/>
          </w:tblCellMar>
        </w:tblPrEx>
        <w:tc>
          <w:tcPr>
            <w:tcW w:w="2547" w:type="pct"/>
            <w:noWrap w:val="0"/>
            <w:vAlign w:val="top"/>
          </w:tcPr>
          <w:p w14:paraId="7B1E9FA3">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 xml:space="preserve">开户银行：中信银行股份有限公司东莞大朗支行   </w:t>
            </w:r>
          </w:p>
        </w:tc>
        <w:tc>
          <w:tcPr>
            <w:tcW w:w="2452" w:type="pct"/>
            <w:noWrap w:val="0"/>
            <w:vAlign w:val="top"/>
          </w:tcPr>
          <w:p w14:paraId="1F322D5C">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开户银行：</w:t>
            </w:r>
          </w:p>
        </w:tc>
      </w:tr>
      <w:tr w14:paraId="54E41BA6">
        <w:tblPrEx>
          <w:tblCellMar>
            <w:top w:w="0" w:type="dxa"/>
            <w:left w:w="108" w:type="dxa"/>
            <w:bottom w:w="0" w:type="dxa"/>
            <w:right w:w="108" w:type="dxa"/>
          </w:tblCellMar>
        </w:tblPrEx>
        <w:tc>
          <w:tcPr>
            <w:tcW w:w="2547" w:type="pct"/>
            <w:noWrap w:val="0"/>
            <w:vAlign w:val="top"/>
          </w:tcPr>
          <w:p w14:paraId="68CB4FE1">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银行账户：8110 9010 1130 0886 839</w:t>
            </w:r>
          </w:p>
        </w:tc>
        <w:tc>
          <w:tcPr>
            <w:tcW w:w="2452" w:type="pct"/>
            <w:noWrap w:val="0"/>
            <w:vAlign w:val="top"/>
          </w:tcPr>
          <w:p w14:paraId="57A3DBB6">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银行账户：</w:t>
            </w:r>
          </w:p>
        </w:tc>
      </w:tr>
      <w:tr w14:paraId="5B377B48">
        <w:tblPrEx>
          <w:tblCellMar>
            <w:top w:w="0" w:type="dxa"/>
            <w:left w:w="108" w:type="dxa"/>
            <w:bottom w:w="0" w:type="dxa"/>
            <w:right w:w="108" w:type="dxa"/>
          </w:tblCellMar>
        </w:tblPrEx>
        <w:tc>
          <w:tcPr>
            <w:tcW w:w="2547" w:type="pct"/>
            <w:noWrap w:val="0"/>
            <w:vAlign w:val="top"/>
          </w:tcPr>
          <w:p w14:paraId="530868EE">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签订日期：   年    月    日</w:t>
            </w:r>
          </w:p>
        </w:tc>
        <w:tc>
          <w:tcPr>
            <w:tcW w:w="2452" w:type="pct"/>
            <w:noWrap w:val="0"/>
            <w:vAlign w:val="top"/>
          </w:tcPr>
          <w:p w14:paraId="3B1E3EC8">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签订日期：   年    月    日</w:t>
            </w:r>
          </w:p>
        </w:tc>
      </w:tr>
    </w:tbl>
    <w:p w14:paraId="1BBAF701">
      <w:pPr>
        <w:widowControl w:val="0"/>
        <w:spacing w:after="120" w:line="360" w:lineRule="auto"/>
        <w:ind w:left="420" w:leftChars="200" w:firstLine="420" w:firstLineChars="200"/>
        <w:jc w:val="both"/>
        <w:rPr>
          <w:rFonts w:hint="eastAsia" w:ascii="宋体" w:hAnsi="宋体" w:eastAsia="宋体" w:cs="宋体"/>
          <w:bCs/>
          <w:color w:val="auto"/>
          <w:szCs w:val="21"/>
          <w:highlight w:val="none"/>
          <w:lang w:val="en-US" w:eastAsia="zh-CN" w:bidi="ar-SA"/>
        </w:rPr>
      </w:pPr>
    </w:p>
    <w:p w14:paraId="3DA4B433">
      <w:pPr>
        <w:pageBreakBefore w:val="0"/>
        <w:widowControl/>
        <w:kinsoku/>
        <w:wordWrap/>
        <w:bidi w:val="0"/>
        <w:spacing w:after="0" w:line="360" w:lineRule="auto"/>
        <w:jc w:val="left"/>
        <w:rPr>
          <w:rFonts w:hint="eastAsia" w:ascii="宋体" w:hAnsi="宋体" w:eastAsia="宋体" w:cs="宋体"/>
          <w:b/>
          <w:color w:val="auto"/>
          <w:sz w:val="21"/>
          <w:szCs w:val="21"/>
          <w:highlight w:val="none"/>
        </w:rPr>
      </w:pPr>
    </w:p>
    <w:p w14:paraId="71739D4F">
      <w:pPr>
        <w:pageBreakBefore w:val="0"/>
        <w:widowControl/>
        <w:kinsoku/>
        <w:wordWrap/>
        <w:bidi w:val="0"/>
        <w:spacing w:after="0" w:line="360" w:lineRule="auto"/>
        <w:jc w:val="left"/>
        <w:rPr>
          <w:rFonts w:hint="eastAsia" w:ascii="宋体" w:hAnsi="宋体" w:eastAsia="宋体" w:cs="宋体"/>
          <w:b/>
          <w:color w:val="auto"/>
          <w:sz w:val="21"/>
          <w:szCs w:val="21"/>
          <w:highlight w:val="none"/>
        </w:rPr>
        <w:sectPr>
          <w:footerReference r:id="rId7" w:type="default"/>
          <w:pgSz w:w="11907" w:h="16839"/>
          <w:pgMar w:top="1440" w:right="1080" w:bottom="1440" w:left="1080" w:header="850" w:footer="992" w:gutter="284"/>
          <w:pgBorders>
            <w:top w:val="none" w:sz="0" w:space="0"/>
            <w:left w:val="none" w:sz="0" w:space="0"/>
            <w:bottom w:val="none" w:sz="0" w:space="0"/>
            <w:right w:val="none" w:sz="0" w:space="0"/>
          </w:pgBorders>
          <w:pgNumType w:fmt="decimal"/>
          <w:cols w:space="720" w:num="1"/>
          <w:docGrid w:linePitch="360" w:charSpace="0"/>
        </w:sectPr>
      </w:pPr>
      <w:r>
        <w:rPr>
          <w:rFonts w:hint="eastAsia" w:ascii="宋体" w:hAnsi="宋体" w:eastAsia="宋体" w:cs="宋体"/>
          <w:b/>
          <w:color w:val="auto"/>
          <w:sz w:val="21"/>
          <w:szCs w:val="21"/>
          <w:highlight w:val="none"/>
        </w:rPr>
        <w:br w:type="page"/>
      </w:r>
    </w:p>
    <w:p w14:paraId="588D9139">
      <w:pPr>
        <w:pageBreakBefore w:val="0"/>
        <w:widowControl w:val="0"/>
        <w:kinsoku/>
        <w:wordWrap/>
        <w:bidi w:val="0"/>
        <w:spacing w:after="0" w:line="360" w:lineRule="auto"/>
        <w:ind w:left="0" w:leftChars="0" w:firstLine="0" w:firstLineChars="0"/>
        <w:jc w:val="both"/>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附件1 开票明细表</w:t>
      </w:r>
    </w:p>
    <w:p w14:paraId="61066175">
      <w:pPr>
        <w:pageBreakBefore w:val="0"/>
        <w:kinsoku/>
        <w:wordWrap/>
        <w:bidi w:val="0"/>
        <w:spacing w:after="0" w:line="360" w:lineRule="auto"/>
        <w:rPr>
          <w:rFonts w:hint="eastAsia" w:ascii="宋体" w:hAnsi="宋体" w:eastAsia="宋体" w:cs="宋体"/>
          <w:b/>
          <w:color w:val="auto"/>
          <w:sz w:val="21"/>
          <w:szCs w:val="21"/>
          <w:highlight w:val="none"/>
          <w:lang w:val="en-US" w:eastAsia="zh-CN"/>
        </w:rPr>
      </w:pPr>
    </w:p>
    <w:tbl>
      <w:tblPr>
        <w:tblStyle w:val="29"/>
        <w:tblW w:w="499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58"/>
        <w:gridCol w:w="1818"/>
        <w:gridCol w:w="1472"/>
        <w:gridCol w:w="702"/>
        <w:gridCol w:w="824"/>
        <w:gridCol w:w="1387"/>
        <w:gridCol w:w="1408"/>
      </w:tblGrid>
      <w:tr w14:paraId="1C65C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2" w:hRule="atLeast"/>
        </w:trPr>
        <w:tc>
          <w:tcPr>
            <w:tcW w:w="10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AF993">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开票类别</w:t>
            </w: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93BAC5">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开票内容</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BA48D">
            <w:pPr>
              <w:keepNext w:val="0"/>
              <w:keepLines w:val="0"/>
              <w:pageBreakBefore w:val="0"/>
              <w:widowControl/>
              <w:suppressLineNumbers w:val="0"/>
              <w:kinsoku/>
              <w:wordWrap/>
              <w:bidi w:val="0"/>
              <w:spacing w:after="0" w:line="360" w:lineRule="auto"/>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型号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DF472">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数量</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BFD">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单位</w:t>
            </w:r>
          </w:p>
        </w:tc>
        <w:tc>
          <w:tcPr>
            <w:tcW w:w="7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4257D">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含税单价</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A0273">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税价合计</w:t>
            </w:r>
          </w:p>
        </w:tc>
      </w:tr>
      <w:tr w14:paraId="2524B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9" w:hRule="atLeast"/>
        </w:trPr>
        <w:tc>
          <w:tcPr>
            <w:tcW w:w="10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98D968">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设备部分为合同款总额的80%，增值税率为13%</w:t>
            </w: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A86B3">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lang w:val="en-US"/>
              </w:rPr>
            </w:pP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3A4F6">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C707F">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C45F1">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3EA902">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BFE49">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r>
      <w:tr w14:paraId="0F28C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10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B915AE">
            <w:pPr>
              <w:pageBreakBefore w:val="0"/>
              <w:kinsoku/>
              <w:wordWrap/>
              <w:bidi w:val="0"/>
              <w:spacing w:after="0" w:line="360" w:lineRule="auto"/>
              <w:jc w:val="center"/>
              <w:rPr>
                <w:rFonts w:hint="eastAsia" w:ascii="宋体" w:hAnsi="宋体" w:eastAsia="宋体" w:cs="宋体"/>
                <w:i w:val="0"/>
                <w:iCs w:val="0"/>
                <w:color w:val="auto"/>
                <w:sz w:val="21"/>
                <w:szCs w:val="21"/>
                <w:highlight w:val="none"/>
                <w:u w:val="none"/>
              </w:rPr>
            </w:pP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5B3C3">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E6182A">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9447B">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1D30F">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9AAE9">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30C95">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r>
      <w:tr w14:paraId="026E1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10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3B40D">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工程施工部分为合同款总额的20%，增值税率为9%</w:t>
            </w: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68232">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工程施工</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3E960">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70F69">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71DF49">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F5F318">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548BF">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r>
      <w:tr w14:paraId="3AAD1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3"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46F9A18">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合同总价：¥</w:t>
            </w:r>
            <w:r>
              <w:rPr>
                <w:rFonts w:hint="eastAsia" w:ascii="宋体" w:hAnsi="宋体" w:eastAsia="宋体" w:cs="宋体"/>
                <w:b/>
                <w:bCs/>
                <w:i w:val="0"/>
                <w:iCs w:val="0"/>
                <w:color w:val="auto"/>
                <w:kern w:val="0"/>
                <w:sz w:val="21"/>
                <w:szCs w:val="21"/>
                <w:highlight w:val="none"/>
                <w:u w:val="single"/>
                <w:lang w:val="en-US" w:eastAsia="zh-CN" w:bidi="ar"/>
              </w:rPr>
              <w:t xml:space="preserve"> </w:t>
            </w:r>
            <w:r>
              <w:rPr>
                <w:rFonts w:hint="eastAsia" w:ascii="宋体" w:hAnsi="宋体" w:cs="宋体"/>
                <w:b/>
                <w:bCs/>
                <w:i w:val="0"/>
                <w:iCs w:val="0"/>
                <w:color w:val="auto"/>
                <w:kern w:val="0"/>
                <w:sz w:val="21"/>
                <w:szCs w:val="21"/>
                <w:highlight w:val="none"/>
                <w:u w:val="single"/>
                <w:lang w:val="en-US" w:eastAsia="zh-CN" w:bidi="ar"/>
              </w:rPr>
              <w:t xml:space="preserve">     </w:t>
            </w:r>
            <w:r>
              <w:rPr>
                <w:rFonts w:hint="eastAsia" w:ascii="宋体" w:hAnsi="宋体" w:eastAsia="宋体" w:cs="宋体"/>
                <w:b/>
                <w:bCs/>
                <w:i w:val="0"/>
                <w:iCs w:val="0"/>
                <w:color w:val="auto"/>
                <w:kern w:val="0"/>
                <w:sz w:val="21"/>
                <w:szCs w:val="21"/>
                <w:highlight w:val="none"/>
                <w:u w:val="single"/>
                <w:lang w:val="en-US" w:eastAsia="zh-CN" w:bidi="ar"/>
              </w:rPr>
              <w:t xml:space="preserve"> 元</w:t>
            </w:r>
            <w:r>
              <w:rPr>
                <w:rFonts w:hint="eastAsia" w:ascii="宋体" w:hAnsi="宋体" w:eastAsia="宋体" w:cs="宋体"/>
                <w:b/>
                <w:bCs/>
                <w:i w:val="0"/>
                <w:iCs w:val="0"/>
                <w:color w:val="auto"/>
                <w:kern w:val="0"/>
                <w:sz w:val="21"/>
                <w:szCs w:val="21"/>
                <w:highlight w:val="none"/>
                <w:u w:val="none"/>
                <w:lang w:val="en-US" w:eastAsia="zh-CN" w:bidi="ar"/>
              </w:rPr>
              <w:t xml:space="preserve"> (人民币</w:t>
            </w:r>
            <w:r>
              <w:rPr>
                <w:rFonts w:hint="eastAsia" w:ascii="宋体" w:hAnsi="宋体" w:eastAsia="宋体" w:cs="宋体"/>
                <w:b/>
                <w:bCs/>
                <w:i w:val="0"/>
                <w:iCs w:val="0"/>
                <w:color w:val="auto"/>
                <w:kern w:val="0"/>
                <w:sz w:val="21"/>
                <w:szCs w:val="21"/>
                <w:highlight w:val="none"/>
                <w:u w:val="single"/>
                <w:lang w:val="en-US" w:eastAsia="zh-CN" w:bidi="ar"/>
              </w:rPr>
              <w:t xml:space="preserve">  )</w:t>
            </w:r>
          </w:p>
        </w:tc>
      </w:tr>
      <w:tr w14:paraId="12804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0E97F97">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备注：每套储能系统含1套储能嵌入式软件</w:t>
            </w:r>
          </w:p>
        </w:tc>
      </w:tr>
    </w:tbl>
    <w:p w14:paraId="39CD1812">
      <w:pPr>
        <w:pageBreakBefore w:val="0"/>
        <w:kinsoku/>
        <w:wordWrap/>
        <w:bidi w:val="0"/>
        <w:spacing w:after="0"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br w:type="page"/>
      </w:r>
    </w:p>
    <w:p w14:paraId="1CC26716">
      <w:pPr>
        <w:pageBreakBefore w:val="0"/>
        <w:kinsoku/>
        <w:wordWrap/>
        <w:bidi w:val="0"/>
        <w:spacing w:after="0" w:line="360" w:lineRule="auto"/>
        <w:rPr>
          <w:rFonts w:hint="eastAsia" w:ascii="宋体" w:hAnsi="宋体" w:eastAsia="宋体" w:cs="宋体"/>
          <w:color w:val="auto"/>
          <w:sz w:val="21"/>
          <w:szCs w:val="21"/>
          <w:highlight w:val="none"/>
          <w:lang w:eastAsia="zh-CN"/>
        </w:rPr>
        <w:sectPr>
          <w:footerReference r:id="rId9" w:type="first"/>
          <w:footerReference r:id="rId8" w:type="default"/>
          <w:pgSz w:w="11907" w:h="16839"/>
          <w:pgMar w:top="1440" w:right="1080" w:bottom="1440" w:left="1080" w:header="850" w:footer="992" w:gutter="284"/>
          <w:pgBorders>
            <w:top w:val="none" w:sz="0" w:space="0"/>
            <w:left w:val="none" w:sz="0" w:space="0"/>
            <w:bottom w:val="none" w:sz="0" w:space="0"/>
            <w:right w:val="none" w:sz="0" w:space="0"/>
          </w:pgBorders>
          <w:pgNumType w:fmt="decimal"/>
          <w:cols w:space="720" w:num="1"/>
          <w:docGrid w:linePitch="360" w:charSpace="0"/>
        </w:sectPr>
      </w:pPr>
    </w:p>
    <w:p w14:paraId="4121F70D">
      <w:pPr>
        <w:pageBreakBefore w:val="0"/>
        <w:widowControl/>
        <w:kinsoku/>
        <w:wordWrap/>
        <w:bidi w:val="0"/>
        <w:spacing w:after="0" w:line="360" w:lineRule="auto"/>
        <w:ind w:left="0" w:leftChars="0" w:firstLine="0" w:firstLineChars="0"/>
        <w:jc w:val="left"/>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附件2：廉洁协议书</w:t>
      </w:r>
    </w:p>
    <w:p w14:paraId="3B21DEA9">
      <w:pPr>
        <w:pageBreakBefore w:val="0"/>
        <w:kinsoku/>
        <w:wordWrap/>
        <w:bidi w:val="0"/>
        <w:spacing w:after="0" w:line="360" w:lineRule="auto"/>
        <w:jc w:val="center"/>
        <w:outlineLvl w:val="1"/>
        <w:rPr>
          <w:rFonts w:hint="eastAsia" w:ascii="宋体" w:hAnsi="宋体" w:eastAsia="宋体" w:cs="宋体"/>
          <w:b/>
          <w:bCs/>
          <w:color w:val="auto"/>
          <w:sz w:val="21"/>
          <w:szCs w:val="21"/>
          <w:highlight w:val="none"/>
        </w:rPr>
      </w:pPr>
      <w:bookmarkStart w:id="113" w:name="_Toc27047"/>
      <w:r>
        <w:rPr>
          <w:rFonts w:hint="eastAsia" w:ascii="宋体" w:hAnsi="宋体" w:eastAsia="宋体" w:cs="宋体"/>
          <w:b/>
          <w:bCs/>
          <w:color w:val="auto"/>
          <w:sz w:val="21"/>
          <w:szCs w:val="21"/>
          <w:highlight w:val="none"/>
        </w:rPr>
        <w:t>廉洁协议书</w:t>
      </w:r>
      <w:bookmarkEnd w:id="113"/>
    </w:p>
    <w:p w14:paraId="2559A1AC">
      <w:pPr>
        <w:pageBreakBefore w:val="0"/>
        <w:kinsoku/>
        <w:wordWrap/>
        <w:bidi w:val="0"/>
        <w:spacing w:after="0" w:line="360" w:lineRule="auto"/>
        <w:rPr>
          <w:rFonts w:hint="eastAsia" w:ascii="宋体" w:hAnsi="宋体" w:eastAsia="宋体" w:cs="宋体"/>
          <w:color w:val="auto"/>
          <w:sz w:val="21"/>
          <w:szCs w:val="21"/>
          <w:highlight w:val="none"/>
        </w:rPr>
      </w:pPr>
    </w:p>
    <w:p w14:paraId="3923D5DC">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项目名称：                         </w:t>
      </w:r>
    </w:p>
    <w:p w14:paraId="7F1E93EA">
      <w:pPr>
        <w:keepNext w:val="0"/>
        <w:keepLines w:val="0"/>
        <w:pageBreakBefore w:val="0"/>
        <w:widowControl w:val="0"/>
        <w:kinsoku/>
        <w:wordWrap/>
        <w:overflowPunct/>
        <w:topLinePunct w:val="0"/>
        <w:autoSpaceDE/>
        <w:autoSpaceDN/>
        <w:bidi w:val="0"/>
        <w:adjustRightInd w:val="0"/>
        <w:snapToGrid w:val="0"/>
        <w:spacing w:after="0" w:line="360" w:lineRule="auto"/>
        <w:ind w:left="0" w:leftChars="0" w:right="0" w:rightChars="0" w:firstLine="420" w:firstLineChars="200"/>
        <w:jc w:val="both"/>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w:t>
      </w:r>
      <w:r>
        <w:rPr>
          <w:rFonts w:hint="eastAsia" w:ascii="宋体" w:hAnsi="宋体" w:eastAsia="宋体" w:cs="宋体"/>
          <w:color w:val="auto"/>
          <w:sz w:val="21"/>
          <w:szCs w:val="21"/>
          <w:highlight w:val="none"/>
          <w:u w:val="single"/>
        </w:rPr>
        <w:t>东莞市新有能源投资有限公司</w:t>
      </w:r>
    </w:p>
    <w:p w14:paraId="5848FFCA">
      <w:pPr>
        <w:pageBreakBefore w:val="0"/>
        <w:kinsoku/>
        <w:wordWrap/>
        <w:bidi w:val="0"/>
        <w:adjustRightInd w:val="0"/>
        <w:snapToGrid w:val="0"/>
        <w:spacing w:after="0" w:line="360" w:lineRule="auto"/>
        <w:ind w:firstLine="420" w:firstLineChars="200"/>
        <w:rPr>
          <w:rFonts w:hint="default"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rPr>
        <w:t>乙方：</w:t>
      </w:r>
      <w:r>
        <w:rPr>
          <w:rFonts w:hint="eastAsia" w:ascii="宋体" w:hAnsi="宋体" w:eastAsia="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lang w:val="en-US" w:eastAsia="zh-CN"/>
        </w:rPr>
        <w:t xml:space="preserve">                 </w:t>
      </w:r>
    </w:p>
    <w:p w14:paraId="54C863A6">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规范甲乙双方在订立、履行合同及经济业务往来过程中的行为，保持廉洁自律的工作作风,防止各种违法及不正当行为的发生,确保甲乙双方及其工作人员自觉遵守国家法律、法规及廉洁从业各项规定，特订立本协议。</w:t>
      </w:r>
    </w:p>
    <w:p w14:paraId="30534865">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p>
    <w:p w14:paraId="77283350">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14" w:name="_Toc4319"/>
      <w:r>
        <w:rPr>
          <w:rFonts w:hint="eastAsia" w:ascii="宋体" w:hAnsi="宋体" w:eastAsia="宋体" w:cs="宋体"/>
          <w:b/>
          <w:bCs/>
          <w:color w:val="auto"/>
          <w:sz w:val="21"/>
          <w:szCs w:val="21"/>
          <w:highlight w:val="none"/>
        </w:rPr>
        <w:t>第一条  甲乙双方的权利和义务</w:t>
      </w:r>
      <w:bookmarkEnd w:id="114"/>
    </w:p>
    <w:p w14:paraId="7DBE82A5">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（一）严格遵守党和国家有关法律法规等有关廉洁从业规定。</w:t>
      </w:r>
    </w:p>
    <w:p w14:paraId="3ABCACB7">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（二）严格执行本项目的合同文件，自觉按合同办事。</w:t>
      </w:r>
    </w:p>
    <w:p w14:paraId="7C97BD17">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（三）双方的业务活动坚持公开、公正、诚信、透明的原则（除法律认定的商业秘密和合同文件另有规定之外）不得损害国家和集体利益，违反服务建设管理及其他法律法规规章制度。</w:t>
      </w:r>
    </w:p>
    <w:p w14:paraId="77D929FB">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（四）建立健全廉洁制度，开展廉洁教育，设立廉洁监督公示牌，公布举报电话，监督并认真查处违法违纪行为。</w:t>
      </w:r>
    </w:p>
    <w:p w14:paraId="128BFEEB">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（五）发现对方在业务活动中有违反廉洁规定的行为，有及时提醒对方纠正的权利和义务。</w:t>
      </w:r>
    </w:p>
    <w:p w14:paraId="3ABCE96E">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（六）发现对方严重违反本协议义务条款的行为，有向其上级有关部门举报、建议给予处理并要求告知处理结果的权利。</w:t>
      </w:r>
    </w:p>
    <w:p w14:paraId="2781280E">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15" w:name="_Toc30481"/>
      <w:r>
        <w:rPr>
          <w:rFonts w:hint="eastAsia" w:ascii="宋体" w:hAnsi="宋体" w:eastAsia="宋体" w:cs="宋体"/>
          <w:b/>
          <w:bCs/>
          <w:color w:val="auto"/>
          <w:sz w:val="21"/>
          <w:szCs w:val="21"/>
          <w:highlight w:val="none"/>
        </w:rPr>
        <w:t>第二条  甲方的义务</w:t>
      </w:r>
      <w:bookmarkEnd w:id="115"/>
    </w:p>
    <w:p w14:paraId="04275B93">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（一）甲方及其工作人员不得索要或接受乙方的礼金、有价证券和贵重物品，不得在乙方报销任何应由甲方或个人支付的费用。</w:t>
      </w:r>
    </w:p>
    <w:p w14:paraId="7093A7B1">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（二）甲方工作人员不得参加乙方安排的高消费宴请和娱乐活动；不得接受乙方提供的通讯工具、交通工具和高档办公用品。</w:t>
      </w:r>
    </w:p>
    <w:p w14:paraId="18EA48D7">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（三）甲方及其工作人员不得要求或者接受乙方为其住房装修、婚丧嫁娶活动、家属或亲友的工作安排以及出国出境、旅游等提供方便。</w:t>
      </w:r>
    </w:p>
    <w:p w14:paraId="3B318529">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（四）甲方工作人员不得向乙方介绍其家属或者亲友（包括家属或亲友开办的公司企业）从事于本项目涉及的经济业务活动。</w:t>
      </w:r>
    </w:p>
    <w:p w14:paraId="7EC2955B">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（五）甲方及其工作人员不得以任何理由向乙方推荐分包单位，不得要求乙方购买合同规定外的材料和设备。</w:t>
      </w:r>
    </w:p>
    <w:p w14:paraId="3750DF31">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（六）甲方及其工作人员不得进行违反廉洁规定的其他活动。</w:t>
      </w:r>
    </w:p>
    <w:p w14:paraId="1E8EBD02">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（七）甲方应对甲方工作人员进行廉洁监督管理，如甲方工作人员违反本协议第一、第二条，甲方应依据有关法律法规、党纪规定对其进行处理；涉嫌犯罪的，甲方应将其移交司法机关追究刑事责任。</w:t>
      </w:r>
    </w:p>
    <w:p w14:paraId="12296116">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16" w:name="_Toc19097"/>
      <w:r>
        <w:rPr>
          <w:rFonts w:hint="eastAsia" w:ascii="宋体" w:hAnsi="宋体" w:eastAsia="宋体" w:cs="宋体"/>
          <w:b/>
          <w:bCs/>
          <w:color w:val="auto"/>
          <w:sz w:val="21"/>
          <w:szCs w:val="21"/>
          <w:highlight w:val="none"/>
        </w:rPr>
        <w:t>第三条  乙方义务</w:t>
      </w:r>
      <w:bookmarkEnd w:id="116"/>
    </w:p>
    <w:p w14:paraId="02BD7CA0">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（一）乙方不得以任何理由向甲方及其工作人员馈赠礼金、有价证券、贵重礼品，或报销应由甲方单位或个人支付的任何费用。</w:t>
      </w:r>
    </w:p>
    <w:p w14:paraId="42E454B8">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（二）乙方及其工作人员不得以考察、参观、洽谈业务、签订合同等的借口邀请甲方及其工作人员参加高消费的宴请、娱乐和健身等活动。</w:t>
      </w:r>
    </w:p>
    <w:p w14:paraId="6284A3CE">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（三）乙方不得为甲方单位和个人购置或提供通讯工具、交通工具和高档办公用品等。</w:t>
      </w:r>
    </w:p>
    <w:p w14:paraId="671F029D">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（四）乙方及其工作人员不得为甲方工作人员购买、装修、维修私人住房、汽车等。</w:t>
      </w:r>
    </w:p>
    <w:p w14:paraId="3E6D5EDB">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（五）乙方及其工作人员不得为甲方工作人员的婚丧嫁娶、家属或亲友的工作安排，及出国出境提供方便以及报销任何私人消费的费用。</w:t>
      </w:r>
    </w:p>
    <w:p w14:paraId="2F73C781">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（六）乙方及其工作人员不得进行影响甲方及其工作人员公正执行合同和履行职务的其他活动。</w:t>
      </w:r>
    </w:p>
    <w:p w14:paraId="5604EF8A">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乙方应对乙方工作人员进行廉洁监督管理，如乙方工作人员违反本协议第一、第三条，乙方应依据有关法律法规、党纪规定对其进行处理；乙方工作人员涉嫌犯罪的，乙方应将其移交司法机关追究刑事责任。</w:t>
      </w:r>
    </w:p>
    <w:p w14:paraId="5714F161">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17" w:name="_Toc12434"/>
      <w:r>
        <w:rPr>
          <w:rFonts w:hint="eastAsia" w:ascii="宋体" w:hAnsi="宋体" w:eastAsia="宋体" w:cs="宋体"/>
          <w:b/>
          <w:bCs/>
          <w:color w:val="auto"/>
          <w:sz w:val="21"/>
          <w:szCs w:val="21"/>
          <w:highlight w:val="none"/>
        </w:rPr>
        <w:t>第四条  违约责任</w:t>
      </w:r>
      <w:bookmarkEnd w:id="117"/>
    </w:p>
    <w:p w14:paraId="7ACA4883">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（一）甲方违反本协议第一、第二条给乙方单位造成经济损失的，应予以赔偿。</w:t>
      </w:r>
    </w:p>
    <w:p w14:paraId="1F15D2C8">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（二）乙方违反本协议第一、第三条给甲方单位造成经济损失的，应予以赔偿。</w:t>
      </w:r>
    </w:p>
    <w:p w14:paraId="5BE71EFA">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18" w:name="_Toc17449"/>
      <w:r>
        <w:rPr>
          <w:rFonts w:hint="eastAsia" w:ascii="宋体" w:hAnsi="宋体" w:eastAsia="宋体" w:cs="宋体"/>
          <w:b/>
          <w:bCs/>
          <w:color w:val="auto"/>
          <w:sz w:val="21"/>
          <w:szCs w:val="21"/>
          <w:highlight w:val="none"/>
        </w:rPr>
        <w:t>第五条  监督检查</w:t>
      </w:r>
      <w:bookmarkEnd w:id="118"/>
    </w:p>
    <w:p w14:paraId="5B94B04B">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甲乙双方的廉洁从业行为由双方或双方上级单位的纪检、监察负责监督，对本协议履行情况进行检查。</w:t>
      </w:r>
    </w:p>
    <w:p w14:paraId="37FD3B44">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19" w:name="_Toc17236"/>
      <w:r>
        <w:rPr>
          <w:rFonts w:hint="eastAsia" w:ascii="宋体" w:hAnsi="宋体" w:eastAsia="宋体" w:cs="宋体"/>
          <w:b/>
          <w:bCs/>
          <w:color w:val="auto"/>
          <w:sz w:val="21"/>
          <w:szCs w:val="21"/>
          <w:highlight w:val="none"/>
        </w:rPr>
        <w:t>第六条  其他</w:t>
      </w:r>
      <w:bookmarkEnd w:id="119"/>
    </w:p>
    <w:p w14:paraId="4957C372">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本协议有效期为甲乙双方签字并加盖公章之日起至该服务期满后止。本协议一式</w:t>
      </w:r>
      <w:r>
        <w:rPr>
          <w:rFonts w:hint="eastAsia" w:ascii="宋体" w:hAnsi="宋体" w:eastAsia="宋体" w:cs="宋体"/>
          <w:color w:val="auto"/>
          <w:sz w:val="21"/>
          <w:szCs w:val="21"/>
          <w:highlight w:val="none"/>
          <w:lang w:val="en-US" w:eastAsia="zh-CN"/>
        </w:rPr>
        <w:t>肆</w:t>
      </w:r>
      <w:r>
        <w:rPr>
          <w:rFonts w:hint="eastAsia" w:ascii="宋体" w:hAnsi="宋体" w:eastAsia="宋体" w:cs="宋体"/>
          <w:color w:val="auto"/>
          <w:sz w:val="21"/>
          <w:szCs w:val="21"/>
          <w:highlight w:val="none"/>
        </w:rPr>
        <w:t>份，甲</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乙</w:t>
      </w:r>
      <w:r>
        <w:rPr>
          <w:rFonts w:hint="eastAsia" w:ascii="宋体" w:hAnsi="宋体" w:eastAsia="宋体" w:cs="宋体"/>
          <w:color w:val="auto"/>
          <w:sz w:val="21"/>
          <w:szCs w:val="21"/>
          <w:highlight w:val="none"/>
        </w:rPr>
        <w:t>双方各执</w:t>
      </w:r>
      <w:r>
        <w:rPr>
          <w:rFonts w:hint="eastAsia" w:ascii="宋体" w:hAnsi="宋体" w:eastAsia="宋体" w:cs="宋体"/>
          <w:color w:val="auto"/>
          <w:sz w:val="21"/>
          <w:szCs w:val="21"/>
          <w:highlight w:val="none"/>
          <w:lang w:val="en-US" w:eastAsia="zh-CN"/>
        </w:rPr>
        <w:t>贰</w:t>
      </w:r>
      <w:r>
        <w:rPr>
          <w:rFonts w:hint="eastAsia" w:ascii="宋体" w:hAnsi="宋体" w:eastAsia="宋体" w:cs="宋体"/>
          <w:color w:val="auto"/>
          <w:sz w:val="21"/>
          <w:szCs w:val="21"/>
          <w:highlight w:val="none"/>
        </w:rPr>
        <w:t>份。</w:t>
      </w:r>
    </w:p>
    <w:tbl>
      <w:tblPr>
        <w:tblStyle w:val="29"/>
        <w:tblpPr w:leftFromText="180" w:rightFromText="180" w:vertAnchor="text" w:horzAnchor="page" w:tblpX="1360" w:tblpY="443"/>
        <w:tblOverlap w:val="never"/>
        <w:tblW w:w="5265" w:type="pct"/>
        <w:tblInd w:w="0" w:type="dxa"/>
        <w:tblLayout w:type="autofit"/>
        <w:tblCellMar>
          <w:top w:w="0" w:type="dxa"/>
          <w:left w:w="108" w:type="dxa"/>
          <w:bottom w:w="0" w:type="dxa"/>
          <w:right w:w="108" w:type="dxa"/>
        </w:tblCellMar>
      </w:tblPr>
      <w:tblGrid>
        <w:gridCol w:w="5362"/>
        <w:gridCol w:w="4830"/>
      </w:tblGrid>
      <w:tr w14:paraId="6F10AB3D">
        <w:tblPrEx>
          <w:tblCellMar>
            <w:top w:w="0" w:type="dxa"/>
            <w:left w:w="108" w:type="dxa"/>
            <w:bottom w:w="0" w:type="dxa"/>
            <w:right w:w="108" w:type="dxa"/>
          </w:tblCellMar>
        </w:tblPrEx>
        <w:trPr>
          <w:trHeight w:val="758" w:hRule="atLeast"/>
        </w:trPr>
        <w:tc>
          <w:tcPr>
            <w:tcW w:w="2630" w:type="pct"/>
            <w:noWrap w:val="0"/>
            <w:vAlign w:val="top"/>
          </w:tcPr>
          <w:p w14:paraId="3F749ADF">
            <w:pPr>
              <w:pageBreakBefore w:val="0"/>
              <w:kinsoku/>
              <w:wordWrap/>
              <w:bidi w:val="0"/>
              <w:spacing w:after="0" w:line="360" w:lineRule="auto"/>
              <w:rPr>
                <w:rFonts w:hint="eastAsia" w:ascii="宋体" w:hAnsi="宋体" w:eastAsia="宋体" w:cs="宋体"/>
                <w:b/>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甲方（盖章）：东莞市新有能源投资有限公司</w:t>
            </w:r>
          </w:p>
        </w:tc>
        <w:tc>
          <w:tcPr>
            <w:tcW w:w="2369" w:type="pct"/>
            <w:noWrap w:val="0"/>
            <w:vAlign w:val="top"/>
          </w:tcPr>
          <w:p w14:paraId="5BEE9ABE">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乙方(盖章)：  </w:t>
            </w:r>
          </w:p>
        </w:tc>
      </w:tr>
      <w:tr w14:paraId="7C8C413E">
        <w:tblPrEx>
          <w:tblCellMar>
            <w:top w:w="0" w:type="dxa"/>
            <w:left w:w="108" w:type="dxa"/>
            <w:bottom w:w="0" w:type="dxa"/>
            <w:right w:w="108" w:type="dxa"/>
          </w:tblCellMar>
        </w:tblPrEx>
        <w:tc>
          <w:tcPr>
            <w:tcW w:w="2630" w:type="pct"/>
            <w:noWrap w:val="0"/>
            <w:vAlign w:val="top"/>
          </w:tcPr>
          <w:p w14:paraId="22CDE764">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法定代表人或</w:t>
            </w:r>
          </w:p>
          <w:p w14:paraId="4350AB71">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授权代表(签章)：</w:t>
            </w:r>
          </w:p>
        </w:tc>
        <w:tc>
          <w:tcPr>
            <w:tcW w:w="2369" w:type="pct"/>
            <w:noWrap w:val="0"/>
            <w:vAlign w:val="top"/>
          </w:tcPr>
          <w:p w14:paraId="18FA6C8C">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法定代表人或</w:t>
            </w:r>
          </w:p>
          <w:p w14:paraId="7D5F878A">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授权代表(签章)：</w:t>
            </w:r>
          </w:p>
          <w:p w14:paraId="1037F68F">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tc>
      </w:tr>
      <w:tr w14:paraId="407FEA61">
        <w:tblPrEx>
          <w:tblCellMar>
            <w:top w:w="0" w:type="dxa"/>
            <w:left w:w="108" w:type="dxa"/>
            <w:bottom w:w="0" w:type="dxa"/>
            <w:right w:w="108" w:type="dxa"/>
          </w:tblCellMar>
        </w:tblPrEx>
        <w:trPr>
          <w:trHeight w:val="608" w:hRule="atLeast"/>
        </w:trPr>
        <w:tc>
          <w:tcPr>
            <w:tcW w:w="2630" w:type="pct"/>
            <w:noWrap w:val="0"/>
            <w:vAlign w:val="top"/>
          </w:tcPr>
          <w:p w14:paraId="2FDFA83F">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    年    月    日</w:t>
            </w:r>
          </w:p>
        </w:tc>
        <w:tc>
          <w:tcPr>
            <w:tcW w:w="2369" w:type="pct"/>
            <w:noWrap w:val="0"/>
            <w:vAlign w:val="top"/>
          </w:tcPr>
          <w:p w14:paraId="0C0C1DF8">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    年    月    日</w:t>
            </w:r>
          </w:p>
        </w:tc>
      </w:tr>
    </w:tbl>
    <w:p w14:paraId="25A4606A">
      <w:pPr>
        <w:pageBreakBefore w:val="0"/>
        <w:tabs>
          <w:tab w:val="left" w:pos="202"/>
        </w:tabs>
        <w:kinsoku/>
        <w:wordWrap/>
        <w:bidi w:val="0"/>
        <w:spacing w:after="0" w:line="360" w:lineRule="auto"/>
        <w:jc w:val="left"/>
        <w:rPr>
          <w:rFonts w:hint="eastAsia" w:ascii="宋体" w:hAnsi="宋体" w:eastAsia="宋体" w:cs="宋体"/>
          <w:color w:val="auto"/>
          <w:sz w:val="21"/>
          <w:szCs w:val="21"/>
          <w:highlight w:val="none"/>
          <w:lang w:val="en-US" w:eastAsia="zh-CN"/>
        </w:rPr>
        <w:sectPr>
          <w:footerReference r:id="rId11" w:type="first"/>
          <w:footerReference r:id="rId10" w:type="default"/>
          <w:pgSz w:w="11907" w:h="16839"/>
          <w:pgMar w:top="1440" w:right="1080" w:bottom="1440" w:left="1080" w:header="850" w:footer="992" w:gutter="284"/>
          <w:pgBorders>
            <w:top w:val="none" w:sz="0" w:space="0"/>
            <w:left w:val="none" w:sz="0" w:space="0"/>
            <w:bottom w:val="none" w:sz="0" w:space="0"/>
            <w:right w:val="none" w:sz="0" w:space="0"/>
          </w:pgBorders>
          <w:pgNumType w:fmt="decimal"/>
          <w:cols w:space="720" w:num="1"/>
          <w:titlePg/>
          <w:docGrid w:linePitch="360" w:charSpace="0"/>
        </w:sectPr>
      </w:pPr>
    </w:p>
    <w:p w14:paraId="18B3FB00">
      <w:pPr>
        <w:pageBreakBefore w:val="0"/>
        <w:widowControl/>
        <w:kinsoku/>
        <w:wordWrap/>
        <w:bidi w:val="0"/>
        <w:spacing w:after="0" w:line="360" w:lineRule="auto"/>
        <w:ind w:left="0" w:leftChars="0" w:firstLine="0" w:firstLineChars="0"/>
        <w:jc w:val="left"/>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附件3：不拖欠农民工工资承诺书</w:t>
      </w:r>
    </w:p>
    <w:p w14:paraId="5A3E2808">
      <w:pPr>
        <w:pageBreakBefore w:val="0"/>
        <w:kinsoku/>
        <w:wordWrap/>
        <w:bidi w:val="0"/>
        <w:spacing w:after="0" w:line="360" w:lineRule="auto"/>
        <w:ind w:firstLine="643"/>
        <w:outlineLvl w:val="9"/>
        <w:rPr>
          <w:rFonts w:hint="eastAsia" w:ascii="宋体" w:hAnsi="宋体" w:eastAsia="宋体" w:cs="宋体"/>
          <w:color w:val="auto"/>
          <w:sz w:val="24"/>
          <w:szCs w:val="24"/>
          <w:highlight w:val="none"/>
        </w:rPr>
      </w:pPr>
    </w:p>
    <w:p w14:paraId="23942AB0">
      <w:pPr>
        <w:pageBreakBefore w:val="0"/>
        <w:numPr>
          <w:ilvl w:val="0"/>
          <w:numId w:val="0"/>
        </w:numPr>
        <w:kinsoku/>
        <w:wordWrap/>
        <w:bidi w:val="0"/>
        <w:adjustRightInd w:val="0"/>
        <w:snapToGrid w:val="0"/>
        <w:spacing w:after="0" w:line="360" w:lineRule="auto"/>
        <w:ind w:leftChars="0"/>
        <w:jc w:val="center"/>
        <w:outlineLvl w:val="0"/>
        <w:rPr>
          <w:rFonts w:hint="eastAsia" w:ascii="宋体" w:hAnsi="宋体" w:eastAsia="宋体" w:cs="宋体"/>
          <w:b w:val="0"/>
          <w:color w:val="auto"/>
          <w:kern w:val="2"/>
          <w:sz w:val="21"/>
          <w:szCs w:val="21"/>
          <w:highlight w:val="none"/>
          <w:lang w:val="en-US" w:eastAsia="zh-CN" w:bidi="ar-SA"/>
        </w:rPr>
      </w:pPr>
      <w:bookmarkStart w:id="120" w:name="_Toc1174"/>
      <w:bookmarkStart w:id="121" w:name="_Toc27388"/>
      <w:bookmarkStart w:id="122" w:name="_Toc14513"/>
      <w:bookmarkStart w:id="123" w:name="_Toc2531"/>
      <w:bookmarkStart w:id="124" w:name="_Toc28005"/>
      <w:bookmarkStart w:id="125" w:name="_Toc488"/>
      <w:bookmarkStart w:id="126" w:name="_Toc20516"/>
      <w:bookmarkStart w:id="127" w:name="_Toc20225"/>
      <w:r>
        <w:rPr>
          <w:rFonts w:hint="eastAsia" w:ascii="宋体" w:hAnsi="宋体" w:eastAsia="宋体" w:cs="宋体"/>
          <w:b w:val="0"/>
          <w:color w:val="auto"/>
          <w:kern w:val="2"/>
          <w:sz w:val="24"/>
          <w:szCs w:val="24"/>
          <w:highlight w:val="none"/>
          <w:lang w:val="en-US" w:eastAsia="zh-CN" w:bidi="ar-SA"/>
        </w:rPr>
        <w:t>不拖欠农民工工资承诺书</w:t>
      </w:r>
      <w:bookmarkEnd w:id="120"/>
      <w:bookmarkEnd w:id="121"/>
      <w:bookmarkEnd w:id="122"/>
      <w:bookmarkEnd w:id="123"/>
      <w:bookmarkEnd w:id="124"/>
      <w:bookmarkEnd w:id="125"/>
      <w:bookmarkEnd w:id="126"/>
      <w:bookmarkEnd w:id="127"/>
    </w:p>
    <w:p w14:paraId="7017DE05">
      <w:pPr>
        <w:pageBreakBefore w:val="0"/>
        <w:kinsoku/>
        <w:wordWrap/>
        <w:bidi w:val="0"/>
        <w:spacing w:after="0" w:line="360" w:lineRule="auto"/>
        <w:ind w:firstLine="643"/>
        <w:jc w:val="center"/>
        <w:rPr>
          <w:rFonts w:hint="eastAsia" w:ascii="宋体" w:hAnsi="宋体" w:eastAsia="宋体" w:cs="宋体"/>
          <w:b/>
          <w:color w:val="auto"/>
          <w:sz w:val="21"/>
          <w:szCs w:val="21"/>
          <w:highlight w:val="none"/>
        </w:rPr>
      </w:pPr>
    </w:p>
    <w:p w14:paraId="66278F1E">
      <w:pPr>
        <w:pageBreakBefore w:val="0"/>
        <w:kinsoku/>
        <w:wordWrap/>
        <w:bidi w:val="0"/>
        <w:spacing w:after="0"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我公司承诺我公司承接的</w:t>
      </w:r>
      <w:r>
        <w:rPr>
          <w:rFonts w:hint="eastAsia" w:ascii="宋体" w:hAnsi="宋体" w:eastAsia="宋体" w:cs="宋体"/>
          <w:color w:val="auto"/>
          <w:sz w:val="21"/>
          <w:szCs w:val="21"/>
          <w:highlight w:val="none"/>
          <w:lang w:val="en-US" w:eastAsia="zh-CN"/>
        </w:rPr>
        <w:t>xxxx</w:t>
      </w:r>
      <w:r>
        <w:rPr>
          <w:rFonts w:hint="eastAsia" w:ascii="宋体" w:hAnsi="宋体" w:eastAsia="宋体" w:cs="宋体"/>
          <w:color w:val="auto"/>
          <w:sz w:val="21"/>
          <w:szCs w:val="21"/>
          <w:highlight w:val="none"/>
          <w:u w:val="single"/>
          <w:lang w:eastAsia="zh-CN"/>
        </w:rPr>
        <w:t>储能项目</w:t>
      </w:r>
      <w:r>
        <w:rPr>
          <w:rFonts w:hint="eastAsia" w:ascii="宋体" w:hAnsi="宋体" w:eastAsia="宋体" w:cs="宋体"/>
          <w:color w:val="auto"/>
          <w:sz w:val="21"/>
          <w:szCs w:val="21"/>
          <w:highlight w:val="none"/>
          <w:u w:val="single"/>
          <w:lang w:val="en-US" w:eastAsia="zh-CN"/>
        </w:rPr>
        <w:t xml:space="preserve">合同文件 </w:t>
      </w:r>
      <w:r>
        <w:rPr>
          <w:rFonts w:hint="eastAsia" w:ascii="宋体" w:hAnsi="宋体" w:eastAsia="宋体" w:cs="宋体"/>
          <w:color w:val="auto"/>
          <w:sz w:val="21"/>
          <w:szCs w:val="21"/>
          <w:highlight w:val="none"/>
          <w:u w:val="none"/>
        </w:rPr>
        <w:t>工程</w:t>
      </w:r>
      <w:r>
        <w:rPr>
          <w:rFonts w:hint="eastAsia" w:ascii="宋体" w:hAnsi="宋体" w:eastAsia="宋体" w:cs="宋体"/>
          <w:color w:val="auto"/>
          <w:sz w:val="21"/>
          <w:szCs w:val="21"/>
          <w:highlight w:val="none"/>
        </w:rPr>
        <w:t>项目按照国家规定、合同要求支付农民工工资，决不拖欠农民工工资，如果发生违反规定拖欠或克扣农民工工资行为，造成农民工上访，本单位愿意接受人力资源社会保障、建设、公安等部门依照有关规定作出的处理和处罚决定。</w:t>
      </w:r>
    </w:p>
    <w:p w14:paraId="005A7377">
      <w:pPr>
        <w:pageBreakBefore w:val="0"/>
        <w:kinsoku/>
        <w:wordWrap/>
        <w:bidi w:val="0"/>
        <w:spacing w:after="0" w:line="360" w:lineRule="auto"/>
        <w:ind w:firstLine="640"/>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单位全称（盖 章）</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 xml:space="preserve">      </w:t>
      </w:r>
    </w:p>
    <w:p w14:paraId="0B8460A8">
      <w:pPr>
        <w:pageBreakBefore w:val="0"/>
        <w:kinsoku/>
        <w:wordWrap/>
        <w:bidi w:val="0"/>
        <w:spacing w:after="0" w:line="360" w:lineRule="auto"/>
        <w:ind w:firstLine="64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法定代表人或委托人（签 字）</w:t>
      </w:r>
      <w:r>
        <w:rPr>
          <w:rFonts w:hint="eastAsia" w:ascii="宋体" w:hAnsi="宋体" w:eastAsia="宋体" w:cs="宋体"/>
          <w:color w:val="auto"/>
          <w:sz w:val="21"/>
          <w:szCs w:val="21"/>
          <w:highlight w:val="none"/>
          <w:lang w:eastAsia="zh-CN"/>
        </w:rPr>
        <w:t>：</w:t>
      </w:r>
    </w:p>
    <w:p w14:paraId="7B6EA4AF">
      <w:pPr>
        <w:pageBreakBefore w:val="0"/>
        <w:kinsoku/>
        <w:wordWrap/>
        <w:bidi w:val="0"/>
        <w:spacing w:after="0" w:line="360" w:lineRule="auto"/>
        <w:ind w:firstLine="3675" w:firstLineChars="1750"/>
        <w:rPr>
          <w:rFonts w:hint="eastAsia" w:ascii="宋体" w:hAnsi="宋体" w:eastAsia="宋体" w:cs="宋体"/>
          <w:color w:val="auto"/>
          <w:sz w:val="21"/>
          <w:szCs w:val="21"/>
          <w:highlight w:val="none"/>
        </w:rPr>
      </w:pPr>
    </w:p>
    <w:p w14:paraId="737E0529">
      <w:pPr>
        <w:pageBreakBefore w:val="0"/>
        <w:kinsoku/>
        <w:wordWrap/>
        <w:bidi w:val="0"/>
        <w:spacing w:after="0" w:line="360" w:lineRule="auto"/>
        <w:ind w:firstLine="3360" w:firstLineChars="16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月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日</w:t>
      </w:r>
    </w:p>
    <w:p w14:paraId="159DD7ED">
      <w:pPr>
        <w:pageBreakBefore w:val="0"/>
        <w:kinsoku/>
        <w:wordWrap/>
        <w:bidi w:val="0"/>
        <w:spacing w:after="0" w:line="360" w:lineRule="auto"/>
        <w:rPr>
          <w:rFonts w:hint="eastAsia" w:ascii="宋体" w:hAnsi="宋体" w:eastAsia="宋体" w:cs="宋体"/>
          <w:color w:val="auto"/>
          <w:kern w:val="2"/>
          <w:sz w:val="21"/>
          <w:szCs w:val="21"/>
          <w:highlight w:val="none"/>
          <w:lang w:val="en-US" w:eastAsia="zh-CN" w:bidi="ar-SA"/>
        </w:rPr>
      </w:pPr>
    </w:p>
    <w:p w14:paraId="1C974FAA">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10777AF6">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2C3A3749">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712C78A9">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65BC17EA">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3B1E7CB2">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079EB291">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2A2B78EC">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367D09F7">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790EB6C7">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2784B36C">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35BE28B0">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48AE0843">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0CC7127E">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0680C073">
      <w:pPr>
        <w:pageBreakBefore w:val="0"/>
        <w:tabs>
          <w:tab w:val="left" w:pos="1478"/>
        </w:tabs>
        <w:kinsoku/>
        <w:wordWrap/>
        <w:bidi w:val="0"/>
        <w:spacing w:after="0" w:line="360" w:lineRule="auto"/>
        <w:jc w:val="left"/>
        <w:rPr>
          <w:rFonts w:hint="eastAsia" w:ascii="宋体" w:hAnsi="宋体" w:eastAsia="宋体" w:cs="宋体"/>
          <w:color w:val="auto"/>
          <w:sz w:val="21"/>
          <w:szCs w:val="21"/>
          <w:highlight w:val="none"/>
          <w:lang w:val="en-US" w:eastAsia="zh-CN"/>
        </w:rPr>
        <w:sectPr>
          <w:pgSz w:w="11907" w:h="16840"/>
          <w:pgMar w:top="1418" w:right="1134" w:bottom="1134" w:left="1418" w:header="851" w:footer="992" w:gutter="0"/>
          <w:pgNumType w:fmt="decimal"/>
          <w:cols w:space="720" w:num="1"/>
          <w:docGrid w:type="lines" w:linePitch="317" w:charSpace="0"/>
        </w:sectPr>
      </w:pPr>
      <w:r>
        <w:rPr>
          <w:rFonts w:hint="eastAsia" w:ascii="宋体" w:hAnsi="宋体" w:eastAsia="宋体" w:cs="宋体"/>
          <w:color w:val="auto"/>
          <w:sz w:val="21"/>
          <w:szCs w:val="21"/>
          <w:highlight w:val="none"/>
          <w:lang w:val="en-US" w:eastAsia="zh-CN"/>
        </w:rPr>
        <w:tab/>
      </w:r>
    </w:p>
    <w:p w14:paraId="6F8A700D">
      <w:pPr>
        <w:pageBreakBefore w:val="0"/>
        <w:widowControl w:val="0"/>
        <w:numPr>
          <w:ilvl w:val="0"/>
          <w:numId w:val="0"/>
        </w:numPr>
        <w:kinsoku/>
        <w:wordWrap/>
        <w:bidi w:val="0"/>
        <w:spacing w:after="0" w:line="360" w:lineRule="auto"/>
        <w:ind w:left="0" w:leftChars="0" w:firstLine="0" w:firstLineChars="0"/>
        <w:jc w:val="left"/>
        <w:outlineLvl w:val="1"/>
        <w:rPr>
          <w:rFonts w:hint="eastAsia" w:ascii="宋体" w:hAnsi="宋体" w:eastAsia="宋体" w:cs="宋体"/>
          <w:b/>
          <w:bCs/>
          <w:color w:val="auto"/>
          <w:sz w:val="21"/>
          <w:szCs w:val="21"/>
          <w:highlight w:val="none"/>
          <w:lang w:val="en-US" w:eastAsia="zh-CN" w:bidi="ar-SA"/>
        </w:rPr>
      </w:pPr>
      <w:bookmarkStart w:id="128" w:name="_Toc24046"/>
      <w:r>
        <w:rPr>
          <w:rFonts w:hint="eastAsia" w:ascii="宋体" w:hAnsi="宋体" w:eastAsia="宋体" w:cs="宋体"/>
          <w:b/>
          <w:bCs/>
          <w:color w:val="auto"/>
          <w:sz w:val="21"/>
          <w:szCs w:val="21"/>
          <w:highlight w:val="none"/>
          <w:lang w:val="en-US" w:eastAsia="zh-CN" w:bidi="en-US"/>
        </w:rPr>
        <w:t>附件4：工程施工安全协议书</w:t>
      </w:r>
      <w:bookmarkEnd w:id="128"/>
    </w:p>
    <w:p w14:paraId="5ABEF92C">
      <w:pPr>
        <w:pageBreakBefore w:val="0"/>
        <w:kinsoku/>
        <w:wordWrap/>
        <w:bidi w:val="0"/>
        <w:spacing w:after="0"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工程施工安全协议书</w:t>
      </w:r>
    </w:p>
    <w:p w14:paraId="4B0F076B">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p w14:paraId="2875EA04">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甲方(发包方):东莞市新有能源投资有限公司</w:t>
      </w:r>
    </w:p>
    <w:p w14:paraId="7D31C39C">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代理人:</w:t>
      </w:r>
    </w:p>
    <w:p w14:paraId="63E65C3F">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w:t>
      </w:r>
    </w:p>
    <w:p w14:paraId="18526CDB">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联系地址: 广东省东莞市松山湖园区新城路5号1栋505室。</w:t>
      </w:r>
    </w:p>
    <w:p w14:paraId="2BBFFEF9">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乙方(承包方) :</w:t>
      </w:r>
      <w:r>
        <w:rPr>
          <w:rFonts w:hint="eastAsia" w:ascii="宋体" w:hAnsi="宋体" w:eastAsia="宋体" w:cs="宋体"/>
          <w:color w:val="auto"/>
          <w:sz w:val="21"/>
          <w:szCs w:val="21"/>
          <w:highlight w:val="none"/>
          <w:lang w:val="en-US" w:eastAsia="zh-CN"/>
        </w:rPr>
        <w:t xml:space="preserve">        </w:t>
      </w:r>
    </w:p>
    <w:p w14:paraId="10D65A01">
      <w:pPr>
        <w:pageBreakBefore w:val="0"/>
        <w:kinsoku/>
        <w:wordWrap/>
        <w:bidi w:val="0"/>
        <w:spacing w:after="0" w:line="360" w:lineRule="auto"/>
        <w:ind w:firstLine="0" w:firstLineChars="0"/>
        <w:jc w:val="left"/>
        <w:rPr>
          <w:rFonts w:hint="eastAsia" w:ascii="宋体" w:hAnsi="宋体" w:eastAsia="宋体" w:cs="宋体"/>
          <w:bCs w:val="0"/>
          <w:color w:val="auto"/>
          <w:kern w:val="2"/>
          <w:sz w:val="21"/>
          <w:szCs w:val="21"/>
          <w:highlight w:val="none"/>
          <w:u w:val="none"/>
          <w:lang w:val="en-US" w:eastAsia="zh-CN" w:bidi="ar-SA"/>
        </w:rPr>
      </w:pPr>
      <w:r>
        <w:rPr>
          <w:rFonts w:hint="eastAsia" w:ascii="宋体" w:hAnsi="宋体" w:eastAsia="宋体" w:cs="宋体"/>
          <w:color w:val="auto"/>
          <w:sz w:val="21"/>
          <w:szCs w:val="21"/>
          <w:highlight w:val="none"/>
        </w:rPr>
        <w:t>代理人:</w:t>
      </w:r>
      <w:r>
        <w:rPr>
          <w:rFonts w:hint="eastAsia" w:ascii="宋体" w:hAnsi="宋体" w:eastAsia="宋体" w:cs="宋体"/>
          <w:bCs w:val="0"/>
          <w:color w:val="auto"/>
          <w:kern w:val="2"/>
          <w:sz w:val="21"/>
          <w:szCs w:val="21"/>
          <w:highlight w:val="none"/>
          <w:u w:val="none"/>
          <w:lang w:val="en-US" w:eastAsia="zh-CN" w:bidi="ar-SA"/>
        </w:rPr>
        <w:t xml:space="preserve">      </w:t>
      </w:r>
    </w:p>
    <w:p w14:paraId="56EAAE93">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rPr>
        <w:t>联系电话:</w:t>
      </w:r>
      <w:r>
        <w:rPr>
          <w:rFonts w:hint="eastAsia" w:ascii="宋体" w:hAnsi="宋体" w:eastAsia="宋体" w:cs="宋体"/>
          <w:color w:val="auto"/>
          <w:sz w:val="21"/>
          <w:szCs w:val="21"/>
          <w:highlight w:val="none"/>
          <w:u w:val="none"/>
          <w:lang w:val="en-US" w:eastAsia="zh-CN"/>
        </w:rPr>
        <w:t xml:space="preserve">       </w:t>
      </w:r>
    </w:p>
    <w:p w14:paraId="5C4501E6">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联系地址:</w:t>
      </w:r>
      <w:r>
        <w:rPr>
          <w:rFonts w:hint="eastAsia" w:ascii="宋体" w:hAnsi="宋体" w:eastAsia="宋体" w:cs="宋体"/>
          <w:bCs w:val="0"/>
          <w:color w:val="auto"/>
          <w:kern w:val="2"/>
          <w:sz w:val="21"/>
          <w:szCs w:val="21"/>
          <w:highlight w:val="none"/>
          <w:lang w:val="en-US" w:eastAsia="zh-CN" w:bidi="ar-SA"/>
        </w:rPr>
        <w:t xml:space="preserve">     </w:t>
      </w:r>
    </w:p>
    <w:p w14:paraId="065E2D52">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了切实加强施工现场安全生产管理，依照《中华人民共和国安全生产法》、《中华人民共和国建筑法》、《中华人民共和国民法典》以及《建设工程安全生产管理条例》建设部《施工现场临时用电安全技术规范》、机电安装相关的标准，双方本着平等、自愿的原则，签订本协议书。</w:t>
      </w:r>
    </w:p>
    <w:p w14:paraId="71140A9F">
      <w:pPr>
        <w:pageBreakBefore w:val="0"/>
        <w:kinsoku/>
        <w:wordWrap/>
        <w:bidi w:val="0"/>
        <w:spacing w:after="0"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第一条 管理人员</w:t>
      </w:r>
    </w:p>
    <w:p w14:paraId="69A76ADD">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为保证施工安全管理及安全责任，必须明确现场管理人员:</w:t>
      </w:r>
    </w:p>
    <w:p w14:paraId="745E35D4">
      <w:pPr>
        <w:pageBreakBefore w:val="0"/>
        <w:numPr>
          <w:ilvl w:val="0"/>
          <w:numId w:val="7"/>
        </w:numPr>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乙方项目负责人:</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联系电话:</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 xml:space="preserve">  </w:t>
      </w:r>
    </w:p>
    <w:p w14:paraId="0731355A">
      <w:pPr>
        <w:pageBreakBefore w:val="0"/>
        <w:numPr>
          <w:ilvl w:val="0"/>
          <w:numId w:val="7"/>
        </w:numPr>
        <w:kinsoku/>
        <w:wordWrap/>
        <w:bidi w:val="0"/>
        <w:spacing w:after="0"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乙方现场安全负责人:</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联系电话:</w:t>
      </w:r>
      <w:r>
        <w:rPr>
          <w:rFonts w:hint="eastAsia" w:ascii="宋体" w:hAnsi="宋体" w:eastAsia="宋体" w:cs="宋体"/>
          <w:color w:val="auto"/>
          <w:sz w:val="21"/>
          <w:szCs w:val="21"/>
          <w:highlight w:val="none"/>
          <w:u w:val="single"/>
          <w:lang w:val="en-US" w:eastAsia="zh-CN"/>
        </w:rPr>
        <w:t xml:space="preserve">         </w:t>
      </w:r>
    </w:p>
    <w:p w14:paraId="294D72FF">
      <w:pPr>
        <w:pageBreakBefore w:val="0"/>
        <w:kinsoku/>
        <w:wordWrap/>
        <w:bidi w:val="0"/>
        <w:spacing w:after="0"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第二条 甲方安全责任</w:t>
      </w:r>
    </w:p>
    <w:p w14:paraId="1F94203D">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方有协助乙方搞好安全生产、防火管理以及督促检查的义务。甲方有权检查督促乙方执行有关安全生产方面的工作规定，对乙方不符合安全文明施工的行为进行制止、纠正并发出安全整改通知书,直至清退出场。</w:t>
      </w:r>
    </w:p>
    <w:p w14:paraId="542F1E0F">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2、甲方不得要求乙方违反安全管理规定进行施工。因甲方原因导致的事故由甲方承担责任。</w:t>
      </w:r>
    </w:p>
    <w:p w14:paraId="1A5A7740">
      <w:pPr>
        <w:pageBreakBefore w:val="0"/>
        <w:kinsoku/>
        <w:wordWrap/>
        <w:bidi w:val="0"/>
        <w:spacing w:after="0"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第三条 乙方安全责任</w:t>
      </w:r>
    </w:p>
    <w:p w14:paraId="140AAB4D">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乙方作为工程项目的承包方，对工程施工过程中发生的人身伤害、设备损坏事故承担安全责任。乙方应切实履行以下安全责任:</w:t>
      </w:r>
    </w:p>
    <w:p w14:paraId="419F96B7">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1、乙方按照国家的有关规定,为施工人员办理人身保险,配备合格的劳动防护用品、安全用具。</w:t>
      </w:r>
    </w:p>
    <w:p w14:paraId="0D95FF69">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2、乙方所提供的承包工程要求的相关资质证明材料应真实、合法、有效。</w:t>
      </w:r>
    </w:p>
    <w:p w14:paraId="56D0BD1D">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3、现场施工应遵守国家和地方关于劳动安全,劳务用工遵守法律法规及规章制度，保证其用工的合法性。</w:t>
      </w:r>
    </w:p>
    <w:p w14:paraId="6C7BA5A2">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4、施工期间，乙方应指派专职安全员作为安全工作联系和现场安全管理。</w:t>
      </w:r>
    </w:p>
    <w:p w14:paraId="58611C2D">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5、施工活动，必须有安全施工措施，施工前对全体施工人员进行全面的安全技术交底，并在整个施工过程正确、完整地执行，无措施或未交底，严禁施工。</w:t>
      </w:r>
    </w:p>
    <w:p w14:paraId="6C1811D0">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6、开工前，乙方应组织全体施工人员进行安全教育。特种作业人员必须有相关部门核发的合格有效的上岗资格证书。</w:t>
      </w:r>
    </w:p>
    <w:p w14:paraId="1F63D80B">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7、乙方应在施工范围装设临时围栏或警告标志,不得超越指定的施工范围进行施工，禁止无关人员进入施工现场。</w:t>
      </w:r>
    </w:p>
    <w:p w14:paraId="1CB14A81">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8、乙方施工过程中应做到日产、日清，确保施工场地卫生整洁。</w:t>
      </w:r>
    </w:p>
    <w:p w14:paraId="5CCDB0B9">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9、做好文明施工、安全施工;施工过程中需使用电、水源，应事先与甲方取得联系,不得私拉乱接;做好施工临时用电;按规范要求搭设脚手架做好安全防护工作，确保施工人员和乘客安全。</w:t>
      </w:r>
    </w:p>
    <w:p w14:paraId="38284A7D">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 建立整改责任制,对检查中发现的质量安全隐患，采取有效措施立即进行整改，落实专人负责监控，确保质量安全。</w:t>
      </w:r>
    </w:p>
    <w:p w14:paraId="215CBA08">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11、制定安全紧急情况预案，</w:t>
      </w:r>
      <w:r>
        <w:rPr>
          <w:rFonts w:hint="eastAsia" w:ascii="宋体" w:hAnsi="宋体" w:eastAsia="宋体" w:cs="宋体"/>
          <w:color w:val="auto"/>
          <w:sz w:val="21"/>
          <w:szCs w:val="21"/>
          <w:highlight w:val="none"/>
          <w:lang w:val="en-US" w:eastAsia="zh-CN"/>
        </w:rPr>
        <w:t>一</w:t>
      </w:r>
      <w:r>
        <w:rPr>
          <w:rFonts w:hint="eastAsia" w:ascii="宋体" w:hAnsi="宋体" w:eastAsia="宋体" w:cs="宋体"/>
          <w:color w:val="auto"/>
          <w:sz w:val="21"/>
          <w:szCs w:val="21"/>
          <w:highlight w:val="none"/>
        </w:rPr>
        <w:t>旦发生各类突发事故和紧急情况，要立即启动预案，并按照有关规定及时上报和妥善处理。</w:t>
      </w:r>
    </w:p>
    <w:p w14:paraId="3E31CC9C">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lang w:val="en-US" w:eastAsia="zh-CN"/>
        </w:rPr>
        <w:t>因乙方原因</w:t>
      </w:r>
      <w:r>
        <w:rPr>
          <w:rFonts w:hint="eastAsia" w:ascii="宋体" w:hAnsi="宋体" w:eastAsia="宋体" w:cs="宋体"/>
          <w:color w:val="auto"/>
          <w:sz w:val="21"/>
          <w:szCs w:val="21"/>
          <w:highlight w:val="none"/>
        </w:rPr>
        <w:t>发生以下情况停工整顿，因停工造成的违约责任由乙方承担:</w:t>
      </w:r>
    </w:p>
    <w:p w14:paraId="5F0A6CD6">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(1)人身伤亡事故;</w:t>
      </w:r>
    </w:p>
    <w:p w14:paraId="2B87447B">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(2)发生施工机械、生产主设备严重损坏事故;</w:t>
      </w:r>
    </w:p>
    <w:p w14:paraId="57C68016">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(3)发生违章作业、冒险作业不听劝告的;</w:t>
      </w:r>
    </w:p>
    <w:p w14:paraId="3BE20A71">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(4)施工现场脏、乱、差，不能满足安全和文明施工要求的;</w:t>
      </w:r>
    </w:p>
    <w:p w14:paraId="22799226">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(5)施工过程中，因违反工程相关规定的，被相关管理机关勒令停工的。</w:t>
      </w:r>
    </w:p>
    <w:p w14:paraId="011A2637">
      <w:pPr>
        <w:pageBreakBefore w:val="0"/>
        <w:kinsoku/>
        <w:wordWrap/>
        <w:bidi w:val="0"/>
        <w:spacing w:after="0"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第四条</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违约责任</w:t>
      </w:r>
    </w:p>
    <w:p w14:paraId="7EE15A37">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1、由于乙方责任造成对第三方的人身伤害、设备损坏等财产损失，由乙方承担相应责任，并赔偿第三方因此造成的全部损失。</w:t>
      </w:r>
    </w:p>
    <w:p w14:paraId="6E8140B8">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2、乙方未指定安监人员;未能正确、全面执行安全技术措施、施工组织设计;施工人员未掌握本工程项目特点及施工安全措施;甲方有权要求乙方立即停工整改,由此弓|起的后果及损失由乙方承担。</w:t>
      </w:r>
    </w:p>
    <w:p w14:paraId="5C6D31CA">
      <w:pPr>
        <w:pageBreakBefore w:val="0"/>
        <w:kinsoku/>
        <w:wordWrap/>
        <w:bidi w:val="0"/>
        <w:spacing w:after="0"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第五条</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出险理赔责任</w:t>
      </w:r>
    </w:p>
    <w:p w14:paraId="3E3D8FA7">
      <w:pPr>
        <w:pageBreakBefore w:val="0"/>
        <w:kinsoku/>
        <w:wordWrap/>
        <w:bidi w:val="0"/>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对于施工过程中出现意外，造成人身伤事故，由保险公司依据相关条例规定和额度负责理赔，</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不承担赔偿责任。</w:t>
      </w:r>
      <w:r>
        <w:rPr>
          <w:rFonts w:hint="eastAsia" w:ascii="宋体" w:hAnsi="宋体" w:eastAsia="宋体" w:cs="宋体"/>
          <w:color w:val="auto"/>
          <w:sz w:val="21"/>
          <w:szCs w:val="21"/>
          <w:highlight w:val="none"/>
          <w:lang w:val="en-US" w:eastAsia="zh-CN"/>
        </w:rPr>
        <w:t>如</w:t>
      </w:r>
      <w:r>
        <w:rPr>
          <w:rFonts w:hint="eastAsia" w:ascii="宋体" w:hAnsi="宋体" w:eastAsia="宋体" w:cs="宋体"/>
          <w:color w:val="auto"/>
          <w:sz w:val="21"/>
          <w:szCs w:val="21"/>
          <w:highlight w:val="none"/>
          <w:lang w:val="en-US" w:eastAsia="zh-Hans"/>
        </w:rPr>
        <w:t>从</w:t>
      </w:r>
      <w:r>
        <w:rPr>
          <w:rFonts w:hint="eastAsia" w:ascii="宋体" w:hAnsi="宋体" w:eastAsia="宋体" w:cs="宋体"/>
          <w:color w:val="auto"/>
          <w:sz w:val="21"/>
          <w:szCs w:val="21"/>
          <w:highlight w:val="none"/>
          <w:lang w:val="en-US" w:eastAsia="zh-CN"/>
        </w:rPr>
        <w:t>承保人处获得的</w:t>
      </w:r>
      <w:r>
        <w:rPr>
          <w:rFonts w:hint="eastAsia" w:ascii="宋体" w:hAnsi="宋体" w:eastAsia="宋体" w:cs="宋体"/>
          <w:color w:val="auto"/>
          <w:sz w:val="21"/>
          <w:szCs w:val="21"/>
          <w:highlight w:val="none"/>
          <w:lang w:val="en-US" w:eastAsia="zh-Hans"/>
        </w:rPr>
        <w:t>保险金</w:t>
      </w:r>
      <w:r>
        <w:rPr>
          <w:rFonts w:hint="eastAsia" w:ascii="宋体" w:hAnsi="宋体" w:eastAsia="宋体" w:cs="宋体"/>
          <w:color w:val="auto"/>
          <w:sz w:val="21"/>
          <w:szCs w:val="21"/>
          <w:highlight w:val="none"/>
          <w:lang w:val="en-US" w:eastAsia="zh-CN"/>
        </w:rPr>
        <w:t>不能全额补偿乙方或第三方损失的差额部分及免赔额，由乙方自行负责。</w:t>
      </w:r>
    </w:p>
    <w:p w14:paraId="1A1E419B">
      <w:pPr>
        <w:pageBreakBefore w:val="0"/>
        <w:kinsoku/>
        <w:wordWrap/>
        <w:bidi w:val="0"/>
        <w:spacing w:after="0"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第六条</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甲乙双方必须严格执行本协议,本协议的法律效力独立于主合同。</w:t>
      </w:r>
    </w:p>
    <w:p w14:paraId="7B3963F4">
      <w:pPr>
        <w:pageBreakBefore w:val="0"/>
        <w:kinsoku/>
        <w:wordWrap/>
        <w:bidi w:val="0"/>
        <w:spacing w:after="0"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第七条</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本协议经双方法定代表人或委托代理人签字盖章后生效。</w:t>
      </w:r>
    </w:p>
    <w:p w14:paraId="3C8D0DAB">
      <w:pPr>
        <w:pageBreakBefore w:val="0"/>
        <w:kinsoku/>
        <w:wordWrap/>
        <w:bidi w:val="0"/>
        <w:spacing w:after="0"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第八条</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本协议</w:t>
      </w:r>
      <w:r>
        <w:rPr>
          <w:rFonts w:hint="eastAsia" w:ascii="宋体" w:hAnsi="宋体" w:eastAsia="宋体" w:cs="宋体"/>
          <w:color w:val="auto"/>
          <w:sz w:val="21"/>
          <w:szCs w:val="21"/>
          <w:highlight w:val="none"/>
          <w:lang w:val="en-US" w:eastAsia="zh-CN"/>
        </w:rPr>
        <w:t>一</w:t>
      </w:r>
      <w:r>
        <w:rPr>
          <w:rFonts w:hint="eastAsia" w:ascii="宋体" w:hAnsi="宋体" w:eastAsia="宋体" w:cs="宋体"/>
          <w:color w:val="auto"/>
          <w:sz w:val="21"/>
          <w:szCs w:val="21"/>
          <w:highlight w:val="none"/>
        </w:rPr>
        <w:t>式</w:t>
      </w:r>
      <w:r>
        <w:rPr>
          <w:rFonts w:hint="eastAsia" w:ascii="宋体" w:hAnsi="宋体" w:eastAsia="宋体" w:cs="宋体"/>
          <w:color w:val="auto"/>
          <w:sz w:val="21"/>
          <w:szCs w:val="21"/>
          <w:highlight w:val="none"/>
          <w:lang w:val="en-US" w:eastAsia="zh-CN"/>
        </w:rPr>
        <w:t>肆</w:t>
      </w:r>
      <w:r>
        <w:rPr>
          <w:rFonts w:hint="eastAsia" w:ascii="宋体" w:hAnsi="宋体" w:eastAsia="宋体" w:cs="宋体"/>
          <w:color w:val="auto"/>
          <w:sz w:val="21"/>
          <w:szCs w:val="21"/>
          <w:highlight w:val="none"/>
        </w:rPr>
        <w:t>份，甲</w:t>
      </w:r>
      <w:r>
        <w:rPr>
          <w:rFonts w:hint="eastAsia" w:ascii="宋体" w:hAnsi="宋体" w:eastAsia="宋体" w:cs="宋体"/>
          <w:color w:val="auto"/>
          <w:sz w:val="21"/>
          <w:szCs w:val="21"/>
          <w:highlight w:val="none"/>
          <w:lang w:val="en-US" w:eastAsia="zh-CN"/>
        </w:rPr>
        <w:t>乙</w:t>
      </w:r>
      <w:r>
        <w:rPr>
          <w:rFonts w:hint="eastAsia" w:ascii="宋体" w:hAnsi="宋体" w:eastAsia="宋体" w:cs="宋体"/>
          <w:color w:val="auto"/>
          <w:sz w:val="21"/>
          <w:szCs w:val="21"/>
          <w:highlight w:val="none"/>
        </w:rPr>
        <w:t>双方各执</w:t>
      </w:r>
      <w:r>
        <w:rPr>
          <w:rFonts w:hint="eastAsia" w:ascii="宋体" w:hAnsi="宋体" w:eastAsia="宋体" w:cs="宋体"/>
          <w:color w:val="auto"/>
          <w:sz w:val="21"/>
          <w:szCs w:val="21"/>
          <w:highlight w:val="none"/>
          <w:lang w:val="en-US" w:eastAsia="zh-CN"/>
        </w:rPr>
        <w:t>贰</w:t>
      </w:r>
      <w:r>
        <w:rPr>
          <w:rFonts w:hint="eastAsia" w:ascii="宋体" w:hAnsi="宋体" w:eastAsia="宋体" w:cs="宋体"/>
          <w:color w:val="auto"/>
          <w:sz w:val="21"/>
          <w:szCs w:val="21"/>
          <w:highlight w:val="none"/>
        </w:rPr>
        <w:t>份。</w:t>
      </w:r>
    </w:p>
    <w:p w14:paraId="614BFD10">
      <w:pPr>
        <w:pageBreakBefore w:val="0"/>
        <w:kinsoku/>
        <w:wordWrap/>
        <w:bidi w:val="0"/>
        <w:spacing w:after="0"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第九条</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本协议签订地点在</w:t>
      </w:r>
      <w:r>
        <w:rPr>
          <w:rFonts w:hint="eastAsia" w:ascii="宋体" w:hAnsi="宋体" w:eastAsia="宋体" w:cs="宋体"/>
          <w:color w:val="auto"/>
          <w:sz w:val="21"/>
          <w:szCs w:val="21"/>
          <w:highlight w:val="none"/>
          <w:u w:val="single"/>
        </w:rPr>
        <w:t>广东省东莞市松山湖</w:t>
      </w:r>
      <w:r>
        <w:rPr>
          <w:rFonts w:hint="eastAsia" w:ascii="宋体" w:hAnsi="宋体" w:eastAsia="宋体" w:cs="宋体"/>
          <w:color w:val="auto"/>
          <w:sz w:val="21"/>
          <w:szCs w:val="21"/>
          <w:highlight w:val="none"/>
        </w:rPr>
        <w:t>。</w:t>
      </w:r>
    </w:p>
    <w:p w14:paraId="30AE57F5">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1D868C2A">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5FDB1B8D">
      <w:pPr>
        <w:pageBreakBefore w:val="0"/>
        <w:kinsoku/>
        <w:wordWrap/>
        <w:bidi w:val="0"/>
        <w:spacing w:after="0" w:line="360" w:lineRule="auto"/>
        <w:rPr>
          <w:rFonts w:hint="eastAsia" w:ascii="宋体" w:hAnsi="宋体" w:eastAsia="宋体" w:cs="宋体"/>
          <w:b w:val="0"/>
          <w:bCs w:val="0"/>
          <w:color w:val="auto"/>
          <w:sz w:val="21"/>
          <w:szCs w:val="21"/>
          <w:highlight w:val="none"/>
        </w:rPr>
      </w:pPr>
      <w:r>
        <w:rPr>
          <w:rFonts w:hint="eastAsia" w:ascii="宋体" w:hAnsi="宋体" w:eastAsia="宋体" w:cs="宋体"/>
          <w:color w:val="auto"/>
          <w:sz w:val="21"/>
          <w:szCs w:val="21"/>
          <w:highlight w:val="none"/>
          <w:lang w:val="en-US" w:eastAsia="zh-CN"/>
        </w:rPr>
        <w:t>以下无正文</w:t>
      </w:r>
    </w:p>
    <w:tbl>
      <w:tblPr>
        <w:tblStyle w:val="29"/>
        <w:tblpPr w:leftFromText="180" w:rightFromText="180" w:vertAnchor="text" w:horzAnchor="page" w:tblpX="1360" w:tblpY="443"/>
        <w:tblOverlap w:val="never"/>
        <w:tblW w:w="4999" w:type="pct"/>
        <w:tblInd w:w="0" w:type="dxa"/>
        <w:tblLayout w:type="autofit"/>
        <w:tblCellMar>
          <w:top w:w="0" w:type="dxa"/>
          <w:left w:w="108" w:type="dxa"/>
          <w:bottom w:w="0" w:type="dxa"/>
          <w:right w:w="108" w:type="dxa"/>
        </w:tblCellMar>
      </w:tblPr>
      <w:tblGrid>
        <w:gridCol w:w="4482"/>
        <w:gridCol w:w="4038"/>
      </w:tblGrid>
      <w:tr w14:paraId="63EE8060">
        <w:tblPrEx>
          <w:tblCellMar>
            <w:top w:w="0" w:type="dxa"/>
            <w:left w:w="108" w:type="dxa"/>
            <w:bottom w:w="0" w:type="dxa"/>
            <w:right w:w="108" w:type="dxa"/>
          </w:tblCellMar>
        </w:tblPrEx>
        <w:tc>
          <w:tcPr>
            <w:tcW w:w="2630" w:type="pct"/>
            <w:noWrap w:val="0"/>
            <w:vAlign w:val="top"/>
          </w:tcPr>
          <w:p w14:paraId="734E0F02">
            <w:pPr>
              <w:pageBreakBefore w:val="0"/>
              <w:kinsoku/>
              <w:wordWrap/>
              <w:bidi w:val="0"/>
              <w:spacing w:after="0" w:line="360" w:lineRule="auto"/>
              <w:rPr>
                <w:rFonts w:hint="eastAsia" w:ascii="宋体" w:hAnsi="宋体" w:eastAsia="宋体" w:cs="宋体"/>
                <w:b/>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甲方（盖章）：东莞市新有能源投资有限公司</w:t>
            </w:r>
          </w:p>
        </w:tc>
        <w:tc>
          <w:tcPr>
            <w:tcW w:w="2369" w:type="pct"/>
            <w:noWrap w:val="0"/>
            <w:vAlign w:val="top"/>
          </w:tcPr>
          <w:p w14:paraId="2F6B9C0A">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乙方(盖章)： </w:t>
            </w:r>
          </w:p>
        </w:tc>
      </w:tr>
      <w:tr w14:paraId="527E30A0">
        <w:tblPrEx>
          <w:tblCellMar>
            <w:top w:w="0" w:type="dxa"/>
            <w:left w:w="108" w:type="dxa"/>
            <w:bottom w:w="0" w:type="dxa"/>
            <w:right w:w="108" w:type="dxa"/>
          </w:tblCellMar>
        </w:tblPrEx>
        <w:tc>
          <w:tcPr>
            <w:tcW w:w="2630" w:type="pct"/>
            <w:noWrap w:val="0"/>
            <w:vAlign w:val="top"/>
          </w:tcPr>
          <w:p w14:paraId="2AB520DF">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法定代表人或</w:t>
            </w:r>
          </w:p>
          <w:p w14:paraId="66EF9C23">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授权代表(签章)：</w:t>
            </w:r>
          </w:p>
        </w:tc>
        <w:tc>
          <w:tcPr>
            <w:tcW w:w="2369" w:type="pct"/>
            <w:noWrap w:val="0"/>
            <w:vAlign w:val="top"/>
          </w:tcPr>
          <w:p w14:paraId="507D8BD8">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法定代表人或</w:t>
            </w:r>
          </w:p>
          <w:p w14:paraId="19F23276">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授权代表(签章)：</w:t>
            </w:r>
          </w:p>
          <w:p w14:paraId="6BEBD177">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tc>
      </w:tr>
      <w:tr w14:paraId="2EA6EDD0">
        <w:tblPrEx>
          <w:tblCellMar>
            <w:top w:w="0" w:type="dxa"/>
            <w:left w:w="108" w:type="dxa"/>
            <w:bottom w:w="0" w:type="dxa"/>
            <w:right w:w="108" w:type="dxa"/>
          </w:tblCellMar>
        </w:tblPrEx>
        <w:tc>
          <w:tcPr>
            <w:tcW w:w="2630" w:type="pct"/>
            <w:noWrap w:val="0"/>
            <w:vAlign w:val="top"/>
          </w:tcPr>
          <w:p w14:paraId="167F3696">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529B1C7E">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签订日期：2025年    月    日</w:t>
            </w:r>
          </w:p>
        </w:tc>
        <w:tc>
          <w:tcPr>
            <w:tcW w:w="2369" w:type="pct"/>
            <w:noWrap w:val="0"/>
            <w:vAlign w:val="top"/>
          </w:tcPr>
          <w:p w14:paraId="25B6D992">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121DC10E">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签订日期：2025年    月    日</w:t>
            </w:r>
          </w:p>
        </w:tc>
      </w:tr>
    </w:tbl>
    <w:p w14:paraId="77A5C704">
      <w:pPr>
        <w:pageBreakBefore w:val="0"/>
        <w:widowControl w:val="0"/>
        <w:kinsoku/>
        <w:wordWrap/>
        <w:bidi w:val="0"/>
        <w:spacing w:after="0" w:line="360" w:lineRule="auto"/>
        <w:ind w:left="0" w:leftChars="0" w:firstLine="0" w:firstLineChars="0"/>
        <w:jc w:val="both"/>
        <w:outlineLvl w:val="9"/>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bidi="ar-SA"/>
        </w:rPr>
        <w:t xml:space="preserve"> </w:t>
      </w:r>
    </w:p>
    <w:p w14:paraId="1D349CC7">
      <w:pPr>
        <w:pageBreakBefore w:val="0"/>
        <w:widowControl w:val="0"/>
        <w:kinsoku/>
        <w:wordWrap/>
        <w:bidi w:val="0"/>
        <w:spacing w:after="0" w:line="360" w:lineRule="auto"/>
        <w:ind w:left="0" w:leftChars="0" w:firstLine="0" w:firstLineChars="0"/>
        <w:jc w:val="both"/>
        <w:outlineLvl w:val="9"/>
        <w:rPr>
          <w:rFonts w:hint="eastAsia" w:ascii="宋体" w:hAnsi="宋体" w:eastAsia="宋体" w:cs="宋体"/>
          <w:bCs/>
          <w:color w:val="auto"/>
          <w:sz w:val="21"/>
          <w:szCs w:val="21"/>
          <w:highlight w:val="none"/>
          <w:lang w:val="en-US" w:eastAsia="zh-CN" w:bidi="ar-SA"/>
        </w:rPr>
      </w:pPr>
    </w:p>
    <w:p w14:paraId="4EDBDFC7">
      <w:pPr>
        <w:pageBreakBefore w:val="0"/>
        <w:widowControl w:val="0"/>
        <w:numPr>
          <w:ilvl w:val="0"/>
          <w:numId w:val="0"/>
        </w:numPr>
        <w:kinsoku/>
        <w:wordWrap/>
        <w:bidi w:val="0"/>
        <w:spacing w:after="0" w:line="360" w:lineRule="auto"/>
        <w:ind w:left="0" w:leftChars="0" w:firstLine="0" w:firstLineChars="0"/>
        <w:jc w:val="left"/>
        <w:outlineLvl w:val="9"/>
        <w:rPr>
          <w:rFonts w:hint="eastAsia" w:ascii="宋体" w:hAnsi="宋体" w:eastAsia="宋体" w:cs="宋体"/>
          <w:b/>
          <w:bCs/>
          <w:color w:val="auto"/>
          <w:sz w:val="21"/>
          <w:szCs w:val="21"/>
          <w:highlight w:val="none"/>
          <w:lang w:val="en-US" w:eastAsia="zh-CN" w:bidi="en-US"/>
        </w:rPr>
      </w:pPr>
    </w:p>
    <w:p w14:paraId="678A6522">
      <w:pPr>
        <w:pageBreakBefore w:val="0"/>
        <w:widowControl w:val="0"/>
        <w:numPr>
          <w:ilvl w:val="0"/>
          <w:numId w:val="0"/>
        </w:numPr>
        <w:kinsoku/>
        <w:wordWrap/>
        <w:bidi w:val="0"/>
        <w:spacing w:after="0" w:line="360" w:lineRule="auto"/>
        <w:ind w:left="0" w:leftChars="0" w:firstLine="0" w:firstLineChars="0"/>
        <w:jc w:val="left"/>
        <w:outlineLvl w:val="9"/>
        <w:rPr>
          <w:rFonts w:hint="eastAsia" w:ascii="宋体" w:hAnsi="宋体" w:eastAsia="宋体" w:cs="宋体"/>
          <w:b/>
          <w:bCs/>
          <w:color w:val="auto"/>
          <w:sz w:val="21"/>
          <w:szCs w:val="21"/>
          <w:highlight w:val="none"/>
          <w:lang w:val="en-US" w:eastAsia="zh-CN" w:bidi="en-US"/>
        </w:rPr>
      </w:pPr>
    </w:p>
    <w:p w14:paraId="73B9E4CC">
      <w:pPr>
        <w:spacing w:after="200" w:line="240" w:lineRule="auto"/>
        <w:outlineLvl w:val="9"/>
        <w:rPr>
          <w:rFonts w:hint="eastAsia" w:ascii="宋体" w:hAnsi="宋体" w:eastAsia="宋体" w:cs="宋体"/>
          <w:b/>
          <w:color w:val="auto"/>
          <w:sz w:val="21"/>
          <w:szCs w:val="21"/>
          <w:highlight w:val="none"/>
          <w:lang w:bidi="en-US"/>
        </w:rPr>
      </w:pPr>
      <w:r>
        <w:rPr>
          <w:rFonts w:hint="eastAsia" w:ascii="宋体" w:hAnsi="宋体" w:eastAsia="宋体" w:cs="宋体"/>
          <w:b/>
          <w:color w:val="auto"/>
          <w:sz w:val="21"/>
          <w:szCs w:val="21"/>
          <w:highlight w:val="none"/>
          <w:lang w:bidi="en-US"/>
        </w:rPr>
        <w:br w:type="page"/>
      </w:r>
    </w:p>
    <w:p w14:paraId="753E238C">
      <w:pPr>
        <w:pageBreakBefore w:val="0"/>
        <w:widowControl w:val="0"/>
        <w:numPr>
          <w:ilvl w:val="0"/>
          <w:numId w:val="0"/>
        </w:numPr>
        <w:kinsoku/>
        <w:wordWrap/>
        <w:bidi w:val="0"/>
        <w:spacing w:after="0" w:line="360" w:lineRule="auto"/>
        <w:ind w:left="0" w:leftChars="0" w:firstLine="0" w:firstLineChars="0"/>
        <w:jc w:val="left"/>
        <w:outlineLvl w:val="1"/>
        <w:rPr>
          <w:rFonts w:hint="eastAsia" w:ascii="宋体" w:hAnsi="宋体" w:eastAsia="宋体" w:cs="宋体"/>
          <w:b/>
          <w:bCs/>
          <w:color w:val="auto"/>
          <w:sz w:val="21"/>
          <w:szCs w:val="21"/>
          <w:highlight w:val="none"/>
          <w:lang w:val="en-US" w:eastAsia="zh-CN" w:bidi="ar-SA"/>
        </w:rPr>
      </w:pPr>
      <w:bookmarkStart w:id="129" w:name="_Toc1131"/>
      <w:r>
        <w:rPr>
          <w:rFonts w:hint="eastAsia" w:ascii="宋体" w:hAnsi="宋体" w:eastAsia="宋体" w:cs="宋体"/>
          <w:b/>
          <w:bCs/>
          <w:color w:val="auto"/>
          <w:sz w:val="21"/>
          <w:szCs w:val="21"/>
          <w:highlight w:val="none"/>
          <w:lang w:val="en-US" w:eastAsia="zh-CN" w:bidi="en-US"/>
        </w:rPr>
        <w:t>附件5：承包商违章处罚条款</w:t>
      </w:r>
      <w:bookmarkEnd w:id="129"/>
    </w:p>
    <w:tbl>
      <w:tblPr>
        <w:tblStyle w:val="29"/>
        <w:tblW w:w="5843" w:type="pct"/>
        <w:tblInd w:w="-65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5"/>
        <w:gridCol w:w="4410"/>
        <w:gridCol w:w="1125"/>
        <w:gridCol w:w="750"/>
        <w:gridCol w:w="750"/>
        <w:gridCol w:w="659"/>
        <w:gridCol w:w="736"/>
        <w:gridCol w:w="945"/>
      </w:tblGrid>
      <w:tr w14:paraId="68040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trPr>
        <w:tc>
          <w:tcPr>
            <w:tcW w:w="293" w:type="pct"/>
            <w:tcBorders>
              <w:top w:val="single" w:color="auto" w:sz="4" w:space="0"/>
              <w:left w:val="single" w:color="000000" w:sz="4" w:space="0"/>
              <w:bottom w:val="single" w:color="000000" w:sz="4" w:space="0"/>
              <w:right w:val="single" w:color="000000" w:sz="4" w:space="0"/>
            </w:tcBorders>
            <w:shd w:val="clear" w:color="auto" w:fill="auto"/>
            <w:vAlign w:val="center"/>
          </w:tcPr>
          <w:p w14:paraId="0DF1267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2213" w:type="pct"/>
            <w:tcBorders>
              <w:top w:val="single" w:color="auto" w:sz="4" w:space="0"/>
              <w:left w:val="single" w:color="000000" w:sz="4" w:space="0"/>
              <w:bottom w:val="single" w:color="000000" w:sz="4" w:space="0"/>
              <w:right w:val="single" w:color="000000" w:sz="4" w:space="0"/>
            </w:tcBorders>
            <w:shd w:val="clear" w:color="auto" w:fill="auto"/>
            <w:vAlign w:val="center"/>
          </w:tcPr>
          <w:p w14:paraId="6C40E53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违章现象</w:t>
            </w:r>
          </w:p>
        </w:tc>
        <w:tc>
          <w:tcPr>
            <w:tcW w:w="564" w:type="pct"/>
            <w:tcBorders>
              <w:top w:val="single" w:color="auto" w:sz="4" w:space="0"/>
              <w:left w:val="single" w:color="000000" w:sz="4" w:space="0"/>
              <w:bottom w:val="single" w:color="000000" w:sz="4" w:space="0"/>
              <w:right w:val="single" w:color="000000" w:sz="4" w:space="0"/>
            </w:tcBorders>
            <w:shd w:val="clear" w:color="auto" w:fill="auto"/>
            <w:vAlign w:val="center"/>
          </w:tcPr>
          <w:p w14:paraId="202B9CD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违章类型</w:t>
            </w:r>
          </w:p>
        </w:tc>
        <w:tc>
          <w:tcPr>
            <w:tcW w:w="376" w:type="pct"/>
            <w:tcBorders>
              <w:top w:val="single" w:color="auto" w:sz="4" w:space="0"/>
              <w:left w:val="single" w:color="000000" w:sz="4" w:space="0"/>
              <w:bottom w:val="single" w:color="000000" w:sz="4" w:space="0"/>
              <w:right w:val="single" w:color="000000" w:sz="4" w:space="0"/>
            </w:tcBorders>
            <w:shd w:val="clear" w:color="auto" w:fill="auto"/>
            <w:vAlign w:val="center"/>
          </w:tcPr>
          <w:p w14:paraId="63C2B48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严重性</w:t>
            </w:r>
          </w:p>
        </w:tc>
        <w:tc>
          <w:tcPr>
            <w:tcW w:w="376" w:type="pct"/>
            <w:tcBorders>
              <w:top w:val="single" w:color="auto" w:sz="4" w:space="0"/>
              <w:left w:val="single" w:color="000000" w:sz="4" w:space="0"/>
              <w:bottom w:val="single" w:color="000000" w:sz="4" w:space="0"/>
              <w:right w:val="single" w:color="000000" w:sz="4" w:space="0"/>
            </w:tcBorders>
            <w:shd w:val="clear" w:color="auto" w:fill="auto"/>
            <w:vAlign w:val="center"/>
          </w:tcPr>
          <w:p w14:paraId="710CF12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第一次</w:t>
            </w:r>
          </w:p>
        </w:tc>
        <w:tc>
          <w:tcPr>
            <w:tcW w:w="330" w:type="pct"/>
            <w:tcBorders>
              <w:top w:val="single" w:color="auto" w:sz="4" w:space="0"/>
              <w:left w:val="single" w:color="000000" w:sz="4" w:space="0"/>
              <w:bottom w:val="single" w:color="000000" w:sz="4" w:space="0"/>
              <w:right w:val="single" w:color="000000" w:sz="4" w:space="0"/>
            </w:tcBorders>
            <w:shd w:val="clear" w:color="auto" w:fill="auto"/>
            <w:vAlign w:val="center"/>
          </w:tcPr>
          <w:p w14:paraId="5625A75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第二次</w:t>
            </w:r>
          </w:p>
        </w:tc>
        <w:tc>
          <w:tcPr>
            <w:tcW w:w="369" w:type="pct"/>
            <w:tcBorders>
              <w:top w:val="single" w:color="auto" w:sz="4" w:space="0"/>
              <w:left w:val="single" w:color="000000" w:sz="4" w:space="0"/>
              <w:bottom w:val="single" w:color="000000" w:sz="4" w:space="0"/>
              <w:right w:val="single" w:color="000000" w:sz="4" w:space="0"/>
            </w:tcBorders>
            <w:shd w:val="clear" w:color="auto" w:fill="auto"/>
            <w:vAlign w:val="center"/>
          </w:tcPr>
          <w:p w14:paraId="5E83ED0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第三次</w:t>
            </w:r>
          </w:p>
        </w:tc>
        <w:tc>
          <w:tcPr>
            <w:tcW w:w="474" w:type="pct"/>
            <w:tcBorders>
              <w:top w:val="single" w:color="auto" w:sz="4" w:space="0"/>
              <w:left w:val="single" w:color="000000" w:sz="4" w:space="0"/>
              <w:bottom w:val="single" w:color="000000" w:sz="4" w:space="0"/>
              <w:right w:val="single" w:color="000000" w:sz="4" w:space="0"/>
            </w:tcBorders>
            <w:shd w:val="clear" w:color="auto" w:fill="auto"/>
            <w:vAlign w:val="center"/>
          </w:tcPr>
          <w:p w14:paraId="3F274ED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备注</w:t>
            </w:r>
          </w:p>
        </w:tc>
      </w:tr>
      <w:tr w14:paraId="4B2EF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3144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A4D0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没有按规定做好围蔽、五牌一图、摄像头、警示牌（等）、防暑用品，按合同约定设立项目部（如有）</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BDED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4061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18B6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9031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C9E53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A2F5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单位：元/次</w:t>
            </w:r>
          </w:p>
        </w:tc>
      </w:tr>
      <w:tr w14:paraId="74DE5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9F2D6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27EA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不组织班前、班后会及其他安全活动；安全技术交底记录中未签字、代签字或机打签字。</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24A2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6830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7462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418D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53C8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39414">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67AC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8504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95B3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不按照交底宣贯的施工样板技术规范施工，施工工艺、材料设备质量不合符规范。</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C3AB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材料质量</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739A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94AF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77DE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A646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3FC040">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0C9B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CBFA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21D8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不按规定同步更新施工过程资料（施工图片、施工日志、材料报审、进度汇报等）、竣工资料；施工日志没有当天发到工作群。</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C32B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DAC7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548C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D864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FA6A9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9EC18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2A43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1FCF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D044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当日施工完毕后未对现场进行整理及垃圾清理，现场混乱。</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FE88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7A31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A284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BB9A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C1B9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583E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2E3D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ECD8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EC38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工程进度滞后超过3天（自然日），且未经甲方项目负责人书面同意延期的。（不可抗力因素除外）</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87E9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进度管控</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A24F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FD70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84059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20F9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C401B">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4912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1522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88D56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总承包单位在实施过程中，因施工单位原因，收到业主单位/客户/监管部门投诉。</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D4BA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79B5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8D1B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4BC0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8B15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50C302">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17EF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B6FA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CF5D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施工现场存在坑洞、高空坠落物、触电、滑倒等危险因素的场地,未设置醒目标识、护栏或围栏。</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3A54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安全措施</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2B2D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FACE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D49C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1FD12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F77D6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C5A7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FF6B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4EEE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施工人员在非指定区域吸烟、乱丢烟头的；不按指定路线出入施工区域且不听劝阻。</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7E08E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0C13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7F2B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B7BB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17B9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B9753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584E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D5FB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3376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施工现场未确定监工及现场安全管理人员或监工、现场安全管理人员未在现场督导。</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1A80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安全措施</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2068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62BD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8595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96BD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2388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E01B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A645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FC00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施工人员不听劝阻等正常管理，而采取抵触、漫骂等行为</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9735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E31D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A6EC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D880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B3B4A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9CFBE">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2D15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FAD7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F4A5D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违规碰撞、踩踏、破坏储能设备；没做好基础成品保护的。</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F912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9EC1B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709E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8045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2FF9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250A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E70D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767C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8C73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不当施工或行为造成空气/土壤/水污染且未采取任何恢复措施者。</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F1FA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09D3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E036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5739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639A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FBF0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D733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0977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8438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施工现场发生危险，未令停止作业及未告知甲方或监理人员，发生事故者；工作场所发生职业伤害，未通报甲方且未依照相关规定办理。</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59BC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31E0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E139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884A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CC4A3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28A2C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534B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A941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486D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未经停电、验电、接地即开展作业，未按照工作票所列“应装设的接地”要求装设接地或工作地点未装设封闭接地，擅自变更接地位置。</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0E3B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11E7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87A2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FFC8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72E47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CF3912">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B861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318D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D0B9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违章指挥、强令工作班人员冒险作业；未办理开工/复工手续擅自组织施工，或停工令执行不到位。</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30D4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53ED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F926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DC641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00F5B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4D183">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A032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3F77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9549A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在存在感应电、反送电触电风险的导地线等设备作业时，未使用个人保安线或接地线，或个人保安线或接地线未有效接地，丧失接地保护功能。</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F8E6C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DF41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13C7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5395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C7199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B0FE3">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36BE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2"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3D7F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B996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高处作业未使用安全带等防坠落用品、装置，或安全带未挂在牢固的构件上，或攀登杆塔、转移位置时失去安全带的保护；人未下到地面直接移动脚手架或梯子等登高用具。</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01C1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6F740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55CC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0AE6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BBA7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1A764">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27B9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D2AD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2FEB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带明火进入易燃易爆物品储放场所，或在易燃易爆物品储放场所动火工作未采取防火等安全措施，动火作业点10米内未清除可燃物品或作业后现场有残留火种。</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E376C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7542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7A446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5A2F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55FC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2EC0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DC1E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B98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F8BD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低压不停电作业未穿绝缘鞋，未戴低压绝缘手套或帆布手套，未使用有绝缘柄的工具。作业前未采取绝缘隔离、遮蔽带电部分等防止相间或接地短路的有效措施。</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C248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8271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5748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0067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30995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BF22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9655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B583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4964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起重机械、高空作业平台、吊篮（吊笼）、牵引设备、钢丝绳等起重、起吊、牵引设备超过铭牌规定额定荷载值使用；吊钩防脱落保险装置残缺、失效。</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E33B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3343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C4B5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A7A2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43ED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DBF9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761A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AF91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919F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邻近带电设备场所使用的起重机和绞车等牵引工具未接地，作业的导（地）线未在工作地点接地。</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B6D7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42C0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1E02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3D9A4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C7DE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B3566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9D1F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BFCD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105B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在带电设备附近使用金属梯子进行作业。</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B62A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9C96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9B930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3DA84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C04E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C0D78">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55A6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8832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194BC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特种作业人员未经年审或证件过期仍开展特种作业。</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082AA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2147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9C99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1DBD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09B5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36EF8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7927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EA26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C672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醉酒、酒后等不清醒状态下开展作业。</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0ADD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F665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6211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0CD1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6D3D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BC173">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2DB7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3F96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E36D1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雨天在户外操作电气设备时，验电器、绝缘棒、操作杆无防雨罩，未穿绝缘靴、戴绝缘手套。</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5C13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1AD9B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1001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C2E7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3FD27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96961">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97FB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A12D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976E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作业现场使用、携带的工器具不合格（存在严重破损、裂纹、松脱、断股等明显缺陷或达到报废标准）。</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D4145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9B75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75AD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2E35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9577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EB340">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D12B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A99B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42BF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未使用相应电压等级且合格的验电器进行验电。</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FEDC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0DC1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2CE2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5002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36EA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FB341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85F2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F977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A196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作业现场使用、携带的砂轮机、切割机、锯木机的刀片有裂纹、破损，或机械转动部分保护罩破损、缺失。</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3545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7A50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2D37B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C9EF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4D98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BD61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F6E8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8013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73D0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采用流动式起重机、高空作业车、绝缘斗臂车、高处作业平台等作业时，未落实稳固支撑等防倾覆措施，且存在严重的倾覆隐患。</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3E4F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C32D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ECDD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9B0B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15F42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5FC8B">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0B64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C980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87F1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装、拆接地线后未及时做好相关记录。</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6155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安全措施</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CEBC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F4E9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B7DF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CBE4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7AB17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D63E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A205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FE6B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在高处作业地点的垂直下方及坠物可能落到的地方通行或逗留；高处作业人员随手上下抛掷工具、器具和材料。</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9D23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CD41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5899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E06A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26EA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BC99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71FA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CD9D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1241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起吊作业范围没有防止外人通行的围蔽设施、未设置警示标志。</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BA4D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F589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FA75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7EAC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EC02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B59D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F57F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AC2C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34</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B167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在城区、人口密集区、通行道路上或交通道口施工时，工作场所周围未设遮栏（围栏）或其他安全措施。</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6D8D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BFD0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C4EA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9BCE0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6329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418A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3B9A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62A4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BD67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施工检修电源箱外壳未接地或接地不规范、无锁、无警示标志等。现场使用的施工机具等应接地未接地或接地不规范。</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3295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0EDC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3089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C37B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9861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2BFBE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1406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8171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36</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DB16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作业人员擅自移动安全遮栏（围栏）、拆除标志牌等；随意挪用现场安全设施或损坏现场安全标志。</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E549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FF64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A989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69C6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6015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81E5A">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0B14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95B80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37</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A020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擅自拆除孔洞盖板、栏杆、隔离层，或因工作需要拆除附属设施时未设明显标示，未及时恢复。</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399B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4753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C2DF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DF51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D8E4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C31C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D9E0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A172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38</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66A0F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电容器、电缆等设备检修前或试验调整接线前，未逐个、逐相进行充分放电。</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5BC5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B9505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2F73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66D0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F461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732DB">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6100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8F0D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39</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C06F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作业人员在受力钢丝绳上下方、内角侧，或起吊物下逗留或通过。</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CF4F6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4F4F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2E65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628F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60C55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F038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0941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F368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39B4D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电动工具搬动和移动、收放电源线时未切断电源。</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D1C6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117F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84281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C244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AB59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203CAF">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99F9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94D0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41</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18C3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工作负责人在工作内容、分工、范围等变动后，未重新组织工作班人员进行安全交代。</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3B4E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D665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0CF4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BF8B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31E2E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B8801">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D566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9F95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42</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DD70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搬运、起吊重大物件无统一指挥、统一信号；凭借栏杆、脚手架、瓷件等起吊物件。</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8A92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F9D6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5D58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434A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72AF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478BA2">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234B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D58D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43</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9960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电源箱设置不符合“一机、一闸、一保护”要求，临时电源箱无漏电保护装置或漏电装置损坏，或插头、插座、电源箱破损明显，或使用铁线、铜线等代替保险丝。</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ACAE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0835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6777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9CD1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80A0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9068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9CDB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9788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44</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04E2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电气设备、工具的电源线直接钩挂在闸刀上或直接插入插座使用。</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640F3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7B78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3A4C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195A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DED1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26C13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8BE4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6375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45</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618D3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户外使用中的电焊机无防雨措施，或电焊机电源线直接搭接在电线上。</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A120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CC96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BD5E4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F024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0648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04E1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3D54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0B5F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46</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7BC0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绞磨牵引钢丝绳未从绞磨下方卷入，钢丝绳未在磨芯上绕5圈以上，磨芯未放置防钢丝绳跑出的安全装置。</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C149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1070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DB44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BF42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E33A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072A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32C4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D4E4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47</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2ABD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使用大锤和手锤、砂轮、钻床、电钻、冲击钻时戴棉纱手套操作。</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9912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5DB9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6AC1F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443D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6E01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58DF8">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8F66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44AC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48</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6040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梯子架设在不稳定的支持物上，或梯子无防滑措施，或人字梯无限制开度的拉绳或限位器。梯子架设不稳固时无专人扶持或在未绑扎牢固的梯子上作业。</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7084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F536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61E99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45DD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AF75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AE9B3">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8C1C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A4E7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49</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AF83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使用长度在2米以上的安全带、安全绳等未加装缓冲器或在具备条件的情况下安全带未高挂低用。</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E7A30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CAB7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CAC0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2FC6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88B6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56053">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9C57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551F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AD66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现场作业时未按规定着装；不按规定佩戴或未正确佩戴安全帽。</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0BCE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7CCA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E579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27E5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D844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EDEE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313D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C765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51</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4BBC6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使用验电器对低压配电设备验电时未戴绝缘手套。</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68FD0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3D62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81E6A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FF7F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8B48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4F423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515F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B34F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52</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CBB3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电、气焊工作时不戴防护镜、不穿帆布或全棉工作服、不戴防护手套等专用劳动防护用品。</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CC62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5B13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AB87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99ED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B0DB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8572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A35A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09B1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53</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1E7B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二次回路工作未落实防止电流互感器二次侧开路或电压互感器二次侧短路的措施。</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A00F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3C66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D0739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78E30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09C9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AC0F8">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0B74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7347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54</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5C11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易燃、易爆物品或各种气瓶不按规定储运、存放、使用。</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7DD1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D9D6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D38B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5B06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DDC1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7AB99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38E0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66ED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55</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8102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使用中的乙炔瓶没有防回火装置，气管有龟裂、鼓包、漏气等现象。</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DF601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BBAC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A2AF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FFE24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4FFA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9E10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2402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7BCB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56</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AA5B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氧气瓶与乙炔瓶同车运载及混放使用中的氧气瓶、乙炔瓶放置相距不足5米，距明火不足10米，未垂直放置固定。</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BCFA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7433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37C8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CD77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8D74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CDC3E">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D565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DA52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57</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AB29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动火作业现场未放置足够、合格的灭火器材。</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F63B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855E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A639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2824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B139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D2C0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A446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FC105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58</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BDB2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动火现场（周围及动火点下方最小半径10米）有易燃易爆物，存在可燃溶剂清洗剂及喷漆作业。</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1D61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FCCD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980A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780F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A131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F1C24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8728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0D46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59</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C52F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擅自倾倒、堆放、丢弃或遗撒危险化学品；危化品、爆破品运输、存储、使用不规范。</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92EE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D897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DF45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16BD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3376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4BA6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5579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C8F6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9675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电缆沟、疏水沟、下水道、井下等有限空间工作现场少于2人，有限空间外未设置监护人或未全程持续监护。</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FD17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5AE8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529B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E618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5674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70D5D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5F4C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A6AD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61</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E19F9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敷设电缆过程中无专人指挥，电缆移动时用手搬动滑轮。</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31274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F7119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0BE8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3480B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239E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AA87E">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3D26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A6EE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62</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8B7F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未按规定将作业纳入视频监控（含视频点不足、故意遮挡视频、非可调摄像头未对准作业现场、位置摆放错误）。</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AFA4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F534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D247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C3A9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DC92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0CCD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BE9E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71B6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63</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1C74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安排有职业禁忌病症的人员从事相应的禁忌作业。</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6B2F8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2A1E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FFC3F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09F0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6B92A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0206F">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0F41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2B01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64</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5B3F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未按规定办理审批、交底等手续或未探明地下管线等分布情况，盲目开挖、掘进、顶管等作业。</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05AD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C698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C34F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170D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0DA6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BACB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FFDA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6CC13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65</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AF85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现场处于使用状态的施工机械（具）、发电车或施工用电设备无人看护。</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69C3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814C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DA41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B6EC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7EDE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692D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bl>
    <w:p w14:paraId="2072556F">
      <w:pPr>
        <w:spacing w:line="360" w:lineRule="auto"/>
        <w:rPr>
          <w:rFonts w:hint="default" w:ascii="仿宋_GB2312" w:eastAsia="仿宋_GB2312"/>
          <w:color w:val="auto"/>
          <w:sz w:val="24"/>
          <w:highlight w:val="none"/>
        </w:rPr>
      </w:pPr>
    </w:p>
    <w:p w14:paraId="2D6B3DC1">
      <w:pPr>
        <w:rPr>
          <w:color w:val="auto"/>
          <w:highlight w:val="none"/>
        </w:rPr>
      </w:pPr>
    </w:p>
    <w:p w14:paraId="3814C2D8">
      <w:pPr>
        <w:rPr>
          <w:rFonts w:hint="eastAsia" w:ascii="宋体" w:hAnsi="宋体" w:eastAsia="宋体" w:cs="宋体"/>
          <w:color w:val="auto"/>
          <w:sz w:val="28"/>
          <w:szCs w:val="28"/>
          <w:highlight w:val="none"/>
        </w:rPr>
      </w:pPr>
    </w:p>
    <w:p w14:paraId="30CA21E6">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06073936">
      <w:pPr>
        <w:pStyle w:val="6"/>
        <w:spacing w:before="0" w:after="0" w:line="24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第六部分 附件－投标文件格式</w:t>
      </w:r>
      <w:bookmarkEnd w:id="99"/>
    </w:p>
    <w:p w14:paraId="6C510F1E">
      <w:pPr>
        <w:pStyle w:val="6"/>
        <w:rPr>
          <w:rFonts w:hint="eastAsia" w:ascii="宋体" w:hAnsi="宋体" w:cs="宋体"/>
          <w:color w:val="auto"/>
          <w:sz w:val="21"/>
          <w:szCs w:val="21"/>
          <w:highlight w:val="none"/>
        </w:rPr>
      </w:pPr>
      <w:bookmarkStart w:id="130" w:name="_Toc182308027"/>
      <w:r>
        <w:rPr>
          <w:rFonts w:hint="eastAsia" w:ascii="宋体" w:hAnsi="宋体" w:cs="宋体"/>
          <w:color w:val="auto"/>
          <w:sz w:val="21"/>
          <w:szCs w:val="21"/>
          <w:highlight w:val="none"/>
        </w:rPr>
        <w:t>投标文件目录</w:t>
      </w:r>
      <w:bookmarkEnd w:id="130"/>
    </w:p>
    <w:p w14:paraId="3534B9C5">
      <w:pPr>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目录</w:t>
      </w:r>
    </w:p>
    <w:p w14:paraId="56981952">
      <w:pPr>
        <w:adjustRightInd/>
        <w:snapToGrid/>
        <w:spacing w:line="276" w:lineRule="auto"/>
        <w:rPr>
          <w:rFonts w:ascii="宋体" w:hAnsi="宋体"/>
          <w:color w:val="auto"/>
          <w:szCs w:val="21"/>
          <w:highlight w:val="none"/>
        </w:rPr>
      </w:pPr>
      <w:r>
        <w:rPr>
          <w:rFonts w:hint="eastAsia" w:ascii="宋体" w:hAnsi="宋体"/>
          <w:color w:val="auto"/>
          <w:szCs w:val="21"/>
          <w:highlight w:val="none"/>
        </w:rPr>
        <w:t>格式自理。</w:t>
      </w:r>
    </w:p>
    <w:p w14:paraId="2B1C42BF">
      <w:pPr>
        <w:adjustRightInd/>
        <w:snapToGrid/>
        <w:spacing w:line="276" w:lineRule="auto"/>
        <w:rPr>
          <w:rFonts w:ascii="宋体" w:hAnsi="宋体"/>
          <w:color w:val="auto"/>
          <w:szCs w:val="21"/>
          <w:highlight w:val="none"/>
        </w:rPr>
      </w:pPr>
    </w:p>
    <w:p w14:paraId="6655965A">
      <w:pPr>
        <w:adjustRightInd/>
        <w:snapToGrid/>
        <w:spacing w:line="276" w:lineRule="auto"/>
        <w:rPr>
          <w:rFonts w:ascii="宋体" w:hAnsi="宋体"/>
          <w:color w:val="auto"/>
          <w:szCs w:val="21"/>
          <w:highlight w:val="none"/>
        </w:rPr>
      </w:pPr>
    </w:p>
    <w:p w14:paraId="385560E2">
      <w:pPr>
        <w:adjustRightInd/>
        <w:snapToGrid/>
        <w:spacing w:line="276" w:lineRule="auto"/>
        <w:rPr>
          <w:rFonts w:ascii="宋体" w:hAnsi="宋体"/>
          <w:color w:val="auto"/>
          <w:szCs w:val="21"/>
          <w:highlight w:val="none"/>
        </w:rPr>
      </w:pPr>
      <w:r>
        <w:rPr>
          <w:rFonts w:hint="eastAsia" w:ascii="宋体" w:hAnsi="宋体"/>
          <w:color w:val="auto"/>
          <w:szCs w:val="21"/>
          <w:highlight w:val="none"/>
        </w:rPr>
        <w:t>注：</w:t>
      </w:r>
    </w:p>
    <w:p w14:paraId="74EC662B">
      <w:pPr>
        <w:adjustRightInd/>
        <w:snapToGrid/>
        <w:spacing w:line="276" w:lineRule="auto"/>
        <w:rPr>
          <w:rFonts w:hint="eastAsia" w:ascii="宋体" w:hAnsi="宋体" w:cs="宋体"/>
          <w:color w:val="auto"/>
          <w:szCs w:val="21"/>
          <w:highlight w:val="none"/>
        </w:rPr>
      </w:pPr>
      <w:r>
        <w:rPr>
          <w:rFonts w:hint="eastAsia" w:ascii="宋体" w:hAnsi="宋体"/>
          <w:color w:val="auto"/>
          <w:szCs w:val="21"/>
          <w:highlight w:val="none"/>
        </w:rPr>
        <w:t>1、投标人制作的投标文件应当具备目录。</w:t>
      </w:r>
      <w:r>
        <w:rPr>
          <w:rFonts w:hint="eastAsia" w:ascii="宋体" w:hAnsi="宋体" w:cs="宋体"/>
          <w:color w:val="auto"/>
          <w:szCs w:val="21"/>
          <w:highlight w:val="none"/>
        </w:rPr>
        <w:br w:type="page"/>
      </w:r>
    </w:p>
    <w:p w14:paraId="28ABF060">
      <w:pPr>
        <w:pStyle w:val="6"/>
        <w:spacing w:before="0" w:after="0" w:line="360" w:lineRule="auto"/>
        <w:jc w:val="center"/>
        <w:rPr>
          <w:color w:val="auto"/>
          <w:sz w:val="72"/>
          <w:szCs w:val="72"/>
          <w:highlight w:val="none"/>
        </w:rPr>
      </w:pPr>
      <w:bookmarkStart w:id="131" w:name="_Toc18450"/>
      <w:bookmarkStart w:id="132" w:name="_Toc182308028"/>
      <w:bookmarkStart w:id="133" w:name="_Toc30918"/>
      <w:bookmarkStart w:id="134" w:name="_Toc21746"/>
      <w:bookmarkStart w:id="135" w:name="_Toc28154"/>
      <w:bookmarkStart w:id="136" w:name="_Toc20335"/>
      <w:r>
        <w:rPr>
          <w:rFonts w:hint="eastAsia"/>
          <w:color w:val="auto"/>
          <w:sz w:val="72"/>
          <w:szCs w:val="72"/>
          <w:highlight w:val="none"/>
        </w:rPr>
        <w:t>价格文件</w:t>
      </w:r>
      <w:bookmarkEnd w:id="131"/>
      <w:bookmarkEnd w:id="132"/>
      <w:bookmarkEnd w:id="133"/>
      <w:bookmarkStart w:id="137" w:name="_Hlt10456397"/>
      <w:bookmarkEnd w:id="137"/>
      <w:bookmarkStart w:id="138" w:name="_Hlt10519799"/>
      <w:bookmarkEnd w:id="138"/>
    </w:p>
    <w:p w14:paraId="7CBEAB05">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134"/>
      <w:bookmarkEnd w:id="135"/>
      <w:bookmarkEnd w:id="136"/>
    </w:p>
    <w:p w14:paraId="6A6F2AA2">
      <w:pPr>
        <w:rPr>
          <w:color w:val="auto"/>
          <w:highlight w:val="none"/>
        </w:rPr>
      </w:pPr>
    </w:p>
    <w:p w14:paraId="275197D5">
      <w:pPr>
        <w:pStyle w:val="13"/>
        <w:rPr>
          <w:rFonts w:hint="eastAsia"/>
          <w:color w:val="auto"/>
          <w:highlight w:val="none"/>
        </w:rPr>
      </w:pPr>
    </w:p>
    <w:p w14:paraId="31CD67FF">
      <w:pPr>
        <w:ind w:firstLine="240"/>
        <w:rPr>
          <w:color w:val="auto"/>
          <w:highlight w:val="none"/>
        </w:rPr>
      </w:pPr>
    </w:p>
    <w:p w14:paraId="1B6DCB56">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531788632"/>
        </w:rPr>
        <w:t>项目名</w:t>
      </w:r>
      <w:r>
        <w:rPr>
          <w:rFonts w:hint="eastAsia" w:ascii="宋体" w:hAnsi="宋体" w:cs="宋体"/>
          <w:b/>
          <w:bCs/>
          <w:color w:val="auto"/>
          <w:spacing w:val="1"/>
          <w:w w:val="100"/>
          <w:kern w:val="0"/>
          <w:sz w:val="32"/>
          <w:szCs w:val="32"/>
          <w:highlight w:val="none"/>
          <w:fitText w:val="1600" w:id="531788632"/>
        </w:rPr>
        <w:t>称</w:t>
      </w:r>
      <w:r>
        <w:rPr>
          <w:rFonts w:hint="eastAsia" w:ascii="宋体" w:hAnsi="宋体" w:cs="宋体"/>
          <w:b/>
          <w:bCs/>
          <w:color w:val="auto"/>
          <w:spacing w:val="-6"/>
          <w:sz w:val="32"/>
          <w:szCs w:val="32"/>
          <w:highlight w:val="none"/>
        </w:rPr>
        <w:t>：</w:t>
      </w:r>
    </w:p>
    <w:p w14:paraId="7AAD0C8E">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1"/>
        </w:rPr>
        <w:t>项目编</w:t>
      </w:r>
      <w:r>
        <w:rPr>
          <w:rFonts w:hint="eastAsia" w:ascii="宋体" w:hAnsi="宋体" w:cs="宋体"/>
          <w:b/>
          <w:bCs/>
          <w:color w:val="auto"/>
          <w:spacing w:val="1"/>
          <w:w w:val="100"/>
          <w:kern w:val="0"/>
          <w:sz w:val="32"/>
          <w:szCs w:val="32"/>
          <w:highlight w:val="none"/>
          <w:fitText w:val="1600" w:id="1"/>
        </w:rPr>
        <w:t>号</w:t>
      </w:r>
      <w:r>
        <w:rPr>
          <w:rFonts w:hint="eastAsia" w:ascii="宋体" w:hAnsi="宋体" w:cs="宋体"/>
          <w:b/>
          <w:bCs/>
          <w:color w:val="auto"/>
          <w:sz w:val="32"/>
          <w:szCs w:val="32"/>
          <w:highlight w:val="none"/>
        </w:rPr>
        <w:t>：</w:t>
      </w:r>
    </w:p>
    <w:p w14:paraId="3A5B5B28">
      <w:pPr>
        <w:pStyle w:val="27"/>
        <w:widowControl/>
        <w:adjustRightInd w:val="0"/>
        <w:snapToGrid w:val="0"/>
        <w:spacing w:before="161" w:afterAutospacing="1"/>
        <w:jc w:val="left"/>
        <w:rPr>
          <w:rFonts w:hint="eastAsia" w:ascii="宋体" w:hAnsi="宋体" w:cs="宋体"/>
          <w:b/>
          <w:color w:val="auto"/>
          <w:w w:val="83"/>
          <w:kern w:val="0"/>
          <w:sz w:val="32"/>
          <w:szCs w:val="32"/>
          <w:highlight w:val="none"/>
        </w:rPr>
      </w:pPr>
      <w:r>
        <w:rPr>
          <w:rFonts w:hint="eastAsia" w:ascii="宋体" w:hAnsi="宋体" w:cs="宋体"/>
          <w:b/>
          <w:color w:val="auto"/>
          <w:spacing w:val="106"/>
          <w:kern w:val="0"/>
          <w:sz w:val="32"/>
          <w:szCs w:val="32"/>
          <w:highlight w:val="none"/>
          <w:lang w:bidi="ar"/>
        </w:rPr>
        <w:t>包组号（如有）：</w:t>
      </w:r>
    </w:p>
    <w:p w14:paraId="3B00F73E">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2"/>
        </w:rPr>
        <w:t>投标人名称</w:t>
      </w:r>
      <w:r>
        <w:rPr>
          <w:rFonts w:hint="eastAsia" w:ascii="宋体" w:hAnsi="宋体" w:cs="宋体"/>
          <w:b/>
          <w:color w:val="auto"/>
          <w:sz w:val="32"/>
          <w:szCs w:val="32"/>
          <w:highlight w:val="none"/>
        </w:rPr>
        <w:t>：</w:t>
      </w:r>
    </w:p>
    <w:p w14:paraId="38EACD67">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3"/>
        </w:rPr>
        <w:t xml:space="preserve">日    </w:t>
      </w:r>
      <w:r>
        <w:rPr>
          <w:rFonts w:hint="eastAsia" w:ascii="宋体" w:hAnsi="宋体" w:cs="宋体"/>
          <w:b/>
          <w:color w:val="auto"/>
          <w:spacing w:val="0"/>
          <w:w w:val="100"/>
          <w:kern w:val="0"/>
          <w:sz w:val="32"/>
          <w:szCs w:val="32"/>
          <w:highlight w:val="none"/>
          <w:fitText w:val="1600" w:id="3"/>
        </w:rPr>
        <w:t>期</w:t>
      </w:r>
      <w:r>
        <w:rPr>
          <w:rFonts w:hint="eastAsia" w:ascii="宋体" w:hAnsi="宋体" w:cs="宋体"/>
          <w:b/>
          <w:color w:val="auto"/>
          <w:sz w:val="32"/>
          <w:szCs w:val="32"/>
          <w:highlight w:val="none"/>
        </w:rPr>
        <w:t>：  年  月  日</w:t>
      </w:r>
    </w:p>
    <w:p w14:paraId="4A19A5AA">
      <w:pPr>
        <w:rPr>
          <w:color w:val="auto"/>
          <w:highlight w:val="none"/>
        </w:rPr>
      </w:pPr>
    </w:p>
    <w:p w14:paraId="6F27C02F">
      <w:pPr>
        <w:pStyle w:val="13"/>
        <w:rPr>
          <w:rFonts w:hint="eastAsia"/>
          <w:color w:val="auto"/>
          <w:highlight w:val="none"/>
        </w:rPr>
      </w:pPr>
    </w:p>
    <w:p w14:paraId="38230513">
      <w:pPr>
        <w:pStyle w:val="24"/>
        <w:rPr>
          <w:color w:val="auto"/>
          <w:highlight w:val="none"/>
        </w:rPr>
      </w:pPr>
    </w:p>
    <w:p w14:paraId="76404C8A">
      <w:pPr>
        <w:pStyle w:val="24"/>
        <w:ind w:left="0"/>
        <w:rPr>
          <w:color w:val="auto"/>
          <w:highlight w:val="none"/>
        </w:rPr>
      </w:pPr>
    </w:p>
    <w:p w14:paraId="4B3C002B">
      <w:pPr>
        <w:rPr>
          <w:rFonts w:hint="eastAsia" w:ascii="宋体" w:hAnsi="宋体"/>
          <w:color w:val="auto"/>
          <w:szCs w:val="21"/>
          <w:highlight w:val="none"/>
        </w:rPr>
      </w:pPr>
      <w:r>
        <w:rPr>
          <w:rFonts w:hint="eastAsia" w:ascii="宋体" w:hAnsi="宋体"/>
          <w:color w:val="auto"/>
          <w:szCs w:val="21"/>
          <w:highlight w:val="none"/>
        </w:rPr>
        <w:br w:type="page"/>
      </w:r>
    </w:p>
    <w:p w14:paraId="48061ABC">
      <w:pPr>
        <w:pStyle w:val="8"/>
        <w:widowControl w:val="0"/>
        <w:overflowPunct w:val="0"/>
        <w:spacing w:line="240" w:lineRule="auto"/>
        <w:rPr>
          <w:rFonts w:hint="eastAsia" w:ascii="宋体" w:hAnsi="宋体"/>
          <w:color w:val="auto"/>
          <w:sz w:val="21"/>
          <w:szCs w:val="21"/>
          <w:highlight w:val="none"/>
        </w:rPr>
      </w:pPr>
      <w:bookmarkStart w:id="139" w:name="_Toc182308029"/>
      <w:r>
        <w:rPr>
          <w:rFonts w:hint="eastAsia" w:ascii="宋体" w:hAnsi="宋体"/>
          <w:color w:val="auto"/>
          <w:sz w:val="21"/>
          <w:szCs w:val="21"/>
          <w:highlight w:val="none"/>
        </w:rPr>
        <w:t>附件1.开标一览表格式</w:t>
      </w:r>
      <w:bookmarkEnd w:id="139"/>
    </w:p>
    <w:p w14:paraId="173DDDD8">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773F709D">
      <w:pPr>
        <w:rPr>
          <w:color w:val="auto"/>
          <w:highlight w:val="none"/>
        </w:rPr>
      </w:pPr>
    </w:p>
    <w:p w14:paraId="0623E389">
      <w:pPr>
        <w:rPr>
          <w:rFonts w:ascii="宋体" w:hAnsi="宋体"/>
          <w:color w:val="auto"/>
          <w:szCs w:val="21"/>
          <w:highlight w:val="none"/>
        </w:rPr>
      </w:pPr>
      <w:bookmarkStart w:id="140" w:name="_Toc182308030"/>
      <w:r>
        <w:rPr>
          <w:rFonts w:hint="eastAsia" w:ascii="宋体" w:hAnsi="宋体"/>
          <w:color w:val="auto"/>
          <w:szCs w:val="21"/>
          <w:highlight w:val="none"/>
          <w:lang w:val="en-US" w:eastAsia="zh-CN"/>
        </w:rPr>
        <w:t>项目</w:t>
      </w:r>
      <w:r>
        <w:rPr>
          <w:rFonts w:hint="eastAsia" w:ascii="宋体" w:hAnsi="宋体"/>
          <w:color w:val="auto"/>
          <w:szCs w:val="21"/>
          <w:highlight w:val="none"/>
        </w:rPr>
        <w:t>名称：</w:t>
      </w:r>
    </w:p>
    <w:p w14:paraId="1C6CE882">
      <w:pPr>
        <w:rPr>
          <w:color w:val="auto"/>
          <w:highlight w:val="none"/>
        </w:rPr>
      </w:pPr>
      <w:r>
        <w:rPr>
          <w:rFonts w:hint="eastAsia" w:ascii="宋体" w:hAnsi="宋体"/>
          <w:color w:val="auto"/>
          <w:szCs w:val="21"/>
          <w:highlight w:val="none"/>
        </w:rPr>
        <w:t>采购项目编号：</w:t>
      </w: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hemeFill="background1"/>
        <w:tblLayout w:type="autofit"/>
        <w:tblCellMar>
          <w:top w:w="0" w:type="dxa"/>
          <w:left w:w="108" w:type="dxa"/>
          <w:bottom w:w="0" w:type="dxa"/>
          <w:right w:w="108" w:type="dxa"/>
        </w:tblCellMar>
      </w:tblPr>
      <w:tblGrid>
        <w:gridCol w:w="3484"/>
        <w:gridCol w:w="1566"/>
        <w:gridCol w:w="3469"/>
      </w:tblGrid>
      <w:tr w14:paraId="1A57F3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hemeFill="background1"/>
          <w:tblCellMar>
            <w:top w:w="0" w:type="dxa"/>
            <w:left w:w="108" w:type="dxa"/>
            <w:bottom w:w="0" w:type="dxa"/>
            <w:right w:w="108" w:type="dxa"/>
          </w:tblCellMar>
        </w:tblPrEx>
        <w:trPr>
          <w:trHeight w:val="905" w:hRule="atLeast"/>
          <w:jc w:val="center"/>
        </w:trPr>
        <w:tc>
          <w:tcPr>
            <w:tcW w:w="2045" w:type="pct"/>
            <w:shd w:val="clear" w:color="auto" w:fill="FFFFFF" w:themeFill="background1"/>
            <w:vAlign w:val="center"/>
          </w:tcPr>
          <w:p w14:paraId="2B3D7437">
            <w:pPr>
              <w:widowControl w:val="0"/>
              <w:spacing w:after="0"/>
              <w:jc w:val="center"/>
              <w:rPr>
                <w:rFonts w:ascii="宋体" w:hAnsi="宋体" w:eastAsia="宋体" w:cs="Times New Roman"/>
                <w:b/>
                <w:color w:val="auto"/>
                <w:kern w:val="2"/>
                <w:sz w:val="21"/>
                <w:szCs w:val="21"/>
                <w:highlight w:val="none"/>
              </w:rPr>
            </w:pPr>
            <w:r>
              <w:rPr>
                <w:rFonts w:hint="eastAsia" w:ascii="宋体" w:hAnsi="宋体" w:eastAsia="宋体" w:cs="Times New Roman"/>
                <w:b/>
                <w:color w:val="auto"/>
                <w:kern w:val="2"/>
                <w:sz w:val="21"/>
                <w:szCs w:val="21"/>
                <w:highlight w:val="none"/>
              </w:rPr>
              <w:t>采购标的</w:t>
            </w:r>
          </w:p>
        </w:tc>
        <w:tc>
          <w:tcPr>
            <w:tcW w:w="919" w:type="pct"/>
            <w:shd w:val="clear" w:color="auto" w:fill="FFFFFF" w:themeFill="background1"/>
            <w:vAlign w:val="center"/>
          </w:tcPr>
          <w:p w14:paraId="2598970E">
            <w:pPr>
              <w:widowControl w:val="0"/>
              <w:spacing w:after="0"/>
              <w:jc w:val="center"/>
              <w:rPr>
                <w:rFonts w:ascii="宋体" w:hAnsi="宋体" w:eastAsia="宋体" w:cs="Times New Roman"/>
                <w:b/>
                <w:color w:val="auto"/>
                <w:kern w:val="2"/>
                <w:sz w:val="21"/>
                <w:szCs w:val="21"/>
                <w:highlight w:val="none"/>
              </w:rPr>
            </w:pPr>
            <w:r>
              <w:rPr>
                <w:rStyle w:val="32"/>
                <w:rFonts w:ascii="宋体" w:hAnsi="宋体" w:eastAsia="宋体"/>
                <w:color w:val="auto"/>
                <w:sz w:val="21"/>
                <w:szCs w:val="21"/>
                <w:highlight w:val="none"/>
              </w:rPr>
              <w:t>数量（单位）</w:t>
            </w:r>
          </w:p>
        </w:tc>
        <w:tc>
          <w:tcPr>
            <w:tcW w:w="2035" w:type="pct"/>
            <w:shd w:val="clear" w:color="auto" w:fill="FFFFFF" w:themeFill="background1"/>
            <w:vAlign w:val="center"/>
          </w:tcPr>
          <w:p w14:paraId="77161CDE">
            <w:pPr>
              <w:widowControl w:val="0"/>
              <w:spacing w:after="0"/>
              <w:jc w:val="center"/>
              <w:rPr>
                <w:rFonts w:ascii="宋体" w:hAnsi="Times New Roman" w:eastAsia="宋体" w:cs="Times New Roman"/>
                <w:b/>
                <w:color w:val="auto"/>
                <w:kern w:val="2"/>
                <w:sz w:val="21"/>
                <w:szCs w:val="21"/>
                <w:highlight w:val="none"/>
              </w:rPr>
            </w:pPr>
            <w:r>
              <w:rPr>
                <w:rFonts w:hint="eastAsia" w:ascii="宋体" w:hAnsi="Times New Roman" w:eastAsia="宋体" w:cs="Times New Roman"/>
                <w:b/>
                <w:color w:val="auto"/>
                <w:kern w:val="2"/>
                <w:sz w:val="21"/>
                <w:szCs w:val="21"/>
                <w:highlight w:val="none"/>
              </w:rPr>
              <w:t>单价投标报价</w:t>
            </w:r>
          </w:p>
        </w:tc>
      </w:tr>
      <w:tr w14:paraId="6895CE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62" w:hRule="atLeast"/>
          <w:jc w:val="center"/>
        </w:trPr>
        <w:tc>
          <w:tcPr>
            <w:tcW w:w="2045" w:type="pct"/>
            <w:shd w:val="clear" w:color="auto" w:fill="FFFFFF" w:themeFill="background1"/>
            <w:vAlign w:val="center"/>
          </w:tcPr>
          <w:p w14:paraId="05E08522">
            <w:pPr>
              <w:widowControl w:val="0"/>
              <w:spacing w:after="0"/>
              <w:jc w:val="center"/>
              <w:rPr>
                <w:rFonts w:hint="eastAsia" w:ascii="宋体" w:hAnsi="宋体" w:eastAsia="宋体" w:cs="Times New Roman"/>
                <w:bCs/>
                <w:color w:val="auto"/>
                <w:kern w:val="2"/>
                <w:sz w:val="21"/>
                <w:szCs w:val="21"/>
                <w:highlight w:val="none"/>
                <w:lang w:eastAsia="zh-CN"/>
              </w:rPr>
            </w:pPr>
            <w:r>
              <w:rPr>
                <w:rFonts w:hint="eastAsia" w:ascii="宋体" w:hAnsi="宋体" w:cs="Times New Roman"/>
                <w:bCs/>
                <w:color w:val="auto"/>
                <w:kern w:val="2"/>
                <w:sz w:val="21"/>
                <w:szCs w:val="21"/>
                <w:highlight w:val="none"/>
                <w:lang w:eastAsia="zh-CN"/>
              </w:rPr>
              <w:t>东莞浩成玩具有限公司550kW/2200kWh用户侧储能项目</w:t>
            </w:r>
          </w:p>
        </w:tc>
        <w:tc>
          <w:tcPr>
            <w:tcW w:w="919" w:type="pct"/>
            <w:shd w:val="clear" w:color="auto" w:fill="FFFFFF" w:themeFill="background1"/>
            <w:vAlign w:val="center"/>
          </w:tcPr>
          <w:p w14:paraId="175478E2">
            <w:pPr>
              <w:widowControl w:val="0"/>
              <w:spacing w:after="0"/>
              <w:jc w:val="center"/>
              <w:rPr>
                <w:rFonts w:ascii="宋体" w:hAnsi="宋体" w:eastAsia="宋体" w:cs="Times New Roman"/>
                <w:bCs/>
                <w:color w:val="auto"/>
                <w:kern w:val="2"/>
                <w:sz w:val="21"/>
                <w:szCs w:val="21"/>
                <w:highlight w:val="none"/>
              </w:rPr>
            </w:pPr>
            <w:r>
              <w:rPr>
                <w:rFonts w:hint="eastAsia" w:ascii="宋体" w:hAnsi="宋体" w:eastAsia="宋体"/>
                <w:color w:val="auto"/>
                <w:sz w:val="21"/>
                <w:szCs w:val="21"/>
                <w:highlight w:val="none"/>
              </w:rPr>
              <w:t>1（项）</w:t>
            </w:r>
          </w:p>
        </w:tc>
        <w:tc>
          <w:tcPr>
            <w:tcW w:w="2035" w:type="pct"/>
            <w:shd w:val="clear" w:color="auto" w:fill="FFFFFF" w:themeFill="background1"/>
            <w:vAlign w:val="center"/>
          </w:tcPr>
          <w:p w14:paraId="5E79DA79">
            <w:pPr>
              <w:widowControl w:val="0"/>
              <w:spacing w:after="0"/>
              <w:jc w:val="center"/>
              <w:rPr>
                <w:rFonts w:hint="eastAsia" w:ascii="宋体" w:hAnsi="Times New Roman" w:eastAsia="宋体" w:cs="Times New Roman"/>
                <w:bCs/>
                <w:color w:val="auto"/>
                <w:kern w:val="2"/>
                <w:sz w:val="21"/>
                <w:szCs w:val="21"/>
                <w:highlight w:val="none"/>
                <w:lang w:eastAsia="zh-CN"/>
              </w:rPr>
            </w:pPr>
            <w:r>
              <w:rPr>
                <w:rFonts w:hint="eastAsia" w:ascii="宋体" w:hAnsi="Times New Roman" w:eastAsia="宋体" w:cs="Times New Roman"/>
                <w:bCs/>
                <w:color w:val="auto"/>
                <w:kern w:val="2"/>
                <w:sz w:val="21"/>
                <w:szCs w:val="21"/>
                <w:highlight w:val="none"/>
              </w:rPr>
              <w:t>小写：</w:t>
            </w:r>
            <w:r>
              <w:rPr>
                <w:rFonts w:hint="eastAsia" w:ascii="宋体" w:hAnsi="Times New Roman" w:eastAsia="宋体" w:cs="Times New Roman"/>
                <w:bCs/>
                <w:color w:val="auto"/>
                <w:kern w:val="2"/>
                <w:sz w:val="21"/>
                <w:szCs w:val="21"/>
                <w:highlight w:val="none"/>
                <w:u w:val="single"/>
              </w:rPr>
              <w:t xml:space="preserve">        </w:t>
            </w:r>
            <w:r>
              <w:rPr>
                <w:rFonts w:hint="eastAsia" w:ascii="宋体" w:hAnsi="Times New Roman" w:eastAsia="宋体" w:cs="Times New Roman"/>
                <w:b/>
                <w:color w:val="auto"/>
                <w:kern w:val="2"/>
                <w:sz w:val="21"/>
                <w:szCs w:val="21"/>
                <w:highlight w:val="none"/>
              </w:rPr>
              <w:t>元/</w:t>
            </w:r>
            <w:r>
              <w:rPr>
                <w:rFonts w:hint="eastAsia" w:ascii="宋体" w:hAnsi="Times New Roman" w:eastAsia="宋体" w:cs="Times New Roman"/>
                <w:b/>
                <w:color w:val="auto"/>
                <w:kern w:val="2"/>
                <w:sz w:val="21"/>
                <w:szCs w:val="21"/>
                <w:highlight w:val="none"/>
                <w:lang w:eastAsia="zh-CN"/>
              </w:rPr>
              <w:t>kWh</w:t>
            </w:r>
          </w:p>
        </w:tc>
      </w:tr>
      <w:tr w14:paraId="21FB17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02" w:hRule="atLeast"/>
          <w:jc w:val="center"/>
        </w:trPr>
        <w:tc>
          <w:tcPr>
            <w:tcW w:w="5000" w:type="pct"/>
            <w:gridSpan w:val="3"/>
            <w:shd w:val="clear" w:color="auto" w:fill="FFFFFF" w:themeFill="background1"/>
            <w:vAlign w:val="center"/>
          </w:tcPr>
          <w:p w14:paraId="7C7E2E35">
            <w:pPr>
              <w:widowControl w:val="0"/>
              <w:spacing w:after="0"/>
              <w:jc w:val="left"/>
              <w:rPr>
                <w:rFonts w:hint="eastAsia" w:ascii="宋体" w:hAnsi="Times New Roman" w:eastAsia="宋体" w:cs="Times New Roman"/>
                <w:bCs/>
                <w:color w:val="auto"/>
                <w:kern w:val="2"/>
                <w:sz w:val="21"/>
                <w:szCs w:val="21"/>
                <w:highlight w:val="none"/>
              </w:rPr>
            </w:pPr>
            <w:r>
              <w:rPr>
                <w:rFonts w:hint="eastAsia" w:ascii="宋体" w:hAnsi="宋体" w:eastAsia="宋体" w:cs="宋体"/>
                <w:b/>
                <w:bCs/>
                <w:i w:val="0"/>
                <w:iCs w:val="0"/>
                <w:color w:val="000000"/>
                <w:sz w:val="24"/>
                <w:szCs w:val="24"/>
                <w:highlight w:val="none"/>
                <w:u w:val="none"/>
                <w:lang w:val="en-US" w:eastAsia="zh-CN"/>
              </w:rPr>
              <w:t>注：最终结算价根据中标单价乘以实际容量进行结算。</w:t>
            </w:r>
          </w:p>
        </w:tc>
      </w:tr>
    </w:tbl>
    <w:p w14:paraId="010C73B0">
      <w:pPr>
        <w:rPr>
          <w:rFonts w:ascii="宋体" w:hAnsi="宋体"/>
          <w:color w:val="auto"/>
          <w:szCs w:val="21"/>
          <w:highlight w:val="none"/>
        </w:rPr>
      </w:pPr>
    </w:p>
    <w:p w14:paraId="45A6AC1B">
      <w:pPr>
        <w:ind w:firstLine="359" w:firstLineChars="171"/>
        <w:rPr>
          <w:rFonts w:ascii="宋体" w:hAnsi="宋体"/>
          <w:color w:val="auto"/>
          <w:szCs w:val="21"/>
          <w:highlight w:val="none"/>
        </w:rPr>
      </w:pPr>
    </w:p>
    <w:p w14:paraId="4D4072BB">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14:paraId="05F5EF0A">
      <w:pPr>
        <w:ind w:firstLine="359" w:firstLineChars="171"/>
        <w:rPr>
          <w:rFonts w:ascii="宋体" w:hAnsi="宋体"/>
          <w:color w:val="auto"/>
          <w:szCs w:val="21"/>
          <w:highlight w:val="none"/>
        </w:rPr>
      </w:pPr>
      <w:r>
        <w:rPr>
          <w:rFonts w:hint="eastAsia" w:ascii="宋体" w:hAnsi="宋体"/>
          <w:color w:val="auto"/>
          <w:szCs w:val="21"/>
          <w:highlight w:val="none"/>
        </w:rPr>
        <w:t>投标人盖章：</w:t>
      </w:r>
    </w:p>
    <w:p w14:paraId="2162D018">
      <w:pPr>
        <w:ind w:firstLine="359" w:firstLineChars="171"/>
        <w:rPr>
          <w:rFonts w:ascii="宋体" w:hAnsi="宋体"/>
          <w:color w:val="auto"/>
          <w:szCs w:val="21"/>
          <w:highlight w:val="none"/>
        </w:rPr>
      </w:pPr>
      <w:r>
        <w:rPr>
          <w:rFonts w:hint="eastAsia" w:ascii="宋体" w:hAnsi="宋体"/>
          <w:color w:val="auto"/>
          <w:szCs w:val="21"/>
          <w:highlight w:val="none"/>
        </w:rPr>
        <w:t>日期：</w:t>
      </w:r>
    </w:p>
    <w:p w14:paraId="4FDE6AD4">
      <w:pPr>
        <w:ind w:firstLine="359" w:firstLineChars="171"/>
        <w:rPr>
          <w:rFonts w:ascii="宋体" w:hAnsi="宋体"/>
          <w:color w:val="auto"/>
          <w:szCs w:val="21"/>
          <w:highlight w:val="none"/>
        </w:rPr>
      </w:pPr>
    </w:p>
    <w:p w14:paraId="0CAF60A4">
      <w:pPr>
        <w:ind w:left="391" w:hanging="390" w:hangingChars="186"/>
        <w:rPr>
          <w:rFonts w:ascii="宋体" w:hAnsi="宋体"/>
          <w:color w:val="auto"/>
          <w:szCs w:val="21"/>
          <w:highlight w:val="none"/>
        </w:rPr>
      </w:pPr>
      <w:r>
        <w:rPr>
          <w:rFonts w:hint="eastAsia" w:ascii="宋体" w:hAnsi="宋体"/>
          <w:color w:val="auto"/>
          <w:szCs w:val="21"/>
          <w:highlight w:val="none"/>
        </w:rPr>
        <w:t xml:space="preserve">    注：</w:t>
      </w:r>
    </w:p>
    <w:p w14:paraId="49FF508E">
      <w:pPr>
        <w:ind w:firstLine="420" w:firstLineChars="200"/>
        <w:rPr>
          <w:rFonts w:ascii="宋体" w:hAnsi="宋体"/>
          <w:color w:val="auto"/>
          <w:szCs w:val="21"/>
          <w:highlight w:val="none"/>
        </w:rPr>
      </w:pPr>
      <w:r>
        <w:rPr>
          <w:rFonts w:hint="eastAsia" w:ascii="宋体" w:hAnsi="宋体"/>
          <w:color w:val="auto"/>
          <w:szCs w:val="21"/>
          <w:highlight w:val="none"/>
        </w:rPr>
        <w:t>1、投标</w:t>
      </w:r>
      <w:r>
        <w:rPr>
          <w:rFonts w:hint="eastAsia" w:ascii="宋体" w:hAnsi="宋体"/>
          <w:color w:val="auto"/>
          <w:szCs w:val="21"/>
          <w:highlight w:val="none"/>
          <w:lang w:eastAsia="zh-CN"/>
        </w:rPr>
        <w:t>报价</w:t>
      </w:r>
      <w:r>
        <w:rPr>
          <w:rFonts w:hint="eastAsia" w:ascii="宋体" w:hAnsi="宋体"/>
          <w:color w:val="auto"/>
          <w:szCs w:val="21"/>
          <w:highlight w:val="none"/>
        </w:rPr>
        <w:t>保留小数点后两位。投标</w:t>
      </w:r>
      <w:r>
        <w:rPr>
          <w:rFonts w:hint="eastAsia" w:ascii="宋体" w:hAnsi="宋体"/>
          <w:color w:val="auto"/>
          <w:szCs w:val="21"/>
          <w:highlight w:val="none"/>
          <w:lang w:eastAsia="zh-CN"/>
        </w:rPr>
        <w:t>报价</w:t>
      </w:r>
      <w:r>
        <w:rPr>
          <w:rFonts w:hint="eastAsia" w:ascii="宋体" w:hAnsi="宋体"/>
          <w:color w:val="auto"/>
          <w:szCs w:val="21"/>
          <w:highlight w:val="none"/>
        </w:rPr>
        <w:t>必须准确唯一且应包含采购文件要求的所有费用。</w:t>
      </w:r>
    </w:p>
    <w:p w14:paraId="5217B34E">
      <w:pPr>
        <w:ind w:firstLine="420" w:firstLineChars="200"/>
        <w:rPr>
          <w:rFonts w:ascii="宋体" w:hAnsi="宋体"/>
          <w:color w:val="auto"/>
          <w:szCs w:val="21"/>
          <w:highlight w:val="none"/>
        </w:rPr>
      </w:pPr>
      <w:r>
        <w:rPr>
          <w:rFonts w:hint="eastAsia" w:ascii="宋体" w:hAnsi="宋体"/>
          <w:color w:val="auto"/>
          <w:szCs w:val="21"/>
          <w:highlight w:val="none"/>
        </w:rPr>
        <w:t>2、温馨提示：未按采购文件要求报价、填写开标一览表是导致投标人废标的常见问题，请投标人仔细填写，认真核对。</w:t>
      </w:r>
    </w:p>
    <w:bookmarkEnd w:id="140"/>
    <w:p w14:paraId="11F7EAC1">
      <w:pPr>
        <w:rPr>
          <w:color w:val="auto"/>
          <w:sz w:val="52"/>
          <w:szCs w:val="52"/>
          <w:highlight w:val="none"/>
        </w:rPr>
      </w:pPr>
      <w:r>
        <w:rPr>
          <w:color w:val="auto"/>
          <w:sz w:val="52"/>
          <w:szCs w:val="52"/>
          <w:highlight w:val="none"/>
        </w:rPr>
        <w:br w:type="page"/>
      </w:r>
    </w:p>
    <w:p w14:paraId="53D02809">
      <w:pPr>
        <w:pStyle w:val="40"/>
        <w:spacing w:before="180"/>
        <w:ind w:firstLine="480"/>
        <w:rPr>
          <w:color w:val="auto"/>
          <w:highlight w:val="none"/>
        </w:rPr>
      </w:pPr>
    </w:p>
    <w:p w14:paraId="2B76843C">
      <w:pPr>
        <w:pStyle w:val="6"/>
        <w:spacing w:before="0" w:after="0" w:line="360" w:lineRule="auto"/>
        <w:jc w:val="center"/>
        <w:rPr>
          <w:color w:val="auto"/>
          <w:sz w:val="72"/>
          <w:szCs w:val="72"/>
          <w:highlight w:val="none"/>
        </w:rPr>
      </w:pPr>
      <w:bookmarkStart w:id="141" w:name="_Toc182308032"/>
      <w:r>
        <w:rPr>
          <w:rFonts w:hint="eastAsia"/>
          <w:color w:val="auto"/>
          <w:sz w:val="72"/>
          <w:szCs w:val="72"/>
          <w:highlight w:val="none"/>
        </w:rPr>
        <w:t>商务文件</w:t>
      </w:r>
      <w:bookmarkEnd w:id="141"/>
    </w:p>
    <w:p w14:paraId="5FC7E651">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62867B04">
      <w:pPr>
        <w:rPr>
          <w:color w:val="auto"/>
          <w:highlight w:val="none"/>
        </w:rPr>
      </w:pPr>
    </w:p>
    <w:p w14:paraId="1FC9674D">
      <w:pPr>
        <w:pStyle w:val="13"/>
        <w:rPr>
          <w:rFonts w:hint="eastAsia"/>
          <w:color w:val="auto"/>
          <w:highlight w:val="none"/>
        </w:rPr>
      </w:pPr>
    </w:p>
    <w:p w14:paraId="4E527CE7">
      <w:pPr>
        <w:ind w:firstLine="240"/>
        <w:rPr>
          <w:color w:val="auto"/>
          <w:highlight w:val="none"/>
        </w:rPr>
      </w:pPr>
    </w:p>
    <w:p w14:paraId="6E4163FA">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4"/>
        </w:rPr>
        <w:t>项目名</w:t>
      </w:r>
      <w:r>
        <w:rPr>
          <w:rFonts w:hint="eastAsia" w:ascii="宋体" w:hAnsi="宋体" w:cs="宋体"/>
          <w:b/>
          <w:bCs/>
          <w:color w:val="auto"/>
          <w:spacing w:val="1"/>
          <w:w w:val="100"/>
          <w:kern w:val="0"/>
          <w:sz w:val="32"/>
          <w:szCs w:val="32"/>
          <w:highlight w:val="none"/>
          <w:fitText w:val="1600" w:id="4"/>
        </w:rPr>
        <w:t>称</w:t>
      </w:r>
      <w:r>
        <w:rPr>
          <w:rFonts w:hint="eastAsia" w:ascii="宋体" w:hAnsi="宋体" w:cs="宋体"/>
          <w:b/>
          <w:bCs/>
          <w:color w:val="auto"/>
          <w:spacing w:val="-6"/>
          <w:sz w:val="32"/>
          <w:szCs w:val="32"/>
          <w:highlight w:val="none"/>
        </w:rPr>
        <w:t>：</w:t>
      </w:r>
    </w:p>
    <w:p w14:paraId="74472A97">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5"/>
        </w:rPr>
        <w:t>项目编</w:t>
      </w:r>
      <w:r>
        <w:rPr>
          <w:rFonts w:hint="eastAsia" w:ascii="宋体" w:hAnsi="宋体" w:cs="宋体"/>
          <w:b/>
          <w:bCs/>
          <w:color w:val="auto"/>
          <w:spacing w:val="1"/>
          <w:w w:val="100"/>
          <w:kern w:val="0"/>
          <w:sz w:val="32"/>
          <w:szCs w:val="32"/>
          <w:highlight w:val="none"/>
          <w:fitText w:val="1600" w:id="5"/>
        </w:rPr>
        <w:t>号</w:t>
      </w:r>
      <w:r>
        <w:rPr>
          <w:rFonts w:hint="eastAsia" w:ascii="宋体" w:hAnsi="宋体" w:cs="宋体"/>
          <w:b/>
          <w:bCs/>
          <w:color w:val="auto"/>
          <w:sz w:val="32"/>
          <w:szCs w:val="32"/>
          <w:highlight w:val="none"/>
        </w:rPr>
        <w:t>：</w:t>
      </w:r>
    </w:p>
    <w:p w14:paraId="7E2C33EC">
      <w:pPr>
        <w:pStyle w:val="13"/>
        <w:ind w:left="0"/>
        <w:rPr>
          <w:rFonts w:hint="eastAsia"/>
          <w:b/>
          <w:color w:val="auto"/>
          <w:spacing w:val="1280"/>
          <w:sz w:val="32"/>
          <w:szCs w:val="32"/>
          <w:highlight w:val="none"/>
        </w:rPr>
      </w:pPr>
      <w:r>
        <w:rPr>
          <w:b/>
          <w:color w:val="auto"/>
          <w:spacing w:val="106"/>
          <w:sz w:val="32"/>
          <w:szCs w:val="32"/>
          <w:highlight w:val="none"/>
          <w:lang w:val="en-US" w:bidi="ar-SA"/>
        </w:rPr>
        <w:t>包组号（如有）：</w:t>
      </w:r>
    </w:p>
    <w:p w14:paraId="5FF6154D">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6"/>
        </w:rPr>
        <w:t>投标人名称</w:t>
      </w:r>
      <w:r>
        <w:rPr>
          <w:rFonts w:hint="eastAsia" w:ascii="宋体" w:hAnsi="宋体" w:cs="宋体"/>
          <w:b/>
          <w:color w:val="auto"/>
          <w:sz w:val="32"/>
          <w:szCs w:val="32"/>
          <w:highlight w:val="none"/>
        </w:rPr>
        <w:t>：</w:t>
      </w:r>
    </w:p>
    <w:p w14:paraId="6B37916E">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7"/>
        </w:rPr>
        <w:t xml:space="preserve">日    </w:t>
      </w:r>
      <w:r>
        <w:rPr>
          <w:rFonts w:hint="eastAsia" w:ascii="宋体" w:hAnsi="宋体" w:cs="宋体"/>
          <w:b/>
          <w:color w:val="auto"/>
          <w:spacing w:val="0"/>
          <w:w w:val="100"/>
          <w:kern w:val="0"/>
          <w:sz w:val="32"/>
          <w:szCs w:val="32"/>
          <w:highlight w:val="none"/>
          <w:fitText w:val="1600" w:id="7"/>
        </w:rPr>
        <w:t>期</w:t>
      </w:r>
      <w:r>
        <w:rPr>
          <w:rFonts w:hint="eastAsia" w:ascii="宋体" w:hAnsi="宋体" w:cs="宋体"/>
          <w:b/>
          <w:color w:val="auto"/>
          <w:sz w:val="32"/>
          <w:szCs w:val="32"/>
          <w:highlight w:val="none"/>
        </w:rPr>
        <w:t>：  年  月  日</w:t>
      </w:r>
    </w:p>
    <w:p w14:paraId="0AA51234">
      <w:pPr>
        <w:pStyle w:val="13"/>
        <w:rPr>
          <w:rFonts w:hint="eastAsia"/>
          <w:b/>
          <w:color w:val="auto"/>
          <w:sz w:val="32"/>
          <w:szCs w:val="32"/>
          <w:highlight w:val="none"/>
        </w:rPr>
      </w:pPr>
    </w:p>
    <w:p w14:paraId="50B2BDA0">
      <w:pPr>
        <w:rPr>
          <w:color w:val="auto"/>
          <w:highlight w:val="none"/>
        </w:rPr>
      </w:pPr>
    </w:p>
    <w:p w14:paraId="78299F54">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517AA50D">
      <w:pPr>
        <w:pStyle w:val="8"/>
        <w:widowControl w:val="0"/>
        <w:overflowPunct w:val="0"/>
        <w:spacing w:line="240" w:lineRule="auto"/>
        <w:rPr>
          <w:rFonts w:hint="eastAsia" w:ascii="宋体" w:hAnsi="宋体"/>
          <w:color w:val="auto"/>
          <w:sz w:val="21"/>
          <w:szCs w:val="21"/>
          <w:highlight w:val="none"/>
        </w:rPr>
      </w:pPr>
      <w:bookmarkStart w:id="142" w:name="_Toc182308033"/>
      <w:r>
        <w:rPr>
          <w:rFonts w:hint="eastAsia" w:ascii="宋体" w:hAnsi="宋体"/>
          <w:color w:val="auto"/>
          <w:sz w:val="21"/>
          <w:szCs w:val="21"/>
          <w:highlight w:val="none"/>
        </w:rPr>
        <w:t>附件1：商务评审评分标准索引表</w:t>
      </w:r>
      <w:bookmarkEnd w:id="142"/>
    </w:p>
    <w:p w14:paraId="2E05EA4C">
      <w:pPr>
        <w:rPr>
          <w:color w:val="auto"/>
          <w:highlight w:val="none"/>
        </w:rPr>
      </w:pPr>
    </w:p>
    <w:p w14:paraId="275B0683">
      <w:pPr>
        <w:rPr>
          <w:color w:val="auto"/>
          <w:highlight w:val="none"/>
        </w:rPr>
      </w:pPr>
    </w:p>
    <w:p w14:paraId="1F26C801">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评分标准索引表</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3F9F6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2A8AD420">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序号</w:t>
            </w:r>
          </w:p>
        </w:tc>
        <w:tc>
          <w:tcPr>
            <w:tcW w:w="1704" w:type="dxa"/>
            <w:vAlign w:val="center"/>
          </w:tcPr>
          <w:p w14:paraId="6AB5C4D9">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评审项目</w:t>
            </w:r>
          </w:p>
        </w:tc>
        <w:tc>
          <w:tcPr>
            <w:tcW w:w="1704" w:type="dxa"/>
            <w:vAlign w:val="center"/>
          </w:tcPr>
          <w:p w14:paraId="45059AC5">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评审细则</w:t>
            </w:r>
          </w:p>
        </w:tc>
        <w:tc>
          <w:tcPr>
            <w:tcW w:w="1705" w:type="dxa"/>
            <w:vAlign w:val="center"/>
          </w:tcPr>
          <w:p w14:paraId="2F802CEE">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分值</w:t>
            </w:r>
          </w:p>
        </w:tc>
        <w:tc>
          <w:tcPr>
            <w:tcW w:w="1705" w:type="dxa"/>
            <w:vAlign w:val="center"/>
          </w:tcPr>
          <w:p w14:paraId="202B65FB">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页码范围</w:t>
            </w:r>
          </w:p>
        </w:tc>
      </w:tr>
      <w:tr w14:paraId="7DB86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0F7C5B12">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商务评审</w:t>
            </w:r>
          </w:p>
        </w:tc>
      </w:tr>
      <w:tr w14:paraId="48D98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0C1E73E">
            <w:pPr>
              <w:jc w:val="center"/>
              <w:rPr>
                <w:rFonts w:ascii="Times New Roman" w:hAnsi="Times New Roman" w:cs="Times New Roman"/>
                <w:color w:val="auto"/>
                <w:sz w:val="24"/>
                <w:szCs w:val="24"/>
                <w:highlight w:val="none"/>
              </w:rPr>
            </w:pPr>
          </w:p>
        </w:tc>
        <w:tc>
          <w:tcPr>
            <w:tcW w:w="1704" w:type="dxa"/>
            <w:vAlign w:val="center"/>
          </w:tcPr>
          <w:p w14:paraId="49F952AF">
            <w:pPr>
              <w:jc w:val="center"/>
              <w:rPr>
                <w:rFonts w:ascii="Times New Roman" w:hAnsi="Times New Roman" w:cs="Times New Roman"/>
                <w:color w:val="auto"/>
                <w:sz w:val="24"/>
                <w:szCs w:val="24"/>
                <w:highlight w:val="none"/>
              </w:rPr>
            </w:pPr>
          </w:p>
        </w:tc>
        <w:tc>
          <w:tcPr>
            <w:tcW w:w="1704" w:type="dxa"/>
            <w:vAlign w:val="center"/>
          </w:tcPr>
          <w:p w14:paraId="051CE6B6">
            <w:pPr>
              <w:jc w:val="center"/>
              <w:rPr>
                <w:rFonts w:ascii="Times New Roman" w:hAnsi="Times New Roman" w:cs="Times New Roman"/>
                <w:color w:val="auto"/>
                <w:sz w:val="24"/>
                <w:szCs w:val="24"/>
                <w:highlight w:val="none"/>
              </w:rPr>
            </w:pPr>
          </w:p>
        </w:tc>
        <w:tc>
          <w:tcPr>
            <w:tcW w:w="1705" w:type="dxa"/>
            <w:vAlign w:val="center"/>
          </w:tcPr>
          <w:p w14:paraId="594AF355">
            <w:pPr>
              <w:jc w:val="center"/>
              <w:rPr>
                <w:rFonts w:ascii="Times New Roman" w:hAnsi="Times New Roman" w:cs="Times New Roman"/>
                <w:color w:val="auto"/>
                <w:sz w:val="24"/>
                <w:szCs w:val="24"/>
                <w:highlight w:val="none"/>
              </w:rPr>
            </w:pPr>
          </w:p>
        </w:tc>
        <w:tc>
          <w:tcPr>
            <w:tcW w:w="1705" w:type="dxa"/>
            <w:vAlign w:val="center"/>
          </w:tcPr>
          <w:p w14:paraId="52051DFE">
            <w:pPr>
              <w:jc w:val="center"/>
              <w:rPr>
                <w:rFonts w:ascii="Times New Roman" w:hAnsi="Times New Roman" w:cs="Times New Roman"/>
                <w:color w:val="auto"/>
                <w:sz w:val="24"/>
                <w:szCs w:val="24"/>
                <w:highlight w:val="none"/>
              </w:rPr>
            </w:pPr>
          </w:p>
        </w:tc>
      </w:tr>
      <w:tr w14:paraId="07C5E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33256E0">
            <w:pPr>
              <w:jc w:val="center"/>
              <w:rPr>
                <w:rFonts w:ascii="Times New Roman" w:hAnsi="Times New Roman" w:cs="Times New Roman"/>
                <w:color w:val="auto"/>
                <w:sz w:val="24"/>
                <w:szCs w:val="24"/>
                <w:highlight w:val="none"/>
              </w:rPr>
            </w:pPr>
          </w:p>
        </w:tc>
        <w:tc>
          <w:tcPr>
            <w:tcW w:w="1704" w:type="dxa"/>
            <w:vAlign w:val="center"/>
          </w:tcPr>
          <w:p w14:paraId="3F2200A5">
            <w:pPr>
              <w:jc w:val="center"/>
              <w:rPr>
                <w:rFonts w:ascii="Times New Roman" w:hAnsi="Times New Roman" w:cs="Times New Roman"/>
                <w:color w:val="auto"/>
                <w:sz w:val="24"/>
                <w:szCs w:val="24"/>
                <w:highlight w:val="none"/>
              </w:rPr>
            </w:pPr>
          </w:p>
        </w:tc>
        <w:tc>
          <w:tcPr>
            <w:tcW w:w="1704" w:type="dxa"/>
            <w:vAlign w:val="center"/>
          </w:tcPr>
          <w:p w14:paraId="066C33FD">
            <w:pPr>
              <w:jc w:val="center"/>
              <w:rPr>
                <w:rFonts w:ascii="Times New Roman" w:hAnsi="Times New Roman" w:cs="Times New Roman"/>
                <w:color w:val="auto"/>
                <w:sz w:val="24"/>
                <w:szCs w:val="24"/>
                <w:highlight w:val="none"/>
              </w:rPr>
            </w:pPr>
          </w:p>
        </w:tc>
        <w:tc>
          <w:tcPr>
            <w:tcW w:w="1705" w:type="dxa"/>
            <w:vAlign w:val="center"/>
          </w:tcPr>
          <w:p w14:paraId="0EA26CFB">
            <w:pPr>
              <w:jc w:val="center"/>
              <w:rPr>
                <w:rFonts w:ascii="Times New Roman" w:hAnsi="Times New Roman" w:cs="Times New Roman"/>
                <w:color w:val="auto"/>
                <w:sz w:val="24"/>
                <w:szCs w:val="24"/>
                <w:highlight w:val="none"/>
              </w:rPr>
            </w:pPr>
          </w:p>
        </w:tc>
        <w:tc>
          <w:tcPr>
            <w:tcW w:w="1705" w:type="dxa"/>
            <w:vAlign w:val="center"/>
          </w:tcPr>
          <w:p w14:paraId="629317A5">
            <w:pPr>
              <w:jc w:val="center"/>
              <w:rPr>
                <w:rFonts w:ascii="Times New Roman" w:hAnsi="Times New Roman" w:cs="Times New Roman"/>
                <w:color w:val="auto"/>
                <w:sz w:val="24"/>
                <w:szCs w:val="24"/>
                <w:highlight w:val="none"/>
              </w:rPr>
            </w:pPr>
          </w:p>
        </w:tc>
      </w:tr>
      <w:tr w14:paraId="2F6E3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B6C6B64">
            <w:pPr>
              <w:jc w:val="center"/>
              <w:rPr>
                <w:rFonts w:ascii="Times New Roman" w:hAnsi="Times New Roman" w:cs="Times New Roman"/>
                <w:color w:val="auto"/>
                <w:sz w:val="24"/>
                <w:szCs w:val="24"/>
                <w:highlight w:val="none"/>
              </w:rPr>
            </w:pPr>
          </w:p>
        </w:tc>
        <w:tc>
          <w:tcPr>
            <w:tcW w:w="1704" w:type="dxa"/>
            <w:vAlign w:val="center"/>
          </w:tcPr>
          <w:p w14:paraId="2723C87B">
            <w:pPr>
              <w:jc w:val="center"/>
              <w:rPr>
                <w:rFonts w:ascii="Times New Roman" w:hAnsi="Times New Roman" w:cs="Times New Roman"/>
                <w:color w:val="auto"/>
                <w:sz w:val="24"/>
                <w:szCs w:val="24"/>
                <w:highlight w:val="none"/>
              </w:rPr>
            </w:pPr>
          </w:p>
        </w:tc>
        <w:tc>
          <w:tcPr>
            <w:tcW w:w="1704" w:type="dxa"/>
            <w:vAlign w:val="center"/>
          </w:tcPr>
          <w:p w14:paraId="17D09896">
            <w:pPr>
              <w:jc w:val="center"/>
              <w:rPr>
                <w:rFonts w:ascii="Times New Roman" w:hAnsi="Times New Roman" w:cs="Times New Roman"/>
                <w:color w:val="auto"/>
                <w:sz w:val="24"/>
                <w:szCs w:val="24"/>
                <w:highlight w:val="none"/>
              </w:rPr>
            </w:pPr>
          </w:p>
        </w:tc>
        <w:tc>
          <w:tcPr>
            <w:tcW w:w="1705" w:type="dxa"/>
            <w:vAlign w:val="center"/>
          </w:tcPr>
          <w:p w14:paraId="6D65490D">
            <w:pPr>
              <w:jc w:val="center"/>
              <w:rPr>
                <w:rFonts w:ascii="Times New Roman" w:hAnsi="Times New Roman" w:cs="Times New Roman"/>
                <w:color w:val="auto"/>
                <w:sz w:val="24"/>
                <w:szCs w:val="24"/>
                <w:highlight w:val="none"/>
              </w:rPr>
            </w:pPr>
          </w:p>
        </w:tc>
        <w:tc>
          <w:tcPr>
            <w:tcW w:w="1705" w:type="dxa"/>
            <w:vAlign w:val="center"/>
          </w:tcPr>
          <w:p w14:paraId="1EB040EE">
            <w:pPr>
              <w:jc w:val="center"/>
              <w:rPr>
                <w:rFonts w:ascii="Times New Roman" w:hAnsi="Times New Roman" w:cs="Times New Roman"/>
                <w:color w:val="auto"/>
                <w:sz w:val="24"/>
                <w:szCs w:val="24"/>
                <w:highlight w:val="none"/>
              </w:rPr>
            </w:pPr>
          </w:p>
        </w:tc>
      </w:tr>
    </w:tbl>
    <w:p w14:paraId="03948F8D">
      <w:pPr>
        <w:adjustRightInd/>
        <w:snapToGrid/>
        <w:spacing w:line="240" w:lineRule="auto"/>
        <w:rPr>
          <w:rFonts w:hint="eastAsia" w:ascii="宋体" w:hAnsi="宋体"/>
          <w:color w:val="auto"/>
          <w:szCs w:val="21"/>
          <w:highlight w:val="none"/>
        </w:rPr>
      </w:pPr>
    </w:p>
    <w:p w14:paraId="3463E488">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13E6094D">
      <w:pPr>
        <w:pStyle w:val="8"/>
        <w:widowControl w:val="0"/>
        <w:overflowPunct w:val="0"/>
        <w:spacing w:line="240" w:lineRule="auto"/>
        <w:rPr>
          <w:rFonts w:hint="eastAsia" w:ascii="宋体" w:hAnsi="宋体"/>
          <w:color w:val="auto"/>
          <w:sz w:val="21"/>
          <w:szCs w:val="21"/>
          <w:highlight w:val="none"/>
        </w:rPr>
      </w:pPr>
      <w:bookmarkStart w:id="143" w:name="_Toc182308034"/>
      <w:r>
        <w:rPr>
          <w:rFonts w:hint="eastAsia" w:ascii="宋体" w:hAnsi="宋体"/>
          <w:color w:val="auto"/>
          <w:sz w:val="21"/>
          <w:szCs w:val="21"/>
          <w:highlight w:val="none"/>
        </w:rPr>
        <w:t>附件2.投标书格式</w:t>
      </w:r>
      <w:bookmarkEnd w:id="143"/>
    </w:p>
    <w:p w14:paraId="70AC1BF7">
      <w:pPr>
        <w:jc w:val="center"/>
        <w:rPr>
          <w:rFonts w:hint="eastAsia" w:ascii="宋体" w:hAnsi="宋体"/>
          <w:color w:val="auto"/>
          <w:szCs w:val="21"/>
          <w:highlight w:val="none"/>
        </w:rPr>
      </w:pPr>
      <w:r>
        <w:rPr>
          <w:rFonts w:hint="eastAsia" w:ascii="黑体" w:eastAsia="黑体"/>
          <w:color w:val="auto"/>
          <w:sz w:val="32"/>
          <w:szCs w:val="32"/>
          <w:highlight w:val="none"/>
        </w:rPr>
        <w:t>投标书</w:t>
      </w:r>
    </w:p>
    <w:p w14:paraId="0977FA1C">
      <w:pPr>
        <w:rPr>
          <w:rFonts w:hint="eastAsia"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广州宏达工程顾问集团有限公司</w:t>
      </w:r>
      <w:r>
        <w:rPr>
          <w:rFonts w:hint="eastAsia" w:ascii="宋体" w:hAnsi="宋体"/>
          <w:color w:val="auto"/>
          <w:szCs w:val="21"/>
          <w:highlight w:val="none"/>
        </w:rPr>
        <w:t>：</w:t>
      </w:r>
    </w:p>
    <w:p w14:paraId="5C0B41DC">
      <w:pPr>
        <w:rPr>
          <w:rFonts w:hint="eastAsia" w:ascii="宋体" w:hAnsi="宋体"/>
          <w:color w:val="auto"/>
          <w:szCs w:val="21"/>
          <w:highlight w:val="none"/>
        </w:rPr>
      </w:pPr>
    </w:p>
    <w:p w14:paraId="6AF2D375">
      <w:pPr>
        <w:ind w:firstLine="420" w:firstLineChars="200"/>
        <w:rPr>
          <w:rFonts w:hint="eastAsia"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0A6FB8CC">
      <w:pPr>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在此，签字代表宣布同意如下： </w:t>
      </w:r>
    </w:p>
    <w:p w14:paraId="018B6878">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14:paraId="62625CD3">
      <w:pPr>
        <w:widowControl w:val="0"/>
        <w:numPr>
          <w:ilvl w:val="0"/>
          <w:numId w:val="8"/>
        </w:numPr>
        <w:adjustRightInd/>
        <w:snapToGrid/>
        <w:jc w:val="both"/>
        <w:rPr>
          <w:rFonts w:hint="eastAsia"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17A181DB">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14:paraId="2F763653">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4D1BA56C">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14:paraId="04E68ED4">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5EA3657B">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12C56AB5">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与本投标有关的一切正式信函请寄：</w:t>
      </w:r>
    </w:p>
    <w:p w14:paraId="1E2E721C">
      <w:pPr>
        <w:rPr>
          <w:rFonts w:hint="eastAsia" w:ascii="宋体" w:hAnsi="宋体"/>
          <w:color w:val="auto"/>
          <w:szCs w:val="21"/>
          <w:highlight w:val="none"/>
        </w:rPr>
      </w:pPr>
      <w:r>
        <w:rPr>
          <w:rFonts w:hint="eastAsia" w:ascii="宋体" w:hAnsi="宋体"/>
          <w:color w:val="auto"/>
          <w:szCs w:val="21"/>
          <w:highlight w:val="none"/>
        </w:rPr>
        <w:t>地址：　　　　　　　　　　　　　　　电子邮箱：　　　　</w:t>
      </w:r>
    </w:p>
    <w:p w14:paraId="0F0340AB">
      <w:pPr>
        <w:rPr>
          <w:rFonts w:hint="eastAsia" w:ascii="宋体" w:hAnsi="宋体"/>
          <w:color w:val="auto"/>
          <w:szCs w:val="21"/>
          <w:highlight w:val="none"/>
        </w:rPr>
      </w:pPr>
      <w:r>
        <w:rPr>
          <w:rFonts w:hint="eastAsia" w:ascii="宋体" w:hAnsi="宋体"/>
          <w:color w:val="auto"/>
          <w:szCs w:val="21"/>
          <w:highlight w:val="none"/>
        </w:rPr>
        <w:t>电话/移动电话：</w:t>
      </w:r>
    </w:p>
    <w:p w14:paraId="6C0CE2BE">
      <w:pPr>
        <w:rPr>
          <w:rFonts w:hint="eastAsia" w:ascii="宋体" w:hAnsi="宋体"/>
          <w:color w:val="auto"/>
          <w:szCs w:val="21"/>
          <w:highlight w:val="none"/>
        </w:rPr>
      </w:pPr>
      <w:r>
        <w:rPr>
          <w:rFonts w:hint="eastAsia" w:ascii="宋体" w:hAnsi="宋体"/>
          <w:color w:val="auto"/>
          <w:szCs w:val="21"/>
          <w:highlight w:val="none"/>
        </w:rPr>
        <w:t xml:space="preserve">投标人法定代表人（或其授权代表）签字：                  </w:t>
      </w:r>
    </w:p>
    <w:p w14:paraId="3C630B7B">
      <w:pPr>
        <w:rPr>
          <w:rFonts w:hint="eastAsia" w:ascii="宋体" w:hAnsi="宋体"/>
          <w:color w:val="auto"/>
          <w:szCs w:val="21"/>
          <w:highlight w:val="none"/>
        </w:rPr>
      </w:pPr>
      <w:r>
        <w:rPr>
          <w:rFonts w:hint="eastAsia" w:ascii="宋体" w:hAnsi="宋体"/>
          <w:color w:val="auto"/>
          <w:szCs w:val="21"/>
          <w:highlight w:val="none"/>
        </w:rPr>
        <w:t xml:space="preserve">投标人名称（全称）： </w:t>
      </w:r>
    </w:p>
    <w:p w14:paraId="131431C5">
      <w:pPr>
        <w:rPr>
          <w:rFonts w:hint="eastAsia" w:ascii="宋体" w:hAnsi="宋体"/>
          <w:color w:val="auto"/>
          <w:szCs w:val="21"/>
          <w:highlight w:val="none"/>
        </w:rPr>
      </w:pPr>
      <w:r>
        <w:rPr>
          <w:rFonts w:hint="eastAsia" w:ascii="宋体" w:hAnsi="宋体"/>
          <w:color w:val="auto"/>
          <w:szCs w:val="21"/>
          <w:highlight w:val="none"/>
        </w:rPr>
        <w:t xml:space="preserve">投标人盖章： </w:t>
      </w:r>
    </w:p>
    <w:p w14:paraId="053E86C6">
      <w:pPr>
        <w:rPr>
          <w:rFonts w:ascii="宋体"/>
          <w:color w:val="auto"/>
          <w:szCs w:val="21"/>
          <w:highlight w:val="none"/>
        </w:rPr>
      </w:pPr>
      <w:r>
        <w:rPr>
          <w:rFonts w:hint="eastAsia" w:ascii="宋体" w:hAnsi="宋体"/>
          <w:color w:val="auto"/>
          <w:szCs w:val="21"/>
          <w:highlight w:val="none"/>
        </w:rPr>
        <w:t>日期：</w:t>
      </w:r>
      <w:r>
        <w:rPr>
          <w:rFonts w:hint="eastAsia" w:ascii="宋体"/>
          <w:color w:val="auto"/>
          <w:szCs w:val="21"/>
          <w:highlight w:val="none"/>
        </w:rPr>
        <w:t xml:space="preserve">  年  月  日</w:t>
      </w:r>
    </w:p>
    <w:p w14:paraId="14890E32">
      <w:pPr>
        <w:rPr>
          <w:color w:val="auto"/>
          <w:highlight w:val="none"/>
        </w:rPr>
      </w:pPr>
      <w:r>
        <w:rPr>
          <w:color w:val="auto"/>
          <w:highlight w:val="none"/>
        </w:rPr>
        <w:br w:type="page"/>
      </w:r>
    </w:p>
    <w:p w14:paraId="0ED8AEE7">
      <w:pPr>
        <w:pStyle w:val="8"/>
        <w:widowControl w:val="0"/>
        <w:overflowPunct w:val="0"/>
        <w:spacing w:line="240" w:lineRule="auto"/>
        <w:rPr>
          <w:rFonts w:hint="eastAsia" w:ascii="宋体" w:hAnsi="宋体"/>
          <w:color w:val="auto"/>
          <w:sz w:val="21"/>
          <w:szCs w:val="21"/>
          <w:highlight w:val="none"/>
        </w:rPr>
      </w:pPr>
      <w:bookmarkStart w:id="144" w:name="_Toc182308035"/>
      <w:r>
        <w:rPr>
          <w:rFonts w:hint="eastAsia" w:ascii="宋体" w:hAnsi="宋体"/>
          <w:color w:val="auto"/>
          <w:sz w:val="21"/>
          <w:szCs w:val="21"/>
          <w:highlight w:val="none"/>
        </w:rPr>
        <w:t>附件3. 法定代表人证明书格式</w:t>
      </w:r>
      <w:bookmarkEnd w:id="144"/>
    </w:p>
    <w:p w14:paraId="505E03F9">
      <w:pPr>
        <w:rPr>
          <w:color w:val="auto"/>
          <w:highlight w:val="none"/>
        </w:rPr>
      </w:pPr>
    </w:p>
    <w:p w14:paraId="1DBF332E">
      <w:pP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7984EB69">
      <w:pPr>
        <w:pStyle w:val="48"/>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广州宏达工程顾问集团有限公司</w:t>
      </w:r>
    </w:p>
    <w:p w14:paraId="2766C1E0">
      <w:pPr>
        <w:pStyle w:val="48"/>
        <w:spacing w:line="420" w:lineRule="atLeast"/>
        <w:ind w:firstLine="433"/>
        <w:rPr>
          <w:rFonts w:hint="eastAsia" w:ascii="宋体" w:eastAsia="宋体"/>
          <w:color w:val="auto"/>
          <w:sz w:val="21"/>
          <w:szCs w:val="21"/>
          <w:highlight w:val="none"/>
        </w:rPr>
      </w:pPr>
    </w:p>
    <w:p w14:paraId="44C44FE5">
      <w:pPr>
        <w:pStyle w:val="48"/>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投标人名称：</w:t>
      </w:r>
    </w:p>
    <w:p w14:paraId="7D084E88">
      <w:pPr>
        <w:pStyle w:val="48"/>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单 位 性质：</w:t>
      </w:r>
    </w:p>
    <w:p w14:paraId="0683129E">
      <w:pPr>
        <w:pStyle w:val="48"/>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地      址：</w:t>
      </w:r>
    </w:p>
    <w:p w14:paraId="0A5B1B38">
      <w:pPr>
        <w:pStyle w:val="48"/>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成 立 时间：  年  月  日</w:t>
      </w:r>
    </w:p>
    <w:p w14:paraId="3AEBAA16">
      <w:pPr>
        <w:pStyle w:val="48"/>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经 营 期限：</w:t>
      </w:r>
    </w:p>
    <w:p w14:paraId="00BA0E86">
      <w:pPr>
        <w:pStyle w:val="48"/>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姓名：    性别：    年龄：    职务：</w:t>
      </w:r>
    </w:p>
    <w:p w14:paraId="3647C4F8">
      <w:pPr>
        <w:pStyle w:val="48"/>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系</w:t>
      </w:r>
      <w:r>
        <w:rPr>
          <w:rFonts w:hint="eastAsia" w:ascii="宋体" w:eastAsia="宋体"/>
          <w:color w:val="auto"/>
          <w:sz w:val="21"/>
          <w:szCs w:val="21"/>
          <w:highlight w:val="none"/>
          <w:u w:val="single"/>
        </w:rPr>
        <w:t>（投标人名称）</w:t>
      </w:r>
      <w:r>
        <w:rPr>
          <w:rFonts w:hint="eastAsia" w:ascii="宋体" w:eastAsia="宋体"/>
          <w:color w:val="auto"/>
          <w:sz w:val="21"/>
          <w:szCs w:val="21"/>
          <w:highlight w:val="none"/>
        </w:rPr>
        <w:t>的法定代表人。</w:t>
      </w:r>
    </w:p>
    <w:p w14:paraId="32DD31C5">
      <w:pPr>
        <w:spacing w:line="420" w:lineRule="atLeast"/>
        <w:ind w:firstLine="420" w:firstLineChars="200"/>
        <w:rPr>
          <w:rFonts w:hint="eastAsia" w:ascii="宋体" w:hAnsi="宋体"/>
          <w:color w:val="auto"/>
          <w:szCs w:val="21"/>
          <w:highlight w:val="none"/>
        </w:rPr>
      </w:pPr>
      <w:r>
        <w:rPr>
          <w:rFonts w:hint="eastAsia" w:ascii="宋体" w:hAnsi="宋体"/>
          <w:color w:val="auto"/>
          <w:szCs w:val="21"/>
          <w:highlight w:val="none"/>
        </w:rPr>
        <w:t>特此证明。</w:t>
      </w:r>
    </w:p>
    <w:p w14:paraId="697EC0B2">
      <w:pPr>
        <w:pStyle w:val="48"/>
        <w:spacing w:line="500" w:lineRule="atLeast"/>
        <w:ind w:firstLine="3517" w:firstLineChars="1675"/>
        <w:rPr>
          <w:rFonts w:hint="eastAsia" w:ascii="宋体" w:eastAsia="宋体"/>
          <w:color w:val="auto"/>
          <w:sz w:val="21"/>
          <w:szCs w:val="21"/>
          <w:highlight w:val="none"/>
        </w:rPr>
      </w:pPr>
    </w:p>
    <w:p w14:paraId="015898B5">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6B98F296">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0013006F">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法定代表人联系方式：</w:t>
      </w:r>
    </w:p>
    <w:p w14:paraId="72AC550D">
      <w:pPr>
        <w:pStyle w:val="48"/>
        <w:spacing w:line="500" w:lineRule="atLeast"/>
        <w:ind w:firstLine="3517" w:firstLineChars="1675"/>
        <w:rPr>
          <w:rFonts w:hint="eastAsia" w:ascii="宋体" w:eastAsia="宋体"/>
          <w:color w:val="auto"/>
          <w:sz w:val="21"/>
          <w:szCs w:val="21"/>
          <w:highlight w:val="none"/>
          <w:u w:val="single"/>
        </w:rPr>
      </w:pPr>
      <w:r>
        <w:rPr>
          <w:rFonts w:hint="eastAsia" w:ascii="宋体" w:eastAsia="宋体"/>
          <w:color w:val="auto"/>
          <w:sz w:val="21"/>
          <w:szCs w:val="21"/>
          <w:highlight w:val="none"/>
        </w:rPr>
        <w:t>身份证号码：</w:t>
      </w:r>
    </w:p>
    <w:p w14:paraId="4AAC2E7F">
      <w:pPr>
        <w:pStyle w:val="48"/>
        <w:spacing w:line="500" w:lineRule="atLeast"/>
        <w:ind w:firstLine="3507" w:firstLineChars="1670"/>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11CBE8AB">
      <w:pPr>
        <w:ind w:firstLine="420" w:firstLineChars="200"/>
        <w:rPr>
          <w:rFonts w:hint="eastAsia" w:ascii="宋体" w:hAnsi="宋体"/>
          <w:color w:val="auto"/>
          <w:szCs w:val="21"/>
          <w:highlight w:val="none"/>
        </w:rPr>
      </w:pPr>
    </w:p>
    <w:p w14:paraId="006CD007">
      <w:pPr>
        <w:ind w:firstLine="420" w:firstLineChars="200"/>
        <w:rPr>
          <w:rFonts w:hint="eastAsia"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29"/>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4436EB25">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59688018">
            <w:pPr>
              <w:pStyle w:val="48"/>
              <w:spacing w:line="460" w:lineRule="exact"/>
              <w:ind w:firstLine="0" w:firstLineChars="0"/>
              <w:jc w:val="center"/>
              <w:rPr>
                <w:rFonts w:hint="eastAsia"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11D1FA76">
            <w:pPr>
              <w:pStyle w:val="48"/>
              <w:spacing w:line="460" w:lineRule="exact"/>
              <w:ind w:firstLine="0" w:firstLineChars="0"/>
              <w:jc w:val="center"/>
              <w:rPr>
                <w:rFonts w:hint="eastAsia" w:ascii="宋体" w:eastAsia="宋体"/>
                <w:color w:val="auto"/>
                <w:sz w:val="22"/>
                <w:highlight w:val="none"/>
              </w:rPr>
            </w:pPr>
            <w:r>
              <w:rPr>
                <w:rFonts w:hint="eastAsia" w:ascii="宋体" w:eastAsia="宋体"/>
                <w:color w:val="auto"/>
                <w:sz w:val="22"/>
                <w:highlight w:val="none"/>
              </w:rPr>
              <w:t>背面</w:t>
            </w:r>
          </w:p>
        </w:tc>
      </w:tr>
    </w:tbl>
    <w:p w14:paraId="196163EE">
      <w:pPr>
        <w:rPr>
          <w:color w:val="auto"/>
          <w:highlight w:val="none"/>
        </w:rPr>
      </w:pPr>
    </w:p>
    <w:p w14:paraId="13F4D2AE">
      <w:pP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14:paraId="588A0312">
      <w:pPr>
        <w:pStyle w:val="8"/>
        <w:widowControl w:val="0"/>
        <w:overflowPunct w:val="0"/>
        <w:spacing w:line="240" w:lineRule="auto"/>
        <w:rPr>
          <w:color w:val="auto"/>
          <w:highlight w:val="none"/>
        </w:rPr>
      </w:pPr>
      <w:bookmarkStart w:id="145" w:name="_Toc182308036"/>
      <w:r>
        <w:rPr>
          <w:rFonts w:hint="eastAsia" w:ascii="宋体" w:hAnsi="宋体"/>
          <w:color w:val="auto"/>
          <w:sz w:val="21"/>
          <w:szCs w:val="21"/>
          <w:highlight w:val="none"/>
        </w:rPr>
        <w:t>附件4.法定代表人授权书格式</w:t>
      </w:r>
      <w:bookmarkEnd w:id="145"/>
    </w:p>
    <w:p w14:paraId="5601BAFE">
      <w:pPr>
        <w:rPr>
          <w:color w:val="auto"/>
          <w:highlight w:val="none"/>
        </w:rPr>
      </w:pPr>
    </w:p>
    <w:p w14:paraId="58DD98AA">
      <w:pP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69F9C52A">
      <w:pPr>
        <w:pStyle w:val="48"/>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广州宏达工程顾问集团有限公司</w:t>
      </w:r>
    </w:p>
    <w:p w14:paraId="7056BA7E">
      <w:pPr>
        <w:pStyle w:val="48"/>
        <w:spacing w:line="420" w:lineRule="atLeast"/>
        <w:ind w:firstLine="433"/>
        <w:rPr>
          <w:rFonts w:hint="eastAsia" w:ascii="宋体" w:eastAsia="宋体"/>
          <w:color w:val="auto"/>
          <w:sz w:val="21"/>
          <w:szCs w:val="21"/>
          <w:highlight w:val="none"/>
        </w:rPr>
      </w:pPr>
    </w:p>
    <w:p w14:paraId="22346013">
      <w:pPr>
        <w:ind w:firstLine="420" w:firstLineChars="200"/>
        <w:rPr>
          <w:rFonts w:hint="eastAsia" w:ascii="宋体" w:hAnsi="宋体" w:cs="Times New Roman"/>
          <w:color w:val="auto"/>
          <w:szCs w:val="21"/>
          <w:highlight w:val="none"/>
        </w:rPr>
      </w:pPr>
      <w:bookmarkStart w:id="146" w:name="_Toc22486"/>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r>
        <w:rPr>
          <w:rFonts w:hint="eastAsia" w:ascii="宋体" w:hAnsi="宋体" w:cs="Times New Roman"/>
          <w:color w:val="auto"/>
          <w:szCs w:val="21"/>
          <w:highlight w:val="none"/>
          <w:lang w:val="en-US" w:eastAsia="zh-CN"/>
        </w:rPr>
        <w:t>在递交投标文件时，投标人委托授权代表须为本单位正式员工并携带本人身份证原件、社保部门出具的近六个月内任意一个月社会保险证明（或劳动合同证明）备查。无法开具社会保险证明的省市，若相关记录能够在官网上查询，允许以查询记录加盖投标人公章的形式证明。未能提供相关证明可能被认定投标无效。</w:t>
      </w:r>
    </w:p>
    <w:p w14:paraId="1D597447">
      <w:pPr>
        <w:ind w:firstLine="315" w:firstLineChars="150"/>
        <w:rPr>
          <w:rFonts w:hint="eastAsia"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14:paraId="7EAF774B">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6472DF66">
      <w:pPr>
        <w:pStyle w:val="48"/>
        <w:spacing w:line="500" w:lineRule="atLeast"/>
        <w:ind w:firstLine="3517" w:firstLineChars="1675"/>
        <w:rPr>
          <w:rFonts w:hint="eastAsia"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14:paraId="1414FE19">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被授权人签字：</w:t>
      </w:r>
    </w:p>
    <w:p w14:paraId="20B8AE53">
      <w:pPr>
        <w:pStyle w:val="48"/>
        <w:spacing w:line="500" w:lineRule="atLeast"/>
        <w:ind w:firstLine="3517" w:firstLineChars="1675"/>
        <w:rPr>
          <w:rFonts w:hint="eastAsia" w:ascii="宋体" w:eastAsia="宋体"/>
          <w:color w:val="auto"/>
          <w:sz w:val="21"/>
          <w:szCs w:val="21"/>
          <w:highlight w:val="none"/>
          <w:u w:val="single"/>
        </w:rPr>
      </w:pPr>
      <w:r>
        <w:rPr>
          <w:rFonts w:hint="eastAsia" w:ascii="宋体" w:eastAsia="宋体"/>
          <w:color w:val="auto"/>
          <w:sz w:val="21"/>
          <w:szCs w:val="21"/>
          <w:highlight w:val="none"/>
        </w:rPr>
        <w:t>职务：</w:t>
      </w:r>
    </w:p>
    <w:p w14:paraId="251DF0B6">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 xml:space="preserve">移动电话： </w:t>
      </w:r>
    </w:p>
    <w:p w14:paraId="0CEBF044">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详细通讯地址：</w:t>
      </w:r>
    </w:p>
    <w:p w14:paraId="7CF35139">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 xml:space="preserve">邮箱：                          </w:t>
      </w:r>
    </w:p>
    <w:p w14:paraId="2692B77F">
      <w:pPr>
        <w:pStyle w:val="48"/>
        <w:spacing w:line="500" w:lineRule="atLeast"/>
        <w:ind w:firstLine="3507" w:firstLineChars="1670"/>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7D8AFD77">
      <w:pPr>
        <w:pStyle w:val="48"/>
        <w:spacing w:line="460" w:lineRule="exact"/>
        <w:ind w:firstLine="433"/>
        <w:rPr>
          <w:rFonts w:hint="eastAsia" w:ascii="宋体" w:eastAsia="宋体"/>
          <w:color w:val="auto"/>
          <w:sz w:val="21"/>
          <w:szCs w:val="21"/>
          <w:highlight w:val="none"/>
        </w:rPr>
      </w:pPr>
    </w:p>
    <w:p w14:paraId="5F7AA18E">
      <w:pPr>
        <w:rPr>
          <w:rFonts w:hint="eastAsia" w:eastAsia="宋体"/>
          <w:color w:val="auto"/>
          <w:highlight w:val="none"/>
          <w:lang w:eastAsia="zh-CN"/>
        </w:rPr>
      </w:pPr>
      <w:r>
        <w:rPr>
          <w:rFonts w:hint="eastAsia" w:ascii="宋体" w:hAnsi="宋体"/>
          <w:color w:val="auto"/>
          <w:szCs w:val="21"/>
          <w:highlight w:val="none"/>
        </w:rPr>
        <w:t>须附：被授权人身份证复印件</w:t>
      </w:r>
      <w:r>
        <w:rPr>
          <w:rFonts w:hint="eastAsia" w:ascii="宋体" w:hAnsi="宋体"/>
          <w:color w:val="auto"/>
          <w:szCs w:val="21"/>
          <w:highlight w:val="none"/>
          <w:lang w:eastAsia="zh-CN"/>
        </w:rPr>
        <w:t>、</w:t>
      </w:r>
      <w:r>
        <w:rPr>
          <w:rFonts w:hint="eastAsia" w:ascii="宋体" w:hAnsi="宋体"/>
          <w:color w:val="auto"/>
          <w:szCs w:val="21"/>
          <w:highlight w:val="none"/>
        </w:rPr>
        <w:t>人</w:t>
      </w:r>
      <w:r>
        <w:rPr>
          <w:rFonts w:hint="eastAsia" w:ascii="宋体" w:hAnsi="宋体" w:cs="Times New Roman"/>
          <w:color w:val="auto"/>
          <w:szCs w:val="21"/>
          <w:highlight w:val="none"/>
        </w:rPr>
        <w:t>社保部门出具的近六个月内任意一个月社会保险证明（或劳动合同证明）</w:t>
      </w:r>
      <w:r>
        <w:rPr>
          <w:rFonts w:hint="eastAsia" w:ascii="宋体" w:hAnsi="宋体" w:cs="Times New Roman"/>
          <w:color w:val="auto"/>
          <w:szCs w:val="21"/>
          <w:highlight w:val="none"/>
          <w:lang w:val="en-US" w:eastAsia="zh-CN"/>
        </w:rPr>
        <w:t>复印件</w:t>
      </w:r>
      <w:r>
        <w:rPr>
          <w:rFonts w:hint="eastAsia" w:ascii="宋体" w:hAnsi="宋体" w:cs="Times New Roman"/>
          <w:color w:val="auto"/>
          <w:szCs w:val="21"/>
          <w:highlight w:val="none"/>
          <w:lang w:eastAsia="zh-CN"/>
        </w:rPr>
        <w:t>。</w:t>
      </w:r>
    </w:p>
    <w:tbl>
      <w:tblPr>
        <w:tblStyle w:val="29"/>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8464"/>
      </w:tblGrid>
      <w:tr w14:paraId="5B75A4E9">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8464" w:type="dxa"/>
            <w:vAlign w:val="center"/>
          </w:tcPr>
          <w:p w14:paraId="17458FA8">
            <w:pPr>
              <w:pStyle w:val="48"/>
              <w:spacing w:line="460" w:lineRule="exact"/>
              <w:ind w:firstLine="0" w:firstLineChars="0"/>
              <w:jc w:val="center"/>
              <w:rPr>
                <w:rFonts w:hint="eastAsia" w:ascii="宋体" w:eastAsia="宋体"/>
                <w:color w:val="auto"/>
                <w:sz w:val="22"/>
                <w:highlight w:val="none"/>
              </w:rPr>
            </w:pPr>
          </w:p>
        </w:tc>
      </w:tr>
    </w:tbl>
    <w:p w14:paraId="1E289082">
      <w:pPr>
        <w:adjustRightInd/>
        <w:snapToGrid/>
        <w:spacing w:line="276" w:lineRule="auto"/>
        <w:rPr>
          <w:color w:val="auto"/>
          <w:highlight w:val="none"/>
        </w:rPr>
      </w:pPr>
      <w:r>
        <w:rPr>
          <w:rFonts w:hint="eastAsia" w:ascii="宋体" w:hAnsi="宋体"/>
          <w:color w:val="auto"/>
          <w:szCs w:val="21"/>
          <w:highlight w:val="none"/>
        </w:rPr>
        <w:br w:type="page"/>
      </w:r>
    </w:p>
    <w:p w14:paraId="6C8B1E07">
      <w:pPr>
        <w:pStyle w:val="8"/>
        <w:widowControl w:val="0"/>
        <w:overflowPunct w:val="0"/>
        <w:spacing w:line="240" w:lineRule="auto"/>
        <w:rPr>
          <w:rFonts w:hint="eastAsia" w:ascii="宋体" w:hAnsi="宋体"/>
          <w:color w:val="auto"/>
          <w:sz w:val="21"/>
          <w:szCs w:val="21"/>
          <w:highlight w:val="none"/>
        </w:rPr>
      </w:pPr>
      <w:bookmarkStart w:id="147" w:name="_Toc182308037"/>
      <w:r>
        <w:rPr>
          <w:rFonts w:hint="eastAsia" w:ascii="宋体" w:hAnsi="宋体"/>
          <w:color w:val="auto"/>
          <w:sz w:val="21"/>
          <w:szCs w:val="21"/>
          <w:highlight w:val="none"/>
        </w:rPr>
        <w:t>附件5.资格申明</w:t>
      </w:r>
      <w:bookmarkEnd w:id="147"/>
    </w:p>
    <w:p w14:paraId="574455A2">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0EF6F115">
      <w:pPr>
        <w:pStyle w:val="48"/>
        <w:spacing w:line="420" w:lineRule="atLeast"/>
        <w:ind w:firstLine="0" w:firstLineChars="0"/>
        <w:rPr>
          <w:rFonts w:hint="eastAsia" w:ascii="宋体" w:eastAsia="宋体"/>
          <w:color w:val="auto"/>
          <w:sz w:val="21"/>
          <w:szCs w:val="21"/>
          <w:highlight w:val="none"/>
        </w:rPr>
      </w:pPr>
      <w:r>
        <w:rPr>
          <w:rFonts w:hint="eastAsia" w:ascii="宋体" w:eastAsia="宋体"/>
          <w:color w:val="auto"/>
          <w:sz w:val="21"/>
          <w:szCs w:val="21"/>
          <w:highlight w:val="none"/>
          <w:lang w:eastAsia="zh-CN"/>
        </w:rPr>
        <w:t>广州宏达工程顾问集团有限公司</w:t>
      </w:r>
      <w:r>
        <w:rPr>
          <w:rFonts w:hint="eastAsia" w:ascii="宋体" w:eastAsia="宋体"/>
          <w:color w:val="auto"/>
          <w:sz w:val="21"/>
          <w:szCs w:val="21"/>
          <w:highlight w:val="none"/>
        </w:rPr>
        <w:t>：</w:t>
      </w:r>
    </w:p>
    <w:p w14:paraId="21648263">
      <w:pPr>
        <w:ind w:firstLine="420" w:firstLineChars="200"/>
        <w:rPr>
          <w:rFonts w:hint="eastAsia" w:ascii="宋体" w:hAnsi="宋体"/>
          <w:color w:val="auto"/>
          <w:szCs w:val="21"/>
          <w:highlight w:val="none"/>
        </w:rPr>
      </w:pPr>
    </w:p>
    <w:p w14:paraId="61D03B41">
      <w:pPr>
        <w:ind w:firstLine="420" w:firstLineChars="200"/>
        <w:rPr>
          <w:rFonts w:hint="eastAsia"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6AE55350">
      <w:pPr>
        <w:ind w:firstLine="420" w:firstLineChars="200"/>
        <w:rPr>
          <w:rFonts w:hint="eastAsia" w:ascii="宋体" w:hAnsi="宋体"/>
          <w:color w:val="auto"/>
          <w:szCs w:val="21"/>
          <w:highlight w:val="none"/>
        </w:rPr>
      </w:pPr>
      <w:r>
        <w:rPr>
          <w:rFonts w:hint="eastAsia" w:ascii="宋体" w:hAnsi="宋体"/>
          <w:color w:val="auto"/>
          <w:szCs w:val="21"/>
          <w:highlight w:val="none"/>
        </w:rPr>
        <w:t>一、我方具备投标人邀请中所要求的资格条件，已清楚采购文件所有要求及有关规定；并承诺参加本次采购活动中，如有违法、违规、弄虚作假行为，所造成的损失、不良后果及法律责任，一律由我方承担；</w:t>
      </w:r>
    </w:p>
    <w:p w14:paraId="3FAF1C10">
      <w:pPr>
        <w:ind w:firstLine="420" w:firstLineChars="200"/>
        <w:rPr>
          <w:rFonts w:hint="eastAsia"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xxxx   </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 xml:space="preserve">    xxx   </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14:paraId="0D9D6EAD">
      <w:pPr>
        <w:pStyle w:val="48"/>
        <w:spacing w:line="500" w:lineRule="atLeast"/>
        <w:ind w:firstLine="638" w:firstLineChars="304"/>
        <w:rPr>
          <w:rFonts w:hint="eastAsia" w:ascii="宋体" w:eastAsia="宋体"/>
          <w:color w:val="auto"/>
          <w:kern w:val="0"/>
          <w:sz w:val="21"/>
          <w:szCs w:val="21"/>
          <w:highlight w:val="none"/>
        </w:rPr>
      </w:pPr>
      <w:r>
        <w:rPr>
          <w:rFonts w:hint="eastAsia" w:ascii="宋体" w:eastAsia="宋体"/>
          <w:color w:val="auto"/>
          <w:kern w:val="0"/>
          <w:sz w:val="21"/>
          <w:szCs w:val="21"/>
          <w:highlight w:val="none"/>
        </w:rPr>
        <w:t>三、</w:t>
      </w:r>
      <w:r>
        <w:rPr>
          <w:rFonts w:ascii="宋体" w:eastAsia="宋体"/>
          <w:color w:val="auto"/>
          <w:kern w:val="0"/>
          <w:sz w:val="21"/>
          <w:szCs w:val="21"/>
          <w:highlight w:val="none"/>
        </w:rPr>
        <w:t>我方</w:t>
      </w:r>
      <w:r>
        <w:rPr>
          <w:rFonts w:hint="eastAsia" w:ascii="宋体" w:eastAsia="宋体"/>
          <w:color w:val="auto"/>
          <w:kern w:val="0"/>
          <w:sz w:val="21"/>
          <w:szCs w:val="21"/>
          <w:highlight w:val="none"/>
        </w:rPr>
        <w:t>单位负责人不存在为同一人或者存在直接控股、管理关系的不同投标人等情形。</w:t>
      </w:r>
    </w:p>
    <w:p w14:paraId="4D73E640">
      <w:pPr>
        <w:pStyle w:val="48"/>
        <w:spacing w:line="500" w:lineRule="atLeast"/>
        <w:ind w:firstLine="3517" w:firstLineChars="1675"/>
        <w:rPr>
          <w:rFonts w:hint="eastAsia" w:ascii="宋体" w:eastAsia="宋体"/>
          <w:color w:val="auto"/>
          <w:sz w:val="21"/>
          <w:szCs w:val="21"/>
          <w:highlight w:val="none"/>
        </w:rPr>
      </w:pPr>
    </w:p>
    <w:p w14:paraId="3754E61F">
      <w:pPr>
        <w:pStyle w:val="48"/>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7A3682E7">
      <w:pPr>
        <w:pStyle w:val="48"/>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法定代表人签字（签名或盖私章）：</w:t>
      </w:r>
    </w:p>
    <w:p w14:paraId="555C7509">
      <w:pPr>
        <w:pStyle w:val="48"/>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21F0FEC7">
      <w:pPr>
        <w:pStyle w:val="48"/>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br w:type="page"/>
      </w:r>
    </w:p>
    <w:p w14:paraId="407C6E30">
      <w:pPr>
        <w:pStyle w:val="8"/>
        <w:widowControl w:val="0"/>
        <w:overflowPunct w:val="0"/>
        <w:spacing w:line="240" w:lineRule="auto"/>
        <w:rPr>
          <w:rFonts w:hint="eastAsia" w:ascii="宋体" w:hAnsi="宋体"/>
          <w:color w:val="auto"/>
          <w:sz w:val="21"/>
          <w:szCs w:val="21"/>
          <w:highlight w:val="none"/>
        </w:rPr>
      </w:pPr>
      <w:bookmarkStart w:id="148" w:name="_Toc182308038"/>
      <w:r>
        <w:rPr>
          <w:rFonts w:hint="eastAsia" w:ascii="宋体" w:hAnsi="宋体"/>
          <w:color w:val="auto"/>
          <w:sz w:val="21"/>
          <w:szCs w:val="21"/>
          <w:highlight w:val="none"/>
        </w:rPr>
        <w:t>附件6.营业执照</w:t>
      </w:r>
      <w:bookmarkEnd w:id="148"/>
    </w:p>
    <w:p w14:paraId="15C70DCC">
      <w:pPr>
        <w:jc w:val="center"/>
        <w:rPr>
          <w:rFonts w:ascii="黑体" w:eastAsia="黑体"/>
          <w:color w:val="auto"/>
          <w:sz w:val="28"/>
          <w:szCs w:val="28"/>
          <w:highlight w:val="none"/>
        </w:rPr>
      </w:pPr>
      <w:bookmarkStart w:id="149" w:name="_Toc17470"/>
      <w:bookmarkStart w:id="150" w:name="_Toc5919"/>
      <w:bookmarkStart w:id="151" w:name="_Toc1511"/>
      <w:bookmarkStart w:id="152" w:name="_Toc4926"/>
      <w:bookmarkStart w:id="153" w:name="_Toc24210"/>
      <w:r>
        <w:rPr>
          <w:rFonts w:hint="eastAsia" w:ascii="黑体" w:eastAsia="黑体"/>
          <w:color w:val="auto"/>
          <w:sz w:val="28"/>
          <w:szCs w:val="28"/>
          <w:highlight w:val="none"/>
        </w:rPr>
        <w:t>营业执照</w:t>
      </w:r>
      <w:bookmarkEnd w:id="149"/>
      <w:bookmarkEnd w:id="150"/>
      <w:bookmarkEnd w:id="151"/>
      <w:bookmarkEnd w:id="152"/>
      <w:bookmarkEnd w:id="153"/>
    </w:p>
    <w:p w14:paraId="4CD9F6FD">
      <w:pPr>
        <w:jc w:val="center"/>
        <w:rPr>
          <w:rFonts w:ascii="黑体" w:eastAsia="黑体"/>
          <w:color w:val="auto"/>
          <w:sz w:val="28"/>
          <w:szCs w:val="28"/>
          <w:highlight w:val="none"/>
        </w:rPr>
      </w:pPr>
      <w:r>
        <w:rPr>
          <w:rFonts w:hint="eastAsia" w:ascii="黑体" w:eastAsia="黑体"/>
          <w:color w:val="auto"/>
          <w:sz w:val="28"/>
          <w:szCs w:val="28"/>
          <w:highlight w:val="none"/>
        </w:rPr>
        <w:br w:type="page"/>
      </w:r>
    </w:p>
    <w:p w14:paraId="4FAC8C9C">
      <w:pPr>
        <w:pStyle w:val="8"/>
        <w:widowControl w:val="0"/>
        <w:overflowPunct w:val="0"/>
        <w:spacing w:line="240" w:lineRule="auto"/>
        <w:rPr>
          <w:rFonts w:hint="eastAsia" w:ascii="宋体" w:hAnsi="宋体"/>
          <w:color w:val="auto"/>
          <w:sz w:val="21"/>
          <w:szCs w:val="21"/>
          <w:highlight w:val="none"/>
        </w:rPr>
      </w:pPr>
      <w:bookmarkStart w:id="154" w:name="_Toc182308039"/>
      <w:r>
        <w:rPr>
          <w:rFonts w:hint="eastAsia" w:ascii="宋体" w:hAnsi="宋体"/>
          <w:color w:val="auto"/>
          <w:sz w:val="21"/>
          <w:szCs w:val="21"/>
          <w:highlight w:val="none"/>
        </w:rPr>
        <w:t>附件7.相关资质证明文件</w:t>
      </w:r>
      <w:bookmarkEnd w:id="154"/>
    </w:p>
    <w:p w14:paraId="04BB28CB">
      <w:pPr>
        <w:rPr>
          <w:color w:val="auto"/>
          <w:highlight w:val="none"/>
        </w:rPr>
      </w:pPr>
    </w:p>
    <w:p w14:paraId="18C2B6C3">
      <w:pPr>
        <w:jc w:val="center"/>
        <w:rPr>
          <w:rFonts w:ascii="黑体" w:eastAsia="黑体"/>
          <w:color w:val="auto"/>
          <w:sz w:val="28"/>
          <w:szCs w:val="28"/>
          <w:highlight w:val="none"/>
        </w:rPr>
      </w:pPr>
      <w:bookmarkStart w:id="155" w:name="_Toc30307"/>
      <w:bookmarkStart w:id="156" w:name="_Toc9592"/>
      <w:bookmarkStart w:id="157" w:name="_Toc13458"/>
      <w:bookmarkStart w:id="158" w:name="_Toc16698"/>
      <w:bookmarkStart w:id="159" w:name="_Toc16233"/>
      <w:r>
        <w:rPr>
          <w:rFonts w:hint="eastAsia" w:ascii="黑体" w:eastAsia="黑体"/>
          <w:color w:val="auto"/>
          <w:sz w:val="28"/>
          <w:szCs w:val="28"/>
          <w:highlight w:val="none"/>
        </w:rPr>
        <w:t>相关资质证明文件</w:t>
      </w:r>
      <w:bookmarkEnd w:id="146"/>
      <w:bookmarkEnd w:id="155"/>
      <w:bookmarkEnd w:id="156"/>
      <w:bookmarkEnd w:id="157"/>
      <w:bookmarkEnd w:id="158"/>
      <w:bookmarkEnd w:id="159"/>
    </w:p>
    <w:p w14:paraId="2B2F634B">
      <w:pPr>
        <w:numPr>
          <w:ilvl w:val="0"/>
          <w:numId w:val="9"/>
        </w:numPr>
        <w:tabs>
          <w:tab w:val="left" w:pos="1680"/>
        </w:tabs>
        <w:jc w:val="both"/>
        <w:rPr>
          <w:rFonts w:hint="eastAsia"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215AF82C">
      <w:pPr>
        <w:numPr>
          <w:ilvl w:val="0"/>
          <w:numId w:val="9"/>
        </w:numPr>
        <w:tabs>
          <w:tab w:val="left" w:pos="1680"/>
        </w:tabs>
        <w:jc w:val="both"/>
        <w:rPr>
          <w:rFonts w:hint="eastAsia"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7B7DDACD">
      <w:pPr>
        <w:pStyle w:val="8"/>
        <w:widowControl w:val="0"/>
        <w:overflowPunct w:val="0"/>
        <w:spacing w:line="240" w:lineRule="auto"/>
        <w:rPr>
          <w:rFonts w:ascii="楷体_GB2312" w:eastAsia="楷体_GB2312"/>
          <w:color w:val="auto"/>
          <w:highlight w:val="none"/>
        </w:rPr>
      </w:pPr>
      <w:bookmarkStart w:id="160" w:name="_Toc182308040"/>
      <w:r>
        <w:rPr>
          <w:rFonts w:hint="eastAsia" w:ascii="宋体" w:hAnsi="宋体"/>
          <w:color w:val="auto"/>
          <w:sz w:val="21"/>
          <w:szCs w:val="21"/>
          <w:highlight w:val="none"/>
        </w:rPr>
        <w:t>附件8.在经营活动中没有重大违法记录的书面声明格式</w:t>
      </w:r>
      <w:bookmarkEnd w:id="160"/>
    </w:p>
    <w:p w14:paraId="5FB303DE">
      <w:pPr>
        <w:rPr>
          <w:color w:val="auto"/>
          <w:highlight w:val="none"/>
        </w:rPr>
      </w:pPr>
    </w:p>
    <w:p w14:paraId="018AADA2">
      <w:pP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02CDFBD2">
      <w:pPr>
        <w:ind w:firstLine="420" w:firstLineChars="200"/>
        <w:rPr>
          <w:rFonts w:hint="eastAsia" w:ascii="宋体" w:hAnsi="宋体" w:cs="宋体"/>
          <w:color w:val="auto"/>
          <w:szCs w:val="21"/>
          <w:highlight w:val="none"/>
        </w:rPr>
      </w:pPr>
    </w:p>
    <w:p w14:paraId="0A5EFB5C">
      <w:pPr>
        <w:spacing w:line="480" w:lineRule="auto"/>
        <w:rPr>
          <w:rFonts w:hint="eastAsia" w:ascii="宋体" w:hAnsi="宋体" w:cs="宋体"/>
          <w:color w:val="auto"/>
          <w:szCs w:val="21"/>
          <w:highlight w:val="none"/>
        </w:rPr>
      </w:pPr>
      <w:r>
        <w:rPr>
          <w:rFonts w:hint="eastAsia" w:ascii="宋体" w:hAnsi="宋体" w:cs="宋体"/>
          <w:color w:val="auto"/>
          <w:szCs w:val="21"/>
          <w:highlight w:val="none"/>
          <w:lang w:eastAsia="zh-CN"/>
        </w:rPr>
        <w:t>东莞市新有能源投资有限公司</w:t>
      </w:r>
      <w:r>
        <w:rPr>
          <w:rFonts w:hint="eastAsia" w:ascii="宋体" w:hAnsi="宋体" w:cs="宋体"/>
          <w:color w:val="auto"/>
          <w:szCs w:val="21"/>
          <w:highlight w:val="none"/>
        </w:rPr>
        <w:t>、</w:t>
      </w:r>
      <w:r>
        <w:rPr>
          <w:rFonts w:hint="eastAsia" w:ascii="宋体" w:hAnsi="宋体" w:cs="宋体"/>
          <w:color w:val="auto"/>
          <w:szCs w:val="21"/>
          <w:highlight w:val="none"/>
          <w:lang w:eastAsia="zh-CN"/>
        </w:rPr>
        <w:t>广州宏达工程顾问集团有限公司</w:t>
      </w:r>
      <w:r>
        <w:rPr>
          <w:rFonts w:hint="eastAsia" w:ascii="宋体" w:hAnsi="宋体" w:cs="宋体"/>
          <w:color w:val="auto"/>
          <w:szCs w:val="21"/>
          <w:highlight w:val="none"/>
        </w:rPr>
        <w:t>：</w:t>
      </w:r>
    </w:p>
    <w:p w14:paraId="11766722">
      <w:pPr>
        <w:spacing w:line="48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21DD0C7B">
      <w:pPr>
        <w:spacing w:line="48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我公司以上承诺均为真实有效，绝无任何虚假、伪造的成分，否则，愿承担相应的后果和法律责任。</w:t>
      </w:r>
    </w:p>
    <w:p w14:paraId="1F3DB1F0">
      <w:pPr>
        <w:ind w:firstLine="420" w:firstLineChars="200"/>
        <w:rPr>
          <w:rFonts w:hint="eastAsia" w:ascii="宋体" w:hAnsi="宋体" w:cs="宋体"/>
          <w:color w:val="auto"/>
          <w:szCs w:val="21"/>
          <w:highlight w:val="none"/>
        </w:rPr>
      </w:pPr>
    </w:p>
    <w:p w14:paraId="22A302C4">
      <w:pPr>
        <w:rPr>
          <w:rFonts w:hint="eastAsia" w:ascii="宋体" w:hAnsi="宋体" w:cs="宋体"/>
          <w:color w:val="auto"/>
          <w:szCs w:val="21"/>
          <w:highlight w:val="none"/>
        </w:rPr>
      </w:pPr>
    </w:p>
    <w:p w14:paraId="7CDA4AF8">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投标人名称（盖章）：</w:t>
      </w:r>
    </w:p>
    <w:p w14:paraId="32D82F31">
      <w:pPr>
        <w:rPr>
          <w:rFonts w:hint="eastAsia" w:ascii="宋体" w:hAnsi="宋体" w:cs="宋体"/>
          <w:color w:val="auto"/>
          <w:szCs w:val="21"/>
          <w:highlight w:val="none"/>
        </w:rPr>
      </w:pPr>
    </w:p>
    <w:p w14:paraId="3E47FC22">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日期：</w:t>
      </w:r>
      <w:r>
        <w:rPr>
          <w:rFonts w:hint="eastAsia" w:ascii="宋体"/>
          <w:color w:val="auto"/>
          <w:szCs w:val="21"/>
          <w:highlight w:val="none"/>
        </w:rPr>
        <w:t xml:space="preserve">   年  月  日</w:t>
      </w:r>
    </w:p>
    <w:p w14:paraId="0FC76689">
      <w:pPr>
        <w:rPr>
          <w:color w:val="auto"/>
          <w:highlight w:val="none"/>
        </w:rPr>
      </w:pPr>
    </w:p>
    <w:p w14:paraId="60DF34EF">
      <w:pPr>
        <w:rPr>
          <w:rFonts w:hint="eastAsia" w:ascii="宋体" w:hAnsi="宋体"/>
          <w:color w:val="auto"/>
          <w:szCs w:val="21"/>
          <w:highlight w:val="none"/>
        </w:rPr>
      </w:pPr>
    </w:p>
    <w:p w14:paraId="49109DB0">
      <w:pPr>
        <w:pStyle w:val="13"/>
        <w:rPr>
          <w:rFonts w:hint="eastAsia"/>
          <w:color w:val="auto"/>
          <w:sz w:val="21"/>
          <w:szCs w:val="21"/>
          <w:highlight w:val="none"/>
        </w:rPr>
      </w:pPr>
    </w:p>
    <w:p w14:paraId="50E77217">
      <w:pPr>
        <w:rPr>
          <w:rFonts w:hint="eastAsia" w:ascii="宋体" w:hAnsi="宋体"/>
          <w:color w:val="auto"/>
          <w:szCs w:val="21"/>
          <w:highlight w:val="none"/>
        </w:rPr>
      </w:pPr>
    </w:p>
    <w:p w14:paraId="6ADA56EF">
      <w:pPr>
        <w:rPr>
          <w:rFonts w:hint="eastAsia" w:ascii="宋体" w:hAnsi="宋体"/>
          <w:color w:val="auto"/>
          <w:szCs w:val="21"/>
          <w:highlight w:val="none"/>
        </w:rPr>
      </w:pPr>
      <w:r>
        <w:rPr>
          <w:rFonts w:hint="eastAsia" w:ascii="宋体" w:hAnsi="宋体"/>
          <w:color w:val="auto"/>
          <w:szCs w:val="21"/>
          <w:highlight w:val="none"/>
        </w:rPr>
        <w:br w:type="page"/>
      </w:r>
    </w:p>
    <w:p w14:paraId="6BDBE2FA">
      <w:pPr>
        <w:pStyle w:val="8"/>
        <w:widowControl w:val="0"/>
        <w:overflowPunct w:val="0"/>
        <w:spacing w:line="240" w:lineRule="auto"/>
        <w:rPr>
          <w:rFonts w:ascii="楷体_GB2312" w:eastAsia="楷体_GB2312"/>
          <w:color w:val="auto"/>
          <w:highlight w:val="none"/>
        </w:rPr>
      </w:pPr>
      <w:bookmarkStart w:id="161" w:name="_Toc182308041"/>
      <w:r>
        <w:rPr>
          <w:rFonts w:hint="eastAsia" w:ascii="宋体" w:hAnsi="宋体"/>
          <w:color w:val="auto"/>
          <w:sz w:val="21"/>
          <w:szCs w:val="21"/>
          <w:highlight w:val="none"/>
        </w:rPr>
        <w:t>附件9.</w:t>
      </w:r>
      <w:r>
        <w:rPr>
          <w:rFonts w:hint="eastAsia"/>
          <w:color w:val="auto"/>
          <w:highlight w:val="none"/>
        </w:rPr>
        <w:t xml:space="preserve"> </w:t>
      </w:r>
      <w:r>
        <w:rPr>
          <w:rFonts w:hint="eastAsia" w:ascii="宋体" w:hAnsi="宋体"/>
          <w:color w:val="auto"/>
          <w:sz w:val="21"/>
          <w:szCs w:val="21"/>
          <w:highlight w:val="none"/>
        </w:rPr>
        <w:t>未被列入“信用中国”记录失信被执行人或重大税收违法失信主体或政府采购严重违法失信行为记录名单的证明资料</w:t>
      </w:r>
      <w:bookmarkEnd w:id="161"/>
    </w:p>
    <w:p w14:paraId="30D652E3">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2668B82F">
      <w:pPr>
        <w:pStyle w:val="8"/>
        <w:widowControl w:val="0"/>
        <w:overflowPunct w:val="0"/>
        <w:spacing w:line="240" w:lineRule="auto"/>
        <w:rPr>
          <w:rFonts w:ascii="楷体_GB2312" w:eastAsia="楷体_GB2312"/>
          <w:color w:val="auto"/>
          <w:highlight w:val="none"/>
        </w:rPr>
      </w:pPr>
      <w:bookmarkStart w:id="162" w:name="_Toc182308042"/>
      <w:r>
        <w:rPr>
          <w:rFonts w:hint="eastAsia" w:ascii="宋体" w:hAnsi="宋体"/>
          <w:color w:val="auto"/>
          <w:sz w:val="21"/>
          <w:szCs w:val="21"/>
          <w:highlight w:val="none"/>
        </w:rPr>
        <w:t>附件10.承诺书格式</w:t>
      </w:r>
      <w:bookmarkEnd w:id="162"/>
    </w:p>
    <w:p w14:paraId="1F3706DE">
      <w:pP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1D0A11BB">
      <w:pPr>
        <w:pStyle w:val="48"/>
        <w:spacing w:line="420" w:lineRule="atLeast"/>
        <w:ind w:firstLine="0" w:firstLineChars="0"/>
        <w:rPr>
          <w:rFonts w:hint="eastAsia" w:ascii="宋体" w:eastAsia="宋体" w:cs="宋体"/>
          <w:color w:val="auto"/>
          <w:sz w:val="21"/>
          <w:szCs w:val="21"/>
          <w:highlight w:val="none"/>
        </w:rPr>
      </w:pPr>
      <w:r>
        <w:rPr>
          <w:rFonts w:hint="eastAsia" w:ascii="宋体" w:eastAsia="宋体" w:cs="宋体"/>
          <w:color w:val="auto"/>
          <w:sz w:val="21"/>
          <w:szCs w:val="21"/>
          <w:highlight w:val="none"/>
        </w:rPr>
        <w:t>致</w:t>
      </w:r>
      <w:r>
        <w:rPr>
          <w:rFonts w:hint="eastAsia" w:ascii="宋体" w:eastAsia="宋体" w:cs="宋体"/>
          <w:color w:val="auto"/>
          <w:sz w:val="21"/>
          <w:szCs w:val="21"/>
          <w:highlight w:val="none"/>
          <w:lang w:eastAsia="zh-CN"/>
        </w:rPr>
        <w:t>广州宏达工程顾问集团有限公司</w:t>
      </w:r>
      <w:r>
        <w:rPr>
          <w:rFonts w:hint="eastAsia" w:ascii="宋体" w:eastAsia="宋体" w:cs="宋体"/>
          <w:color w:val="auto"/>
          <w:sz w:val="21"/>
          <w:szCs w:val="21"/>
          <w:highlight w:val="none"/>
        </w:rPr>
        <w:t>：</w:t>
      </w:r>
    </w:p>
    <w:p w14:paraId="3FF3D7DA">
      <w:pPr>
        <w:jc w:val="center"/>
        <w:rPr>
          <w:rFonts w:hint="eastAsia" w:ascii="宋体" w:hAnsi="宋体" w:cs="宋体"/>
          <w:color w:val="auto"/>
          <w:szCs w:val="21"/>
          <w:highlight w:val="none"/>
        </w:rPr>
      </w:pPr>
    </w:p>
    <w:p w14:paraId="04DE9BF4">
      <w:pPr>
        <w:pStyle w:val="48"/>
        <w:spacing w:line="420" w:lineRule="exact"/>
        <w:ind w:firstLine="433"/>
        <w:rPr>
          <w:rFonts w:hint="eastAsia"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0865A89E">
      <w:pPr>
        <w:pStyle w:val="48"/>
        <w:spacing w:line="420" w:lineRule="exact"/>
        <w:ind w:firstLine="433"/>
        <w:rPr>
          <w:rFonts w:hint="eastAsia" w:ascii="宋体" w:eastAsia="宋体" w:cs="宋体"/>
          <w:color w:val="auto"/>
          <w:sz w:val="21"/>
          <w:szCs w:val="21"/>
          <w:highlight w:val="none"/>
        </w:rPr>
      </w:pPr>
    </w:p>
    <w:p w14:paraId="7CE7C8EE">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投标人名称（加盖公章）：</w:t>
      </w:r>
    </w:p>
    <w:p w14:paraId="67BB80AF">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661185DF">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color w:val="auto"/>
          <w:szCs w:val="21"/>
          <w:highlight w:val="none"/>
        </w:rPr>
        <w:t xml:space="preserve">   年  月  日</w:t>
      </w:r>
    </w:p>
    <w:p w14:paraId="44FE2DA9">
      <w:pPr>
        <w:rPr>
          <w:color w:val="auto"/>
          <w:highlight w:val="none"/>
        </w:rPr>
      </w:pPr>
    </w:p>
    <w:p w14:paraId="27BABD47">
      <w:pPr>
        <w:rPr>
          <w:rFonts w:hint="eastAsia" w:ascii="宋体" w:hAnsi="宋体"/>
          <w:color w:val="auto"/>
          <w:szCs w:val="21"/>
          <w:highlight w:val="none"/>
        </w:rPr>
      </w:pPr>
    </w:p>
    <w:p w14:paraId="7F0BB8BC">
      <w:pPr>
        <w:pStyle w:val="13"/>
        <w:rPr>
          <w:rFonts w:hint="eastAsia"/>
          <w:color w:val="auto"/>
          <w:sz w:val="21"/>
          <w:szCs w:val="21"/>
          <w:highlight w:val="none"/>
        </w:rPr>
      </w:pPr>
    </w:p>
    <w:p w14:paraId="2F3D9C7F">
      <w:pPr>
        <w:rPr>
          <w:rFonts w:hint="eastAsia" w:ascii="宋体" w:hAnsi="宋体"/>
          <w:color w:val="auto"/>
          <w:szCs w:val="21"/>
          <w:highlight w:val="none"/>
        </w:rPr>
      </w:pPr>
    </w:p>
    <w:p w14:paraId="684F6C07">
      <w:pPr>
        <w:rPr>
          <w:rFonts w:hint="eastAsia" w:ascii="宋体" w:hAnsi="宋体"/>
          <w:color w:val="auto"/>
          <w:szCs w:val="21"/>
          <w:highlight w:val="none"/>
        </w:rPr>
      </w:pPr>
      <w:bookmarkStart w:id="163" w:name="_Toc8279"/>
      <w:r>
        <w:rPr>
          <w:rFonts w:hint="eastAsia" w:ascii="宋体" w:hAnsi="宋体"/>
          <w:color w:val="auto"/>
          <w:szCs w:val="21"/>
          <w:highlight w:val="none"/>
        </w:rPr>
        <w:br w:type="page"/>
      </w:r>
    </w:p>
    <w:p w14:paraId="4DCD3FF2">
      <w:pPr>
        <w:pStyle w:val="8"/>
        <w:widowControl w:val="0"/>
        <w:overflowPunct w:val="0"/>
        <w:spacing w:line="240" w:lineRule="auto"/>
        <w:rPr>
          <w:rFonts w:hint="eastAsia" w:ascii="宋体" w:hAnsi="宋体"/>
          <w:color w:val="auto"/>
          <w:sz w:val="21"/>
          <w:szCs w:val="21"/>
          <w:highlight w:val="none"/>
        </w:rPr>
      </w:pPr>
      <w:bookmarkStart w:id="164" w:name="_Toc182308043"/>
      <w:r>
        <w:rPr>
          <w:rFonts w:hint="eastAsia" w:ascii="宋体" w:hAnsi="宋体"/>
          <w:color w:val="auto"/>
          <w:sz w:val="21"/>
          <w:szCs w:val="21"/>
          <w:highlight w:val="none"/>
        </w:rPr>
        <w:t>附件11.商务需求条款偏离表格式</w:t>
      </w:r>
      <w:bookmarkEnd w:id="163"/>
      <w:bookmarkEnd w:id="164"/>
    </w:p>
    <w:p w14:paraId="50310658">
      <w:pPr>
        <w:jc w:val="center"/>
        <w:rPr>
          <w:rFonts w:ascii="黑体" w:eastAsia="黑体"/>
          <w:color w:val="auto"/>
          <w:sz w:val="28"/>
          <w:szCs w:val="28"/>
          <w:highlight w:val="none"/>
        </w:rPr>
      </w:pPr>
    </w:p>
    <w:p w14:paraId="28FACDF0">
      <w:pP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29"/>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498FB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60293664">
            <w:pPr>
              <w:jc w:val="center"/>
              <w:rPr>
                <w:rFonts w:hint="eastAsia"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5A428C00">
            <w:pPr>
              <w:jc w:val="center"/>
              <w:rPr>
                <w:rFonts w:hint="eastAsia"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09CAF3B7">
            <w:pPr>
              <w:jc w:val="center"/>
              <w:rPr>
                <w:rFonts w:hint="eastAsia"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04B2943D">
            <w:pPr>
              <w:jc w:val="center"/>
              <w:rPr>
                <w:rFonts w:hint="eastAsia"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5BFB5F47">
            <w:pPr>
              <w:jc w:val="center"/>
              <w:rPr>
                <w:rFonts w:hint="eastAsia"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55373687">
            <w:pPr>
              <w:jc w:val="center"/>
              <w:rPr>
                <w:rFonts w:hint="eastAsia" w:ascii="宋体" w:hAnsi="宋体"/>
                <w:color w:val="auto"/>
                <w:szCs w:val="21"/>
                <w:highlight w:val="none"/>
              </w:rPr>
            </w:pPr>
            <w:r>
              <w:rPr>
                <w:rFonts w:hint="eastAsia" w:ascii="宋体" w:hAnsi="宋体"/>
                <w:color w:val="auto"/>
                <w:szCs w:val="21"/>
                <w:highlight w:val="none"/>
              </w:rPr>
              <w:t>说明</w:t>
            </w:r>
          </w:p>
        </w:tc>
      </w:tr>
      <w:tr w14:paraId="136F5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D28AC80">
            <w:pPr>
              <w:jc w:val="center"/>
              <w:rPr>
                <w:rFonts w:hint="eastAsia" w:ascii="宋体" w:hAnsi="宋体"/>
                <w:color w:val="auto"/>
                <w:szCs w:val="21"/>
                <w:highlight w:val="none"/>
              </w:rPr>
            </w:pPr>
          </w:p>
        </w:tc>
        <w:tc>
          <w:tcPr>
            <w:tcW w:w="1620" w:type="dxa"/>
            <w:vAlign w:val="center"/>
          </w:tcPr>
          <w:p w14:paraId="69BD25AE">
            <w:pPr>
              <w:jc w:val="center"/>
              <w:rPr>
                <w:rFonts w:hint="eastAsia" w:ascii="宋体" w:hAnsi="宋体"/>
                <w:color w:val="auto"/>
                <w:szCs w:val="21"/>
                <w:highlight w:val="none"/>
              </w:rPr>
            </w:pPr>
          </w:p>
        </w:tc>
        <w:tc>
          <w:tcPr>
            <w:tcW w:w="1360" w:type="dxa"/>
            <w:vAlign w:val="center"/>
          </w:tcPr>
          <w:p w14:paraId="02B7CFA5">
            <w:pPr>
              <w:jc w:val="center"/>
              <w:rPr>
                <w:rFonts w:hint="eastAsia" w:ascii="宋体" w:hAnsi="宋体"/>
                <w:color w:val="auto"/>
                <w:szCs w:val="21"/>
                <w:highlight w:val="none"/>
              </w:rPr>
            </w:pPr>
          </w:p>
        </w:tc>
        <w:tc>
          <w:tcPr>
            <w:tcW w:w="1587" w:type="dxa"/>
            <w:vAlign w:val="center"/>
          </w:tcPr>
          <w:p w14:paraId="2C86DD0E">
            <w:pPr>
              <w:jc w:val="center"/>
              <w:rPr>
                <w:rFonts w:hint="eastAsia" w:ascii="宋体" w:hAnsi="宋体"/>
                <w:color w:val="auto"/>
                <w:szCs w:val="21"/>
                <w:highlight w:val="none"/>
              </w:rPr>
            </w:pPr>
          </w:p>
        </w:tc>
        <w:tc>
          <w:tcPr>
            <w:tcW w:w="1133" w:type="dxa"/>
            <w:vAlign w:val="center"/>
          </w:tcPr>
          <w:p w14:paraId="6E6785DC">
            <w:pPr>
              <w:jc w:val="center"/>
              <w:rPr>
                <w:rFonts w:hint="eastAsia" w:ascii="宋体" w:hAnsi="宋体"/>
                <w:color w:val="auto"/>
                <w:szCs w:val="21"/>
                <w:highlight w:val="none"/>
              </w:rPr>
            </w:pPr>
          </w:p>
        </w:tc>
        <w:tc>
          <w:tcPr>
            <w:tcW w:w="1730" w:type="dxa"/>
            <w:vAlign w:val="center"/>
          </w:tcPr>
          <w:p w14:paraId="0B1DFF7A">
            <w:pPr>
              <w:jc w:val="center"/>
              <w:rPr>
                <w:rFonts w:hint="eastAsia" w:ascii="宋体" w:hAnsi="宋体"/>
                <w:color w:val="auto"/>
                <w:szCs w:val="21"/>
                <w:highlight w:val="none"/>
              </w:rPr>
            </w:pPr>
          </w:p>
        </w:tc>
      </w:tr>
      <w:tr w14:paraId="55844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6952C19">
            <w:pPr>
              <w:jc w:val="center"/>
              <w:rPr>
                <w:rFonts w:hint="eastAsia" w:ascii="宋体" w:hAnsi="宋体"/>
                <w:color w:val="auto"/>
                <w:szCs w:val="21"/>
                <w:highlight w:val="none"/>
              </w:rPr>
            </w:pPr>
          </w:p>
        </w:tc>
        <w:tc>
          <w:tcPr>
            <w:tcW w:w="1620" w:type="dxa"/>
            <w:vAlign w:val="center"/>
          </w:tcPr>
          <w:p w14:paraId="7817F73A">
            <w:pPr>
              <w:jc w:val="center"/>
              <w:rPr>
                <w:rFonts w:hint="eastAsia" w:ascii="宋体" w:hAnsi="宋体"/>
                <w:color w:val="auto"/>
                <w:szCs w:val="21"/>
                <w:highlight w:val="none"/>
              </w:rPr>
            </w:pPr>
          </w:p>
        </w:tc>
        <w:tc>
          <w:tcPr>
            <w:tcW w:w="1360" w:type="dxa"/>
            <w:vAlign w:val="center"/>
          </w:tcPr>
          <w:p w14:paraId="6875FE46">
            <w:pPr>
              <w:jc w:val="center"/>
              <w:rPr>
                <w:rFonts w:hint="eastAsia" w:ascii="宋体" w:hAnsi="宋体"/>
                <w:color w:val="auto"/>
                <w:szCs w:val="21"/>
                <w:highlight w:val="none"/>
              </w:rPr>
            </w:pPr>
          </w:p>
        </w:tc>
        <w:tc>
          <w:tcPr>
            <w:tcW w:w="1587" w:type="dxa"/>
            <w:vAlign w:val="center"/>
          </w:tcPr>
          <w:p w14:paraId="01A3969C">
            <w:pPr>
              <w:jc w:val="center"/>
              <w:rPr>
                <w:rFonts w:hint="eastAsia" w:ascii="宋体" w:hAnsi="宋体"/>
                <w:color w:val="auto"/>
                <w:szCs w:val="21"/>
                <w:highlight w:val="none"/>
              </w:rPr>
            </w:pPr>
          </w:p>
        </w:tc>
        <w:tc>
          <w:tcPr>
            <w:tcW w:w="1133" w:type="dxa"/>
            <w:vAlign w:val="center"/>
          </w:tcPr>
          <w:p w14:paraId="740A0D71">
            <w:pPr>
              <w:jc w:val="center"/>
              <w:rPr>
                <w:rFonts w:hint="eastAsia" w:ascii="宋体" w:hAnsi="宋体"/>
                <w:color w:val="auto"/>
                <w:szCs w:val="21"/>
                <w:highlight w:val="none"/>
              </w:rPr>
            </w:pPr>
          </w:p>
        </w:tc>
        <w:tc>
          <w:tcPr>
            <w:tcW w:w="1730" w:type="dxa"/>
            <w:vAlign w:val="center"/>
          </w:tcPr>
          <w:p w14:paraId="0DB81611">
            <w:pPr>
              <w:jc w:val="center"/>
              <w:rPr>
                <w:rFonts w:hint="eastAsia" w:ascii="宋体" w:hAnsi="宋体"/>
                <w:color w:val="auto"/>
                <w:szCs w:val="21"/>
                <w:highlight w:val="none"/>
              </w:rPr>
            </w:pPr>
          </w:p>
        </w:tc>
      </w:tr>
      <w:tr w14:paraId="00CA1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26DD8B0">
            <w:pPr>
              <w:jc w:val="center"/>
              <w:rPr>
                <w:rFonts w:hint="eastAsia" w:ascii="宋体" w:hAnsi="宋体"/>
                <w:color w:val="auto"/>
                <w:szCs w:val="21"/>
                <w:highlight w:val="none"/>
              </w:rPr>
            </w:pPr>
          </w:p>
        </w:tc>
        <w:tc>
          <w:tcPr>
            <w:tcW w:w="1620" w:type="dxa"/>
            <w:vAlign w:val="center"/>
          </w:tcPr>
          <w:p w14:paraId="7EA7454A">
            <w:pPr>
              <w:jc w:val="center"/>
              <w:rPr>
                <w:rFonts w:hint="eastAsia" w:ascii="宋体" w:hAnsi="宋体"/>
                <w:color w:val="auto"/>
                <w:szCs w:val="21"/>
                <w:highlight w:val="none"/>
              </w:rPr>
            </w:pPr>
          </w:p>
        </w:tc>
        <w:tc>
          <w:tcPr>
            <w:tcW w:w="1360" w:type="dxa"/>
            <w:vAlign w:val="center"/>
          </w:tcPr>
          <w:p w14:paraId="3702C155">
            <w:pPr>
              <w:jc w:val="center"/>
              <w:rPr>
                <w:rFonts w:hint="eastAsia" w:ascii="宋体" w:hAnsi="宋体"/>
                <w:color w:val="auto"/>
                <w:szCs w:val="21"/>
                <w:highlight w:val="none"/>
              </w:rPr>
            </w:pPr>
          </w:p>
        </w:tc>
        <w:tc>
          <w:tcPr>
            <w:tcW w:w="1587" w:type="dxa"/>
            <w:vAlign w:val="center"/>
          </w:tcPr>
          <w:p w14:paraId="653BD470">
            <w:pPr>
              <w:jc w:val="center"/>
              <w:rPr>
                <w:rFonts w:hint="eastAsia" w:ascii="宋体" w:hAnsi="宋体"/>
                <w:color w:val="auto"/>
                <w:szCs w:val="21"/>
                <w:highlight w:val="none"/>
              </w:rPr>
            </w:pPr>
          </w:p>
        </w:tc>
        <w:tc>
          <w:tcPr>
            <w:tcW w:w="1133" w:type="dxa"/>
            <w:vAlign w:val="center"/>
          </w:tcPr>
          <w:p w14:paraId="79808910">
            <w:pPr>
              <w:jc w:val="center"/>
              <w:rPr>
                <w:rFonts w:hint="eastAsia" w:ascii="宋体" w:hAnsi="宋体"/>
                <w:color w:val="auto"/>
                <w:szCs w:val="21"/>
                <w:highlight w:val="none"/>
              </w:rPr>
            </w:pPr>
          </w:p>
        </w:tc>
        <w:tc>
          <w:tcPr>
            <w:tcW w:w="1730" w:type="dxa"/>
            <w:vAlign w:val="center"/>
          </w:tcPr>
          <w:p w14:paraId="6DDB629E">
            <w:pPr>
              <w:jc w:val="center"/>
              <w:rPr>
                <w:rFonts w:hint="eastAsia" w:ascii="宋体" w:hAnsi="宋体"/>
                <w:color w:val="auto"/>
                <w:szCs w:val="21"/>
                <w:highlight w:val="none"/>
              </w:rPr>
            </w:pPr>
          </w:p>
        </w:tc>
      </w:tr>
      <w:tr w14:paraId="513E9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840E451">
            <w:pPr>
              <w:jc w:val="center"/>
              <w:rPr>
                <w:rFonts w:hint="eastAsia" w:ascii="宋体" w:hAnsi="宋体"/>
                <w:color w:val="auto"/>
                <w:szCs w:val="21"/>
                <w:highlight w:val="none"/>
              </w:rPr>
            </w:pPr>
          </w:p>
        </w:tc>
        <w:tc>
          <w:tcPr>
            <w:tcW w:w="1620" w:type="dxa"/>
            <w:vAlign w:val="center"/>
          </w:tcPr>
          <w:p w14:paraId="7D3FFD27">
            <w:pPr>
              <w:jc w:val="center"/>
              <w:rPr>
                <w:rFonts w:hint="eastAsia" w:ascii="宋体" w:hAnsi="宋体"/>
                <w:color w:val="auto"/>
                <w:szCs w:val="21"/>
                <w:highlight w:val="none"/>
              </w:rPr>
            </w:pPr>
          </w:p>
        </w:tc>
        <w:tc>
          <w:tcPr>
            <w:tcW w:w="1360" w:type="dxa"/>
            <w:vAlign w:val="center"/>
          </w:tcPr>
          <w:p w14:paraId="4DA800B1">
            <w:pPr>
              <w:jc w:val="center"/>
              <w:rPr>
                <w:rFonts w:hint="eastAsia" w:ascii="宋体" w:hAnsi="宋体"/>
                <w:color w:val="auto"/>
                <w:szCs w:val="21"/>
                <w:highlight w:val="none"/>
              </w:rPr>
            </w:pPr>
          </w:p>
        </w:tc>
        <w:tc>
          <w:tcPr>
            <w:tcW w:w="1587" w:type="dxa"/>
            <w:vAlign w:val="center"/>
          </w:tcPr>
          <w:p w14:paraId="2E2A703D">
            <w:pPr>
              <w:jc w:val="center"/>
              <w:rPr>
                <w:rFonts w:hint="eastAsia" w:ascii="宋体" w:hAnsi="宋体"/>
                <w:color w:val="auto"/>
                <w:szCs w:val="21"/>
                <w:highlight w:val="none"/>
              </w:rPr>
            </w:pPr>
          </w:p>
        </w:tc>
        <w:tc>
          <w:tcPr>
            <w:tcW w:w="1133" w:type="dxa"/>
            <w:vAlign w:val="center"/>
          </w:tcPr>
          <w:p w14:paraId="79EDADBC">
            <w:pPr>
              <w:jc w:val="center"/>
              <w:rPr>
                <w:rFonts w:hint="eastAsia" w:ascii="宋体" w:hAnsi="宋体"/>
                <w:color w:val="auto"/>
                <w:szCs w:val="21"/>
                <w:highlight w:val="none"/>
              </w:rPr>
            </w:pPr>
          </w:p>
        </w:tc>
        <w:tc>
          <w:tcPr>
            <w:tcW w:w="1730" w:type="dxa"/>
            <w:vAlign w:val="center"/>
          </w:tcPr>
          <w:p w14:paraId="0B21F685">
            <w:pPr>
              <w:jc w:val="center"/>
              <w:rPr>
                <w:rFonts w:hint="eastAsia" w:ascii="宋体" w:hAnsi="宋体"/>
                <w:color w:val="auto"/>
                <w:szCs w:val="21"/>
                <w:highlight w:val="none"/>
              </w:rPr>
            </w:pPr>
          </w:p>
        </w:tc>
      </w:tr>
      <w:tr w14:paraId="31887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AA19D40">
            <w:pPr>
              <w:jc w:val="center"/>
              <w:rPr>
                <w:rFonts w:hint="eastAsia" w:ascii="宋体" w:hAnsi="宋体"/>
                <w:color w:val="auto"/>
                <w:szCs w:val="21"/>
                <w:highlight w:val="none"/>
              </w:rPr>
            </w:pPr>
          </w:p>
        </w:tc>
        <w:tc>
          <w:tcPr>
            <w:tcW w:w="1620" w:type="dxa"/>
            <w:vAlign w:val="center"/>
          </w:tcPr>
          <w:p w14:paraId="0705702C">
            <w:pPr>
              <w:jc w:val="center"/>
              <w:rPr>
                <w:rFonts w:hint="eastAsia" w:ascii="宋体" w:hAnsi="宋体"/>
                <w:color w:val="auto"/>
                <w:szCs w:val="21"/>
                <w:highlight w:val="none"/>
              </w:rPr>
            </w:pPr>
          </w:p>
        </w:tc>
        <w:tc>
          <w:tcPr>
            <w:tcW w:w="1360" w:type="dxa"/>
            <w:vAlign w:val="center"/>
          </w:tcPr>
          <w:p w14:paraId="7FDF2610">
            <w:pPr>
              <w:jc w:val="center"/>
              <w:rPr>
                <w:rFonts w:hint="eastAsia" w:ascii="宋体" w:hAnsi="宋体"/>
                <w:color w:val="auto"/>
                <w:szCs w:val="21"/>
                <w:highlight w:val="none"/>
              </w:rPr>
            </w:pPr>
          </w:p>
        </w:tc>
        <w:tc>
          <w:tcPr>
            <w:tcW w:w="1587" w:type="dxa"/>
            <w:vAlign w:val="center"/>
          </w:tcPr>
          <w:p w14:paraId="19A3CA4C">
            <w:pPr>
              <w:jc w:val="center"/>
              <w:rPr>
                <w:rFonts w:hint="eastAsia" w:ascii="宋体" w:hAnsi="宋体"/>
                <w:color w:val="auto"/>
                <w:szCs w:val="21"/>
                <w:highlight w:val="none"/>
              </w:rPr>
            </w:pPr>
          </w:p>
        </w:tc>
        <w:tc>
          <w:tcPr>
            <w:tcW w:w="1133" w:type="dxa"/>
            <w:vAlign w:val="center"/>
          </w:tcPr>
          <w:p w14:paraId="1E8FB135">
            <w:pPr>
              <w:jc w:val="center"/>
              <w:rPr>
                <w:rFonts w:hint="eastAsia" w:ascii="宋体" w:hAnsi="宋体"/>
                <w:color w:val="auto"/>
                <w:szCs w:val="21"/>
                <w:highlight w:val="none"/>
              </w:rPr>
            </w:pPr>
          </w:p>
        </w:tc>
        <w:tc>
          <w:tcPr>
            <w:tcW w:w="1730" w:type="dxa"/>
            <w:vAlign w:val="center"/>
          </w:tcPr>
          <w:p w14:paraId="25BD424A">
            <w:pPr>
              <w:jc w:val="center"/>
              <w:rPr>
                <w:rFonts w:hint="eastAsia" w:ascii="宋体" w:hAnsi="宋体"/>
                <w:color w:val="auto"/>
                <w:szCs w:val="21"/>
                <w:highlight w:val="none"/>
              </w:rPr>
            </w:pPr>
          </w:p>
        </w:tc>
      </w:tr>
      <w:tr w14:paraId="0E260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5518371">
            <w:pPr>
              <w:jc w:val="center"/>
              <w:rPr>
                <w:rFonts w:hint="eastAsia" w:ascii="宋体" w:hAnsi="宋体"/>
                <w:color w:val="auto"/>
                <w:szCs w:val="21"/>
                <w:highlight w:val="none"/>
              </w:rPr>
            </w:pPr>
          </w:p>
        </w:tc>
        <w:tc>
          <w:tcPr>
            <w:tcW w:w="1620" w:type="dxa"/>
            <w:vAlign w:val="center"/>
          </w:tcPr>
          <w:p w14:paraId="160F8717">
            <w:pPr>
              <w:jc w:val="center"/>
              <w:rPr>
                <w:rFonts w:hint="eastAsia" w:ascii="宋体" w:hAnsi="宋体"/>
                <w:color w:val="auto"/>
                <w:szCs w:val="21"/>
                <w:highlight w:val="none"/>
              </w:rPr>
            </w:pPr>
          </w:p>
        </w:tc>
        <w:tc>
          <w:tcPr>
            <w:tcW w:w="1360" w:type="dxa"/>
            <w:vAlign w:val="center"/>
          </w:tcPr>
          <w:p w14:paraId="69E78C3F">
            <w:pPr>
              <w:jc w:val="center"/>
              <w:rPr>
                <w:rFonts w:hint="eastAsia" w:ascii="宋体" w:hAnsi="宋体"/>
                <w:color w:val="auto"/>
                <w:szCs w:val="21"/>
                <w:highlight w:val="none"/>
              </w:rPr>
            </w:pPr>
          </w:p>
        </w:tc>
        <w:tc>
          <w:tcPr>
            <w:tcW w:w="1587" w:type="dxa"/>
            <w:vAlign w:val="center"/>
          </w:tcPr>
          <w:p w14:paraId="4268D922">
            <w:pPr>
              <w:jc w:val="center"/>
              <w:rPr>
                <w:rFonts w:hint="eastAsia" w:ascii="宋体" w:hAnsi="宋体"/>
                <w:color w:val="auto"/>
                <w:szCs w:val="21"/>
                <w:highlight w:val="none"/>
              </w:rPr>
            </w:pPr>
          </w:p>
        </w:tc>
        <w:tc>
          <w:tcPr>
            <w:tcW w:w="1133" w:type="dxa"/>
            <w:vAlign w:val="center"/>
          </w:tcPr>
          <w:p w14:paraId="67890D3D">
            <w:pPr>
              <w:jc w:val="center"/>
              <w:rPr>
                <w:rFonts w:hint="eastAsia" w:ascii="宋体" w:hAnsi="宋体"/>
                <w:color w:val="auto"/>
                <w:szCs w:val="21"/>
                <w:highlight w:val="none"/>
              </w:rPr>
            </w:pPr>
          </w:p>
        </w:tc>
        <w:tc>
          <w:tcPr>
            <w:tcW w:w="1730" w:type="dxa"/>
            <w:vAlign w:val="center"/>
          </w:tcPr>
          <w:p w14:paraId="6DDB7D85">
            <w:pPr>
              <w:jc w:val="center"/>
              <w:rPr>
                <w:rFonts w:hint="eastAsia" w:ascii="宋体" w:hAnsi="宋体"/>
                <w:color w:val="auto"/>
                <w:szCs w:val="21"/>
                <w:highlight w:val="none"/>
              </w:rPr>
            </w:pPr>
          </w:p>
        </w:tc>
      </w:tr>
      <w:tr w14:paraId="10A58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9385F26">
            <w:pPr>
              <w:jc w:val="center"/>
              <w:rPr>
                <w:rFonts w:hint="eastAsia" w:ascii="宋体" w:hAnsi="宋体"/>
                <w:color w:val="auto"/>
                <w:szCs w:val="21"/>
                <w:highlight w:val="none"/>
              </w:rPr>
            </w:pPr>
          </w:p>
        </w:tc>
        <w:tc>
          <w:tcPr>
            <w:tcW w:w="1620" w:type="dxa"/>
            <w:vAlign w:val="center"/>
          </w:tcPr>
          <w:p w14:paraId="788D8C81">
            <w:pPr>
              <w:jc w:val="center"/>
              <w:rPr>
                <w:rFonts w:hint="eastAsia" w:ascii="宋体" w:hAnsi="宋体"/>
                <w:color w:val="auto"/>
                <w:szCs w:val="21"/>
                <w:highlight w:val="none"/>
              </w:rPr>
            </w:pPr>
          </w:p>
        </w:tc>
        <w:tc>
          <w:tcPr>
            <w:tcW w:w="1360" w:type="dxa"/>
            <w:vAlign w:val="center"/>
          </w:tcPr>
          <w:p w14:paraId="1B1EC485">
            <w:pPr>
              <w:jc w:val="center"/>
              <w:rPr>
                <w:rFonts w:hint="eastAsia" w:ascii="宋体" w:hAnsi="宋体"/>
                <w:color w:val="auto"/>
                <w:szCs w:val="21"/>
                <w:highlight w:val="none"/>
              </w:rPr>
            </w:pPr>
          </w:p>
        </w:tc>
        <w:tc>
          <w:tcPr>
            <w:tcW w:w="1587" w:type="dxa"/>
            <w:vAlign w:val="center"/>
          </w:tcPr>
          <w:p w14:paraId="26AB2AE5">
            <w:pPr>
              <w:jc w:val="center"/>
              <w:rPr>
                <w:rFonts w:hint="eastAsia" w:ascii="宋体" w:hAnsi="宋体"/>
                <w:color w:val="auto"/>
                <w:szCs w:val="21"/>
                <w:highlight w:val="none"/>
              </w:rPr>
            </w:pPr>
          </w:p>
        </w:tc>
        <w:tc>
          <w:tcPr>
            <w:tcW w:w="1133" w:type="dxa"/>
            <w:vAlign w:val="center"/>
          </w:tcPr>
          <w:p w14:paraId="799647A4">
            <w:pPr>
              <w:jc w:val="center"/>
              <w:rPr>
                <w:rFonts w:hint="eastAsia" w:ascii="宋体" w:hAnsi="宋体"/>
                <w:color w:val="auto"/>
                <w:szCs w:val="21"/>
                <w:highlight w:val="none"/>
              </w:rPr>
            </w:pPr>
          </w:p>
        </w:tc>
        <w:tc>
          <w:tcPr>
            <w:tcW w:w="1730" w:type="dxa"/>
            <w:vAlign w:val="center"/>
          </w:tcPr>
          <w:p w14:paraId="35E10802">
            <w:pPr>
              <w:jc w:val="center"/>
              <w:rPr>
                <w:rFonts w:hint="eastAsia" w:ascii="宋体" w:hAnsi="宋体"/>
                <w:color w:val="auto"/>
                <w:szCs w:val="21"/>
                <w:highlight w:val="none"/>
              </w:rPr>
            </w:pPr>
          </w:p>
        </w:tc>
      </w:tr>
      <w:tr w14:paraId="064DE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B358F09">
            <w:pPr>
              <w:jc w:val="center"/>
              <w:rPr>
                <w:rFonts w:hint="eastAsia" w:ascii="宋体" w:hAnsi="宋体"/>
                <w:color w:val="auto"/>
                <w:szCs w:val="21"/>
                <w:highlight w:val="none"/>
              </w:rPr>
            </w:pPr>
          </w:p>
        </w:tc>
        <w:tc>
          <w:tcPr>
            <w:tcW w:w="1620" w:type="dxa"/>
            <w:vAlign w:val="center"/>
          </w:tcPr>
          <w:p w14:paraId="5B1BE401">
            <w:pPr>
              <w:jc w:val="center"/>
              <w:rPr>
                <w:rFonts w:hint="eastAsia" w:ascii="宋体" w:hAnsi="宋体"/>
                <w:color w:val="auto"/>
                <w:szCs w:val="21"/>
                <w:highlight w:val="none"/>
              </w:rPr>
            </w:pPr>
          </w:p>
        </w:tc>
        <w:tc>
          <w:tcPr>
            <w:tcW w:w="1360" w:type="dxa"/>
            <w:vAlign w:val="center"/>
          </w:tcPr>
          <w:p w14:paraId="27EE034B">
            <w:pPr>
              <w:jc w:val="center"/>
              <w:rPr>
                <w:rFonts w:hint="eastAsia" w:ascii="宋体" w:hAnsi="宋体"/>
                <w:color w:val="auto"/>
                <w:szCs w:val="21"/>
                <w:highlight w:val="none"/>
              </w:rPr>
            </w:pPr>
          </w:p>
        </w:tc>
        <w:tc>
          <w:tcPr>
            <w:tcW w:w="1587" w:type="dxa"/>
            <w:vAlign w:val="center"/>
          </w:tcPr>
          <w:p w14:paraId="2C23424F">
            <w:pPr>
              <w:jc w:val="center"/>
              <w:rPr>
                <w:rFonts w:hint="eastAsia" w:ascii="宋体" w:hAnsi="宋体"/>
                <w:color w:val="auto"/>
                <w:szCs w:val="21"/>
                <w:highlight w:val="none"/>
              </w:rPr>
            </w:pPr>
          </w:p>
        </w:tc>
        <w:tc>
          <w:tcPr>
            <w:tcW w:w="1133" w:type="dxa"/>
            <w:vAlign w:val="center"/>
          </w:tcPr>
          <w:p w14:paraId="1408BEFA">
            <w:pPr>
              <w:jc w:val="center"/>
              <w:rPr>
                <w:rFonts w:hint="eastAsia" w:ascii="宋体" w:hAnsi="宋体"/>
                <w:color w:val="auto"/>
                <w:szCs w:val="21"/>
                <w:highlight w:val="none"/>
              </w:rPr>
            </w:pPr>
          </w:p>
        </w:tc>
        <w:tc>
          <w:tcPr>
            <w:tcW w:w="1730" w:type="dxa"/>
            <w:vAlign w:val="center"/>
          </w:tcPr>
          <w:p w14:paraId="5C761D40">
            <w:pPr>
              <w:jc w:val="center"/>
              <w:rPr>
                <w:rFonts w:hint="eastAsia" w:ascii="宋体" w:hAnsi="宋体"/>
                <w:color w:val="auto"/>
                <w:szCs w:val="21"/>
                <w:highlight w:val="none"/>
              </w:rPr>
            </w:pPr>
          </w:p>
        </w:tc>
      </w:tr>
      <w:tr w14:paraId="23EA8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8FEB44D">
            <w:pPr>
              <w:jc w:val="center"/>
              <w:rPr>
                <w:rFonts w:hint="eastAsia" w:ascii="宋体" w:hAnsi="宋体"/>
                <w:color w:val="auto"/>
                <w:szCs w:val="21"/>
                <w:highlight w:val="none"/>
              </w:rPr>
            </w:pPr>
          </w:p>
        </w:tc>
        <w:tc>
          <w:tcPr>
            <w:tcW w:w="1620" w:type="dxa"/>
            <w:vAlign w:val="center"/>
          </w:tcPr>
          <w:p w14:paraId="06D6BE85">
            <w:pPr>
              <w:jc w:val="center"/>
              <w:rPr>
                <w:rFonts w:hint="eastAsia" w:ascii="宋体" w:hAnsi="宋体"/>
                <w:color w:val="auto"/>
                <w:szCs w:val="21"/>
                <w:highlight w:val="none"/>
              </w:rPr>
            </w:pPr>
          </w:p>
        </w:tc>
        <w:tc>
          <w:tcPr>
            <w:tcW w:w="1360" w:type="dxa"/>
            <w:vAlign w:val="center"/>
          </w:tcPr>
          <w:p w14:paraId="77D4A0AF">
            <w:pPr>
              <w:jc w:val="center"/>
              <w:rPr>
                <w:rFonts w:hint="eastAsia" w:ascii="宋体" w:hAnsi="宋体"/>
                <w:color w:val="auto"/>
                <w:szCs w:val="21"/>
                <w:highlight w:val="none"/>
              </w:rPr>
            </w:pPr>
          </w:p>
        </w:tc>
        <w:tc>
          <w:tcPr>
            <w:tcW w:w="1587" w:type="dxa"/>
            <w:vAlign w:val="center"/>
          </w:tcPr>
          <w:p w14:paraId="47BC9C01">
            <w:pPr>
              <w:jc w:val="center"/>
              <w:rPr>
                <w:rFonts w:hint="eastAsia" w:ascii="宋体" w:hAnsi="宋体"/>
                <w:color w:val="auto"/>
                <w:szCs w:val="21"/>
                <w:highlight w:val="none"/>
              </w:rPr>
            </w:pPr>
          </w:p>
        </w:tc>
        <w:tc>
          <w:tcPr>
            <w:tcW w:w="1133" w:type="dxa"/>
            <w:vAlign w:val="center"/>
          </w:tcPr>
          <w:p w14:paraId="1E24C8AE">
            <w:pPr>
              <w:jc w:val="center"/>
              <w:rPr>
                <w:rFonts w:hint="eastAsia" w:ascii="宋体" w:hAnsi="宋体"/>
                <w:color w:val="auto"/>
                <w:szCs w:val="21"/>
                <w:highlight w:val="none"/>
              </w:rPr>
            </w:pPr>
          </w:p>
        </w:tc>
        <w:tc>
          <w:tcPr>
            <w:tcW w:w="1730" w:type="dxa"/>
            <w:vAlign w:val="center"/>
          </w:tcPr>
          <w:p w14:paraId="7DDCFD15">
            <w:pPr>
              <w:jc w:val="center"/>
              <w:rPr>
                <w:rFonts w:hint="eastAsia" w:ascii="宋体" w:hAnsi="宋体"/>
                <w:color w:val="auto"/>
                <w:szCs w:val="21"/>
                <w:highlight w:val="none"/>
              </w:rPr>
            </w:pPr>
          </w:p>
        </w:tc>
      </w:tr>
      <w:tr w14:paraId="1160B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D4235BC">
            <w:pPr>
              <w:jc w:val="center"/>
              <w:rPr>
                <w:rFonts w:hint="eastAsia" w:ascii="宋体" w:hAnsi="宋体"/>
                <w:color w:val="auto"/>
                <w:szCs w:val="21"/>
                <w:highlight w:val="none"/>
              </w:rPr>
            </w:pPr>
          </w:p>
        </w:tc>
        <w:tc>
          <w:tcPr>
            <w:tcW w:w="1620" w:type="dxa"/>
            <w:vAlign w:val="center"/>
          </w:tcPr>
          <w:p w14:paraId="3A0752DA">
            <w:pPr>
              <w:jc w:val="center"/>
              <w:rPr>
                <w:rFonts w:hint="eastAsia" w:ascii="宋体" w:hAnsi="宋体"/>
                <w:color w:val="auto"/>
                <w:szCs w:val="21"/>
                <w:highlight w:val="none"/>
              </w:rPr>
            </w:pPr>
          </w:p>
        </w:tc>
        <w:tc>
          <w:tcPr>
            <w:tcW w:w="1360" w:type="dxa"/>
            <w:vAlign w:val="center"/>
          </w:tcPr>
          <w:p w14:paraId="369A28A6">
            <w:pPr>
              <w:jc w:val="center"/>
              <w:rPr>
                <w:rFonts w:hint="eastAsia" w:ascii="宋体" w:hAnsi="宋体"/>
                <w:color w:val="auto"/>
                <w:szCs w:val="21"/>
                <w:highlight w:val="none"/>
              </w:rPr>
            </w:pPr>
          </w:p>
        </w:tc>
        <w:tc>
          <w:tcPr>
            <w:tcW w:w="1587" w:type="dxa"/>
            <w:vAlign w:val="center"/>
          </w:tcPr>
          <w:p w14:paraId="15F35862">
            <w:pPr>
              <w:jc w:val="center"/>
              <w:rPr>
                <w:rFonts w:hint="eastAsia" w:ascii="宋体" w:hAnsi="宋体"/>
                <w:color w:val="auto"/>
                <w:szCs w:val="21"/>
                <w:highlight w:val="none"/>
              </w:rPr>
            </w:pPr>
          </w:p>
        </w:tc>
        <w:tc>
          <w:tcPr>
            <w:tcW w:w="1133" w:type="dxa"/>
            <w:vAlign w:val="center"/>
          </w:tcPr>
          <w:p w14:paraId="657425FC">
            <w:pPr>
              <w:jc w:val="center"/>
              <w:rPr>
                <w:rFonts w:hint="eastAsia" w:ascii="宋体" w:hAnsi="宋体"/>
                <w:color w:val="auto"/>
                <w:szCs w:val="21"/>
                <w:highlight w:val="none"/>
              </w:rPr>
            </w:pPr>
          </w:p>
        </w:tc>
        <w:tc>
          <w:tcPr>
            <w:tcW w:w="1730" w:type="dxa"/>
            <w:vAlign w:val="center"/>
          </w:tcPr>
          <w:p w14:paraId="44FAC6E0">
            <w:pPr>
              <w:jc w:val="center"/>
              <w:rPr>
                <w:rFonts w:hint="eastAsia" w:ascii="宋体" w:hAnsi="宋体"/>
                <w:color w:val="auto"/>
                <w:szCs w:val="21"/>
                <w:highlight w:val="none"/>
              </w:rPr>
            </w:pPr>
          </w:p>
        </w:tc>
      </w:tr>
    </w:tbl>
    <w:p w14:paraId="5806A5DB">
      <w:pPr>
        <w:rPr>
          <w:rFonts w:hint="eastAsia" w:ascii="宋体" w:hAnsi="宋体"/>
          <w:color w:val="auto"/>
          <w:szCs w:val="21"/>
          <w:highlight w:val="none"/>
        </w:rPr>
      </w:pPr>
    </w:p>
    <w:p w14:paraId="4887FB8F">
      <w:pPr>
        <w:rPr>
          <w:rFonts w:hint="eastAsia" w:ascii="宋体" w:hAnsi="宋体"/>
          <w:color w:val="auto"/>
          <w:szCs w:val="21"/>
          <w:highlight w:val="none"/>
        </w:rPr>
      </w:pPr>
      <w:r>
        <w:rPr>
          <w:rFonts w:hint="eastAsia" w:ascii="宋体" w:hAnsi="宋体"/>
          <w:color w:val="auto"/>
          <w:szCs w:val="21"/>
          <w:highlight w:val="none"/>
        </w:rPr>
        <w:t>投标人代表签字：</w:t>
      </w:r>
    </w:p>
    <w:p w14:paraId="41FC76B0">
      <w:pPr>
        <w:rPr>
          <w:rFonts w:hint="eastAsia" w:ascii="宋体" w:hAnsi="宋体"/>
          <w:color w:val="auto"/>
          <w:szCs w:val="21"/>
          <w:highlight w:val="none"/>
        </w:rPr>
      </w:pPr>
      <w:r>
        <w:rPr>
          <w:rFonts w:hint="eastAsia" w:ascii="宋体" w:hAnsi="宋体"/>
          <w:color w:val="auto"/>
          <w:szCs w:val="21"/>
          <w:highlight w:val="none"/>
        </w:rPr>
        <w:t>投标人盖章：</w:t>
      </w:r>
    </w:p>
    <w:p w14:paraId="1F78AC88">
      <w:pPr>
        <w:rPr>
          <w:rFonts w:hint="eastAsia" w:ascii="宋体" w:hAnsi="宋体"/>
          <w:color w:val="auto"/>
          <w:szCs w:val="21"/>
          <w:highlight w:val="none"/>
        </w:rPr>
      </w:pPr>
    </w:p>
    <w:p w14:paraId="455E07FA">
      <w:pPr>
        <w:ind w:left="718" w:hanging="718" w:hangingChars="342"/>
        <w:rPr>
          <w:rFonts w:hint="eastAsia" w:ascii="宋体" w:hAnsi="宋体"/>
          <w:color w:val="auto"/>
          <w:szCs w:val="21"/>
          <w:highlight w:val="none"/>
        </w:rPr>
      </w:pPr>
      <w:r>
        <w:rPr>
          <w:rFonts w:hint="eastAsia" w:ascii="宋体" w:hAnsi="宋体"/>
          <w:color w:val="auto"/>
          <w:szCs w:val="21"/>
          <w:highlight w:val="none"/>
        </w:rPr>
        <w:t>注：</w:t>
      </w:r>
    </w:p>
    <w:p w14:paraId="355FE131">
      <w:pPr>
        <w:rPr>
          <w:rFonts w:hint="eastAsia"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14:paraId="57D290C0">
      <w:pPr>
        <w:rPr>
          <w:rFonts w:hint="eastAsia"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673FBAEC">
      <w:pPr>
        <w:rPr>
          <w:rFonts w:hint="eastAsia"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043050C2">
      <w:pPr>
        <w:rPr>
          <w:rFonts w:hint="eastAsia"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461CC666">
      <w:pPr>
        <w:rPr>
          <w:rFonts w:hint="eastAsia"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46AD1732">
      <w:pPr>
        <w:rPr>
          <w:rFonts w:hint="eastAsia" w:ascii="宋体" w:hAnsi="宋体"/>
          <w:color w:val="auto"/>
          <w:szCs w:val="21"/>
          <w:highlight w:val="none"/>
        </w:rPr>
      </w:pPr>
      <w:r>
        <w:rPr>
          <w:rFonts w:hint="eastAsia" w:ascii="宋体" w:hAnsi="宋体"/>
          <w:color w:val="auto"/>
          <w:szCs w:val="21"/>
          <w:highlight w:val="none"/>
        </w:rPr>
        <w:br w:type="page"/>
      </w:r>
    </w:p>
    <w:p w14:paraId="14AA863A">
      <w:pPr>
        <w:pStyle w:val="8"/>
        <w:widowControl w:val="0"/>
        <w:overflowPunct w:val="0"/>
        <w:spacing w:line="240" w:lineRule="auto"/>
        <w:rPr>
          <w:rFonts w:hint="eastAsia" w:ascii="宋体" w:hAnsi="宋体"/>
          <w:color w:val="auto"/>
          <w:sz w:val="30"/>
          <w:szCs w:val="30"/>
          <w:highlight w:val="none"/>
        </w:rPr>
      </w:pPr>
      <w:bookmarkStart w:id="165" w:name="_Toc182308044"/>
      <w:r>
        <w:rPr>
          <w:rFonts w:hint="eastAsia" w:ascii="宋体" w:hAnsi="宋体"/>
          <w:color w:val="auto"/>
          <w:sz w:val="21"/>
          <w:szCs w:val="21"/>
          <w:highlight w:val="none"/>
        </w:rPr>
        <w:t>附件12.业绩表</w:t>
      </w:r>
      <w:bookmarkEnd w:id="165"/>
    </w:p>
    <w:p w14:paraId="6EECCEC0">
      <w:pP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30"/>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74EE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0795137D">
            <w:pPr>
              <w:adjustRightInd/>
              <w:snapToGrid/>
              <w:jc w:val="center"/>
              <w:rPr>
                <w:rFonts w:hint="eastAsia" w:ascii="宋体" w:hAnsi="宋体"/>
                <w:color w:val="auto"/>
                <w:szCs w:val="21"/>
                <w:highlight w:val="none"/>
              </w:rPr>
            </w:pPr>
            <w:r>
              <w:rPr>
                <w:rFonts w:hint="eastAsia" w:ascii="宋体" w:hAnsi="宋体"/>
                <w:color w:val="auto"/>
                <w:szCs w:val="21"/>
                <w:highlight w:val="none"/>
              </w:rPr>
              <w:t>序号</w:t>
            </w:r>
          </w:p>
        </w:tc>
        <w:tc>
          <w:tcPr>
            <w:tcW w:w="1705" w:type="dxa"/>
            <w:vAlign w:val="center"/>
          </w:tcPr>
          <w:p w14:paraId="0E2E1AE1">
            <w:pPr>
              <w:adjustRightInd/>
              <w:snapToGrid/>
              <w:jc w:val="center"/>
              <w:rPr>
                <w:rFonts w:hint="eastAsia"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14:paraId="3B8A14C3">
            <w:pPr>
              <w:adjustRightInd/>
              <w:snapToGrid/>
              <w:jc w:val="center"/>
              <w:rPr>
                <w:rFonts w:hint="eastAsia"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14:paraId="3C1EB813">
            <w:pPr>
              <w:adjustRightInd/>
              <w:snapToGrid/>
              <w:jc w:val="center"/>
              <w:rPr>
                <w:rFonts w:hint="eastAsia" w:ascii="宋体" w:hAnsi="宋体"/>
                <w:color w:val="auto"/>
                <w:szCs w:val="21"/>
                <w:highlight w:val="none"/>
              </w:rPr>
            </w:pPr>
            <w:r>
              <w:rPr>
                <w:rFonts w:hint="eastAsia" w:ascii="宋体" w:hAnsi="宋体"/>
                <w:color w:val="auto"/>
                <w:szCs w:val="21"/>
                <w:highlight w:val="none"/>
              </w:rPr>
              <w:t>项目合同</w:t>
            </w:r>
          </w:p>
          <w:p w14:paraId="295E32BA">
            <w:pPr>
              <w:adjustRightInd/>
              <w:snapToGrid/>
              <w:jc w:val="center"/>
              <w:rPr>
                <w:rFonts w:hint="eastAsia" w:ascii="宋体" w:hAnsi="宋体"/>
                <w:color w:val="auto"/>
                <w:szCs w:val="21"/>
                <w:highlight w:val="none"/>
              </w:rPr>
            </w:pPr>
            <w:r>
              <w:rPr>
                <w:rFonts w:hint="eastAsia" w:ascii="宋体" w:hAnsi="宋体"/>
                <w:color w:val="auto"/>
                <w:szCs w:val="21"/>
                <w:highlight w:val="none"/>
              </w:rPr>
              <w:t>签订时间</w:t>
            </w:r>
          </w:p>
        </w:tc>
        <w:tc>
          <w:tcPr>
            <w:tcW w:w="1697" w:type="dxa"/>
            <w:vAlign w:val="center"/>
          </w:tcPr>
          <w:p w14:paraId="74FAE309">
            <w:pPr>
              <w:adjustRightInd/>
              <w:snapToGrid/>
              <w:jc w:val="center"/>
              <w:rPr>
                <w:rFonts w:hint="eastAsia" w:ascii="宋体" w:hAnsi="宋体"/>
                <w:color w:val="auto"/>
                <w:szCs w:val="21"/>
                <w:highlight w:val="none"/>
              </w:rPr>
            </w:pPr>
            <w:r>
              <w:rPr>
                <w:rFonts w:hint="eastAsia" w:ascii="宋体" w:hAnsi="宋体"/>
                <w:color w:val="auto"/>
                <w:szCs w:val="21"/>
                <w:highlight w:val="none"/>
              </w:rPr>
              <w:t>备注</w:t>
            </w:r>
          </w:p>
        </w:tc>
      </w:tr>
      <w:tr w14:paraId="33C89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61B9FFA9">
            <w:pPr>
              <w:adjustRightInd/>
              <w:snapToGrid/>
              <w:jc w:val="center"/>
              <w:rPr>
                <w:rFonts w:hint="eastAsia" w:ascii="宋体" w:hAnsi="宋体"/>
                <w:color w:val="auto"/>
                <w:szCs w:val="21"/>
                <w:highlight w:val="none"/>
              </w:rPr>
            </w:pPr>
          </w:p>
        </w:tc>
        <w:tc>
          <w:tcPr>
            <w:tcW w:w="1705" w:type="dxa"/>
            <w:vAlign w:val="center"/>
          </w:tcPr>
          <w:p w14:paraId="63EBC8CD">
            <w:pPr>
              <w:adjustRightInd/>
              <w:snapToGrid/>
              <w:jc w:val="center"/>
              <w:rPr>
                <w:rFonts w:hint="eastAsia" w:ascii="宋体" w:hAnsi="宋体"/>
                <w:color w:val="auto"/>
                <w:szCs w:val="21"/>
                <w:highlight w:val="none"/>
              </w:rPr>
            </w:pPr>
          </w:p>
        </w:tc>
        <w:tc>
          <w:tcPr>
            <w:tcW w:w="1706" w:type="dxa"/>
            <w:vAlign w:val="center"/>
          </w:tcPr>
          <w:p w14:paraId="2850F9C1">
            <w:pPr>
              <w:adjustRightInd/>
              <w:snapToGrid/>
              <w:jc w:val="center"/>
              <w:rPr>
                <w:rFonts w:hint="eastAsia" w:ascii="宋体" w:hAnsi="宋体"/>
                <w:color w:val="auto"/>
                <w:szCs w:val="21"/>
                <w:highlight w:val="none"/>
              </w:rPr>
            </w:pPr>
          </w:p>
        </w:tc>
        <w:tc>
          <w:tcPr>
            <w:tcW w:w="1705" w:type="dxa"/>
            <w:vAlign w:val="center"/>
          </w:tcPr>
          <w:p w14:paraId="7557934B">
            <w:pPr>
              <w:adjustRightInd/>
              <w:snapToGrid/>
              <w:jc w:val="center"/>
              <w:rPr>
                <w:rFonts w:hint="eastAsia" w:ascii="宋体" w:hAnsi="宋体"/>
                <w:color w:val="auto"/>
                <w:szCs w:val="21"/>
                <w:highlight w:val="none"/>
              </w:rPr>
            </w:pPr>
          </w:p>
        </w:tc>
        <w:tc>
          <w:tcPr>
            <w:tcW w:w="1697" w:type="dxa"/>
            <w:vAlign w:val="center"/>
          </w:tcPr>
          <w:p w14:paraId="0A5E8DAA">
            <w:pPr>
              <w:adjustRightInd/>
              <w:snapToGrid/>
              <w:jc w:val="center"/>
              <w:rPr>
                <w:rFonts w:hint="eastAsia" w:ascii="宋体" w:hAnsi="宋体"/>
                <w:color w:val="auto"/>
                <w:szCs w:val="21"/>
                <w:highlight w:val="none"/>
              </w:rPr>
            </w:pPr>
          </w:p>
        </w:tc>
      </w:tr>
      <w:tr w14:paraId="28132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D23B343">
            <w:pPr>
              <w:adjustRightInd/>
              <w:snapToGrid/>
              <w:rPr>
                <w:rFonts w:hint="eastAsia" w:ascii="宋体" w:hAnsi="宋体"/>
                <w:color w:val="auto"/>
                <w:szCs w:val="21"/>
                <w:highlight w:val="none"/>
              </w:rPr>
            </w:pPr>
          </w:p>
        </w:tc>
        <w:tc>
          <w:tcPr>
            <w:tcW w:w="1705" w:type="dxa"/>
          </w:tcPr>
          <w:p w14:paraId="034DCF79">
            <w:pPr>
              <w:adjustRightInd/>
              <w:snapToGrid/>
              <w:rPr>
                <w:rFonts w:hint="eastAsia" w:ascii="宋体" w:hAnsi="宋体"/>
                <w:color w:val="auto"/>
                <w:szCs w:val="21"/>
                <w:highlight w:val="none"/>
              </w:rPr>
            </w:pPr>
          </w:p>
        </w:tc>
        <w:tc>
          <w:tcPr>
            <w:tcW w:w="1706" w:type="dxa"/>
          </w:tcPr>
          <w:p w14:paraId="31BF6762">
            <w:pPr>
              <w:adjustRightInd/>
              <w:snapToGrid/>
              <w:rPr>
                <w:rFonts w:hint="eastAsia" w:ascii="宋体" w:hAnsi="宋体"/>
                <w:color w:val="auto"/>
                <w:szCs w:val="21"/>
                <w:highlight w:val="none"/>
              </w:rPr>
            </w:pPr>
          </w:p>
        </w:tc>
        <w:tc>
          <w:tcPr>
            <w:tcW w:w="1705" w:type="dxa"/>
          </w:tcPr>
          <w:p w14:paraId="064298D8">
            <w:pPr>
              <w:adjustRightInd/>
              <w:snapToGrid/>
              <w:rPr>
                <w:rFonts w:hint="eastAsia" w:ascii="宋体" w:hAnsi="宋体"/>
                <w:color w:val="auto"/>
                <w:szCs w:val="21"/>
                <w:highlight w:val="none"/>
              </w:rPr>
            </w:pPr>
          </w:p>
        </w:tc>
        <w:tc>
          <w:tcPr>
            <w:tcW w:w="1697" w:type="dxa"/>
          </w:tcPr>
          <w:p w14:paraId="32477BF2">
            <w:pPr>
              <w:adjustRightInd/>
              <w:snapToGrid/>
              <w:rPr>
                <w:rFonts w:hint="eastAsia" w:ascii="宋体" w:hAnsi="宋体"/>
                <w:color w:val="auto"/>
                <w:szCs w:val="21"/>
                <w:highlight w:val="none"/>
              </w:rPr>
            </w:pPr>
          </w:p>
        </w:tc>
      </w:tr>
      <w:tr w14:paraId="00F94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0AB67A1C">
            <w:pPr>
              <w:adjustRightInd/>
              <w:snapToGrid/>
              <w:rPr>
                <w:rFonts w:hint="eastAsia" w:ascii="宋体" w:hAnsi="宋体"/>
                <w:color w:val="auto"/>
                <w:szCs w:val="21"/>
                <w:highlight w:val="none"/>
              </w:rPr>
            </w:pPr>
          </w:p>
        </w:tc>
        <w:tc>
          <w:tcPr>
            <w:tcW w:w="1705" w:type="dxa"/>
          </w:tcPr>
          <w:p w14:paraId="234FD06D">
            <w:pPr>
              <w:adjustRightInd/>
              <w:snapToGrid/>
              <w:rPr>
                <w:rFonts w:hint="eastAsia" w:ascii="宋体" w:hAnsi="宋体"/>
                <w:color w:val="auto"/>
                <w:szCs w:val="21"/>
                <w:highlight w:val="none"/>
              </w:rPr>
            </w:pPr>
          </w:p>
        </w:tc>
        <w:tc>
          <w:tcPr>
            <w:tcW w:w="1706" w:type="dxa"/>
          </w:tcPr>
          <w:p w14:paraId="4CF96E89">
            <w:pPr>
              <w:adjustRightInd/>
              <w:snapToGrid/>
              <w:rPr>
                <w:rFonts w:hint="eastAsia" w:ascii="宋体" w:hAnsi="宋体"/>
                <w:color w:val="auto"/>
                <w:szCs w:val="21"/>
                <w:highlight w:val="none"/>
              </w:rPr>
            </w:pPr>
          </w:p>
        </w:tc>
        <w:tc>
          <w:tcPr>
            <w:tcW w:w="1705" w:type="dxa"/>
          </w:tcPr>
          <w:p w14:paraId="6E23F85C">
            <w:pPr>
              <w:adjustRightInd/>
              <w:snapToGrid/>
              <w:rPr>
                <w:rFonts w:hint="eastAsia" w:ascii="宋体" w:hAnsi="宋体"/>
                <w:color w:val="auto"/>
                <w:szCs w:val="21"/>
                <w:highlight w:val="none"/>
              </w:rPr>
            </w:pPr>
          </w:p>
        </w:tc>
        <w:tc>
          <w:tcPr>
            <w:tcW w:w="1697" w:type="dxa"/>
          </w:tcPr>
          <w:p w14:paraId="509C15E6">
            <w:pPr>
              <w:adjustRightInd/>
              <w:snapToGrid/>
              <w:rPr>
                <w:rFonts w:hint="eastAsia" w:ascii="宋体" w:hAnsi="宋体"/>
                <w:color w:val="auto"/>
                <w:szCs w:val="21"/>
                <w:highlight w:val="none"/>
              </w:rPr>
            </w:pPr>
          </w:p>
        </w:tc>
      </w:tr>
      <w:tr w14:paraId="02FE5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336DF03A">
            <w:pPr>
              <w:adjustRightInd/>
              <w:snapToGrid/>
              <w:rPr>
                <w:rFonts w:hint="eastAsia" w:ascii="宋体" w:hAnsi="宋体"/>
                <w:color w:val="auto"/>
                <w:szCs w:val="21"/>
                <w:highlight w:val="none"/>
              </w:rPr>
            </w:pPr>
          </w:p>
        </w:tc>
        <w:tc>
          <w:tcPr>
            <w:tcW w:w="1705" w:type="dxa"/>
          </w:tcPr>
          <w:p w14:paraId="01810B92">
            <w:pPr>
              <w:adjustRightInd/>
              <w:snapToGrid/>
              <w:rPr>
                <w:rFonts w:hint="eastAsia" w:ascii="宋体" w:hAnsi="宋体"/>
                <w:color w:val="auto"/>
                <w:szCs w:val="21"/>
                <w:highlight w:val="none"/>
              </w:rPr>
            </w:pPr>
          </w:p>
        </w:tc>
        <w:tc>
          <w:tcPr>
            <w:tcW w:w="1706" w:type="dxa"/>
          </w:tcPr>
          <w:p w14:paraId="608C4CDA">
            <w:pPr>
              <w:adjustRightInd/>
              <w:snapToGrid/>
              <w:rPr>
                <w:rFonts w:hint="eastAsia" w:ascii="宋体" w:hAnsi="宋体"/>
                <w:color w:val="auto"/>
                <w:szCs w:val="21"/>
                <w:highlight w:val="none"/>
              </w:rPr>
            </w:pPr>
          </w:p>
        </w:tc>
        <w:tc>
          <w:tcPr>
            <w:tcW w:w="1705" w:type="dxa"/>
          </w:tcPr>
          <w:p w14:paraId="643D8F66">
            <w:pPr>
              <w:adjustRightInd/>
              <w:snapToGrid/>
              <w:rPr>
                <w:rFonts w:hint="eastAsia" w:ascii="宋体" w:hAnsi="宋体"/>
                <w:color w:val="auto"/>
                <w:szCs w:val="21"/>
                <w:highlight w:val="none"/>
              </w:rPr>
            </w:pPr>
          </w:p>
        </w:tc>
        <w:tc>
          <w:tcPr>
            <w:tcW w:w="1697" w:type="dxa"/>
          </w:tcPr>
          <w:p w14:paraId="2C311371">
            <w:pPr>
              <w:adjustRightInd/>
              <w:snapToGrid/>
              <w:rPr>
                <w:rFonts w:hint="eastAsia" w:ascii="宋体" w:hAnsi="宋体"/>
                <w:color w:val="auto"/>
                <w:szCs w:val="21"/>
                <w:highlight w:val="none"/>
              </w:rPr>
            </w:pPr>
          </w:p>
        </w:tc>
      </w:tr>
      <w:tr w14:paraId="710BA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72367DB">
            <w:pPr>
              <w:adjustRightInd/>
              <w:snapToGrid/>
              <w:rPr>
                <w:rFonts w:hint="eastAsia" w:ascii="宋体" w:hAnsi="宋体"/>
                <w:color w:val="auto"/>
                <w:szCs w:val="21"/>
                <w:highlight w:val="none"/>
              </w:rPr>
            </w:pPr>
          </w:p>
        </w:tc>
        <w:tc>
          <w:tcPr>
            <w:tcW w:w="1705" w:type="dxa"/>
          </w:tcPr>
          <w:p w14:paraId="3543E9F8">
            <w:pPr>
              <w:adjustRightInd/>
              <w:snapToGrid/>
              <w:rPr>
                <w:rFonts w:hint="eastAsia" w:ascii="宋体" w:hAnsi="宋体"/>
                <w:color w:val="auto"/>
                <w:szCs w:val="21"/>
                <w:highlight w:val="none"/>
              </w:rPr>
            </w:pPr>
          </w:p>
        </w:tc>
        <w:tc>
          <w:tcPr>
            <w:tcW w:w="1706" w:type="dxa"/>
          </w:tcPr>
          <w:p w14:paraId="79EE0666">
            <w:pPr>
              <w:adjustRightInd/>
              <w:snapToGrid/>
              <w:rPr>
                <w:rFonts w:hint="eastAsia" w:ascii="宋体" w:hAnsi="宋体"/>
                <w:color w:val="auto"/>
                <w:szCs w:val="21"/>
                <w:highlight w:val="none"/>
              </w:rPr>
            </w:pPr>
          </w:p>
        </w:tc>
        <w:tc>
          <w:tcPr>
            <w:tcW w:w="1705" w:type="dxa"/>
          </w:tcPr>
          <w:p w14:paraId="5297A4AF">
            <w:pPr>
              <w:adjustRightInd/>
              <w:snapToGrid/>
              <w:rPr>
                <w:rFonts w:hint="eastAsia" w:ascii="宋体" w:hAnsi="宋体"/>
                <w:color w:val="auto"/>
                <w:szCs w:val="21"/>
                <w:highlight w:val="none"/>
              </w:rPr>
            </w:pPr>
          </w:p>
        </w:tc>
        <w:tc>
          <w:tcPr>
            <w:tcW w:w="1697" w:type="dxa"/>
          </w:tcPr>
          <w:p w14:paraId="6C4FC140">
            <w:pPr>
              <w:adjustRightInd/>
              <w:snapToGrid/>
              <w:rPr>
                <w:rFonts w:hint="eastAsia" w:ascii="宋体" w:hAnsi="宋体"/>
                <w:color w:val="auto"/>
                <w:szCs w:val="21"/>
                <w:highlight w:val="none"/>
              </w:rPr>
            </w:pPr>
          </w:p>
        </w:tc>
      </w:tr>
      <w:tr w14:paraId="776D9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F764F12">
            <w:pPr>
              <w:adjustRightInd/>
              <w:snapToGrid/>
              <w:rPr>
                <w:rFonts w:hint="eastAsia" w:ascii="宋体" w:hAnsi="宋体"/>
                <w:color w:val="auto"/>
                <w:szCs w:val="21"/>
                <w:highlight w:val="none"/>
              </w:rPr>
            </w:pPr>
          </w:p>
        </w:tc>
        <w:tc>
          <w:tcPr>
            <w:tcW w:w="1705" w:type="dxa"/>
          </w:tcPr>
          <w:p w14:paraId="02ECEED6">
            <w:pPr>
              <w:adjustRightInd/>
              <w:snapToGrid/>
              <w:rPr>
                <w:rFonts w:hint="eastAsia" w:ascii="宋体" w:hAnsi="宋体"/>
                <w:color w:val="auto"/>
                <w:szCs w:val="21"/>
                <w:highlight w:val="none"/>
              </w:rPr>
            </w:pPr>
          </w:p>
        </w:tc>
        <w:tc>
          <w:tcPr>
            <w:tcW w:w="1706" w:type="dxa"/>
          </w:tcPr>
          <w:p w14:paraId="188DEF74">
            <w:pPr>
              <w:adjustRightInd/>
              <w:snapToGrid/>
              <w:rPr>
                <w:rFonts w:hint="eastAsia" w:ascii="宋体" w:hAnsi="宋体"/>
                <w:color w:val="auto"/>
                <w:szCs w:val="21"/>
                <w:highlight w:val="none"/>
              </w:rPr>
            </w:pPr>
          </w:p>
        </w:tc>
        <w:tc>
          <w:tcPr>
            <w:tcW w:w="1705" w:type="dxa"/>
          </w:tcPr>
          <w:p w14:paraId="37CEDA35">
            <w:pPr>
              <w:adjustRightInd/>
              <w:snapToGrid/>
              <w:rPr>
                <w:rFonts w:hint="eastAsia" w:ascii="宋体" w:hAnsi="宋体"/>
                <w:color w:val="auto"/>
                <w:szCs w:val="21"/>
                <w:highlight w:val="none"/>
              </w:rPr>
            </w:pPr>
          </w:p>
        </w:tc>
        <w:tc>
          <w:tcPr>
            <w:tcW w:w="1697" w:type="dxa"/>
          </w:tcPr>
          <w:p w14:paraId="39572153">
            <w:pPr>
              <w:adjustRightInd/>
              <w:snapToGrid/>
              <w:rPr>
                <w:rFonts w:hint="eastAsia" w:ascii="宋体" w:hAnsi="宋体"/>
                <w:color w:val="auto"/>
                <w:szCs w:val="21"/>
                <w:highlight w:val="none"/>
              </w:rPr>
            </w:pPr>
          </w:p>
        </w:tc>
      </w:tr>
    </w:tbl>
    <w:p w14:paraId="1F28C342">
      <w:pPr>
        <w:pStyle w:val="45"/>
        <w:rPr>
          <w:rFonts w:hint="eastAsia" w:ascii="宋体" w:hAnsi="宋体"/>
          <w:color w:val="auto"/>
          <w:szCs w:val="21"/>
          <w:highlight w:val="none"/>
        </w:rPr>
      </w:pPr>
    </w:p>
    <w:p w14:paraId="1F203894">
      <w:pPr>
        <w:pStyle w:val="45"/>
        <w:rPr>
          <w:rFonts w:hint="eastAsia" w:ascii="宋体" w:hAnsi="宋体"/>
          <w:color w:val="auto"/>
          <w:szCs w:val="21"/>
          <w:highlight w:val="none"/>
        </w:rPr>
      </w:pPr>
      <w:r>
        <w:rPr>
          <w:rFonts w:hint="eastAsia" w:ascii="宋体" w:hAnsi="宋体"/>
          <w:color w:val="auto"/>
          <w:szCs w:val="21"/>
          <w:highlight w:val="none"/>
        </w:rPr>
        <w:t>注：</w:t>
      </w:r>
    </w:p>
    <w:p w14:paraId="48C2B109">
      <w:pPr>
        <w:pStyle w:val="45"/>
        <w:numPr>
          <w:ilvl w:val="0"/>
          <w:numId w:val="10"/>
        </w:numPr>
        <w:rPr>
          <w:rFonts w:hint="eastAsia"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409D984D">
      <w:pPr>
        <w:pStyle w:val="45"/>
        <w:numPr>
          <w:ilvl w:val="0"/>
          <w:numId w:val="10"/>
        </w:numPr>
        <w:rPr>
          <w:rFonts w:hint="eastAsia"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77A29CB1">
      <w:pPr>
        <w:rPr>
          <w:rFonts w:hint="eastAsia" w:ascii="宋体" w:hAnsi="宋体"/>
          <w:color w:val="auto"/>
          <w:szCs w:val="21"/>
          <w:highlight w:val="none"/>
        </w:rPr>
      </w:pPr>
      <w:r>
        <w:rPr>
          <w:rFonts w:hint="eastAsia" w:ascii="宋体" w:hAnsi="宋体"/>
          <w:color w:val="auto"/>
          <w:szCs w:val="21"/>
          <w:highlight w:val="none"/>
        </w:rPr>
        <w:br w:type="page"/>
      </w:r>
    </w:p>
    <w:p w14:paraId="579D5284">
      <w:pPr>
        <w:pStyle w:val="8"/>
        <w:widowControl w:val="0"/>
        <w:overflowPunct w:val="0"/>
        <w:spacing w:line="240" w:lineRule="auto"/>
        <w:rPr>
          <w:color w:val="auto"/>
          <w:highlight w:val="none"/>
        </w:rPr>
      </w:pPr>
      <w:bookmarkStart w:id="166" w:name="_Toc1959"/>
      <w:bookmarkStart w:id="167" w:name="_Toc182308045"/>
      <w:r>
        <w:rPr>
          <w:rFonts w:hint="eastAsia" w:ascii="宋体" w:hAnsi="宋体"/>
          <w:color w:val="auto"/>
          <w:sz w:val="21"/>
          <w:szCs w:val="21"/>
          <w:highlight w:val="none"/>
        </w:rPr>
        <w:t>附件13.</w:t>
      </w:r>
      <w:r>
        <w:rPr>
          <w:rFonts w:hint="eastAsia" w:ascii="宋体" w:hAnsi="宋体"/>
          <w:color w:val="auto"/>
          <w:sz w:val="21"/>
          <w:szCs w:val="21"/>
          <w:highlight w:val="none"/>
          <w:lang w:val="en-US" w:eastAsia="zh-CN"/>
        </w:rPr>
        <w:t>承诺函</w:t>
      </w:r>
      <w:bookmarkEnd w:id="166"/>
      <w:bookmarkEnd w:id="167"/>
    </w:p>
    <w:p w14:paraId="72B786AC">
      <w:pPr>
        <w:rPr>
          <w:color w:val="auto"/>
          <w:highlight w:val="none"/>
        </w:rPr>
      </w:pPr>
    </w:p>
    <w:p w14:paraId="3F687121">
      <w:pPr>
        <w:widowControl w:val="0"/>
        <w:spacing w:after="120" w:line="360" w:lineRule="auto"/>
        <w:ind w:left="0" w:leftChars="0" w:firstLine="0" w:firstLineChars="0"/>
        <w:jc w:val="center"/>
        <w:rPr>
          <w:rFonts w:hint="eastAsia" w:ascii="宋体" w:hAnsi="宋体" w:eastAsia="宋体" w:cs="宋体"/>
          <w:b/>
          <w:bCs w:val="0"/>
          <w:color w:val="auto"/>
          <w:kern w:val="2"/>
          <w:sz w:val="28"/>
          <w:szCs w:val="28"/>
          <w:highlight w:val="none"/>
          <w:lang w:val="en-US" w:eastAsia="zh-CN" w:bidi="ar-SA"/>
        </w:rPr>
      </w:pPr>
      <w:r>
        <w:rPr>
          <w:rFonts w:hint="eastAsia" w:ascii="宋体" w:hAnsi="宋体" w:eastAsia="宋体" w:cs="宋体"/>
          <w:b/>
          <w:bCs w:val="0"/>
          <w:color w:val="auto"/>
          <w:kern w:val="2"/>
          <w:sz w:val="28"/>
          <w:szCs w:val="28"/>
          <w:highlight w:val="none"/>
          <w:lang w:val="en-US" w:eastAsia="zh-CN" w:bidi="ar-SA"/>
        </w:rPr>
        <w:t>Modbus TCP协议及云平台对接要求承诺函</w:t>
      </w:r>
    </w:p>
    <w:p w14:paraId="29CFC0F3">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eastAsia" w:ascii="宋体" w:hAnsi="宋体" w:eastAsia="宋体" w:cs="Times New Roman"/>
          <w:b/>
          <w:bCs/>
          <w:color w:val="auto"/>
          <w:kern w:val="2"/>
          <w:sz w:val="22"/>
          <w:szCs w:val="21"/>
          <w:highlight w:val="none"/>
          <w:lang w:val="en-US" w:eastAsia="zh-CN"/>
        </w:rPr>
      </w:pPr>
      <w:r>
        <w:rPr>
          <w:rFonts w:hint="eastAsia" w:ascii="宋体" w:hAnsi="宋体" w:eastAsia="宋体" w:cs="Times New Roman"/>
          <w:b/>
          <w:bCs/>
          <w:color w:val="auto"/>
          <w:kern w:val="2"/>
          <w:sz w:val="22"/>
          <w:szCs w:val="21"/>
          <w:highlight w:val="none"/>
          <w:lang w:val="en-US" w:eastAsia="zh-CN"/>
        </w:rPr>
        <w:t>东莞市新有能源投资有限公司、</w:t>
      </w:r>
      <w:r>
        <w:rPr>
          <w:rFonts w:hint="eastAsia" w:ascii="宋体" w:hAnsi="宋体" w:cs="Times New Roman"/>
          <w:b/>
          <w:bCs/>
          <w:color w:val="auto"/>
          <w:kern w:val="2"/>
          <w:sz w:val="22"/>
          <w:szCs w:val="21"/>
          <w:highlight w:val="none"/>
          <w:lang w:val="en-US" w:eastAsia="zh-CN"/>
        </w:rPr>
        <w:t>广州宏达工程顾问集团有限公司</w:t>
      </w:r>
      <w:r>
        <w:rPr>
          <w:rFonts w:hint="eastAsia" w:ascii="宋体" w:hAnsi="宋体" w:eastAsia="宋体" w:cs="Times New Roman"/>
          <w:b/>
          <w:bCs/>
          <w:color w:val="auto"/>
          <w:kern w:val="2"/>
          <w:sz w:val="22"/>
          <w:szCs w:val="21"/>
          <w:highlight w:val="none"/>
          <w:lang w:val="en-US" w:eastAsia="zh-CN"/>
        </w:rPr>
        <w:t>：</w:t>
      </w:r>
    </w:p>
    <w:p w14:paraId="2B31F8BA">
      <w:pPr>
        <w:keepNext w:val="0"/>
        <w:keepLines w:val="0"/>
        <w:pageBreakBefore w:val="0"/>
        <w:widowControl w:val="0"/>
        <w:kinsoku/>
        <w:wordWrap/>
        <w:overflowPunct/>
        <w:topLinePunct w:val="0"/>
        <w:autoSpaceDE/>
        <w:autoSpaceDN/>
        <w:bidi w:val="0"/>
        <w:adjustRightInd/>
        <w:snapToGrid/>
        <w:spacing w:after="0" w:line="480" w:lineRule="auto"/>
        <w:ind w:firstLine="720" w:firstLineChars="0"/>
        <w:jc w:val="both"/>
        <w:textAlignment w:val="auto"/>
        <w:rPr>
          <w:rFonts w:hint="eastAsia" w:ascii="宋体" w:hAnsi="宋体" w:eastAsia="宋体" w:cs="Times New Roman"/>
          <w:color w:val="auto"/>
          <w:kern w:val="2"/>
          <w:sz w:val="22"/>
          <w:szCs w:val="21"/>
          <w:highlight w:val="none"/>
          <w:lang w:val="en-US" w:eastAsia="zh-CN"/>
        </w:rPr>
      </w:pPr>
      <w:r>
        <w:rPr>
          <w:rFonts w:hint="eastAsia" w:ascii="宋体" w:hAnsi="宋体" w:eastAsia="宋体" w:cs="Times New Roman"/>
          <w:color w:val="auto"/>
          <w:kern w:val="2"/>
          <w:sz w:val="22"/>
          <w:szCs w:val="21"/>
          <w:highlight w:val="none"/>
          <w:lang w:val="en-US" w:eastAsia="zh-CN"/>
        </w:rPr>
        <w:t>我方参加</w:t>
      </w:r>
      <w:r>
        <w:rPr>
          <w:rFonts w:hint="eastAsia" w:ascii="宋体" w:hAnsi="宋体" w:eastAsia="宋体" w:cs="Times New Roman"/>
          <w:color w:val="auto"/>
          <w:kern w:val="2"/>
          <w:sz w:val="22"/>
          <w:szCs w:val="21"/>
          <w:highlight w:val="none"/>
          <w:u w:val="single"/>
          <w:lang w:val="en-US" w:eastAsia="zh-CN"/>
        </w:rPr>
        <w:t xml:space="preserve">        </w:t>
      </w:r>
      <w:r>
        <w:rPr>
          <w:rFonts w:hint="default" w:ascii="宋体" w:hAnsi="宋体" w:eastAsia="宋体" w:cs="Times New Roman"/>
          <w:color w:val="auto"/>
          <w:kern w:val="2"/>
          <w:sz w:val="22"/>
          <w:szCs w:val="21"/>
          <w:highlight w:val="none"/>
          <w:lang w:eastAsia="zh-CN"/>
        </w:rPr>
        <w:t>项目的招标</w:t>
      </w:r>
      <w:r>
        <w:rPr>
          <w:rFonts w:hint="eastAsia" w:ascii="宋体" w:hAnsi="宋体" w:eastAsia="宋体" w:cs="Times New Roman"/>
          <w:color w:val="auto"/>
          <w:kern w:val="2"/>
          <w:sz w:val="22"/>
          <w:szCs w:val="21"/>
          <w:highlight w:val="none"/>
          <w:lang w:eastAsia="zh-CN"/>
        </w:rPr>
        <w:t>（</w:t>
      </w:r>
      <w:r>
        <w:rPr>
          <w:rFonts w:hint="default" w:ascii="宋体" w:hAnsi="宋体" w:eastAsia="宋体" w:cs="Times New Roman"/>
          <w:color w:val="auto"/>
          <w:kern w:val="2"/>
          <w:sz w:val="22"/>
          <w:szCs w:val="21"/>
          <w:highlight w:val="none"/>
          <w:lang w:eastAsia="zh-CN"/>
        </w:rPr>
        <w:t>项目编号：</w:t>
      </w:r>
      <w:r>
        <w:rPr>
          <w:rFonts w:hint="eastAsia" w:ascii="宋体" w:hAnsi="宋体" w:eastAsia="宋体" w:cs="Times New Roman"/>
          <w:color w:val="auto"/>
          <w:kern w:val="2"/>
          <w:sz w:val="22"/>
          <w:szCs w:val="21"/>
          <w:highlight w:val="none"/>
          <w:u w:val="single"/>
          <w:lang w:val="en-US" w:eastAsia="zh-CN"/>
        </w:rPr>
        <w:t xml:space="preserve">       </w:t>
      </w:r>
      <w:r>
        <w:rPr>
          <w:rFonts w:hint="eastAsia" w:ascii="宋体" w:hAnsi="宋体" w:eastAsia="宋体" w:cs="Times New Roman"/>
          <w:color w:val="auto"/>
          <w:kern w:val="2"/>
          <w:sz w:val="22"/>
          <w:szCs w:val="21"/>
          <w:highlight w:val="none"/>
          <w:lang w:val="en-US" w:eastAsia="zh-CN"/>
        </w:rPr>
        <w:t>）</w:t>
      </w:r>
      <w:r>
        <w:rPr>
          <w:rFonts w:hint="default" w:ascii="宋体" w:hAnsi="宋体" w:eastAsia="宋体" w:cs="Times New Roman"/>
          <w:color w:val="auto"/>
          <w:kern w:val="2"/>
          <w:sz w:val="22"/>
          <w:szCs w:val="21"/>
          <w:highlight w:val="none"/>
          <w:lang w:eastAsia="zh-CN"/>
        </w:rPr>
        <w:t>，我方在参与投标前已</w:t>
      </w:r>
      <w:r>
        <w:rPr>
          <w:rFonts w:hint="eastAsia" w:ascii="宋体" w:hAnsi="宋体" w:eastAsia="宋体" w:cs="Times New Roman"/>
          <w:color w:val="auto"/>
          <w:kern w:val="2"/>
          <w:sz w:val="22"/>
          <w:szCs w:val="21"/>
          <w:highlight w:val="none"/>
          <w:lang w:val="en-US" w:eastAsia="zh-CN"/>
        </w:rPr>
        <w:t>清楚了解</w:t>
      </w:r>
      <w:r>
        <w:rPr>
          <w:rFonts w:hint="default" w:ascii="宋体" w:hAnsi="宋体" w:eastAsia="宋体" w:cs="Times New Roman"/>
          <w:color w:val="auto"/>
          <w:kern w:val="2"/>
          <w:sz w:val="22"/>
          <w:szCs w:val="21"/>
          <w:highlight w:val="none"/>
          <w:lang w:eastAsia="zh-CN"/>
        </w:rPr>
        <w:t>招标文件的所有内容</w:t>
      </w:r>
      <w:r>
        <w:rPr>
          <w:rFonts w:hint="eastAsia" w:ascii="宋体" w:hAnsi="宋体" w:eastAsia="宋体" w:cs="Times New Roman"/>
          <w:color w:val="auto"/>
          <w:kern w:val="2"/>
          <w:sz w:val="22"/>
          <w:szCs w:val="21"/>
          <w:highlight w:val="none"/>
          <w:lang w:eastAsia="zh-CN"/>
        </w:rPr>
        <w:t>，</w:t>
      </w:r>
      <w:r>
        <w:rPr>
          <w:rFonts w:hint="eastAsia" w:ascii="宋体" w:hAnsi="宋体" w:eastAsia="宋体" w:cs="Times New Roman"/>
          <w:color w:val="auto"/>
          <w:kern w:val="2"/>
          <w:sz w:val="22"/>
          <w:szCs w:val="21"/>
          <w:highlight w:val="none"/>
          <w:lang w:val="en-US" w:eastAsia="zh-CN"/>
        </w:rPr>
        <w:t>并对Modbus TCP协议及云平台对接要求作出以下承诺：</w:t>
      </w:r>
    </w:p>
    <w:p w14:paraId="63C96D63">
      <w:pPr>
        <w:keepNext w:val="0"/>
        <w:keepLines w:val="0"/>
        <w:pageBreakBefore w:val="0"/>
        <w:widowControl w:val="0"/>
        <w:kinsoku/>
        <w:wordWrap/>
        <w:overflowPunct/>
        <w:topLinePunct w:val="0"/>
        <w:autoSpaceDE/>
        <w:autoSpaceDN/>
        <w:bidi w:val="0"/>
        <w:adjustRightInd/>
        <w:snapToGrid/>
        <w:spacing w:after="0" w:line="480" w:lineRule="auto"/>
        <w:ind w:firstLine="720" w:firstLineChars="0"/>
        <w:jc w:val="both"/>
        <w:textAlignment w:val="auto"/>
        <w:rPr>
          <w:rFonts w:hint="eastAsia" w:ascii="宋体" w:hAnsi="宋体" w:eastAsia="宋体" w:cs="Times New Roman"/>
          <w:color w:val="auto"/>
          <w:kern w:val="2"/>
          <w:sz w:val="22"/>
          <w:szCs w:val="21"/>
          <w:highlight w:val="none"/>
          <w:lang w:eastAsia="zh-CN"/>
        </w:rPr>
      </w:pPr>
      <w:r>
        <w:rPr>
          <w:rFonts w:hint="eastAsia" w:ascii="宋体" w:hAnsi="宋体" w:eastAsia="宋体" w:cs="Times New Roman"/>
          <w:color w:val="auto"/>
          <w:kern w:val="2"/>
          <w:sz w:val="22"/>
          <w:szCs w:val="21"/>
          <w:highlight w:val="none"/>
          <w:lang w:val="en-US" w:eastAsia="zh-CN"/>
        </w:rPr>
        <w:t>我方无偏离响应并执行达到附件5《Modbus TCP规约点表》的要求，包含：地址规划、系统数据、PCS、电堆、电池簇、单体电压、单体温度、电表数据、空调数据、液冷数据、遥控遥调、PCS故障字解析表、BMS报警码解析表、空调故障字解析表、液冷故障字解析表。</w:t>
      </w:r>
    </w:p>
    <w:p w14:paraId="482AA2EB">
      <w:pPr>
        <w:keepNext w:val="0"/>
        <w:keepLines w:val="0"/>
        <w:pageBreakBefore w:val="0"/>
        <w:widowControl w:val="0"/>
        <w:kinsoku/>
        <w:wordWrap/>
        <w:overflowPunct/>
        <w:topLinePunct w:val="0"/>
        <w:autoSpaceDE/>
        <w:autoSpaceDN/>
        <w:bidi w:val="0"/>
        <w:adjustRightInd/>
        <w:snapToGrid/>
        <w:spacing w:after="0" w:line="480" w:lineRule="auto"/>
        <w:ind w:firstLine="720" w:firstLineChars="0"/>
        <w:jc w:val="both"/>
        <w:textAlignment w:val="auto"/>
        <w:rPr>
          <w:rFonts w:hint="default" w:ascii="宋体" w:hAnsi="宋体" w:eastAsia="宋体" w:cs="Times New Roman"/>
          <w:color w:val="auto"/>
          <w:kern w:val="2"/>
          <w:sz w:val="22"/>
          <w:szCs w:val="21"/>
          <w:highlight w:val="none"/>
          <w:lang w:val="en-US" w:eastAsia="zh-CN"/>
        </w:rPr>
      </w:pPr>
      <w:r>
        <w:rPr>
          <w:rFonts w:hint="eastAsia" w:ascii="宋体" w:hAnsi="宋体" w:eastAsia="宋体" w:cs="Times New Roman"/>
          <w:color w:val="auto"/>
          <w:kern w:val="2"/>
          <w:sz w:val="22"/>
          <w:szCs w:val="21"/>
          <w:highlight w:val="none"/>
          <w:lang w:val="en-US" w:eastAsia="zh-CN"/>
        </w:rPr>
        <w:t>特此承诺！</w:t>
      </w:r>
    </w:p>
    <w:p w14:paraId="6BFFCC64">
      <w:pPr>
        <w:keepNext w:val="0"/>
        <w:keepLines w:val="0"/>
        <w:pageBreakBefore w:val="0"/>
        <w:widowControl w:val="0"/>
        <w:kinsoku/>
        <w:wordWrap/>
        <w:overflowPunct/>
        <w:topLinePunct w:val="0"/>
        <w:autoSpaceDE/>
        <w:autoSpaceDN/>
        <w:bidi w:val="0"/>
        <w:adjustRightInd/>
        <w:snapToGrid/>
        <w:spacing w:after="0" w:line="480" w:lineRule="auto"/>
        <w:ind w:firstLine="4620" w:firstLineChars="2100"/>
        <w:jc w:val="both"/>
        <w:textAlignment w:val="auto"/>
        <w:rPr>
          <w:rFonts w:ascii="宋体" w:hAnsi="宋体" w:eastAsia="宋体" w:cs="Times New Roman"/>
          <w:color w:val="auto"/>
          <w:kern w:val="2"/>
          <w:sz w:val="22"/>
          <w:szCs w:val="21"/>
          <w:highlight w:val="none"/>
          <w:u w:val="single"/>
        </w:rPr>
      </w:pPr>
      <w:r>
        <w:rPr>
          <w:rFonts w:hint="eastAsia" w:ascii="宋体" w:hAnsi="宋体" w:eastAsia="宋体" w:cs="Times New Roman"/>
          <w:color w:val="auto"/>
          <w:kern w:val="2"/>
          <w:sz w:val="22"/>
          <w:szCs w:val="21"/>
          <w:highlight w:val="none"/>
          <w:lang w:val="en-US" w:eastAsia="zh-CN"/>
        </w:rPr>
        <w:t>承诺人</w:t>
      </w:r>
      <w:r>
        <w:rPr>
          <w:rFonts w:hint="eastAsia" w:ascii="Times New Roman" w:hAnsi="Times New Roman" w:eastAsia="宋体" w:cs="Times New Roman"/>
          <w:color w:val="auto"/>
          <w:spacing w:val="4"/>
          <w:kern w:val="2"/>
          <w:sz w:val="22"/>
          <w:szCs w:val="21"/>
          <w:highlight w:val="none"/>
        </w:rPr>
        <w:t>（</w:t>
      </w:r>
      <w:r>
        <w:rPr>
          <w:rFonts w:hint="eastAsia" w:ascii="宋体" w:hAnsi="宋体" w:eastAsia="宋体" w:cs="Times New Roman"/>
          <w:color w:val="auto"/>
          <w:kern w:val="2"/>
          <w:sz w:val="22"/>
          <w:szCs w:val="21"/>
          <w:highlight w:val="none"/>
        </w:rPr>
        <w:t>单位盖</w:t>
      </w:r>
      <w:r>
        <w:rPr>
          <w:rFonts w:hint="eastAsia" w:ascii="Times New Roman" w:hAnsi="Times New Roman" w:eastAsia="宋体" w:cs="Times New Roman"/>
          <w:color w:val="auto"/>
          <w:spacing w:val="4"/>
          <w:kern w:val="2"/>
          <w:sz w:val="22"/>
          <w:szCs w:val="21"/>
          <w:highlight w:val="none"/>
        </w:rPr>
        <w:t>公章）：</w:t>
      </w:r>
      <w:r>
        <w:rPr>
          <w:rFonts w:ascii="Times New Roman" w:hAnsi="Times New Roman" w:eastAsia="宋体" w:cs="Times New Roman"/>
          <w:color w:val="auto"/>
          <w:spacing w:val="4"/>
          <w:kern w:val="2"/>
          <w:sz w:val="22"/>
          <w:szCs w:val="21"/>
          <w:highlight w:val="none"/>
          <w:u w:val="single"/>
        </w:rPr>
        <w:t xml:space="preserve">                       </w:t>
      </w:r>
    </w:p>
    <w:p w14:paraId="631C6858">
      <w:pPr>
        <w:keepNext w:val="0"/>
        <w:keepLines w:val="0"/>
        <w:pageBreakBefore w:val="0"/>
        <w:kinsoku/>
        <w:wordWrap/>
        <w:overflowPunct/>
        <w:topLinePunct w:val="0"/>
        <w:autoSpaceDE/>
        <w:autoSpaceDN/>
        <w:bidi w:val="0"/>
        <w:spacing w:after="200" w:line="480" w:lineRule="auto"/>
        <w:ind w:firstLine="6380" w:firstLineChars="2900"/>
        <w:textAlignment w:val="auto"/>
        <w:rPr>
          <w:rFonts w:hint="eastAsia" w:eastAsia="微软雅黑"/>
          <w:color w:val="auto"/>
          <w:sz w:val="22"/>
          <w:highlight w:val="none"/>
          <w:lang w:val="en-US" w:eastAsia="zh-CN"/>
        </w:rPr>
      </w:pPr>
      <w:r>
        <w:rPr>
          <w:rFonts w:hint="eastAsia" w:ascii="Times New Roman" w:hAnsi="Times New Roman" w:eastAsia="宋体" w:cs="Times New Roman"/>
          <w:color w:val="auto"/>
          <w:sz w:val="22"/>
          <w:highlight w:val="none"/>
          <w:lang w:val="en-US" w:eastAsia="zh-CN"/>
        </w:rPr>
        <w:t>日期：</w:t>
      </w:r>
      <w:r>
        <w:rPr>
          <w:rFonts w:ascii="Times New Roman" w:hAnsi="Times New Roman" w:eastAsia="宋体" w:cs="Times New Roman"/>
          <w:color w:val="auto"/>
          <w:spacing w:val="4"/>
          <w:kern w:val="2"/>
          <w:sz w:val="22"/>
          <w:szCs w:val="21"/>
          <w:highlight w:val="none"/>
          <w:u w:val="single"/>
        </w:rPr>
        <w:t xml:space="preserve">                       </w:t>
      </w:r>
    </w:p>
    <w:p w14:paraId="077E56A0">
      <w:pPr>
        <w:adjustRightInd/>
        <w:snapToGrid/>
        <w:spacing w:line="240" w:lineRule="auto"/>
        <w:rPr>
          <w:color w:val="auto"/>
          <w:szCs w:val="21"/>
          <w:highlight w:val="none"/>
        </w:rPr>
      </w:pPr>
      <w:r>
        <w:rPr>
          <w:rFonts w:hint="eastAsia"/>
          <w:color w:val="auto"/>
          <w:szCs w:val="21"/>
          <w:highlight w:val="none"/>
        </w:rPr>
        <w:br w:type="page"/>
      </w:r>
    </w:p>
    <w:p w14:paraId="68CBB10E">
      <w:pPr>
        <w:pStyle w:val="8"/>
        <w:widowControl w:val="0"/>
        <w:overflowPunct w:val="0"/>
        <w:spacing w:line="240" w:lineRule="auto"/>
        <w:rPr>
          <w:color w:val="auto"/>
          <w:highlight w:val="none"/>
        </w:rPr>
      </w:pPr>
      <w:bookmarkStart w:id="168" w:name="_Toc182308046"/>
      <w:r>
        <w:rPr>
          <w:rFonts w:hint="eastAsia" w:ascii="宋体" w:hAnsi="宋体"/>
          <w:color w:val="auto"/>
          <w:sz w:val="21"/>
          <w:szCs w:val="21"/>
          <w:highlight w:val="none"/>
        </w:rPr>
        <w:t>附件14.</w:t>
      </w:r>
      <w:r>
        <w:rPr>
          <w:rFonts w:hint="eastAsia"/>
          <w:color w:val="auto"/>
          <w:highlight w:val="none"/>
        </w:rPr>
        <w:t xml:space="preserve"> </w:t>
      </w:r>
      <w:r>
        <w:rPr>
          <w:rFonts w:hint="eastAsia" w:ascii="宋体" w:hAnsi="宋体"/>
          <w:color w:val="auto"/>
          <w:sz w:val="21"/>
          <w:szCs w:val="21"/>
          <w:highlight w:val="none"/>
        </w:rPr>
        <w:t>体系认证资料</w:t>
      </w:r>
      <w:bookmarkEnd w:id="168"/>
    </w:p>
    <w:p w14:paraId="220BA5B9">
      <w:pPr>
        <w:adjustRightInd/>
        <w:snapToGrid/>
        <w:spacing w:line="240" w:lineRule="auto"/>
        <w:rPr>
          <w:color w:val="auto"/>
          <w:szCs w:val="21"/>
          <w:highlight w:val="none"/>
        </w:rPr>
      </w:pPr>
    </w:p>
    <w:p w14:paraId="57F39777">
      <w:pPr>
        <w:pStyle w:val="13"/>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1、体系认证</w:t>
      </w:r>
    </w:p>
    <w:p w14:paraId="5858B335">
      <w:pPr>
        <w:pStyle w:val="13"/>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2、财务状况</w:t>
      </w:r>
    </w:p>
    <w:p w14:paraId="776DA827">
      <w:pPr>
        <w:pStyle w:val="13"/>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3、人员要求</w:t>
      </w:r>
    </w:p>
    <w:p w14:paraId="380C1223">
      <w:pPr>
        <w:pStyle w:val="13"/>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4、企业信誉</w:t>
      </w:r>
    </w:p>
    <w:p w14:paraId="5DA98C73">
      <w:pPr>
        <w:pStyle w:val="13"/>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5、服务便利性</w:t>
      </w:r>
    </w:p>
    <w:p w14:paraId="229651DD">
      <w:pPr>
        <w:pStyle w:val="13"/>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p>
    <w:p w14:paraId="48E0CD6F">
      <w:pPr>
        <w:pStyle w:val="13"/>
        <w:ind w:left="120" w:leftChars="0" w:firstLine="2260" w:firstLineChars="942"/>
        <w:rPr>
          <w:rFonts w:hint="eastAsia" w:ascii="宋体" w:hAnsi="宋体"/>
          <w:color w:val="auto"/>
          <w:szCs w:val="21"/>
          <w:highlight w:val="none"/>
          <w:lang w:eastAsia="zh-CN"/>
        </w:rPr>
      </w:pPr>
      <w:r>
        <w:rPr>
          <w:rFonts w:hint="eastAsia" w:ascii="宋体" w:hAnsi="宋体"/>
          <w:color w:val="auto"/>
          <w:szCs w:val="21"/>
          <w:highlight w:val="none"/>
          <w:lang w:eastAsia="zh-CN"/>
        </w:rPr>
        <w:t>（由投标人自行编写）</w:t>
      </w:r>
    </w:p>
    <w:p w14:paraId="7AD5236B">
      <w:pPr>
        <w:adjustRightInd/>
        <w:snapToGrid/>
        <w:spacing w:line="240" w:lineRule="auto"/>
        <w:rPr>
          <w:color w:val="auto"/>
          <w:szCs w:val="21"/>
          <w:highlight w:val="none"/>
        </w:rPr>
      </w:pPr>
      <w:r>
        <w:rPr>
          <w:color w:val="auto"/>
          <w:szCs w:val="21"/>
          <w:highlight w:val="none"/>
        </w:rPr>
        <w:br w:type="page"/>
      </w:r>
    </w:p>
    <w:p w14:paraId="1A7315CF">
      <w:pPr>
        <w:pStyle w:val="8"/>
        <w:widowControl w:val="0"/>
        <w:overflowPunct w:val="0"/>
        <w:spacing w:line="240" w:lineRule="auto"/>
        <w:rPr>
          <w:color w:val="auto"/>
          <w:highlight w:val="none"/>
        </w:rPr>
      </w:pPr>
      <w:bookmarkStart w:id="169" w:name="_Toc182308047"/>
      <w:r>
        <w:rPr>
          <w:rFonts w:hint="eastAsia" w:ascii="宋体" w:hAnsi="宋体"/>
          <w:color w:val="auto"/>
          <w:sz w:val="21"/>
          <w:szCs w:val="21"/>
          <w:highlight w:val="none"/>
        </w:rPr>
        <w:t>附件15.</w:t>
      </w:r>
      <w:r>
        <w:rPr>
          <w:rFonts w:hint="eastAsia"/>
          <w:color w:val="auto"/>
          <w:highlight w:val="none"/>
        </w:rPr>
        <w:t xml:space="preserve"> </w:t>
      </w:r>
      <w:r>
        <w:rPr>
          <w:rFonts w:hint="eastAsia" w:ascii="宋体" w:hAnsi="宋体"/>
          <w:color w:val="auto"/>
          <w:sz w:val="21"/>
          <w:szCs w:val="21"/>
          <w:highlight w:val="none"/>
        </w:rPr>
        <w:t>财务资料</w:t>
      </w:r>
      <w:bookmarkEnd w:id="169"/>
    </w:p>
    <w:p w14:paraId="7B00E446">
      <w:pPr>
        <w:adjustRightInd/>
        <w:snapToGrid/>
        <w:spacing w:line="240" w:lineRule="auto"/>
        <w:rPr>
          <w:color w:val="auto"/>
          <w:szCs w:val="21"/>
          <w:highlight w:val="none"/>
        </w:rPr>
      </w:pPr>
    </w:p>
    <w:p w14:paraId="41054D47">
      <w:pPr>
        <w:adjustRightInd/>
        <w:snapToGrid/>
        <w:spacing w:line="240" w:lineRule="auto"/>
        <w:rPr>
          <w:color w:val="auto"/>
          <w:szCs w:val="21"/>
          <w:highlight w:val="none"/>
        </w:rPr>
      </w:pPr>
      <w:r>
        <w:rPr>
          <w:color w:val="auto"/>
          <w:szCs w:val="21"/>
          <w:highlight w:val="none"/>
        </w:rPr>
        <w:br w:type="page"/>
      </w:r>
    </w:p>
    <w:p w14:paraId="5554DF91">
      <w:pPr>
        <w:pStyle w:val="8"/>
        <w:widowControl w:val="0"/>
        <w:overflowPunct w:val="0"/>
        <w:spacing w:line="240" w:lineRule="auto"/>
        <w:rPr>
          <w:rFonts w:hint="eastAsia" w:ascii="宋体" w:hAnsi="宋体"/>
          <w:color w:val="auto"/>
          <w:sz w:val="21"/>
          <w:szCs w:val="21"/>
          <w:highlight w:val="none"/>
        </w:rPr>
      </w:pPr>
      <w:bookmarkStart w:id="170" w:name="_Toc182308048"/>
      <w:r>
        <w:rPr>
          <w:rFonts w:hint="eastAsia" w:ascii="宋体" w:hAnsi="宋体"/>
          <w:color w:val="auto"/>
          <w:sz w:val="21"/>
          <w:szCs w:val="21"/>
          <w:highlight w:val="none"/>
        </w:rPr>
        <w:t>附件16. 实施本项目的有关人员资料表格式（包括相关人员相关证书资料）</w:t>
      </w:r>
      <w:bookmarkEnd w:id="170"/>
    </w:p>
    <w:p w14:paraId="09D5D1AB">
      <w:pPr>
        <w:jc w:val="center"/>
        <w:rPr>
          <w:rFonts w:hint="eastAsia" w:asciiTheme="majorEastAsia" w:hAnsiTheme="majorEastAsia" w:eastAsiaTheme="majorEastAsia"/>
          <w:color w:val="auto"/>
          <w:szCs w:val="21"/>
          <w:highlight w:val="none"/>
        </w:rPr>
      </w:pPr>
    </w:p>
    <w:p w14:paraId="3B983023">
      <w:pPr>
        <w:jc w:val="center"/>
        <w:rPr>
          <w:rFonts w:hint="eastAsia" w:asciiTheme="majorEastAsia" w:hAnsiTheme="majorEastAsia" w:eastAsiaTheme="majorEastAsia"/>
          <w:color w:val="auto"/>
          <w:sz w:val="32"/>
          <w:szCs w:val="32"/>
          <w:highlight w:val="none"/>
        </w:rPr>
      </w:pPr>
      <w:r>
        <w:rPr>
          <w:rFonts w:hint="eastAsia" w:asciiTheme="majorEastAsia" w:hAnsiTheme="majorEastAsia" w:eastAsiaTheme="majorEastAsia"/>
          <w:color w:val="auto"/>
          <w:sz w:val="32"/>
          <w:szCs w:val="32"/>
          <w:highlight w:val="none"/>
        </w:rPr>
        <w:t>实施本项目的有关人员资料表</w:t>
      </w:r>
    </w:p>
    <w:tbl>
      <w:tblPr>
        <w:tblStyle w:val="29"/>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53E98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6FF9070">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序号</w:t>
            </w:r>
          </w:p>
        </w:tc>
        <w:tc>
          <w:tcPr>
            <w:tcW w:w="702" w:type="dxa"/>
            <w:vAlign w:val="center"/>
          </w:tcPr>
          <w:p w14:paraId="0F37C1C4">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姓名</w:t>
            </w:r>
          </w:p>
        </w:tc>
        <w:tc>
          <w:tcPr>
            <w:tcW w:w="1861" w:type="dxa"/>
            <w:vAlign w:val="center"/>
          </w:tcPr>
          <w:p w14:paraId="3DF33E05">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本项目拟任岗位</w:t>
            </w:r>
          </w:p>
        </w:tc>
        <w:tc>
          <w:tcPr>
            <w:tcW w:w="702" w:type="dxa"/>
            <w:vAlign w:val="center"/>
          </w:tcPr>
          <w:p w14:paraId="2894A79C">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性别</w:t>
            </w:r>
          </w:p>
        </w:tc>
        <w:tc>
          <w:tcPr>
            <w:tcW w:w="702" w:type="dxa"/>
            <w:vAlign w:val="center"/>
          </w:tcPr>
          <w:p w14:paraId="7907FBFF">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年龄</w:t>
            </w:r>
          </w:p>
        </w:tc>
        <w:tc>
          <w:tcPr>
            <w:tcW w:w="1164" w:type="dxa"/>
            <w:vAlign w:val="center"/>
          </w:tcPr>
          <w:p w14:paraId="205B3D40">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技术职称</w:t>
            </w:r>
          </w:p>
        </w:tc>
        <w:tc>
          <w:tcPr>
            <w:tcW w:w="818" w:type="dxa"/>
            <w:vAlign w:val="center"/>
          </w:tcPr>
          <w:p w14:paraId="02CC7846">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专 业</w:t>
            </w:r>
          </w:p>
        </w:tc>
        <w:tc>
          <w:tcPr>
            <w:tcW w:w="1165" w:type="dxa"/>
            <w:vAlign w:val="center"/>
          </w:tcPr>
          <w:p w14:paraId="0553D973">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资质证书</w:t>
            </w:r>
          </w:p>
        </w:tc>
        <w:tc>
          <w:tcPr>
            <w:tcW w:w="703" w:type="dxa"/>
            <w:tcBorders>
              <w:right w:val="single" w:color="auto" w:sz="6" w:space="0"/>
            </w:tcBorders>
            <w:vAlign w:val="center"/>
          </w:tcPr>
          <w:p w14:paraId="489E4298">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备注</w:t>
            </w:r>
          </w:p>
        </w:tc>
      </w:tr>
      <w:tr w14:paraId="635E5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CDAF0AB">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5D6CDD3">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00F5A2A8">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BF50634">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A5479D0">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07442CF0">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1A6BCFA7">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33F0DE6C">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575972CB">
            <w:pPr>
              <w:spacing w:line="288" w:lineRule="auto"/>
              <w:jc w:val="center"/>
              <w:rPr>
                <w:rFonts w:hint="eastAsia" w:asciiTheme="majorEastAsia" w:hAnsiTheme="majorEastAsia" w:eastAsiaTheme="majorEastAsia"/>
                <w:color w:val="auto"/>
                <w:szCs w:val="21"/>
                <w:highlight w:val="none"/>
              </w:rPr>
            </w:pPr>
          </w:p>
        </w:tc>
      </w:tr>
      <w:tr w14:paraId="33C72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D7E4F09">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5B3059F">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254043FB">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43F856B">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69D16CA">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217245B0">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3B000833">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5D3F416E">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4229613E">
            <w:pPr>
              <w:spacing w:line="288" w:lineRule="auto"/>
              <w:jc w:val="center"/>
              <w:rPr>
                <w:rFonts w:hint="eastAsia" w:asciiTheme="majorEastAsia" w:hAnsiTheme="majorEastAsia" w:eastAsiaTheme="majorEastAsia"/>
                <w:color w:val="auto"/>
                <w:szCs w:val="21"/>
                <w:highlight w:val="none"/>
              </w:rPr>
            </w:pPr>
          </w:p>
        </w:tc>
      </w:tr>
      <w:tr w14:paraId="3C213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0634FA9">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361FB4B">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2CD86817">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7397DCB">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770026B">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54934862">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1B16D6F9">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2EB95C0F">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024ED65E">
            <w:pPr>
              <w:spacing w:line="288" w:lineRule="auto"/>
              <w:jc w:val="center"/>
              <w:rPr>
                <w:rFonts w:hint="eastAsia" w:asciiTheme="majorEastAsia" w:hAnsiTheme="majorEastAsia" w:eastAsiaTheme="majorEastAsia"/>
                <w:color w:val="auto"/>
                <w:szCs w:val="21"/>
                <w:highlight w:val="none"/>
              </w:rPr>
            </w:pPr>
          </w:p>
        </w:tc>
      </w:tr>
      <w:tr w14:paraId="416CA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18FC1DD">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979636C">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226E050B">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325284A">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E930707">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6A87B2C8">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2552916F">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3109D78E">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64065990">
            <w:pPr>
              <w:spacing w:line="288" w:lineRule="auto"/>
              <w:jc w:val="center"/>
              <w:rPr>
                <w:rFonts w:hint="eastAsia" w:asciiTheme="majorEastAsia" w:hAnsiTheme="majorEastAsia" w:eastAsiaTheme="majorEastAsia"/>
                <w:color w:val="auto"/>
                <w:szCs w:val="21"/>
                <w:highlight w:val="none"/>
              </w:rPr>
            </w:pPr>
          </w:p>
        </w:tc>
      </w:tr>
      <w:tr w14:paraId="6B17F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42F221B">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A16F862">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50973B81">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00EF708">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527A877">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28605B35">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02B10DED">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653DB857">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74A810F2">
            <w:pPr>
              <w:spacing w:line="288" w:lineRule="auto"/>
              <w:jc w:val="center"/>
              <w:rPr>
                <w:rFonts w:hint="eastAsia" w:asciiTheme="majorEastAsia" w:hAnsiTheme="majorEastAsia" w:eastAsiaTheme="majorEastAsia"/>
                <w:color w:val="auto"/>
                <w:szCs w:val="21"/>
                <w:highlight w:val="none"/>
              </w:rPr>
            </w:pPr>
          </w:p>
        </w:tc>
      </w:tr>
      <w:tr w14:paraId="39296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610D052">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3D6197F">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6A79DF14">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D996445">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7E7EB60">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196FA797">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54F9279C">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17E08B85">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2B93095A">
            <w:pPr>
              <w:spacing w:line="288" w:lineRule="auto"/>
              <w:jc w:val="center"/>
              <w:rPr>
                <w:rFonts w:hint="eastAsia" w:asciiTheme="majorEastAsia" w:hAnsiTheme="majorEastAsia" w:eastAsiaTheme="majorEastAsia"/>
                <w:color w:val="auto"/>
                <w:szCs w:val="21"/>
                <w:highlight w:val="none"/>
              </w:rPr>
            </w:pPr>
          </w:p>
        </w:tc>
      </w:tr>
      <w:tr w14:paraId="7C2F6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9563488">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26F9B37E">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1B84720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D3B9E32">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45F2C47">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7848B0AC">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3739735C">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77D428FD">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5B0F1329">
            <w:pPr>
              <w:spacing w:line="288" w:lineRule="auto"/>
              <w:jc w:val="center"/>
              <w:rPr>
                <w:rFonts w:hint="eastAsia" w:asciiTheme="majorEastAsia" w:hAnsiTheme="majorEastAsia" w:eastAsiaTheme="majorEastAsia"/>
                <w:color w:val="auto"/>
                <w:szCs w:val="21"/>
                <w:highlight w:val="none"/>
              </w:rPr>
            </w:pPr>
          </w:p>
        </w:tc>
      </w:tr>
      <w:tr w14:paraId="12F9F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4BE239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047B2F3">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74323C1D">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C0A9732">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1D964F12">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0029105B">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4C36A187">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41555564">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29D0C5D7">
            <w:pPr>
              <w:spacing w:line="288" w:lineRule="auto"/>
              <w:jc w:val="center"/>
              <w:rPr>
                <w:rFonts w:hint="eastAsia" w:asciiTheme="majorEastAsia" w:hAnsiTheme="majorEastAsia" w:eastAsiaTheme="majorEastAsia"/>
                <w:color w:val="auto"/>
                <w:szCs w:val="21"/>
                <w:highlight w:val="none"/>
              </w:rPr>
            </w:pPr>
          </w:p>
        </w:tc>
      </w:tr>
      <w:tr w14:paraId="1D435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AE3BF39">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A81D5E4">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1EBCFC88">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7963D96">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436111C">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75DAF262">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3D502C5F">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2BCE018E">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56DDAFEE">
            <w:pPr>
              <w:spacing w:line="288" w:lineRule="auto"/>
              <w:jc w:val="center"/>
              <w:rPr>
                <w:rFonts w:hint="eastAsia" w:asciiTheme="majorEastAsia" w:hAnsiTheme="majorEastAsia" w:eastAsiaTheme="majorEastAsia"/>
                <w:color w:val="auto"/>
                <w:szCs w:val="21"/>
                <w:highlight w:val="none"/>
              </w:rPr>
            </w:pPr>
          </w:p>
        </w:tc>
      </w:tr>
      <w:tr w14:paraId="43723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9A15FB0">
            <w:pPr>
              <w:spacing w:line="288" w:lineRule="auto"/>
              <w:jc w:val="center"/>
              <w:rPr>
                <w:rFonts w:hint="eastAsia" w:ascii="宋体" w:hAnsi="宋体"/>
                <w:color w:val="auto"/>
                <w:szCs w:val="21"/>
                <w:highlight w:val="none"/>
              </w:rPr>
            </w:pPr>
          </w:p>
        </w:tc>
        <w:tc>
          <w:tcPr>
            <w:tcW w:w="702" w:type="dxa"/>
            <w:vAlign w:val="center"/>
          </w:tcPr>
          <w:p w14:paraId="5B05D1AF">
            <w:pPr>
              <w:spacing w:line="288" w:lineRule="auto"/>
              <w:jc w:val="center"/>
              <w:rPr>
                <w:rFonts w:hint="eastAsia" w:ascii="宋体" w:hAnsi="宋体"/>
                <w:color w:val="auto"/>
                <w:szCs w:val="21"/>
                <w:highlight w:val="none"/>
              </w:rPr>
            </w:pPr>
          </w:p>
        </w:tc>
        <w:tc>
          <w:tcPr>
            <w:tcW w:w="1861" w:type="dxa"/>
            <w:vAlign w:val="center"/>
          </w:tcPr>
          <w:p w14:paraId="2F068D61">
            <w:pPr>
              <w:spacing w:line="288" w:lineRule="auto"/>
              <w:jc w:val="center"/>
              <w:rPr>
                <w:rFonts w:hint="eastAsia" w:ascii="宋体" w:hAnsi="宋体"/>
                <w:color w:val="auto"/>
                <w:szCs w:val="21"/>
                <w:highlight w:val="none"/>
              </w:rPr>
            </w:pPr>
          </w:p>
        </w:tc>
        <w:tc>
          <w:tcPr>
            <w:tcW w:w="702" w:type="dxa"/>
            <w:vAlign w:val="center"/>
          </w:tcPr>
          <w:p w14:paraId="354E0C5D">
            <w:pPr>
              <w:spacing w:line="288" w:lineRule="auto"/>
              <w:jc w:val="center"/>
              <w:rPr>
                <w:rFonts w:hint="eastAsia" w:ascii="宋体" w:hAnsi="宋体"/>
                <w:color w:val="auto"/>
                <w:szCs w:val="21"/>
                <w:highlight w:val="none"/>
              </w:rPr>
            </w:pPr>
          </w:p>
        </w:tc>
        <w:tc>
          <w:tcPr>
            <w:tcW w:w="702" w:type="dxa"/>
            <w:vAlign w:val="center"/>
          </w:tcPr>
          <w:p w14:paraId="61EC3B62">
            <w:pPr>
              <w:spacing w:line="288" w:lineRule="auto"/>
              <w:jc w:val="center"/>
              <w:rPr>
                <w:rFonts w:hint="eastAsia" w:ascii="宋体" w:hAnsi="宋体"/>
                <w:color w:val="auto"/>
                <w:szCs w:val="21"/>
                <w:highlight w:val="none"/>
              </w:rPr>
            </w:pPr>
          </w:p>
        </w:tc>
        <w:tc>
          <w:tcPr>
            <w:tcW w:w="1164" w:type="dxa"/>
            <w:vAlign w:val="center"/>
          </w:tcPr>
          <w:p w14:paraId="5576DF46">
            <w:pPr>
              <w:spacing w:line="288" w:lineRule="auto"/>
              <w:jc w:val="center"/>
              <w:rPr>
                <w:rFonts w:hint="eastAsia" w:ascii="宋体" w:hAnsi="宋体"/>
                <w:color w:val="auto"/>
                <w:szCs w:val="21"/>
                <w:highlight w:val="none"/>
              </w:rPr>
            </w:pPr>
          </w:p>
        </w:tc>
        <w:tc>
          <w:tcPr>
            <w:tcW w:w="818" w:type="dxa"/>
            <w:vAlign w:val="center"/>
          </w:tcPr>
          <w:p w14:paraId="4FDF3B16">
            <w:pPr>
              <w:spacing w:line="288" w:lineRule="auto"/>
              <w:jc w:val="center"/>
              <w:rPr>
                <w:rFonts w:hint="eastAsia" w:ascii="宋体" w:hAnsi="宋体"/>
                <w:color w:val="auto"/>
                <w:szCs w:val="21"/>
                <w:highlight w:val="none"/>
              </w:rPr>
            </w:pPr>
          </w:p>
        </w:tc>
        <w:tc>
          <w:tcPr>
            <w:tcW w:w="1165" w:type="dxa"/>
            <w:vAlign w:val="center"/>
          </w:tcPr>
          <w:p w14:paraId="0F06315B">
            <w:pPr>
              <w:spacing w:line="288" w:lineRule="auto"/>
              <w:jc w:val="center"/>
              <w:rPr>
                <w:rFonts w:hint="eastAsia" w:ascii="宋体" w:hAnsi="宋体"/>
                <w:color w:val="auto"/>
                <w:szCs w:val="21"/>
                <w:highlight w:val="none"/>
              </w:rPr>
            </w:pPr>
          </w:p>
        </w:tc>
        <w:tc>
          <w:tcPr>
            <w:tcW w:w="703" w:type="dxa"/>
            <w:tcBorders>
              <w:right w:val="single" w:color="auto" w:sz="6" w:space="0"/>
            </w:tcBorders>
            <w:vAlign w:val="center"/>
          </w:tcPr>
          <w:p w14:paraId="5EF6DB5C">
            <w:pPr>
              <w:spacing w:line="288" w:lineRule="auto"/>
              <w:jc w:val="center"/>
              <w:rPr>
                <w:rFonts w:hint="eastAsia" w:ascii="宋体" w:hAnsi="宋体"/>
                <w:color w:val="auto"/>
                <w:szCs w:val="21"/>
                <w:highlight w:val="none"/>
              </w:rPr>
            </w:pPr>
          </w:p>
        </w:tc>
      </w:tr>
    </w:tbl>
    <w:p w14:paraId="0DA5F668">
      <w:pPr>
        <w:ind w:firstLine="178" w:firstLineChars="85"/>
        <w:rPr>
          <w:rFonts w:hint="eastAsia" w:ascii="宋体" w:hAnsi="宋体"/>
          <w:color w:val="auto"/>
          <w:szCs w:val="21"/>
          <w:highlight w:val="none"/>
        </w:rPr>
      </w:pPr>
    </w:p>
    <w:p w14:paraId="55E3DD12">
      <w:pPr>
        <w:ind w:firstLine="178" w:firstLineChars="85"/>
        <w:rPr>
          <w:rFonts w:hint="eastAsia" w:ascii="宋体" w:hAnsi="宋体"/>
          <w:color w:val="auto"/>
          <w:szCs w:val="21"/>
          <w:highlight w:val="none"/>
        </w:rPr>
      </w:pPr>
      <w:r>
        <w:rPr>
          <w:rFonts w:hint="eastAsia" w:ascii="宋体" w:hAnsi="宋体"/>
          <w:color w:val="auto"/>
          <w:szCs w:val="21"/>
          <w:highlight w:val="none"/>
        </w:rPr>
        <w:t>附有关证明文件（复印件加盖公章）</w:t>
      </w:r>
    </w:p>
    <w:p w14:paraId="2B71E162">
      <w:pPr>
        <w:ind w:firstLine="178" w:firstLineChars="85"/>
        <w:rPr>
          <w:rFonts w:hint="eastAsia" w:ascii="宋体" w:hAnsi="宋体"/>
          <w:color w:val="auto"/>
          <w:szCs w:val="21"/>
          <w:highlight w:val="none"/>
        </w:rPr>
      </w:pPr>
      <w:r>
        <w:rPr>
          <w:rFonts w:hint="eastAsia" w:ascii="宋体" w:hAnsi="宋体"/>
          <w:color w:val="auto"/>
          <w:szCs w:val="21"/>
          <w:highlight w:val="none"/>
        </w:rPr>
        <w:t>投标人代表签字：</w:t>
      </w:r>
    </w:p>
    <w:p w14:paraId="45E86761">
      <w:pPr>
        <w:ind w:firstLine="178" w:firstLineChars="85"/>
        <w:rPr>
          <w:rFonts w:hint="eastAsia" w:ascii="宋体" w:hAnsi="宋体"/>
          <w:color w:val="auto"/>
          <w:szCs w:val="21"/>
          <w:highlight w:val="none"/>
        </w:rPr>
      </w:pPr>
      <w:r>
        <w:rPr>
          <w:rFonts w:hint="eastAsia" w:ascii="宋体" w:hAnsi="宋体"/>
          <w:color w:val="auto"/>
          <w:szCs w:val="21"/>
          <w:highlight w:val="none"/>
        </w:rPr>
        <w:t>投标人盖章：</w:t>
      </w:r>
    </w:p>
    <w:p w14:paraId="292A45AE">
      <w:pPr>
        <w:rPr>
          <w:rFonts w:hint="eastAsia" w:ascii="宋体" w:hAnsi="宋体"/>
          <w:color w:val="auto"/>
          <w:szCs w:val="21"/>
          <w:highlight w:val="none"/>
        </w:rPr>
      </w:pPr>
      <w:r>
        <w:rPr>
          <w:rFonts w:hint="eastAsia" w:ascii="宋体" w:hAnsi="宋体"/>
          <w:color w:val="auto"/>
          <w:szCs w:val="21"/>
          <w:highlight w:val="none"/>
        </w:rPr>
        <w:t>注：</w:t>
      </w:r>
    </w:p>
    <w:p w14:paraId="713F6CA3">
      <w:pPr>
        <w:pStyle w:val="45"/>
        <w:numPr>
          <w:ilvl w:val="0"/>
          <w:numId w:val="11"/>
        </w:numPr>
        <w:ind w:firstLineChars="0"/>
        <w:rPr>
          <w:rFonts w:hint="eastAsia" w:ascii="宋体" w:hAnsi="宋体"/>
          <w:color w:val="auto"/>
          <w:szCs w:val="21"/>
          <w:highlight w:val="none"/>
        </w:rPr>
      </w:pPr>
      <w:r>
        <w:rPr>
          <w:rFonts w:hint="eastAsia" w:ascii="宋体" w:hAnsi="宋体"/>
          <w:color w:val="auto"/>
          <w:szCs w:val="21"/>
          <w:highlight w:val="none"/>
        </w:rPr>
        <w:t>投标人可按项目的实际需要提供本表格。</w:t>
      </w:r>
    </w:p>
    <w:p w14:paraId="4EF803DD">
      <w:pPr>
        <w:pStyle w:val="45"/>
        <w:numPr>
          <w:ilvl w:val="0"/>
          <w:numId w:val="11"/>
        </w:numPr>
        <w:ind w:firstLineChars="0"/>
        <w:rPr>
          <w:rFonts w:hint="eastAsia"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14:paraId="4D67F397">
      <w:pPr>
        <w:rPr>
          <w:rFonts w:hint="eastAsia"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14:paraId="2EC310C7">
      <w:pPr>
        <w:pStyle w:val="45"/>
        <w:numPr>
          <w:ilvl w:val="0"/>
          <w:numId w:val="11"/>
        </w:numPr>
        <w:ind w:firstLineChars="0"/>
        <w:rPr>
          <w:rFonts w:hint="eastAsia" w:ascii="宋体" w:hAnsi="宋体" w:cs="Times New Roman"/>
          <w:color w:val="auto"/>
          <w:szCs w:val="21"/>
          <w:highlight w:val="none"/>
        </w:rPr>
      </w:pPr>
      <w:r>
        <w:rPr>
          <w:rFonts w:hint="eastAsia" w:ascii="宋体" w:hAnsi="宋体"/>
          <w:color w:val="auto"/>
          <w:szCs w:val="21"/>
          <w:highlight w:val="none"/>
        </w:rPr>
        <w:br w:type="page"/>
      </w:r>
    </w:p>
    <w:p w14:paraId="38F8F9D6">
      <w:pPr>
        <w:pStyle w:val="8"/>
        <w:widowControl w:val="0"/>
        <w:overflowPunct w:val="0"/>
        <w:spacing w:line="240" w:lineRule="auto"/>
        <w:rPr>
          <w:rFonts w:hint="eastAsia" w:ascii="宋体" w:hAnsi="宋体"/>
          <w:color w:val="auto"/>
          <w:sz w:val="21"/>
          <w:szCs w:val="21"/>
          <w:highlight w:val="none"/>
        </w:rPr>
      </w:pPr>
      <w:bookmarkStart w:id="171" w:name="_Toc182308049"/>
      <w:r>
        <w:rPr>
          <w:rFonts w:hint="eastAsia" w:ascii="宋体" w:hAnsi="宋体"/>
          <w:color w:val="auto"/>
          <w:sz w:val="21"/>
          <w:szCs w:val="21"/>
          <w:highlight w:val="none"/>
        </w:rPr>
        <w:t>附件17. 有关人员近期的社保缴纳情况</w:t>
      </w:r>
      <w:bookmarkEnd w:id="171"/>
    </w:p>
    <w:p w14:paraId="0CED9396">
      <w:pPr>
        <w:adjustRightInd/>
        <w:snapToGrid/>
        <w:spacing w:line="240" w:lineRule="auto"/>
        <w:rPr>
          <w:rFonts w:hint="eastAsia" w:ascii="宋体" w:hAnsi="宋体"/>
          <w:color w:val="auto"/>
          <w:szCs w:val="21"/>
          <w:highlight w:val="none"/>
        </w:rPr>
      </w:pPr>
    </w:p>
    <w:p w14:paraId="742BA900">
      <w:pPr>
        <w:adjustRightInd/>
        <w:snapToGrid/>
        <w:spacing w:line="240" w:lineRule="auto"/>
        <w:rPr>
          <w:rFonts w:hint="eastAsia" w:ascii="宋体" w:hAnsi="宋体" w:cstheme="majorBidi"/>
          <w:b/>
          <w:bCs/>
          <w:color w:val="auto"/>
          <w:szCs w:val="21"/>
          <w:highlight w:val="none"/>
        </w:rPr>
      </w:pPr>
      <w:r>
        <w:rPr>
          <w:rFonts w:hint="eastAsia" w:ascii="宋体" w:hAnsi="宋体"/>
          <w:color w:val="auto"/>
          <w:szCs w:val="21"/>
          <w:highlight w:val="none"/>
        </w:rPr>
        <w:br w:type="page"/>
      </w:r>
    </w:p>
    <w:p w14:paraId="0D8D9643">
      <w:pPr>
        <w:pStyle w:val="6"/>
        <w:spacing w:before="0" w:after="0" w:line="360" w:lineRule="auto"/>
        <w:jc w:val="center"/>
        <w:rPr>
          <w:color w:val="auto"/>
          <w:sz w:val="72"/>
          <w:szCs w:val="72"/>
          <w:highlight w:val="none"/>
        </w:rPr>
      </w:pPr>
      <w:bookmarkStart w:id="172" w:name="_Toc182308050"/>
      <w:r>
        <w:rPr>
          <w:rFonts w:hint="eastAsia"/>
          <w:color w:val="auto"/>
          <w:sz w:val="72"/>
          <w:szCs w:val="72"/>
          <w:highlight w:val="none"/>
        </w:rPr>
        <w:t>技术文件</w:t>
      </w:r>
      <w:bookmarkEnd w:id="172"/>
    </w:p>
    <w:p w14:paraId="1802CC31">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017AEEF1">
      <w:pPr>
        <w:rPr>
          <w:color w:val="auto"/>
          <w:highlight w:val="none"/>
        </w:rPr>
      </w:pPr>
    </w:p>
    <w:p w14:paraId="3F113D2C">
      <w:pPr>
        <w:pStyle w:val="13"/>
        <w:rPr>
          <w:rFonts w:hint="eastAsia"/>
          <w:color w:val="auto"/>
          <w:highlight w:val="none"/>
        </w:rPr>
      </w:pPr>
    </w:p>
    <w:p w14:paraId="7198BB4E">
      <w:pPr>
        <w:ind w:firstLine="240"/>
        <w:rPr>
          <w:color w:val="auto"/>
          <w:highlight w:val="none"/>
        </w:rPr>
      </w:pPr>
    </w:p>
    <w:p w14:paraId="0455B7E3">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8"/>
        </w:rPr>
        <w:t>项目名</w:t>
      </w:r>
      <w:r>
        <w:rPr>
          <w:rFonts w:hint="eastAsia" w:ascii="宋体" w:hAnsi="宋体" w:cs="宋体"/>
          <w:b/>
          <w:bCs/>
          <w:color w:val="auto"/>
          <w:spacing w:val="1"/>
          <w:w w:val="100"/>
          <w:kern w:val="0"/>
          <w:sz w:val="32"/>
          <w:szCs w:val="32"/>
          <w:highlight w:val="none"/>
          <w:fitText w:val="1600" w:id="8"/>
        </w:rPr>
        <w:t>称</w:t>
      </w:r>
      <w:r>
        <w:rPr>
          <w:rFonts w:hint="eastAsia" w:ascii="宋体" w:hAnsi="宋体" w:cs="宋体"/>
          <w:b/>
          <w:bCs/>
          <w:color w:val="auto"/>
          <w:spacing w:val="-6"/>
          <w:sz w:val="32"/>
          <w:szCs w:val="32"/>
          <w:highlight w:val="none"/>
        </w:rPr>
        <w:t>：</w:t>
      </w:r>
    </w:p>
    <w:p w14:paraId="5F88DCE6">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9"/>
        </w:rPr>
        <w:t>项目编</w:t>
      </w:r>
      <w:r>
        <w:rPr>
          <w:rFonts w:hint="eastAsia" w:ascii="宋体" w:hAnsi="宋体" w:cs="宋体"/>
          <w:b/>
          <w:bCs/>
          <w:color w:val="auto"/>
          <w:spacing w:val="1"/>
          <w:w w:val="100"/>
          <w:kern w:val="0"/>
          <w:sz w:val="32"/>
          <w:szCs w:val="32"/>
          <w:highlight w:val="none"/>
          <w:fitText w:val="1600" w:id="9"/>
        </w:rPr>
        <w:t>号</w:t>
      </w:r>
      <w:r>
        <w:rPr>
          <w:rFonts w:hint="eastAsia" w:ascii="宋体" w:hAnsi="宋体" w:cs="宋体"/>
          <w:b/>
          <w:bCs/>
          <w:color w:val="auto"/>
          <w:sz w:val="32"/>
          <w:szCs w:val="32"/>
          <w:highlight w:val="none"/>
        </w:rPr>
        <w:t>：</w:t>
      </w:r>
    </w:p>
    <w:p w14:paraId="70FE499A">
      <w:pPr>
        <w:pStyle w:val="13"/>
        <w:ind w:left="0"/>
        <w:rPr>
          <w:rFonts w:hint="eastAsia"/>
          <w:b/>
          <w:color w:val="auto"/>
          <w:spacing w:val="1280"/>
          <w:sz w:val="32"/>
          <w:szCs w:val="32"/>
          <w:highlight w:val="none"/>
        </w:rPr>
      </w:pPr>
      <w:r>
        <w:rPr>
          <w:b/>
          <w:color w:val="auto"/>
          <w:spacing w:val="106"/>
          <w:sz w:val="32"/>
          <w:szCs w:val="32"/>
          <w:highlight w:val="none"/>
          <w:lang w:val="en-US" w:bidi="ar-SA"/>
        </w:rPr>
        <w:t>包组号（如有）：</w:t>
      </w:r>
    </w:p>
    <w:p w14:paraId="3BEE274A">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10"/>
        </w:rPr>
        <w:t>投标人名称</w:t>
      </w:r>
      <w:r>
        <w:rPr>
          <w:rFonts w:hint="eastAsia" w:ascii="宋体" w:hAnsi="宋体" w:cs="宋体"/>
          <w:b/>
          <w:color w:val="auto"/>
          <w:sz w:val="32"/>
          <w:szCs w:val="32"/>
          <w:highlight w:val="none"/>
        </w:rPr>
        <w:t>：</w:t>
      </w:r>
    </w:p>
    <w:p w14:paraId="45CAA7E0">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11"/>
        </w:rPr>
        <w:t xml:space="preserve">日    </w:t>
      </w:r>
      <w:r>
        <w:rPr>
          <w:rFonts w:hint="eastAsia" w:ascii="宋体" w:hAnsi="宋体" w:cs="宋体"/>
          <w:b/>
          <w:color w:val="auto"/>
          <w:spacing w:val="0"/>
          <w:w w:val="100"/>
          <w:kern w:val="0"/>
          <w:sz w:val="32"/>
          <w:szCs w:val="32"/>
          <w:highlight w:val="none"/>
          <w:fitText w:val="1600" w:id="11"/>
        </w:rPr>
        <w:t>期</w:t>
      </w:r>
      <w:r>
        <w:rPr>
          <w:rFonts w:hint="eastAsia" w:ascii="宋体" w:hAnsi="宋体" w:cs="宋体"/>
          <w:b/>
          <w:color w:val="auto"/>
          <w:sz w:val="32"/>
          <w:szCs w:val="32"/>
          <w:highlight w:val="none"/>
        </w:rPr>
        <w:t>：  年  月  日</w:t>
      </w:r>
    </w:p>
    <w:p w14:paraId="237E1240">
      <w:pPr>
        <w:rPr>
          <w:rFonts w:hint="eastAsia" w:ascii="宋体" w:hAnsi="宋体"/>
          <w:color w:val="auto"/>
          <w:szCs w:val="21"/>
          <w:highlight w:val="none"/>
        </w:rPr>
      </w:pPr>
      <w:r>
        <w:rPr>
          <w:rFonts w:hint="eastAsia" w:ascii="宋体" w:hAnsi="宋体"/>
          <w:color w:val="auto"/>
          <w:szCs w:val="21"/>
          <w:highlight w:val="none"/>
        </w:rPr>
        <w:br w:type="page"/>
      </w:r>
    </w:p>
    <w:p w14:paraId="0B6494BC">
      <w:pPr>
        <w:pStyle w:val="8"/>
        <w:widowControl w:val="0"/>
        <w:overflowPunct w:val="0"/>
        <w:spacing w:line="240" w:lineRule="auto"/>
        <w:rPr>
          <w:rFonts w:hint="eastAsia" w:ascii="宋体" w:hAnsi="宋体"/>
          <w:color w:val="auto"/>
          <w:sz w:val="21"/>
          <w:szCs w:val="21"/>
          <w:highlight w:val="none"/>
        </w:rPr>
      </w:pPr>
      <w:bookmarkStart w:id="173" w:name="_Toc182308051"/>
      <w:r>
        <w:rPr>
          <w:rFonts w:hint="eastAsia" w:ascii="宋体" w:hAnsi="宋体"/>
          <w:color w:val="auto"/>
          <w:sz w:val="21"/>
          <w:szCs w:val="21"/>
          <w:highlight w:val="none"/>
        </w:rPr>
        <w:t>附件1.</w:t>
      </w:r>
      <w:r>
        <w:rPr>
          <w:rFonts w:hint="eastAsia"/>
          <w:color w:val="auto"/>
          <w:highlight w:val="none"/>
        </w:rPr>
        <w:t xml:space="preserve"> </w:t>
      </w:r>
      <w:r>
        <w:rPr>
          <w:rFonts w:hint="eastAsia" w:ascii="宋体" w:hAnsi="宋体"/>
          <w:color w:val="auto"/>
          <w:sz w:val="21"/>
          <w:szCs w:val="21"/>
          <w:highlight w:val="none"/>
        </w:rPr>
        <w:t>技术评分标准索引表</w:t>
      </w:r>
      <w:bookmarkEnd w:id="173"/>
    </w:p>
    <w:p w14:paraId="2CE78F6F">
      <w:pPr>
        <w:adjustRightInd/>
        <w:snapToGrid/>
        <w:spacing w:line="276" w:lineRule="auto"/>
        <w:rPr>
          <w:rFonts w:hint="eastAsia" w:ascii="宋体" w:hAnsi="宋体" w:cs="宋体"/>
          <w:color w:val="auto"/>
          <w:szCs w:val="21"/>
          <w:highlight w:val="none"/>
        </w:rPr>
      </w:pPr>
    </w:p>
    <w:p w14:paraId="6FFC6609">
      <w:pPr>
        <w:jc w:val="center"/>
        <w:rPr>
          <w:rFonts w:hint="eastAsia" w:ascii="宋体" w:hAnsi="宋体" w:cs="宋体"/>
          <w:color w:val="auto"/>
          <w:sz w:val="32"/>
          <w:szCs w:val="32"/>
          <w:highlight w:val="none"/>
        </w:rPr>
      </w:pPr>
      <w:r>
        <w:rPr>
          <w:rFonts w:hint="eastAsia" w:ascii="宋体" w:hAnsi="宋体" w:cs="宋体"/>
          <w:color w:val="auto"/>
          <w:sz w:val="32"/>
          <w:szCs w:val="32"/>
          <w:highlight w:val="none"/>
        </w:rPr>
        <w:t>评分标准索引表</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5AC07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0F7B8869">
            <w:pPr>
              <w:jc w:val="center"/>
              <w:rPr>
                <w:rFonts w:hint="eastAsia" w:ascii="宋体" w:hAnsi="宋体" w:cs="宋体"/>
                <w:color w:val="auto"/>
                <w:highlight w:val="none"/>
              </w:rPr>
            </w:pPr>
            <w:r>
              <w:rPr>
                <w:rFonts w:hint="eastAsia" w:ascii="宋体" w:hAnsi="宋体" w:cs="宋体"/>
                <w:color w:val="auto"/>
                <w:highlight w:val="none"/>
              </w:rPr>
              <w:t>序号</w:t>
            </w:r>
          </w:p>
        </w:tc>
        <w:tc>
          <w:tcPr>
            <w:tcW w:w="1704" w:type="dxa"/>
            <w:vAlign w:val="center"/>
          </w:tcPr>
          <w:p w14:paraId="482592DE">
            <w:pPr>
              <w:jc w:val="center"/>
              <w:rPr>
                <w:rFonts w:hint="eastAsia"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6839183E">
            <w:pPr>
              <w:jc w:val="center"/>
              <w:rPr>
                <w:rFonts w:hint="eastAsia"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40F3E20D">
            <w:pPr>
              <w:jc w:val="center"/>
              <w:rPr>
                <w:rFonts w:hint="eastAsia" w:ascii="宋体" w:hAnsi="宋体" w:cs="宋体"/>
                <w:color w:val="auto"/>
                <w:highlight w:val="none"/>
              </w:rPr>
            </w:pPr>
            <w:r>
              <w:rPr>
                <w:rFonts w:hint="eastAsia" w:ascii="宋体" w:hAnsi="宋体" w:cs="宋体"/>
                <w:color w:val="auto"/>
                <w:highlight w:val="none"/>
              </w:rPr>
              <w:t>分值</w:t>
            </w:r>
          </w:p>
        </w:tc>
        <w:tc>
          <w:tcPr>
            <w:tcW w:w="1705" w:type="dxa"/>
            <w:vAlign w:val="center"/>
          </w:tcPr>
          <w:p w14:paraId="5E2177A3">
            <w:pPr>
              <w:jc w:val="center"/>
              <w:rPr>
                <w:rFonts w:hint="eastAsia" w:ascii="宋体" w:hAnsi="宋体" w:cs="宋体"/>
                <w:color w:val="auto"/>
                <w:highlight w:val="none"/>
              </w:rPr>
            </w:pPr>
            <w:r>
              <w:rPr>
                <w:rFonts w:hint="eastAsia" w:ascii="宋体" w:hAnsi="宋体" w:cs="宋体"/>
                <w:color w:val="auto"/>
                <w:highlight w:val="none"/>
              </w:rPr>
              <w:t>页码范围</w:t>
            </w:r>
          </w:p>
        </w:tc>
      </w:tr>
      <w:tr w14:paraId="43328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1CCD6001">
            <w:pPr>
              <w:jc w:val="center"/>
              <w:rPr>
                <w:rFonts w:hint="eastAsia" w:ascii="宋体" w:hAnsi="宋体" w:cs="宋体"/>
                <w:color w:val="auto"/>
                <w:highlight w:val="none"/>
              </w:rPr>
            </w:pPr>
            <w:r>
              <w:rPr>
                <w:rFonts w:hint="eastAsia" w:ascii="宋体" w:hAnsi="宋体" w:cs="宋体"/>
                <w:color w:val="auto"/>
                <w:highlight w:val="none"/>
              </w:rPr>
              <w:t>技术评审</w:t>
            </w:r>
          </w:p>
        </w:tc>
      </w:tr>
      <w:tr w14:paraId="21A3C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C19AA4B">
            <w:pPr>
              <w:jc w:val="center"/>
              <w:rPr>
                <w:rFonts w:hint="eastAsia" w:ascii="宋体" w:hAnsi="宋体" w:cs="宋体"/>
                <w:color w:val="auto"/>
                <w:highlight w:val="none"/>
              </w:rPr>
            </w:pPr>
          </w:p>
        </w:tc>
        <w:tc>
          <w:tcPr>
            <w:tcW w:w="1704" w:type="dxa"/>
            <w:vAlign w:val="center"/>
          </w:tcPr>
          <w:p w14:paraId="4FA8C2D8">
            <w:pPr>
              <w:jc w:val="center"/>
              <w:rPr>
                <w:rFonts w:hint="eastAsia" w:ascii="宋体" w:hAnsi="宋体" w:cs="宋体"/>
                <w:color w:val="auto"/>
                <w:highlight w:val="none"/>
              </w:rPr>
            </w:pPr>
          </w:p>
        </w:tc>
        <w:tc>
          <w:tcPr>
            <w:tcW w:w="1704" w:type="dxa"/>
            <w:vAlign w:val="center"/>
          </w:tcPr>
          <w:p w14:paraId="2BD7E74D">
            <w:pPr>
              <w:jc w:val="center"/>
              <w:rPr>
                <w:rFonts w:hint="eastAsia" w:ascii="宋体" w:hAnsi="宋体" w:cs="宋体"/>
                <w:color w:val="auto"/>
                <w:highlight w:val="none"/>
              </w:rPr>
            </w:pPr>
          </w:p>
        </w:tc>
        <w:tc>
          <w:tcPr>
            <w:tcW w:w="1705" w:type="dxa"/>
            <w:vAlign w:val="center"/>
          </w:tcPr>
          <w:p w14:paraId="2A91BBCF">
            <w:pPr>
              <w:jc w:val="center"/>
              <w:rPr>
                <w:rFonts w:hint="eastAsia" w:ascii="宋体" w:hAnsi="宋体" w:cs="宋体"/>
                <w:color w:val="auto"/>
                <w:highlight w:val="none"/>
              </w:rPr>
            </w:pPr>
          </w:p>
        </w:tc>
        <w:tc>
          <w:tcPr>
            <w:tcW w:w="1705" w:type="dxa"/>
            <w:vAlign w:val="center"/>
          </w:tcPr>
          <w:p w14:paraId="76FFEC96">
            <w:pPr>
              <w:jc w:val="center"/>
              <w:rPr>
                <w:rFonts w:hint="eastAsia" w:ascii="宋体" w:hAnsi="宋体" w:cs="宋体"/>
                <w:color w:val="auto"/>
                <w:highlight w:val="none"/>
              </w:rPr>
            </w:pPr>
          </w:p>
        </w:tc>
      </w:tr>
      <w:tr w14:paraId="137BD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B414783">
            <w:pPr>
              <w:jc w:val="center"/>
              <w:rPr>
                <w:rFonts w:hint="eastAsia" w:ascii="宋体" w:hAnsi="宋体" w:cs="宋体"/>
                <w:color w:val="auto"/>
                <w:highlight w:val="none"/>
              </w:rPr>
            </w:pPr>
          </w:p>
        </w:tc>
        <w:tc>
          <w:tcPr>
            <w:tcW w:w="1704" w:type="dxa"/>
            <w:vAlign w:val="center"/>
          </w:tcPr>
          <w:p w14:paraId="2C5F7221">
            <w:pPr>
              <w:jc w:val="center"/>
              <w:rPr>
                <w:rFonts w:hint="eastAsia" w:ascii="宋体" w:hAnsi="宋体" w:cs="宋体"/>
                <w:color w:val="auto"/>
                <w:highlight w:val="none"/>
              </w:rPr>
            </w:pPr>
          </w:p>
        </w:tc>
        <w:tc>
          <w:tcPr>
            <w:tcW w:w="1704" w:type="dxa"/>
            <w:vAlign w:val="center"/>
          </w:tcPr>
          <w:p w14:paraId="1A324F08">
            <w:pPr>
              <w:jc w:val="center"/>
              <w:rPr>
                <w:rFonts w:hint="eastAsia" w:ascii="宋体" w:hAnsi="宋体" w:cs="宋体"/>
                <w:color w:val="auto"/>
                <w:highlight w:val="none"/>
              </w:rPr>
            </w:pPr>
          </w:p>
        </w:tc>
        <w:tc>
          <w:tcPr>
            <w:tcW w:w="1705" w:type="dxa"/>
            <w:vAlign w:val="center"/>
          </w:tcPr>
          <w:p w14:paraId="496F8F6F">
            <w:pPr>
              <w:jc w:val="center"/>
              <w:rPr>
                <w:rFonts w:hint="eastAsia" w:ascii="宋体" w:hAnsi="宋体" w:cs="宋体"/>
                <w:color w:val="auto"/>
                <w:highlight w:val="none"/>
              </w:rPr>
            </w:pPr>
          </w:p>
        </w:tc>
        <w:tc>
          <w:tcPr>
            <w:tcW w:w="1705" w:type="dxa"/>
            <w:vAlign w:val="center"/>
          </w:tcPr>
          <w:p w14:paraId="57EA4252">
            <w:pPr>
              <w:jc w:val="center"/>
              <w:rPr>
                <w:rFonts w:hint="eastAsia" w:ascii="宋体" w:hAnsi="宋体" w:cs="宋体"/>
                <w:color w:val="auto"/>
                <w:highlight w:val="none"/>
              </w:rPr>
            </w:pPr>
          </w:p>
        </w:tc>
      </w:tr>
      <w:tr w14:paraId="726D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1848500">
            <w:pPr>
              <w:jc w:val="center"/>
              <w:rPr>
                <w:rFonts w:hint="eastAsia" w:ascii="宋体" w:hAnsi="宋体" w:cs="宋体"/>
                <w:color w:val="auto"/>
                <w:highlight w:val="none"/>
              </w:rPr>
            </w:pPr>
          </w:p>
        </w:tc>
        <w:tc>
          <w:tcPr>
            <w:tcW w:w="1704" w:type="dxa"/>
            <w:vAlign w:val="center"/>
          </w:tcPr>
          <w:p w14:paraId="4C24CC22">
            <w:pPr>
              <w:jc w:val="center"/>
              <w:rPr>
                <w:rFonts w:hint="eastAsia" w:ascii="宋体" w:hAnsi="宋体" w:cs="宋体"/>
                <w:color w:val="auto"/>
                <w:highlight w:val="none"/>
              </w:rPr>
            </w:pPr>
          </w:p>
        </w:tc>
        <w:tc>
          <w:tcPr>
            <w:tcW w:w="1704" w:type="dxa"/>
            <w:vAlign w:val="center"/>
          </w:tcPr>
          <w:p w14:paraId="3384C6D6">
            <w:pPr>
              <w:jc w:val="center"/>
              <w:rPr>
                <w:rFonts w:hint="eastAsia" w:ascii="宋体" w:hAnsi="宋体" w:cs="宋体"/>
                <w:color w:val="auto"/>
                <w:highlight w:val="none"/>
              </w:rPr>
            </w:pPr>
          </w:p>
        </w:tc>
        <w:tc>
          <w:tcPr>
            <w:tcW w:w="1705" w:type="dxa"/>
            <w:vAlign w:val="center"/>
          </w:tcPr>
          <w:p w14:paraId="64A4CE26">
            <w:pPr>
              <w:jc w:val="center"/>
              <w:rPr>
                <w:rFonts w:hint="eastAsia" w:ascii="宋体" w:hAnsi="宋体" w:cs="宋体"/>
                <w:color w:val="auto"/>
                <w:highlight w:val="none"/>
              </w:rPr>
            </w:pPr>
          </w:p>
        </w:tc>
        <w:tc>
          <w:tcPr>
            <w:tcW w:w="1705" w:type="dxa"/>
            <w:vAlign w:val="center"/>
          </w:tcPr>
          <w:p w14:paraId="23830842">
            <w:pPr>
              <w:jc w:val="center"/>
              <w:rPr>
                <w:rFonts w:hint="eastAsia" w:ascii="宋体" w:hAnsi="宋体" w:cs="宋体"/>
                <w:color w:val="auto"/>
                <w:highlight w:val="none"/>
              </w:rPr>
            </w:pPr>
          </w:p>
        </w:tc>
      </w:tr>
    </w:tbl>
    <w:p w14:paraId="473B6862">
      <w:pPr>
        <w:rPr>
          <w:rFonts w:hint="eastAsia" w:ascii="宋体" w:hAnsi="宋体" w:cs="宋体"/>
          <w:color w:val="auto"/>
          <w:szCs w:val="21"/>
          <w:highlight w:val="none"/>
        </w:rPr>
      </w:pPr>
    </w:p>
    <w:p w14:paraId="60A60A47">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4461AB45">
      <w:pPr>
        <w:pStyle w:val="8"/>
        <w:widowControl w:val="0"/>
        <w:overflowPunct w:val="0"/>
        <w:spacing w:line="240" w:lineRule="auto"/>
        <w:rPr>
          <w:rFonts w:hint="eastAsia" w:ascii="宋体" w:hAnsi="宋体"/>
          <w:color w:val="auto"/>
          <w:sz w:val="21"/>
          <w:szCs w:val="21"/>
          <w:highlight w:val="none"/>
        </w:rPr>
      </w:pPr>
      <w:bookmarkStart w:id="174" w:name="_Toc182308052"/>
      <w:r>
        <w:rPr>
          <w:rFonts w:hint="eastAsia" w:ascii="宋体" w:hAnsi="宋体"/>
          <w:color w:val="auto"/>
          <w:sz w:val="21"/>
          <w:szCs w:val="21"/>
          <w:highlight w:val="none"/>
        </w:rPr>
        <w:t>附件2. 技术规格偏离表格式</w:t>
      </w:r>
      <w:bookmarkEnd w:id="174"/>
    </w:p>
    <w:p w14:paraId="1DD3CDCC">
      <w:pPr>
        <w:jc w:val="center"/>
        <w:rPr>
          <w:rFonts w:ascii="黑体" w:eastAsia="黑体"/>
          <w:color w:val="auto"/>
          <w:sz w:val="28"/>
          <w:szCs w:val="28"/>
          <w:highlight w:val="none"/>
        </w:rPr>
      </w:pPr>
    </w:p>
    <w:p w14:paraId="0317EB16">
      <w:pPr>
        <w:jc w:val="center"/>
        <w:rPr>
          <w:rFonts w:hint="eastAsia" w:ascii="宋体" w:hAnsi="宋体"/>
          <w:color w:val="auto"/>
          <w:sz w:val="28"/>
          <w:szCs w:val="28"/>
          <w:highlight w:val="none"/>
        </w:rPr>
      </w:pPr>
      <w:r>
        <w:rPr>
          <w:rFonts w:hint="eastAsia" w:ascii="宋体" w:hAnsi="宋体"/>
          <w:color w:val="auto"/>
          <w:sz w:val="28"/>
          <w:szCs w:val="28"/>
          <w:highlight w:val="none"/>
        </w:rPr>
        <w:t>技术规格偏离表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445F5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53287540">
            <w:pPr>
              <w:jc w:val="center"/>
              <w:rPr>
                <w:rFonts w:hint="eastAsia" w:ascii="宋体" w:hAnsi="宋体"/>
                <w:color w:val="auto"/>
                <w:szCs w:val="21"/>
                <w:highlight w:val="none"/>
              </w:rPr>
            </w:pPr>
            <w:r>
              <w:rPr>
                <w:rFonts w:hint="eastAsia" w:ascii="宋体" w:hAnsi="宋体"/>
                <w:color w:val="auto"/>
                <w:szCs w:val="21"/>
                <w:highlight w:val="none"/>
              </w:rPr>
              <w:t>序号</w:t>
            </w:r>
          </w:p>
        </w:tc>
        <w:tc>
          <w:tcPr>
            <w:tcW w:w="1902" w:type="dxa"/>
            <w:vAlign w:val="center"/>
          </w:tcPr>
          <w:p w14:paraId="0E9CB949">
            <w:pPr>
              <w:jc w:val="center"/>
              <w:rPr>
                <w:rFonts w:hint="eastAsia"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14:paraId="6F1D4330">
            <w:pPr>
              <w:jc w:val="center"/>
              <w:rPr>
                <w:rFonts w:hint="eastAsia"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14:paraId="4B2D84BC">
            <w:pPr>
              <w:jc w:val="center"/>
              <w:rPr>
                <w:rFonts w:hint="eastAsia"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14:paraId="796DE7B5">
            <w:pPr>
              <w:jc w:val="center"/>
              <w:rPr>
                <w:rFonts w:hint="eastAsia"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14:paraId="424AA497">
            <w:pPr>
              <w:jc w:val="center"/>
              <w:rPr>
                <w:rFonts w:hint="eastAsia" w:ascii="宋体" w:hAnsi="宋体"/>
                <w:color w:val="auto"/>
                <w:szCs w:val="21"/>
                <w:highlight w:val="none"/>
              </w:rPr>
            </w:pPr>
            <w:r>
              <w:rPr>
                <w:rFonts w:hint="eastAsia" w:ascii="宋体" w:hAnsi="宋体"/>
                <w:color w:val="auto"/>
                <w:szCs w:val="21"/>
                <w:highlight w:val="none"/>
              </w:rPr>
              <w:t>说明</w:t>
            </w:r>
          </w:p>
        </w:tc>
      </w:tr>
      <w:tr w14:paraId="14084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2F35BAE">
            <w:pPr>
              <w:jc w:val="center"/>
              <w:rPr>
                <w:rFonts w:hint="eastAsia" w:ascii="宋体" w:hAnsi="宋体"/>
                <w:color w:val="auto"/>
                <w:szCs w:val="21"/>
                <w:highlight w:val="none"/>
              </w:rPr>
            </w:pPr>
          </w:p>
        </w:tc>
        <w:tc>
          <w:tcPr>
            <w:tcW w:w="1902" w:type="dxa"/>
            <w:vAlign w:val="center"/>
          </w:tcPr>
          <w:p w14:paraId="49FB4A6F">
            <w:pPr>
              <w:jc w:val="center"/>
              <w:rPr>
                <w:rFonts w:hint="eastAsia" w:ascii="宋体" w:hAnsi="宋体"/>
                <w:color w:val="auto"/>
                <w:szCs w:val="21"/>
                <w:highlight w:val="none"/>
              </w:rPr>
            </w:pPr>
          </w:p>
        </w:tc>
        <w:tc>
          <w:tcPr>
            <w:tcW w:w="1370" w:type="dxa"/>
            <w:vAlign w:val="center"/>
          </w:tcPr>
          <w:p w14:paraId="398CC709">
            <w:pPr>
              <w:jc w:val="center"/>
              <w:rPr>
                <w:rFonts w:hint="eastAsia" w:ascii="宋体" w:hAnsi="宋体"/>
                <w:color w:val="auto"/>
                <w:szCs w:val="21"/>
                <w:highlight w:val="none"/>
              </w:rPr>
            </w:pPr>
          </w:p>
        </w:tc>
        <w:tc>
          <w:tcPr>
            <w:tcW w:w="1629" w:type="dxa"/>
            <w:vAlign w:val="center"/>
          </w:tcPr>
          <w:p w14:paraId="1119CFBC">
            <w:pPr>
              <w:jc w:val="center"/>
              <w:rPr>
                <w:rFonts w:hint="eastAsia" w:ascii="宋体" w:hAnsi="宋体"/>
                <w:color w:val="auto"/>
                <w:szCs w:val="21"/>
                <w:highlight w:val="none"/>
              </w:rPr>
            </w:pPr>
          </w:p>
        </w:tc>
        <w:tc>
          <w:tcPr>
            <w:tcW w:w="1239" w:type="dxa"/>
            <w:vAlign w:val="center"/>
          </w:tcPr>
          <w:p w14:paraId="7DABA792">
            <w:pPr>
              <w:jc w:val="center"/>
              <w:rPr>
                <w:rFonts w:hint="eastAsia" w:ascii="宋体" w:hAnsi="宋体"/>
                <w:color w:val="auto"/>
                <w:szCs w:val="21"/>
                <w:highlight w:val="none"/>
              </w:rPr>
            </w:pPr>
          </w:p>
        </w:tc>
        <w:tc>
          <w:tcPr>
            <w:tcW w:w="1544" w:type="dxa"/>
            <w:vAlign w:val="center"/>
          </w:tcPr>
          <w:p w14:paraId="07D1CFDC">
            <w:pPr>
              <w:jc w:val="center"/>
              <w:rPr>
                <w:rFonts w:hint="eastAsia" w:ascii="宋体" w:hAnsi="宋体"/>
                <w:color w:val="auto"/>
                <w:szCs w:val="21"/>
                <w:highlight w:val="none"/>
              </w:rPr>
            </w:pPr>
          </w:p>
        </w:tc>
      </w:tr>
      <w:tr w14:paraId="57365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A0DBD6E">
            <w:pPr>
              <w:jc w:val="center"/>
              <w:rPr>
                <w:rFonts w:hint="eastAsia" w:ascii="宋体" w:hAnsi="宋体"/>
                <w:color w:val="auto"/>
                <w:szCs w:val="21"/>
                <w:highlight w:val="none"/>
              </w:rPr>
            </w:pPr>
          </w:p>
        </w:tc>
        <w:tc>
          <w:tcPr>
            <w:tcW w:w="1902" w:type="dxa"/>
            <w:vAlign w:val="center"/>
          </w:tcPr>
          <w:p w14:paraId="2EB6E5BA">
            <w:pPr>
              <w:jc w:val="center"/>
              <w:rPr>
                <w:rFonts w:hint="eastAsia" w:ascii="宋体" w:hAnsi="宋体"/>
                <w:color w:val="auto"/>
                <w:szCs w:val="21"/>
                <w:highlight w:val="none"/>
              </w:rPr>
            </w:pPr>
          </w:p>
        </w:tc>
        <w:tc>
          <w:tcPr>
            <w:tcW w:w="1370" w:type="dxa"/>
            <w:vAlign w:val="center"/>
          </w:tcPr>
          <w:p w14:paraId="30BEB549">
            <w:pPr>
              <w:jc w:val="center"/>
              <w:rPr>
                <w:rFonts w:hint="eastAsia" w:ascii="宋体" w:hAnsi="宋体"/>
                <w:color w:val="auto"/>
                <w:szCs w:val="21"/>
                <w:highlight w:val="none"/>
              </w:rPr>
            </w:pPr>
          </w:p>
        </w:tc>
        <w:tc>
          <w:tcPr>
            <w:tcW w:w="1629" w:type="dxa"/>
            <w:vAlign w:val="center"/>
          </w:tcPr>
          <w:p w14:paraId="7B6117CA">
            <w:pPr>
              <w:jc w:val="center"/>
              <w:rPr>
                <w:rFonts w:hint="eastAsia" w:ascii="宋体" w:hAnsi="宋体"/>
                <w:color w:val="auto"/>
                <w:szCs w:val="21"/>
                <w:highlight w:val="none"/>
              </w:rPr>
            </w:pPr>
          </w:p>
        </w:tc>
        <w:tc>
          <w:tcPr>
            <w:tcW w:w="1239" w:type="dxa"/>
            <w:vAlign w:val="center"/>
          </w:tcPr>
          <w:p w14:paraId="3F1CA4E6">
            <w:pPr>
              <w:jc w:val="center"/>
              <w:rPr>
                <w:rFonts w:hint="eastAsia" w:ascii="宋体" w:hAnsi="宋体"/>
                <w:color w:val="auto"/>
                <w:szCs w:val="21"/>
                <w:highlight w:val="none"/>
              </w:rPr>
            </w:pPr>
          </w:p>
        </w:tc>
        <w:tc>
          <w:tcPr>
            <w:tcW w:w="1544" w:type="dxa"/>
            <w:vAlign w:val="center"/>
          </w:tcPr>
          <w:p w14:paraId="47E04A20">
            <w:pPr>
              <w:jc w:val="center"/>
              <w:rPr>
                <w:rFonts w:hint="eastAsia" w:ascii="宋体" w:hAnsi="宋体"/>
                <w:color w:val="auto"/>
                <w:szCs w:val="21"/>
                <w:highlight w:val="none"/>
              </w:rPr>
            </w:pPr>
          </w:p>
        </w:tc>
      </w:tr>
      <w:tr w14:paraId="25E89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A332131">
            <w:pPr>
              <w:jc w:val="center"/>
              <w:rPr>
                <w:rFonts w:hint="eastAsia" w:ascii="宋体" w:hAnsi="宋体"/>
                <w:color w:val="auto"/>
                <w:szCs w:val="21"/>
                <w:highlight w:val="none"/>
              </w:rPr>
            </w:pPr>
          </w:p>
        </w:tc>
        <w:tc>
          <w:tcPr>
            <w:tcW w:w="1902" w:type="dxa"/>
            <w:vAlign w:val="center"/>
          </w:tcPr>
          <w:p w14:paraId="47F3DCF4">
            <w:pPr>
              <w:jc w:val="center"/>
              <w:rPr>
                <w:rFonts w:hint="eastAsia" w:ascii="宋体" w:hAnsi="宋体"/>
                <w:color w:val="auto"/>
                <w:szCs w:val="21"/>
                <w:highlight w:val="none"/>
              </w:rPr>
            </w:pPr>
          </w:p>
        </w:tc>
        <w:tc>
          <w:tcPr>
            <w:tcW w:w="1370" w:type="dxa"/>
            <w:vAlign w:val="center"/>
          </w:tcPr>
          <w:p w14:paraId="29A6C2C9">
            <w:pPr>
              <w:jc w:val="center"/>
              <w:rPr>
                <w:rFonts w:hint="eastAsia" w:ascii="宋体" w:hAnsi="宋体"/>
                <w:color w:val="auto"/>
                <w:szCs w:val="21"/>
                <w:highlight w:val="none"/>
              </w:rPr>
            </w:pPr>
          </w:p>
        </w:tc>
        <w:tc>
          <w:tcPr>
            <w:tcW w:w="1629" w:type="dxa"/>
            <w:vAlign w:val="center"/>
          </w:tcPr>
          <w:p w14:paraId="28316D58">
            <w:pPr>
              <w:jc w:val="center"/>
              <w:rPr>
                <w:rFonts w:hint="eastAsia" w:ascii="宋体" w:hAnsi="宋体"/>
                <w:color w:val="auto"/>
                <w:szCs w:val="21"/>
                <w:highlight w:val="none"/>
              </w:rPr>
            </w:pPr>
          </w:p>
        </w:tc>
        <w:tc>
          <w:tcPr>
            <w:tcW w:w="1239" w:type="dxa"/>
            <w:vAlign w:val="center"/>
          </w:tcPr>
          <w:p w14:paraId="7E4D9CEA">
            <w:pPr>
              <w:jc w:val="center"/>
              <w:rPr>
                <w:rFonts w:hint="eastAsia" w:ascii="宋体" w:hAnsi="宋体"/>
                <w:color w:val="auto"/>
                <w:szCs w:val="21"/>
                <w:highlight w:val="none"/>
              </w:rPr>
            </w:pPr>
          </w:p>
        </w:tc>
        <w:tc>
          <w:tcPr>
            <w:tcW w:w="1544" w:type="dxa"/>
            <w:vAlign w:val="center"/>
          </w:tcPr>
          <w:p w14:paraId="48A0587A">
            <w:pPr>
              <w:jc w:val="center"/>
              <w:rPr>
                <w:rFonts w:hint="eastAsia" w:ascii="宋体" w:hAnsi="宋体"/>
                <w:color w:val="auto"/>
                <w:szCs w:val="21"/>
                <w:highlight w:val="none"/>
              </w:rPr>
            </w:pPr>
          </w:p>
        </w:tc>
      </w:tr>
      <w:tr w14:paraId="42AA2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654E31F">
            <w:pPr>
              <w:jc w:val="center"/>
              <w:rPr>
                <w:rFonts w:hint="eastAsia" w:ascii="宋体" w:hAnsi="宋体"/>
                <w:color w:val="auto"/>
                <w:szCs w:val="21"/>
                <w:highlight w:val="none"/>
              </w:rPr>
            </w:pPr>
          </w:p>
        </w:tc>
        <w:tc>
          <w:tcPr>
            <w:tcW w:w="1902" w:type="dxa"/>
            <w:vAlign w:val="center"/>
          </w:tcPr>
          <w:p w14:paraId="4C9073E9">
            <w:pPr>
              <w:jc w:val="center"/>
              <w:rPr>
                <w:rFonts w:hint="eastAsia" w:ascii="宋体" w:hAnsi="宋体"/>
                <w:color w:val="auto"/>
                <w:szCs w:val="21"/>
                <w:highlight w:val="none"/>
              </w:rPr>
            </w:pPr>
          </w:p>
        </w:tc>
        <w:tc>
          <w:tcPr>
            <w:tcW w:w="1370" w:type="dxa"/>
            <w:vAlign w:val="center"/>
          </w:tcPr>
          <w:p w14:paraId="2F68D39F">
            <w:pPr>
              <w:jc w:val="center"/>
              <w:rPr>
                <w:rFonts w:hint="eastAsia" w:ascii="宋体" w:hAnsi="宋体"/>
                <w:color w:val="auto"/>
                <w:szCs w:val="21"/>
                <w:highlight w:val="none"/>
              </w:rPr>
            </w:pPr>
          </w:p>
        </w:tc>
        <w:tc>
          <w:tcPr>
            <w:tcW w:w="1629" w:type="dxa"/>
            <w:vAlign w:val="center"/>
          </w:tcPr>
          <w:p w14:paraId="24F70919">
            <w:pPr>
              <w:jc w:val="center"/>
              <w:rPr>
                <w:rFonts w:hint="eastAsia" w:ascii="宋体" w:hAnsi="宋体"/>
                <w:color w:val="auto"/>
                <w:szCs w:val="21"/>
                <w:highlight w:val="none"/>
              </w:rPr>
            </w:pPr>
          </w:p>
        </w:tc>
        <w:tc>
          <w:tcPr>
            <w:tcW w:w="1239" w:type="dxa"/>
            <w:vAlign w:val="center"/>
          </w:tcPr>
          <w:p w14:paraId="709421ED">
            <w:pPr>
              <w:jc w:val="center"/>
              <w:rPr>
                <w:rFonts w:hint="eastAsia" w:ascii="宋体" w:hAnsi="宋体"/>
                <w:color w:val="auto"/>
                <w:szCs w:val="21"/>
                <w:highlight w:val="none"/>
              </w:rPr>
            </w:pPr>
          </w:p>
        </w:tc>
        <w:tc>
          <w:tcPr>
            <w:tcW w:w="1544" w:type="dxa"/>
            <w:vAlign w:val="center"/>
          </w:tcPr>
          <w:p w14:paraId="50C0AAC5">
            <w:pPr>
              <w:jc w:val="center"/>
              <w:rPr>
                <w:rFonts w:hint="eastAsia" w:ascii="宋体" w:hAnsi="宋体"/>
                <w:color w:val="auto"/>
                <w:szCs w:val="21"/>
                <w:highlight w:val="none"/>
              </w:rPr>
            </w:pPr>
          </w:p>
        </w:tc>
      </w:tr>
      <w:tr w14:paraId="2F260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81B65B9">
            <w:pPr>
              <w:jc w:val="center"/>
              <w:rPr>
                <w:rFonts w:hint="eastAsia" w:ascii="宋体" w:hAnsi="宋体"/>
                <w:color w:val="auto"/>
                <w:szCs w:val="21"/>
                <w:highlight w:val="none"/>
              </w:rPr>
            </w:pPr>
          </w:p>
        </w:tc>
        <w:tc>
          <w:tcPr>
            <w:tcW w:w="1902" w:type="dxa"/>
            <w:vAlign w:val="center"/>
          </w:tcPr>
          <w:p w14:paraId="3B004EA9">
            <w:pPr>
              <w:jc w:val="center"/>
              <w:rPr>
                <w:rFonts w:hint="eastAsia" w:ascii="宋体" w:hAnsi="宋体"/>
                <w:color w:val="auto"/>
                <w:szCs w:val="21"/>
                <w:highlight w:val="none"/>
              </w:rPr>
            </w:pPr>
          </w:p>
        </w:tc>
        <w:tc>
          <w:tcPr>
            <w:tcW w:w="1370" w:type="dxa"/>
            <w:vAlign w:val="center"/>
          </w:tcPr>
          <w:p w14:paraId="24E1190B">
            <w:pPr>
              <w:jc w:val="center"/>
              <w:rPr>
                <w:rFonts w:hint="eastAsia" w:ascii="宋体" w:hAnsi="宋体"/>
                <w:color w:val="auto"/>
                <w:szCs w:val="21"/>
                <w:highlight w:val="none"/>
              </w:rPr>
            </w:pPr>
          </w:p>
        </w:tc>
        <w:tc>
          <w:tcPr>
            <w:tcW w:w="1629" w:type="dxa"/>
            <w:vAlign w:val="center"/>
          </w:tcPr>
          <w:p w14:paraId="378C2011">
            <w:pPr>
              <w:jc w:val="center"/>
              <w:rPr>
                <w:rFonts w:hint="eastAsia" w:ascii="宋体" w:hAnsi="宋体"/>
                <w:color w:val="auto"/>
                <w:szCs w:val="21"/>
                <w:highlight w:val="none"/>
              </w:rPr>
            </w:pPr>
          </w:p>
        </w:tc>
        <w:tc>
          <w:tcPr>
            <w:tcW w:w="1239" w:type="dxa"/>
            <w:vAlign w:val="center"/>
          </w:tcPr>
          <w:p w14:paraId="19F41B8B">
            <w:pPr>
              <w:jc w:val="center"/>
              <w:rPr>
                <w:rFonts w:hint="eastAsia" w:ascii="宋体" w:hAnsi="宋体"/>
                <w:color w:val="auto"/>
                <w:szCs w:val="21"/>
                <w:highlight w:val="none"/>
              </w:rPr>
            </w:pPr>
          </w:p>
        </w:tc>
        <w:tc>
          <w:tcPr>
            <w:tcW w:w="1544" w:type="dxa"/>
            <w:vAlign w:val="center"/>
          </w:tcPr>
          <w:p w14:paraId="260D8A0D">
            <w:pPr>
              <w:jc w:val="center"/>
              <w:rPr>
                <w:rFonts w:hint="eastAsia" w:ascii="宋体" w:hAnsi="宋体"/>
                <w:color w:val="auto"/>
                <w:szCs w:val="21"/>
                <w:highlight w:val="none"/>
              </w:rPr>
            </w:pPr>
          </w:p>
        </w:tc>
      </w:tr>
      <w:tr w14:paraId="61100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3329440">
            <w:pPr>
              <w:jc w:val="center"/>
              <w:rPr>
                <w:rFonts w:hint="eastAsia" w:ascii="宋体" w:hAnsi="宋体"/>
                <w:color w:val="auto"/>
                <w:szCs w:val="21"/>
                <w:highlight w:val="none"/>
              </w:rPr>
            </w:pPr>
          </w:p>
        </w:tc>
        <w:tc>
          <w:tcPr>
            <w:tcW w:w="1902" w:type="dxa"/>
            <w:vAlign w:val="center"/>
          </w:tcPr>
          <w:p w14:paraId="1F1A4BF1">
            <w:pPr>
              <w:jc w:val="center"/>
              <w:rPr>
                <w:rFonts w:hint="eastAsia" w:ascii="宋体" w:hAnsi="宋体"/>
                <w:color w:val="auto"/>
                <w:szCs w:val="21"/>
                <w:highlight w:val="none"/>
              </w:rPr>
            </w:pPr>
          </w:p>
        </w:tc>
        <w:tc>
          <w:tcPr>
            <w:tcW w:w="1370" w:type="dxa"/>
            <w:vAlign w:val="center"/>
          </w:tcPr>
          <w:p w14:paraId="5DCD852B">
            <w:pPr>
              <w:jc w:val="center"/>
              <w:rPr>
                <w:rFonts w:hint="eastAsia" w:ascii="宋体" w:hAnsi="宋体"/>
                <w:color w:val="auto"/>
                <w:szCs w:val="21"/>
                <w:highlight w:val="none"/>
              </w:rPr>
            </w:pPr>
          </w:p>
        </w:tc>
        <w:tc>
          <w:tcPr>
            <w:tcW w:w="1629" w:type="dxa"/>
            <w:vAlign w:val="center"/>
          </w:tcPr>
          <w:p w14:paraId="50E61627">
            <w:pPr>
              <w:jc w:val="center"/>
              <w:rPr>
                <w:rFonts w:hint="eastAsia" w:ascii="宋体" w:hAnsi="宋体"/>
                <w:color w:val="auto"/>
                <w:szCs w:val="21"/>
                <w:highlight w:val="none"/>
              </w:rPr>
            </w:pPr>
          </w:p>
        </w:tc>
        <w:tc>
          <w:tcPr>
            <w:tcW w:w="1239" w:type="dxa"/>
            <w:vAlign w:val="center"/>
          </w:tcPr>
          <w:p w14:paraId="162E0B9C">
            <w:pPr>
              <w:jc w:val="center"/>
              <w:rPr>
                <w:rFonts w:hint="eastAsia" w:ascii="宋体" w:hAnsi="宋体"/>
                <w:color w:val="auto"/>
                <w:szCs w:val="21"/>
                <w:highlight w:val="none"/>
              </w:rPr>
            </w:pPr>
          </w:p>
        </w:tc>
        <w:tc>
          <w:tcPr>
            <w:tcW w:w="1544" w:type="dxa"/>
            <w:vAlign w:val="center"/>
          </w:tcPr>
          <w:p w14:paraId="3D0512B8">
            <w:pPr>
              <w:jc w:val="center"/>
              <w:rPr>
                <w:rFonts w:hint="eastAsia" w:ascii="宋体" w:hAnsi="宋体"/>
                <w:color w:val="auto"/>
                <w:szCs w:val="21"/>
                <w:highlight w:val="none"/>
              </w:rPr>
            </w:pPr>
          </w:p>
        </w:tc>
      </w:tr>
      <w:tr w14:paraId="1A65E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D82A0B5">
            <w:pPr>
              <w:jc w:val="center"/>
              <w:rPr>
                <w:rFonts w:hint="eastAsia" w:ascii="宋体" w:hAnsi="宋体"/>
                <w:color w:val="auto"/>
                <w:szCs w:val="21"/>
                <w:highlight w:val="none"/>
              </w:rPr>
            </w:pPr>
          </w:p>
        </w:tc>
        <w:tc>
          <w:tcPr>
            <w:tcW w:w="1902" w:type="dxa"/>
            <w:vAlign w:val="center"/>
          </w:tcPr>
          <w:p w14:paraId="166AA451">
            <w:pPr>
              <w:jc w:val="center"/>
              <w:rPr>
                <w:rFonts w:hint="eastAsia" w:ascii="宋体" w:hAnsi="宋体"/>
                <w:color w:val="auto"/>
                <w:szCs w:val="21"/>
                <w:highlight w:val="none"/>
              </w:rPr>
            </w:pPr>
          </w:p>
        </w:tc>
        <w:tc>
          <w:tcPr>
            <w:tcW w:w="1370" w:type="dxa"/>
            <w:vAlign w:val="center"/>
          </w:tcPr>
          <w:p w14:paraId="2FF36D83">
            <w:pPr>
              <w:jc w:val="center"/>
              <w:rPr>
                <w:rFonts w:hint="eastAsia" w:ascii="宋体" w:hAnsi="宋体"/>
                <w:color w:val="auto"/>
                <w:szCs w:val="21"/>
                <w:highlight w:val="none"/>
              </w:rPr>
            </w:pPr>
          </w:p>
        </w:tc>
        <w:tc>
          <w:tcPr>
            <w:tcW w:w="1629" w:type="dxa"/>
            <w:vAlign w:val="center"/>
          </w:tcPr>
          <w:p w14:paraId="4BDA1253">
            <w:pPr>
              <w:jc w:val="center"/>
              <w:rPr>
                <w:rFonts w:hint="eastAsia" w:ascii="宋体" w:hAnsi="宋体"/>
                <w:color w:val="auto"/>
                <w:szCs w:val="21"/>
                <w:highlight w:val="none"/>
              </w:rPr>
            </w:pPr>
          </w:p>
        </w:tc>
        <w:tc>
          <w:tcPr>
            <w:tcW w:w="1239" w:type="dxa"/>
            <w:vAlign w:val="center"/>
          </w:tcPr>
          <w:p w14:paraId="4A48937C">
            <w:pPr>
              <w:jc w:val="center"/>
              <w:rPr>
                <w:rFonts w:hint="eastAsia" w:ascii="宋体" w:hAnsi="宋体"/>
                <w:color w:val="auto"/>
                <w:szCs w:val="21"/>
                <w:highlight w:val="none"/>
              </w:rPr>
            </w:pPr>
          </w:p>
        </w:tc>
        <w:tc>
          <w:tcPr>
            <w:tcW w:w="1544" w:type="dxa"/>
            <w:vAlign w:val="center"/>
          </w:tcPr>
          <w:p w14:paraId="3AA52A19">
            <w:pPr>
              <w:jc w:val="center"/>
              <w:rPr>
                <w:rFonts w:hint="eastAsia" w:ascii="宋体" w:hAnsi="宋体"/>
                <w:color w:val="auto"/>
                <w:szCs w:val="21"/>
                <w:highlight w:val="none"/>
              </w:rPr>
            </w:pPr>
          </w:p>
        </w:tc>
      </w:tr>
      <w:tr w14:paraId="5AEFB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204ABA3">
            <w:pPr>
              <w:jc w:val="center"/>
              <w:rPr>
                <w:rFonts w:hint="eastAsia" w:ascii="宋体" w:hAnsi="宋体"/>
                <w:color w:val="auto"/>
                <w:szCs w:val="21"/>
                <w:highlight w:val="none"/>
              </w:rPr>
            </w:pPr>
          </w:p>
        </w:tc>
        <w:tc>
          <w:tcPr>
            <w:tcW w:w="1902" w:type="dxa"/>
            <w:vAlign w:val="center"/>
          </w:tcPr>
          <w:p w14:paraId="26E4D705">
            <w:pPr>
              <w:jc w:val="center"/>
              <w:rPr>
                <w:rFonts w:hint="eastAsia" w:ascii="宋体" w:hAnsi="宋体"/>
                <w:color w:val="auto"/>
                <w:szCs w:val="21"/>
                <w:highlight w:val="none"/>
              </w:rPr>
            </w:pPr>
          </w:p>
        </w:tc>
        <w:tc>
          <w:tcPr>
            <w:tcW w:w="1370" w:type="dxa"/>
            <w:vAlign w:val="center"/>
          </w:tcPr>
          <w:p w14:paraId="3450786B">
            <w:pPr>
              <w:jc w:val="center"/>
              <w:rPr>
                <w:rFonts w:hint="eastAsia" w:ascii="宋体" w:hAnsi="宋体"/>
                <w:color w:val="auto"/>
                <w:szCs w:val="21"/>
                <w:highlight w:val="none"/>
              </w:rPr>
            </w:pPr>
          </w:p>
        </w:tc>
        <w:tc>
          <w:tcPr>
            <w:tcW w:w="1629" w:type="dxa"/>
            <w:vAlign w:val="center"/>
          </w:tcPr>
          <w:p w14:paraId="52E8BF47">
            <w:pPr>
              <w:jc w:val="center"/>
              <w:rPr>
                <w:rFonts w:hint="eastAsia" w:ascii="宋体" w:hAnsi="宋体"/>
                <w:color w:val="auto"/>
                <w:szCs w:val="21"/>
                <w:highlight w:val="none"/>
              </w:rPr>
            </w:pPr>
          </w:p>
        </w:tc>
        <w:tc>
          <w:tcPr>
            <w:tcW w:w="1239" w:type="dxa"/>
            <w:vAlign w:val="center"/>
          </w:tcPr>
          <w:p w14:paraId="48A4B4A1">
            <w:pPr>
              <w:jc w:val="center"/>
              <w:rPr>
                <w:rFonts w:hint="eastAsia" w:ascii="宋体" w:hAnsi="宋体"/>
                <w:color w:val="auto"/>
                <w:szCs w:val="21"/>
                <w:highlight w:val="none"/>
              </w:rPr>
            </w:pPr>
          </w:p>
        </w:tc>
        <w:tc>
          <w:tcPr>
            <w:tcW w:w="1544" w:type="dxa"/>
            <w:vAlign w:val="center"/>
          </w:tcPr>
          <w:p w14:paraId="660CE409">
            <w:pPr>
              <w:jc w:val="center"/>
              <w:rPr>
                <w:rFonts w:hint="eastAsia" w:ascii="宋体" w:hAnsi="宋体"/>
                <w:color w:val="auto"/>
                <w:szCs w:val="21"/>
                <w:highlight w:val="none"/>
              </w:rPr>
            </w:pPr>
          </w:p>
        </w:tc>
      </w:tr>
      <w:tr w14:paraId="22C8F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1CC69EB">
            <w:pPr>
              <w:jc w:val="center"/>
              <w:rPr>
                <w:rFonts w:hint="eastAsia" w:ascii="宋体" w:hAnsi="宋体"/>
                <w:color w:val="auto"/>
                <w:szCs w:val="21"/>
                <w:highlight w:val="none"/>
              </w:rPr>
            </w:pPr>
          </w:p>
        </w:tc>
        <w:tc>
          <w:tcPr>
            <w:tcW w:w="1902" w:type="dxa"/>
            <w:vAlign w:val="center"/>
          </w:tcPr>
          <w:p w14:paraId="535D5B75">
            <w:pPr>
              <w:jc w:val="center"/>
              <w:rPr>
                <w:rFonts w:hint="eastAsia" w:ascii="宋体" w:hAnsi="宋体"/>
                <w:color w:val="auto"/>
                <w:szCs w:val="21"/>
                <w:highlight w:val="none"/>
              </w:rPr>
            </w:pPr>
          </w:p>
        </w:tc>
        <w:tc>
          <w:tcPr>
            <w:tcW w:w="1370" w:type="dxa"/>
            <w:vAlign w:val="center"/>
          </w:tcPr>
          <w:p w14:paraId="4AFD2300">
            <w:pPr>
              <w:jc w:val="center"/>
              <w:rPr>
                <w:rFonts w:hint="eastAsia" w:ascii="宋体" w:hAnsi="宋体"/>
                <w:color w:val="auto"/>
                <w:szCs w:val="21"/>
                <w:highlight w:val="none"/>
              </w:rPr>
            </w:pPr>
          </w:p>
        </w:tc>
        <w:tc>
          <w:tcPr>
            <w:tcW w:w="1629" w:type="dxa"/>
            <w:vAlign w:val="center"/>
          </w:tcPr>
          <w:p w14:paraId="0F14688E">
            <w:pPr>
              <w:jc w:val="center"/>
              <w:rPr>
                <w:rFonts w:hint="eastAsia" w:ascii="宋体" w:hAnsi="宋体"/>
                <w:color w:val="auto"/>
                <w:szCs w:val="21"/>
                <w:highlight w:val="none"/>
              </w:rPr>
            </w:pPr>
          </w:p>
        </w:tc>
        <w:tc>
          <w:tcPr>
            <w:tcW w:w="1239" w:type="dxa"/>
            <w:vAlign w:val="center"/>
          </w:tcPr>
          <w:p w14:paraId="19574103">
            <w:pPr>
              <w:jc w:val="center"/>
              <w:rPr>
                <w:rFonts w:hint="eastAsia" w:ascii="宋体" w:hAnsi="宋体"/>
                <w:color w:val="auto"/>
                <w:szCs w:val="21"/>
                <w:highlight w:val="none"/>
              </w:rPr>
            </w:pPr>
          </w:p>
        </w:tc>
        <w:tc>
          <w:tcPr>
            <w:tcW w:w="1544" w:type="dxa"/>
            <w:vAlign w:val="center"/>
          </w:tcPr>
          <w:p w14:paraId="576F82BD">
            <w:pPr>
              <w:jc w:val="center"/>
              <w:rPr>
                <w:rFonts w:hint="eastAsia" w:ascii="宋体" w:hAnsi="宋体"/>
                <w:color w:val="auto"/>
                <w:szCs w:val="21"/>
                <w:highlight w:val="none"/>
              </w:rPr>
            </w:pPr>
          </w:p>
        </w:tc>
      </w:tr>
      <w:tr w14:paraId="39966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73E2A99">
            <w:pPr>
              <w:jc w:val="center"/>
              <w:rPr>
                <w:rFonts w:hint="eastAsia" w:ascii="宋体" w:hAnsi="宋体"/>
                <w:color w:val="auto"/>
                <w:szCs w:val="21"/>
                <w:highlight w:val="none"/>
              </w:rPr>
            </w:pPr>
          </w:p>
        </w:tc>
        <w:tc>
          <w:tcPr>
            <w:tcW w:w="1902" w:type="dxa"/>
            <w:vAlign w:val="center"/>
          </w:tcPr>
          <w:p w14:paraId="6FAA1247">
            <w:pPr>
              <w:jc w:val="center"/>
              <w:rPr>
                <w:rFonts w:hint="eastAsia" w:ascii="宋体" w:hAnsi="宋体"/>
                <w:color w:val="auto"/>
                <w:szCs w:val="21"/>
                <w:highlight w:val="none"/>
              </w:rPr>
            </w:pPr>
          </w:p>
        </w:tc>
        <w:tc>
          <w:tcPr>
            <w:tcW w:w="1370" w:type="dxa"/>
            <w:vAlign w:val="center"/>
          </w:tcPr>
          <w:p w14:paraId="5E4838A7">
            <w:pPr>
              <w:jc w:val="center"/>
              <w:rPr>
                <w:rFonts w:hint="eastAsia" w:ascii="宋体" w:hAnsi="宋体"/>
                <w:color w:val="auto"/>
                <w:szCs w:val="21"/>
                <w:highlight w:val="none"/>
              </w:rPr>
            </w:pPr>
          </w:p>
        </w:tc>
        <w:tc>
          <w:tcPr>
            <w:tcW w:w="1629" w:type="dxa"/>
            <w:vAlign w:val="center"/>
          </w:tcPr>
          <w:p w14:paraId="488AC4AE">
            <w:pPr>
              <w:jc w:val="center"/>
              <w:rPr>
                <w:rFonts w:hint="eastAsia" w:ascii="宋体" w:hAnsi="宋体"/>
                <w:color w:val="auto"/>
                <w:szCs w:val="21"/>
                <w:highlight w:val="none"/>
              </w:rPr>
            </w:pPr>
          </w:p>
        </w:tc>
        <w:tc>
          <w:tcPr>
            <w:tcW w:w="1239" w:type="dxa"/>
            <w:vAlign w:val="center"/>
          </w:tcPr>
          <w:p w14:paraId="6D5AD643">
            <w:pPr>
              <w:jc w:val="center"/>
              <w:rPr>
                <w:rFonts w:hint="eastAsia" w:ascii="宋体" w:hAnsi="宋体"/>
                <w:color w:val="auto"/>
                <w:szCs w:val="21"/>
                <w:highlight w:val="none"/>
              </w:rPr>
            </w:pPr>
          </w:p>
        </w:tc>
        <w:tc>
          <w:tcPr>
            <w:tcW w:w="1544" w:type="dxa"/>
            <w:vAlign w:val="center"/>
          </w:tcPr>
          <w:p w14:paraId="37D5DAA2">
            <w:pPr>
              <w:jc w:val="center"/>
              <w:rPr>
                <w:rFonts w:hint="eastAsia" w:ascii="宋体" w:hAnsi="宋体"/>
                <w:color w:val="auto"/>
                <w:szCs w:val="21"/>
                <w:highlight w:val="none"/>
              </w:rPr>
            </w:pPr>
          </w:p>
        </w:tc>
      </w:tr>
    </w:tbl>
    <w:p w14:paraId="0EC083FF">
      <w:pPr>
        <w:rPr>
          <w:rFonts w:hint="eastAsia" w:ascii="宋体" w:hAnsi="宋体"/>
          <w:color w:val="auto"/>
          <w:szCs w:val="21"/>
          <w:highlight w:val="none"/>
        </w:rPr>
      </w:pPr>
    </w:p>
    <w:p w14:paraId="1612E785">
      <w:pPr>
        <w:rPr>
          <w:rFonts w:hint="eastAsia" w:ascii="宋体" w:hAnsi="宋体"/>
          <w:color w:val="auto"/>
          <w:szCs w:val="21"/>
          <w:highlight w:val="none"/>
        </w:rPr>
      </w:pPr>
      <w:r>
        <w:rPr>
          <w:rFonts w:hint="eastAsia" w:ascii="宋体" w:hAnsi="宋体"/>
          <w:color w:val="auto"/>
          <w:szCs w:val="21"/>
          <w:highlight w:val="none"/>
        </w:rPr>
        <w:t>投标人代表签字：</w:t>
      </w:r>
    </w:p>
    <w:p w14:paraId="40CA89EC">
      <w:pPr>
        <w:rPr>
          <w:rFonts w:hint="eastAsia" w:ascii="宋体" w:hAnsi="宋体"/>
          <w:color w:val="auto"/>
          <w:szCs w:val="21"/>
          <w:highlight w:val="none"/>
        </w:rPr>
      </w:pPr>
      <w:r>
        <w:rPr>
          <w:rFonts w:hint="eastAsia" w:ascii="宋体" w:hAnsi="宋体"/>
          <w:color w:val="auto"/>
          <w:szCs w:val="21"/>
          <w:highlight w:val="none"/>
        </w:rPr>
        <w:t>投标人盖章：</w:t>
      </w:r>
    </w:p>
    <w:p w14:paraId="15FE7188">
      <w:pPr>
        <w:ind w:firstLine="178" w:firstLineChars="85"/>
        <w:rPr>
          <w:rFonts w:hint="eastAsia" w:ascii="宋体" w:hAnsi="宋体"/>
          <w:color w:val="auto"/>
          <w:szCs w:val="21"/>
          <w:highlight w:val="none"/>
        </w:rPr>
      </w:pPr>
    </w:p>
    <w:p w14:paraId="6D215209">
      <w:pPr>
        <w:rPr>
          <w:rFonts w:hint="eastAsia" w:ascii="宋体" w:hAnsi="宋体"/>
          <w:color w:val="auto"/>
          <w:szCs w:val="21"/>
          <w:highlight w:val="none"/>
        </w:rPr>
      </w:pPr>
      <w:r>
        <w:rPr>
          <w:rFonts w:hint="eastAsia" w:ascii="宋体" w:hAnsi="宋体"/>
          <w:color w:val="auto"/>
          <w:szCs w:val="21"/>
          <w:highlight w:val="none"/>
        </w:rPr>
        <w:t>注：</w:t>
      </w:r>
    </w:p>
    <w:p w14:paraId="28AD13BF">
      <w:pPr>
        <w:rPr>
          <w:rFonts w:hint="eastAsia"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6B9FE33F">
      <w:pPr>
        <w:rPr>
          <w:rFonts w:hint="eastAsia"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2A5B0A47">
      <w:pPr>
        <w:rPr>
          <w:rFonts w:hint="eastAsia"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4D461106">
      <w:pPr>
        <w:rPr>
          <w:rFonts w:hint="eastAsia"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38AF6F31">
      <w:pPr>
        <w:rPr>
          <w:rFonts w:hint="eastAsia"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如投标人对用户需求书技术要求的条款全部响应的，也可以在表格下面用文字总括性的说明。</w:t>
      </w:r>
    </w:p>
    <w:p w14:paraId="5746D232">
      <w:pPr>
        <w:rPr>
          <w:rFonts w:hint="eastAsia" w:ascii="宋体" w:hAnsi="宋体"/>
          <w:color w:val="auto"/>
          <w:szCs w:val="21"/>
          <w:highlight w:val="none"/>
        </w:rPr>
      </w:pPr>
    </w:p>
    <w:p w14:paraId="136EC2A8">
      <w:pPr>
        <w:adjustRightInd/>
        <w:snapToGrid/>
        <w:spacing w:line="276" w:lineRule="auto"/>
        <w:rPr>
          <w:color w:val="auto"/>
          <w:highlight w:val="none"/>
        </w:rPr>
      </w:pPr>
    </w:p>
    <w:p w14:paraId="07096038">
      <w:pPr>
        <w:rPr>
          <w:rFonts w:hint="eastAsia" w:ascii="宋体" w:hAnsi="宋体"/>
          <w:color w:val="auto"/>
          <w:szCs w:val="21"/>
          <w:highlight w:val="none"/>
        </w:rPr>
      </w:pPr>
      <w:bookmarkStart w:id="175" w:name="_Toc17691"/>
      <w:r>
        <w:rPr>
          <w:rFonts w:hint="eastAsia" w:ascii="宋体" w:hAnsi="宋体"/>
          <w:color w:val="auto"/>
          <w:szCs w:val="21"/>
          <w:highlight w:val="none"/>
        </w:rPr>
        <w:br w:type="page"/>
      </w:r>
    </w:p>
    <w:bookmarkEnd w:id="175"/>
    <w:p w14:paraId="2A419541">
      <w:pPr>
        <w:pStyle w:val="8"/>
        <w:widowControl w:val="0"/>
        <w:overflowPunct w:val="0"/>
        <w:spacing w:line="240" w:lineRule="auto"/>
        <w:rPr>
          <w:rFonts w:hint="eastAsia" w:ascii="宋体" w:hAnsi="宋体"/>
          <w:color w:val="auto"/>
          <w:sz w:val="21"/>
          <w:szCs w:val="21"/>
          <w:highlight w:val="none"/>
        </w:rPr>
      </w:pPr>
      <w:bookmarkStart w:id="176" w:name="_Toc182308053"/>
      <w:r>
        <w:rPr>
          <w:rFonts w:hint="eastAsia" w:ascii="宋体" w:hAnsi="宋体"/>
          <w:color w:val="auto"/>
          <w:sz w:val="21"/>
          <w:szCs w:val="21"/>
          <w:highlight w:val="none"/>
        </w:rPr>
        <w:t>附件3.</w:t>
      </w:r>
      <w:r>
        <w:rPr>
          <w:rFonts w:hint="eastAsia"/>
          <w:color w:val="auto"/>
          <w:highlight w:val="none"/>
        </w:rPr>
        <w:t xml:space="preserve"> </w:t>
      </w:r>
      <w:r>
        <w:rPr>
          <w:rFonts w:hint="eastAsia" w:ascii="宋体" w:hAnsi="宋体"/>
          <w:color w:val="auto"/>
          <w:sz w:val="21"/>
          <w:szCs w:val="21"/>
          <w:highlight w:val="none"/>
        </w:rPr>
        <w:t>项目实施方案格式</w:t>
      </w:r>
      <w:bookmarkEnd w:id="176"/>
    </w:p>
    <w:p w14:paraId="3ECA6061">
      <w:pPr>
        <w:jc w:val="center"/>
        <w:rPr>
          <w:rFonts w:ascii="黑体" w:eastAsia="黑体"/>
          <w:color w:val="auto"/>
          <w:sz w:val="32"/>
          <w:szCs w:val="32"/>
          <w:highlight w:val="none"/>
        </w:rPr>
      </w:pPr>
    </w:p>
    <w:p w14:paraId="754B8748">
      <w:pP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14:paraId="6A40769C">
      <w:pPr>
        <w:jc w:val="center"/>
        <w:rPr>
          <w:rFonts w:ascii="黑体" w:eastAsia="黑体"/>
          <w:color w:val="auto"/>
          <w:sz w:val="32"/>
          <w:szCs w:val="32"/>
          <w:highlight w:val="none"/>
        </w:rPr>
      </w:pPr>
    </w:p>
    <w:p w14:paraId="16B59C3C">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1、</w:t>
      </w:r>
      <w:r>
        <w:rPr>
          <w:rFonts w:hint="eastAsia" w:hAnsi="宋体" w:cs="宋体"/>
          <w:spacing w:val="2"/>
          <w:szCs w:val="21"/>
          <w:highlight w:val="none"/>
        </w:rPr>
        <w:t>项目实施（设计、供货、安装）方案及进度计划</w:t>
      </w:r>
    </w:p>
    <w:p w14:paraId="00138CC1">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2、</w:t>
      </w:r>
      <w:r>
        <w:rPr>
          <w:rFonts w:hint="eastAsia" w:hAnsi="宋体" w:cs="宋体"/>
          <w:spacing w:val="2"/>
          <w:szCs w:val="21"/>
          <w:highlight w:val="none"/>
        </w:rPr>
        <w:t>产品性能</w:t>
      </w:r>
    </w:p>
    <w:p w14:paraId="4483BE6B">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3、</w:t>
      </w:r>
      <w:r>
        <w:rPr>
          <w:rFonts w:hint="eastAsia" w:hAnsi="宋体" w:cs="宋体"/>
          <w:szCs w:val="21"/>
          <w:highlight w:val="none"/>
          <w:lang w:bidi="ar"/>
        </w:rPr>
        <w:t>质量保证措施</w:t>
      </w:r>
    </w:p>
    <w:p w14:paraId="4BE691C2">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4、</w:t>
      </w:r>
      <w:r>
        <w:rPr>
          <w:rFonts w:hint="eastAsia" w:hAnsi="宋体" w:cs="宋体"/>
          <w:spacing w:val="2"/>
          <w:szCs w:val="21"/>
          <w:highlight w:val="none"/>
        </w:rPr>
        <w:t>售后服务</w:t>
      </w:r>
    </w:p>
    <w:p w14:paraId="537916B5">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5、投标人认为对投标有利的其他资料</w:t>
      </w:r>
    </w:p>
    <w:p w14:paraId="625E2A31">
      <w:pPr>
        <w:ind w:left="718" w:leftChars="200" w:hanging="298" w:hangingChars="142"/>
        <w:rPr>
          <w:rFonts w:hint="eastAsia" w:ascii="宋体" w:hAnsi="宋体" w:cs="Times New Roman"/>
          <w:color w:val="auto"/>
          <w:szCs w:val="21"/>
          <w:highlight w:val="none"/>
        </w:rPr>
      </w:pPr>
      <w:r>
        <w:rPr>
          <w:rFonts w:hint="eastAsia" w:ascii="宋体" w:hAnsi="宋体"/>
          <w:color w:val="auto"/>
          <w:szCs w:val="21"/>
          <w:highlight w:val="none"/>
          <w:lang w:eastAsia="zh-CN"/>
        </w:rPr>
        <w:t>（由投标人自行编写）</w:t>
      </w:r>
      <w:r>
        <w:rPr>
          <w:rFonts w:hint="eastAsia" w:ascii="宋体" w:hAnsi="宋体"/>
          <w:color w:val="auto"/>
          <w:szCs w:val="21"/>
          <w:highlight w:val="none"/>
        </w:rPr>
        <w:t>。</w:t>
      </w:r>
    </w:p>
    <w:p w14:paraId="79C5A2D2">
      <w:pPr>
        <w:ind w:left="718" w:leftChars="200" w:hanging="298" w:hangingChars="142"/>
        <w:rPr>
          <w:rFonts w:hint="eastAsia" w:ascii="宋体" w:hAnsi="宋体"/>
          <w:color w:val="auto"/>
          <w:szCs w:val="21"/>
          <w:highlight w:val="none"/>
        </w:rPr>
      </w:pPr>
    </w:p>
    <w:p w14:paraId="4E18F0DA">
      <w:pPr>
        <w:ind w:left="718" w:leftChars="200" w:hanging="298" w:hangingChars="142"/>
        <w:rPr>
          <w:rFonts w:hint="eastAsia" w:ascii="宋体" w:hAnsi="宋体"/>
          <w:color w:val="auto"/>
          <w:szCs w:val="21"/>
          <w:highlight w:val="none"/>
        </w:rPr>
      </w:pPr>
    </w:p>
    <w:p w14:paraId="6D7538B5">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br w:type="page"/>
      </w:r>
    </w:p>
    <w:p w14:paraId="37330B03">
      <w:pPr>
        <w:jc w:val="center"/>
        <w:outlineLvl w:val="1"/>
        <w:rPr>
          <w:rFonts w:eastAsia="黑体"/>
          <w:color w:val="auto"/>
          <w:sz w:val="72"/>
          <w:szCs w:val="72"/>
          <w:highlight w:val="none"/>
        </w:rPr>
      </w:pPr>
      <w:bookmarkStart w:id="177" w:name="_Toc182308054"/>
      <w:r>
        <w:rPr>
          <w:rFonts w:hint="eastAsia" w:eastAsia="黑体"/>
          <w:color w:val="auto"/>
          <w:sz w:val="72"/>
          <w:szCs w:val="72"/>
          <w:highlight w:val="none"/>
        </w:rPr>
        <w:t>唱标信封</w:t>
      </w:r>
      <w:bookmarkEnd w:id="177"/>
    </w:p>
    <w:p w14:paraId="246D4FBC">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2F94F855">
      <w:pPr>
        <w:rPr>
          <w:color w:val="auto"/>
          <w:highlight w:val="none"/>
        </w:rPr>
      </w:pPr>
    </w:p>
    <w:p w14:paraId="33D88247">
      <w:pPr>
        <w:pStyle w:val="13"/>
        <w:rPr>
          <w:rFonts w:hint="eastAsia"/>
          <w:color w:val="auto"/>
          <w:highlight w:val="none"/>
        </w:rPr>
      </w:pPr>
    </w:p>
    <w:p w14:paraId="7FD34DC8">
      <w:pPr>
        <w:ind w:firstLine="240"/>
        <w:rPr>
          <w:color w:val="auto"/>
          <w:highlight w:val="none"/>
        </w:rPr>
      </w:pPr>
    </w:p>
    <w:p w14:paraId="72F5B232">
      <w:pPr>
        <w:ind w:firstLine="240"/>
        <w:rPr>
          <w:color w:val="auto"/>
          <w:highlight w:val="none"/>
        </w:rPr>
      </w:pPr>
    </w:p>
    <w:p w14:paraId="0F3D3355">
      <w:pPr>
        <w:rPr>
          <w:rFonts w:hint="eastAsia"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00A76DB8">
      <w:pPr>
        <w:rPr>
          <w:rFonts w:hint="eastAsia"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08EF1921">
      <w:pPr>
        <w:pStyle w:val="13"/>
        <w:ind w:left="0"/>
        <w:rPr>
          <w:rFonts w:hint="eastAsia"/>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14:paraId="2D5C04E4">
      <w:pPr>
        <w:rPr>
          <w:rFonts w:hint="eastAsia"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296F1CDF">
      <w:pPr>
        <w:rPr>
          <w:rFonts w:hint="eastAsia"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  年  月  日</w:t>
      </w:r>
    </w:p>
    <w:p w14:paraId="4462DDD8">
      <w:pPr>
        <w:rPr>
          <w:rFonts w:hint="eastAsia" w:ascii="宋体" w:hAnsi="宋体"/>
          <w:color w:val="auto"/>
          <w:szCs w:val="21"/>
          <w:highlight w:val="none"/>
        </w:rPr>
      </w:pPr>
      <w:r>
        <w:rPr>
          <w:rFonts w:hint="eastAsia" w:ascii="宋体" w:hAnsi="宋体"/>
          <w:color w:val="auto"/>
          <w:szCs w:val="21"/>
          <w:highlight w:val="none"/>
        </w:rPr>
        <w:br w:type="page"/>
      </w:r>
    </w:p>
    <w:p w14:paraId="583EA6CF">
      <w:pPr>
        <w:pStyle w:val="8"/>
        <w:numPr>
          <w:ilvl w:val="255"/>
          <w:numId w:val="0"/>
        </w:numPr>
        <w:tabs>
          <w:tab w:val="left" w:pos="720"/>
          <w:tab w:val="left" w:pos="3840"/>
        </w:tabs>
        <w:ind w:left="283"/>
        <w:jc w:val="both"/>
        <w:rPr>
          <w:rFonts w:hint="eastAsia" w:ascii="宋体" w:hAnsi="宋体"/>
          <w:color w:val="auto"/>
          <w:sz w:val="21"/>
          <w:szCs w:val="21"/>
          <w:highlight w:val="none"/>
        </w:rPr>
      </w:pPr>
      <w:bookmarkStart w:id="178" w:name="_Toc182308055"/>
      <w:r>
        <w:rPr>
          <w:rFonts w:hint="eastAsia" w:ascii="宋体" w:hAnsi="宋体"/>
          <w:color w:val="auto"/>
          <w:sz w:val="21"/>
          <w:szCs w:val="21"/>
          <w:highlight w:val="none"/>
        </w:rPr>
        <w:t>附件1.开标一览表（按价格文件要求编制）</w:t>
      </w:r>
      <w:bookmarkEnd w:id="178"/>
    </w:p>
    <w:p w14:paraId="240D72C7">
      <w:pPr>
        <w:pStyle w:val="8"/>
        <w:numPr>
          <w:ilvl w:val="255"/>
          <w:numId w:val="0"/>
        </w:numPr>
        <w:tabs>
          <w:tab w:val="left" w:pos="720"/>
          <w:tab w:val="left" w:pos="3840"/>
        </w:tabs>
        <w:ind w:left="283"/>
        <w:jc w:val="both"/>
        <w:rPr>
          <w:rFonts w:hint="eastAsia" w:ascii="宋体" w:hAnsi="宋体"/>
          <w:color w:val="auto"/>
          <w:sz w:val="21"/>
          <w:szCs w:val="21"/>
          <w:highlight w:val="none"/>
        </w:rPr>
      </w:pPr>
      <w:bookmarkStart w:id="179" w:name="_Toc182308056"/>
      <w:r>
        <w:rPr>
          <w:rFonts w:hint="eastAsia" w:ascii="宋体" w:hAnsi="宋体"/>
          <w:color w:val="auto"/>
          <w:sz w:val="21"/>
          <w:szCs w:val="21"/>
          <w:highlight w:val="none"/>
        </w:rPr>
        <w:t>附件2.法定代表人证明书（按商务文件要求编制）</w:t>
      </w:r>
      <w:bookmarkEnd w:id="179"/>
    </w:p>
    <w:p w14:paraId="05143CDD">
      <w:pPr>
        <w:pStyle w:val="8"/>
        <w:numPr>
          <w:ilvl w:val="255"/>
          <w:numId w:val="0"/>
        </w:numPr>
        <w:tabs>
          <w:tab w:val="left" w:pos="720"/>
          <w:tab w:val="left" w:pos="3840"/>
        </w:tabs>
        <w:ind w:left="283"/>
        <w:jc w:val="both"/>
        <w:rPr>
          <w:rFonts w:hint="eastAsia" w:ascii="宋体" w:hAnsi="宋体"/>
          <w:color w:val="auto"/>
          <w:sz w:val="21"/>
          <w:szCs w:val="21"/>
          <w:highlight w:val="none"/>
        </w:rPr>
      </w:pPr>
      <w:bookmarkStart w:id="180" w:name="_Toc182308057"/>
      <w:r>
        <w:rPr>
          <w:rFonts w:hint="eastAsia" w:ascii="宋体" w:hAnsi="宋体"/>
          <w:color w:val="auto"/>
          <w:sz w:val="21"/>
          <w:szCs w:val="21"/>
          <w:highlight w:val="none"/>
        </w:rPr>
        <w:t>附件3.法定代表人授权委托书加盖公章（按商务文件要求编制）</w:t>
      </w:r>
      <w:bookmarkEnd w:id="180"/>
    </w:p>
    <w:p w14:paraId="089EF69F">
      <w:pPr>
        <w:adjustRightInd/>
        <w:snapToGrid/>
        <w:spacing w:line="240" w:lineRule="auto"/>
        <w:rPr>
          <w:rFonts w:hint="eastAsia" w:ascii="宋体" w:hAnsi="宋体" w:cstheme="majorBidi"/>
          <w:b/>
          <w:bCs/>
          <w:color w:val="auto"/>
          <w:szCs w:val="21"/>
          <w:highlight w:val="none"/>
        </w:rPr>
      </w:pPr>
      <w:r>
        <w:rPr>
          <w:rFonts w:hint="eastAsia" w:ascii="宋体" w:hAnsi="宋体"/>
          <w:color w:val="auto"/>
          <w:szCs w:val="21"/>
          <w:highlight w:val="none"/>
        </w:rPr>
        <w:br w:type="page"/>
      </w:r>
    </w:p>
    <w:p w14:paraId="2B367B84">
      <w:pPr>
        <w:pStyle w:val="8"/>
        <w:numPr>
          <w:ilvl w:val="255"/>
          <w:numId w:val="0"/>
        </w:numPr>
        <w:tabs>
          <w:tab w:val="left" w:pos="720"/>
          <w:tab w:val="left" w:pos="3840"/>
        </w:tabs>
        <w:ind w:left="283"/>
        <w:jc w:val="both"/>
        <w:rPr>
          <w:rFonts w:hint="eastAsia" w:ascii="宋体" w:hAnsi="宋体"/>
          <w:color w:val="auto"/>
          <w:sz w:val="21"/>
          <w:szCs w:val="21"/>
          <w:highlight w:val="none"/>
        </w:rPr>
      </w:pPr>
      <w:bookmarkStart w:id="181" w:name="_Toc182308058"/>
      <w:r>
        <w:rPr>
          <w:rFonts w:hint="eastAsia" w:ascii="宋体" w:hAnsi="宋体"/>
          <w:color w:val="auto"/>
          <w:sz w:val="21"/>
          <w:szCs w:val="21"/>
          <w:highlight w:val="none"/>
        </w:rPr>
        <w:t>附件4.投标保证金汇入情况说明（含银行汇款凭证）</w:t>
      </w:r>
      <w:bookmarkEnd w:id="181"/>
    </w:p>
    <w:p w14:paraId="0D18167F">
      <w:pP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14:paraId="78E0E863">
      <w:pPr>
        <w:spacing w:line="480" w:lineRule="auto"/>
        <w:rPr>
          <w:rFonts w:hint="eastAsia"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广州宏达工程顾问集团有限公司</w:t>
      </w:r>
      <w:r>
        <w:rPr>
          <w:rFonts w:hint="eastAsia" w:ascii="宋体" w:hAnsi="宋体"/>
          <w:color w:val="auto"/>
          <w:szCs w:val="21"/>
          <w:highlight w:val="none"/>
        </w:rPr>
        <w:t>：</w:t>
      </w:r>
    </w:p>
    <w:p w14:paraId="03E9B58D">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项目（采购项目编号：）的采购文件要求，于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方式汇入指定账户（账户名称：</w:t>
      </w:r>
      <w:r>
        <w:rPr>
          <w:rFonts w:hint="eastAsia" w:ascii="宋体" w:hAnsi="宋体"/>
          <w:color w:val="auto"/>
          <w:szCs w:val="21"/>
          <w:highlight w:val="none"/>
          <w:u w:val="single"/>
        </w:rPr>
        <w:t xml:space="preserve">       </w:t>
      </w:r>
      <w:r>
        <w:rPr>
          <w:rFonts w:hint="eastAsia" w:ascii="宋体" w:hAnsi="宋体"/>
          <w:color w:val="auto"/>
          <w:szCs w:val="21"/>
          <w:highlight w:val="none"/>
        </w:rPr>
        <w:t>，账号：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4AD60470">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本单位投标保证金的汇款情况：（详见附件－投标保证金进账单）</w:t>
      </w:r>
    </w:p>
    <w:p w14:paraId="4770A18D">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53A7012B">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151D751D">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汇款账户名称：</w:t>
      </w:r>
      <w:r>
        <w:rPr>
          <w:rFonts w:hint="eastAsia" w:ascii="宋体" w:hAnsi="宋体"/>
          <w:color w:val="auto"/>
          <w:szCs w:val="21"/>
          <w:highlight w:val="none"/>
          <w:u w:val="single"/>
        </w:rPr>
        <w:t xml:space="preserve">  （必须是投标时使用的账户名）   </w:t>
      </w:r>
    </w:p>
    <w:p w14:paraId="37167AFC">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（必须是投标时使用的账号）        </w:t>
      </w:r>
    </w:p>
    <w:p w14:paraId="0C137645">
      <w:pPr>
        <w:spacing w:line="480" w:lineRule="auto"/>
        <w:ind w:firstLine="420" w:firstLineChars="200"/>
        <w:rPr>
          <w:rFonts w:hint="eastAsia"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XX 银行 XX 分行 XX 支行   ）</w:t>
      </w:r>
    </w:p>
    <w:p w14:paraId="01F8DA7E">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16CF150D">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投标保证金退回时，请按上述资料退回。</w:t>
      </w:r>
    </w:p>
    <w:p w14:paraId="3F0C6250">
      <w:pPr>
        <w:spacing w:line="480" w:lineRule="auto"/>
        <w:ind w:right="844" w:rightChars="402"/>
        <w:jc w:val="right"/>
        <w:rPr>
          <w:rFonts w:hint="eastAsia" w:ascii="宋体" w:hAnsi="宋体"/>
          <w:color w:val="auto"/>
          <w:szCs w:val="21"/>
          <w:highlight w:val="none"/>
        </w:rPr>
      </w:pPr>
      <w:r>
        <w:rPr>
          <w:rFonts w:hint="eastAsia" w:ascii="宋体" w:hAnsi="宋体"/>
          <w:color w:val="auto"/>
          <w:szCs w:val="21"/>
          <w:highlight w:val="none"/>
        </w:rPr>
        <w:t>（单位公章）</w:t>
      </w:r>
    </w:p>
    <w:p w14:paraId="135289AA">
      <w:pPr>
        <w:spacing w:line="480" w:lineRule="auto"/>
        <w:ind w:right="628" w:rightChars="299"/>
        <w:jc w:val="right"/>
        <w:rPr>
          <w:rFonts w:hint="eastAsia" w:ascii="宋体" w:hAnsi="宋体"/>
          <w:color w:val="auto"/>
          <w:szCs w:val="21"/>
          <w:highlight w:val="none"/>
        </w:rPr>
      </w:pPr>
      <w:r>
        <w:rPr>
          <w:rFonts w:hint="eastAsia" w:ascii="宋体" w:hAnsi="宋体"/>
          <w:color w:val="auto"/>
          <w:szCs w:val="21"/>
          <w:highlight w:val="none"/>
        </w:rPr>
        <w:t>年  月  日</w:t>
      </w:r>
    </w:p>
    <w:p w14:paraId="7A8A0F37">
      <w:pPr>
        <w:spacing w:line="480" w:lineRule="auto"/>
        <w:rPr>
          <w:rFonts w:hint="eastAsia" w:ascii="宋体" w:hAnsi="宋体"/>
          <w:color w:val="auto"/>
          <w:szCs w:val="21"/>
          <w:highlight w:val="none"/>
        </w:rPr>
      </w:pPr>
      <w:r>
        <w:rPr>
          <w:rFonts w:hint="eastAsia" w:ascii="宋体" w:hAnsi="宋体"/>
          <w:color w:val="auto"/>
          <w:szCs w:val="21"/>
          <w:highlight w:val="none"/>
        </w:rPr>
        <w:t>单位名称：</w:t>
      </w:r>
    </w:p>
    <w:p w14:paraId="20AC794E">
      <w:pPr>
        <w:spacing w:line="480" w:lineRule="auto"/>
        <w:rPr>
          <w:rFonts w:hint="eastAsia" w:ascii="宋体" w:hAnsi="宋体"/>
          <w:color w:val="auto"/>
          <w:szCs w:val="21"/>
          <w:highlight w:val="none"/>
        </w:rPr>
      </w:pPr>
      <w:r>
        <w:rPr>
          <w:rFonts w:hint="eastAsia" w:ascii="宋体" w:hAnsi="宋体"/>
          <w:color w:val="auto"/>
          <w:szCs w:val="21"/>
          <w:highlight w:val="none"/>
        </w:rPr>
        <w:t>单位地址：</w:t>
      </w:r>
    </w:p>
    <w:p w14:paraId="24E9D3D3">
      <w:pPr>
        <w:spacing w:line="480" w:lineRule="auto"/>
        <w:rPr>
          <w:rFonts w:hint="eastAsia" w:ascii="宋体" w:hAnsi="宋体"/>
          <w:color w:val="auto"/>
          <w:szCs w:val="21"/>
          <w:highlight w:val="none"/>
        </w:rPr>
      </w:pPr>
      <w:r>
        <w:rPr>
          <w:rFonts w:hint="eastAsia" w:ascii="宋体" w:hAnsi="宋体"/>
          <w:color w:val="auto"/>
          <w:szCs w:val="21"/>
          <w:highlight w:val="none"/>
        </w:rPr>
        <w:t>联系人：</w:t>
      </w:r>
    </w:p>
    <w:p w14:paraId="5D99FCB4">
      <w:pPr>
        <w:spacing w:line="480" w:lineRule="auto"/>
        <w:rPr>
          <w:rFonts w:hint="eastAsia" w:ascii="宋体" w:hAnsi="宋体"/>
          <w:color w:val="auto"/>
          <w:szCs w:val="21"/>
          <w:highlight w:val="none"/>
        </w:rPr>
      </w:pPr>
      <w:r>
        <w:rPr>
          <w:rFonts w:hint="eastAsia" w:ascii="宋体" w:hAnsi="宋体"/>
          <w:color w:val="auto"/>
          <w:szCs w:val="21"/>
          <w:highlight w:val="none"/>
        </w:rPr>
        <w:t xml:space="preserve">单位电话： </w:t>
      </w:r>
    </w:p>
    <w:p w14:paraId="4609F64D">
      <w:pPr>
        <w:spacing w:line="480" w:lineRule="auto"/>
        <w:rPr>
          <w:rFonts w:hint="eastAsia" w:ascii="宋体" w:hAnsi="宋体"/>
          <w:color w:val="auto"/>
          <w:szCs w:val="21"/>
          <w:highlight w:val="none"/>
        </w:rPr>
      </w:pPr>
      <w:r>
        <w:rPr>
          <w:rFonts w:hint="eastAsia" w:ascii="宋体" w:hAnsi="宋体"/>
          <w:color w:val="auto"/>
          <w:szCs w:val="21"/>
          <w:highlight w:val="none"/>
        </w:rPr>
        <w:t>联系人手机：</w:t>
      </w:r>
    </w:p>
    <w:p w14:paraId="56AE481F">
      <w:pPr>
        <w:rPr>
          <w:rFonts w:hint="eastAsia" w:ascii="宋体" w:hAnsi="宋体"/>
          <w:color w:val="auto"/>
          <w:szCs w:val="21"/>
          <w:highlight w:val="none"/>
        </w:rPr>
      </w:pPr>
    </w:p>
    <w:p w14:paraId="1E03F862">
      <w:pPr>
        <w:spacing w:line="380" w:lineRule="exact"/>
        <w:ind w:firstLine="420" w:firstLineChars="200"/>
        <w:rPr>
          <w:rFonts w:hint="eastAsia" w:ascii="宋体" w:hAnsi="宋体"/>
          <w:color w:val="auto"/>
          <w:szCs w:val="21"/>
          <w:highlight w:val="none"/>
        </w:rPr>
      </w:pPr>
      <w:r>
        <w:rPr>
          <w:rFonts w:hint="eastAsia" w:ascii="宋体" w:hAnsi="宋体"/>
          <w:color w:val="auto"/>
          <w:szCs w:val="21"/>
          <w:highlight w:val="none"/>
        </w:rPr>
        <w:br w:type="page"/>
      </w:r>
    </w:p>
    <w:p w14:paraId="1964A853">
      <w:pPr>
        <w:spacing w:line="3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附：我方投标保证金汇款凭证</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5EE4B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522" w:type="dxa"/>
            <w:vAlign w:val="center"/>
          </w:tcPr>
          <w:p w14:paraId="20534B26">
            <w:pPr>
              <w:tabs>
                <w:tab w:val="left" w:pos="3885"/>
              </w:tabs>
              <w:jc w:val="center"/>
              <w:rPr>
                <w:rFonts w:hint="eastAsia"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75F06FC9">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0A223C2D">
      <w:pPr>
        <w:rPr>
          <w:rFonts w:hint="eastAsia" w:ascii="宋体" w:hAnsi="宋体"/>
          <w:color w:val="auto"/>
          <w:szCs w:val="21"/>
          <w:highlight w:val="none"/>
        </w:rPr>
      </w:pPr>
    </w:p>
    <w:p w14:paraId="52B6A2A3">
      <w:pPr>
        <w:rPr>
          <w:rFonts w:hint="eastAsia" w:ascii="宋体" w:hAnsi="宋体"/>
          <w:color w:val="auto"/>
          <w:szCs w:val="21"/>
          <w:highlight w:val="none"/>
        </w:rPr>
      </w:pPr>
    </w:p>
    <w:p w14:paraId="7394F348">
      <w:pPr>
        <w:rPr>
          <w:rFonts w:hint="eastAsia" w:ascii="宋体" w:hAnsi="宋体"/>
          <w:color w:val="auto"/>
          <w:szCs w:val="21"/>
          <w:highlight w:val="none"/>
        </w:rPr>
      </w:pPr>
    </w:p>
    <w:p w14:paraId="1A586426">
      <w:pPr>
        <w:rPr>
          <w:rFonts w:hint="eastAsia" w:ascii="宋体" w:hAnsi="宋体"/>
          <w:color w:val="auto"/>
          <w:szCs w:val="21"/>
          <w:highlight w:val="none"/>
        </w:rPr>
      </w:pPr>
    </w:p>
    <w:p w14:paraId="191FAEC1">
      <w:pPr>
        <w:rPr>
          <w:rFonts w:hint="eastAsia" w:ascii="宋体" w:hAnsi="宋体"/>
          <w:color w:val="auto"/>
          <w:szCs w:val="21"/>
          <w:highlight w:val="none"/>
        </w:rPr>
      </w:pPr>
    </w:p>
    <w:p w14:paraId="5241F2D8">
      <w:pPr>
        <w:rPr>
          <w:rFonts w:hint="eastAsia" w:ascii="宋体" w:hAnsi="宋体"/>
          <w:color w:val="auto"/>
          <w:szCs w:val="21"/>
          <w:highlight w:val="none"/>
        </w:rPr>
      </w:pPr>
    </w:p>
    <w:p w14:paraId="7C2FE40F">
      <w:pPr>
        <w:rPr>
          <w:rFonts w:hint="eastAsia" w:ascii="宋体" w:hAnsi="宋体"/>
          <w:color w:val="auto"/>
          <w:szCs w:val="21"/>
          <w:highlight w:val="none"/>
        </w:rPr>
      </w:pPr>
      <w:r>
        <w:rPr>
          <w:rFonts w:hint="eastAsia" w:ascii="宋体" w:hAnsi="宋体"/>
          <w:color w:val="auto"/>
          <w:szCs w:val="21"/>
          <w:highlight w:val="none"/>
        </w:rPr>
        <w:br w:type="page"/>
      </w:r>
    </w:p>
    <w:p w14:paraId="342DA993">
      <w:pPr>
        <w:pStyle w:val="8"/>
        <w:numPr>
          <w:ilvl w:val="255"/>
          <w:numId w:val="0"/>
        </w:numPr>
        <w:tabs>
          <w:tab w:val="left" w:pos="720"/>
          <w:tab w:val="left" w:pos="3840"/>
        </w:tabs>
        <w:ind w:left="283"/>
        <w:jc w:val="both"/>
        <w:rPr>
          <w:rFonts w:hint="eastAsia" w:ascii="宋体" w:hAnsi="宋体"/>
          <w:color w:val="auto"/>
          <w:sz w:val="21"/>
          <w:szCs w:val="21"/>
          <w:highlight w:val="none"/>
        </w:rPr>
      </w:pPr>
      <w:bookmarkStart w:id="182" w:name="_Toc182308059"/>
      <w:r>
        <w:rPr>
          <w:rFonts w:hint="eastAsia" w:ascii="宋体" w:hAnsi="宋体"/>
          <w:color w:val="auto"/>
          <w:sz w:val="21"/>
          <w:szCs w:val="21"/>
          <w:highlight w:val="none"/>
        </w:rPr>
        <w:t>附件5.投标文件电子文件（U盘，须含盖章版PDF投标文件和WORD版投标文件各一版，文字采用WORD文档，计算表格采用 EXCEL文档。）</w:t>
      </w:r>
      <w:bookmarkEnd w:id="182"/>
    </w:p>
    <w:p w14:paraId="6E0F49F2">
      <w:pPr>
        <w:rPr>
          <w:color w:val="auto"/>
          <w:highlight w:val="none"/>
        </w:rPr>
      </w:pPr>
    </w:p>
    <w:p w14:paraId="4A18DB66">
      <w:pPr>
        <w:ind w:firstLine="420" w:firstLineChars="200"/>
        <w:rPr>
          <w:rFonts w:hint="eastAsia" w:hAnsi="宋体"/>
          <w:color w:val="auto"/>
          <w:szCs w:val="21"/>
          <w:highlight w:val="none"/>
        </w:rPr>
      </w:pPr>
      <w:r>
        <w:rPr>
          <w:rFonts w:hint="eastAsia" w:hAnsi="宋体"/>
          <w:color w:val="auto"/>
          <w:szCs w:val="21"/>
          <w:highlight w:val="none"/>
        </w:rPr>
        <w:t>一、开标一览表加盖公章；</w:t>
      </w:r>
    </w:p>
    <w:p w14:paraId="02E83919">
      <w:pPr>
        <w:ind w:firstLine="420" w:firstLineChars="200"/>
        <w:rPr>
          <w:rFonts w:hint="eastAsia" w:hAnsi="宋体"/>
          <w:color w:val="auto"/>
          <w:szCs w:val="21"/>
          <w:highlight w:val="none"/>
        </w:rPr>
      </w:pPr>
      <w:r>
        <w:rPr>
          <w:rFonts w:hint="eastAsia" w:hAnsi="宋体"/>
          <w:color w:val="auto"/>
          <w:szCs w:val="21"/>
          <w:highlight w:val="none"/>
        </w:rPr>
        <w:t>二、法定代表人证明书加盖公章；</w:t>
      </w:r>
    </w:p>
    <w:p w14:paraId="0F00122F">
      <w:pPr>
        <w:ind w:firstLine="420" w:firstLineChars="200"/>
        <w:rPr>
          <w:rFonts w:hint="eastAsia" w:hAnsi="宋体"/>
          <w:color w:val="auto"/>
          <w:szCs w:val="21"/>
          <w:highlight w:val="none"/>
        </w:rPr>
      </w:pPr>
      <w:r>
        <w:rPr>
          <w:rFonts w:hint="eastAsia" w:hAnsi="宋体"/>
          <w:color w:val="auto"/>
          <w:szCs w:val="21"/>
          <w:highlight w:val="none"/>
        </w:rPr>
        <w:t>三、法定代表人授权委托书加盖公章（法定代表人投标的除外）；</w:t>
      </w:r>
    </w:p>
    <w:p w14:paraId="10995782">
      <w:pPr>
        <w:ind w:firstLine="420" w:firstLineChars="200"/>
        <w:rPr>
          <w:rFonts w:hint="eastAsia" w:hAnsi="宋体"/>
          <w:color w:val="auto"/>
          <w:szCs w:val="21"/>
          <w:highlight w:val="none"/>
        </w:rPr>
      </w:pPr>
      <w:r>
        <w:rPr>
          <w:rFonts w:hint="eastAsia" w:hAnsi="宋体"/>
          <w:color w:val="auto"/>
          <w:szCs w:val="21"/>
          <w:highlight w:val="none"/>
        </w:rPr>
        <w:t>四、投标保证金汇入情况说明（含银行汇款凭证）或投标保函加盖公章；</w:t>
      </w:r>
    </w:p>
    <w:p w14:paraId="20C4A5A3">
      <w:pPr>
        <w:ind w:firstLine="420" w:firstLineChars="200"/>
        <w:rPr>
          <w:rFonts w:hint="eastAsia" w:hAnsi="宋体"/>
          <w:color w:val="auto"/>
          <w:szCs w:val="21"/>
          <w:highlight w:val="none"/>
        </w:rPr>
      </w:pPr>
      <w:r>
        <w:rPr>
          <w:rFonts w:hint="eastAsia" w:hAnsi="宋体"/>
          <w:color w:val="auto"/>
          <w:szCs w:val="21"/>
          <w:highlight w:val="none"/>
        </w:rPr>
        <w:t>五、投标文件电子文件（U盘，须含盖章版PDF投标文件和WORD版投标文件各一版，文字采用WORD文档，计算表格采用 EXCEL文档。）</w:t>
      </w:r>
    </w:p>
    <w:p w14:paraId="76B64FA0">
      <w:pPr>
        <w:rPr>
          <w:rFonts w:hint="eastAsia" w:ascii="宋体" w:hAnsi="宋体" w:cs="宋体"/>
          <w:color w:val="auto"/>
          <w:szCs w:val="21"/>
          <w:highlight w:val="none"/>
        </w:rPr>
      </w:pPr>
    </w:p>
    <w:sectPr>
      <w:headerReference r:id="rId13" w:type="first"/>
      <w:footerReference r:id="rId15" w:type="first"/>
      <w:headerReference r:id="rId12" w:type="default"/>
      <w:footerReference r:id="rId14" w:type="default"/>
      <w:pgSz w:w="11906" w:h="16838"/>
      <w:pgMar w:top="1440" w:right="1800" w:bottom="1440" w:left="1800" w:header="708" w:footer="708" w:gutter="0"/>
      <w:pgNumType w:fmt="decimal"/>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auto"/>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Wingdings 2">
    <w:panose1 w:val="05020102010507070707"/>
    <w:charset w:val="02"/>
    <w:family w:val="roman"/>
    <w:pitch w:val="default"/>
    <w:sig w:usb0="00000000" w:usb1="00000000" w:usb2="00000000" w:usb3="00000000" w:csb0="80000000" w:csb1="00000000"/>
  </w:font>
  <w:font w:name="KSOFF9CBECC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0E21D">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A16BD6">
                          <w:pPr>
                            <w:pStyle w:val="1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95</w:t>
                          </w:r>
                          <w:r>
                            <w:fldChar w:fldCharType="end"/>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0A16BD6">
                    <w:pPr>
                      <w:pStyle w:val="1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95</w:t>
                    </w:r>
                    <w:r>
                      <w:fldChar w:fldCharType="end"/>
                    </w:r>
                    <w:r>
                      <w:t>页</w:t>
                    </w:r>
                  </w:p>
                </w:txbxContent>
              </v:textbox>
            </v:shape>
          </w:pict>
        </mc:Fallback>
      </mc:AlternateContent>
    </w:r>
    <w:sdt>
      <w:sdtPr>
        <w:rPr>
          <w:rFonts w:ascii="Times New Roman" w:hAnsi="Times New Roman" w:eastAsia="微软雅黑" w:cstheme="minorBidi"/>
          <w:kern w:val="2"/>
          <w:sz w:val="18"/>
          <w:szCs w:val="18"/>
          <w:lang w:val="en-US" w:eastAsia="zh-CN" w:bidi="ar-SA"/>
        </w:rPr>
        <w:id w:val="147478195"/>
        <w:showingPlcHdr/>
      </w:sdtPr>
      <w:sdtEndPr>
        <w:rPr>
          <w:rFonts w:ascii="Times New Roman" w:hAnsi="Times New Roman" w:eastAsia="微软雅黑" w:cstheme="minorBidi"/>
          <w:kern w:val="2"/>
          <w:sz w:val="18"/>
          <w:szCs w:val="18"/>
          <w:lang w:val="en-US" w:eastAsia="zh-CN" w:bidi="ar-SA"/>
        </w:rPr>
      </w:sdtEndPr>
      <w:sdtContent>
        <w:r>
          <w:rPr>
            <w:rFonts w:hint="eastAsia" w:ascii="Times New Roman" w:hAnsi="Times New Roman" w:eastAsia="微软雅黑" w:cstheme="minorBidi"/>
            <w:kern w:val="2"/>
            <w:sz w:val="18"/>
            <w:szCs w:val="18"/>
            <w:lang w:val="en-US" w:eastAsia="zh-CN" w:bidi="ar-SA"/>
          </w:rPr>
          <w:t xml:space="preserve">     </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B104AC">
    <w:pPr>
      <w:widowControl w:val="0"/>
      <w:tabs>
        <w:tab w:val="center" w:pos="4320"/>
        <w:tab w:val="right" w:pos="8640"/>
      </w:tabs>
      <w:adjustRightInd/>
      <w:snapToGrid w:val="0"/>
      <w:spacing w:after="0"/>
      <w:jc w:val="center"/>
      <w:rPr>
        <w:rFonts w:ascii="Times New Roman" w:hAnsi="Times New Roman" w:eastAsia="微软雅黑" w:cstheme="minorBidi"/>
        <w:kern w:val="2"/>
        <w:sz w:val="18"/>
        <w:szCs w:val="18"/>
        <w:lang w:val="en-US" w:eastAsia="zh-CN" w:bidi="ar-SA"/>
      </w:rPr>
    </w:pPr>
  </w:p>
  <w:p w14:paraId="4DA17ED6">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E7D5E">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0A5300">
                          <w:pPr>
                            <w:pStyle w:val="19"/>
                          </w:pPr>
                          <w:r>
                            <w:t xml:space="preserve">第 </w:t>
                          </w:r>
                          <w:r>
                            <w:fldChar w:fldCharType="begin"/>
                          </w:r>
                          <w:r>
                            <w:instrText xml:space="preserve"> PAGE  \* MERGEFORMAT </w:instrText>
                          </w:r>
                          <w:r>
                            <w:fldChar w:fldCharType="separate"/>
                          </w:r>
                          <w:r>
                            <w:t>47</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40A5300">
                    <w:pPr>
                      <w:pStyle w:val="19"/>
                    </w:pPr>
                    <w:r>
                      <w:t xml:space="preserve">第 </w:t>
                    </w:r>
                    <w:r>
                      <w:fldChar w:fldCharType="begin"/>
                    </w:r>
                    <w:r>
                      <w:instrText xml:space="preserve"> PAGE  \* MERGEFORMAT </w:instrText>
                    </w:r>
                    <w:r>
                      <w:fldChar w:fldCharType="separate"/>
                    </w:r>
                    <w:r>
                      <w:t>47</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v:textbox>
            </v:shape>
          </w:pict>
        </mc:Fallback>
      </mc:AlternateContent>
    </w:r>
    <w:sdt>
      <w:sdtPr>
        <w:rPr>
          <w:rFonts w:ascii="Times New Roman" w:hAnsi="Times New Roman" w:eastAsia="微软雅黑" w:cstheme="minorBidi"/>
          <w:kern w:val="2"/>
          <w:sz w:val="18"/>
          <w:szCs w:val="18"/>
          <w:lang w:val="en-US" w:eastAsia="zh-CN" w:bidi="ar-SA"/>
        </w:rPr>
        <w:id w:val="147483489"/>
      </w:sdtPr>
      <w:sdtEndPr>
        <w:rPr>
          <w:rFonts w:ascii="Times New Roman" w:hAnsi="Times New Roman" w:eastAsia="微软雅黑" w:cstheme="minorBidi"/>
          <w:kern w:val="2"/>
          <w:sz w:val="18"/>
          <w:szCs w:val="18"/>
          <w:lang w:val="en-US" w:eastAsia="zh-CN" w:bidi="ar-SA"/>
        </w:rPr>
      </w:sdtEndPr>
      <w:sdtContent/>
    </w:sdt>
  </w:p>
  <w:p w14:paraId="2969325D">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0C0268">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37E25E">
                          <w:pPr>
                            <w:pStyle w:val="19"/>
                          </w:pPr>
                          <w:r>
                            <w:t xml:space="preserve">第 </w:t>
                          </w:r>
                          <w:r>
                            <w:fldChar w:fldCharType="begin"/>
                          </w:r>
                          <w:r>
                            <w:instrText xml:space="preserve"> PAGE  \* MERGEFORMAT </w:instrText>
                          </w:r>
                          <w:r>
                            <w:fldChar w:fldCharType="separate"/>
                          </w:r>
                          <w:r>
                            <w:t>54</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F37E25E">
                    <w:pPr>
                      <w:pStyle w:val="19"/>
                    </w:pPr>
                    <w:r>
                      <w:t xml:space="preserve">第 </w:t>
                    </w:r>
                    <w:r>
                      <w:fldChar w:fldCharType="begin"/>
                    </w:r>
                    <w:r>
                      <w:instrText xml:space="preserve"> PAGE  \* MERGEFORMAT </w:instrText>
                    </w:r>
                    <w:r>
                      <w:fldChar w:fldCharType="separate"/>
                    </w:r>
                    <w:r>
                      <w:t>54</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v:textbox>
            </v:shape>
          </w:pict>
        </mc:Fallback>
      </mc:AlternateContent>
    </w:r>
    <w:sdt>
      <w:sdtPr>
        <w:rPr>
          <w:rFonts w:ascii="Times New Roman" w:hAnsi="Times New Roman" w:eastAsia="微软雅黑" w:cstheme="minorBidi"/>
          <w:kern w:val="2"/>
          <w:sz w:val="18"/>
          <w:szCs w:val="18"/>
          <w:lang w:val="en-US" w:eastAsia="zh-CN" w:bidi="ar-SA"/>
        </w:rPr>
        <w:id w:val="147452899"/>
      </w:sdtPr>
      <w:sdtEndPr>
        <w:rPr>
          <w:rFonts w:ascii="Times New Roman" w:hAnsi="Times New Roman" w:eastAsia="微软雅黑" w:cstheme="minorBidi"/>
          <w:kern w:val="2"/>
          <w:sz w:val="18"/>
          <w:szCs w:val="18"/>
          <w:lang w:val="en-US" w:eastAsia="zh-CN" w:bidi="ar-SA"/>
        </w:rPr>
      </w:sdtEndPr>
      <w:sdtContent/>
    </w:sdt>
  </w:p>
  <w:p w14:paraId="1DD25D25">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44162">
    <w:pPr>
      <w:widowControl w:val="0"/>
      <w:tabs>
        <w:tab w:val="center" w:pos="4320"/>
        <w:tab w:val="right" w:pos="8640"/>
      </w:tabs>
      <w:adjustRightInd/>
      <w:snapToGrid w:val="0"/>
      <w:spacing w:after="0"/>
      <w:jc w:val="center"/>
      <w:rPr>
        <w:rFonts w:ascii="Times New Roman" w:hAnsi="Times New Roman" w:eastAsia="微软雅黑" w:cstheme="minorBidi"/>
        <w:kern w:val="2"/>
        <w:sz w:val="18"/>
        <w:szCs w:val="18"/>
        <w:lang w:val="en-US" w:eastAsia="zh-CN" w:bidi="ar-SA"/>
      </w:rPr>
    </w:pPr>
    <w:r>
      <w:rPr>
        <w:rFonts w:ascii="Times New Roman" w:hAnsi="Times New Roman" w:eastAsia="微软雅黑" w:cstheme="minorBidi"/>
        <w:kern w:val="2"/>
        <w:sz w:val="21"/>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BAF1CAC">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rFonts w:ascii="Times New Roman" w:hAnsi="Times New Roman" w:eastAsia="微软雅黑" w:cstheme="minorBidi"/>
                              <w:kern w:val="2"/>
                              <w:sz w:val="18"/>
                              <w:szCs w:val="18"/>
                              <w:lang w:val="en-US" w:eastAsia="zh-CN" w:bidi="ar-SA"/>
                            </w:rPr>
                            <w:fldChar w:fldCharType="begin"/>
                          </w:r>
                          <w:r>
                            <w:rPr>
                              <w:rFonts w:ascii="Times New Roman" w:hAnsi="Times New Roman" w:eastAsia="微软雅黑" w:cstheme="minorBidi"/>
                              <w:kern w:val="2"/>
                              <w:sz w:val="18"/>
                              <w:szCs w:val="18"/>
                              <w:lang w:val="en-US" w:eastAsia="zh-CN" w:bidi="ar-SA"/>
                            </w:rPr>
                            <w:instrText xml:space="preserve"> PAGE  \* MERGEFORMAT </w:instrText>
                          </w:r>
                          <w:r>
                            <w:rPr>
                              <w:rFonts w:ascii="Times New Roman" w:hAnsi="Times New Roman" w:eastAsia="微软雅黑" w:cstheme="minorBidi"/>
                              <w:kern w:val="2"/>
                              <w:sz w:val="18"/>
                              <w:szCs w:val="18"/>
                              <w:lang w:val="en-US" w:eastAsia="zh-CN" w:bidi="ar-SA"/>
                            </w:rPr>
                            <w:fldChar w:fldCharType="separate"/>
                          </w:r>
                          <w:r>
                            <w:rPr>
                              <w:rFonts w:ascii="Times New Roman" w:hAnsi="Times New Roman" w:eastAsia="微软雅黑" w:cstheme="minorBidi"/>
                              <w:kern w:val="2"/>
                              <w:sz w:val="18"/>
                              <w:szCs w:val="18"/>
                              <w:lang w:val="en-US" w:eastAsia="zh-CN" w:bidi="ar-SA"/>
                            </w:rPr>
                            <w:t>15</w:t>
                          </w:r>
                          <w:r>
                            <w:rPr>
                              <w:rFonts w:ascii="Times New Roman" w:hAnsi="Times New Roman" w:eastAsia="微软雅黑" w:cstheme="minorBidi"/>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14:paraId="3BAF1CAC">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rFonts w:ascii="Times New Roman" w:hAnsi="Times New Roman" w:eastAsia="微软雅黑" w:cstheme="minorBidi"/>
                        <w:kern w:val="2"/>
                        <w:sz w:val="18"/>
                        <w:szCs w:val="18"/>
                        <w:lang w:val="en-US" w:eastAsia="zh-CN" w:bidi="ar-SA"/>
                      </w:rPr>
                      <w:fldChar w:fldCharType="begin"/>
                    </w:r>
                    <w:r>
                      <w:rPr>
                        <w:rFonts w:ascii="Times New Roman" w:hAnsi="Times New Roman" w:eastAsia="微软雅黑" w:cstheme="minorBidi"/>
                        <w:kern w:val="2"/>
                        <w:sz w:val="18"/>
                        <w:szCs w:val="18"/>
                        <w:lang w:val="en-US" w:eastAsia="zh-CN" w:bidi="ar-SA"/>
                      </w:rPr>
                      <w:instrText xml:space="preserve"> PAGE  \* MERGEFORMAT </w:instrText>
                    </w:r>
                    <w:r>
                      <w:rPr>
                        <w:rFonts w:ascii="Times New Roman" w:hAnsi="Times New Roman" w:eastAsia="微软雅黑" w:cstheme="minorBidi"/>
                        <w:kern w:val="2"/>
                        <w:sz w:val="18"/>
                        <w:szCs w:val="18"/>
                        <w:lang w:val="en-US" w:eastAsia="zh-CN" w:bidi="ar-SA"/>
                      </w:rPr>
                      <w:fldChar w:fldCharType="separate"/>
                    </w:r>
                    <w:r>
                      <w:rPr>
                        <w:rFonts w:ascii="Times New Roman" w:hAnsi="Times New Roman" w:eastAsia="微软雅黑" w:cstheme="minorBidi"/>
                        <w:kern w:val="2"/>
                        <w:sz w:val="18"/>
                        <w:szCs w:val="18"/>
                        <w:lang w:val="en-US" w:eastAsia="zh-CN" w:bidi="ar-SA"/>
                      </w:rPr>
                      <w:t>15</w:t>
                    </w:r>
                    <w:r>
                      <w:rPr>
                        <w:rFonts w:ascii="Times New Roman" w:hAnsi="Times New Roman" w:eastAsia="微软雅黑" w:cstheme="minorBidi"/>
                        <w:kern w:val="2"/>
                        <w:sz w:val="18"/>
                        <w:szCs w:val="18"/>
                        <w:lang w:val="en-US" w:eastAsia="zh-CN" w:bidi="ar-SA"/>
                      </w:rPr>
                      <w:fldChar w:fldCharType="end"/>
                    </w:r>
                  </w:p>
                </w:txbxContent>
              </v:textbox>
            </v:shape>
          </w:pict>
        </mc:Fallback>
      </mc:AlternateContent>
    </w:r>
  </w:p>
  <w:p w14:paraId="052996D9">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3B500">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117E86">
                          <w:pPr>
                            <w:pStyle w:val="19"/>
                          </w:pPr>
                          <w:r>
                            <w:t xml:space="preserve">第 </w:t>
                          </w:r>
                          <w:r>
                            <w:fldChar w:fldCharType="begin"/>
                          </w:r>
                          <w:r>
                            <w:instrText xml:space="preserve"> PAGE  \* MERGEFORMAT </w:instrText>
                          </w:r>
                          <w:r>
                            <w:fldChar w:fldCharType="separate"/>
                          </w:r>
                          <w:r>
                            <w:t>56</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1117E86">
                    <w:pPr>
                      <w:pStyle w:val="19"/>
                    </w:pPr>
                    <w:r>
                      <w:t xml:space="preserve">第 </w:t>
                    </w:r>
                    <w:r>
                      <w:fldChar w:fldCharType="begin"/>
                    </w:r>
                    <w:r>
                      <w:instrText xml:space="preserve"> PAGE  \* MERGEFORMAT </w:instrText>
                    </w:r>
                    <w:r>
                      <w:fldChar w:fldCharType="separate"/>
                    </w:r>
                    <w:r>
                      <w:t>56</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v:textbox>
            </v:shape>
          </w:pict>
        </mc:Fallback>
      </mc:AlternateContent>
    </w:r>
    <w:sdt>
      <w:sdtPr>
        <w:rPr>
          <w:rFonts w:ascii="Times New Roman" w:hAnsi="Times New Roman" w:eastAsia="微软雅黑" w:cstheme="minorBidi"/>
          <w:kern w:val="2"/>
          <w:sz w:val="18"/>
          <w:szCs w:val="18"/>
          <w:lang w:val="en-US" w:eastAsia="zh-CN" w:bidi="ar-SA"/>
        </w:rPr>
        <w:id w:val="147476040"/>
      </w:sdtPr>
      <w:sdtEndPr>
        <w:rPr>
          <w:rFonts w:ascii="Times New Roman" w:hAnsi="Times New Roman" w:eastAsia="微软雅黑" w:cstheme="minorBidi"/>
          <w:kern w:val="2"/>
          <w:sz w:val="18"/>
          <w:szCs w:val="18"/>
          <w:lang w:val="en-US" w:eastAsia="zh-CN" w:bidi="ar-SA"/>
        </w:rPr>
      </w:sdtEndPr>
      <w:sdtContent/>
    </w:sdt>
  </w:p>
  <w:p w14:paraId="26069021">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020F6">
    <w:pPr>
      <w:widowControl w:val="0"/>
      <w:tabs>
        <w:tab w:val="center" w:pos="4320"/>
        <w:tab w:val="right" w:pos="8640"/>
      </w:tabs>
      <w:adjustRightInd/>
      <w:snapToGrid w:val="0"/>
      <w:spacing w:after="0"/>
      <w:jc w:val="center"/>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D4756A">
                          <w:pPr>
                            <w:pStyle w:val="19"/>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BD4756A">
                    <w:pPr>
                      <w:pStyle w:val="19"/>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v:textbox>
            </v:shape>
          </w:pict>
        </mc:Fallback>
      </mc:AlternateContent>
    </w:r>
  </w:p>
  <w:p w14:paraId="1625B3DB">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9614F">
    <w:pPr>
      <w:pStyle w:val="19"/>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5726E1">
                          <w:pPr>
                            <w:pStyle w:val="19"/>
                          </w:pPr>
                          <w:r>
                            <w:t xml:space="preserve">第 </w:t>
                          </w:r>
                          <w:r>
                            <w:fldChar w:fldCharType="begin"/>
                          </w:r>
                          <w:r>
                            <w:instrText xml:space="preserve"> PAGE  \* MERGEFORMAT </w:instrText>
                          </w:r>
                          <w:r>
                            <w:fldChar w:fldCharType="separate"/>
                          </w:r>
                          <w:r>
                            <w:t>59</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55726E1">
                    <w:pPr>
                      <w:pStyle w:val="19"/>
                    </w:pPr>
                    <w:r>
                      <w:t xml:space="preserve">第 </w:t>
                    </w:r>
                    <w:r>
                      <w:fldChar w:fldCharType="begin"/>
                    </w:r>
                    <w:r>
                      <w:instrText xml:space="preserve"> PAGE  \* MERGEFORMAT </w:instrText>
                    </w:r>
                    <w:r>
                      <w:fldChar w:fldCharType="separate"/>
                    </w:r>
                    <w:r>
                      <w:t>59</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BA957">
    <w:pPr>
      <w:pStyle w:val="19"/>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1E15F4">
                          <w:pPr>
                            <w:pStyle w:val="19"/>
                          </w:pPr>
                          <w:r>
                            <w:t xml:space="preserve">第 </w:t>
                          </w:r>
                          <w:r>
                            <w:fldChar w:fldCharType="begin"/>
                          </w:r>
                          <w:r>
                            <w:instrText xml:space="preserve"> PAGE  \* MERGEFORMAT </w:instrText>
                          </w:r>
                          <w:r>
                            <w:fldChar w:fldCharType="separate"/>
                          </w:r>
                          <w:r>
                            <w:t>58</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01E15F4">
                    <w:pPr>
                      <w:pStyle w:val="19"/>
                    </w:pPr>
                    <w:r>
                      <w:t xml:space="preserve">第 </w:t>
                    </w:r>
                    <w:r>
                      <w:fldChar w:fldCharType="begin"/>
                    </w:r>
                    <w:r>
                      <w:instrText xml:space="preserve"> PAGE  \* MERGEFORMAT </w:instrText>
                    </w:r>
                    <w:r>
                      <w:fldChar w:fldCharType="separate"/>
                    </w:r>
                    <w:r>
                      <w:t>58</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C2E4A">
    <w:pPr>
      <w:pStyle w:val="2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C33BD">
    <w:pPr>
      <w:pStyle w:val="20"/>
      <w:jc w:val="both"/>
      <w:rPr>
        <w:rFonts w:hint="eastAsia" w:eastAsia="宋体"/>
        <w:lang w:eastAsia="zh-CN"/>
      </w:rPr>
    </w:pPr>
    <w:r>
      <w:t xml:space="preserve">             </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0C88E0"/>
    <w:multiLevelType w:val="singleLevel"/>
    <w:tmpl w:val="9C0C88E0"/>
    <w:lvl w:ilvl="0" w:tentative="0">
      <w:start w:val="1"/>
      <w:numFmt w:val="decimal"/>
      <w:suff w:val="nothing"/>
      <w:lvlText w:val="%1、"/>
      <w:lvlJc w:val="left"/>
    </w:lvl>
  </w:abstractNum>
  <w:abstractNum w:abstractNumId="1">
    <w:nsid w:val="C9555E15"/>
    <w:multiLevelType w:val="singleLevel"/>
    <w:tmpl w:val="C9555E15"/>
    <w:lvl w:ilvl="0" w:tentative="0">
      <w:start w:val="1"/>
      <w:numFmt w:val="decimal"/>
      <w:lvlText w:val="(%1)"/>
      <w:lvlJc w:val="left"/>
      <w:pPr>
        <w:ind w:left="425" w:hanging="425"/>
      </w:pPr>
      <w:rPr>
        <w:rFonts w:hint="default"/>
      </w:rPr>
    </w:lvl>
  </w:abstractNum>
  <w:abstractNum w:abstractNumId="2">
    <w:nsid w:val="CA4B271C"/>
    <w:multiLevelType w:val="singleLevel"/>
    <w:tmpl w:val="CA4B271C"/>
    <w:lvl w:ilvl="0" w:tentative="0">
      <w:start w:val="1"/>
      <w:numFmt w:val="chineseCounting"/>
      <w:suff w:val="nothing"/>
      <w:lvlText w:val="（%1）"/>
      <w:lvlJc w:val="left"/>
      <w:rPr>
        <w:rFonts w:hint="eastAsia"/>
      </w:rPr>
    </w:lvl>
  </w:abstractNum>
  <w:abstractNum w:abstractNumId="3">
    <w:nsid w:val="D0047B7E"/>
    <w:multiLevelType w:val="singleLevel"/>
    <w:tmpl w:val="D0047B7E"/>
    <w:lvl w:ilvl="0" w:tentative="0">
      <w:start w:val="1"/>
      <w:numFmt w:val="decimal"/>
      <w:suff w:val="nothing"/>
      <w:lvlText w:val="%1、"/>
      <w:lvlJc w:val="left"/>
    </w:lvl>
  </w:abstractNum>
  <w:abstractNum w:abstractNumId="4">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0D2348B"/>
    <w:multiLevelType w:val="singleLevel"/>
    <w:tmpl w:val="20D2348B"/>
    <w:lvl w:ilvl="0" w:tentative="0">
      <w:start w:val="1"/>
      <w:numFmt w:val="chineseCounting"/>
      <w:suff w:val="nothing"/>
      <w:lvlText w:val="（%1）"/>
      <w:lvlJc w:val="left"/>
      <w:rPr>
        <w:rFonts w:hint="eastAsia"/>
      </w:rPr>
    </w:lvl>
  </w:abstractNum>
  <w:abstractNum w:abstractNumId="6">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
    <w:nsid w:val="3F88662E"/>
    <w:multiLevelType w:val="singleLevel"/>
    <w:tmpl w:val="3F88662E"/>
    <w:lvl w:ilvl="0" w:tentative="0">
      <w:start w:val="1"/>
      <w:numFmt w:val="decimal"/>
      <w:suff w:val="space"/>
      <w:lvlText w:val="%1)"/>
      <w:lvlJc w:val="left"/>
    </w:lvl>
  </w:abstractNum>
  <w:abstractNum w:abstractNumId="8">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8"/>
  </w:num>
  <w:num w:numId="2">
    <w:abstractNumId w:val="6"/>
  </w:num>
  <w:num w:numId="3">
    <w:abstractNumId w:val="10"/>
  </w:num>
  <w:num w:numId="4">
    <w:abstractNumId w:val="7"/>
  </w:num>
  <w:num w:numId="5">
    <w:abstractNumId w:val="1"/>
  </w:num>
  <w:num w:numId="6">
    <w:abstractNumId w:val="2"/>
  </w:num>
  <w:num w:numId="7">
    <w:abstractNumId w:val="0"/>
  </w:num>
  <w:num w:numId="8">
    <w:abstractNumId w:val="4"/>
  </w:num>
  <w:num w:numId="9">
    <w:abstractNumId w:val="5"/>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5NDZlYWM2ZDg1OGVjMjM0MzI1ZTkzNzNlOTYxYmMifQ=="/>
    <w:docVar w:name="KSO_WPS_MARK_KEY" w:val="22017ea2-d8bb-4714-a5b5-98b16546ae4b"/>
  </w:docVars>
  <w:rsids>
    <w:rsidRoot w:val="00172A27"/>
    <w:rsid w:val="000011FC"/>
    <w:rsid w:val="00001C50"/>
    <w:rsid w:val="00005A66"/>
    <w:rsid w:val="000063F3"/>
    <w:rsid w:val="00006462"/>
    <w:rsid w:val="00013F3F"/>
    <w:rsid w:val="00015A14"/>
    <w:rsid w:val="00016105"/>
    <w:rsid w:val="000271EA"/>
    <w:rsid w:val="000300B9"/>
    <w:rsid w:val="000300E4"/>
    <w:rsid w:val="0003307E"/>
    <w:rsid w:val="000336BA"/>
    <w:rsid w:val="000340CE"/>
    <w:rsid w:val="000359A1"/>
    <w:rsid w:val="000477F2"/>
    <w:rsid w:val="0004788C"/>
    <w:rsid w:val="0005185D"/>
    <w:rsid w:val="0006184E"/>
    <w:rsid w:val="00067748"/>
    <w:rsid w:val="000738C0"/>
    <w:rsid w:val="0007500F"/>
    <w:rsid w:val="0008282E"/>
    <w:rsid w:val="00084F6D"/>
    <w:rsid w:val="00093A13"/>
    <w:rsid w:val="000A1CD8"/>
    <w:rsid w:val="000A363F"/>
    <w:rsid w:val="000A42A8"/>
    <w:rsid w:val="000A5063"/>
    <w:rsid w:val="000A5DBD"/>
    <w:rsid w:val="000A5DF2"/>
    <w:rsid w:val="000C4524"/>
    <w:rsid w:val="000D44A6"/>
    <w:rsid w:val="000E2CB7"/>
    <w:rsid w:val="000F0AA6"/>
    <w:rsid w:val="000F0E98"/>
    <w:rsid w:val="000F19D1"/>
    <w:rsid w:val="001049A5"/>
    <w:rsid w:val="00111D5C"/>
    <w:rsid w:val="001120E0"/>
    <w:rsid w:val="00117245"/>
    <w:rsid w:val="00121ADA"/>
    <w:rsid w:val="001242F3"/>
    <w:rsid w:val="001332BB"/>
    <w:rsid w:val="00134CAD"/>
    <w:rsid w:val="001368B7"/>
    <w:rsid w:val="0013730B"/>
    <w:rsid w:val="00137853"/>
    <w:rsid w:val="00137E1C"/>
    <w:rsid w:val="00145DC4"/>
    <w:rsid w:val="00146E39"/>
    <w:rsid w:val="00147012"/>
    <w:rsid w:val="00156FE1"/>
    <w:rsid w:val="00172A27"/>
    <w:rsid w:val="00173126"/>
    <w:rsid w:val="001731DD"/>
    <w:rsid w:val="00173905"/>
    <w:rsid w:val="00173E04"/>
    <w:rsid w:val="00175D29"/>
    <w:rsid w:val="00181481"/>
    <w:rsid w:val="001833A1"/>
    <w:rsid w:val="001844F4"/>
    <w:rsid w:val="00185039"/>
    <w:rsid w:val="001852D7"/>
    <w:rsid w:val="001915D6"/>
    <w:rsid w:val="001934B1"/>
    <w:rsid w:val="00193CF2"/>
    <w:rsid w:val="001A06D8"/>
    <w:rsid w:val="001A2D42"/>
    <w:rsid w:val="001A2EF7"/>
    <w:rsid w:val="001A7857"/>
    <w:rsid w:val="001B1F14"/>
    <w:rsid w:val="001B41CF"/>
    <w:rsid w:val="001B5860"/>
    <w:rsid w:val="001C1135"/>
    <w:rsid w:val="001C15AE"/>
    <w:rsid w:val="001C1CA7"/>
    <w:rsid w:val="001C42F3"/>
    <w:rsid w:val="001C4661"/>
    <w:rsid w:val="001C5689"/>
    <w:rsid w:val="001C6E4B"/>
    <w:rsid w:val="001D4665"/>
    <w:rsid w:val="001E2389"/>
    <w:rsid w:val="001F0070"/>
    <w:rsid w:val="001F4B02"/>
    <w:rsid w:val="001F6BC7"/>
    <w:rsid w:val="002065A7"/>
    <w:rsid w:val="0020676A"/>
    <w:rsid w:val="00207B08"/>
    <w:rsid w:val="0021149E"/>
    <w:rsid w:val="002117CF"/>
    <w:rsid w:val="00213021"/>
    <w:rsid w:val="00216BE9"/>
    <w:rsid w:val="0022503E"/>
    <w:rsid w:val="00225BB4"/>
    <w:rsid w:val="002261DD"/>
    <w:rsid w:val="00226313"/>
    <w:rsid w:val="002358D2"/>
    <w:rsid w:val="00235934"/>
    <w:rsid w:val="00240F5F"/>
    <w:rsid w:val="00242F3C"/>
    <w:rsid w:val="002437E4"/>
    <w:rsid w:val="00244D10"/>
    <w:rsid w:val="00247224"/>
    <w:rsid w:val="00247AE0"/>
    <w:rsid w:val="00250B3D"/>
    <w:rsid w:val="00260AC1"/>
    <w:rsid w:val="0026312D"/>
    <w:rsid w:val="0027078E"/>
    <w:rsid w:val="00274C7E"/>
    <w:rsid w:val="0027614D"/>
    <w:rsid w:val="0028395F"/>
    <w:rsid w:val="00284156"/>
    <w:rsid w:val="00285643"/>
    <w:rsid w:val="002867A1"/>
    <w:rsid w:val="002901F8"/>
    <w:rsid w:val="002920A4"/>
    <w:rsid w:val="002961E8"/>
    <w:rsid w:val="002B4087"/>
    <w:rsid w:val="002B5F6C"/>
    <w:rsid w:val="002C6C78"/>
    <w:rsid w:val="002D1594"/>
    <w:rsid w:val="002D3F9C"/>
    <w:rsid w:val="002D4A7A"/>
    <w:rsid w:val="002D4DDD"/>
    <w:rsid w:val="002D503C"/>
    <w:rsid w:val="002D6A9D"/>
    <w:rsid w:val="002D7E27"/>
    <w:rsid w:val="002E17E5"/>
    <w:rsid w:val="002E6B7E"/>
    <w:rsid w:val="002F0FC9"/>
    <w:rsid w:val="002F771C"/>
    <w:rsid w:val="0030489A"/>
    <w:rsid w:val="0030669E"/>
    <w:rsid w:val="003101A3"/>
    <w:rsid w:val="00320CEA"/>
    <w:rsid w:val="00323B43"/>
    <w:rsid w:val="0032477C"/>
    <w:rsid w:val="00326831"/>
    <w:rsid w:val="003274CE"/>
    <w:rsid w:val="003361E9"/>
    <w:rsid w:val="00337A77"/>
    <w:rsid w:val="00342E6D"/>
    <w:rsid w:val="003430F6"/>
    <w:rsid w:val="003525CD"/>
    <w:rsid w:val="00353598"/>
    <w:rsid w:val="00353842"/>
    <w:rsid w:val="00353DFB"/>
    <w:rsid w:val="0035595E"/>
    <w:rsid w:val="00356196"/>
    <w:rsid w:val="00360C24"/>
    <w:rsid w:val="003717F5"/>
    <w:rsid w:val="00374369"/>
    <w:rsid w:val="00383FCF"/>
    <w:rsid w:val="0038475D"/>
    <w:rsid w:val="0038564C"/>
    <w:rsid w:val="00387CE4"/>
    <w:rsid w:val="003914A7"/>
    <w:rsid w:val="00393B1D"/>
    <w:rsid w:val="003A1D97"/>
    <w:rsid w:val="003A4407"/>
    <w:rsid w:val="003A661D"/>
    <w:rsid w:val="003B1A8C"/>
    <w:rsid w:val="003C18EB"/>
    <w:rsid w:val="003C1E4E"/>
    <w:rsid w:val="003C32D3"/>
    <w:rsid w:val="003C3B19"/>
    <w:rsid w:val="003C3CF9"/>
    <w:rsid w:val="003C412B"/>
    <w:rsid w:val="003C415C"/>
    <w:rsid w:val="003C5AAE"/>
    <w:rsid w:val="003D18FB"/>
    <w:rsid w:val="003D36FB"/>
    <w:rsid w:val="003D37D8"/>
    <w:rsid w:val="003E0802"/>
    <w:rsid w:val="003E18E7"/>
    <w:rsid w:val="003E2B8C"/>
    <w:rsid w:val="003E5282"/>
    <w:rsid w:val="003E6103"/>
    <w:rsid w:val="003F46B4"/>
    <w:rsid w:val="003F4822"/>
    <w:rsid w:val="0040122E"/>
    <w:rsid w:val="00401C64"/>
    <w:rsid w:val="00401CC0"/>
    <w:rsid w:val="00410AB5"/>
    <w:rsid w:val="00410F11"/>
    <w:rsid w:val="00411067"/>
    <w:rsid w:val="004203B9"/>
    <w:rsid w:val="00426474"/>
    <w:rsid w:val="004322A2"/>
    <w:rsid w:val="004358AB"/>
    <w:rsid w:val="00436CCF"/>
    <w:rsid w:val="00440DDF"/>
    <w:rsid w:val="00442860"/>
    <w:rsid w:val="00451EB4"/>
    <w:rsid w:val="00460B31"/>
    <w:rsid w:val="00462105"/>
    <w:rsid w:val="00462D5B"/>
    <w:rsid w:val="00463ACB"/>
    <w:rsid w:val="00470D85"/>
    <w:rsid w:val="004733E4"/>
    <w:rsid w:val="00473AAA"/>
    <w:rsid w:val="004751F7"/>
    <w:rsid w:val="00475A80"/>
    <w:rsid w:val="00476B88"/>
    <w:rsid w:val="004801B4"/>
    <w:rsid w:val="00490B9E"/>
    <w:rsid w:val="00492F63"/>
    <w:rsid w:val="00497577"/>
    <w:rsid w:val="004A05D7"/>
    <w:rsid w:val="004A154E"/>
    <w:rsid w:val="004A2134"/>
    <w:rsid w:val="004A2B28"/>
    <w:rsid w:val="004A6330"/>
    <w:rsid w:val="004A69F1"/>
    <w:rsid w:val="004B3550"/>
    <w:rsid w:val="004B3F06"/>
    <w:rsid w:val="004B56B9"/>
    <w:rsid w:val="004B7969"/>
    <w:rsid w:val="004C7FD6"/>
    <w:rsid w:val="004D02E5"/>
    <w:rsid w:val="004D08C0"/>
    <w:rsid w:val="004D1669"/>
    <w:rsid w:val="004D22B3"/>
    <w:rsid w:val="004D51A2"/>
    <w:rsid w:val="004D5AFB"/>
    <w:rsid w:val="004E04FD"/>
    <w:rsid w:val="004E11AD"/>
    <w:rsid w:val="004E3E1F"/>
    <w:rsid w:val="004E601B"/>
    <w:rsid w:val="004F1BB7"/>
    <w:rsid w:val="004F6136"/>
    <w:rsid w:val="004F7F21"/>
    <w:rsid w:val="0050188C"/>
    <w:rsid w:val="00503171"/>
    <w:rsid w:val="0050759C"/>
    <w:rsid w:val="00510827"/>
    <w:rsid w:val="0051148C"/>
    <w:rsid w:val="00511DEA"/>
    <w:rsid w:val="00513C8B"/>
    <w:rsid w:val="00514D47"/>
    <w:rsid w:val="00515CED"/>
    <w:rsid w:val="005267F1"/>
    <w:rsid w:val="005269A9"/>
    <w:rsid w:val="00527A2C"/>
    <w:rsid w:val="005319C1"/>
    <w:rsid w:val="00532034"/>
    <w:rsid w:val="005400C9"/>
    <w:rsid w:val="00541668"/>
    <w:rsid w:val="00541A48"/>
    <w:rsid w:val="005439EE"/>
    <w:rsid w:val="00545D9A"/>
    <w:rsid w:val="00546A42"/>
    <w:rsid w:val="00550DD0"/>
    <w:rsid w:val="0055408D"/>
    <w:rsid w:val="005616DC"/>
    <w:rsid w:val="0057492D"/>
    <w:rsid w:val="005756D1"/>
    <w:rsid w:val="00582EC1"/>
    <w:rsid w:val="0058523E"/>
    <w:rsid w:val="00590819"/>
    <w:rsid w:val="00593D68"/>
    <w:rsid w:val="005953F6"/>
    <w:rsid w:val="005A208B"/>
    <w:rsid w:val="005A555E"/>
    <w:rsid w:val="005A7612"/>
    <w:rsid w:val="005B3257"/>
    <w:rsid w:val="005B58A6"/>
    <w:rsid w:val="005C1BF5"/>
    <w:rsid w:val="005C3920"/>
    <w:rsid w:val="005C57E1"/>
    <w:rsid w:val="005C702E"/>
    <w:rsid w:val="005D01B8"/>
    <w:rsid w:val="005D066B"/>
    <w:rsid w:val="005D1D00"/>
    <w:rsid w:val="005D2D85"/>
    <w:rsid w:val="005E1958"/>
    <w:rsid w:val="005F20A4"/>
    <w:rsid w:val="005F4EAE"/>
    <w:rsid w:val="005F573A"/>
    <w:rsid w:val="005F660B"/>
    <w:rsid w:val="005F7EB1"/>
    <w:rsid w:val="00604B81"/>
    <w:rsid w:val="0061246F"/>
    <w:rsid w:val="00613151"/>
    <w:rsid w:val="00613417"/>
    <w:rsid w:val="00613B25"/>
    <w:rsid w:val="00613EFF"/>
    <w:rsid w:val="0061545F"/>
    <w:rsid w:val="006175DE"/>
    <w:rsid w:val="006211FA"/>
    <w:rsid w:val="006215AC"/>
    <w:rsid w:val="00621821"/>
    <w:rsid w:val="00622362"/>
    <w:rsid w:val="00622497"/>
    <w:rsid w:val="0062543D"/>
    <w:rsid w:val="00627555"/>
    <w:rsid w:val="006276AD"/>
    <w:rsid w:val="006319B2"/>
    <w:rsid w:val="006378D4"/>
    <w:rsid w:val="00640D8A"/>
    <w:rsid w:val="00641E8C"/>
    <w:rsid w:val="0064416A"/>
    <w:rsid w:val="00646297"/>
    <w:rsid w:val="006476E3"/>
    <w:rsid w:val="006479F5"/>
    <w:rsid w:val="00650DDC"/>
    <w:rsid w:val="00652983"/>
    <w:rsid w:val="0065365D"/>
    <w:rsid w:val="006546D0"/>
    <w:rsid w:val="00654819"/>
    <w:rsid w:val="006576FD"/>
    <w:rsid w:val="00661E37"/>
    <w:rsid w:val="00664F6B"/>
    <w:rsid w:val="006731D2"/>
    <w:rsid w:val="00680EB0"/>
    <w:rsid w:val="00682986"/>
    <w:rsid w:val="0068501E"/>
    <w:rsid w:val="00691701"/>
    <w:rsid w:val="00691AE0"/>
    <w:rsid w:val="0069491E"/>
    <w:rsid w:val="006A5604"/>
    <w:rsid w:val="006A75B0"/>
    <w:rsid w:val="006B004E"/>
    <w:rsid w:val="006B3E6C"/>
    <w:rsid w:val="006B4832"/>
    <w:rsid w:val="006B565C"/>
    <w:rsid w:val="006B7878"/>
    <w:rsid w:val="006C14BD"/>
    <w:rsid w:val="006C28E5"/>
    <w:rsid w:val="006C2DC4"/>
    <w:rsid w:val="006C3BF8"/>
    <w:rsid w:val="006C67A9"/>
    <w:rsid w:val="006D25EC"/>
    <w:rsid w:val="006D393E"/>
    <w:rsid w:val="006D43C5"/>
    <w:rsid w:val="006D4AD8"/>
    <w:rsid w:val="006D5706"/>
    <w:rsid w:val="006E0B58"/>
    <w:rsid w:val="006E0C4B"/>
    <w:rsid w:val="006E706D"/>
    <w:rsid w:val="006F5E17"/>
    <w:rsid w:val="00704F7B"/>
    <w:rsid w:val="007110BA"/>
    <w:rsid w:val="00711465"/>
    <w:rsid w:val="00715EE5"/>
    <w:rsid w:val="0071640C"/>
    <w:rsid w:val="00716CEB"/>
    <w:rsid w:val="00716E96"/>
    <w:rsid w:val="00723B11"/>
    <w:rsid w:val="00733F52"/>
    <w:rsid w:val="007343A7"/>
    <w:rsid w:val="00734BB2"/>
    <w:rsid w:val="007408E3"/>
    <w:rsid w:val="00741026"/>
    <w:rsid w:val="00741904"/>
    <w:rsid w:val="0075028E"/>
    <w:rsid w:val="007528A6"/>
    <w:rsid w:val="00752F7F"/>
    <w:rsid w:val="007534FC"/>
    <w:rsid w:val="007608B9"/>
    <w:rsid w:val="0076378D"/>
    <w:rsid w:val="00770BFE"/>
    <w:rsid w:val="007724B4"/>
    <w:rsid w:val="0077462B"/>
    <w:rsid w:val="007902ED"/>
    <w:rsid w:val="007916E7"/>
    <w:rsid w:val="00795DE1"/>
    <w:rsid w:val="00797C5D"/>
    <w:rsid w:val="00797D2F"/>
    <w:rsid w:val="007A34B9"/>
    <w:rsid w:val="007A3EF1"/>
    <w:rsid w:val="007A4DB3"/>
    <w:rsid w:val="007A6F47"/>
    <w:rsid w:val="007A7779"/>
    <w:rsid w:val="007C4205"/>
    <w:rsid w:val="007C4F46"/>
    <w:rsid w:val="007C7297"/>
    <w:rsid w:val="007D1B4F"/>
    <w:rsid w:val="007D2F9E"/>
    <w:rsid w:val="007D3175"/>
    <w:rsid w:val="007D3A27"/>
    <w:rsid w:val="007D48BF"/>
    <w:rsid w:val="007D5C45"/>
    <w:rsid w:val="007E2543"/>
    <w:rsid w:val="007E41CC"/>
    <w:rsid w:val="007E4A26"/>
    <w:rsid w:val="007E7A17"/>
    <w:rsid w:val="007F01B0"/>
    <w:rsid w:val="007F19DC"/>
    <w:rsid w:val="007F2CD8"/>
    <w:rsid w:val="007F4341"/>
    <w:rsid w:val="007F4DC5"/>
    <w:rsid w:val="00806380"/>
    <w:rsid w:val="0081104F"/>
    <w:rsid w:val="0081319A"/>
    <w:rsid w:val="00814251"/>
    <w:rsid w:val="008207AE"/>
    <w:rsid w:val="00820A95"/>
    <w:rsid w:val="00822299"/>
    <w:rsid w:val="0083486A"/>
    <w:rsid w:val="00837E35"/>
    <w:rsid w:val="0084043E"/>
    <w:rsid w:val="00841378"/>
    <w:rsid w:val="00842B87"/>
    <w:rsid w:val="00845411"/>
    <w:rsid w:val="00845BEB"/>
    <w:rsid w:val="008472E6"/>
    <w:rsid w:val="008518B4"/>
    <w:rsid w:val="00853463"/>
    <w:rsid w:val="008548BD"/>
    <w:rsid w:val="00857709"/>
    <w:rsid w:val="0086026F"/>
    <w:rsid w:val="00861D87"/>
    <w:rsid w:val="008640F5"/>
    <w:rsid w:val="008644FF"/>
    <w:rsid w:val="0087704E"/>
    <w:rsid w:val="008907DA"/>
    <w:rsid w:val="0089285E"/>
    <w:rsid w:val="00897853"/>
    <w:rsid w:val="008A0587"/>
    <w:rsid w:val="008A7273"/>
    <w:rsid w:val="008A78AF"/>
    <w:rsid w:val="008B55B9"/>
    <w:rsid w:val="008B6F88"/>
    <w:rsid w:val="008B7726"/>
    <w:rsid w:val="008C05BA"/>
    <w:rsid w:val="008D429E"/>
    <w:rsid w:val="008D5A10"/>
    <w:rsid w:val="008E21B1"/>
    <w:rsid w:val="008E319F"/>
    <w:rsid w:val="008E619C"/>
    <w:rsid w:val="008F1CAE"/>
    <w:rsid w:val="008F267C"/>
    <w:rsid w:val="008F6E0E"/>
    <w:rsid w:val="00900DC0"/>
    <w:rsid w:val="00905F66"/>
    <w:rsid w:val="00906F49"/>
    <w:rsid w:val="00907417"/>
    <w:rsid w:val="00914604"/>
    <w:rsid w:val="00916A34"/>
    <w:rsid w:val="0092092D"/>
    <w:rsid w:val="00923533"/>
    <w:rsid w:val="00930A38"/>
    <w:rsid w:val="0093143C"/>
    <w:rsid w:val="009315C8"/>
    <w:rsid w:val="0093301A"/>
    <w:rsid w:val="00933C3A"/>
    <w:rsid w:val="00934170"/>
    <w:rsid w:val="00936751"/>
    <w:rsid w:val="00936F56"/>
    <w:rsid w:val="00940252"/>
    <w:rsid w:val="00940C85"/>
    <w:rsid w:val="00941534"/>
    <w:rsid w:val="00941ABB"/>
    <w:rsid w:val="00942948"/>
    <w:rsid w:val="009474B5"/>
    <w:rsid w:val="00947B52"/>
    <w:rsid w:val="00947FA7"/>
    <w:rsid w:val="00951015"/>
    <w:rsid w:val="00953DA1"/>
    <w:rsid w:val="00953E98"/>
    <w:rsid w:val="00960F22"/>
    <w:rsid w:val="0096385C"/>
    <w:rsid w:val="00972D86"/>
    <w:rsid w:val="009736BF"/>
    <w:rsid w:val="0097392B"/>
    <w:rsid w:val="0097547D"/>
    <w:rsid w:val="00976066"/>
    <w:rsid w:val="009804CC"/>
    <w:rsid w:val="00980A66"/>
    <w:rsid w:val="0098659B"/>
    <w:rsid w:val="009904F7"/>
    <w:rsid w:val="009910F6"/>
    <w:rsid w:val="00996678"/>
    <w:rsid w:val="009A07B1"/>
    <w:rsid w:val="009A1C97"/>
    <w:rsid w:val="009A29C1"/>
    <w:rsid w:val="009A2C96"/>
    <w:rsid w:val="009A41A3"/>
    <w:rsid w:val="009A6B4A"/>
    <w:rsid w:val="009A7058"/>
    <w:rsid w:val="009A76EB"/>
    <w:rsid w:val="009A78D0"/>
    <w:rsid w:val="009B08E6"/>
    <w:rsid w:val="009B5B4C"/>
    <w:rsid w:val="009C19DE"/>
    <w:rsid w:val="009C23A6"/>
    <w:rsid w:val="009C2474"/>
    <w:rsid w:val="009C2A39"/>
    <w:rsid w:val="009C3B2F"/>
    <w:rsid w:val="009C4CC6"/>
    <w:rsid w:val="009C5206"/>
    <w:rsid w:val="009C6AD9"/>
    <w:rsid w:val="009E32D1"/>
    <w:rsid w:val="009E398C"/>
    <w:rsid w:val="009E5CEA"/>
    <w:rsid w:val="009E6F05"/>
    <w:rsid w:val="009F163A"/>
    <w:rsid w:val="009F1D46"/>
    <w:rsid w:val="009F4E50"/>
    <w:rsid w:val="009F644E"/>
    <w:rsid w:val="009F6A05"/>
    <w:rsid w:val="00A01BE2"/>
    <w:rsid w:val="00A030B4"/>
    <w:rsid w:val="00A03A79"/>
    <w:rsid w:val="00A06B26"/>
    <w:rsid w:val="00A10906"/>
    <w:rsid w:val="00A12E66"/>
    <w:rsid w:val="00A13E78"/>
    <w:rsid w:val="00A14EEF"/>
    <w:rsid w:val="00A17650"/>
    <w:rsid w:val="00A21BF4"/>
    <w:rsid w:val="00A23304"/>
    <w:rsid w:val="00A2429B"/>
    <w:rsid w:val="00A25809"/>
    <w:rsid w:val="00A275C2"/>
    <w:rsid w:val="00A318E1"/>
    <w:rsid w:val="00A3295D"/>
    <w:rsid w:val="00A33142"/>
    <w:rsid w:val="00A353F9"/>
    <w:rsid w:val="00A359A5"/>
    <w:rsid w:val="00A4012F"/>
    <w:rsid w:val="00A4190E"/>
    <w:rsid w:val="00A42E91"/>
    <w:rsid w:val="00A473A9"/>
    <w:rsid w:val="00A50383"/>
    <w:rsid w:val="00A50627"/>
    <w:rsid w:val="00A524DC"/>
    <w:rsid w:val="00A52580"/>
    <w:rsid w:val="00A55703"/>
    <w:rsid w:val="00A61230"/>
    <w:rsid w:val="00A62B43"/>
    <w:rsid w:val="00A668C8"/>
    <w:rsid w:val="00A67E9E"/>
    <w:rsid w:val="00A70854"/>
    <w:rsid w:val="00A74ED3"/>
    <w:rsid w:val="00A75C51"/>
    <w:rsid w:val="00A813C5"/>
    <w:rsid w:val="00A824E6"/>
    <w:rsid w:val="00A8568D"/>
    <w:rsid w:val="00A858DC"/>
    <w:rsid w:val="00A94275"/>
    <w:rsid w:val="00A94D14"/>
    <w:rsid w:val="00A965E1"/>
    <w:rsid w:val="00A96ED2"/>
    <w:rsid w:val="00AA0EAD"/>
    <w:rsid w:val="00AB19CE"/>
    <w:rsid w:val="00AB3969"/>
    <w:rsid w:val="00AB70F0"/>
    <w:rsid w:val="00AC0E7A"/>
    <w:rsid w:val="00AC187B"/>
    <w:rsid w:val="00AD7FDE"/>
    <w:rsid w:val="00AE0F34"/>
    <w:rsid w:val="00AE310E"/>
    <w:rsid w:val="00AE4BEB"/>
    <w:rsid w:val="00AE4FC5"/>
    <w:rsid w:val="00AE76FD"/>
    <w:rsid w:val="00AF1B1B"/>
    <w:rsid w:val="00AF2523"/>
    <w:rsid w:val="00AF5F1F"/>
    <w:rsid w:val="00B027A4"/>
    <w:rsid w:val="00B04202"/>
    <w:rsid w:val="00B0452B"/>
    <w:rsid w:val="00B12C79"/>
    <w:rsid w:val="00B15AFB"/>
    <w:rsid w:val="00B236B3"/>
    <w:rsid w:val="00B24797"/>
    <w:rsid w:val="00B26806"/>
    <w:rsid w:val="00B278B2"/>
    <w:rsid w:val="00B31B24"/>
    <w:rsid w:val="00B4287F"/>
    <w:rsid w:val="00B4315F"/>
    <w:rsid w:val="00B43306"/>
    <w:rsid w:val="00B47715"/>
    <w:rsid w:val="00B525DD"/>
    <w:rsid w:val="00B56DD2"/>
    <w:rsid w:val="00B579FE"/>
    <w:rsid w:val="00B60DAB"/>
    <w:rsid w:val="00B60DEE"/>
    <w:rsid w:val="00B61117"/>
    <w:rsid w:val="00B61CB1"/>
    <w:rsid w:val="00B63189"/>
    <w:rsid w:val="00B646A4"/>
    <w:rsid w:val="00B65C92"/>
    <w:rsid w:val="00B668D2"/>
    <w:rsid w:val="00B67B5C"/>
    <w:rsid w:val="00B7194E"/>
    <w:rsid w:val="00B73575"/>
    <w:rsid w:val="00B7380A"/>
    <w:rsid w:val="00B763B0"/>
    <w:rsid w:val="00B81CAF"/>
    <w:rsid w:val="00B87EB1"/>
    <w:rsid w:val="00B91005"/>
    <w:rsid w:val="00B92951"/>
    <w:rsid w:val="00B93045"/>
    <w:rsid w:val="00B93169"/>
    <w:rsid w:val="00B940DD"/>
    <w:rsid w:val="00B950B6"/>
    <w:rsid w:val="00B95D80"/>
    <w:rsid w:val="00B976BD"/>
    <w:rsid w:val="00BA4130"/>
    <w:rsid w:val="00BB2CAF"/>
    <w:rsid w:val="00BB79B5"/>
    <w:rsid w:val="00BC0E6D"/>
    <w:rsid w:val="00BC25D6"/>
    <w:rsid w:val="00BC3C7F"/>
    <w:rsid w:val="00BC3E74"/>
    <w:rsid w:val="00BC5042"/>
    <w:rsid w:val="00BC5DDF"/>
    <w:rsid w:val="00BD25C6"/>
    <w:rsid w:val="00BD5733"/>
    <w:rsid w:val="00BD630F"/>
    <w:rsid w:val="00BD7216"/>
    <w:rsid w:val="00BD7C1B"/>
    <w:rsid w:val="00BE0825"/>
    <w:rsid w:val="00BE2EE6"/>
    <w:rsid w:val="00BF17FD"/>
    <w:rsid w:val="00BF2820"/>
    <w:rsid w:val="00BF41D4"/>
    <w:rsid w:val="00BF5AFB"/>
    <w:rsid w:val="00C007A8"/>
    <w:rsid w:val="00C16734"/>
    <w:rsid w:val="00C17B47"/>
    <w:rsid w:val="00C2046D"/>
    <w:rsid w:val="00C25C77"/>
    <w:rsid w:val="00C303E7"/>
    <w:rsid w:val="00C319C2"/>
    <w:rsid w:val="00C33B06"/>
    <w:rsid w:val="00C34FCA"/>
    <w:rsid w:val="00C40734"/>
    <w:rsid w:val="00C415F9"/>
    <w:rsid w:val="00C44D3B"/>
    <w:rsid w:val="00C450B7"/>
    <w:rsid w:val="00C53CE5"/>
    <w:rsid w:val="00C612F8"/>
    <w:rsid w:val="00C61F22"/>
    <w:rsid w:val="00C62E44"/>
    <w:rsid w:val="00C63BD8"/>
    <w:rsid w:val="00C65954"/>
    <w:rsid w:val="00C7126B"/>
    <w:rsid w:val="00C72289"/>
    <w:rsid w:val="00C72C24"/>
    <w:rsid w:val="00C73468"/>
    <w:rsid w:val="00C74986"/>
    <w:rsid w:val="00C80EC4"/>
    <w:rsid w:val="00C83071"/>
    <w:rsid w:val="00C8568E"/>
    <w:rsid w:val="00C85FCE"/>
    <w:rsid w:val="00C9083D"/>
    <w:rsid w:val="00CA2D67"/>
    <w:rsid w:val="00CA32B5"/>
    <w:rsid w:val="00CA4AF1"/>
    <w:rsid w:val="00CB191A"/>
    <w:rsid w:val="00CB3BAA"/>
    <w:rsid w:val="00CB3BBD"/>
    <w:rsid w:val="00CB57AD"/>
    <w:rsid w:val="00CC009D"/>
    <w:rsid w:val="00CC584A"/>
    <w:rsid w:val="00CC5E4E"/>
    <w:rsid w:val="00CD0EAB"/>
    <w:rsid w:val="00CD7512"/>
    <w:rsid w:val="00CD7E8F"/>
    <w:rsid w:val="00CE2AF3"/>
    <w:rsid w:val="00CE621D"/>
    <w:rsid w:val="00CE66E8"/>
    <w:rsid w:val="00D025CD"/>
    <w:rsid w:val="00D05388"/>
    <w:rsid w:val="00D114CD"/>
    <w:rsid w:val="00D12FD9"/>
    <w:rsid w:val="00D14476"/>
    <w:rsid w:val="00D15253"/>
    <w:rsid w:val="00D232FF"/>
    <w:rsid w:val="00D279AA"/>
    <w:rsid w:val="00D30AFE"/>
    <w:rsid w:val="00D31215"/>
    <w:rsid w:val="00D34544"/>
    <w:rsid w:val="00D34841"/>
    <w:rsid w:val="00D4444E"/>
    <w:rsid w:val="00D44A97"/>
    <w:rsid w:val="00D45C0C"/>
    <w:rsid w:val="00D45DC9"/>
    <w:rsid w:val="00D4687A"/>
    <w:rsid w:val="00D50776"/>
    <w:rsid w:val="00D508A5"/>
    <w:rsid w:val="00D5104B"/>
    <w:rsid w:val="00D555D8"/>
    <w:rsid w:val="00D576F6"/>
    <w:rsid w:val="00D60778"/>
    <w:rsid w:val="00D609A0"/>
    <w:rsid w:val="00D63EB2"/>
    <w:rsid w:val="00D64797"/>
    <w:rsid w:val="00D64D28"/>
    <w:rsid w:val="00D6604D"/>
    <w:rsid w:val="00D67526"/>
    <w:rsid w:val="00D677F1"/>
    <w:rsid w:val="00D70A36"/>
    <w:rsid w:val="00D74601"/>
    <w:rsid w:val="00D768A3"/>
    <w:rsid w:val="00D81CA0"/>
    <w:rsid w:val="00D83E46"/>
    <w:rsid w:val="00D847B6"/>
    <w:rsid w:val="00D90D23"/>
    <w:rsid w:val="00D93958"/>
    <w:rsid w:val="00D93D98"/>
    <w:rsid w:val="00D9423E"/>
    <w:rsid w:val="00D951D3"/>
    <w:rsid w:val="00DA1DB9"/>
    <w:rsid w:val="00DA5A00"/>
    <w:rsid w:val="00DA5ED7"/>
    <w:rsid w:val="00DA6169"/>
    <w:rsid w:val="00DA7B28"/>
    <w:rsid w:val="00DB5480"/>
    <w:rsid w:val="00DB6317"/>
    <w:rsid w:val="00DB7EA3"/>
    <w:rsid w:val="00DC2FC5"/>
    <w:rsid w:val="00DC3687"/>
    <w:rsid w:val="00DC5AD9"/>
    <w:rsid w:val="00DC691F"/>
    <w:rsid w:val="00DD02DE"/>
    <w:rsid w:val="00DD07B7"/>
    <w:rsid w:val="00DD113C"/>
    <w:rsid w:val="00DD324C"/>
    <w:rsid w:val="00DE0BEB"/>
    <w:rsid w:val="00DE1150"/>
    <w:rsid w:val="00DE4856"/>
    <w:rsid w:val="00DF1024"/>
    <w:rsid w:val="00DF485B"/>
    <w:rsid w:val="00DF6877"/>
    <w:rsid w:val="00E0295D"/>
    <w:rsid w:val="00E042BC"/>
    <w:rsid w:val="00E11A04"/>
    <w:rsid w:val="00E126D3"/>
    <w:rsid w:val="00E132FE"/>
    <w:rsid w:val="00E15C88"/>
    <w:rsid w:val="00E21B77"/>
    <w:rsid w:val="00E23352"/>
    <w:rsid w:val="00E26882"/>
    <w:rsid w:val="00E27D5E"/>
    <w:rsid w:val="00E31C2F"/>
    <w:rsid w:val="00E340D8"/>
    <w:rsid w:val="00E34C3B"/>
    <w:rsid w:val="00E40CAD"/>
    <w:rsid w:val="00E40DC7"/>
    <w:rsid w:val="00E4215F"/>
    <w:rsid w:val="00E508BF"/>
    <w:rsid w:val="00E57B81"/>
    <w:rsid w:val="00E61BEC"/>
    <w:rsid w:val="00E61D2E"/>
    <w:rsid w:val="00E62B7F"/>
    <w:rsid w:val="00E6501F"/>
    <w:rsid w:val="00E7066D"/>
    <w:rsid w:val="00E726BC"/>
    <w:rsid w:val="00E72821"/>
    <w:rsid w:val="00E75C82"/>
    <w:rsid w:val="00E81DDC"/>
    <w:rsid w:val="00E81F67"/>
    <w:rsid w:val="00E83400"/>
    <w:rsid w:val="00E83650"/>
    <w:rsid w:val="00E83A31"/>
    <w:rsid w:val="00E83F4A"/>
    <w:rsid w:val="00E84B35"/>
    <w:rsid w:val="00E93BF5"/>
    <w:rsid w:val="00E96E0C"/>
    <w:rsid w:val="00E97CC0"/>
    <w:rsid w:val="00EA22B8"/>
    <w:rsid w:val="00EA2524"/>
    <w:rsid w:val="00EA33E7"/>
    <w:rsid w:val="00EA705D"/>
    <w:rsid w:val="00EC092D"/>
    <w:rsid w:val="00EC0DF8"/>
    <w:rsid w:val="00EC6730"/>
    <w:rsid w:val="00EC76AA"/>
    <w:rsid w:val="00ED378B"/>
    <w:rsid w:val="00ED6D58"/>
    <w:rsid w:val="00ED766C"/>
    <w:rsid w:val="00EE08F9"/>
    <w:rsid w:val="00EE50C3"/>
    <w:rsid w:val="00EE6529"/>
    <w:rsid w:val="00EE70B3"/>
    <w:rsid w:val="00EF10E1"/>
    <w:rsid w:val="00EF24AA"/>
    <w:rsid w:val="00EF6C3E"/>
    <w:rsid w:val="00EF728A"/>
    <w:rsid w:val="00EF7D0D"/>
    <w:rsid w:val="00F00545"/>
    <w:rsid w:val="00F00FF7"/>
    <w:rsid w:val="00F02093"/>
    <w:rsid w:val="00F023C5"/>
    <w:rsid w:val="00F068E3"/>
    <w:rsid w:val="00F079A1"/>
    <w:rsid w:val="00F10776"/>
    <w:rsid w:val="00F10B5F"/>
    <w:rsid w:val="00F204FE"/>
    <w:rsid w:val="00F218C1"/>
    <w:rsid w:val="00F321EB"/>
    <w:rsid w:val="00F32B00"/>
    <w:rsid w:val="00F346CF"/>
    <w:rsid w:val="00F3610C"/>
    <w:rsid w:val="00F36839"/>
    <w:rsid w:val="00F42704"/>
    <w:rsid w:val="00F52A5F"/>
    <w:rsid w:val="00F55954"/>
    <w:rsid w:val="00F57308"/>
    <w:rsid w:val="00F61962"/>
    <w:rsid w:val="00F62865"/>
    <w:rsid w:val="00F62E63"/>
    <w:rsid w:val="00F64022"/>
    <w:rsid w:val="00F64660"/>
    <w:rsid w:val="00F66300"/>
    <w:rsid w:val="00F74FF3"/>
    <w:rsid w:val="00F753BE"/>
    <w:rsid w:val="00F75C79"/>
    <w:rsid w:val="00F80FF5"/>
    <w:rsid w:val="00F86CE3"/>
    <w:rsid w:val="00F96694"/>
    <w:rsid w:val="00F97062"/>
    <w:rsid w:val="00F9745D"/>
    <w:rsid w:val="00FA07A9"/>
    <w:rsid w:val="00FA54B2"/>
    <w:rsid w:val="00FB26FF"/>
    <w:rsid w:val="00FB29A0"/>
    <w:rsid w:val="00FC1C43"/>
    <w:rsid w:val="00FC529F"/>
    <w:rsid w:val="00FC7B53"/>
    <w:rsid w:val="00FD2A1A"/>
    <w:rsid w:val="00FD48CC"/>
    <w:rsid w:val="00FD67AA"/>
    <w:rsid w:val="00FD707B"/>
    <w:rsid w:val="00FD7A5F"/>
    <w:rsid w:val="00FE0C02"/>
    <w:rsid w:val="00FE2476"/>
    <w:rsid w:val="00FE62D1"/>
    <w:rsid w:val="00FE7B94"/>
    <w:rsid w:val="00FF0736"/>
    <w:rsid w:val="00FF2515"/>
    <w:rsid w:val="00FF26BF"/>
    <w:rsid w:val="010908A7"/>
    <w:rsid w:val="013C51B0"/>
    <w:rsid w:val="01525581"/>
    <w:rsid w:val="016412A2"/>
    <w:rsid w:val="016420B7"/>
    <w:rsid w:val="01651C23"/>
    <w:rsid w:val="018023CE"/>
    <w:rsid w:val="01881AD6"/>
    <w:rsid w:val="018F7A36"/>
    <w:rsid w:val="019127B6"/>
    <w:rsid w:val="01B71A01"/>
    <w:rsid w:val="01C54B91"/>
    <w:rsid w:val="01DC03CE"/>
    <w:rsid w:val="01E36F4E"/>
    <w:rsid w:val="020C3478"/>
    <w:rsid w:val="023C5F15"/>
    <w:rsid w:val="023F3FA2"/>
    <w:rsid w:val="028B6D36"/>
    <w:rsid w:val="02985CD5"/>
    <w:rsid w:val="02A741FD"/>
    <w:rsid w:val="02B77F75"/>
    <w:rsid w:val="02C16E5D"/>
    <w:rsid w:val="02D964CF"/>
    <w:rsid w:val="02DE5ECF"/>
    <w:rsid w:val="02E74073"/>
    <w:rsid w:val="02F33C8E"/>
    <w:rsid w:val="02F713C2"/>
    <w:rsid w:val="03080482"/>
    <w:rsid w:val="03522419"/>
    <w:rsid w:val="0367744E"/>
    <w:rsid w:val="03707410"/>
    <w:rsid w:val="039240A3"/>
    <w:rsid w:val="03993379"/>
    <w:rsid w:val="03A0770F"/>
    <w:rsid w:val="03A448B8"/>
    <w:rsid w:val="03AB216E"/>
    <w:rsid w:val="03C01631"/>
    <w:rsid w:val="03C656A9"/>
    <w:rsid w:val="03F33148"/>
    <w:rsid w:val="042F3419"/>
    <w:rsid w:val="044566F3"/>
    <w:rsid w:val="044841D6"/>
    <w:rsid w:val="047B4012"/>
    <w:rsid w:val="047F2DDF"/>
    <w:rsid w:val="04815FBF"/>
    <w:rsid w:val="04822497"/>
    <w:rsid w:val="04974587"/>
    <w:rsid w:val="04DF1036"/>
    <w:rsid w:val="053C7025"/>
    <w:rsid w:val="053F077B"/>
    <w:rsid w:val="05854E9B"/>
    <w:rsid w:val="0599183C"/>
    <w:rsid w:val="05A97DEC"/>
    <w:rsid w:val="05B23978"/>
    <w:rsid w:val="05C81981"/>
    <w:rsid w:val="060C3203"/>
    <w:rsid w:val="065A6D82"/>
    <w:rsid w:val="066F069C"/>
    <w:rsid w:val="069B4E4A"/>
    <w:rsid w:val="06BC41F2"/>
    <w:rsid w:val="06F415CC"/>
    <w:rsid w:val="06F573AB"/>
    <w:rsid w:val="070E26CD"/>
    <w:rsid w:val="07197D08"/>
    <w:rsid w:val="071E5C55"/>
    <w:rsid w:val="075C1FE5"/>
    <w:rsid w:val="076B4CB0"/>
    <w:rsid w:val="077005AB"/>
    <w:rsid w:val="078F4581"/>
    <w:rsid w:val="079529C6"/>
    <w:rsid w:val="07BF027F"/>
    <w:rsid w:val="07D8337E"/>
    <w:rsid w:val="08031A31"/>
    <w:rsid w:val="08307C7E"/>
    <w:rsid w:val="08420CAE"/>
    <w:rsid w:val="08574B3D"/>
    <w:rsid w:val="08653F81"/>
    <w:rsid w:val="08E0126D"/>
    <w:rsid w:val="08E352B9"/>
    <w:rsid w:val="08E4551C"/>
    <w:rsid w:val="09061A75"/>
    <w:rsid w:val="09182241"/>
    <w:rsid w:val="09224F65"/>
    <w:rsid w:val="095F1030"/>
    <w:rsid w:val="09855177"/>
    <w:rsid w:val="09EE5125"/>
    <w:rsid w:val="0A2522FD"/>
    <w:rsid w:val="0A327478"/>
    <w:rsid w:val="0A462748"/>
    <w:rsid w:val="0A4D0C81"/>
    <w:rsid w:val="0A5B0621"/>
    <w:rsid w:val="0A723E95"/>
    <w:rsid w:val="0A733243"/>
    <w:rsid w:val="0A846743"/>
    <w:rsid w:val="0A873F23"/>
    <w:rsid w:val="0AA534D5"/>
    <w:rsid w:val="0AA650EB"/>
    <w:rsid w:val="0AA7129C"/>
    <w:rsid w:val="0AB4001B"/>
    <w:rsid w:val="0ADD4CBE"/>
    <w:rsid w:val="0AE26205"/>
    <w:rsid w:val="0AF328EF"/>
    <w:rsid w:val="0AF47339"/>
    <w:rsid w:val="0B14133A"/>
    <w:rsid w:val="0B22594B"/>
    <w:rsid w:val="0B27506F"/>
    <w:rsid w:val="0B7C0EF6"/>
    <w:rsid w:val="0B9610F4"/>
    <w:rsid w:val="0B99757D"/>
    <w:rsid w:val="0BBF77A4"/>
    <w:rsid w:val="0BD16C8D"/>
    <w:rsid w:val="0BDF26F7"/>
    <w:rsid w:val="0C027DB2"/>
    <w:rsid w:val="0C2B4952"/>
    <w:rsid w:val="0C322F8A"/>
    <w:rsid w:val="0C385AC6"/>
    <w:rsid w:val="0C4607E5"/>
    <w:rsid w:val="0C516C55"/>
    <w:rsid w:val="0C682C18"/>
    <w:rsid w:val="0C7B2220"/>
    <w:rsid w:val="0C963B11"/>
    <w:rsid w:val="0CB67D83"/>
    <w:rsid w:val="0CD20599"/>
    <w:rsid w:val="0CE53018"/>
    <w:rsid w:val="0D0B5B12"/>
    <w:rsid w:val="0D133046"/>
    <w:rsid w:val="0D1501F6"/>
    <w:rsid w:val="0D153F28"/>
    <w:rsid w:val="0D1C792E"/>
    <w:rsid w:val="0D3A0F98"/>
    <w:rsid w:val="0D5D49D6"/>
    <w:rsid w:val="0D6A4502"/>
    <w:rsid w:val="0D7415CA"/>
    <w:rsid w:val="0D890E47"/>
    <w:rsid w:val="0DC64A00"/>
    <w:rsid w:val="0DD861D1"/>
    <w:rsid w:val="0DEB5FFA"/>
    <w:rsid w:val="0DF67134"/>
    <w:rsid w:val="0DF75C46"/>
    <w:rsid w:val="0DFC60BA"/>
    <w:rsid w:val="0E1C06B2"/>
    <w:rsid w:val="0E49624C"/>
    <w:rsid w:val="0E5B5DCC"/>
    <w:rsid w:val="0E6275C7"/>
    <w:rsid w:val="0E69691B"/>
    <w:rsid w:val="0EBB5484"/>
    <w:rsid w:val="0EBD5AA3"/>
    <w:rsid w:val="0F133DCD"/>
    <w:rsid w:val="0F145C97"/>
    <w:rsid w:val="0F407E8F"/>
    <w:rsid w:val="0F5723EF"/>
    <w:rsid w:val="0F5F5360"/>
    <w:rsid w:val="0F6228F1"/>
    <w:rsid w:val="0F7C5FF6"/>
    <w:rsid w:val="0F7D04FC"/>
    <w:rsid w:val="0FC63FBD"/>
    <w:rsid w:val="0FDD003F"/>
    <w:rsid w:val="0FF87EA4"/>
    <w:rsid w:val="0FFF7484"/>
    <w:rsid w:val="10066939"/>
    <w:rsid w:val="100B77ED"/>
    <w:rsid w:val="101D47AD"/>
    <w:rsid w:val="10252BB6"/>
    <w:rsid w:val="10305890"/>
    <w:rsid w:val="103D5A1A"/>
    <w:rsid w:val="105847E5"/>
    <w:rsid w:val="106C564D"/>
    <w:rsid w:val="106E0AED"/>
    <w:rsid w:val="107B7B8F"/>
    <w:rsid w:val="107C67CE"/>
    <w:rsid w:val="10912D03"/>
    <w:rsid w:val="109333B7"/>
    <w:rsid w:val="109D68CB"/>
    <w:rsid w:val="10A949B8"/>
    <w:rsid w:val="10AB5D61"/>
    <w:rsid w:val="11144AFE"/>
    <w:rsid w:val="11200D07"/>
    <w:rsid w:val="113558CF"/>
    <w:rsid w:val="11386CE9"/>
    <w:rsid w:val="115E03E3"/>
    <w:rsid w:val="11786AB5"/>
    <w:rsid w:val="118049D4"/>
    <w:rsid w:val="118561F8"/>
    <w:rsid w:val="11942D84"/>
    <w:rsid w:val="1197736A"/>
    <w:rsid w:val="11B21219"/>
    <w:rsid w:val="11D250CD"/>
    <w:rsid w:val="11DA73AF"/>
    <w:rsid w:val="11FC1ECD"/>
    <w:rsid w:val="124D097B"/>
    <w:rsid w:val="12511265"/>
    <w:rsid w:val="126856A4"/>
    <w:rsid w:val="126D4818"/>
    <w:rsid w:val="1283614B"/>
    <w:rsid w:val="12856FF3"/>
    <w:rsid w:val="129671FB"/>
    <w:rsid w:val="12A576FF"/>
    <w:rsid w:val="12C535FB"/>
    <w:rsid w:val="12C60D80"/>
    <w:rsid w:val="12DD6E38"/>
    <w:rsid w:val="130523B3"/>
    <w:rsid w:val="130D3C66"/>
    <w:rsid w:val="131F7A3A"/>
    <w:rsid w:val="132645D0"/>
    <w:rsid w:val="133D4061"/>
    <w:rsid w:val="13455ABC"/>
    <w:rsid w:val="1370322B"/>
    <w:rsid w:val="13715421"/>
    <w:rsid w:val="13BA0460"/>
    <w:rsid w:val="13BB41AE"/>
    <w:rsid w:val="13C24F9B"/>
    <w:rsid w:val="13C45A18"/>
    <w:rsid w:val="13C9247B"/>
    <w:rsid w:val="13D6515C"/>
    <w:rsid w:val="13F13CC6"/>
    <w:rsid w:val="143B2E0B"/>
    <w:rsid w:val="144962A8"/>
    <w:rsid w:val="14725BB3"/>
    <w:rsid w:val="14725FF6"/>
    <w:rsid w:val="147C1943"/>
    <w:rsid w:val="148054E9"/>
    <w:rsid w:val="14892735"/>
    <w:rsid w:val="1490034C"/>
    <w:rsid w:val="149E755D"/>
    <w:rsid w:val="14CC4CA5"/>
    <w:rsid w:val="14CC769D"/>
    <w:rsid w:val="14D764D5"/>
    <w:rsid w:val="14EF61BF"/>
    <w:rsid w:val="14F43330"/>
    <w:rsid w:val="15081C6A"/>
    <w:rsid w:val="150F7FEC"/>
    <w:rsid w:val="15436F05"/>
    <w:rsid w:val="15691FE3"/>
    <w:rsid w:val="158B5DDD"/>
    <w:rsid w:val="15B11221"/>
    <w:rsid w:val="15C03C67"/>
    <w:rsid w:val="15C16EB3"/>
    <w:rsid w:val="15CB76C9"/>
    <w:rsid w:val="15D359D7"/>
    <w:rsid w:val="160E7A2C"/>
    <w:rsid w:val="16317A1A"/>
    <w:rsid w:val="163C77BE"/>
    <w:rsid w:val="164A3F23"/>
    <w:rsid w:val="164B49DB"/>
    <w:rsid w:val="164B4D9F"/>
    <w:rsid w:val="16573587"/>
    <w:rsid w:val="165C5C7C"/>
    <w:rsid w:val="1679588C"/>
    <w:rsid w:val="168C2855"/>
    <w:rsid w:val="16994962"/>
    <w:rsid w:val="16A233CF"/>
    <w:rsid w:val="16A71041"/>
    <w:rsid w:val="16AA24BF"/>
    <w:rsid w:val="16F871DC"/>
    <w:rsid w:val="1702234F"/>
    <w:rsid w:val="17110A80"/>
    <w:rsid w:val="171D3FE1"/>
    <w:rsid w:val="17680CAB"/>
    <w:rsid w:val="176E4128"/>
    <w:rsid w:val="17725CE9"/>
    <w:rsid w:val="1783371F"/>
    <w:rsid w:val="178E48DA"/>
    <w:rsid w:val="17C93012"/>
    <w:rsid w:val="17D67AA4"/>
    <w:rsid w:val="17E62B67"/>
    <w:rsid w:val="180F4499"/>
    <w:rsid w:val="182201B4"/>
    <w:rsid w:val="18221ECE"/>
    <w:rsid w:val="183C3D90"/>
    <w:rsid w:val="1859036F"/>
    <w:rsid w:val="18681814"/>
    <w:rsid w:val="18B0649B"/>
    <w:rsid w:val="18D418FC"/>
    <w:rsid w:val="18E5143F"/>
    <w:rsid w:val="18E83469"/>
    <w:rsid w:val="18F47C3A"/>
    <w:rsid w:val="18FC7745"/>
    <w:rsid w:val="19117D89"/>
    <w:rsid w:val="192F3B7C"/>
    <w:rsid w:val="19353F17"/>
    <w:rsid w:val="19696807"/>
    <w:rsid w:val="19864975"/>
    <w:rsid w:val="19864EEB"/>
    <w:rsid w:val="19AE35ED"/>
    <w:rsid w:val="19B4534D"/>
    <w:rsid w:val="19D1065C"/>
    <w:rsid w:val="19D11004"/>
    <w:rsid w:val="19DD405E"/>
    <w:rsid w:val="1A121864"/>
    <w:rsid w:val="1A460CF5"/>
    <w:rsid w:val="1A670502"/>
    <w:rsid w:val="1A6B675E"/>
    <w:rsid w:val="1A7F297D"/>
    <w:rsid w:val="1A9212A7"/>
    <w:rsid w:val="1A9D6244"/>
    <w:rsid w:val="1AB16AC1"/>
    <w:rsid w:val="1ABF1CEA"/>
    <w:rsid w:val="1AC647CE"/>
    <w:rsid w:val="1B014DDE"/>
    <w:rsid w:val="1B0320FB"/>
    <w:rsid w:val="1B034A52"/>
    <w:rsid w:val="1B2640F6"/>
    <w:rsid w:val="1B45344E"/>
    <w:rsid w:val="1B5C1D6D"/>
    <w:rsid w:val="1B5D76FB"/>
    <w:rsid w:val="1B683578"/>
    <w:rsid w:val="1B8C0040"/>
    <w:rsid w:val="1BDE2F66"/>
    <w:rsid w:val="1C1B28DD"/>
    <w:rsid w:val="1C750ECE"/>
    <w:rsid w:val="1C951971"/>
    <w:rsid w:val="1CA56AF4"/>
    <w:rsid w:val="1CCB7000"/>
    <w:rsid w:val="1CD0733A"/>
    <w:rsid w:val="1CD667CB"/>
    <w:rsid w:val="1D196139"/>
    <w:rsid w:val="1D372585"/>
    <w:rsid w:val="1D4D683F"/>
    <w:rsid w:val="1D5208D4"/>
    <w:rsid w:val="1D5C49B8"/>
    <w:rsid w:val="1D5E02D1"/>
    <w:rsid w:val="1D7F0ED0"/>
    <w:rsid w:val="1D921938"/>
    <w:rsid w:val="1DBB6100"/>
    <w:rsid w:val="1DBE6816"/>
    <w:rsid w:val="1DCB4FF1"/>
    <w:rsid w:val="1DF20D7E"/>
    <w:rsid w:val="1E010AF7"/>
    <w:rsid w:val="1E100235"/>
    <w:rsid w:val="1E1C405A"/>
    <w:rsid w:val="1E2E29E0"/>
    <w:rsid w:val="1E301173"/>
    <w:rsid w:val="1E884D18"/>
    <w:rsid w:val="1ED8781E"/>
    <w:rsid w:val="1ED97130"/>
    <w:rsid w:val="1EDD3235"/>
    <w:rsid w:val="1F1102B0"/>
    <w:rsid w:val="1F2F1047"/>
    <w:rsid w:val="1F2F2B69"/>
    <w:rsid w:val="1F43381C"/>
    <w:rsid w:val="1F647A06"/>
    <w:rsid w:val="1F781224"/>
    <w:rsid w:val="1FA4148D"/>
    <w:rsid w:val="1FBB4C72"/>
    <w:rsid w:val="1FC10FAB"/>
    <w:rsid w:val="1FC65577"/>
    <w:rsid w:val="1FD82385"/>
    <w:rsid w:val="1FDF1C0C"/>
    <w:rsid w:val="1FF274ED"/>
    <w:rsid w:val="20121621"/>
    <w:rsid w:val="20147D79"/>
    <w:rsid w:val="201636E2"/>
    <w:rsid w:val="202E3F6D"/>
    <w:rsid w:val="20325F7E"/>
    <w:rsid w:val="204E554F"/>
    <w:rsid w:val="204E5EB7"/>
    <w:rsid w:val="20590035"/>
    <w:rsid w:val="208C4560"/>
    <w:rsid w:val="209033C5"/>
    <w:rsid w:val="20DC2FE1"/>
    <w:rsid w:val="20E5011E"/>
    <w:rsid w:val="20FC799E"/>
    <w:rsid w:val="21101BAA"/>
    <w:rsid w:val="21286DA7"/>
    <w:rsid w:val="2134683B"/>
    <w:rsid w:val="21545CAE"/>
    <w:rsid w:val="219068BB"/>
    <w:rsid w:val="21C82E72"/>
    <w:rsid w:val="21DE0801"/>
    <w:rsid w:val="21DE339D"/>
    <w:rsid w:val="21E33562"/>
    <w:rsid w:val="2203115E"/>
    <w:rsid w:val="22154DDD"/>
    <w:rsid w:val="221812C0"/>
    <w:rsid w:val="22336873"/>
    <w:rsid w:val="22396826"/>
    <w:rsid w:val="22412CD8"/>
    <w:rsid w:val="225471A3"/>
    <w:rsid w:val="225E34DC"/>
    <w:rsid w:val="227D1295"/>
    <w:rsid w:val="228935B5"/>
    <w:rsid w:val="22AB3B7D"/>
    <w:rsid w:val="22AF3A08"/>
    <w:rsid w:val="22F92F75"/>
    <w:rsid w:val="22FB5017"/>
    <w:rsid w:val="23172FFC"/>
    <w:rsid w:val="233050F4"/>
    <w:rsid w:val="23BB4E7D"/>
    <w:rsid w:val="23C172D6"/>
    <w:rsid w:val="23D77537"/>
    <w:rsid w:val="23DB2F62"/>
    <w:rsid w:val="23E6195D"/>
    <w:rsid w:val="23F04F64"/>
    <w:rsid w:val="24364576"/>
    <w:rsid w:val="244B09BD"/>
    <w:rsid w:val="24814CBE"/>
    <w:rsid w:val="249D69ED"/>
    <w:rsid w:val="24AC168B"/>
    <w:rsid w:val="24BB6664"/>
    <w:rsid w:val="24BD406A"/>
    <w:rsid w:val="24D23A61"/>
    <w:rsid w:val="24FE57B6"/>
    <w:rsid w:val="250E1318"/>
    <w:rsid w:val="25467247"/>
    <w:rsid w:val="254D0389"/>
    <w:rsid w:val="25884C5D"/>
    <w:rsid w:val="258C3BEC"/>
    <w:rsid w:val="25A03144"/>
    <w:rsid w:val="25B13028"/>
    <w:rsid w:val="25B2479F"/>
    <w:rsid w:val="25C15C5D"/>
    <w:rsid w:val="25D329B9"/>
    <w:rsid w:val="25E5427A"/>
    <w:rsid w:val="25F461CA"/>
    <w:rsid w:val="26276A31"/>
    <w:rsid w:val="26366F9D"/>
    <w:rsid w:val="263B1230"/>
    <w:rsid w:val="2642752B"/>
    <w:rsid w:val="26485508"/>
    <w:rsid w:val="26554808"/>
    <w:rsid w:val="26607D95"/>
    <w:rsid w:val="26700955"/>
    <w:rsid w:val="268166B9"/>
    <w:rsid w:val="269F6BFE"/>
    <w:rsid w:val="26A16AE9"/>
    <w:rsid w:val="26A605D9"/>
    <w:rsid w:val="26AD0500"/>
    <w:rsid w:val="26B121A3"/>
    <w:rsid w:val="26F34269"/>
    <w:rsid w:val="27125B3E"/>
    <w:rsid w:val="27285583"/>
    <w:rsid w:val="272E3097"/>
    <w:rsid w:val="272E6F74"/>
    <w:rsid w:val="277E6655"/>
    <w:rsid w:val="27933DEA"/>
    <w:rsid w:val="27AF30E6"/>
    <w:rsid w:val="27B36A67"/>
    <w:rsid w:val="27BE6794"/>
    <w:rsid w:val="27C87BEE"/>
    <w:rsid w:val="2802346F"/>
    <w:rsid w:val="281E404F"/>
    <w:rsid w:val="28302479"/>
    <w:rsid w:val="2846581F"/>
    <w:rsid w:val="284A5CA4"/>
    <w:rsid w:val="286602C8"/>
    <w:rsid w:val="28665C95"/>
    <w:rsid w:val="28716D1C"/>
    <w:rsid w:val="28736F5F"/>
    <w:rsid w:val="28833BE9"/>
    <w:rsid w:val="28851EB4"/>
    <w:rsid w:val="28A82963"/>
    <w:rsid w:val="28B01D1E"/>
    <w:rsid w:val="28C2628C"/>
    <w:rsid w:val="28CC3373"/>
    <w:rsid w:val="28F579BA"/>
    <w:rsid w:val="290B3EB9"/>
    <w:rsid w:val="292728C1"/>
    <w:rsid w:val="292C7FA1"/>
    <w:rsid w:val="293950B1"/>
    <w:rsid w:val="2940493E"/>
    <w:rsid w:val="2950768C"/>
    <w:rsid w:val="297A5FC4"/>
    <w:rsid w:val="29B41DA5"/>
    <w:rsid w:val="29E14657"/>
    <w:rsid w:val="29E474B8"/>
    <w:rsid w:val="29ED574B"/>
    <w:rsid w:val="29FA2D3E"/>
    <w:rsid w:val="29FE5CE6"/>
    <w:rsid w:val="2A005376"/>
    <w:rsid w:val="2A1D5BE0"/>
    <w:rsid w:val="2A600C13"/>
    <w:rsid w:val="2A633B90"/>
    <w:rsid w:val="2A6774EE"/>
    <w:rsid w:val="2A68500A"/>
    <w:rsid w:val="2A743AE8"/>
    <w:rsid w:val="2A8D4F8F"/>
    <w:rsid w:val="2A901BEE"/>
    <w:rsid w:val="2A917B34"/>
    <w:rsid w:val="2A9308A8"/>
    <w:rsid w:val="2A9475FF"/>
    <w:rsid w:val="2A9F5AB8"/>
    <w:rsid w:val="2AAA0AA2"/>
    <w:rsid w:val="2AD74E8C"/>
    <w:rsid w:val="2AE3766F"/>
    <w:rsid w:val="2AEC612E"/>
    <w:rsid w:val="2B0E56AB"/>
    <w:rsid w:val="2B276305"/>
    <w:rsid w:val="2B54704F"/>
    <w:rsid w:val="2B590601"/>
    <w:rsid w:val="2B5C0A63"/>
    <w:rsid w:val="2B7E4054"/>
    <w:rsid w:val="2BA45A85"/>
    <w:rsid w:val="2BA47C57"/>
    <w:rsid w:val="2BB12905"/>
    <w:rsid w:val="2BBA6A76"/>
    <w:rsid w:val="2BCC03D1"/>
    <w:rsid w:val="2BE664C3"/>
    <w:rsid w:val="2C0C6D59"/>
    <w:rsid w:val="2C671380"/>
    <w:rsid w:val="2C787BAC"/>
    <w:rsid w:val="2C8903AA"/>
    <w:rsid w:val="2C8E776E"/>
    <w:rsid w:val="2C8E7BB8"/>
    <w:rsid w:val="2C987C56"/>
    <w:rsid w:val="2CA07E8E"/>
    <w:rsid w:val="2CA156F3"/>
    <w:rsid w:val="2CC11460"/>
    <w:rsid w:val="2CC15BAA"/>
    <w:rsid w:val="2CDC3153"/>
    <w:rsid w:val="2CDF621C"/>
    <w:rsid w:val="2CE136D7"/>
    <w:rsid w:val="2CFE7A11"/>
    <w:rsid w:val="2CFF149A"/>
    <w:rsid w:val="2D137721"/>
    <w:rsid w:val="2D201865"/>
    <w:rsid w:val="2D2F67DA"/>
    <w:rsid w:val="2D4B5CEA"/>
    <w:rsid w:val="2D4C5B4C"/>
    <w:rsid w:val="2D4C6B07"/>
    <w:rsid w:val="2D514661"/>
    <w:rsid w:val="2D652658"/>
    <w:rsid w:val="2D692518"/>
    <w:rsid w:val="2D742C3D"/>
    <w:rsid w:val="2D964A56"/>
    <w:rsid w:val="2DC16E0A"/>
    <w:rsid w:val="2DC80C49"/>
    <w:rsid w:val="2DCA6355"/>
    <w:rsid w:val="2DD85F0E"/>
    <w:rsid w:val="2DF058CB"/>
    <w:rsid w:val="2E166748"/>
    <w:rsid w:val="2E2054A0"/>
    <w:rsid w:val="2E482374"/>
    <w:rsid w:val="2E556F01"/>
    <w:rsid w:val="2E7D1028"/>
    <w:rsid w:val="2E8345A7"/>
    <w:rsid w:val="2E8E20B4"/>
    <w:rsid w:val="2E924DF5"/>
    <w:rsid w:val="2EAA7BAE"/>
    <w:rsid w:val="2EB2312B"/>
    <w:rsid w:val="2EC0235F"/>
    <w:rsid w:val="2EC1207D"/>
    <w:rsid w:val="2ED06066"/>
    <w:rsid w:val="2ED1223D"/>
    <w:rsid w:val="2EDD3B3D"/>
    <w:rsid w:val="2F000139"/>
    <w:rsid w:val="2F1B303D"/>
    <w:rsid w:val="2F3925CB"/>
    <w:rsid w:val="2F65799D"/>
    <w:rsid w:val="2F6A7056"/>
    <w:rsid w:val="2F9F42DC"/>
    <w:rsid w:val="2FAC3772"/>
    <w:rsid w:val="2FAD50B2"/>
    <w:rsid w:val="2FBC2844"/>
    <w:rsid w:val="2FC32F68"/>
    <w:rsid w:val="2FF37AB3"/>
    <w:rsid w:val="30210B8A"/>
    <w:rsid w:val="30224DC7"/>
    <w:rsid w:val="303265F2"/>
    <w:rsid w:val="303B4C3F"/>
    <w:rsid w:val="30476D7A"/>
    <w:rsid w:val="3073310C"/>
    <w:rsid w:val="309D6BE6"/>
    <w:rsid w:val="30AA1790"/>
    <w:rsid w:val="30EE385E"/>
    <w:rsid w:val="30F85AFE"/>
    <w:rsid w:val="31170995"/>
    <w:rsid w:val="31264A30"/>
    <w:rsid w:val="312651F8"/>
    <w:rsid w:val="314774D9"/>
    <w:rsid w:val="31884E67"/>
    <w:rsid w:val="31A0275E"/>
    <w:rsid w:val="31A67308"/>
    <w:rsid w:val="31B91526"/>
    <w:rsid w:val="31EF0041"/>
    <w:rsid w:val="31F42F6F"/>
    <w:rsid w:val="320107F5"/>
    <w:rsid w:val="32081216"/>
    <w:rsid w:val="32090C24"/>
    <w:rsid w:val="32224419"/>
    <w:rsid w:val="32254574"/>
    <w:rsid w:val="326A0524"/>
    <w:rsid w:val="327458DC"/>
    <w:rsid w:val="32986C45"/>
    <w:rsid w:val="32AB70C5"/>
    <w:rsid w:val="32F50547"/>
    <w:rsid w:val="33247607"/>
    <w:rsid w:val="33487C23"/>
    <w:rsid w:val="335D0AF5"/>
    <w:rsid w:val="33640309"/>
    <w:rsid w:val="3370088C"/>
    <w:rsid w:val="33735C77"/>
    <w:rsid w:val="339427F0"/>
    <w:rsid w:val="339A687B"/>
    <w:rsid w:val="33C14594"/>
    <w:rsid w:val="33DC2F78"/>
    <w:rsid w:val="341B3FDD"/>
    <w:rsid w:val="3428227C"/>
    <w:rsid w:val="342844A1"/>
    <w:rsid w:val="343230D5"/>
    <w:rsid w:val="3439428E"/>
    <w:rsid w:val="347918A5"/>
    <w:rsid w:val="349D37D5"/>
    <w:rsid w:val="34A61BDE"/>
    <w:rsid w:val="3522586C"/>
    <w:rsid w:val="35572473"/>
    <w:rsid w:val="35602226"/>
    <w:rsid w:val="356B72E7"/>
    <w:rsid w:val="356D2AC8"/>
    <w:rsid w:val="3572424F"/>
    <w:rsid w:val="35866014"/>
    <w:rsid w:val="359E5CE0"/>
    <w:rsid w:val="360001E3"/>
    <w:rsid w:val="3611259C"/>
    <w:rsid w:val="36115473"/>
    <w:rsid w:val="362B215D"/>
    <w:rsid w:val="363E0D05"/>
    <w:rsid w:val="366854D4"/>
    <w:rsid w:val="367801A9"/>
    <w:rsid w:val="367D4887"/>
    <w:rsid w:val="36AD519D"/>
    <w:rsid w:val="36B57705"/>
    <w:rsid w:val="36CB08C5"/>
    <w:rsid w:val="36DC1DD3"/>
    <w:rsid w:val="37090CD6"/>
    <w:rsid w:val="37103EE5"/>
    <w:rsid w:val="37122320"/>
    <w:rsid w:val="372F6E95"/>
    <w:rsid w:val="373E6129"/>
    <w:rsid w:val="3754697A"/>
    <w:rsid w:val="37636A21"/>
    <w:rsid w:val="37883E50"/>
    <w:rsid w:val="37A103ED"/>
    <w:rsid w:val="37A367C3"/>
    <w:rsid w:val="37BD33EE"/>
    <w:rsid w:val="37C24FF3"/>
    <w:rsid w:val="37D01397"/>
    <w:rsid w:val="37E02B23"/>
    <w:rsid w:val="37E345A6"/>
    <w:rsid w:val="37EA5E6E"/>
    <w:rsid w:val="37FF016F"/>
    <w:rsid w:val="382A6E2D"/>
    <w:rsid w:val="38534B1D"/>
    <w:rsid w:val="386E4145"/>
    <w:rsid w:val="387C5ABE"/>
    <w:rsid w:val="38AF46DD"/>
    <w:rsid w:val="38B66D0C"/>
    <w:rsid w:val="38CA7E13"/>
    <w:rsid w:val="38EB6119"/>
    <w:rsid w:val="38ED3021"/>
    <w:rsid w:val="38FD3E94"/>
    <w:rsid w:val="38FE0A0C"/>
    <w:rsid w:val="392D500E"/>
    <w:rsid w:val="396678D9"/>
    <w:rsid w:val="39736669"/>
    <w:rsid w:val="397A0ADB"/>
    <w:rsid w:val="39954B2B"/>
    <w:rsid w:val="39DA2245"/>
    <w:rsid w:val="39E66E3B"/>
    <w:rsid w:val="39FD4CC2"/>
    <w:rsid w:val="3A0B0650"/>
    <w:rsid w:val="3A2434F2"/>
    <w:rsid w:val="3A3A7721"/>
    <w:rsid w:val="3A51228C"/>
    <w:rsid w:val="3A545E48"/>
    <w:rsid w:val="3A552E60"/>
    <w:rsid w:val="3A5D642F"/>
    <w:rsid w:val="3A744447"/>
    <w:rsid w:val="3A78219D"/>
    <w:rsid w:val="3A995C5C"/>
    <w:rsid w:val="3AB210FC"/>
    <w:rsid w:val="3AE8099C"/>
    <w:rsid w:val="3B043A1D"/>
    <w:rsid w:val="3B212C76"/>
    <w:rsid w:val="3B292514"/>
    <w:rsid w:val="3B793A48"/>
    <w:rsid w:val="3B85393E"/>
    <w:rsid w:val="3BCA4B8A"/>
    <w:rsid w:val="3BCD72F7"/>
    <w:rsid w:val="3BF4153E"/>
    <w:rsid w:val="3C37146A"/>
    <w:rsid w:val="3C3D3625"/>
    <w:rsid w:val="3C414142"/>
    <w:rsid w:val="3C5B725E"/>
    <w:rsid w:val="3C5C1637"/>
    <w:rsid w:val="3C871F64"/>
    <w:rsid w:val="3C88055A"/>
    <w:rsid w:val="3C965E86"/>
    <w:rsid w:val="3CAF79B9"/>
    <w:rsid w:val="3CB35097"/>
    <w:rsid w:val="3CE65842"/>
    <w:rsid w:val="3CF737A2"/>
    <w:rsid w:val="3D10295A"/>
    <w:rsid w:val="3D184041"/>
    <w:rsid w:val="3D36729B"/>
    <w:rsid w:val="3D370C2A"/>
    <w:rsid w:val="3D414FC0"/>
    <w:rsid w:val="3D4E5DE3"/>
    <w:rsid w:val="3D7D049C"/>
    <w:rsid w:val="3DC4250E"/>
    <w:rsid w:val="3DE20EAE"/>
    <w:rsid w:val="3DEC2E9F"/>
    <w:rsid w:val="3DEF3701"/>
    <w:rsid w:val="3DF83E38"/>
    <w:rsid w:val="3E0572FD"/>
    <w:rsid w:val="3E0720FE"/>
    <w:rsid w:val="3E2819F6"/>
    <w:rsid w:val="3E287A22"/>
    <w:rsid w:val="3E2F55C7"/>
    <w:rsid w:val="3E415531"/>
    <w:rsid w:val="3E5A7FE7"/>
    <w:rsid w:val="3E6C158B"/>
    <w:rsid w:val="3E955A6A"/>
    <w:rsid w:val="3E964D81"/>
    <w:rsid w:val="3EAD43CC"/>
    <w:rsid w:val="3EBA1F32"/>
    <w:rsid w:val="3EEF43D0"/>
    <w:rsid w:val="3EEF6FFF"/>
    <w:rsid w:val="3EF66B2E"/>
    <w:rsid w:val="3EF908D7"/>
    <w:rsid w:val="3F217914"/>
    <w:rsid w:val="3F5D44A8"/>
    <w:rsid w:val="3FD70BB0"/>
    <w:rsid w:val="3FF1740C"/>
    <w:rsid w:val="3FF542A0"/>
    <w:rsid w:val="3FF830E9"/>
    <w:rsid w:val="3FFB55AC"/>
    <w:rsid w:val="40017152"/>
    <w:rsid w:val="400A057C"/>
    <w:rsid w:val="401C2D01"/>
    <w:rsid w:val="401C5F9D"/>
    <w:rsid w:val="401C690C"/>
    <w:rsid w:val="401D7195"/>
    <w:rsid w:val="402D6138"/>
    <w:rsid w:val="40467186"/>
    <w:rsid w:val="4057049F"/>
    <w:rsid w:val="405C1C05"/>
    <w:rsid w:val="407339F4"/>
    <w:rsid w:val="407A652F"/>
    <w:rsid w:val="40825D97"/>
    <w:rsid w:val="409928E7"/>
    <w:rsid w:val="40997CFE"/>
    <w:rsid w:val="409C35A8"/>
    <w:rsid w:val="40A06CB8"/>
    <w:rsid w:val="40C45B55"/>
    <w:rsid w:val="40CE3DC0"/>
    <w:rsid w:val="40D64035"/>
    <w:rsid w:val="40D7455A"/>
    <w:rsid w:val="40E743E5"/>
    <w:rsid w:val="40EB4012"/>
    <w:rsid w:val="40F74B72"/>
    <w:rsid w:val="410A1661"/>
    <w:rsid w:val="41246142"/>
    <w:rsid w:val="412D5EA0"/>
    <w:rsid w:val="41324CB9"/>
    <w:rsid w:val="414375DB"/>
    <w:rsid w:val="415F13B8"/>
    <w:rsid w:val="416D78C7"/>
    <w:rsid w:val="41734CBA"/>
    <w:rsid w:val="417F4E1A"/>
    <w:rsid w:val="41A82190"/>
    <w:rsid w:val="41D83797"/>
    <w:rsid w:val="41DE5999"/>
    <w:rsid w:val="41E1181A"/>
    <w:rsid w:val="41E32A20"/>
    <w:rsid w:val="41FA3241"/>
    <w:rsid w:val="420F7A65"/>
    <w:rsid w:val="4216611A"/>
    <w:rsid w:val="423E300F"/>
    <w:rsid w:val="425656C8"/>
    <w:rsid w:val="4257273C"/>
    <w:rsid w:val="4259696B"/>
    <w:rsid w:val="425B08F6"/>
    <w:rsid w:val="42687ACE"/>
    <w:rsid w:val="4285733F"/>
    <w:rsid w:val="429E6041"/>
    <w:rsid w:val="42BF4B02"/>
    <w:rsid w:val="42C84B75"/>
    <w:rsid w:val="42FD694D"/>
    <w:rsid w:val="43525542"/>
    <w:rsid w:val="437D6687"/>
    <w:rsid w:val="438351F5"/>
    <w:rsid w:val="438D35EA"/>
    <w:rsid w:val="43A4382E"/>
    <w:rsid w:val="43BC1E57"/>
    <w:rsid w:val="43CC3FD9"/>
    <w:rsid w:val="43D23F8D"/>
    <w:rsid w:val="43D43F1D"/>
    <w:rsid w:val="43E8070C"/>
    <w:rsid w:val="43FA5777"/>
    <w:rsid w:val="44023422"/>
    <w:rsid w:val="44184A2D"/>
    <w:rsid w:val="441C1611"/>
    <w:rsid w:val="443C440B"/>
    <w:rsid w:val="44506DE3"/>
    <w:rsid w:val="44514F52"/>
    <w:rsid w:val="44761C8F"/>
    <w:rsid w:val="4490658A"/>
    <w:rsid w:val="449722E3"/>
    <w:rsid w:val="449D7B09"/>
    <w:rsid w:val="44AE3FD4"/>
    <w:rsid w:val="44D0586F"/>
    <w:rsid w:val="44FA2D53"/>
    <w:rsid w:val="4504751B"/>
    <w:rsid w:val="4517434D"/>
    <w:rsid w:val="453C4912"/>
    <w:rsid w:val="45627191"/>
    <w:rsid w:val="45687813"/>
    <w:rsid w:val="456E7B7D"/>
    <w:rsid w:val="4571374F"/>
    <w:rsid w:val="458B1BB0"/>
    <w:rsid w:val="45AD31D6"/>
    <w:rsid w:val="45B93426"/>
    <w:rsid w:val="464C6420"/>
    <w:rsid w:val="46552F9B"/>
    <w:rsid w:val="465D5A09"/>
    <w:rsid w:val="46606730"/>
    <w:rsid w:val="467A0297"/>
    <w:rsid w:val="468B7125"/>
    <w:rsid w:val="4698331F"/>
    <w:rsid w:val="46B506EF"/>
    <w:rsid w:val="46BC1F6E"/>
    <w:rsid w:val="46C4691F"/>
    <w:rsid w:val="46CB53EF"/>
    <w:rsid w:val="46CE645F"/>
    <w:rsid w:val="46DE70D4"/>
    <w:rsid w:val="470F5A71"/>
    <w:rsid w:val="47615D53"/>
    <w:rsid w:val="47685427"/>
    <w:rsid w:val="4779499C"/>
    <w:rsid w:val="479C6284"/>
    <w:rsid w:val="479D1D34"/>
    <w:rsid w:val="47B609C0"/>
    <w:rsid w:val="47EC3B04"/>
    <w:rsid w:val="47EC6277"/>
    <w:rsid w:val="481A219B"/>
    <w:rsid w:val="482D31EA"/>
    <w:rsid w:val="48482422"/>
    <w:rsid w:val="48594C7C"/>
    <w:rsid w:val="485970A0"/>
    <w:rsid w:val="48667F79"/>
    <w:rsid w:val="486A6E89"/>
    <w:rsid w:val="48702E73"/>
    <w:rsid w:val="48823516"/>
    <w:rsid w:val="48877686"/>
    <w:rsid w:val="48B176C2"/>
    <w:rsid w:val="48B65C71"/>
    <w:rsid w:val="48FB1909"/>
    <w:rsid w:val="48FC1BAD"/>
    <w:rsid w:val="491574F4"/>
    <w:rsid w:val="491F266E"/>
    <w:rsid w:val="492E6A57"/>
    <w:rsid w:val="49384887"/>
    <w:rsid w:val="495839AA"/>
    <w:rsid w:val="49771AFE"/>
    <w:rsid w:val="49802948"/>
    <w:rsid w:val="4986089F"/>
    <w:rsid w:val="498B5309"/>
    <w:rsid w:val="499E6DEB"/>
    <w:rsid w:val="499F0AAB"/>
    <w:rsid w:val="49C33FF5"/>
    <w:rsid w:val="49C63D13"/>
    <w:rsid w:val="49DB11EC"/>
    <w:rsid w:val="49E22068"/>
    <w:rsid w:val="49E31DD1"/>
    <w:rsid w:val="49E64E2B"/>
    <w:rsid w:val="49E82ED4"/>
    <w:rsid w:val="4A0030EE"/>
    <w:rsid w:val="4A0568D6"/>
    <w:rsid w:val="4A0C4F3C"/>
    <w:rsid w:val="4A345F75"/>
    <w:rsid w:val="4A484D41"/>
    <w:rsid w:val="4A591590"/>
    <w:rsid w:val="4A6D15F8"/>
    <w:rsid w:val="4A8C4FB8"/>
    <w:rsid w:val="4A9A25BD"/>
    <w:rsid w:val="4A9E0551"/>
    <w:rsid w:val="4AA03D78"/>
    <w:rsid w:val="4AAB17DF"/>
    <w:rsid w:val="4AB542AE"/>
    <w:rsid w:val="4ABA7AB3"/>
    <w:rsid w:val="4AF72FEA"/>
    <w:rsid w:val="4B243D9D"/>
    <w:rsid w:val="4B403E05"/>
    <w:rsid w:val="4B5B54F0"/>
    <w:rsid w:val="4B645524"/>
    <w:rsid w:val="4B6B51D0"/>
    <w:rsid w:val="4B8C2DEB"/>
    <w:rsid w:val="4BA460A8"/>
    <w:rsid w:val="4BC423D3"/>
    <w:rsid w:val="4BFA3C9F"/>
    <w:rsid w:val="4C042674"/>
    <w:rsid w:val="4C107F48"/>
    <w:rsid w:val="4C3277BC"/>
    <w:rsid w:val="4C4641B5"/>
    <w:rsid w:val="4C5C442D"/>
    <w:rsid w:val="4C6D42A9"/>
    <w:rsid w:val="4C716A38"/>
    <w:rsid w:val="4CC0351C"/>
    <w:rsid w:val="4CC353EB"/>
    <w:rsid w:val="4CE64E14"/>
    <w:rsid w:val="4CF36F3C"/>
    <w:rsid w:val="4CFA2645"/>
    <w:rsid w:val="4D00189F"/>
    <w:rsid w:val="4D007BC8"/>
    <w:rsid w:val="4D1470BD"/>
    <w:rsid w:val="4D154882"/>
    <w:rsid w:val="4D1C3C50"/>
    <w:rsid w:val="4D3010B2"/>
    <w:rsid w:val="4D547FED"/>
    <w:rsid w:val="4D603399"/>
    <w:rsid w:val="4D664F64"/>
    <w:rsid w:val="4D6A7284"/>
    <w:rsid w:val="4D867EE1"/>
    <w:rsid w:val="4DB07591"/>
    <w:rsid w:val="4DBC4C65"/>
    <w:rsid w:val="4DE2009B"/>
    <w:rsid w:val="4E0F235E"/>
    <w:rsid w:val="4E157689"/>
    <w:rsid w:val="4E533FA5"/>
    <w:rsid w:val="4E550010"/>
    <w:rsid w:val="4E5964E9"/>
    <w:rsid w:val="4E5F14CB"/>
    <w:rsid w:val="4E6808B0"/>
    <w:rsid w:val="4EB27F29"/>
    <w:rsid w:val="4EC00DDD"/>
    <w:rsid w:val="4EE334F2"/>
    <w:rsid w:val="4EF265BE"/>
    <w:rsid w:val="4EFB1C45"/>
    <w:rsid w:val="4F0C2A48"/>
    <w:rsid w:val="4F26273B"/>
    <w:rsid w:val="4F2D3A8A"/>
    <w:rsid w:val="4F32478A"/>
    <w:rsid w:val="4F3705F8"/>
    <w:rsid w:val="4F785B69"/>
    <w:rsid w:val="4F9714A0"/>
    <w:rsid w:val="4FAC3540"/>
    <w:rsid w:val="4FC56ABD"/>
    <w:rsid w:val="4FC97CE0"/>
    <w:rsid w:val="4FCF1583"/>
    <w:rsid w:val="4FD23E66"/>
    <w:rsid w:val="4FD44D1B"/>
    <w:rsid w:val="4FDC066D"/>
    <w:rsid w:val="4FE70DC0"/>
    <w:rsid w:val="4FFA7625"/>
    <w:rsid w:val="500E3395"/>
    <w:rsid w:val="500F5F58"/>
    <w:rsid w:val="50453E7E"/>
    <w:rsid w:val="50485BA4"/>
    <w:rsid w:val="507D2599"/>
    <w:rsid w:val="508B3CD9"/>
    <w:rsid w:val="508F08E7"/>
    <w:rsid w:val="5096229D"/>
    <w:rsid w:val="509E157D"/>
    <w:rsid w:val="50BF7E3C"/>
    <w:rsid w:val="50CC5D92"/>
    <w:rsid w:val="50D36CAA"/>
    <w:rsid w:val="50DA3350"/>
    <w:rsid w:val="50DC4184"/>
    <w:rsid w:val="50E7551B"/>
    <w:rsid w:val="50FB6146"/>
    <w:rsid w:val="512B5479"/>
    <w:rsid w:val="512F4CA0"/>
    <w:rsid w:val="51323DB9"/>
    <w:rsid w:val="51361FFF"/>
    <w:rsid w:val="513723D1"/>
    <w:rsid w:val="514C3EA7"/>
    <w:rsid w:val="51551AFE"/>
    <w:rsid w:val="51704DAC"/>
    <w:rsid w:val="51B90929"/>
    <w:rsid w:val="51FF3C99"/>
    <w:rsid w:val="521C62D8"/>
    <w:rsid w:val="52363D4D"/>
    <w:rsid w:val="523C29F9"/>
    <w:rsid w:val="52521A20"/>
    <w:rsid w:val="52633D95"/>
    <w:rsid w:val="52AC4ABC"/>
    <w:rsid w:val="52C201B9"/>
    <w:rsid w:val="52C945ED"/>
    <w:rsid w:val="52E57A12"/>
    <w:rsid w:val="52F20B62"/>
    <w:rsid w:val="5355471E"/>
    <w:rsid w:val="53563E64"/>
    <w:rsid w:val="538152F3"/>
    <w:rsid w:val="53827E49"/>
    <w:rsid w:val="538A6BB9"/>
    <w:rsid w:val="539964FD"/>
    <w:rsid w:val="539C1B81"/>
    <w:rsid w:val="53A447B1"/>
    <w:rsid w:val="53AE750F"/>
    <w:rsid w:val="53BB2A61"/>
    <w:rsid w:val="53D00C67"/>
    <w:rsid w:val="53D224B3"/>
    <w:rsid w:val="53DF06D8"/>
    <w:rsid w:val="53F81D96"/>
    <w:rsid w:val="544B5214"/>
    <w:rsid w:val="546927C6"/>
    <w:rsid w:val="546B0405"/>
    <w:rsid w:val="549A6BFA"/>
    <w:rsid w:val="54B36A7C"/>
    <w:rsid w:val="54D933CD"/>
    <w:rsid w:val="55244D7F"/>
    <w:rsid w:val="553404C4"/>
    <w:rsid w:val="55362287"/>
    <w:rsid w:val="55432F3C"/>
    <w:rsid w:val="555016D2"/>
    <w:rsid w:val="556D2820"/>
    <w:rsid w:val="55C3227E"/>
    <w:rsid w:val="55E53A0C"/>
    <w:rsid w:val="55FA2961"/>
    <w:rsid w:val="5602250F"/>
    <w:rsid w:val="564220BA"/>
    <w:rsid w:val="565E7F4F"/>
    <w:rsid w:val="565F3DA6"/>
    <w:rsid w:val="56914056"/>
    <w:rsid w:val="56B41CA7"/>
    <w:rsid w:val="56C36589"/>
    <w:rsid w:val="570D55B0"/>
    <w:rsid w:val="5723570C"/>
    <w:rsid w:val="57293C95"/>
    <w:rsid w:val="572A6381"/>
    <w:rsid w:val="572B41B4"/>
    <w:rsid w:val="572E079D"/>
    <w:rsid w:val="573028B6"/>
    <w:rsid w:val="57365868"/>
    <w:rsid w:val="573C1959"/>
    <w:rsid w:val="579B712B"/>
    <w:rsid w:val="57CD25D7"/>
    <w:rsid w:val="57F12ED6"/>
    <w:rsid w:val="57F65317"/>
    <w:rsid w:val="57FC2169"/>
    <w:rsid w:val="58024015"/>
    <w:rsid w:val="58096275"/>
    <w:rsid w:val="5819544F"/>
    <w:rsid w:val="582809D1"/>
    <w:rsid w:val="582E6EF7"/>
    <w:rsid w:val="583E34E4"/>
    <w:rsid w:val="584E30E6"/>
    <w:rsid w:val="58546EFD"/>
    <w:rsid w:val="58A20D92"/>
    <w:rsid w:val="58E26731"/>
    <w:rsid w:val="590E4A97"/>
    <w:rsid w:val="591250FF"/>
    <w:rsid w:val="5920012C"/>
    <w:rsid w:val="592B1244"/>
    <w:rsid w:val="594714AD"/>
    <w:rsid w:val="594C608F"/>
    <w:rsid w:val="595578DE"/>
    <w:rsid w:val="59667148"/>
    <w:rsid w:val="597B384D"/>
    <w:rsid w:val="59996DA8"/>
    <w:rsid w:val="599C05DE"/>
    <w:rsid w:val="59C30F1B"/>
    <w:rsid w:val="5A6F3361"/>
    <w:rsid w:val="5A8C20D0"/>
    <w:rsid w:val="5AC7121C"/>
    <w:rsid w:val="5AD90B8D"/>
    <w:rsid w:val="5AE12927"/>
    <w:rsid w:val="5AE35472"/>
    <w:rsid w:val="5AF41CF3"/>
    <w:rsid w:val="5AF87CC9"/>
    <w:rsid w:val="5B19477F"/>
    <w:rsid w:val="5B387A4D"/>
    <w:rsid w:val="5B4E1A44"/>
    <w:rsid w:val="5B5773E8"/>
    <w:rsid w:val="5B774ED6"/>
    <w:rsid w:val="5B873201"/>
    <w:rsid w:val="5B967767"/>
    <w:rsid w:val="5B9D1624"/>
    <w:rsid w:val="5BA37F62"/>
    <w:rsid w:val="5C0C2FF6"/>
    <w:rsid w:val="5C1241CC"/>
    <w:rsid w:val="5C286807"/>
    <w:rsid w:val="5C370E72"/>
    <w:rsid w:val="5C414DE8"/>
    <w:rsid w:val="5C446BC8"/>
    <w:rsid w:val="5C4529E1"/>
    <w:rsid w:val="5C4B56E1"/>
    <w:rsid w:val="5C7146B1"/>
    <w:rsid w:val="5C7C2768"/>
    <w:rsid w:val="5CB23AE6"/>
    <w:rsid w:val="5CDC0A42"/>
    <w:rsid w:val="5CED5863"/>
    <w:rsid w:val="5D0D6DF5"/>
    <w:rsid w:val="5D580A8A"/>
    <w:rsid w:val="5D893B14"/>
    <w:rsid w:val="5DB42C29"/>
    <w:rsid w:val="5E291636"/>
    <w:rsid w:val="5E5221C3"/>
    <w:rsid w:val="5E6F64A1"/>
    <w:rsid w:val="5E784CD0"/>
    <w:rsid w:val="5E7E7421"/>
    <w:rsid w:val="5E8B0770"/>
    <w:rsid w:val="5EA06921"/>
    <w:rsid w:val="5EA902B4"/>
    <w:rsid w:val="5EBA259F"/>
    <w:rsid w:val="5EE97BB4"/>
    <w:rsid w:val="5F085DDA"/>
    <w:rsid w:val="5F2E2D52"/>
    <w:rsid w:val="5F54198B"/>
    <w:rsid w:val="5F546D2C"/>
    <w:rsid w:val="5F9D1350"/>
    <w:rsid w:val="5FBE370A"/>
    <w:rsid w:val="5FC83407"/>
    <w:rsid w:val="5FD56E87"/>
    <w:rsid w:val="5FF0558C"/>
    <w:rsid w:val="600A4E1D"/>
    <w:rsid w:val="601A27F4"/>
    <w:rsid w:val="60292845"/>
    <w:rsid w:val="604D2644"/>
    <w:rsid w:val="605238CF"/>
    <w:rsid w:val="6053694F"/>
    <w:rsid w:val="607921FE"/>
    <w:rsid w:val="608F62AE"/>
    <w:rsid w:val="60B9251B"/>
    <w:rsid w:val="60E236C1"/>
    <w:rsid w:val="60F560A0"/>
    <w:rsid w:val="611911B1"/>
    <w:rsid w:val="611D2E3C"/>
    <w:rsid w:val="61260B6B"/>
    <w:rsid w:val="61263A34"/>
    <w:rsid w:val="612B3ABB"/>
    <w:rsid w:val="612E1A5D"/>
    <w:rsid w:val="614E5D7E"/>
    <w:rsid w:val="61560892"/>
    <w:rsid w:val="61770BF8"/>
    <w:rsid w:val="61816046"/>
    <w:rsid w:val="619919DC"/>
    <w:rsid w:val="61C81AB1"/>
    <w:rsid w:val="61D417B9"/>
    <w:rsid w:val="620B0059"/>
    <w:rsid w:val="62391564"/>
    <w:rsid w:val="623F0B7F"/>
    <w:rsid w:val="624A22BE"/>
    <w:rsid w:val="625E5672"/>
    <w:rsid w:val="626E235A"/>
    <w:rsid w:val="626F60D5"/>
    <w:rsid w:val="62816669"/>
    <w:rsid w:val="6282086D"/>
    <w:rsid w:val="62B36CD7"/>
    <w:rsid w:val="62BA0953"/>
    <w:rsid w:val="62D03A7C"/>
    <w:rsid w:val="62D8790F"/>
    <w:rsid w:val="62E10F9B"/>
    <w:rsid w:val="62F42FAE"/>
    <w:rsid w:val="62F648FE"/>
    <w:rsid w:val="62FC75D3"/>
    <w:rsid w:val="63167A4F"/>
    <w:rsid w:val="631D2BD6"/>
    <w:rsid w:val="632217E6"/>
    <w:rsid w:val="634E4B12"/>
    <w:rsid w:val="635356F3"/>
    <w:rsid w:val="635D6064"/>
    <w:rsid w:val="637D5B70"/>
    <w:rsid w:val="63825E77"/>
    <w:rsid w:val="63A10995"/>
    <w:rsid w:val="63C23EFA"/>
    <w:rsid w:val="63C24F39"/>
    <w:rsid w:val="63D255DA"/>
    <w:rsid w:val="64076B79"/>
    <w:rsid w:val="640B7654"/>
    <w:rsid w:val="643A070A"/>
    <w:rsid w:val="643F227C"/>
    <w:rsid w:val="64402337"/>
    <w:rsid w:val="64410A96"/>
    <w:rsid w:val="644C573D"/>
    <w:rsid w:val="64507EFB"/>
    <w:rsid w:val="64B97A50"/>
    <w:rsid w:val="64C4255D"/>
    <w:rsid w:val="65032F85"/>
    <w:rsid w:val="65123E81"/>
    <w:rsid w:val="651304A7"/>
    <w:rsid w:val="65136B50"/>
    <w:rsid w:val="656512C1"/>
    <w:rsid w:val="657E2A35"/>
    <w:rsid w:val="65A94E9D"/>
    <w:rsid w:val="65B96B3F"/>
    <w:rsid w:val="65BE1071"/>
    <w:rsid w:val="65C60A92"/>
    <w:rsid w:val="65D35142"/>
    <w:rsid w:val="65E174B2"/>
    <w:rsid w:val="660451CE"/>
    <w:rsid w:val="660B02F6"/>
    <w:rsid w:val="665346B7"/>
    <w:rsid w:val="66705A4E"/>
    <w:rsid w:val="667C7CCE"/>
    <w:rsid w:val="669C56BF"/>
    <w:rsid w:val="66A12460"/>
    <w:rsid w:val="66A20C1E"/>
    <w:rsid w:val="66BE2423"/>
    <w:rsid w:val="66DD6702"/>
    <w:rsid w:val="671B1623"/>
    <w:rsid w:val="671E6EBA"/>
    <w:rsid w:val="672C0ACD"/>
    <w:rsid w:val="672E0B77"/>
    <w:rsid w:val="673D2E92"/>
    <w:rsid w:val="675352AA"/>
    <w:rsid w:val="6759400B"/>
    <w:rsid w:val="675E528D"/>
    <w:rsid w:val="676C598C"/>
    <w:rsid w:val="67962635"/>
    <w:rsid w:val="67966EFB"/>
    <w:rsid w:val="679E7FA1"/>
    <w:rsid w:val="67A32389"/>
    <w:rsid w:val="67B005BB"/>
    <w:rsid w:val="67B768D0"/>
    <w:rsid w:val="67C779FD"/>
    <w:rsid w:val="68011C0C"/>
    <w:rsid w:val="682A2352"/>
    <w:rsid w:val="682E7AFD"/>
    <w:rsid w:val="68435865"/>
    <w:rsid w:val="68707071"/>
    <w:rsid w:val="687A4379"/>
    <w:rsid w:val="687B015C"/>
    <w:rsid w:val="687E3889"/>
    <w:rsid w:val="6884222C"/>
    <w:rsid w:val="6889198F"/>
    <w:rsid w:val="68AD17BB"/>
    <w:rsid w:val="68B305D5"/>
    <w:rsid w:val="68D94D22"/>
    <w:rsid w:val="692B2E4A"/>
    <w:rsid w:val="696A0B34"/>
    <w:rsid w:val="69821807"/>
    <w:rsid w:val="698D6A17"/>
    <w:rsid w:val="699D5FD4"/>
    <w:rsid w:val="69A72A46"/>
    <w:rsid w:val="69D37590"/>
    <w:rsid w:val="69D62568"/>
    <w:rsid w:val="69D84EE9"/>
    <w:rsid w:val="69F954C1"/>
    <w:rsid w:val="69FA2750"/>
    <w:rsid w:val="6A025978"/>
    <w:rsid w:val="6A1E1E73"/>
    <w:rsid w:val="6A2031B6"/>
    <w:rsid w:val="6A26299B"/>
    <w:rsid w:val="6A276275"/>
    <w:rsid w:val="6A2F57D7"/>
    <w:rsid w:val="6A3C1D40"/>
    <w:rsid w:val="6A4A069B"/>
    <w:rsid w:val="6A4B221F"/>
    <w:rsid w:val="6A5E7136"/>
    <w:rsid w:val="6A6432E1"/>
    <w:rsid w:val="6A6A5005"/>
    <w:rsid w:val="6A8D5833"/>
    <w:rsid w:val="6AA23DFF"/>
    <w:rsid w:val="6AC61F6F"/>
    <w:rsid w:val="6AD34E53"/>
    <w:rsid w:val="6AD83EA1"/>
    <w:rsid w:val="6ADE74F0"/>
    <w:rsid w:val="6AE3182F"/>
    <w:rsid w:val="6B1D62E8"/>
    <w:rsid w:val="6B723594"/>
    <w:rsid w:val="6B805156"/>
    <w:rsid w:val="6B92775B"/>
    <w:rsid w:val="6B945E48"/>
    <w:rsid w:val="6BAD56EA"/>
    <w:rsid w:val="6BD50977"/>
    <w:rsid w:val="6BE126B1"/>
    <w:rsid w:val="6BE450D3"/>
    <w:rsid w:val="6BE60C84"/>
    <w:rsid w:val="6C587C0E"/>
    <w:rsid w:val="6C6C32E1"/>
    <w:rsid w:val="6C6E3E15"/>
    <w:rsid w:val="6C8B1F5D"/>
    <w:rsid w:val="6CAA3931"/>
    <w:rsid w:val="6CCF3BFB"/>
    <w:rsid w:val="6D2046B7"/>
    <w:rsid w:val="6D325918"/>
    <w:rsid w:val="6D370B82"/>
    <w:rsid w:val="6D3933CA"/>
    <w:rsid w:val="6D3C6CAD"/>
    <w:rsid w:val="6D6261FE"/>
    <w:rsid w:val="6D633D96"/>
    <w:rsid w:val="6D7B61EC"/>
    <w:rsid w:val="6D8E03AA"/>
    <w:rsid w:val="6DBB089F"/>
    <w:rsid w:val="6DC63038"/>
    <w:rsid w:val="6DE30DE0"/>
    <w:rsid w:val="6DE6130A"/>
    <w:rsid w:val="6DE839B9"/>
    <w:rsid w:val="6DFB65EB"/>
    <w:rsid w:val="6DFE102E"/>
    <w:rsid w:val="6E09491E"/>
    <w:rsid w:val="6E0D3655"/>
    <w:rsid w:val="6E1A0886"/>
    <w:rsid w:val="6E1A437E"/>
    <w:rsid w:val="6E2B14A0"/>
    <w:rsid w:val="6E3A144E"/>
    <w:rsid w:val="6E5F4465"/>
    <w:rsid w:val="6E8B1663"/>
    <w:rsid w:val="6E8C54DA"/>
    <w:rsid w:val="6EF11E03"/>
    <w:rsid w:val="6EF1241D"/>
    <w:rsid w:val="6EF82916"/>
    <w:rsid w:val="6F0B2DE7"/>
    <w:rsid w:val="6F111C62"/>
    <w:rsid w:val="6F1D68C2"/>
    <w:rsid w:val="6F2176E5"/>
    <w:rsid w:val="6F2D79CC"/>
    <w:rsid w:val="6F3A2A5F"/>
    <w:rsid w:val="6F4F7F03"/>
    <w:rsid w:val="6F592303"/>
    <w:rsid w:val="6F5F5B74"/>
    <w:rsid w:val="6F8B3646"/>
    <w:rsid w:val="6F98032D"/>
    <w:rsid w:val="6F9B1C65"/>
    <w:rsid w:val="6FA44937"/>
    <w:rsid w:val="6FE82C9C"/>
    <w:rsid w:val="6FFB146E"/>
    <w:rsid w:val="6FFC3AA6"/>
    <w:rsid w:val="6FFF3B63"/>
    <w:rsid w:val="7006721D"/>
    <w:rsid w:val="70160742"/>
    <w:rsid w:val="7030610F"/>
    <w:rsid w:val="70612DB4"/>
    <w:rsid w:val="706516C3"/>
    <w:rsid w:val="70876EAC"/>
    <w:rsid w:val="70896E68"/>
    <w:rsid w:val="708A4844"/>
    <w:rsid w:val="70D84CBF"/>
    <w:rsid w:val="70E05E9D"/>
    <w:rsid w:val="71073061"/>
    <w:rsid w:val="711A201F"/>
    <w:rsid w:val="71396ACC"/>
    <w:rsid w:val="715B60E9"/>
    <w:rsid w:val="716F0EE9"/>
    <w:rsid w:val="718F7D0C"/>
    <w:rsid w:val="7196674D"/>
    <w:rsid w:val="71BB3492"/>
    <w:rsid w:val="71CD6D08"/>
    <w:rsid w:val="71EA1FED"/>
    <w:rsid w:val="71FB73F5"/>
    <w:rsid w:val="71FE4239"/>
    <w:rsid w:val="720505B6"/>
    <w:rsid w:val="72165C6B"/>
    <w:rsid w:val="722021E3"/>
    <w:rsid w:val="722C6DDA"/>
    <w:rsid w:val="722E0369"/>
    <w:rsid w:val="72345748"/>
    <w:rsid w:val="72517CEA"/>
    <w:rsid w:val="72802089"/>
    <w:rsid w:val="72E661B1"/>
    <w:rsid w:val="72F90C18"/>
    <w:rsid w:val="730313F6"/>
    <w:rsid w:val="730E4732"/>
    <w:rsid w:val="731E5F29"/>
    <w:rsid w:val="732A6AD8"/>
    <w:rsid w:val="73370D24"/>
    <w:rsid w:val="733E6DC5"/>
    <w:rsid w:val="73472C84"/>
    <w:rsid w:val="7359268C"/>
    <w:rsid w:val="7366631C"/>
    <w:rsid w:val="736C263C"/>
    <w:rsid w:val="73723640"/>
    <w:rsid w:val="73730B78"/>
    <w:rsid w:val="737311F5"/>
    <w:rsid w:val="73761585"/>
    <w:rsid w:val="739503EB"/>
    <w:rsid w:val="73A05B28"/>
    <w:rsid w:val="73C07D69"/>
    <w:rsid w:val="73DC335B"/>
    <w:rsid w:val="740B60EC"/>
    <w:rsid w:val="744C4A5B"/>
    <w:rsid w:val="74717AE5"/>
    <w:rsid w:val="74881E39"/>
    <w:rsid w:val="748B21CA"/>
    <w:rsid w:val="749E16A8"/>
    <w:rsid w:val="74A50A4B"/>
    <w:rsid w:val="74B42AE4"/>
    <w:rsid w:val="74C54993"/>
    <w:rsid w:val="750A429D"/>
    <w:rsid w:val="753D2D10"/>
    <w:rsid w:val="754400F8"/>
    <w:rsid w:val="75474B47"/>
    <w:rsid w:val="755D3A23"/>
    <w:rsid w:val="755E2214"/>
    <w:rsid w:val="75614792"/>
    <w:rsid w:val="75761866"/>
    <w:rsid w:val="75784473"/>
    <w:rsid w:val="7582466D"/>
    <w:rsid w:val="75B161B3"/>
    <w:rsid w:val="75C055BD"/>
    <w:rsid w:val="75C46B63"/>
    <w:rsid w:val="75DC6C44"/>
    <w:rsid w:val="762770AC"/>
    <w:rsid w:val="762F6A19"/>
    <w:rsid w:val="76341B33"/>
    <w:rsid w:val="76736B32"/>
    <w:rsid w:val="768811B6"/>
    <w:rsid w:val="76AF35EE"/>
    <w:rsid w:val="76C27A74"/>
    <w:rsid w:val="76D432B7"/>
    <w:rsid w:val="76E3765E"/>
    <w:rsid w:val="76EA03A1"/>
    <w:rsid w:val="76EC20A9"/>
    <w:rsid w:val="76FC2AFA"/>
    <w:rsid w:val="770B4AEB"/>
    <w:rsid w:val="774B4E00"/>
    <w:rsid w:val="77527424"/>
    <w:rsid w:val="77653671"/>
    <w:rsid w:val="778546CC"/>
    <w:rsid w:val="778B6B46"/>
    <w:rsid w:val="77A96931"/>
    <w:rsid w:val="77B105D5"/>
    <w:rsid w:val="77B551B3"/>
    <w:rsid w:val="77B56730"/>
    <w:rsid w:val="77B92EBE"/>
    <w:rsid w:val="77BF1E80"/>
    <w:rsid w:val="77C04A8B"/>
    <w:rsid w:val="77D85DB3"/>
    <w:rsid w:val="77EB1B74"/>
    <w:rsid w:val="782A3EA3"/>
    <w:rsid w:val="787A567D"/>
    <w:rsid w:val="78A50513"/>
    <w:rsid w:val="78D37FAF"/>
    <w:rsid w:val="78EF7AB5"/>
    <w:rsid w:val="790A4A06"/>
    <w:rsid w:val="790D6849"/>
    <w:rsid w:val="79252148"/>
    <w:rsid w:val="79356FA9"/>
    <w:rsid w:val="795767E3"/>
    <w:rsid w:val="79586707"/>
    <w:rsid w:val="796518DD"/>
    <w:rsid w:val="79724BEF"/>
    <w:rsid w:val="797264AC"/>
    <w:rsid w:val="799008E5"/>
    <w:rsid w:val="79AA0532"/>
    <w:rsid w:val="79AB2CDA"/>
    <w:rsid w:val="79C370A4"/>
    <w:rsid w:val="79D23A3D"/>
    <w:rsid w:val="79FE1DDD"/>
    <w:rsid w:val="7A075767"/>
    <w:rsid w:val="7A0C15B3"/>
    <w:rsid w:val="7A212062"/>
    <w:rsid w:val="7A2522C9"/>
    <w:rsid w:val="7A282A11"/>
    <w:rsid w:val="7A3A59B8"/>
    <w:rsid w:val="7A566842"/>
    <w:rsid w:val="7A5D0F75"/>
    <w:rsid w:val="7A715CD2"/>
    <w:rsid w:val="7A8965B3"/>
    <w:rsid w:val="7A921E9A"/>
    <w:rsid w:val="7AAA09A9"/>
    <w:rsid w:val="7ABF2475"/>
    <w:rsid w:val="7AC21562"/>
    <w:rsid w:val="7AD474A4"/>
    <w:rsid w:val="7AF55544"/>
    <w:rsid w:val="7AFC38DE"/>
    <w:rsid w:val="7B165244"/>
    <w:rsid w:val="7B217A1E"/>
    <w:rsid w:val="7B2965AD"/>
    <w:rsid w:val="7B303E8C"/>
    <w:rsid w:val="7B39121D"/>
    <w:rsid w:val="7B5A3E7E"/>
    <w:rsid w:val="7B865D50"/>
    <w:rsid w:val="7B87547C"/>
    <w:rsid w:val="7B8D34C3"/>
    <w:rsid w:val="7B971D84"/>
    <w:rsid w:val="7BAB0CB7"/>
    <w:rsid w:val="7BB4028F"/>
    <w:rsid w:val="7BD6383B"/>
    <w:rsid w:val="7BE031FB"/>
    <w:rsid w:val="7BE85BAB"/>
    <w:rsid w:val="7BF32F03"/>
    <w:rsid w:val="7BF50D2C"/>
    <w:rsid w:val="7C066F4E"/>
    <w:rsid w:val="7C1724A5"/>
    <w:rsid w:val="7C273CFF"/>
    <w:rsid w:val="7CA54112"/>
    <w:rsid w:val="7CA553D9"/>
    <w:rsid w:val="7CAB27F5"/>
    <w:rsid w:val="7CAF438A"/>
    <w:rsid w:val="7CCE726D"/>
    <w:rsid w:val="7CD71EA3"/>
    <w:rsid w:val="7CE50CE4"/>
    <w:rsid w:val="7CF877E9"/>
    <w:rsid w:val="7CFD1A9F"/>
    <w:rsid w:val="7D134762"/>
    <w:rsid w:val="7D2E5ABF"/>
    <w:rsid w:val="7D4A45B8"/>
    <w:rsid w:val="7E007625"/>
    <w:rsid w:val="7E044786"/>
    <w:rsid w:val="7E0737C8"/>
    <w:rsid w:val="7E131C51"/>
    <w:rsid w:val="7E176B90"/>
    <w:rsid w:val="7E2142A2"/>
    <w:rsid w:val="7E240411"/>
    <w:rsid w:val="7E5148A6"/>
    <w:rsid w:val="7E6A046F"/>
    <w:rsid w:val="7E797DE5"/>
    <w:rsid w:val="7E7B0BF2"/>
    <w:rsid w:val="7E8D75B6"/>
    <w:rsid w:val="7E8E672B"/>
    <w:rsid w:val="7EB16167"/>
    <w:rsid w:val="7EF760EE"/>
    <w:rsid w:val="7F193E37"/>
    <w:rsid w:val="7F2536B5"/>
    <w:rsid w:val="7F383117"/>
    <w:rsid w:val="7F485E64"/>
    <w:rsid w:val="7F5A01CA"/>
    <w:rsid w:val="7F5B0B7E"/>
    <w:rsid w:val="7FA01732"/>
    <w:rsid w:val="7FD7144C"/>
    <w:rsid w:val="7FDA27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5">
    <w:name w:val="heading 1"/>
    <w:basedOn w:val="1"/>
    <w:next w:val="1"/>
    <w:link w:val="77"/>
    <w:qFormat/>
    <w:uiPriority w:val="9"/>
    <w:pPr>
      <w:keepNext/>
      <w:keepLines/>
      <w:spacing w:before="340" w:after="330" w:line="576" w:lineRule="auto"/>
      <w:outlineLvl w:val="0"/>
    </w:pPr>
    <w:rPr>
      <w:b/>
      <w:kern w:val="44"/>
      <w:sz w:val="44"/>
    </w:rPr>
  </w:style>
  <w:style w:type="paragraph" w:styleId="6">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44"/>
    <w:unhideWhenUsed/>
    <w:qFormat/>
    <w:uiPriority w:val="9"/>
    <w:pPr>
      <w:keepNext/>
      <w:keepLines/>
      <w:spacing w:before="260" w:after="260" w:line="416" w:lineRule="auto"/>
      <w:outlineLvl w:val="2"/>
    </w:pPr>
    <w:rPr>
      <w:b/>
      <w:bCs/>
      <w:sz w:val="32"/>
      <w:szCs w:val="32"/>
    </w:rPr>
  </w:style>
  <w:style w:type="paragraph" w:styleId="8">
    <w:name w:val="heading 4"/>
    <w:basedOn w:val="1"/>
    <w:next w:val="1"/>
    <w:link w:val="46"/>
    <w:unhideWhenUsed/>
    <w:qFormat/>
    <w:uiPriority w:val="9"/>
    <w:pPr>
      <w:keepNext/>
      <w:keepLines/>
      <w:outlineLvl w:val="3"/>
    </w:pPr>
    <w:rPr>
      <w:rFonts w:asciiTheme="majorHAnsi" w:hAnsiTheme="majorHAnsi" w:cstheme="majorBidi"/>
      <w:b/>
      <w:bCs/>
      <w:sz w:val="24"/>
      <w:szCs w:val="28"/>
    </w:rPr>
  </w:style>
  <w:style w:type="paragraph" w:styleId="9">
    <w:name w:val="heading 5"/>
    <w:basedOn w:val="1"/>
    <w:next w:val="1"/>
    <w:link w:val="76"/>
    <w:semiHidden/>
    <w:unhideWhenUsed/>
    <w:qFormat/>
    <w:uiPriority w:val="9"/>
    <w:pPr>
      <w:keepNext/>
      <w:keepLines/>
      <w:spacing w:before="280" w:after="290" w:line="372" w:lineRule="auto"/>
      <w:outlineLvl w:val="4"/>
    </w:pPr>
    <w:rPr>
      <w:b/>
      <w:sz w:val="28"/>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left="0" w:leftChars="0" w:firstLine="420" w:firstLineChars="200"/>
    </w:pPr>
    <w:rPr>
      <w:rFonts w:ascii="Tahoma" w:hAnsi="Tahoma"/>
      <w:sz w:val="28"/>
    </w:rPr>
  </w:style>
  <w:style w:type="paragraph" w:styleId="3">
    <w:name w:val="Body Text Indent"/>
    <w:basedOn w:val="4"/>
    <w:qFormat/>
    <w:uiPriority w:val="0"/>
    <w:pPr>
      <w:ind w:left="359" w:leftChars="171" w:firstLine="179" w:firstLineChars="85"/>
    </w:pPr>
    <w:rPr>
      <w:rFonts w:ascii="宋体" w:hAnsi="宋体"/>
      <w:b/>
      <w:bCs/>
      <w:szCs w:val="26"/>
    </w:rPr>
  </w:style>
  <w:style w:type="paragraph" w:customStyle="1" w:styleId="4">
    <w:name w:val="Normal_7_0"/>
    <w:qFormat/>
    <w:uiPriority w:val="0"/>
    <w:pPr>
      <w:widowControl w:val="0"/>
      <w:jc w:val="both"/>
    </w:pPr>
    <w:rPr>
      <w:rFonts w:ascii="宋体" w:hAnsi="宋体" w:eastAsia="宋体" w:cs="宋体"/>
      <w:lang w:val="en-US" w:eastAsia="zh-CN" w:bidi="ar-SA"/>
    </w:rPr>
  </w:style>
  <w:style w:type="paragraph" w:styleId="10">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11">
    <w:name w:val="caption"/>
    <w:basedOn w:val="1"/>
    <w:next w:val="1"/>
    <w:qFormat/>
    <w:uiPriority w:val="0"/>
    <w:rPr>
      <w:rFonts w:ascii="Arial" w:hAnsi="Arial" w:eastAsia="黑体" w:cs="Arial"/>
      <w:sz w:val="20"/>
      <w:szCs w:val="20"/>
    </w:rPr>
  </w:style>
  <w:style w:type="paragraph" w:styleId="12">
    <w:name w:val="annotation text"/>
    <w:basedOn w:val="1"/>
    <w:link w:val="65"/>
    <w:unhideWhenUsed/>
    <w:qFormat/>
    <w:uiPriority w:val="99"/>
  </w:style>
  <w:style w:type="paragraph" w:styleId="13">
    <w:name w:val="Body Text"/>
    <w:basedOn w:val="1"/>
    <w:next w:val="1"/>
    <w:link w:val="68"/>
    <w:qFormat/>
    <w:uiPriority w:val="0"/>
    <w:pPr>
      <w:spacing w:before="161"/>
      <w:ind w:left="120"/>
    </w:pPr>
    <w:rPr>
      <w:rFonts w:ascii="宋体" w:hAnsi="宋体" w:cs="宋体"/>
      <w:sz w:val="24"/>
      <w:lang w:val="zh-CN" w:bidi="zh-CN"/>
    </w:rPr>
  </w:style>
  <w:style w:type="paragraph" w:styleId="14">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5">
    <w:name w:val="toc 3"/>
    <w:basedOn w:val="1"/>
    <w:next w:val="1"/>
    <w:unhideWhenUsed/>
    <w:qFormat/>
    <w:uiPriority w:val="39"/>
    <w:pPr>
      <w:tabs>
        <w:tab w:val="right" w:leader="dot" w:pos="8296"/>
      </w:tabs>
      <w:ind w:left="838" w:leftChars="381"/>
    </w:pPr>
    <w:rPr>
      <w:szCs w:val="21"/>
    </w:rPr>
  </w:style>
  <w:style w:type="paragraph" w:styleId="16">
    <w:name w:val="Plain Text"/>
    <w:basedOn w:val="1"/>
    <w:link w:val="57"/>
    <w:qFormat/>
    <w:uiPriority w:val="0"/>
    <w:pPr>
      <w:widowControl w:val="0"/>
      <w:adjustRightInd/>
      <w:snapToGrid/>
      <w:jc w:val="both"/>
    </w:pPr>
    <w:rPr>
      <w:rFonts w:ascii="宋体" w:hAnsi="Courier New" w:cs="Times New Roman"/>
      <w:b/>
      <w:kern w:val="2"/>
      <w:szCs w:val="20"/>
    </w:rPr>
  </w:style>
  <w:style w:type="paragraph" w:styleId="17">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8">
    <w:name w:val="Balloon Text"/>
    <w:basedOn w:val="1"/>
    <w:link w:val="60"/>
    <w:semiHidden/>
    <w:unhideWhenUsed/>
    <w:qFormat/>
    <w:uiPriority w:val="99"/>
    <w:rPr>
      <w:sz w:val="18"/>
      <w:szCs w:val="18"/>
    </w:rPr>
  </w:style>
  <w:style w:type="paragraph" w:styleId="19">
    <w:name w:val="footer"/>
    <w:basedOn w:val="1"/>
    <w:link w:val="59"/>
    <w:unhideWhenUsed/>
    <w:qFormat/>
    <w:uiPriority w:val="0"/>
    <w:pPr>
      <w:tabs>
        <w:tab w:val="center" w:pos="4153"/>
        <w:tab w:val="right" w:pos="8306"/>
      </w:tabs>
    </w:pPr>
    <w:rPr>
      <w:sz w:val="18"/>
      <w:szCs w:val="18"/>
    </w:rPr>
  </w:style>
  <w:style w:type="paragraph" w:styleId="20">
    <w:name w:val="header"/>
    <w:basedOn w:val="1"/>
    <w:link w:val="58"/>
    <w:unhideWhenUsed/>
    <w:qFormat/>
    <w:uiPriority w:val="0"/>
    <w:pPr>
      <w:pBdr>
        <w:bottom w:val="single" w:color="auto" w:sz="6" w:space="1"/>
      </w:pBdr>
      <w:tabs>
        <w:tab w:val="center" w:pos="4153"/>
        <w:tab w:val="right" w:pos="8306"/>
      </w:tabs>
      <w:jc w:val="center"/>
    </w:pPr>
    <w:rPr>
      <w:sz w:val="18"/>
      <w:szCs w:val="18"/>
    </w:rPr>
  </w:style>
  <w:style w:type="paragraph" w:styleId="21">
    <w:name w:val="toc 1"/>
    <w:basedOn w:val="1"/>
    <w:next w:val="1"/>
    <w:unhideWhenUsed/>
    <w:qFormat/>
    <w:uiPriority w:val="39"/>
  </w:style>
  <w:style w:type="paragraph" w:styleId="22">
    <w:name w:val="toc 4"/>
    <w:basedOn w:val="1"/>
    <w:next w:val="1"/>
    <w:unhideWhenUsed/>
    <w:qFormat/>
    <w:uiPriority w:val="39"/>
    <w:pPr>
      <w:tabs>
        <w:tab w:val="right" w:leader="dot" w:pos="8296"/>
      </w:tabs>
      <w:spacing w:after="120"/>
      <w:ind w:left="1320" w:leftChars="600"/>
    </w:pPr>
  </w:style>
  <w:style w:type="paragraph" w:styleId="23">
    <w:name w:val="footnote text"/>
    <w:basedOn w:val="1"/>
    <w:semiHidden/>
    <w:unhideWhenUsed/>
    <w:qFormat/>
    <w:uiPriority w:val="99"/>
    <w:rPr>
      <w:sz w:val="18"/>
    </w:rPr>
  </w:style>
  <w:style w:type="paragraph" w:styleId="24">
    <w:name w:val="toc 6"/>
    <w:basedOn w:val="1"/>
    <w:next w:val="1"/>
    <w:qFormat/>
    <w:uiPriority w:val="39"/>
    <w:pPr>
      <w:ind w:left="1200"/>
    </w:pPr>
    <w:rPr>
      <w:rFonts w:ascii="Calibri" w:cs="Calibri"/>
      <w:sz w:val="18"/>
      <w:szCs w:val="18"/>
    </w:rPr>
  </w:style>
  <w:style w:type="paragraph" w:styleId="25">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6">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7">
    <w:name w:val="Normal (Web)"/>
    <w:basedOn w:val="1"/>
    <w:link w:val="62"/>
    <w:qFormat/>
    <w:uiPriority w:val="0"/>
    <w:pPr>
      <w:widowControl w:val="0"/>
      <w:adjustRightInd/>
      <w:snapToGrid/>
      <w:jc w:val="both"/>
    </w:pPr>
    <w:rPr>
      <w:rFonts w:asciiTheme="minorHAnsi" w:hAnsiTheme="minorHAnsi"/>
      <w:kern w:val="2"/>
      <w:sz w:val="24"/>
      <w:szCs w:val="24"/>
    </w:rPr>
  </w:style>
  <w:style w:type="paragraph" w:styleId="28">
    <w:name w:val="annotation subject"/>
    <w:basedOn w:val="12"/>
    <w:next w:val="12"/>
    <w:link w:val="66"/>
    <w:semiHidden/>
    <w:unhideWhenUsed/>
    <w:qFormat/>
    <w:uiPriority w:val="99"/>
    <w:rPr>
      <w:b/>
      <w:bCs/>
    </w:rPr>
  </w:style>
  <w:style w:type="table" w:styleId="30">
    <w:name w:val="Table Grid"/>
    <w:basedOn w:val="2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22"/>
    <w:rPr>
      <w:b/>
    </w:rPr>
  </w:style>
  <w:style w:type="character" w:styleId="33">
    <w:name w:val="page number"/>
    <w:basedOn w:val="31"/>
    <w:qFormat/>
    <w:uiPriority w:val="0"/>
  </w:style>
  <w:style w:type="character" w:styleId="34">
    <w:name w:val="Emphasis"/>
    <w:basedOn w:val="31"/>
    <w:qFormat/>
    <w:uiPriority w:val="20"/>
    <w:rPr>
      <w:i/>
      <w:iCs/>
    </w:rPr>
  </w:style>
  <w:style w:type="character" w:styleId="35">
    <w:name w:val="Hyperlink"/>
    <w:qFormat/>
    <w:uiPriority w:val="99"/>
    <w:rPr>
      <w:rFonts w:hint="eastAsia" w:ascii="宋体" w:hAnsi="宋体" w:eastAsia="宋体" w:cs="宋体"/>
      <w:b/>
      <w:color w:val="0031C1"/>
      <w:kern w:val="0"/>
      <w:sz w:val="18"/>
      <w:szCs w:val="18"/>
      <w:u w:val="none"/>
      <w:lang w:eastAsia="en-US"/>
    </w:rPr>
  </w:style>
  <w:style w:type="character" w:styleId="36">
    <w:name w:val="annotation reference"/>
    <w:basedOn w:val="31"/>
    <w:semiHidden/>
    <w:unhideWhenUsed/>
    <w:qFormat/>
    <w:uiPriority w:val="99"/>
    <w:rPr>
      <w:sz w:val="21"/>
      <w:szCs w:val="21"/>
    </w:rPr>
  </w:style>
  <w:style w:type="character" w:styleId="37">
    <w:name w:val="footnote reference"/>
    <w:basedOn w:val="31"/>
    <w:semiHidden/>
    <w:unhideWhenUsed/>
    <w:qFormat/>
    <w:uiPriority w:val="99"/>
    <w:rPr>
      <w:vertAlign w:val="superscript"/>
    </w:rPr>
  </w:style>
  <w:style w:type="paragraph" w:customStyle="1" w:styleId="38">
    <w:name w:val="Body Text First Indent"/>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39">
    <w:name w:val="正文文本首行缩进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0">
    <w:name w:val="Body Text First Indent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1">
    <w:name w:val="样式 正文首行缩进 + 首行缩进:  1 字符"/>
    <w:basedOn w:val="1"/>
    <w:next w:val="1"/>
    <w:qFormat/>
    <w:uiPriority w:val="0"/>
    <w:pPr>
      <w:ind w:firstLine="200" w:firstLineChars="200"/>
    </w:pPr>
    <w:rPr>
      <w:rFonts w:cs="宋体"/>
      <w:szCs w:val="20"/>
    </w:rPr>
  </w:style>
  <w:style w:type="paragraph" w:customStyle="1" w:styleId="42">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3">
    <w:name w:val="标题 2 字符"/>
    <w:basedOn w:val="31"/>
    <w:link w:val="6"/>
    <w:qFormat/>
    <w:uiPriority w:val="9"/>
    <w:rPr>
      <w:rFonts w:asciiTheme="majorHAnsi" w:hAnsiTheme="majorHAnsi" w:eastAsiaTheme="majorEastAsia" w:cstheme="majorBidi"/>
      <w:b/>
      <w:bCs/>
      <w:sz w:val="32"/>
      <w:szCs w:val="32"/>
    </w:rPr>
  </w:style>
  <w:style w:type="character" w:customStyle="1" w:styleId="44">
    <w:name w:val="标题 3 字符"/>
    <w:basedOn w:val="31"/>
    <w:link w:val="7"/>
    <w:qFormat/>
    <w:uiPriority w:val="9"/>
    <w:rPr>
      <w:rFonts w:ascii="Tahoma" w:hAnsi="Tahoma"/>
      <w:b/>
      <w:bCs/>
      <w:sz w:val="32"/>
      <w:szCs w:val="32"/>
    </w:rPr>
  </w:style>
  <w:style w:type="paragraph" w:styleId="45">
    <w:name w:val="List Paragraph"/>
    <w:basedOn w:val="1"/>
    <w:link w:val="67"/>
    <w:qFormat/>
    <w:uiPriority w:val="0"/>
    <w:pPr>
      <w:ind w:firstLine="420" w:firstLineChars="200"/>
    </w:pPr>
  </w:style>
  <w:style w:type="character" w:customStyle="1" w:styleId="46">
    <w:name w:val="标题 4 字符"/>
    <w:basedOn w:val="31"/>
    <w:link w:val="8"/>
    <w:qFormat/>
    <w:uiPriority w:val="9"/>
    <w:rPr>
      <w:rFonts w:eastAsia="宋体" w:asciiTheme="majorHAnsi" w:hAnsiTheme="majorHAnsi" w:cstheme="majorBidi"/>
      <w:b/>
      <w:bCs/>
      <w:sz w:val="24"/>
      <w:szCs w:val="28"/>
    </w:rPr>
  </w:style>
  <w:style w:type="character" w:customStyle="1" w:styleId="47">
    <w:name w:val="正文缩进2格 Char"/>
    <w:link w:val="48"/>
    <w:qFormat/>
    <w:uiPriority w:val="0"/>
    <w:rPr>
      <w:rFonts w:ascii="仿宋_GB2312" w:hAnsi="宋体" w:eastAsia="仿宋_GB2312"/>
      <w:kern w:val="2"/>
      <w:sz w:val="31"/>
    </w:rPr>
  </w:style>
  <w:style w:type="paragraph" w:customStyle="1" w:styleId="48">
    <w:name w:val="正文缩进2格"/>
    <w:basedOn w:val="1"/>
    <w:link w:val="47"/>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9">
    <w:name w:val="正文缩进4格"/>
    <w:basedOn w:val="48"/>
    <w:qFormat/>
    <w:uiPriority w:val="0"/>
    <w:pPr>
      <w:ind w:left="2" w:firstLine="538" w:firstLineChars="192"/>
    </w:pPr>
    <w:rPr>
      <w:color w:val="0000FF"/>
      <w:sz w:val="28"/>
    </w:rPr>
  </w:style>
  <w:style w:type="character" w:customStyle="1" w:styleId="50">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51">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2">
    <w:name w:val="标题1"/>
    <w:qFormat/>
    <w:uiPriority w:val="0"/>
    <w:rPr>
      <w:rFonts w:ascii="Times New Roman" w:hAnsi="Times New Roman" w:eastAsia="宋体" w:cs="Times New Roman"/>
      <w:b/>
      <w:kern w:val="0"/>
      <w:sz w:val="24"/>
      <w:szCs w:val="20"/>
      <w:lang w:eastAsia="en-US"/>
    </w:rPr>
  </w:style>
  <w:style w:type="character" w:customStyle="1" w:styleId="53">
    <w:name w:val="标题 3.1 Char"/>
    <w:link w:val="54"/>
    <w:qFormat/>
    <w:uiPriority w:val="0"/>
    <w:rPr>
      <w:rFonts w:ascii="宋体" w:hAnsi="宋体" w:eastAsia="宋体"/>
      <w:b/>
      <w:color w:val="FF0000"/>
      <w:kern w:val="2"/>
      <w:sz w:val="32"/>
    </w:rPr>
  </w:style>
  <w:style w:type="paragraph" w:customStyle="1" w:styleId="54">
    <w:name w:val="标题 3.1"/>
    <w:basedOn w:val="7"/>
    <w:link w:val="53"/>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5">
    <w:name w:val="样式 楷体_GB2312 小四"/>
    <w:qFormat/>
    <w:uiPriority w:val="0"/>
    <w:rPr>
      <w:rFonts w:ascii="楷体_GB2312" w:hAnsi="楷体_GB2312" w:eastAsia="仿宋_GB2312"/>
      <w:sz w:val="24"/>
    </w:rPr>
  </w:style>
  <w:style w:type="character" w:customStyle="1" w:styleId="56">
    <w:name w:val="纯文本 Char"/>
    <w:qFormat/>
    <w:uiPriority w:val="0"/>
    <w:rPr>
      <w:rFonts w:ascii="宋体" w:hAnsi="Courier New" w:eastAsia="宋体" w:cs="Times New Roman"/>
      <w:b/>
      <w:kern w:val="2"/>
      <w:sz w:val="21"/>
      <w:szCs w:val="20"/>
    </w:rPr>
  </w:style>
  <w:style w:type="character" w:customStyle="1" w:styleId="57">
    <w:name w:val="纯文本 字符"/>
    <w:basedOn w:val="31"/>
    <w:link w:val="16"/>
    <w:semiHidden/>
    <w:qFormat/>
    <w:uiPriority w:val="99"/>
    <w:rPr>
      <w:rFonts w:ascii="宋体" w:hAnsi="Courier New" w:eastAsia="宋体" w:cs="Courier New"/>
      <w:sz w:val="21"/>
      <w:szCs w:val="21"/>
    </w:rPr>
  </w:style>
  <w:style w:type="character" w:customStyle="1" w:styleId="58">
    <w:name w:val="页眉 字符"/>
    <w:basedOn w:val="31"/>
    <w:link w:val="20"/>
    <w:qFormat/>
    <w:uiPriority w:val="99"/>
    <w:rPr>
      <w:rFonts w:ascii="Tahoma" w:hAnsi="Tahoma"/>
      <w:sz w:val="18"/>
      <w:szCs w:val="18"/>
    </w:rPr>
  </w:style>
  <w:style w:type="character" w:customStyle="1" w:styleId="59">
    <w:name w:val="页脚 字符"/>
    <w:basedOn w:val="31"/>
    <w:link w:val="19"/>
    <w:qFormat/>
    <w:uiPriority w:val="99"/>
    <w:rPr>
      <w:rFonts w:ascii="Tahoma" w:hAnsi="Tahoma"/>
      <w:sz w:val="18"/>
      <w:szCs w:val="18"/>
    </w:rPr>
  </w:style>
  <w:style w:type="character" w:customStyle="1" w:styleId="60">
    <w:name w:val="批注框文本 字符"/>
    <w:basedOn w:val="31"/>
    <w:link w:val="18"/>
    <w:semiHidden/>
    <w:qFormat/>
    <w:uiPriority w:val="99"/>
    <w:rPr>
      <w:rFonts w:ascii="Tahoma" w:hAnsi="Tahoma"/>
      <w:sz w:val="18"/>
      <w:szCs w:val="18"/>
    </w:rPr>
  </w:style>
  <w:style w:type="paragraph" w:customStyle="1" w:styleId="61">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2">
    <w:name w:val="普通(网站) 字符"/>
    <w:link w:val="27"/>
    <w:qFormat/>
    <w:uiPriority w:val="0"/>
    <w:rPr>
      <w:rFonts w:eastAsia="宋体"/>
      <w:kern w:val="2"/>
      <w:sz w:val="24"/>
      <w:szCs w:val="24"/>
    </w:rPr>
  </w:style>
  <w:style w:type="paragraph" w:customStyle="1" w:styleId="63">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4">
    <w:name w:val="p141"/>
    <w:qFormat/>
    <w:uiPriority w:val="0"/>
    <w:rPr>
      <w:sz w:val="21"/>
      <w:szCs w:val="21"/>
    </w:rPr>
  </w:style>
  <w:style w:type="character" w:customStyle="1" w:styleId="65">
    <w:name w:val="批注文字 字符"/>
    <w:basedOn w:val="31"/>
    <w:link w:val="12"/>
    <w:qFormat/>
    <w:uiPriority w:val="99"/>
    <w:rPr>
      <w:rFonts w:ascii="Tahoma" w:hAnsi="Tahoma" w:eastAsia="微软雅黑" w:cstheme="minorBidi"/>
      <w:sz w:val="22"/>
      <w:szCs w:val="22"/>
    </w:rPr>
  </w:style>
  <w:style w:type="character" w:customStyle="1" w:styleId="66">
    <w:name w:val="批注主题 字符"/>
    <w:basedOn w:val="65"/>
    <w:link w:val="28"/>
    <w:semiHidden/>
    <w:qFormat/>
    <w:uiPriority w:val="99"/>
    <w:rPr>
      <w:rFonts w:ascii="Tahoma" w:hAnsi="Tahoma" w:eastAsia="微软雅黑" w:cstheme="minorBidi"/>
      <w:b/>
      <w:bCs/>
      <w:sz w:val="22"/>
      <w:szCs w:val="22"/>
    </w:rPr>
  </w:style>
  <w:style w:type="character" w:customStyle="1" w:styleId="67">
    <w:name w:val="列表段落 字符"/>
    <w:link w:val="45"/>
    <w:qFormat/>
    <w:uiPriority w:val="0"/>
    <w:rPr>
      <w:rFonts w:ascii="Tahoma" w:hAnsi="Tahoma" w:eastAsia="微软雅黑" w:cstheme="minorBidi"/>
      <w:sz w:val="22"/>
      <w:szCs w:val="22"/>
    </w:rPr>
  </w:style>
  <w:style w:type="character" w:customStyle="1" w:styleId="68">
    <w:name w:val="正文文本 字符"/>
    <w:basedOn w:val="31"/>
    <w:link w:val="13"/>
    <w:qFormat/>
    <w:uiPriority w:val="1"/>
    <w:rPr>
      <w:rFonts w:ascii="宋体" w:hAnsi="宋体" w:cs="宋体"/>
      <w:sz w:val="24"/>
      <w:szCs w:val="22"/>
      <w:lang w:val="zh-CN" w:bidi="zh-CN"/>
    </w:rPr>
  </w:style>
  <w:style w:type="paragraph" w:customStyle="1" w:styleId="6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0">
    <w:name w:val="_Style 1"/>
    <w:basedOn w:val="1"/>
    <w:qFormat/>
    <w:uiPriority w:val="0"/>
    <w:pPr>
      <w:ind w:firstLine="420" w:firstLineChars="200"/>
    </w:pPr>
  </w:style>
  <w:style w:type="paragraph" w:customStyle="1" w:styleId="71">
    <w:name w:val="列出段落2"/>
    <w:basedOn w:val="1"/>
    <w:qFormat/>
    <w:uiPriority w:val="0"/>
    <w:pPr>
      <w:ind w:firstLine="420" w:firstLineChars="200"/>
    </w:pPr>
  </w:style>
  <w:style w:type="paragraph" w:customStyle="1" w:styleId="72">
    <w:name w:val="p0"/>
    <w:basedOn w:val="1"/>
    <w:qFormat/>
    <w:uiPriority w:val="0"/>
    <w:rPr>
      <w:szCs w:val="21"/>
    </w:rPr>
  </w:style>
  <w:style w:type="paragraph" w:customStyle="1" w:styleId="73">
    <w:name w:val="正文文本缩进 21"/>
    <w:basedOn w:val="1"/>
    <w:qFormat/>
    <w:uiPriority w:val="0"/>
    <w:pPr>
      <w:spacing w:line="480" w:lineRule="auto"/>
      <w:ind w:firstLine="540"/>
    </w:pPr>
    <w:rPr>
      <w:rFonts w:ascii="Calibri" w:hAnsi="Calibri"/>
      <w:sz w:val="20"/>
      <w:szCs w:val="20"/>
    </w:rPr>
  </w:style>
  <w:style w:type="paragraph" w:customStyle="1" w:styleId="74">
    <w:name w:val="_Style 2"/>
    <w:basedOn w:val="1"/>
    <w:qFormat/>
    <w:uiPriority w:val="0"/>
    <w:pPr>
      <w:ind w:firstLine="420" w:firstLineChars="200"/>
    </w:pPr>
  </w:style>
  <w:style w:type="paragraph" w:customStyle="1" w:styleId="75">
    <w:name w:val="msolistparagraph"/>
    <w:basedOn w:val="1"/>
    <w:qFormat/>
    <w:uiPriority w:val="0"/>
    <w:pPr>
      <w:ind w:firstLine="420" w:firstLineChars="200"/>
    </w:pPr>
    <w:rPr>
      <w:rFonts w:hint="eastAsia" w:hAnsi="宋体"/>
    </w:rPr>
  </w:style>
  <w:style w:type="character" w:customStyle="1" w:styleId="76">
    <w:name w:val="标题 5 字符"/>
    <w:link w:val="9"/>
    <w:qFormat/>
    <w:uiPriority w:val="0"/>
    <w:rPr>
      <w:b/>
      <w:sz w:val="28"/>
    </w:rPr>
  </w:style>
  <w:style w:type="character" w:customStyle="1" w:styleId="77">
    <w:name w:val="标题 1 字符"/>
    <w:link w:val="5"/>
    <w:qFormat/>
    <w:uiPriority w:val="9"/>
    <w:rPr>
      <w:b/>
      <w:kern w:val="44"/>
      <w:sz w:val="44"/>
    </w:rPr>
  </w:style>
  <w:style w:type="paragraph" w:customStyle="1" w:styleId="78">
    <w:name w:val="修订1"/>
    <w:hidden/>
    <w:semiHidden/>
    <w:qFormat/>
    <w:uiPriority w:val="99"/>
    <w:rPr>
      <w:rFonts w:ascii="Tahoma" w:hAnsi="Tahoma" w:eastAsia="宋体" w:cstheme="minorBidi"/>
      <w:sz w:val="21"/>
      <w:szCs w:val="22"/>
      <w:lang w:val="en-US" w:eastAsia="zh-CN" w:bidi="ar-SA"/>
    </w:rPr>
  </w:style>
  <w:style w:type="paragraph" w:customStyle="1" w:styleId="79">
    <w:name w:val="表格文字"/>
    <w:basedOn w:val="1"/>
    <w:qFormat/>
    <w:uiPriority w:val="0"/>
    <w:pPr>
      <w:adjustRightInd/>
      <w:spacing w:before="25" w:after="25"/>
    </w:pPr>
    <w:rPr>
      <w:rFonts w:ascii="Times New Roman"/>
      <w:bCs/>
      <w:spacing w:val="10"/>
      <w:szCs w:val="20"/>
    </w:rPr>
  </w:style>
  <w:style w:type="paragraph" w:customStyle="1" w:styleId="80">
    <w:name w:val="纯文本1"/>
    <w:basedOn w:val="81"/>
    <w:qFormat/>
    <w:uiPriority w:val="0"/>
    <w:rPr>
      <w:rFonts w:ascii="宋体" w:hAnsi="Courier New"/>
      <w:szCs w:val="20"/>
    </w:rPr>
  </w:style>
  <w:style w:type="paragraph" w:customStyle="1" w:styleId="81">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2">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3">
    <w:name w:val="Table Normal"/>
    <w:unhideWhenUsed/>
    <w:qFormat/>
    <w:uiPriority w:val="2"/>
    <w:tblPr>
      <w:tblCellMar>
        <w:top w:w="0" w:type="dxa"/>
        <w:left w:w="0" w:type="dxa"/>
        <w:bottom w:w="0" w:type="dxa"/>
        <w:right w:w="0" w:type="dxa"/>
      </w:tblCellMar>
    </w:tblPr>
  </w:style>
  <w:style w:type="paragraph" w:customStyle="1" w:styleId="84">
    <w:name w:val="Table Paragraph"/>
    <w:basedOn w:val="1"/>
    <w:qFormat/>
    <w:uiPriority w:val="1"/>
  </w:style>
  <w:style w:type="paragraph" w:customStyle="1" w:styleId="85">
    <w:name w:val="正文文本缩进1"/>
    <w:basedOn w:val="81"/>
    <w:qFormat/>
    <w:uiPriority w:val="0"/>
    <w:pPr>
      <w:spacing w:after="120"/>
      <w:ind w:left="420" w:leftChars="200"/>
    </w:pPr>
  </w:style>
  <w:style w:type="paragraph" w:customStyle="1" w:styleId="86">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7">
    <w:name w:val="纯文本2"/>
    <w:basedOn w:val="81"/>
    <w:qFormat/>
    <w:uiPriority w:val="0"/>
    <w:rPr>
      <w:rFonts w:ascii="宋体" w:hAnsi="Courier New"/>
      <w:szCs w:val="20"/>
    </w:rPr>
  </w:style>
  <w:style w:type="character" w:customStyle="1" w:styleId="88">
    <w:name w:val="font141"/>
    <w:qFormat/>
    <w:uiPriority w:val="0"/>
    <w:rPr>
      <w:rFonts w:hint="default" w:ascii="Times New Roman" w:hAnsi="Times New Roman" w:cs="Times New Roman"/>
      <w:color w:val="000000"/>
      <w:sz w:val="18"/>
      <w:szCs w:val="18"/>
      <w:u w:val="none"/>
    </w:rPr>
  </w:style>
  <w:style w:type="character" w:customStyle="1" w:styleId="89">
    <w:name w:val="font71"/>
    <w:qFormat/>
    <w:uiPriority w:val="0"/>
    <w:rPr>
      <w:rFonts w:hint="eastAsia" w:ascii="宋体" w:hAnsi="宋体" w:eastAsia="宋体" w:cs="宋体"/>
      <w:color w:val="000000"/>
      <w:sz w:val="18"/>
      <w:szCs w:val="18"/>
      <w:u w:val="none"/>
    </w:rPr>
  </w:style>
  <w:style w:type="paragraph" w:customStyle="1" w:styleId="90">
    <w:name w:val="table"/>
    <w:qFormat/>
    <w:uiPriority w:val="0"/>
    <w:pPr>
      <w:adjustRightInd w:val="0"/>
      <w:snapToGrid w:val="0"/>
    </w:pPr>
    <w:rPr>
      <w:rFonts w:ascii="宋体" w:hAnsi="Calibri" w:eastAsia="宋体" w:cs="Times New Roman"/>
      <w:kern w:val="2"/>
      <w:sz w:val="24"/>
      <w:szCs w:val="22"/>
      <w:lang w:val="en-US" w:eastAsia="zh-CN" w:bidi="ar-SA"/>
    </w:rPr>
  </w:style>
  <w:style w:type="paragraph" w:customStyle="1" w:styleId="91">
    <w:name w:val="修订2"/>
    <w:hidden/>
    <w:unhideWhenUsed/>
    <w:qFormat/>
    <w:uiPriority w:val="99"/>
    <w:rPr>
      <w:rFonts w:ascii="Tahoma" w:hAnsi="Tahoma" w:eastAsia="宋体" w:cstheme="minorBidi"/>
      <w:sz w:val="21"/>
      <w:szCs w:val="22"/>
      <w:lang w:val="en-US" w:eastAsia="zh-CN" w:bidi="ar-SA"/>
    </w:rPr>
  </w:style>
  <w:style w:type="paragraph" w:customStyle="1" w:styleId="92">
    <w:name w:val="修订3"/>
    <w:hidden/>
    <w:unhideWhenUsed/>
    <w:qFormat/>
    <w:uiPriority w:val="99"/>
    <w:rPr>
      <w:rFonts w:ascii="Tahoma" w:hAnsi="Tahoma" w:eastAsia="宋体" w:cstheme="minorBidi"/>
      <w:sz w:val="21"/>
      <w:szCs w:val="22"/>
      <w:lang w:val="en-US" w:eastAsia="zh-CN" w:bidi="ar-SA"/>
    </w:rPr>
  </w:style>
  <w:style w:type="paragraph" w:customStyle="1" w:styleId="93">
    <w:name w:val="修订4"/>
    <w:hidden/>
    <w:unhideWhenUsed/>
    <w:qFormat/>
    <w:uiPriority w:val="99"/>
    <w:rPr>
      <w:rFonts w:ascii="Tahoma" w:hAnsi="Tahoma" w:eastAsia="宋体" w:cstheme="minorBidi"/>
      <w:sz w:val="21"/>
      <w:szCs w:val="22"/>
      <w:lang w:val="en-US" w:eastAsia="zh-CN" w:bidi="ar-SA"/>
    </w:rPr>
  </w:style>
  <w:style w:type="character" w:customStyle="1" w:styleId="94">
    <w:name w:val="未处理的提及1"/>
    <w:basedOn w:val="31"/>
    <w:semiHidden/>
    <w:unhideWhenUsed/>
    <w:qFormat/>
    <w:uiPriority w:val="99"/>
    <w:rPr>
      <w:color w:val="605E5C"/>
      <w:shd w:val="clear" w:color="auto" w:fill="E1DFDD"/>
    </w:rPr>
  </w:style>
  <w:style w:type="character" w:styleId="95">
    <w:name w:val="Placeholder Text"/>
    <w:basedOn w:val="31"/>
    <w:unhideWhenUsed/>
    <w:qFormat/>
    <w:uiPriority w:val="99"/>
    <w:rPr>
      <w:color w:val="666666"/>
    </w:rPr>
  </w:style>
  <w:style w:type="character" w:customStyle="1" w:styleId="96">
    <w:name w:val="Unresolved Mention"/>
    <w:basedOn w:val="31"/>
    <w:semiHidden/>
    <w:unhideWhenUsed/>
    <w:qFormat/>
    <w:uiPriority w:val="99"/>
    <w:rPr>
      <w:color w:val="605E5C"/>
      <w:shd w:val="clear" w:color="auto" w:fill="E1DFDD"/>
    </w:rPr>
  </w:style>
  <w:style w:type="paragraph" w:customStyle="1" w:styleId="97">
    <w:name w:val="Revision"/>
    <w:hidden/>
    <w:unhideWhenUsed/>
    <w:qFormat/>
    <w:uiPriority w:val="99"/>
    <w:rPr>
      <w:rFonts w:ascii="Tahoma" w:hAnsi="Tahoma" w:eastAsia="宋体" w:cstheme="minorBidi"/>
      <w:sz w:val="21"/>
      <w:szCs w:val="22"/>
      <w:lang w:val="en-US" w:eastAsia="zh-CN" w:bidi="ar-SA"/>
    </w:rPr>
  </w:style>
  <w:style w:type="paragraph" w:customStyle="1" w:styleId="98">
    <w:name w:val="正文文本首行缩进2"/>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99">
    <w:name w:val="B"/>
    <w:basedOn w:val="100"/>
    <w:qFormat/>
    <w:uiPriority w:val="0"/>
    <w:pPr>
      <w:widowControl w:val="0"/>
      <w:tabs>
        <w:tab w:val="center" w:pos="4706"/>
        <w:tab w:val="right" w:pos="9044"/>
      </w:tabs>
      <w:topLinePunct/>
      <w:spacing w:before="160" w:after="60" w:line="312" w:lineRule="exact"/>
    </w:pPr>
    <w:rPr>
      <w:rFonts w:ascii="E-F1"/>
      <w:kern w:val="2"/>
    </w:rPr>
  </w:style>
  <w:style w:type="paragraph" w:customStyle="1" w:styleId="100">
    <w:name w:val="表头"/>
    <w:basedOn w:val="11"/>
    <w:qFormat/>
    <w:uiPriority w:val="0"/>
    <w:pPr>
      <w:keepNext/>
      <w:keepLines/>
      <w:spacing w:before="120" w:after="120" w:line="300" w:lineRule="auto"/>
      <w:jc w:val="center"/>
      <w:textAlignment w:val="baseline"/>
    </w:pPr>
    <w:rPr>
      <w:rFonts w:cs="Times New Roman"/>
      <w:sz w:val="21"/>
    </w:rPr>
  </w:style>
  <w:style w:type="paragraph" w:customStyle="1" w:styleId="101">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character" w:customStyle="1" w:styleId="102">
    <w:name w:val="D2 Char Char"/>
    <w:link w:val="103"/>
    <w:qFormat/>
    <w:uiPriority w:val="0"/>
    <w:rPr>
      <w:sz w:val="20"/>
      <w:szCs w:val="20"/>
    </w:rPr>
  </w:style>
  <w:style w:type="paragraph" w:customStyle="1" w:styleId="103">
    <w:name w:val="D2"/>
    <w:basedOn w:val="1"/>
    <w:link w:val="102"/>
    <w:qFormat/>
    <w:uiPriority w:val="0"/>
    <w:pPr>
      <w:widowControl w:val="0"/>
      <w:spacing w:line="312" w:lineRule="exact"/>
      <w:jc w:val="both"/>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image" Target="media/image2.emf"/><Relationship Id="rId18" Type="http://schemas.openxmlformats.org/officeDocument/2006/relationships/oleObject" Target="embeddings/oleObject1.bin"/><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header" Target="header2.xml"/><Relationship Id="rId12" Type="http://schemas.openxmlformats.org/officeDocument/2006/relationships/header" Target="header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94</Pages>
  <Words>1103</Words>
  <Characters>1324</Characters>
  <Lines>1</Lines>
  <Paragraphs>1</Paragraphs>
  <TotalTime>0</TotalTime>
  <ScaleCrop>false</ScaleCrop>
  <LinksUpToDate>false</LinksUpToDate>
  <CharactersWithSpaces>1425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2024-10-24T06:40:00Z</dcterms:created>
  <dc:creator>MyPC</dc:creator>
  <cp:lastModifiedBy>Icecream</cp:lastModifiedBy>
  <cp:lastPrinted>2022-12-01T06:09:00Z</cp:lastPrinted>
  <dcterms:modified xsi:type="dcterms:W3CDTF">2025-12-30T02:18:10Z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6DEB7839BB454BE48140F9B4B213F3CF_13</vt:lpwstr>
  </property>
  <property fmtid="{D5CDD505-2E9C-101B-9397-08002B2CF9AE}" pid="4" name="KSOTemplateDocerSaveRecord">
    <vt:lpwstr>eyJoZGlkIjoiMjA3ODQ0Zjk5MTc3OWJiYmUyZTM2NjllYTAzNzZlNTAiLCJ1c2VySWQiOiIyODI2MTk1NTAifQ==</vt:lpwstr>
  </property>
</Properties>
</file>