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DB49F1">
      <w:pPr>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rPr>
        <w:t>询价文件</w:t>
      </w:r>
    </w:p>
    <w:p w14:paraId="15E94C1F">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吐鲁番开能环保能源有限公司</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运输服务</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344F3E5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23E13EF9">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吐鲁番开能环保能源有限公司20</w:t>
      </w:r>
      <w:r>
        <w:rPr>
          <w:rFonts w:hint="eastAsia" w:eastAsia="仿宋_GB2312"/>
          <w:color w:val="auto"/>
          <w:sz w:val="32"/>
          <w:szCs w:val="32"/>
          <w:highlight w:val="none"/>
          <w:u w:val="single"/>
          <w:lang w:val="en-US" w:eastAsia="zh-CN"/>
        </w:rPr>
        <w:t>26</w:t>
      </w:r>
      <w:r>
        <w:rPr>
          <w:rFonts w:hint="eastAsia" w:eastAsia="仿宋_GB2312"/>
          <w:color w:val="auto"/>
          <w:sz w:val="32"/>
          <w:szCs w:val="32"/>
          <w:highlight w:val="none"/>
          <w:u w:val="single"/>
        </w:rPr>
        <w:t>-202</w:t>
      </w:r>
      <w:r>
        <w:rPr>
          <w:rFonts w:hint="eastAsia" w:eastAsia="仿宋_GB2312"/>
          <w:color w:val="auto"/>
          <w:sz w:val="32"/>
          <w:szCs w:val="32"/>
          <w:highlight w:val="none"/>
          <w:u w:val="single"/>
          <w:lang w:val="en-US" w:eastAsia="zh-CN"/>
        </w:rPr>
        <w:t>7</w:t>
      </w:r>
      <w:r>
        <w:rPr>
          <w:rFonts w:hint="eastAsia" w:eastAsia="仿宋_GB2312"/>
          <w:color w:val="auto"/>
          <w:sz w:val="32"/>
          <w:szCs w:val="32"/>
          <w:highlight w:val="none"/>
          <w:u w:val="single"/>
        </w:rPr>
        <w:t>年燃料及粉煤灰材料运输</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采购项目编号：TLFKN（2025）-FW-003</w:t>
      </w:r>
      <w:r>
        <w:rPr>
          <w:rFonts w:hint="eastAsia" w:eastAsia="仿宋_GB2312"/>
          <w:color w:val="auto"/>
          <w:sz w:val="32"/>
          <w:szCs w:val="32"/>
          <w:highlight w:val="none"/>
          <w:u w:val="single"/>
          <w:lang w:eastAsia="zh-CN"/>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0E22ADEF">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吐鲁番开能环保能源有限公司煤末/兰炭末</w:t>
      </w:r>
      <w:r>
        <w:rPr>
          <w:rFonts w:hint="eastAsia" w:eastAsia="仿宋_GB2312"/>
          <w:color w:val="auto"/>
          <w:sz w:val="32"/>
          <w:szCs w:val="32"/>
          <w:highlight w:val="none"/>
          <w:u w:val="single"/>
          <w:lang w:eastAsia="zh-CN"/>
        </w:rPr>
        <w:t>、粉煤灰</w:t>
      </w:r>
      <w:r>
        <w:rPr>
          <w:rFonts w:hint="eastAsia" w:eastAsia="仿宋_GB2312"/>
          <w:color w:val="auto"/>
          <w:sz w:val="32"/>
          <w:szCs w:val="32"/>
          <w:highlight w:val="none"/>
          <w:u w:val="single"/>
          <w:lang w:val="en-US" w:eastAsia="zh-CN"/>
        </w:rPr>
        <w:t>运输，其中煤末/兰炭末预估运输量为100000吨，</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粉煤灰</w:t>
      </w:r>
      <w:r>
        <w:rPr>
          <w:rFonts w:hint="eastAsia" w:eastAsia="仿宋_GB2312"/>
          <w:color w:val="auto"/>
          <w:sz w:val="32"/>
          <w:szCs w:val="32"/>
          <w:highlight w:val="none"/>
          <w:u w:val="single"/>
          <w:lang w:val="en-US" w:eastAsia="zh-CN"/>
        </w:rPr>
        <w:t>预估运输量为80000吨</w:t>
      </w:r>
      <w:r>
        <w:rPr>
          <w:rFonts w:hint="eastAsia" w:eastAsia="仿宋_GB2312"/>
          <w:color w:val="auto"/>
          <w:sz w:val="32"/>
          <w:szCs w:val="32"/>
          <w:highlight w:val="none"/>
          <w:u w:val="single"/>
        </w:rPr>
        <w:t>；</w:t>
      </w:r>
    </w:p>
    <w:p w14:paraId="1C2B7C9B">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default" w:eastAsia="仿宋_GB2312"/>
          <w:color w:val="auto"/>
          <w:sz w:val="32"/>
          <w:szCs w:val="32"/>
          <w:highlight w:val="none"/>
          <w:u w:val="single"/>
          <w:lang w:val="en-US" w:eastAsia="zh-CN"/>
        </w:rPr>
        <w:t>新疆吐鲁番托克逊县阿乐惠镇圣雄工业园区电石厂区</w:t>
      </w:r>
      <w:r>
        <w:rPr>
          <w:rFonts w:hint="eastAsia" w:eastAsia="仿宋_GB2312"/>
          <w:color w:val="auto"/>
          <w:sz w:val="32"/>
          <w:szCs w:val="32"/>
          <w:highlight w:val="none"/>
          <w:u w:val="single"/>
        </w:rPr>
        <w:t>；</w:t>
      </w:r>
    </w:p>
    <w:p w14:paraId="66F0150C">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、服务时间：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自合同签订之日起满一年，</w:t>
      </w:r>
      <w:r>
        <w:rPr>
          <w:rFonts w:hint="eastAsia" w:eastAsia="仿宋_GB2312"/>
          <w:color w:val="auto"/>
          <w:sz w:val="32"/>
          <w:szCs w:val="32"/>
          <w:highlight w:val="none"/>
          <w:u w:val="single"/>
        </w:rPr>
        <w:t>预计</w:t>
      </w:r>
      <w:r>
        <w:rPr>
          <w:rFonts w:hint="eastAsia" w:eastAsia="仿宋_GB2312"/>
          <w:color w:val="auto"/>
          <w:sz w:val="32"/>
          <w:szCs w:val="32"/>
          <w:highlight w:val="none"/>
          <w:u w:val="single"/>
          <w:lang w:val="en-US" w:eastAsia="zh-CN"/>
        </w:rPr>
        <w:t>时间为</w:t>
      </w:r>
      <w:r>
        <w:rPr>
          <w:rFonts w:hint="eastAsia" w:eastAsia="仿宋_GB2312"/>
          <w:color w:val="auto"/>
          <w:sz w:val="32"/>
          <w:szCs w:val="32"/>
          <w:highlight w:val="none"/>
          <w:u w:val="single"/>
        </w:rPr>
        <w:t>202</w:t>
      </w:r>
      <w:r>
        <w:rPr>
          <w:rFonts w:hint="eastAsia" w:eastAsia="仿宋_GB2312"/>
          <w:color w:val="auto"/>
          <w:sz w:val="32"/>
          <w:szCs w:val="32"/>
          <w:highlight w:val="none"/>
          <w:u w:val="single"/>
          <w:lang w:val="en-US" w:eastAsia="zh-CN"/>
        </w:rPr>
        <w:t>6</w:t>
      </w:r>
      <w:r>
        <w:rPr>
          <w:rFonts w:hint="eastAsia" w:eastAsia="仿宋_GB2312"/>
          <w:color w:val="auto"/>
          <w:sz w:val="32"/>
          <w:szCs w:val="32"/>
          <w:highlight w:val="none"/>
          <w:u w:val="single"/>
        </w:rPr>
        <w:t>年</w:t>
      </w:r>
      <w:r>
        <w:rPr>
          <w:rFonts w:hint="eastAsia" w:eastAsia="仿宋_GB2312"/>
          <w:color w:val="auto"/>
          <w:sz w:val="32"/>
          <w:szCs w:val="32"/>
          <w:highlight w:val="none"/>
          <w:u w:val="single"/>
          <w:lang w:val="en-US" w:eastAsia="zh-CN"/>
        </w:rPr>
        <w:t>2</w:t>
      </w:r>
      <w:r>
        <w:rPr>
          <w:rFonts w:hint="eastAsia" w:eastAsia="仿宋_GB2312"/>
          <w:color w:val="auto"/>
          <w:sz w:val="32"/>
          <w:szCs w:val="32"/>
          <w:highlight w:val="none"/>
          <w:u w:val="single"/>
        </w:rPr>
        <w:t>月1日至202</w:t>
      </w:r>
      <w:r>
        <w:rPr>
          <w:rFonts w:hint="eastAsia" w:eastAsia="仿宋_GB2312"/>
          <w:color w:val="auto"/>
          <w:sz w:val="32"/>
          <w:szCs w:val="32"/>
          <w:highlight w:val="none"/>
          <w:u w:val="single"/>
          <w:lang w:val="en-US" w:eastAsia="zh-CN"/>
        </w:rPr>
        <w:t>7</w:t>
      </w:r>
      <w:r>
        <w:rPr>
          <w:rFonts w:hint="eastAsia" w:eastAsia="仿宋_GB2312"/>
          <w:color w:val="auto"/>
          <w:sz w:val="32"/>
          <w:szCs w:val="32"/>
          <w:highlight w:val="none"/>
          <w:u w:val="single"/>
        </w:rPr>
        <w:t>年</w:t>
      </w:r>
      <w:r>
        <w:rPr>
          <w:rFonts w:hint="eastAsia" w:eastAsia="仿宋_GB2312"/>
          <w:color w:val="auto"/>
          <w:sz w:val="32"/>
          <w:szCs w:val="32"/>
          <w:highlight w:val="none"/>
          <w:u w:val="single"/>
          <w:lang w:val="en-US" w:eastAsia="zh-CN"/>
        </w:rPr>
        <w:t>1</w:t>
      </w:r>
      <w:r>
        <w:rPr>
          <w:rFonts w:hint="eastAsia" w:eastAsia="仿宋_GB2312"/>
          <w:color w:val="auto"/>
          <w:sz w:val="32"/>
          <w:szCs w:val="32"/>
          <w:highlight w:val="none"/>
          <w:u w:val="single"/>
        </w:rPr>
        <w:t>月</w:t>
      </w:r>
      <w:r>
        <w:rPr>
          <w:rFonts w:hint="eastAsia" w:eastAsia="仿宋_GB2312"/>
          <w:color w:val="auto"/>
          <w:sz w:val="32"/>
          <w:szCs w:val="32"/>
          <w:highlight w:val="none"/>
          <w:u w:val="single"/>
          <w:lang w:val="en-US" w:eastAsia="zh-CN"/>
        </w:rPr>
        <w:t>31</w:t>
      </w:r>
      <w:r>
        <w:rPr>
          <w:rFonts w:hint="eastAsia" w:eastAsia="仿宋_GB2312"/>
          <w:color w:val="auto"/>
          <w:sz w:val="32"/>
          <w:szCs w:val="32"/>
          <w:highlight w:val="none"/>
          <w:u w:val="single"/>
        </w:rPr>
        <w:t>日</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7820036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54F6CE16">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w:t>
      </w:r>
      <w:r>
        <w:rPr>
          <w:rFonts w:hint="eastAsia" w:ascii="Times New Roman" w:hAnsi="Times New Roman" w:eastAsia="仿宋_GB2312" w:cs="Times New Roman"/>
          <w:color w:val="auto"/>
          <w:sz w:val="32"/>
          <w:szCs w:val="32"/>
          <w:highlight w:val="none"/>
        </w:rPr>
        <w:t>站-招标采购栏目</w:t>
      </w:r>
      <w:r>
        <w:rPr>
          <w:rFonts w:hint="eastAsia" w:eastAsia="仿宋_GB2312"/>
          <w:color w:val="auto"/>
          <w:sz w:val="32"/>
          <w:szCs w:val="32"/>
          <w:highlight w:val="none"/>
        </w:rPr>
        <w:t>（</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32D03D01">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47426931">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7D121714">
      <w:pPr>
        <w:spacing w:line="4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2、资质要求：响应人须具备道路运输经营许可证</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且</w:t>
      </w:r>
      <w:r>
        <w:rPr>
          <w:rFonts w:hint="eastAsia" w:ascii="仿宋" w:hAnsi="仿宋" w:eastAsia="仿宋"/>
          <w:color w:val="auto"/>
          <w:sz w:val="32"/>
          <w:szCs w:val="32"/>
          <w:highlight w:val="none"/>
          <w:lang w:val="en-US" w:eastAsia="zh-CN"/>
        </w:rPr>
        <w:t>资质</w:t>
      </w:r>
      <w:r>
        <w:rPr>
          <w:rFonts w:hint="eastAsia" w:ascii="仿宋" w:hAnsi="仿宋" w:eastAsia="仿宋"/>
          <w:color w:val="auto"/>
          <w:sz w:val="32"/>
          <w:szCs w:val="32"/>
          <w:highlight w:val="none"/>
        </w:rPr>
        <w:t>在有效期内。【提供资质证书复印件（加盖公章）】</w:t>
      </w:r>
    </w:p>
    <w:p w14:paraId="047E3C34">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3、业绩要求：具备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设备材料运输</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2020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2025</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30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w:t>
      </w:r>
      <w:r>
        <w:rPr>
          <w:rFonts w:ascii="仿宋" w:hAnsi="仿宋" w:eastAsia="仿宋"/>
          <w:color w:val="auto"/>
          <w:sz w:val="32"/>
          <w:szCs w:val="32"/>
          <w:highlight w:val="none"/>
        </w:rPr>
        <w:t>1</w:t>
      </w:r>
      <w:r>
        <w:rPr>
          <w:rFonts w:hint="eastAsia" w:ascii="仿宋" w:hAnsi="仿宋" w:eastAsia="仿宋"/>
          <w:color w:val="auto"/>
          <w:sz w:val="32"/>
          <w:szCs w:val="32"/>
          <w:highlight w:val="none"/>
        </w:rPr>
        <w:t>个</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运输合同</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并加盖投标人公章。</w:t>
      </w:r>
    </w:p>
    <w:p w14:paraId="5F9C7205">
      <w:pPr>
        <w:adjustRightInd w:val="0"/>
        <w:snapToGrid w:val="0"/>
        <w:spacing w:line="60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rPr>
        <w:t>5、未被列入东实集团及下属企业</w:t>
      </w:r>
      <w:r>
        <w:rPr>
          <w:rFonts w:hint="eastAsia" w:ascii="仿宋" w:hAnsi="仿宋" w:eastAsia="仿宋"/>
          <w:color w:val="auto"/>
          <w:sz w:val="32"/>
          <w:szCs w:val="32"/>
          <w:highlight w:val="none"/>
          <w:lang w:val="en-US" w:eastAsia="zh-CN"/>
        </w:rPr>
        <w:t>相关</w:t>
      </w:r>
      <w:r>
        <w:rPr>
          <w:rFonts w:hint="eastAsia" w:eastAsia="仿宋_GB2312"/>
          <w:color w:val="auto"/>
          <w:sz w:val="32"/>
          <w:szCs w:val="32"/>
          <w:highlight w:val="none"/>
        </w:rPr>
        <w:t>领域黑名单。</w:t>
      </w:r>
    </w:p>
    <w:p w14:paraId="79311F7F">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6、本项目不接受联合体报价。</w:t>
      </w:r>
    </w:p>
    <w:p w14:paraId="098852D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37A30F3B">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w:t>
      </w:r>
      <w:r>
        <w:rPr>
          <w:rFonts w:hint="eastAsia" w:eastAsia="仿宋_GB2312"/>
          <w:color w:val="auto"/>
          <w:sz w:val="32"/>
          <w:szCs w:val="32"/>
          <w:highlight w:val="none"/>
          <w:u w:val="single"/>
          <w:lang w:val="en-US" w:eastAsia="zh-CN"/>
        </w:rPr>
        <w:t>附件六</w:t>
      </w:r>
      <w:r>
        <w:rPr>
          <w:rFonts w:hint="eastAsia" w:eastAsia="仿宋_GB2312"/>
          <w:color w:val="auto"/>
          <w:sz w:val="32"/>
          <w:szCs w:val="32"/>
          <w:highlight w:val="none"/>
          <w:u w:val="single"/>
        </w:rPr>
        <w:t>《</w:t>
      </w:r>
      <w:r>
        <w:rPr>
          <w:rFonts w:hint="eastAsia" w:eastAsia="仿宋_GB2312"/>
          <w:color w:val="auto"/>
          <w:sz w:val="32"/>
          <w:szCs w:val="32"/>
          <w:highlight w:val="none"/>
          <w:u w:val="single"/>
          <w:lang w:val="en-US" w:eastAsia="zh-CN"/>
        </w:rPr>
        <w:t>用户需求书</w:t>
      </w:r>
      <w:r>
        <w:rPr>
          <w:rFonts w:hint="eastAsia" w:eastAsia="仿宋_GB2312"/>
          <w:color w:val="auto"/>
          <w:sz w:val="32"/>
          <w:szCs w:val="32"/>
          <w:highlight w:val="none"/>
          <w:u w:val="single"/>
        </w:rPr>
        <w:t>》</w:t>
      </w:r>
      <w:r>
        <w:rPr>
          <w:rFonts w:hint="eastAsia" w:eastAsia="仿宋_GB2312"/>
          <w:color w:val="auto"/>
          <w:sz w:val="32"/>
          <w:szCs w:val="32"/>
          <w:highlight w:val="none"/>
        </w:rPr>
        <w:t>。响应人须仔细阅读本技术规范书，因未详细了解本技术规范书造成报价项目遗漏，由响应人自行负责。</w:t>
      </w:r>
    </w:p>
    <w:p w14:paraId="28A776F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2AC6BE5B">
      <w:pPr>
        <w:spacing w:line="600" w:lineRule="exact"/>
        <w:ind w:firstLine="640" w:firstLineChars="200"/>
        <w:rPr>
          <w:rFonts w:hint="eastAsia" w:eastAsia="仿宋_GB2312"/>
          <w:color w:val="auto"/>
          <w:sz w:val="32"/>
          <w:szCs w:val="32"/>
          <w:highlight w:val="none"/>
          <w:lang w:eastAsia="zh-CN"/>
        </w:rPr>
      </w:pPr>
      <w:bookmarkStart w:id="0" w:name="_Hlk38897553"/>
      <w:r>
        <w:rPr>
          <w:rFonts w:hint="eastAsia" w:eastAsia="仿宋_GB2312"/>
          <w:color w:val="auto"/>
          <w:sz w:val="32"/>
          <w:szCs w:val="32"/>
          <w:highlight w:val="none"/>
          <w:u w:val="single"/>
        </w:rPr>
        <w:t>项目运输周期</w:t>
      </w:r>
      <w:bookmarkEnd w:id="0"/>
      <w:r>
        <w:rPr>
          <w:rFonts w:hint="eastAsia" w:eastAsia="仿宋_GB2312"/>
          <w:color w:val="auto"/>
          <w:sz w:val="32"/>
          <w:szCs w:val="32"/>
          <w:highlight w:val="none"/>
          <w:u w:val="single"/>
          <w:lang w:eastAsia="zh-CN"/>
        </w:rPr>
        <w:t>：自合同签订之日起满一年，预计时间为2026年2月1日至2027年1月31日。</w:t>
      </w:r>
    </w:p>
    <w:p w14:paraId="1F65B70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六、支付方式</w:t>
      </w:r>
    </w:p>
    <w:p w14:paraId="6FB4E77E">
      <w:pPr>
        <w:adjustRightInd w:val="0"/>
        <w:snapToGrid w:val="0"/>
        <w:spacing w:line="600" w:lineRule="exact"/>
        <w:ind w:firstLine="640" w:firstLineChars="200"/>
        <w:outlineLvl w:val="1"/>
        <w:rPr>
          <w:rFonts w:hint="eastAsia" w:eastAsia="仿宋_GB2312"/>
          <w:color w:val="auto"/>
          <w:sz w:val="32"/>
          <w:szCs w:val="32"/>
          <w:highlight w:val="none"/>
          <w:u w:val="single"/>
        </w:rPr>
      </w:pPr>
      <w:r>
        <w:rPr>
          <w:rFonts w:hint="eastAsia" w:eastAsia="仿宋_GB2312"/>
          <w:color w:val="auto"/>
          <w:sz w:val="32"/>
          <w:szCs w:val="32"/>
          <w:highlight w:val="none"/>
          <w:u w:val="single"/>
        </w:rPr>
        <w:t>1.材料运达目的地后，中标人提供运输业务量确认审批表及收货单位的签收单经采购人审核无误后，中标人按运输业务量确认审批表确定的运输量以及合同单价开具有效的国内运输9%增值税专用发票，运输结算周期为按月结算。</w:t>
      </w:r>
    </w:p>
    <w:p w14:paraId="463FE281">
      <w:pPr>
        <w:adjustRightInd w:val="0"/>
        <w:snapToGrid w:val="0"/>
        <w:spacing w:line="600" w:lineRule="exact"/>
        <w:ind w:firstLine="640" w:firstLineChars="200"/>
        <w:outlineLvl w:val="1"/>
        <w:rPr>
          <w:rFonts w:hint="eastAsia" w:eastAsia="仿宋_GB2312"/>
          <w:color w:val="auto"/>
          <w:sz w:val="32"/>
          <w:szCs w:val="32"/>
          <w:highlight w:val="none"/>
          <w:u w:val="single"/>
        </w:rPr>
      </w:pPr>
      <w:r>
        <w:rPr>
          <w:rFonts w:hint="eastAsia" w:eastAsia="仿宋_GB2312"/>
          <w:color w:val="auto"/>
          <w:sz w:val="32"/>
          <w:szCs w:val="32"/>
          <w:highlight w:val="none"/>
          <w:u w:val="single"/>
        </w:rPr>
        <w:t>2.采购人收到中标人提供运输业务量确认审批表及有效的国内运输9%增值税专用发票后7个工作日内支付对应的运输款项。</w:t>
      </w:r>
    </w:p>
    <w:p w14:paraId="32EA4BBA">
      <w:pPr>
        <w:adjustRightInd w:val="0"/>
        <w:snapToGrid w:val="0"/>
        <w:spacing w:line="600" w:lineRule="exact"/>
        <w:ind w:firstLine="640" w:firstLineChars="200"/>
        <w:outlineLvl w:val="1"/>
        <w:rPr>
          <w:rFonts w:hint="eastAsia" w:eastAsia="仿宋_GB2312"/>
          <w:color w:val="auto"/>
          <w:sz w:val="32"/>
          <w:szCs w:val="32"/>
          <w:highlight w:val="none"/>
          <w:u w:val="single"/>
        </w:rPr>
      </w:pPr>
      <w:r>
        <w:rPr>
          <w:rFonts w:hint="eastAsia" w:eastAsia="仿宋_GB2312"/>
          <w:color w:val="auto"/>
          <w:sz w:val="32"/>
          <w:szCs w:val="32"/>
          <w:highlight w:val="none"/>
          <w:u w:val="single"/>
        </w:rPr>
        <w:t>3.结算方式：运输总价=运输单价×实际运输数量（实际运输数量以过磅重量为准）</w:t>
      </w:r>
      <w:r>
        <w:rPr>
          <w:rFonts w:hint="eastAsia" w:eastAsia="仿宋_GB2312"/>
          <w:color w:val="auto"/>
          <w:sz w:val="32"/>
          <w:szCs w:val="32"/>
          <w:highlight w:val="none"/>
          <w:u w:val="single"/>
          <w:lang w:val="en-US" w:eastAsia="zh-CN"/>
        </w:rPr>
        <w:t>合同运输周期实际运输总重量达到预计运输总重量的60%及以上，中标人所报固定运输单价不做调整；实际运输总量达不到预计运输总重量的60%，中标人所报固定运输单价上浮10%，在合同运输周期结束前按照上浮价格一次性结算差价金额。</w:t>
      </w:r>
    </w:p>
    <w:p w14:paraId="38B2201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3E4728D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人民币</w:t>
      </w:r>
      <w:r>
        <w:rPr>
          <w:rFonts w:hint="eastAsia" w:eastAsia="仿宋_GB2312"/>
          <w:color w:val="auto"/>
          <w:sz w:val="32"/>
          <w:szCs w:val="32"/>
          <w:highlight w:val="none"/>
          <w:u w:val="single"/>
          <w:lang w:val="en-US" w:eastAsia="zh-CN"/>
        </w:rPr>
        <w:t>2010000</w:t>
      </w:r>
      <w:r>
        <w:rPr>
          <w:rFonts w:hint="eastAsia" w:eastAsia="仿宋_GB2312"/>
          <w:color w:val="auto"/>
          <w:sz w:val="32"/>
          <w:szCs w:val="32"/>
          <w:highlight w:val="none"/>
          <w:u w:val="single"/>
        </w:rPr>
        <w:t>.00元整（大写：</w:t>
      </w:r>
      <w:r>
        <w:rPr>
          <w:rFonts w:hint="eastAsia" w:eastAsia="仿宋_GB2312"/>
          <w:color w:val="auto"/>
          <w:sz w:val="32"/>
          <w:szCs w:val="32"/>
          <w:highlight w:val="none"/>
          <w:u w:val="single"/>
          <w:lang w:val="en-US" w:eastAsia="zh-CN"/>
        </w:rPr>
        <w:t>贰佰零壹万元</w:t>
      </w:r>
      <w:r>
        <w:rPr>
          <w:rFonts w:hint="eastAsia" w:eastAsia="仿宋_GB2312"/>
          <w:color w:val="auto"/>
          <w:sz w:val="32"/>
          <w:szCs w:val="32"/>
          <w:highlight w:val="none"/>
          <w:u w:val="single"/>
        </w:rPr>
        <w:t>整）</w:t>
      </w:r>
      <w:r>
        <w:rPr>
          <w:rFonts w:hint="eastAsia" w:eastAsia="仿宋_GB2312"/>
          <w:color w:val="auto"/>
          <w:sz w:val="32"/>
          <w:szCs w:val="32"/>
          <w:highlight w:val="none"/>
        </w:rPr>
        <w:t>（含税）。</w:t>
      </w:r>
    </w:p>
    <w:p w14:paraId="5214F20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u w:val="single"/>
        </w:rPr>
        <w:t>固定单价暂定总价，实行固定价格报价，包括但不限于：完成本项目的成本</w:t>
      </w:r>
      <w:r>
        <w:rPr>
          <w:rFonts w:hint="eastAsia" w:eastAsia="仿宋_GB2312"/>
          <w:color w:val="auto"/>
          <w:sz w:val="32"/>
          <w:szCs w:val="32"/>
          <w:highlight w:val="none"/>
          <w:u w:val="single"/>
          <w:lang w:val="en-US" w:eastAsia="zh-CN"/>
        </w:rPr>
        <w:t>运费</w:t>
      </w:r>
      <w:r>
        <w:rPr>
          <w:rFonts w:hint="eastAsia" w:eastAsia="仿宋_GB2312"/>
          <w:color w:val="auto"/>
          <w:sz w:val="32"/>
          <w:szCs w:val="32"/>
          <w:highlight w:val="none"/>
          <w:u w:val="single"/>
        </w:rPr>
        <w:t>、税费、杂费、绑扎费（含钢绳、枕木等必要衬垫、绑扎物料的费用）、沿途有关的一切费用在项目过程中可能产生的一切费用。响应人已充分考虑了本项目服务内容及要求描述工作量可能与最终实际工作量存在差距的风险。</w:t>
      </w:r>
    </w:p>
    <w:p w14:paraId="6E8A2196">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6980E8EC">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w:t>
      </w:r>
      <w:r>
        <w:rPr>
          <w:rFonts w:hint="eastAsia" w:eastAsia="仿宋_GB2312"/>
          <w:color w:val="auto"/>
          <w:sz w:val="32"/>
          <w:szCs w:val="32"/>
          <w:highlight w:val="none"/>
          <w:u w:val="single"/>
          <w:lang w:val="en-US" w:eastAsia="zh-CN"/>
        </w:rPr>
        <w:t>不含税</w:t>
      </w:r>
      <w:r>
        <w:rPr>
          <w:rFonts w:hint="eastAsia" w:eastAsia="仿宋_GB2312"/>
          <w:color w:val="auto"/>
          <w:sz w:val="32"/>
          <w:szCs w:val="32"/>
          <w:highlight w:val="none"/>
          <w:u w:val="single"/>
        </w:rPr>
        <w:t>报价最低的原则，推荐成交候选供应商。</w:t>
      </w:r>
    </w:p>
    <w:p w14:paraId="36DF07AE">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1374F6F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2E3094D9">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w:t>
      </w:r>
      <w:r>
        <w:rPr>
          <w:rFonts w:hint="eastAsia" w:eastAsia="仿宋_GB2312"/>
          <w:color w:val="auto"/>
          <w:sz w:val="32"/>
          <w:szCs w:val="32"/>
          <w:highlight w:val="none"/>
          <w:lang w:val="en-US" w:eastAsia="zh-CN"/>
        </w:rPr>
        <w:t>附件七合同模板</w:t>
      </w:r>
      <w:r>
        <w:rPr>
          <w:rFonts w:hint="eastAsia" w:eastAsia="仿宋_GB2312"/>
          <w:color w:val="auto"/>
          <w:sz w:val="32"/>
          <w:szCs w:val="32"/>
          <w:highlight w:val="none"/>
        </w:rPr>
        <w:t>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0186321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16FB6665">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62ADFD42">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w:t>
      </w:r>
    </w:p>
    <w:p w14:paraId="3A4EE483">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4E2CBA5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49588CC7">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25EC5CAF">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5A2C5CC5">
      <w:pPr>
        <w:pStyle w:val="9"/>
        <w:ind w:left="0" w:leftChars="0" w:firstLine="640" w:firstLineChars="200"/>
        <w:rPr>
          <w:rFonts w:hint="eastAsia"/>
          <w:color w:val="auto"/>
          <w:highlight w:val="none"/>
          <w:lang w:val="en-US" w:eastAsia="zh-CN"/>
        </w:rPr>
      </w:pPr>
      <w:r>
        <w:rPr>
          <w:rFonts w:hint="eastAsia" w:ascii="Times New Roman" w:hAnsi="Times New Roman" w:eastAsia="仿宋_GB2312" w:cs="Times New Roman"/>
          <w:color w:val="auto"/>
          <w:kern w:val="2"/>
          <w:sz w:val="32"/>
          <w:szCs w:val="32"/>
          <w:highlight w:val="none"/>
          <w:lang w:val="en-US" w:eastAsia="zh-CN" w:bidi="ar-SA"/>
        </w:rPr>
        <w:t>6、</w:t>
      </w:r>
      <w:r>
        <w:rPr>
          <w:rFonts w:hint="eastAsia" w:eastAsia="仿宋_GB2312"/>
          <w:color w:val="auto"/>
          <w:sz w:val="32"/>
          <w:szCs w:val="32"/>
          <w:highlight w:val="none"/>
        </w:rPr>
        <w:t>商务技术偏离表（模板）</w:t>
      </w:r>
    </w:p>
    <w:p w14:paraId="6553704A">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7、</w:t>
      </w:r>
      <w:r>
        <w:rPr>
          <w:rFonts w:hint="eastAsia" w:eastAsia="仿宋_GB2312"/>
          <w:color w:val="auto"/>
          <w:sz w:val="32"/>
          <w:szCs w:val="32"/>
          <w:highlight w:val="none"/>
        </w:rPr>
        <w:t>响应人认为需要提供的其他资料。</w:t>
      </w:r>
    </w:p>
    <w:p w14:paraId="1CA7A37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79F4980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2253A078">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w:t>
      </w:r>
      <w:r>
        <w:rPr>
          <w:rFonts w:hint="eastAsia" w:eastAsia="仿宋_GB2312"/>
          <w:color w:val="auto"/>
          <w:sz w:val="32"/>
          <w:szCs w:val="32"/>
          <w:highlight w:val="none"/>
          <w:lang w:val="en-US" w:eastAsia="zh-CN"/>
        </w:rPr>
        <w:t>副本一份</w:t>
      </w:r>
      <w:r>
        <w:rPr>
          <w:rFonts w:hint="eastAsia" w:eastAsia="仿宋_GB2312"/>
          <w:color w:val="auto"/>
          <w:sz w:val="32"/>
          <w:szCs w:val="32"/>
          <w:highlight w:val="none"/>
        </w:rPr>
        <w:t>，并提供响应文件扫描件电子版（U盘）。</w:t>
      </w:r>
    </w:p>
    <w:p w14:paraId="053454AE">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w:t>
      </w:r>
      <w:r>
        <w:rPr>
          <w:rFonts w:hint="eastAsia" w:ascii="黑体" w:hAnsi="黑体" w:eastAsia="黑体" w:cs="黑体"/>
          <w:i w:val="0"/>
          <w:iCs w:val="0"/>
          <w:caps w:val="0"/>
          <w:color w:val="auto"/>
          <w:spacing w:val="0"/>
          <w:sz w:val="32"/>
          <w:szCs w:val="32"/>
          <w:highlight w:val="none"/>
        </w:rPr>
        <w:t>保证金金额及缴纳方式</w:t>
      </w:r>
    </w:p>
    <w:p w14:paraId="6FF33E95">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1、</w:t>
      </w:r>
      <w:r>
        <w:rPr>
          <w:rFonts w:hint="eastAsia" w:eastAsia="仿宋_GB2312"/>
          <w:color w:val="auto"/>
          <w:sz w:val="32"/>
          <w:szCs w:val="32"/>
          <w:highlight w:val="none"/>
          <w:u w:val="single"/>
        </w:rPr>
        <w:t>开标前，响应人应在项目开标前缴纳人民币</w:t>
      </w:r>
      <w:r>
        <w:rPr>
          <w:rFonts w:hint="eastAsia" w:eastAsia="仿宋_GB2312"/>
          <w:color w:val="auto"/>
          <w:sz w:val="32"/>
          <w:szCs w:val="32"/>
          <w:highlight w:val="none"/>
          <w:u w:val="single"/>
          <w:lang w:val="en-US" w:eastAsia="zh-CN"/>
        </w:rPr>
        <w:t>肆万元</w:t>
      </w:r>
      <w:r>
        <w:rPr>
          <w:rFonts w:hint="eastAsia" w:eastAsia="仿宋_GB2312"/>
          <w:color w:val="auto"/>
          <w:sz w:val="32"/>
          <w:szCs w:val="32"/>
          <w:highlight w:val="none"/>
          <w:u w:val="single"/>
        </w:rPr>
        <w:t>整（小写￥</w:t>
      </w:r>
      <w:r>
        <w:rPr>
          <w:rFonts w:hint="eastAsia" w:eastAsia="仿宋_GB2312"/>
          <w:color w:val="auto"/>
          <w:sz w:val="32"/>
          <w:szCs w:val="32"/>
          <w:highlight w:val="none"/>
          <w:u w:val="single"/>
          <w:lang w:val="en-US" w:eastAsia="zh-CN"/>
        </w:rPr>
        <w:t>400</w:t>
      </w:r>
      <w:r>
        <w:rPr>
          <w:rFonts w:hint="eastAsia" w:eastAsia="仿宋_GB2312"/>
          <w:color w:val="auto"/>
          <w:sz w:val="32"/>
          <w:szCs w:val="32"/>
          <w:highlight w:val="none"/>
          <w:u w:val="single"/>
        </w:rPr>
        <w:t>00.00元）至</w:t>
      </w:r>
      <w:r>
        <w:rPr>
          <w:rFonts w:hint="eastAsia" w:eastAsia="仿宋_GB2312"/>
          <w:color w:val="auto"/>
          <w:sz w:val="32"/>
          <w:szCs w:val="32"/>
          <w:highlight w:val="none"/>
          <w:u w:val="single"/>
        </w:rPr>
        <w:t>以下报价保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r>
        <w:rPr>
          <w:rFonts w:hint="eastAsia" w:ascii="Times New Roman" w:hAnsi="Times New Roman" w:eastAsia="仿宋_GB2312" w:cs="Times New Roman"/>
          <w:color w:val="auto"/>
          <w:sz w:val="32"/>
          <w:szCs w:val="32"/>
          <w:highlight w:val="none"/>
          <w:u w:val="single"/>
          <w:lang w:val="en-US" w:eastAsia="zh-CN"/>
        </w:rPr>
        <w:t>。</w:t>
      </w:r>
    </w:p>
    <w:p w14:paraId="5AA527EB">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报价保证金收款账户信息：</w:t>
      </w:r>
    </w:p>
    <w:p w14:paraId="5DAD1148">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帐户名称：吐鲁番开能环保能源有限公司</w:t>
      </w:r>
    </w:p>
    <w:p w14:paraId="1949BADC">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开户银行：中国工商银行股份有公司托克逊支行 </w:t>
      </w:r>
      <w:r>
        <w:rPr>
          <w:rFonts w:hint="eastAsia" w:eastAsia="仿宋_GB2312" w:cs="Times New Roman"/>
          <w:color w:val="auto"/>
          <w:sz w:val="32"/>
          <w:szCs w:val="32"/>
          <w:highlight w:val="none"/>
          <w:u w:val="single"/>
          <w:lang w:val="en-US" w:eastAsia="zh-CN"/>
        </w:rPr>
        <w:t xml:space="preserve">    </w:t>
      </w:r>
    </w:p>
    <w:p w14:paraId="21CEB15C">
      <w:pPr>
        <w:spacing w:line="600" w:lineRule="exact"/>
        <w:ind w:firstLine="640" w:firstLineChars="200"/>
        <w:rPr>
          <w:rFonts w:hint="eastAsia"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银行帐号：3005 2931 0920 0127 655 </w:t>
      </w:r>
      <w:r>
        <w:rPr>
          <w:rFonts w:hint="eastAsia" w:eastAsia="仿宋_GB2312" w:cs="Times New Roman"/>
          <w:color w:val="auto"/>
          <w:sz w:val="32"/>
          <w:szCs w:val="32"/>
          <w:highlight w:val="none"/>
          <w:u w:val="single"/>
          <w:lang w:val="en-US" w:eastAsia="zh-CN"/>
        </w:rPr>
        <w:t xml:space="preserve"> </w:t>
      </w:r>
    </w:p>
    <w:p w14:paraId="4F857AA2">
      <w:pPr>
        <w:spacing w:line="600" w:lineRule="exact"/>
        <w:ind w:firstLine="640" w:firstLineChars="200"/>
        <w:rPr>
          <w:rFonts w:hint="eastAsia"/>
          <w:color w:val="auto"/>
          <w:highlight w:val="none"/>
          <w:lang w:val="en-US" w:eastAsia="zh-CN"/>
        </w:rPr>
      </w:pPr>
      <w:r>
        <w:rPr>
          <w:rFonts w:hint="eastAsia" w:eastAsia="仿宋_GB2312" w:cs="Times New Roman"/>
          <w:color w:val="auto"/>
          <w:sz w:val="32"/>
          <w:szCs w:val="32"/>
          <w:highlight w:val="none"/>
          <w:u w:val="single"/>
          <w:lang w:val="en-US" w:eastAsia="zh-CN"/>
        </w:rPr>
        <w:t>2</w:t>
      </w:r>
      <w:r>
        <w:rPr>
          <w:rFonts w:hint="eastAsia" w:ascii="Times New Roman" w:hAnsi="Times New Roman" w:eastAsia="仿宋_GB2312" w:cs="Times New Roman"/>
          <w:color w:val="auto"/>
          <w:sz w:val="32"/>
          <w:szCs w:val="32"/>
          <w:highlight w:val="none"/>
          <w:u w:val="single"/>
          <w:lang w:val="en-US" w:eastAsia="zh-CN"/>
        </w:rPr>
        <w:t>、报价保证金在本项目合同签订后自动转为履约保证金。</w:t>
      </w:r>
    </w:p>
    <w:p w14:paraId="2667C02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14:paraId="294F6473">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w:t>
      </w:r>
      <w:r>
        <w:rPr>
          <w:rFonts w:hint="eastAsia" w:eastAsia="仿宋_GB2312"/>
          <w:b/>
          <w:color w:val="auto"/>
          <w:sz w:val="32"/>
          <w:szCs w:val="32"/>
          <w:highlight w:val="none"/>
        </w:rPr>
        <w:t>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lang w:val="en-US" w:eastAsia="zh-CN"/>
        </w:rPr>
        <w:t>25</w:t>
      </w:r>
      <w:r>
        <w:rPr>
          <w:rFonts w:eastAsia="仿宋_GB2312"/>
          <w:b/>
          <w:color w:val="auto"/>
          <w:sz w:val="32"/>
          <w:szCs w:val="32"/>
          <w:highlight w:val="none"/>
          <w:u w:val="single"/>
        </w:rPr>
        <w:t xml:space="preserve"> </w:t>
      </w:r>
      <w:r>
        <w:rPr>
          <w:rFonts w:hint="eastAsia" w:eastAsia="仿宋_GB2312"/>
          <w:b/>
          <w:color w:val="auto"/>
          <w:sz w:val="32"/>
          <w:szCs w:val="32"/>
          <w:highlight w:val="none"/>
        </w:rPr>
        <w:t>年</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12</w:t>
      </w:r>
      <w:r>
        <w:rPr>
          <w:rFonts w:eastAsia="仿宋_GB2312"/>
          <w:b/>
          <w:color w:val="auto"/>
          <w:sz w:val="32"/>
          <w:szCs w:val="32"/>
          <w:highlight w:val="none"/>
          <w:u w:val="single"/>
        </w:rPr>
        <w:t xml:space="preserve"> </w:t>
      </w:r>
      <w:r>
        <w:rPr>
          <w:rFonts w:hint="eastAsia" w:eastAsia="仿宋_GB2312"/>
          <w:b/>
          <w:color w:val="auto"/>
          <w:sz w:val="32"/>
          <w:szCs w:val="32"/>
          <w:highlight w:val="none"/>
        </w:rPr>
        <w:t>月</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31</w:t>
      </w:r>
      <w:r>
        <w:rPr>
          <w:rFonts w:hint="eastAsia" w:eastAsia="仿宋_GB2312"/>
          <w:b/>
          <w:color w:val="auto"/>
          <w:sz w:val="32"/>
          <w:szCs w:val="32"/>
          <w:highlight w:val="none"/>
        </w:rPr>
        <w:t>日（星期</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三</w:t>
      </w:r>
      <w:r>
        <w:rPr>
          <w:rFonts w:eastAsia="仿宋_GB2312"/>
          <w:b/>
          <w:color w:val="auto"/>
          <w:sz w:val="32"/>
          <w:szCs w:val="32"/>
          <w:highlight w:val="none"/>
          <w:u w:val="single"/>
        </w:rPr>
        <w:t xml:space="preserve"> </w:t>
      </w:r>
      <w:r>
        <w:rPr>
          <w:rFonts w:hint="eastAsia" w:eastAsia="仿宋_GB2312"/>
          <w:b/>
          <w:color w:val="auto"/>
          <w:sz w:val="32"/>
          <w:szCs w:val="32"/>
          <w:highlight w:val="none"/>
        </w:rPr>
        <w:t>）</w:t>
      </w:r>
      <w:r>
        <w:rPr>
          <w:rFonts w:hint="eastAsia" w:eastAsia="仿宋_GB2312"/>
          <w:b/>
          <w:color w:val="auto"/>
          <w:sz w:val="32"/>
          <w:szCs w:val="32"/>
          <w:highlight w:val="none"/>
          <w:lang w:val="en-US" w:eastAsia="zh-CN"/>
        </w:rPr>
        <w:t>下</w:t>
      </w:r>
      <w:r>
        <w:rPr>
          <w:rFonts w:hint="eastAsia" w:eastAsia="仿宋_GB2312"/>
          <w:b/>
          <w:color w:val="auto"/>
          <w:sz w:val="32"/>
          <w:szCs w:val="32"/>
          <w:highlight w:val="none"/>
        </w:rPr>
        <w:t>午</w:t>
      </w:r>
      <w:r>
        <w:rPr>
          <w:rFonts w:hint="eastAsia" w:eastAsia="仿宋_GB2312"/>
          <w:b/>
          <w:color w:val="auto"/>
          <w:sz w:val="32"/>
          <w:szCs w:val="32"/>
          <w:highlight w:val="none"/>
          <w:u w:val="single"/>
          <w:lang w:val="en-US" w:eastAsia="zh-CN"/>
        </w:rPr>
        <w:t>16</w:t>
      </w:r>
      <w:r>
        <w:rPr>
          <w:rFonts w:eastAsia="仿宋_GB2312"/>
          <w:b/>
          <w:color w:val="auto"/>
          <w:sz w:val="32"/>
          <w:szCs w:val="32"/>
          <w:highlight w:val="none"/>
          <w:u w:val="single"/>
        </w:rPr>
        <w:t>:</w:t>
      </w:r>
      <w:r>
        <w:rPr>
          <w:rFonts w:hint="eastAsia" w:eastAsia="仿宋_GB2312"/>
          <w:b/>
          <w:color w:val="auto"/>
          <w:sz w:val="32"/>
          <w:szCs w:val="32"/>
          <w:highlight w:val="none"/>
          <w:u w:val="single"/>
          <w:lang w:val="en-US" w:eastAsia="zh-CN"/>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1408B8CA">
      <w:pPr>
        <w:spacing w:line="600" w:lineRule="exact"/>
        <w:ind w:firstLine="643" w:firstLineChars="200"/>
        <w:rPr>
          <w:rFonts w:hint="eastAsia" w:eastAsia="仿宋_GB2312"/>
          <w:b/>
          <w:color w:val="auto"/>
          <w:sz w:val="32"/>
          <w:szCs w:val="32"/>
          <w:highlight w:val="none"/>
          <w:lang w:eastAsia="zh-CN"/>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eastAsia="仿宋_GB2312"/>
          <w:b/>
          <w:color w:val="auto"/>
          <w:sz w:val="32"/>
          <w:szCs w:val="32"/>
          <w:highlight w:val="none"/>
          <w:u w:val="single"/>
        </w:rPr>
        <w:t xml:space="preserve">  </w:t>
      </w:r>
      <w:r>
        <w:rPr>
          <w:rFonts w:hint="default" w:eastAsia="仿宋_GB2312"/>
          <w:b/>
          <w:color w:val="auto"/>
          <w:sz w:val="32"/>
          <w:szCs w:val="32"/>
          <w:highlight w:val="none"/>
          <w:u w:val="single"/>
          <w:lang w:val="en-US" w:eastAsia="zh-CN"/>
        </w:rPr>
        <w:t>新疆吐鲁番托克逊县阿乐惠镇圣雄工业园区电石厂区外101室</w:t>
      </w:r>
      <w:r>
        <w:rPr>
          <w:rFonts w:hint="eastAsia" w:eastAsia="仿宋_GB2312"/>
          <w:b/>
          <w:color w:val="auto"/>
          <w:sz w:val="32"/>
          <w:szCs w:val="32"/>
          <w:highlight w:val="none"/>
          <w:u w:val="single"/>
          <w:lang w:val="en-US" w:eastAsia="zh-CN"/>
        </w:rPr>
        <w:t>吐鲁番开能环保能源有限公司</w:t>
      </w:r>
      <w:r>
        <w:rPr>
          <w:rFonts w:hint="eastAsia" w:eastAsia="仿宋_GB2312"/>
          <w:b/>
          <w:color w:val="auto"/>
          <w:sz w:val="32"/>
          <w:szCs w:val="32"/>
          <w:highlight w:val="none"/>
          <w:u w:val="single"/>
        </w:rPr>
        <w:t>会议室</w:t>
      </w:r>
      <w:r>
        <w:rPr>
          <w:rFonts w:hint="eastAsia" w:eastAsia="仿宋_GB2312"/>
          <w:b/>
          <w:color w:val="auto"/>
          <w:sz w:val="32"/>
          <w:szCs w:val="32"/>
          <w:highlight w:val="none"/>
          <w:u w:val="single"/>
          <w:lang w:eastAsia="zh-CN"/>
        </w:rPr>
        <w:t>。</w:t>
      </w:r>
    </w:p>
    <w:p w14:paraId="3D50064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联系人：</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西尔扎提</w:t>
      </w:r>
      <w:r>
        <w:rPr>
          <w:rFonts w:eastAsia="仿宋_GB2312"/>
          <w:color w:val="auto"/>
          <w:sz w:val="32"/>
          <w:szCs w:val="32"/>
          <w:highlight w:val="none"/>
          <w:u w:val="single"/>
        </w:rPr>
        <w:t xml:space="preserve">         </w:t>
      </w:r>
    </w:p>
    <w:p w14:paraId="5BAA94F6">
      <w:pPr>
        <w:spacing w:line="600" w:lineRule="exact"/>
        <w:ind w:firstLine="640" w:firstLineChars="200"/>
        <w:rPr>
          <w:rFonts w:hint="default" w:ascii="黑体" w:hAnsi="黑体" w:eastAsia="黑体" w:cs="黑体"/>
          <w:i w:val="0"/>
          <w:iCs w:val="0"/>
          <w:caps w:val="0"/>
          <w:color w:val="auto"/>
          <w:spacing w:val="0"/>
          <w:sz w:val="32"/>
          <w:szCs w:val="32"/>
          <w:highlight w:val="none"/>
          <w:lang w:val="en-US" w:eastAsia="zh-CN"/>
        </w:rPr>
      </w:pPr>
      <w:r>
        <w:rPr>
          <w:rFonts w:hint="eastAsia" w:eastAsia="仿宋_GB2312"/>
          <w:color w:val="auto"/>
          <w:sz w:val="32"/>
          <w:szCs w:val="32"/>
          <w:highlight w:val="none"/>
        </w:rPr>
        <w:t>联系电话：</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17399956730</w:t>
      </w:r>
      <w:r>
        <w:rPr>
          <w:rFonts w:eastAsia="仿宋_GB2312"/>
          <w:color w:val="auto"/>
          <w:sz w:val="32"/>
          <w:szCs w:val="32"/>
          <w:highlight w:val="none"/>
          <w:u w:val="single"/>
        </w:rPr>
        <w:t xml:space="preserve">      </w:t>
      </w:r>
    </w:p>
    <w:p w14:paraId="299B667D">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42F41E18">
      <w:pPr>
        <w:spacing w:line="600" w:lineRule="exact"/>
        <w:ind w:firstLine="640" w:firstLineChars="200"/>
        <w:rPr>
          <w:rFonts w:eastAsia="仿宋_GB2312"/>
          <w:color w:val="auto"/>
          <w:sz w:val="32"/>
          <w:szCs w:val="32"/>
          <w:highlight w:val="none"/>
        </w:rPr>
      </w:pPr>
      <w:bookmarkStart w:id="1"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0B47A2CB">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24AF4CE5">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1"/>
    </w:p>
    <w:p w14:paraId="3A5A2250">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1B187E24">
      <w:pPr>
        <w:pStyle w:val="2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347262C9">
      <w:pPr>
        <w:pStyle w:val="2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00205F88">
      <w:pPr>
        <w:pStyle w:val="2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30F3A871">
      <w:pPr>
        <w:pStyle w:val="2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63A597EA">
      <w:pPr>
        <w:pStyle w:val="2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14:paraId="6E19D07A">
      <w:pPr>
        <w:widowControl/>
        <w:spacing w:line="600" w:lineRule="exact"/>
        <w:ind w:firstLine="640" w:firstLineChars="200"/>
        <w:jc w:val="left"/>
        <w:rPr>
          <w:rFonts w:eastAsia="仿宋_GB2312"/>
          <w:color w:val="auto"/>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0E4829A7">
      <w:pPr>
        <w:widowControl/>
        <w:spacing w:line="600" w:lineRule="exact"/>
        <w:jc w:val="left"/>
        <w:rPr>
          <w:rFonts w:eastAsia="仿宋_GB2312"/>
          <w:color w:val="auto"/>
          <w:sz w:val="32"/>
          <w:szCs w:val="32"/>
          <w:highlight w:val="none"/>
        </w:rPr>
      </w:pPr>
    </w:p>
    <w:p w14:paraId="02B1AC76">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none"/>
        </w:rPr>
        <w:t xml:space="preserve">   </w:t>
      </w:r>
      <w:r>
        <w:rPr>
          <w:rFonts w:hint="eastAsia" w:eastAsia="仿宋_GB2312"/>
          <w:color w:val="auto"/>
          <w:sz w:val="32"/>
          <w:szCs w:val="32"/>
          <w:highlight w:val="none"/>
          <w:u w:val="none"/>
          <w:lang w:val="en-US" w:eastAsia="zh-CN"/>
        </w:rPr>
        <w:t>吐鲁番开能环保能源有限</w:t>
      </w:r>
      <w:r>
        <w:rPr>
          <w:rFonts w:hint="eastAsia" w:eastAsia="仿宋_GB2312"/>
          <w:color w:val="auto"/>
          <w:sz w:val="32"/>
          <w:szCs w:val="32"/>
          <w:highlight w:val="none"/>
        </w:rPr>
        <w:t>公司</w:t>
      </w:r>
    </w:p>
    <w:p w14:paraId="269944FA">
      <w:pPr>
        <w:spacing w:line="600" w:lineRule="exact"/>
        <w:ind w:firstLine="640" w:firstLineChars="200"/>
        <w:jc w:val="right"/>
        <w:rPr>
          <w:rFonts w:eastAsia="仿宋_GB2312"/>
          <w:color w:val="auto"/>
          <w:sz w:val="32"/>
          <w:szCs w:val="32"/>
          <w:highlight w:val="none"/>
        </w:rPr>
      </w:pPr>
      <w:bookmarkStart w:id="19" w:name="_GoBack"/>
      <w:r>
        <w:rPr>
          <w:rFonts w:eastAsia="仿宋_GB2312"/>
          <w:color w:val="auto"/>
          <w:sz w:val="32"/>
          <w:szCs w:val="32"/>
          <w:highlight w:val="none"/>
          <w:u w:val="single"/>
        </w:rPr>
        <w:t>20</w:t>
      </w:r>
      <w:r>
        <w:rPr>
          <w:rFonts w:hint="eastAsia" w:eastAsia="仿宋_GB2312"/>
          <w:color w:val="auto"/>
          <w:sz w:val="32"/>
          <w:szCs w:val="32"/>
          <w:highlight w:val="none"/>
          <w:u w:val="single"/>
          <w:lang w:val="en-US" w:eastAsia="zh-CN"/>
        </w:rPr>
        <w:t>25</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12</w:t>
      </w:r>
      <w:r>
        <w:rPr>
          <w:rFonts w:eastAsia="仿宋_GB2312"/>
          <w:color w:val="auto"/>
          <w:sz w:val="32"/>
          <w:szCs w:val="32"/>
          <w:highlight w:val="none"/>
          <w:u w:val="single"/>
        </w:rPr>
        <w:t xml:space="preserve">  </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24</w:t>
      </w:r>
      <w:r>
        <w:rPr>
          <w:rFonts w:eastAsia="仿宋_GB2312"/>
          <w:color w:val="auto"/>
          <w:sz w:val="32"/>
          <w:szCs w:val="32"/>
          <w:highlight w:val="none"/>
          <w:u w:val="single"/>
        </w:rPr>
        <w:t xml:space="preserve"> </w:t>
      </w:r>
      <w:r>
        <w:rPr>
          <w:rFonts w:hint="eastAsia" w:eastAsia="仿宋_GB2312"/>
          <w:color w:val="auto"/>
          <w:sz w:val="32"/>
          <w:szCs w:val="32"/>
          <w:highlight w:val="none"/>
        </w:rPr>
        <w:t>日</w:t>
      </w:r>
    </w:p>
    <w:p w14:paraId="764DFE70">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62CF1645">
      <w:pPr>
        <w:pStyle w:val="42"/>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4DD76801">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2"/>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395352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6EE5762F">
            <w:pPr>
              <w:pStyle w:val="13"/>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1F66E7A1">
            <w:pPr>
              <w:pStyle w:val="13"/>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5C456115">
            <w:pPr>
              <w:pStyle w:val="13"/>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0C08F0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3475BCA">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1B665A4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2E7CBD3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u w:val="single"/>
              </w:rPr>
              <w:t>吐鲁番开能环保能源有限公司202</w:t>
            </w:r>
            <w:r>
              <w:rPr>
                <w:rFonts w:hint="eastAsia" w:eastAsia="仿宋_GB2312"/>
                <w:color w:val="auto"/>
                <w:sz w:val="32"/>
                <w:szCs w:val="32"/>
                <w:highlight w:val="none"/>
                <w:u w:val="single"/>
                <w:lang w:val="en-US" w:eastAsia="zh-CN"/>
              </w:rPr>
              <w:t>6</w:t>
            </w:r>
            <w:r>
              <w:rPr>
                <w:rFonts w:hint="eastAsia" w:eastAsia="仿宋_GB2312"/>
                <w:color w:val="auto"/>
                <w:sz w:val="32"/>
                <w:szCs w:val="32"/>
                <w:highlight w:val="none"/>
                <w:u w:val="single"/>
              </w:rPr>
              <w:t>-202</w:t>
            </w:r>
            <w:r>
              <w:rPr>
                <w:rFonts w:hint="eastAsia" w:eastAsia="仿宋_GB2312"/>
                <w:color w:val="auto"/>
                <w:sz w:val="32"/>
                <w:szCs w:val="32"/>
                <w:highlight w:val="none"/>
                <w:u w:val="single"/>
                <w:lang w:val="en-US" w:eastAsia="zh-CN"/>
              </w:rPr>
              <w:t>7</w:t>
            </w:r>
            <w:r>
              <w:rPr>
                <w:rFonts w:hint="eastAsia" w:eastAsia="仿宋_GB2312"/>
                <w:color w:val="auto"/>
                <w:sz w:val="32"/>
                <w:szCs w:val="32"/>
                <w:highlight w:val="none"/>
                <w:u w:val="single"/>
              </w:rPr>
              <w:t>年燃料及粉煤灰材料运输</w:t>
            </w:r>
          </w:p>
        </w:tc>
      </w:tr>
      <w:tr w14:paraId="604CFB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134DD90">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3746667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42D677FE">
            <w:pPr>
              <w:spacing w:line="360" w:lineRule="auto"/>
              <w:rPr>
                <w:rFonts w:eastAsia="仿宋_GB2312"/>
                <w:color w:val="auto"/>
                <w:sz w:val="32"/>
                <w:szCs w:val="32"/>
                <w:highlight w:val="none"/>
              </w:rPr>
            </w:pPr>
            <w:r>
              <w:rPr>
                <w:rFonts w:hint="eastAsia" w:eastAsia="仿宋_GB2312"/>
                <w:color w:val="auto"/>
                <w:sz w:val="32"/>
                <w:szCs w:val="32"/>
                <w:highlight w:val="none"/>
                <w:u w:val="single"/>
                <w:lang w:val="en-US" w:eastAsia="zh-CN"/>
              </w:rPr>
              <w:t>新疆</w:t>
            </w:r>
            <w:r>
              <w:rPr>
                <w:rFonts w:hint="default" w:eastAsia="仿宋_GB2312"/>
                <w:color w:val="auto"/>
                <w:sz w:val="32"/>
                <w:szCs w:val="32"/>
                <w:highlight w:val="none"/>
                <w:u w:val="single"/>
                <w:lang w:val="en-US" w:eastAsia="zh-CN"/>
              </w:rPr>
              <w:t>吐鲁番托克逊县阿乐惠镇圣雄工业园区电石厂区</w:t>
            </w:r>
          </w:p>
        </w:tc>
      </w:tr>
      <w:tr w14:paraId="382273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506755C">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2</w:t>
            </w:r>
          </w:p>
        </w:tc>
        <w:tc>
          <w:tcPr>
            <w:tcW w:w="2275" w:type="dxa"/>
            <w:vAlign w:val="center"/>
          </w:tcPr>
          <w:p w14:paraId="44E23D68">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14:paraId="60ED3749">
            <w:pPr>
              <w:spacing w:line="500" w:lineRule="exact"/>
              <w:jc w:val="left"/>
              <w:rPr>
                <w:rFonts w:eastAsia="仿宋_GB2312"/>
                <w:color w:val="auto"/>
                <w:sz w:val="32"/>
                <w:szCs w:val="32"/>
                <w:highlight w:val="none"/>
              </w:rPr>
            </w:pPr>
            <w:r>
              <w:rPr>
                <w:rFonts w:hint="eastAsia" w:eastAsia="仿宋_GB2312"/>
                <w:color w:val="auto"/>
                <w:sz w:val="32"/>
                <w:szCs w:val="32"/>
                <w:highlight w:val="none"/>
                <w:u w:val="single"/>
              </w:rPr>
              <w:t>项目运输周期</w:t>
            </w:r>
            <w:r>
              <w:rPr>
                <w:rFonts w:hint="eastAsia" w:eastAsia="仿宋_GB2312"/>
                <w:color w:val="auto"/>
                <w:sz w:val="32"/>
                <w:szCs w:val="32"/>
                <w:highlight w:val="none"/>
                <w:u w:val="single"/>
                <w:lang w:eastAsia="zh-CN"/>
              </w:rPr>
              <w:t>：自合同签订之日起满一年，预计时间为2026年2月1日至2027年1月31日 。</w:t>
            </w:r>
          </w:p>
        </w:tc>
      </w:tr>
      <w:tr w14:paraId="0CB551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CED8464">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3</w:t>
            </w:r>
          </w:p>
        </w:tc>
        <w:tc>
          <w:tcPr>
            <w:tcW w:w="2275" w:type="dxa"/>
            <w:vAlign w:val="center"/>
          </w:tcPr>
          <w:p w14:paraId="62813DE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79FA5371">
            <w:pPr>
              <w:adjustRightInd w:val="0"/>
              <w:snapToGrid w:val="0"/>
              <w:spacing w:line="560" w:lineRule="exact"/>
              <w:rPr>
                <w:rFonts w:eastAsia="仿宋_GB2312"/>
                <w:color w:val="auto"/>
                <w:sz w:val="32"/>
                <w:szCs w:val="32"/>
                <w:highlight w:val="none"/>
              </w:rPr>
            </w:pPr>
            <w:r>
              <w:rPr>
                <w:rFonts w:hint="eastAsia" w:ascii="仿宋" w:hAnsi="仿宋" w:eastAsia="仿宋"/>
                <w:color w:val="auto"/>
                <w:sz w:val="32"/>
                <w:szCs w:val="32"/>
                <w:highlight w:val="none"/>
              </w:rPr>
              <w:t>道路运输经营许可证</w:t>
            </w:r>
          </w:p>
        </w:tc>
      </w:tr>
      <w:tr w14:paraId="12F797D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B6B5325">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4</w:t>
            </w:r>
          </w:p>
        </w:tc>
        <w:tc>
          <w:tcPr>
            <w:tcW w:w="2275" w:type="dxa"/>
          </w:tcPr>
          <w:p w14:paraId="08DEED4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42D13AA4">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开标前，响应人应在项目开标前缴纳人民币肆万元整（小写￥40000.00元）至以下报价保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p>
          <w:p w14:paraId="009A42EB">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报价保证金收款账户信息：</w:t>
            </w:r>
          </w:p>
          <w:p w14:paraId="06E40911">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帐户名称：吐鲁番开能环保能源有限公司；                            </w:t>
            </w:r>
          </w:p>
          <w:p w14:paraId="4B8630BD">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开户银行：中国工商银行股份有公司托克逊支行 ；                         </w:t>
            </w:r>
          </w:p>
          <w:p w14:paraId="6310F09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val="en-US" w:eastAsia="zh-CN"/>
              </w:rPr>
              <w:t xml:space="preserve">银行帐号：3005 2931 0920 0127 655        </w:t>
            </w:r>
          </w:p>
        </w:tc>
      </w:tr>
      <w:tr w14:paraId="3E7596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8C3FA81">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5</w:t>
            </w:r>
          </w:p>
        </w:tc>
        <w:tc>
          <w:tcPr>
            <w:tcW w:w="2275" w:type="dxa"/>
          </w:tcPr>
          <w:p w14:paraId="569D223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2835468D">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05A0BD0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0885BD4">
            <w:pPr>
              <w:spacing w:line="360" w:lineRule="auto"/>
              <w:jc w:val="center"/>
              <w:rPr>
                <w:rFonts w:eastAsia="仿宋_GB2312"/>
                <w:color w:val="auto"/>
                <w:sz w:val="32"/>
                <w:szCs w:val="32"/>
                <w:highlight w:val="none"/>
              </w:rPr>
            </w:pPr>
          </w:p>
        </w:tc>
        <w:tc>
          <w:tcPr>
            <w:tcW w:w="2275" w:type="dxa"/>
            <w:vAlign w:val="center"/>
          </w:tcPr>
          <w:p w14:paraId="6363AC7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35C7B6C3">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28568C7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1F8B7F1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5A91A06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14F3A0D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10026C8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690CDCD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2F23D50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421C5F06">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004D436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5ADC70E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6D4A316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2C6ACB6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5D03F8F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516C05E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4EE8741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5DD8183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6B2E67CE">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20C1192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0A90F59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46DE8A9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58EEA0D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00C405B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4DB423D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5B7F2E72">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4F598830">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76206CE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07EFE85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4693ECB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0D7A6E4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15AF9FE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08AF606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77A8E0A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1094318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2DDBA9C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516A0486">
      <w:pPr>
        <w:rPr>
          <w:rFonts w:eastAsia="仿宋_GB2312"/>
          <w:color w:val="auto"/>
          <w:sz w:val="32"/>
          <w:szCs w:val="32"/>
          <w:highlight w:val="none"/>
        </w:rPr>
      </w:pPr>
    </w:p>
    <w:p w14:paraId="1C034318">
      <w:pPr>
        <w:rPr>
          <w:rFonts w:eastAsia="仿宋_GB2312"/>
          <w:color w:val="auto"/>
          <w:sz w:val="32"/>
          <w:szCs w:val="32"/>
          <w:highlight w:val="none"/>
        </w:rPr>
      </w:pPr>
    </w:p>
    <w:p w14:paraId="52B7D3CE">
      <w:pPr>
        <w:pStyle w:val="2"/>
        <w:ind w:left="0" w:leftChars="0" w:firstLine="0" w:firstLineChars="0"/>
        <w:rPr>
          <w:rFonts w:eastAsia="仿宋_GB2312"/>
          <w:color w:val="auto"/>
          <w:sz w:val="32"/>
          <w:szCs w:val="32"/>
          <w:highlight w:val="none"/>
        </w:rPr>
      </w:pPr>
    </w:p>
    <w:p w14:paraId="2C12A2BA">
      <w:pPr>
        <w:pStyle w:val="2"/>
        <w:ind w:left="0" w:leftChars="0" w:firstLine="0" w:firstLineChars="0"/>
        <w:rPr>
          <w:rFonts w:eastAsia="仿宋_GB2312"/>
          <w:color w:val="auto"/>
          <w:sz w:val="32"/>
          <w:szCs w:val="32"/>
          <w:highlight w:val="none"/>
        </w:rPr>
      </w:pPr>
    </w:p>
    <w:p w14:paraId="14E4EBA4">
      <w:pPr>
        <w:pStyle w:val="2"/>
        <w:ind w:left="0" w:leftChars="0" w:firstLine="0" w:firstLineChars="0"/>
        <w:rPr>
          <w:rFonts w:eastAsia="仿宋_GB2312"/>
          <w:color w:val="auto"/>
          <w:sz w:val="32"/>
          <w:szCs w:val="32"/>
          <w:highlight w:val="none"/>
        </w:rPr>
      </w:pPr>
    </w:p>
    <w:p w14:paraId="6F657E1D">
      <w:pPr>
        <w:pStyle w:val="2"/>
        <w:ind w:left="0" w:leftChars="0" w:firstLine="0" w:firstLineChars="0"/>
        <w:rPr>
          <w:rFonts w:eastAsia="仿宋_GB2312"/>
          <w:color w:val="auto"/>
          <w:sz w:val="32"/>
          <w:szCs w:val="32"/>
          <w:highlight w:val="none"/>
        </w:rPr>
      </w:pPr>
    </w:p>
    <w:p w14:paraId="36BDB36E">
      <w:pPr>
        <w:pStyle w:val="2"/>
        <w:ind w:left="0" w:leftChars="0" w:firstLine="0" w:firstLineChars="0"/>
        <w:rPr>
          <w:rFonts w:eastAsia="仿宋_GB2312"/>
          <w:color w:val="auto"/>
          <w:sz w:val="32"/>
          <w:szCs w:val="32"/>
          <w:highlight w:val="none"/>
        </w:rPr>
      </w:pPr>
    </w:p>
    <w:p w14:paraId="33206966">
      <w:pPr>
        <w:pStyle w:val="2"/>
        <w:ind w:left="0" w:leftChars="0" w:firstLine="0" w:firstLineChars="0"/>
        <w:rPr>
          <w:rFonts w:eastAsia="仿宋_GB2312"/>
          <w:color w:val="auto"/>
          <w:sz w:val="32"/>
          <w:szCs w:val="32"/>
          <w:highlight w:val="none"/>
        </w:rPr>
      </w:pPr>
    </w:p>
    <w:p w14:paraId="78BA20B2">
      <w:pPr>
        <w:pStyle w:val="2"/>
        <w:ind w:left="0" w:leftChars="0" w:firstLine="0" w:firstLineChars="0"/>
        <w:rPr>
          <w:rFonts w:eastAsia="仿宋_GB2312"/>
          <w:color w:val="auto"/>
          <w:sz w:val="32"/>
          <w:szCs w:val="32"/>
          <w:highlight w:val="none"/>
        </w:rPr>
      </w:pPr>
    </w:p>
    <w:p w14:paraId="7722055E">
      <w:pPr>
        <w:pStyle w:val="2"/>
        <w:ind w:left="0" w:leftChars="0" w:firstLine="0" w:firstLineChars="0"/>
        <w:rPr>
          <w:rFonts w:eastAsia="仿宋_GB2312"/>
          <w:color w:val="auto"/>
          <w:sz w:val="32"/>
          <w:szCs w:val="32"/>
          <w:highlight w:val="none"/>
        </w:rPr>
      </w:pPr>
    </w:p>
    <w:p w14:paraId="42B61E6C">
      <w:pPr>
        <w:pStyle w:val="2"/>
        <w:ind w:left="0" w:leftChars="0" w:firstLine="0" w:firstLineChars="0"/>
        <w:rPr>
          <w:rFonts w:eastAsia="仿宋_GB2312"/>
          <w:color w:val="auto"/>
          <w:sz w:val="32"/>
          <w:szCs w:val="32"/>
          <w:highlight w:val="none"/>
        </w:rPr>
      </w:pPr>
    </w:p>
    <w:p w14:paraId="27ECD22F">
      <w:pPr>
        <w:pStyle w:val="2"/>
        <w:ind w:left="0" w:leftChars="0" w:firstLine="0" w:firstLineChars="0"/>
        <w:rPr>
          <w:rFonts w:eastAsia="仿宋_GB2312"/>
          <w:color w:val="auto"/>
          <w:sz w:val="32"/>
          <w:szCs w:val="32"/>
          <w:highlight w:val="none"/>
        </w:rPr>
      </w:pPr>
    </w:p>
    <w:p w14:paraId="7A71F471">
      <w:pPr>
        <w:pStyle w:val="2"/>
        <w:ind w:left="0" w:leftChars="0" w:firstLine="0" w:firstLineChars="0"/>
        <w:rPr>
          <w:rFonts w:eastAsia="仿宋_GB2312"/>
          <w:color w:val="auto"/>
          <w:sz w:val="32"/>
          <w:szCs w:val="32"/>
          <w:highlight w:val="none"/>
        </w:rPr>
      </w:pPr>
    </w:p>
    <w:p w14:paraId="7D02FC8A">
      <w:pPr>
        <w:pStyle w:val="2"/>
        <w:ind w:left="0" w:leftChars="0" w:firstLine="0" w:firstLineChars="0"/>
        <w:rPr>
          <w:rFonts w:eastAsia="仿宋_GB2312"/>
          <w:color w:val="auto"/>
          <w:sz w:val="32"/>
          <w:szCs w:val="32"/>
          <w:highlight w:val="none"/>
        </w:rPr>
      </w:pPr>
    </w:p>
    <w:p w14:paraId="0AF5DBD4">
      <w:pPr>
        <w:pStyle w:val="2"/>
        <w:ind w:left="0" w:leftChars="0" w:firstLine="0" w:firstLineChars="0"/>
        <w:rPr>
          <w:rFonts w:eastAsia="仿宋_GB2312"/>
          <w:color w:val="auto"/>
          <w:sz w:val="32"/>
          <w:szCs w:val="32"/>
          <w:highlight w:val="none"/>
        </w:rPr>
      </w:pPr>
    </w:p>
    <w:p w14:paraId="5EBFD540">
      <w:pPr>
        <w:pStyle w:val="2"/>
        <w:ind w:left="0" w:leftChars="0" w:firstLine="0" w:firstLineChars="0"/>
        <w:rPr>
          <w:rFonts w:eastAsia="仿宋_GB2312"/>
          <w:color w:val="auto"/>
          <w:sz w:val="32"/>
          <w:szCs w:val="32"/>
          <w:highlight w:val="none"/>
        </w:rPr>
      </w:pPr>
    </w:p>
    <w:p w14:paraId="72568282">
      <w:pPr>
        <w:pStyle w:val="42"/>
        <w:ind w:firstLine="0" w:firstLineChars="0"/>
        <w:jc w:val="left"/>
        <w:outlineLvl w:val="1"/>
        <w:rPr>
          <w:rFonts w:hint="default" w:eastAsia="黑体"/>
          <w:color w:val="auto"/>
          <w:sz w:val="28"/>
          <w:szCs w:val="44"/>
          <w:highlight w:val="none"/>
          <w:lang w:val="en-US" w:eastAsia="zh-CN"/>
        </w:rPr>
      </w:pPr>
      <w:bookmarkStart w:id="2" w:name="_Hlk524442005"/>
      <w:r>
        <w:rPr>
          <w:rFonts w:hint="eastAsia" w:eastAsia="黑体"/>
          <w:color w:val="auto"/>
          <w:sz w:val="28"/>
          <w:szCs w:val="44"/>
          <w:highlight w:val="none"/>
        </w:rPr>
        <w:t>附件二报价函</w:t>
      </w:r>
      <w:r>
        <w:rPr>
          <w:rFonts w:hint="eastAsia" w:eastAsia="黑体"/>
          <w:color w:val="auto"/>
          <w:sz w:val="28"/>
          <w:szCs w:val="44"/>
          <w:highlight w:val="none"/>
          <w:lang w:val="en-US" w:eastAsia="zh-CN"/>
        </w:rPr>
        <w:t>及报价清单</w:t>
      </w:r>
    </w:p>
    <w:p w14:paraId="05D24A30">
      <w:pPr>
        <w:jc w:val="center"/>
        <w:rPr>
          <w:rFonts w:eastAsia="华文中宋"/>
          <w:color w:val="auto"/>
          <w:sz w:val="44"/>
          <w:szCs w:val="44"/>
          <w:highlight w:val="none"/>
        </w:rPr>
      </w:pPr>
      <w:r>
        <w:rPr>
          <w:rFonts w:hint="eastAsia" w:eastAsia="华文中宋"/>
          <w:color w:val="auto"/>
          <w:sz w:val="44"/>
          <w:szCs w:val="44"/>
          <w:highlight w:val="none"/>
        </w:rPr>
        <w:t>报价函</w:t>
      </w:r>
    </w:p>
    <w:p w14:paraId="6982E714">
      <w:pPr>
        <w:ind w:firstLine="560"/>
        <w:jc w:val="center"/>
        <w:rPr>
          <w:rFonts w:eastAsia="仿宋_GB2312"/>
          <w:color w:val="auto"/>
          <w:sz w:val="32"/>
          <w:szCs w:val="32"/>
          <w:highlight w:val="none"/>
        </w:rPr>
      </w:pPr>
    </w:p>
    <w:p w14:paraId="7B80A7CC">
      <w:pPr>
        <w:rPr>
          <w:rFonts w:eastAsia="仿宋_GB2312"/>
          <w:color w:val="auto"/>
          <w:sz w:val="32"/>
          <w:szCs w:val="32"/>
          <w:highlight w:val="none"/>
        </w:rPr>
      </w:pP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40D25F16">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吐鲁番开能环保能源有限公司202</w:t>
      </w:r>
      <w:r>
        <w:rPr>
          <w:rFonts w:hint="eastAsia" w:eastAsia="仿宋_GB2312"/>
          <w:color w:val="auto"/>
          <w:sz w:val="32"/>
          <w:szCs w:val="32"/>
          <w:highlight w:val="none"/>
          <w:u w:val="single"/>
          <w:lang w:val="en-US" w:eastAsia="zh-CN"/>
        </w:rPr>
        <w:t>6</w:t>
      </w:r>
      <w:r>
        <w:rPr>
          <w:rFonts w:hint="eastAsia" w:eastAsia="仿宋_GB2312"/>
          <w:color w:val="auto"/>
          <w:sz w:val="32"/>
          <w:szCs w:val="32"/>
          <w:highlight w:val="none"/>
          <w:u w:val="single"/>
        </w:rPr>
        <w:t>-202</w:t>
      </w:r>
      <w:r>
        <w:rPr>
          <w:rFonts w:hint="eastAsia" w:eastAsia="仿宋_GB2312"/>
          <w:color w:val="auto"/>
          <w:sz w:val="32"/>
          <w:szCs w:val="32"/>
          <w:highlight w:val="none"/>
          <w:u w:val="single"/>
          <w:lang w:val="en-US" w:eastAsia="zh-CN"/>
        </w:rPr>
        <w:t>7</w:t>
      </w:r>
      <w:r>
        <w:rPr>
          <w:rFonts w:hint="eastAsia" w:eastAsia="仿宋_GB2312"/>
          <w:color w:val="auto"/>
          <w:sz w:val="32"/>
          <w:szCs w:val="32"/>
          <w:highlight w:val="none"/>
          <w:u w:val="single"/>
        </w:rPr>
        <w:t>年燃料及粉煤灰材料运输</w:t>
      </w:r>
      <w:r>
        <w:rPr>
          <w:rFonts w:eastAsia="仿宋_GB2312"/>
          <w:color w:val="auto"/>
          <w:sz w:val="32"/>
          <w:szCs w:val="32"/>
          <w:highlight w:val="none"/>
          <w:u w:val="single"/>
        </w:rPr>
        <w:t xml:space="preserve">  </w:t>
      </w:r>
      <w:r>
        <w:rPr>
          <w:rFonts w:hint="eastAsia" w:eastAsia="仿宋_GB2312"/>
          <w:color w:val="auto"/>
          <w:sz w:val="32"/>
          <w:szCs w:val="32"/>
          <w:highlight w:val="none"/>
        </w:rPr>
        <w:t>项目，我司愿意以含税价合计人民币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w:t>
      </w:r>
      <w:r>
        <w:rPr>
          <w:rFonts w:hint="eastAsia" w:eastAsia="仿宋_GB2312"/>
          <w:color w:val="auto"/>
          <w:sz w:val="32"/>
          <w:szCs w:val="32"/>
          <w:highlight w:val="none"/>
          <w:u w:val="single"/>
          <w:lang w:val="en-US" w:eastAsia="zh-CN"/>
        </w:rPr>
        <w:t>xx</w:t>
      </w:r>
      <w:r>
        <w:rPr>
          <w:rFonts w:hint="eastAsia" w:eastAsia="仿宋_GB2312"/>
          <w:color w:val="auto"/>
          <w:sz w:val="32"/>
          <w:szCs w:val="32"/>
          <w:highlight w:val="none"/>
          <w:u w:val="single"/>
        </w:rPr>
        <w:t>%增值税专用发票）</w:t>
      </w:r>
      <w:r>
        <w:rPr>
          <w:rFonts w:hint="eastAsia" w:eastAsia="仿宋_GB2312"/>
          <w:color w:val="auto"/>
          <w:sz w:val="32"/>
          <w:szCs w:val="32"/>
          <w:highlight w:val="none"/>
        </w:rPr>
        <w:t>承接此项目。</w:t>
      </w:r>
    </w:p>
    <w:p w14:paraId="1F5F7913">
      <w:pPr>
        <w:rPr>
          <w:rFonts w:eastAsia="仿宋_GB2312"/>
          <w:color w:val="auto"/>
          <w:sz w:val="32"/>
          <w:szCs w:val="32"/>
          <w:highlight w:val="none"/>
        </w:rPr>
      </w:pPr>
    </w:p>
    <w:p w14:paraId="13887F0F">
      <w:pPr>
        <w:rPr>
          <w:rFonts w:eastAsia="仿宋_GB2312"/>
          <w:color w:val="auto"/>
          <w:sz w:val="32"/>
          <w:szCs w:val="32"/>
          <w:highlight w:val="none"/>
        </w:rPr>
      </w:pPr>
    </w:p>
    <w:p w14:paraId="640977EC">
      <w:pPr>
        <w:rPr>
          <w:rFonts w:eastAsia="仿宋_GB2312"/>
          <w:color w:val="auto"/>
          <w:sz w:val="32"/>
          <w:szCs w:val="32"/>
          <w:highlight w:val="none"/>
        </w:rPr>
      </w:pPr>
    </w:p>
    <w:p w14:paraId="345F8005">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5DD38D8D">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642D5B4D">
      <w:pPr>
        <w:jc w:val="left"/>
        <w:rPr>
          <w:rFonts w:eastAsia="仿宋_GB2312"/>
          <w:color w:val="auto"/>
          <w:sz w:val="32"/>
          <w:szCs w:val="32"/>
          <w:highlight w:val="none"/>
        </w:rPr>
      </w:pPr>
      <w:r>
        <w:rPr>
          <w:rFonts w:hint="eastAsia" w:eastAsia="仿宋_GB2312"/>
          <w:color w:val="auto"/>
          <w:sz w:val="32"/>
          <w:szCs w:val="32"/>
          <w:highlight w:val="none"/>
        </w:rPr>
        <w:t>联系人：</w:t>
      </w:r>
    </w:p>
    <w:p w14:paraId="654006C4">
      <w:pPr>
        <w:jc w:val="left"/>
        <w:rPr>
          <w:rFonts w:eastAsia="仿宋_GB2312"/>
          <w:color w:val="auto"/>
          <w:sz w:val="32"/>
          <w:szCs w:val="32"/>
          <w:highlight w:val="none"/>
        </w:rPr>
      </w:pPr>
      <w:r>
        <w:rPr>
          <w:rFonts w:hint="eastAsia" w:eastAsia="仿宋_GB2312"/>
          <w:color w:val="auto"/>
          <w:sz w:val="32"/>
          <w:szCs w:val="32"/>
          <w:highlight w:val="none"/>
        </w:rPr>
        <w:t>联系电话：</w:t>
      </w:r>
    </w:p>
    <w:p w14:paraId="19034043">
      <w:pPr>
        <w:jc w:val="left"/>
        <w:rPr>
          <w:rFonts w:eastAsia="仿宋_GB2312"/>
          <w:color w:val="auto"/>
          <w:sz w:val="32"/>
          <w:szCs w:val="32"/>
          <w:highlight w:val="none"/>
        </w:rPr>
      </w:pPr>
      <w:r>
        <w:rPr>
          <w:rFonts w:hint="eastAsia" w:eastAsia="仿宋_GB2312"/>
          <w:color w:val="auto"/>
          <w:sz w:val="32"/>
          <w:szCs w:val="32"/>
          <w:highlight w:val="none"/>
        </w:rPr>
        <w:t>日期：</w:t>
      </w:r>
    </w:p>
    <w:p w14:paraId="5CE71A56">
      <w:pPr>
        <w:jc w:val="center"/>
        <w:rPr>
          <w:rFonts w:eastAsia="仿宋_GB2312"/>
          <w:color w:val="auto"/>
          <w:sz w:val="32"/>
          <w:szCs w:val="32"/>
          <w:highlight w:val="none"/>
        </w:rPr>
      </w:pPr>
    </w:p>
    <w:p w14:paraId="51C8F880">
      <w:pPr>
        <w:jc w:val="center"/>
        <w:rPr>
          <w:rFonts w:eastAsia="仿宋_GB2312"/>
          <w:color w:val="auto"/>
          <w:sz w:val="32"/>
          <w:szCs w:val="32"/>
          <w:highlight w:val="none"/>
        </w:rPr>
      </w:pPr>
    </w:p>
    <w:p w14:paraId="3E7139A7">
      <w:pPr>
        <w:jc w:val="both"/>
        <w:rPr>
          <w:rFonts w:eastAsia="仿宋_GB2312"/>
          <w:color w:val="auto"/>
          <w:sz w:val="32"/>
          <w:szCs w:val="32"/>
          <w:highlight w:val="none"/>
        </w:rPr>
      </w:pPr>
    </w:p>
    <w:p w14:paraId="085F12AE">
      <w:pPr>
        <w:jc w:val="center"/>
        <w:rPr>
          <w:rFonts w:eastAsia="仿宋_GB2312"/>
          <w:color w:val="auto"/>
          <w:sz w:val="32"/>
          <w:szCs w:val="32"/>
          <w:highlight w:val="none"/>
        </w:rPr>
      </w:pPr>
    </w:p>
    <w:p w14:paraId="166057E1">
      <w:pPr>
        <w:jc w:val="center"/>
        <w:rPr>
          <w:rFonts w:eastAsia="仿宋_GB2312"/>
          <w:color w:val="auto"/>
          <w:sz w:val="32"/>
          <w:szCs w:val="32"/>
          <w:highlight w:val="none"/>
        </w:rPr>
      </w:pPr>
      <w:r>
        <w:rPr>
          <w:rFonts w:hint="eastAsia" w:eastAsia="华文中宋"/>
          <w:color w:val="auto"/>
          <w:sz w:val="44"/>
          <w:szCs w:val="44"/>
          <w:highlight w:val="none"/>
        </w:rPr>
        <w:t>报价清单</w:t>
      </w:r>
    </w:p>
    <w:tbl>
      <w:tblPr>
        <w:tblStyle w:val="22"/>
        <w:tblpPr w:leftFromText="180" w:rightFromText="180" w:vertAnchor="text" w:horzAnchor="page" w:tblpX="224" w:tblpY="183"/>
        <w:tblOverlap w:val="never"/>
        <w:tblW w:w="11449" w:type="dxa"/>
        <w:tblInd w:w="0" w:type="dxa"/>
        <w:tblLayout w:type="fixed"/>
        <w:tblCellMar>
          <w:top w:w="0" w:type="dxa"/>
          <w:left w:w="0" w:type="dxa"/>
          <w:bottom w:w="0" w:type="dxa"/>
          <w:right w:w="0" w:type="dxa"/>
        </w:tblCellMar>
      </w:tblPr>
      <w:tblGrid>
        <w:gridCol w:w="251"/>
        <w:gridCol w:w="686"/>
        <w:gridCol w:w="854"/>
        <w:gridCol w:w="794"/>
        <w:gridCol w:w="784"/>
        <w:gridCol w:w="1197"/>
        <w:gridCol w:w="1205"/>
        <w:gridCol w:w="1161"/>
        <w:gridCol w:w="1053"/>
        <w:gridCol w:w="1052"/>
        <w:gridCol w:w="1099"/>
        <w:gridCol w:w="1313"/>
      </w:tblGrid>
      <w:tr w14:paraId="156B1532">
        <w:tblPrEx>
          <w:tblCellMar>
            <w:top w:w="0" w:type="dxa"/>
            <w:left w:w="0" w:type="dxa"/>
            <w:bottom w:w="0" w:type="dxa"/>
            <w:right w:w="0" w:type="dxa"/>
          </w:tblCellMar>
        </w:tblPrEx>
        <w:trPr>
          <w:trHeight w:val="360" w:hRule="atLeast"/>
        </w:trPr>
        <w:tc>
          <w:tcPr>
            <w:tcW w:w="25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A87A9D">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序号</w:t>
            </w:r>
          </w:p>
        </w:tc>
        <w:tc>
          <w:tcPr>
            <w:tcW w:w="68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73C826">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设备/材料名称</w:t>
            </w:r>
          </w:p>
        </w:tc>
        <w:tc>
          <w:tcPr>
            <w:tcW w:w="85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273C9D">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运输包装方式</w:t>
            </w: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06474C">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运输距离（千米）</w:t>
            </w:r>
          </w:p>
        </w:tc>
        <w:tc>
          <w:tcPr>
            <w:tcW w:w="78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0DDA6C">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预计运输总重量（吨）</w:t>
            </w:r>
          </w:p>
        </w:tc>
        <w:tc>
          <w:tcPr>
            <w:tcW w:w="11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B33EAE">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起运地</w:t>
            </w:r>
          </w:p>
        </w:tc>
        <w:tc>
          <w:tcPr>
            <w:tcW w:w="12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AFF9EC">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目的地</w:t>
            </w:r>
          </w:p>
        </w:tc>
        <w:tc>
          <w:tcPr>
            <w:tcW w:w="116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C10A8D">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运输方式</w:t>
            </w:r>
          </w:p>
        </w:tc>
        <w:tc>
          <w:tcPr>
            <w:tcW w:w="105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E32E67">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单位</w:t>
            </w:r>
          </w:p>
        </w:tc>
        <w:tc>
          <w:tcPr>
            <w:tcW w:w="105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65FD72">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报价单价（元/吨）</w:t>
            </w:r>
          </w:p>
        </w:tc>
        <w:tc>
          <w:tcPr>
            <w:tcW w:w="10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B6B344">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总价（元 )</w:t>
            </w:r>
          </w:p>
        </w:tc>
        <w:tc>
          <w:tcPr>
            <w:tcW w:w="1313"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D372E0">
            <w:pPr>
              <w:widowControl/>
              <w:jc w:val="center"/>
              <w:textAlignment w:val="center"/>
              <w:rPr>
                <w:rFonts w:ascii="宋体" w:hAnsi="宋体" w:cs="宋体"/>
                <w:color w:val="auto"/>
                <w:szCs w:val="24"/>
                <w:highlight w:val="none"/>
              </w:rPr>
            </w:pPr>
            <w:r>
              <w:rPr>
                <w:rFonts w:hint="eastAsia" w:ascii="宋体" w:hAnsi="宋体" w:cs="宋体"/>
                <w:color w:val="auto"/>
                <w:szCs w:val="21"/>
                <w:highlight w:val="none"/>
                <w:lang w:bidi="ar"/>
              </w:rPr>
              <w:t>备注</w:t>
            </w:r>
          </w:p>
        </w:tc>
      </w:tr>
      <w:tr w14:paraId="4CD29455">
        <w:tblPrEx>
          <w:tblCellMar>
            <w:top w:w="0" w:type="dxa"/>
            <w:left w:w="0" w:type="dxa"/>
            <w:bottom w:w="0" w:type="dxa"/>
            <w:right w:w="0" w:type="dxa"/>
          </w:tblCellMar>
        </w:tblPrEx>
        <w:trPr>
          <w:trHeight w:val="1079" w:hRule="atLeast"/>
        </w:trPr>
        <w:tc>
          <w:tcPr>
            <w:tcW w:w="2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B18E7F">
            <w:pPr>
              <w:jc w:val="center"/>
              <w:rPr>
                <w:rFonts w:ascii="宋体" w:hAnsi="宋体" w:cs="宋体"/>
                <w:b/>
                <w:color w:val="auto"/>
                <w:sz w:val="18"/>
                <w:szCs w:val="18"/>
                <w:highlight w:val="none"/>
              </w:rPr>
            </w:pPr>
          </w:p>
        </w:tc>
        <w:tc>
          <w:tcPr>
            <w:tcW w:w="6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E4A0C3">
            <w:pPr>
              <w:jc w:val="center"/>
              <w:rPr>
                <w:rFonts w:ascii="宋体" w:hAnsi="宋体" w:cs="宋体"/>
                <w:b/>
                <w:color w:val="auto"/>
                <w:sz w:val="18"/>
                <w:szCs w:val="18"/>
                <w:highlight w:val="none"/>
              </w:rPr>
            </w:pPr>
          </w:p>
        </w:tc>
        <w:tc>
          <w:tcPr>
            <w:tcW w:w="85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E5B45E">
            <w:pPr>
              <w:jc w:val="center"/>
              <w:rPr>
                <w:rFonts w:ascii="宋体" w:hAnsi="宋体" w:cs="宋体"/>
                <w:b/>
                <w:color w:val="auto"/>
                <w:sz w:val="18"/>
                <w:szCs w:val="18"/>
                <w:highlight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C2993A">
            <w:pPr>
              <w:jc w:val="center"/>
              <w:rPr>
                <w:rFonts w:ascii="宋体" w:hAnsi="宋体" w:cs="宋体"/>
                <w:b/>
                <w:color w:val="auto"/>
                <w:sz w:val="18"/>
                <w:szCs w:val="18"/>
                <w:highlight w:val="none"/>
              </w:rPr>
            </w:pPr>
          </w:p>
        </w:tc>
        <w:tc>
          <w:tcPr>
            <w:tcW w:w="7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6D3554">
            <w:pPr>
              <w:jc w:val="center"/>
              <w:rPr>
                <w:rFonts w:ascii="宋体" w:hAnsi="宋体" w:cs="宋体"/>
                <w:b/>
                <w:color w:val="auto"/>
                <w:sz w:val="18"/>
                <w:szCs w:val="18"/>
                <w:highlight w:val="none"/>
              </w:rPr>
            </w:pPr>
          </w:p>
        </w:tc>
        <w:tc>
          <w:tcPr>
            <w:tcW w:w="11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E2C416">
            <w:pPr>
              <w:jc w:val="center"/>
              <w:rPr>
                <w:rFonts w:ascii="宋体" w:hAnsi="宋体" w:cs="宋体"/>
                <w:b/>
                <w:color w:val="auto"/>
                <w:sz w:val="18"/>
                <w:szCs w:val="18"/>
                <w:highlight w:val="none"/>
              </w:rPr>
            </w:pPr>
          </w:p>
        </w:tc>
        <w:tc>
          <w:tcPr>
            <w:tcW w:w="12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FCCD25">
            <w:pPr>
              <w:jc w:val="center"/>
              <w:rPr>
                <w:rFonts w:ascii="宋体" w:hAnsi="宋体" w:cs="宋体"/>
                <w:b/>
                <w:color w:val="auto"/>
                <w:sz w:val="18"/>
                <w:szCs w:val="18"/>
                <w:highlight w:val="none"/>
              </w:rPr>
            </w:pPr>
          </w:p>
        </w:tc>
        <w:tc>
          <w:tcPr>
            <w:tcW w:w="116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A528AB">
            <w:pPr>
              <w:jc w:val="center"/>
              <w:rPr>
                <w:rFonts w:ascii="宋体" w:hAnsi="宋体" w:cs="宋体"/>
                <w:b/>
                <w:color w:val="auto"/>
                <w:sz w:val="18"/>
                <w:szCs w:val="18"/>
                <w:highlight w:val="none"/>
              </w:rPr>
            </w:pPr>
          </w:p>
        </w:tc>
        <w:tc>
          <w:tcPr>
            <w:tcW w:w="105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916AA7">
            <w:pPr>
              <w:jc w:val="center"/>
              <w:rPr>
                <w:rFonts w:ascii="宋体" w:hAnsi="宋体" w:cs="宋体"/>
                <w:b/>
                <w:color w:val="auto"/>
                <w:sz w:val="18"/>
                <w:szCs w:val="18"/>
                <w:highlight w:val="none"/>
              </w:rPr>
            </w:pPr>
          </w:p>
        </w:tc>
        <w:tc>
          <w:tcPr>
            <w:tcW w:w="105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7A679C">
            <w:pPr>
              <w:jc w:val="center"/>
              <w:rPr>
                <w:rFonts w:ascii="宋体" w:hAnsi="宋体" w:cs="宋体"/>
                <w:b/>
                <w:color w:val="auto"/>
                <w:sz w:val="18"/>
                <w:szCs w:val="18"/>
                <w:highlight w:val="none"/>
              </w:rPr>
            </w:pPr>
          </w:p>
        </w:tc>
        <w:tc>
          <w:tcPr>
            <w:tcW w:w="10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6A054D">
            <w:pPr>
              <w:jc w:val="center"/>
              <w:rPr>
                <w:rFonts w:ascii="宋体" w:hAnsi="宋体" w:cs="宋体"/>
                <w:b/>
                <w:color w:val="auto"/>
                <w:sz w:val="18"/>
                <w:szCs w:val="18"/>
                <w:highlight w:val="none"/>
              </w:rPr>
            </w:pPr>
          </w:p>
        </w:tc>
        <w:tc>
          <w:tcPr>
            <w:tcW w:w="131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F169AD">
            <w:pPr>
              <w:jc w:val="center"/>
              <w:rPr>
                <w:rFonts w:ascii="宋体" w:hAnsi="宋体" w:cs="宋体"/>
                <w:color w:val="auto"/>
                <w:szCs w:val="24"/>
                <w:highlight w:val="none"/>
              </w:rPr>
            </w:pPr>
          </w:p>
        </w:tc>
      </w:tr>
      <w:tr w14:paraId="2F705EE1">
        <w:tblPrEx>
          <w:tblCellMar>
            <w:top w:w="0" w:type="dxa"/>
            <w:left w:w="0" w:type="dxa"/>
            <w:bottom w:w="0" w:type="dxa"/>
            <w:right w:w="0" w:type="dxa"/>
          </w:tblCellMar>
        </w:tblPrEx>
        <w:trPr>
          <w:trHeight w:val="1413" w:hRule="atLeast"/>
        </w:trPr>
        <w:tc>
          <w:tcPr>
            <w:tcW w:w="2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584773">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1</w:t>
            </w:r>
          </w:p>
        </w:tc>
        <w:tc>
          <w:tcPr>
            <w:tcW w:w="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C248AE">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煤末/兰炭末</w:t>
            </w:r>
          </w:p>
        </w:tc>
        <w:tc>
          <w:tcPr>
            <w:tcW w:w="8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C72B7F">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裸装</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0C524C">
            <w:pPr>
              <w:widowControl/>
              <w:jc w:val="center"/>
              <w:textAlignment w:val="center"/>
              <w:rPr>
                <w:rFonts w:ascii="宋体" w:hAnsi="宋体" w:cs="宋体" w:eastAsiaTheme="minorEastAsia"/>
                <w:color w:val="auto"/>
                <w:sz w:val="18"/>
                <w:szCs w:val="18"/>
                <w:highlight w:val="none"/>
              </w:rPr>
            </w:pPr>
            <w:r>
              <w:rPr>
                <w:rFonts w:hint="eastAsia" w:ascii="宋体" w:hAnsi="宋体" w:cs="宋体"/>
                <w:color w:val="auto"/>
                <w:sz w:val="18"/>
                <w:szCs w:val="18"/>
                <w:highlight w:val="none"/>
                <w:lang w:bidi="ar"/>
              </w:rPr>
              <w:t>3</w:t>
            </w:r>
          </w:p>
        </w:tc>
        <w:tc>
          <w:tcPr>
            <w:tcW w:w="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200D26">
            <w:pPr>
              <w:widowControl/>
              <w:jc w:val="center"/>
              <w:textAlignment w:val="center"/>
              <w:rPr>
                <w:rFonts w:ascii="宋体" w:hAnsi="宋体" w:cs="宋体" w:eastAsiaTheme="minorEastAsia"/>
                <w:color w:val="auto"/>
                <w:sz w:val="18"/>
                <w:szCs w:val="18"/>
                <w:highlight w:val="none"/>
              </w:rPr>
            </w:pPr>
            <w:r>
              <w:rPr>
                <w:rFonts w:hint="eastAsia" w:ascii="宋体" w:hAnsi="宋体" w:cs="宋体"/>
                <w:color w:val="auto"/>
                <w:sz w:val="18"/>
                <w:szCs w:val="18"/>
                <w:highlight w:val="none"/>
                <w:lang w:bidi="ar"/>
              </w:rPr>
              <w:t>100000</w:t>
            </w:r>
          </w:p>
        </w:tc>
        <w:tc>
          <w:tcPr>
            <w:tcW w:w="11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F82459">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新疆圣雄电石有限公司原料堆场指定地点</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17BE2D">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吐鲁番开能环保能源有限公司厂区干煤棚指定地点</w:t>
            </w:r>
          </w:p>
        </w:tc>
        <w:tc>
          <w:tcPr>
            <w:tcW w:w="11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7F8D24">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汽运</w:t>
            </w:r>
          </w:p>
        </w:tc>
        <w:tc>
          <w:tcPr>
            <w:tcW w:w="10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6082A6">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元/吨</w:t>
            </w:r>
          </w:p>
        </w:tc>
        <w:tc>
          <w:tcPr>
            <w:tcW w:w="10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0C16D0">
            <w:pPr>
              <w:jc w:val="center"/>
              <w:rPr>
                <w:rFonts w:ascii="宋体" w:hAnsi="宋体" w:cs="宋体"/>
                <w:color w:val="auto"/>
                <w:sz w:val="18"/>
                <w:szCs w:val="18"/>
                <w:highlight w:val="none"/>
              </w:rPr>
            </w:pPr>
          </w:p>
        </w:tc>
        <w:tc>
          <w:tcPr>
            <w:tcW w:w="10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812E79">
            <w:pPr>
              <w:widowControl/>
              <w:jc w:val="center"/>
              <w:textAlignment w:val="center"/>
              <w:rPr>
                <w:rFonts w:ascii="宋体" w:hAnsi="宋体" w:cs="宋体" w:eastAsiaTheme="minorEastAsia"/>
                <w:b/>
                <w:color w:val="auto"/>
                <w:sz w:val="18"/>
                <w:szCs w:val="18"/>
                <w:highlight w:val="none"/>
              </w:rPr>
            </w:pP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3EA8BB">
            <w:pPr>
              <w:rPr>
                <w:rFonts w:ascii="宋体" w:hAnsi="宋体" w:cs="宋体"/>
                <w:color w:val="auto"/>
                <w:szCs w:val="24"/>
                <w:highlight w:val="none"/>
              </w:rPr>
            </w:pPr>
            <w:r>
              <w:rPr>
                <w:rFonts w:hint="eastAsia" w:ascii="宋体" w:hAnsi="宋体" w:cs="宋体"/>
                <w:color w:val="auto"/>
                <w:szCs w:val="24"/>
                <w:highlight w:val="none"/>
              </w:rPr>
              <w:t>预计每月运输数量8333.33吨</w:t>
            </w:r>
          </w:p>
        </w:tc>
      </w:tr>
      <w:tr w14:paraId="1A516590">
        <w:tblPrEx>
          <w:tblCellMar>
            <w:top w:w="0" w:type="dxa"/>
            <w:left w:w="0" w:type="dxa"/>
            <w:bottom w:w="0" w:type="dxa"/>
            <w:right w:w="0" w:type="dxa"/>
          </w:tblCellMar>
        </w:tblPrEx>
        <w:trPr>
          <w:trHeight w:val="1440" w:hRule="atLeast"/>
        </w:trPr>
        <w:tc>
          <w:tcPr>
            <w:tcW w:w="2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4B4376">
            <w:pPr>
              <w:jc w:val="center"/>
              <w:rPr>
                <w:rFonts w:ascii="宋体" w:hAnsi="宋体" w:cs="宋体" w:eastAsiaTheme="minorEastAsia"/>
                <w:b/>
                <w:color w:val="auto"/>
                <w:sz w:val="18"/>
                <w:szCs w:val="18"/>
                <w:highlight w:val="none"/>
              </w:rPr>
            </w:pPr>
            <w:r>
              <w:rPr>
                <w:rFonts w:hint="eastAsia" w:ascii="宋体" w:hAnsi="宋体" w:cs="宋体"/>
                <w:b/>
                <w:color w:val="auto"/>
                <w:sz w:val="18"/>
                <w:szCs w:val="18"/>
                <w:highlight w:val="none"/>
              </w:rPr>
              <w:t>2</w:t>
            </w:r>
          </w:p>
        </w:tc>
        <w:tc>
          <w:tcPr>
            <w:tcW w:w="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18B943">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粉煤灰</w:t>
            </w:r>
          </w:p>
        </w:tc>
        <w:tc>
          <w:tcPr>
            <w:tcW w:w="8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56F81D">
            <w:pPr>
              <w:widowControl/>
              <w:jc w:val="center"/>
              <w:textAlignment w:val="center"/>
              <w:rPr>
                <w:rFonts w:hint="eastAsia" w:ascii="宋体" w:hAnsi="宋体" w:eastAsia="宋体" w:cs="宋体"/>
                <w:color w:val="auto"/>
                <w:sz w:val="18"/>
                <w:szCs w:val="18"/>
                <w:highlight w:val="none"/>
                <w:lang w:eastAsia="zh-CN"/>
              </w:rPr>
            </w:pPr>
            <w:r>
              <w:rPr>
                <w:rFonts w:hint="eastAsia" w:ascii="宋体" w:hAnsi="宋体" w:cs="宋体"/>
                <w:color w:val="auto"/>
                <w:sz w:val="18"/>
                <w:szCs w:val="18"/>
                <w:highlight w:val="none"/>
                <w:lang w:val="en-US" w:eastAsia="zh-CN" w:bidi="ar"/>
              </w:rPr>
              <w:t>散装</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967AA0">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16</w:t>
            </w:r>
          </w:p>
        </w:tc>
        <w:tc>
          <w:tcPr>
            <w:tcW w:w="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355112">
            <w:pPr>
              <w:widowControl/>
              <w:jc w:val="center"/>
              <w:textAlignment w:val="center"/>
              <w:rPr>
                <w:rFonts w:hint="default" w:ascii="宋体" w:hAnsi="宋体" w:cs="宋体" w:eastAsiaTheme="minorEastAsia"/>
                <w:color w:val="auto"/>
                <w:sz w:val="18"/>
                <w:szCs w:val="18"/>
                <w:highlight w:val="none"/>
                <w:lang w:val="en-US" w:eastAsia="zh-CN"/>
              </w:rPr>
            </w:pPr>
            <w:r>
              <w:rPr>
                <w:rFonts w:hint="eastAsia" w:ascii="宋体" w:hAnsi="宋体" w:cs="宋体" w:eastAsiaTheme="minorEastAsia"/>
                <w:color w:val="auto"/>
                <w:sz w:val="18"/>
                <w:szCs w:val="18"/>
                <w:highlight w:val="none"/>
                <w:lang w:val="en-US" w:eastAsia="zh-CN" w:bidi="ar"/>
              </w:rPr>
              <w:t>80000</w:t>
            </w:r>
          </w:p>
        </w:tc>
        <w:tc>
          <w:tcPr>
            <w:tcW w:w="1197" w:type="dxa"/>
            <w:tcBorders>
              <w:left w:val="single" w:color="000000" w:sz="4" w:space="0"/>
              <w:right w:val="single" w:color="000000" w:sz="4" w:space="0"/>
            </w:tcBorders>
            <w:tcMar>
              <w:top w:w="15" w:type="dxa"/>
              <w:left w:w="15" w:type="dxa"/>
              <w:right w:w="15" w:type="dxa"/>
            </w:tcMar>
            <w:vAlign w:val="center"/>
          </w:tcPr>
          <w:p w14:paraId="3C06AF61">
            <w:pPr>
              <w:jc w:val="center"/>
              <w:rPr>
                <w:rFonts w:ascii="宋体" w:hAnsi="宋体" w:cs="宋体"/>
                <w:color w:val="auto"/>
                <w:sz w:val="18"/>
                <w:szCs w:val="18"/>
                <w:highlight w:val="none"/>
              </w:rPr>
            </w:pPr>
            <w:r>
              <w:rPr>
                <w:rFonts w:hint="eastAsia" w:ascii="宋体" w:hAnsi="宋体" w:cs="宋体"/>
                <w:color w:val="auto"/>
                <w:sz w:val="18"/>
                <w:szCs w:val="18"/>
                <w:highlight w:val="none"/>
                <w:lang w:bidi="ar"/>
              </w:rPr>
              <w:t>吐鲁番开能环保能源有限公司厂区除尘灰仓指定地点</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49E788">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新疆圣雄能源股份有限公司灰场指定地点</w:t>
            </w:r>
          </w:p>
        </w:tc>
        <w:tc>
          <w:tcPr>
            <w:tcW w:w="11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2BE17D">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汽运</w:t>
            </w:r>
          </w:p>
        </w:tc>
        <w:tc>
          <w:tcPr>
            <w:tcW w:w="10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826BCF">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元/吨</w:t>
            </w:r>
          </w:p>
        </w:tc>
        <w:tc>
          <w:tcPr>
            <w:tcW w:w="10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C38356">
            <w:pPr>
              <w:jc w:val="center"/>
              <w:rPr>
                <w:rFonts w:ascii="宋体" w:hAnsi="宋体" w:cs="宋体"/>
                <w:color w:val="auto"/>
                <w:sz w:val="18"/>
                <w:szCs w:val="18"/>
                <w:highlight w:val="none"/>
              </w:rPr>
            </w:pPr>
          </w:p>
        </w:tc>
        <w:tc>
          <w:tcPr>
            <w:tcW w:w="10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BEE43C">
            <w:pPr>
              <w:widowControl/>
              <w:jc w:val="center"/>
              <w:textAlignment w:val="center"/>
              <w:rPr>
                <w:rFonts w:ascii="宋体" w:hAnsi="宋体" w:cs="宋体" w:eastAsiaTheme="minorEastAsia"/>
                <w:b/>
                <w:color w:val="auto"/>
                <w:sz w:val="18"/>
                <w:szCs w:val="18"/>
                <w:highlight w:val="none"/>
              </w:rPr>
            </w:pPr>
          </w:p>
        </w:tc>
        <w:tc>
          <w:tcPr>
            <w:tcW w:w="1313" w:type="dxa"/>
            <w:tcBorders>
              <w:left w:val="single" w:color="000000" w:sz="4" w:space="0"/>
              <w:right w:val="single" w:color="000000" w:sz="4" w:space="0"/>
            </w:tcBorders>
            <w:tcMar>
              <w:top w:w="15" w:type="dxa"/>
              <w:left w:w="15" w:type="dxa"/>
              <w:right w:w="15" w:type="dxa"/>
            </w:tcMar>
            <w:vAlign w:val="center"/>
          </w:tcPr>
          <w:p w14:paraId="3826EC51">
            <w:pPr>
              <w:jc w:val="center"/>
              <w:rPr>
                <w:rFonts w:ascii="宋体" w:hAnsi="宋体" w:cs="宋体"/>
                <w:color w:val="auto"/>
                <w:szCs w:val="24"/>
                <w:highlight w:val="none"/>
              </w:rPr>
            </w:pPr>
            <w:r>
              <w:rPr>
                <w:rFonts w:hint="eastAsia" w:ascii="宋体" w:hAnsi="宋体" w:cs="宋体"/>
                <w:color w:val="auto"/>
                <w:szCs w:val="24"/>
                <w:highlight w:val="none"/>
              </w:rPr>
              <w:t>预计每月运输数量</w:t>
            </w:r>
            <w:r>
              <w:rPr>
                <w:rFonts w:hint="eastAsia" w:ascii="宋体" w:hAnsi="宋体" w:cs="宋体"/>
                <w:color w:val="auto"/>
                <w:szCs w:val="24"/>
                <w:highlight w:val="none"/>
                <w:lang w:val="en-US" w:eastAsia="zh-CN"/>
              </w:rPr>
              <w:t>6666.67</w:t>
            </w:r>
            <w:r>
              <w:rPr>
                <w:rFonts w:hint="eastAsia" w:ascii="宋体" w:hAnsi="宋体" w:cs="宋体"/>
                <w:color w:val="auto"/>
                <w:szCs w:val="24"/>
                <w:highlight w:val="none"/>
              </w:rPr>
              <w:t>吨</w:t>
            </w:r>
          </w:p>
        </w:tc>
      </w:tr>
      <w:tr w14:paraId="10258F22">
        <w:tblPrEx>
          <w:tblCellMar>
            <w:top w:w="0" w:type="dxa"/>
            <w:left w:w="0" w:type="dxa"/>
            <w:bottom w:w="0" w:type="dxa"/>
            <w:right w:w="0" w:type="dxa"/>
          </w:tblCellMar>
        </w:tblPrEx>
        <w:trPr>
          <w:trHeight w:val="1150" w:hRule="atLeast"/>
        </w:trPr>
        <w:tc>
          <w:tcPr>
            <w:tcW w:w="9037" w:type="dxa"/>
            <w:gridSpan w:val="10"/>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14:paraId="26A07698">
            <w:pPr>
              <w:jc w:val="center"/>
              <w:rPr>
                <w:rFonts w:ascii="宋体" w:hAnsi="宋体" w:cs="宋体"/>
                <w:color w:val="auto"/>
                <w:sz w:val="18"/>
                <w:szCs w:val="18"/>
                <w:highlight w:val="none"/>
              </w:rPr>
            </w:pPr>
            <w:r>
              <w:rPr>
                <w:rFonts w:hint="eastAsia" w:ascii="宋体" w:hAnsi="宋体" w:cs="宋体"/>
                <w:color w:val="auto"/>
                <w:sz w:val="18"/>
                <w:szCs w:val="18"/>
                <w:highlight w:val="none"/>
              </w:rPr>
              <w:t>合计（大写）：</w:t>
            </w:r>
          </w:p>
        </w:tc>
        <w:tc>
          <w:tcPr>
            <w:tcW w:w="1099" w:type="dxa"/>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4E7D7B79">
            <w:pPr>
              <w:widowControl/>
              <w:jc w:val="center"/>
              <w:textAlignment w:val="center"/>
              <w:rPr>
                <w:rFonts w:ascii="宋体" w:hAnsi="宋体" w:cs="宋体" w:eastAsiaTheme="minorEastAsia"/>
                <w:b/>
                <w:color w:val="auto"/>
                <w:sz w:val="18"/>
                <w:szCs w:val="18"/>
                <w:highlight w:val="none"/>
                <w:lang w:bidi="ar"/>
              </w:rPr>
            </w:pPr>
          </w:p>
        </w:tc>
        <w:tc>
          <w:tcPr>
            <w:tcW w:w="1313" w:type="dxa"/>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6561FDA5">
            <w:pPr>
              <w:jc w:val="center"/>
              <w:rPr>
                <w:rFonts w:ascii="宋体" w:hAnsi="宋体" w:cs="宋体"/>
                <w:color w:val="auto"/>
                <w:szCs w:val="24"/>
                <w:highlight w:val="none"/>
              </w:rPr>
            </w:pPr>
          </w:p>
        </w:tc>
      </w:tr>
    </w:tbl>
    <w:p w14:paraId="4929D035">
      <w:pPr>
        <w:spacing w:line="360" w:lineRule="auto"/>
        <w:rPr>
          <w:rFonts w:ascii="宋体" w:hAnsi="宋体"/>
          <w:color w:val="auto"/>
          <w:sz w:val="24"/>
          <w:szCs w:val="24"/>
          <w:highlight w:val="none"/>
        </w:rPr>
      </w:pPr>
      <w:r>
        <w:rPr>
          <w:rFonts w:hint="eastAsia" w:ascii="宋体" w:hAnsi="宋体"/>
          <w:color w:val="auto"/>
          <w:sz w:val="24"/>
          <w:highlight w:val="none"/>
        </w:rPr>
        <w:t>说明：上表报价包括但不限于运费、税费、杂费、绑扎费（含钢绳、枕木等必要衬垫、绑扎物料的费用）、沿途有关的一切费用，为含税包干闭口价</w:t>
      </w:r>
      <w:r>
        <w:rPr>
          <w:rFonts w:hint="eastAsia"/>
          <w:color w:val="auto"/>
          <w:sz w:val="24"/>
          <w:highlight w:val="none"/>
        </w:rPr>
        <w:t>，本报价含税9%。</w:t>
      </w:r>
      <w:r>
        <w:rPr>
          <w:rFonts w:hint="eastAsia" w:ascii="仿宋_GB2312" w:hAnsi="微软雅黑" w:eastAsia="仿宋_GB2312" w:cs="仿宋_GB2312"/>
          <w:color w:val="auto"/>
          <w:sz w:val="24"/>
          <w:szCs w:val="24"/>
          <w:highlight w:val="none"/>
          <w:lang w:val="en-US" w:eastAsia="zh-CN" w:bidi="ar"/>
        </w:rPr>
        <w:t>合同运输周期实际运输总重量达到预计运输总重量的60%及以上，报价人所报固定运输单价不做调整；实际运输总量达不到预计运输总重量的60%，报价人所报固定运输单价上浮10%，在合同运输周期结束前按照上浮价格一次性结算差价金额。</w:t>
      </w:r>
    </w:p>
    <w:p w14:paraId="17A9722E">
      <w:pPr>
        <w:rPr>
          <w:color w:val="auto"/>
          <w:highlight w:val="none"/>
        </w:rPr>
      </w:pPr>
    </w:p>
    <w:p w14:paraId="741988A2">
      <w:pPr>
        <w:pStyle w:val="41"/>
        <w:ind w:right="160" w:firstLine="0" w:firstLineChars="0"/>
        <w:jc w:val="left"/>
        <w:rPr>
          <w:color w:val="auto"/>
          <w:highlight w:val="none"/>
        </w:rPr>
      </w:pPr>
    </w:p>
    <w:p w14:paraId="63307BB4">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105AD41B">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3460E02F">
      <w:pPr>
        <w:jc w:val="left"/>
        <w:rPr>
          <w:rFonts w:eastAsia="仿宋_GB2312"/>
          <w:color w:val="auto"/>
          <w:sz w:val="32"/>
          <w:szCs w:val="32"/>
          <w:highlight w:val="none"/>
        </w:rPr>
      </w:pPr>
      <w:r>
        <w:rPr>
          <w:rFonts w:hint="eastAsia" w:eastAsia="仿宋_GB2312"/>
          <w:color w:val="auto"/>
          <w:sz w:val="32"/>
          <w:szCs w:val="32"/>
          <w:highlight w:val="none"/>
        </w:rPr>
        <w:t>联系人：</w:t>
      </w:r>
    </w:p>
    <w:p w14:paraId="5E499C4D">
      <w:pPr>
        <w:jc w:val="left"/>
        <w:rPr>
          <w:rFonts w:eastAsia="仿宋_GB2312"/>
          <w:color w:val="auto"/>
          <w:sz w:val="32"/>
          <w:szCs w:val="32"/>
          <w:highlight w:val="none"/>
        </w:rPr>
      </w:pPr>
      <w:r>
        <w:rPr>
          <w:rFonts w:hint="eastAsia" w:eastAsia="仿宋_GB2312"/>
          <w:color w:val="auto"/>
          <w:sz w:val="32"/>
          <w:szCs w:val="32"/>
          <w:highlight w:val="none"/>
        </w:rPr>
        <w:t>联系电话：</w:t>
      </w:r>
    </w:p>
    <w:p w14:paraId="51B896F1">
      <w:pPr>
        <w:jc w:val="left"/>
        <w:rPr>
          <w:rFonts w:eastAsia="仿宋_GB2312"/>
          <w:color w:val="auto"/>
          <w:sz w:val="32"/>
          <w:szCs w:val="32"/>
          <w:highlight w:val="none"/>
        </w:rPr>
      </w:pPr>
      <w:r>
        <w:rPr>
          <w:rFonts w:hint="eastAsia" w:eastAsia="仿宋_GB2312"/>
          <w:color w:val="auto"/>
          <w:sz w:val="32"/>
          <w:szCs w:val="32"/>
          <w:highlight w:val="none"/>
        </w:rPr>
        <w:t>日期：</w:t>
      </w:r>
    </w:p>
    <w:p w14:paraId="3E54141A">
      <w:pPr>
        <w:pStyle w:val="2"/>
        <w:ind w:left="0" w:leftChars="0" w:firstLine="0" w:firstLineChars="0"/>
        <w:rPr>
          <w:rFonts w:eastAsia="仿宋_GB2312"/>
          <w:color w:val="auto"/>
          <w:sz w:val="32"/>
          <w:szCs w:val="32"/>
          <w:highlight w:val="none"/>
        </w:rPr>
      </w:pPr>
    </w:p>
    <w:p w14:paraId="1F81D35F">
      <w:pPr>
        <w:pStyle w:val="42"/>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79AC1D5F">
      <w:pPr>
        <w:pStyle w:val="42"/>
        <w:ind w:firstLine="0" w:firstLineChars="0"/>
        <w:jc w:val="left"/>
        <w:rPr>
          <w:rFonts w:eastAsia="黑体"/>
          <w:color w:val="auto"/>
          <w:sz w:val="28"/>
          <w:szCs w:val="44"/>
          <w:highlight w:val="none"/>
        </w:rPr>
      </w:pPr>
    </w:p>
    <w:p w14:paraId="6E63B7CE">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20D52242">
      <w:pPr>
        <w:rPr>
          <w:rFonts w:eastAsia="仿宋_GB2312"/>
          <w:color w:val="auto"/>
          <w:sz w:val="32"/>
          <w:szCs w:val="32"/>
          <w:highlight w:val="none"/>
        </w:rPr>
      </w:pPr>
    </w:p>
    <w:p w14:paraId="22C9D3F6">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4261DE81">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0C111629">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69575412">
      <w:pPr>
        <w:spacing w:line="600" w:lineRule="exact"/>
        <w:rPr>
          <w:rFonts w:eastAsia="仿宋_GB2312"/>
          <w:color w:val="auto"/>
          <w:sz w:val="32"/>
          <w:szCs w:val="32"/>
          <w:highlight w:val="none"/>
        </w:rPr>
      </w:pPr>
    </w:p>
    <w:p w14:paraId="0ADFCD6E">
      <w:pPr>
        <w:spacing w:line="600" w:lineRule="exact"/>
        <w:rPr>
          <w:rFonts w:eastAsia="仿宋_GB2312"/>
          <w:color w:val="auto"/>
          <w:sz w:val="32"/>
          <w:szCs w:val="32"/>
          <w:highlight w:val="none"/>
        </w:rPr>
      </w:pPr>
    </w:p>
    <w:p w14:paraId="2D9A276D">
      <w:pPr>
        <w:spacing w:line="600" w:lineRule="exact"/>
        <w:rPr>
          <w:rFonts w:eastAsia="仿宋_GB2312"/>
          <w:color w:val="auto"/>
          <w:sz w:val="32"/>
          <w:szCs w:val="32"/>
          <w:highlight w:val="none"/>
        </w:rPr>
      </w:pPr>
    </w:p>
    <w:p w14:paraId="53F5C5FC">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8039210">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33A221EE">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6F16AD17">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648C99BA">
      <w:pPr>
        <w:rPr>
          <w:rFonts w:eastAsia="仿宋_GB2312"/>
          <w:color w:val="auto"/>
          <w:sz w:val="32"/>
          <w:szCs w:val="32"/>
          <w:highlight w:val="none"/>
        </w:rPr>
      </w:pPr>
    </w:p>
    <w:p w14:paraId="2625B581">
      <w:pPr>
        <w:widowControl/>
        <w:jc w:val="both"/>
        <w:rPr>
          <w:rFonts w:eastAsia="仿宋_GB2312"/>
          <w:color w:val="auto"/>
          <w:sz w:val="32"/>
          <w:szCs w:val="32"/>
          <w:highlight w:val="none"/>
        </w:rPr>
      </w:pPr>
      <w:bookmarkStart w:id="3" w:name="_Toc384752807"/>
    </w:p>
    <w:p w14:paraId="3CE4DF61">
      <w:pPr>
        <w:pStyle w:val="2"/>
        <w:rPr>
          <w:color w:val="auto"/>
          <w:highlight w:val="none"/>
        </w:rPr>
      </w:pPr>
    </w:p>
    <w:p w14:paraId="77AC9FEC">
      <w:pPr>
        <w:pStyle w:val="2"/>
        <w:rPr>
          <w:color w:val="auto"/>
          <w:highlight w:val="none"/>
        </w:rPr>
      </w:pPr>
    </w:p>
    <w:p w14:paraId="72E40F16">
      <w:pPr>
        <w:pStyle w:val="2"/>
        <w:rPr>
          <w:color w:val="auto"/>
          <w:highlight w:val="none"/>
        </w:rPr>
      </w:pPr>
    </w:p>
    <w:p w14:paraId="129D92ED">
      <w:pPr>
        <w:pStyle w:val="2"/>
        <w:ind w:left="0" w:leftChars="0" w:firstLine="0" w:firstLineChars="0"/>
        <w:rPr>
          <w:color w:val="auto"/>
          <w:highlight w:val="none"/>
        </w:rPr>
      </w:pPr>
    </w:p>
    <w:p w14:paraId="7A4AFD4F">
      <w:pPr>
        <w:pStyle w:val="42"/>
        <w:ind w:firstLine="0" w:firstLineChars="0"/>
        <w:jc w:val="left"/>
        <w:outlineLvl w:val="1"/>
        <w:rPr>
          <w:rFonts w:eastAsia="仿宋_GB2312"/>
          <w:b/>
          <w:color w:val="auto"/>
          <w:sz w:val="32"/>
          <w:szCs w:val="32"/>
          <w:highlight w:val="none"/>
        </w:rPr>
      </w:pPr>
      <w:bookmarkStart w:id="4" w:name="_Hlk40704362"/>
      <w:r>
        <w:rPr>
          <w:rFonts w:hint="eastAsia" w:eastAsia="黑体"/>
          <w:color w:val="auto"/>
          <w:sz w:val="28"/>
          <w:szCs w:val="44"/>
          <w:highlight w:val="none"/>
        </w:rPr>
        <w:t>附件四法人授权书</w:t>
      </w:r>
    </w:p>
    <w:p w14:paraId="1CE92CB6">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3"/>
    </w:p>
    <w:p w14:paraId="3A8C403A">
      <w:pPr>
        <w:pStyle w:val="41"/>
        <w:ind w:firstLine="0" w:firstLineChars="0"/>
        <w:rPr>
          <w:rFonts w:ascii="Times New Roman" w:hAnsi="Times New Roman"/>
          <w:color w:val="auto"/>
          <w:sz w:val="32"/>
          <w:szCs w:val="32"/>
          <w:highlight w:val="none"/>
        </w:rPr>
      </w:pPr>
    </w:p>
    <w:p w14:paraId="08C9A01D">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678EA5C4">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eastAsia="仿宋_GB2312"/>
          <w:color w:val="auto"/>
          <w:sz w:val="32"/>
          <w:szCs w:val="32"/>
          <w:highlight w:val="none"/>
          <w:u w:val="single"/>
        </w:rPr>
        <w:t>吐鲁番开能环保能源有限公司202</w:t>
      </w:r>
      <w:r>
        <w:rPr>
          <w:rFonts w:hint="eastAsia"/>
          <w:color w:val="auto"/>
          <w:sz w:val="32"/>
          <w:szCs w:val="32"/>
          <w:highlight w:val="none"/>
          <w:u w:val="single"/>
          <w:lang w:val="en-US" w:eastAsia="zh-CN"/>
        </w:rPr>
        <w:t>6</w:t>
      </w:r>
      <w:r>
        <w:rPr>
          <w:rFonts w:hint="eastAsia" w:eastAsia="仿宋_GB2312"/>
          <w:color w:val="auto"/>
          <w:sz w:val="32"/>
          <w:szCs w:val="32"/>
          <w:highlight w:val="none"/>
          <w:u w:val="single"/>
        </w:rPr>
        <w:t>-202</w:t>
      </w:r>
      <w:r>
        <w:rPr>
          <w:rFonts w:hint="eastAsia"/>
          <w:color w:val="auto"/>
          <w:sz w:val="32"/>
          <w:szCs w:val="32"/>
          <w:highlight w:val="none"/>
          <w:u w:val="single"/>
          <w:lang w:val="en-US" w:eastAsia="zh-CN"/>
        </w:rPr>
        <w:t>7</w:t>
      </w:r>
      <w:r>
        <w:rPr>
          <w:rFonts w:hint="eastAsia" w:eastAsia="仿宋_GB2312"/>
          <w:color w:val="auto"/>
          <w:sz w:val="32"/>
          <w:szCs w:val="32"/>
          <w:highlight w:val="none"/>
          <w:u w:val="single"/>
        </w:rPr>
        <w:t>年燃料及粉煤灰材料运输</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4619D58D">
      <w:pPr>
        <w:pStyle w:val="41"/>
        <w:ind w:firstLine="659"/>
        <w:rPr>
          <w:rFonts w:ascii="Times New Roman" w:hAnsi="Times New Roman"/>
          <w:color w:val="auto"/>
          <w:sz w:val="32"/>
          <w:szCs w:val="32"/>
          <w:highlight w:val="none"/>
        </w:rPr>
      </w:pPr>
    </w:p>
    <w:p w14:paraId="765B522B">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日签字生效，有效期与询价有效期一致，特此声明。</w:t>
      </w:r>
    </w:p>
    <w:p w14:paraId="0B637DD3">
      <w:pPr>
        <w:pStyle w:val="41"/>
        <w:ind w:firstLine="659"/>
        <w:rPr>
          <w:rFonts w:ascii="Times New Roman" w:hAnsi="Times New Roman"/>
          <w:color w:val="auto"/>
          <w:sz w:val="32"/>
          <w:szCs w:val="32"/>
          <w:highlight w:val="none"/>
        </w:rPr>
      </w:pPr>
    </w:p>
    <w:p w14:paraId="7DB6CBCD">
      <w:pPr>
        <w:pStyle w:val="41"/>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3BBC03F2">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64D8F81D">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7351AC37">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BFD178C">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234A28B5">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535154D3">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4"/>
    <w:p w14:paraId="58432453">
      <w:pPr>
        <w:pStyle w:val="42"/>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0714A874">
      <w:pPr>
        <w:pStyle w:val="42"/>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2CD316B2">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308F402E">
      <w:pPr>
        <w:pStyle w:val="41"/>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eastAsia="仿宋_GB2312"/>
          <w:color w:val="auto"/>
          <w:sz w:val="32"/>
          <w:szCs w:val="32"/>
          <w:highlight w:val="none"/>
          <w:u w:val="single"/>
        </w:rPr>
        <w:t>吐鲁番开能环保能源有限公司202</w:t>
      </w:r>
      <w:r>
        <w:rPr>
          <w:rFonts w:hint="eastAsia"/>
          <w:color w:val="auto"/>
          <w:sz w:val="32"/>
          <w:szCs w:val="32"/>
          <w:highlight w:val="none"/>
          <w:u w:val="single"/>
          <w:lang w:val="en-US" w:eastAsia="zh-CN"/>
        </w:rPr>
        <w:t>6</w:t>
      </w:r>
      <w:r>
        <w:rPr>
          <w:rFonts w:hint="eastAsia" w:eastAsia="仿宋_GB2312"/>
          <w:color w:val="auto"/>
          <w:sz w:val="32"/>
          <w:szCs w:val="32"/>
          <w:highlight w:val="none"/>
          <w:u w:val="single"/>
        </w:rPr>
        <w:t>-202</w:t>
      </w:r>
      <w:r>
        <w:rPr>
          <w:rFonts w:hint="eastAsia"/>
          <w:color w:val="auto"/>
          <w:sz w:val="32"/>
          <w:szCs w:val="32"/>
          <w:highlight w:val="none"/>
          <w:u w:val="single"/>
          <w:lang w:val="en-US" w:eastAsia="zh-CN"/>
        </w:rPr>
        <w:t>7</w:t>
      </w:r>
      <w:r>
        <w:rPr>
          <w:rFonts w:hint="eastAsia" w:eastAsia="仿宋_GB2312"/>
          <w:color w:val="auto"/>
          <w:sz w:val="32"/>
          <w:szCs w:val="32"/>
          <w:highlight w:val="none"/>
          <w:u w:val="single"/>
        </w:rPr>
        <w:t>年燃料及粉煤灰材料运输</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14:paraId="6117CB64">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rPr>
        <w:t>服务内容</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236C3117">
      <w:pPr>
        <w:pStyle w:val="41"/>
        <w:ind w:firstLine="659"/>
        <w:rPr>
          <w:rFonts w:ascii="Times New Roman" w:hAnsi="Times New Roman"/>
          <w:color w:val="auto"/>
          <w:sz w:val="32"/>
          <w:szCs w:val="32"/>
          <w:highlight w:val="none"/>
        </w:rPr>
      </w:pPr>
    </w:p>
    <w:p w14:paraId="192A248F">
      <w:pPr>
        <w:pStyle w:val="41"/>
        <w:ind w:firstLine="0" w:firstLineChars="0"/>
        <w:jc w:val="left"/>
        <w:rPr>
          <w:rFonts w:ascii="Times New Roman" w:hAnsi="Times New Roman"/>
          <w:color w:val="auto"/>
          <w:sz w:val="32"/>
          <w:szCs w:val="32"/>
          <w:highlight w:val="none"/>
        </w:rPr>
      </w:pPr>
    </w:p>
    <w:p w14:paraId="2E7A0F9D">
      <w:pPr>
        <w:jc w:val="left"/>
        <w:rPr>
          <w:rFonts w:eastAsia="仿宋"/>
          <w:color w:val="auto"/>
          <w:sz w:val="32"/>
          <w:szCs w:val="32"/>
          <w:highlight w:val="none"/>
        </w:rPr>
      </w:pPr>
    </w:p>
    <w:p w14:paraId="465F24C5">
      <w:pPr>
        <w:jc w:val="left"/>
        <w:rPr>
          <w:rFonts w:eastAsia="仿宋"/>
          <w:color w:val="auto"/>
          <w:sz w:val="32"/>
          <w:szCs w:val="32"/>
          <w:highlight w:val="none"/>
        </w:rPr>
      </w:pPr>
    </w:p>
    <w:p w14:paraId="7C945567">
      <w:pPr>
        <w:jc w:val="left"/>
        <w:rPr>
          <w:rFonts w:eastAsia="仿宋"/>
          <w:color w:val="auto"/>
          <w:sz w:val="32"/>
          <w:szCs w:val="32"/>
          <w:highlight w:val="none"/>
        </w:rPr>
      </w:pPr>
    </w:p>
    <w:p w14:paraId="2872B93F">
      <w:pPr>
        <w:pStyle w:val="41"/>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6D03CADF">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5D6A3817">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1DA72932">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38AAA546">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3ED06095">
      <w:pPr>
        <w:pStyle w:val="41"/>
        <w:ind w:firstLine="0" w:firstLineChars="0"/>
        <w:jc w:val="left"/>
        <w:rPr>
          <w:rFonts w:ascii="Times New Roman" w:hAnsi="Times New Roman"/>
          <w:color w:val="auto"/>
          <w:sz w:val="32"/>
          <w:szCs w:val="32"/>
          <w:highlight w:val="none"/>
        </w:rPr>
      </w:pPr>
    </w:p>
    <w:p w14:paraId="6961AE7C">
      <w:pPr>
        <w:pStyle w:val="41"/>
        <w:ind w:firstLine="0" w:firstLineChars="0"/>
        <w:jc w:val="left"/>
        <w:rPr>
          <w:rFonts w:ascii="Times New Roman" w:hAnsi="Times New Roman"/>
          <w:color w:val="auto"/>
          <w:sz w:val="32"/>
          <w:szCs w:val="32"/>
          <w:highlight w:val="none"/>
        </w:rPr>
      </w:pPr>
    </w:p>
    <w:p w14:paraId="36D16D5F">
      <w:pPr>
        <w:rPr>
          <w:color w:val="auto"/>
          <w:highlight w:val="none"/>
        </w:rPr>
      </w:pPr>
    </w:p>
    <w:p w14:paraId="146206B9">
      <w:pPr>
        <w:widowControl/>
        <w:jc w:val="left"/>
        <w:rPr>
          <w:rFonts w:eastAsia="黑体"/>
          <w:color w:val="auto"/>
          <w:sz w:val="28"/>
          <w:szCs w:val="44"/>
          <w:highlight w:val="none"/>
        </w:rPr>
      </w:pPr>
    </w:p>
    <w:p w14:paraId="6B8B1493">
      <w:pPr>
        <w:widowControl/>
        <w:jc w:val="left"/>
        <w:rPr>
          <w:rFonts w:eastAsia="黑体"/>
          <w:color w:val="auto"/>
          <w:sz w:val="28"/>
          <w:szCs w:val="44"/>
          <w:highlight w:val="none"/>
        </w:rPr>
      </w:pPr>
    </w:p>
    <w:p w14:paraId="7B465EAA">
      <w:pPr>
        <w:pStyle w:val="42"/>
        <w:ind w:firstLine="0" w:firstLineChars="0"/>
        <w:jc w:val="left"/>
        <w:outlineLvl w:val="1"/>
        <w:rPr>
          <w:rFonts w:eastAsia="黑体"/>
          <w:color w:val="auto"/>
          <w:sz w:val="28"/>
          <w:szCs w:val="44"/>
          <w:highlight w:val="none"/>
        </w:rPr>
      </w:pPr>
      <w:bookmarkStart w:id="5" w:name="_Hlk40704598"/>
      <w:r>
        <w:rPr>
          <w:rFonts w:hint="eastAsia" w:eastAsia="黑体"/>
          <w:color w:val="auto"/>
          <w:sz w:val="28"/>
          <w:szCs w:val="44"/>
          <w:highlight w:val="none"/>
        </w:rPr>
        <w:t>附件六</w:t>
      </w:r>
      <w:r>
        <w:rPr>
          <w:rFonts w:hint="eastAsia" w:eastAsia="黑体"/>
          <w:color w:val="auto"/>
          <w:sz w:val="28"/>
          <w:szCs w:val="44"/>
          <w:highlight w:val="none"/>
          <w:lang w:val="en-US" w:eastAsia="zh-CN"/>
        </w:rPr>
        <w:t xml:space="preserve"> </w:t>
      </w:r>
      <w:r>
        <w:rPr>
          <w:rFonts w:hint="eastAsia" w:eastAsia="黑体"/>
          <w:color w:val="auto"/>
          <w:sz w:val="28"/>
          <w:szCs w:val="44"/>
          <w:highlight w:val="none"/>
        </w:rPr>
        <w:t>用户需求书</w:t>
      </w:r>
    </w:p>
    <w:p w14:paraId="3AC2E7F8">
      <w:pPr>
        <w:pStyle w:val="20"/>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（一）项目运输基本信息表</w:t>
      </w:r>
    </w:p>
    <w:tbl>
      <w:tblPr>
        <w:tblStyle w:val="22"/>
        <w:tblpPr w:leftFromText="180" w:rightFromText="180" w:vertAnchor="text" w:horzAnchor="page" w:tblpX="1454" w:tblpY="415"/>
        <w:tblOverlap w:val="never"/>
        <w:tblW w:w="8314" w:type="dxa"/>
        <w:tblInd w:w="0" w:type="dxa"/>
        <w:tblLayout w:type="fixed"/>
        <w:tblCellMar>
          <w:top w:w="0" w:type="dxa"/>
          <w:left w:w="0" w:type="dxa"/>
          <w:bottom w:w="0" w:type="dxa"/>
          <w:right w:w="0" w:type="dxa"/>
        </w:tblCellMar>
      </w:tblPr>
      <w:tblGrid>
        <w:gridCol w:w="446"/>
        <w:gridCol w:w="804"/>
        <w:gridCol w:w="777"/>
        <w:gridCol w:w="863"/>
        <w:gridCol w:w="914"/>
        <w:gridCol w:w="1048"/>
        <w:gridCol w:w="1048"/>
        <w:gridCol w:w="1222"/>
        <w:gridCol w:w="1192"/>
      </w:tblGrid>
      <w:tr w14:paraId="08F339B0">
        <w:tblPrEx>
          <w:tblCellMar>
            <w:top w:w="0" w:type="dxa"/>
            <w:left w:w="0" w:type="dxa"/>
            <w:bottom w:w="0" w:type="dxa"/>
            <w:right w:w="0" w:type="dxa"/>
          </w:tblCellMar>
        </w:tblPrEx>
        <w:trPr>
          <w:trHeight w:val="1296"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752B2E">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序号</w:t>
            </w:r>
          </w:p>
        </w:tc>
        <w:tc>
          <w:tcPr>
            <w:tcW w:w="8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1AF9CC">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运输材料名称</w:t>
            </w: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42D514">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运输包装方式</w:t>
            </w:r>
          </w:p>
        </w:tc>
        <w:tc>
          <w:tcPr>
            <w:tcW w:w="8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ABD10D">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预计单边运输距离（千米）</w:t>
            </w:r>
          </w:p>
        </w:tc>
        <w:tc>
          <w:tcPr>
            <w:tcW w:w="91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9C38DB">
            <w:pPr>
              <w:widowControl/>
              <w:jc w:val="center"/>
              <w:textAlignment w:val="center"/>
              <w:rPr>
                <w:rFonts w:ascii="宋体" w:hAnsi="宋体" w:cs="宋体"/>
                <w:b/>
                <w:color w:val="auto"/>
                <w:sz w:val="18"/>
                <w:szCs w:val="18"/>
                <w:highlight w:val="none"/>
              </w:rPr>
            </w:pPr>
            <w:bookmarkStart w:id="6" w:name="_Hlk108134008"/>
            <w:r>
              <w:rPr>
                <w:rFonts w:hint="eastAsia" w:ascii="宋体" w:hAnsi="宋体" w:cs="宋体"/>
                <w:b/>
                <w:color w:val="auto"/>
                <w:sz w:val="18"/>
                <w:szCs w:val="18"/>
                <w:highlight w:val="none"/>
                <w:lang w:bidi="ar"/>
              </w:rPr>
              <w:t>预计运输总重量</w:t>
            </w:r>
            <w:bookmarkEnd w:id="6"/>
            <w:r>
              <w:rPr>
                <w:rFonts w:hint="eastAsia" w:ascii="宋体" w:hAnsi="宋体" w:cs="宋体"/>
                <w:b/>
                <w:color w:val="auto"/>
                <w:sz w:val="18"/>
                <w:szCs w:val="18"/>
                <w:highlight w:val="none"/>
                <w:lang w:bidi="ar"/>
              </w:rPr>
              <w:t>（吨）</w:t>
            </w:r>
          </w:p>
        </w:tc>
        <w:tc>
          <w:tcPr>
            <w:tcW w:w="10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6AE97D">
            <w:pPr>
              <w:widowControl/>
              <w:jc w:val="center"/>
              <w:textAlignment w:val="center"/>
              <w:rPr>
                <w:rFonts w:ascii="宋体" w:hAnsi="宋体" w:cs="宋体"/>
                <w:b/>
                <w:color w:val="auto"/>
                <w:sz w:val="18"/>
                <w:szCs w:val="18"/>
                <w:highlight w:val="none"/>
                <w:lang w:bidi="ar"/>
              </w:rPr>
            </w:pPr>
            <w:r>
              <w:rPr>
                <w:rFonts w:hint="eastAsia" w:ascii="宋体" w:hAnsi="宋体" w:cs="宋体"/>
                <w:b/>
                <w:color w:val="auto"/>
                <w:sz w:val="18"/>
                <w:szCs w:val="18"/>
                <w:highlight w:val="none"/>
                <w:lang w:bidi="ar"/>
              </w:rPr>
              <w:t>预计每月运输数量（吨）</w:t>
            </w:r>
          </w:p>
        </w:tc>
        <w:tc>
          <w:tcPr>
            <w:tcW w:w="10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4DC41C">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起运地</w:t>
            </w:r>
          </w:p>
        </w:tc>
        <w:tc>
          <w:tcPr>
            <w:tcW w:w="12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C69F45">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目的地</w:t>
            </w:r>
          </w:p>
        </w:tc>
        <w:tc>
          <w:tcPr>
            <w:tcW w:w="1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260008">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运输方式</w:t>
            </w:r>
          </w:p>
        </w:tc>
      </w:tr>
      <w:tr w14:paraId="164AC8E8">
        <w:tblPrEx>
          <w:tblCellMar>
            <w:top w:w="0" w:type="dxa"/>
            <w:left w:w="0" w:type="dxa"/>
            <w:bottom w:w="0" w:type="dxa"/>
            <w:right w:w="0" w:type="dxa"/>
          </w:tblCellMar>
        </w:tblPrEx>
        <w:trPr>
          <w:trHeight w:val="1485"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C40C49">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1</w:t>
            </w:r>
          </w:p>
        </w:tc>
        <w:tc>
          <w:tcPr>
            <w:tcW w:w="8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6AF03E">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煤末/兰炭末</w:t>
            </w: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38C48B">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裸装（根据业主要求挂篷布）</w:t>
            </w:r>
          </w:p>
        </w:tc>
        <w:tc>
          <w:tcPr>
            <w:tcW w:w="8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10E3AF">
            <w:pPr>
              <w:widowControl/>
              <w:jc w:val="center"/>
              <w:textAlignment w:val="center"/>
              <w:rPr>
                <w:rFonts w:ascii="宋体" w:hAnsi="宋体" w:cs="宋体" w:eastAsiaTheme="minorEastAsia"/>
                <w:color w:val="auto"/>
                <w:sz w:val="18"/>
                <w:szCs w:val="18"/>
                <w:highlight w:val="none"/>
              </w:rPr>
            </w:pPr>
            <w:r>
              <w:rPr>
                <w:rFonts w:ascii="宋体" w:hAnsi="宋体" w:cs="宋体"/>
                <w:color w:val="auto"/>
                <w:sz w:val="18"/>
                <w:szCs w:val="18"/>
                <w:highlight w:val="none"/>
                <w:lang w:bidi="ar"/>
              </w:rPr>
              <w:t>3</w:t>
            </w:r>
          </w:p>
        </w:tc>
        <w:tc>
          <w:tcPr>
            <w:tcW w:w="91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255348">
            <w:pPr>
              <w:widowControl/>
              <w:jc w:val="center"/>
              <w:textAlignment w:val="center"/>
              <w:rPr>
                <w:rFonts w:ascii="宋体" w:hAnsi="宋体" w:cs="宋体" w:eastAsiaTheme="minorEastAsia"/>
                <w:color w:val="auto"/>
                <w:sz w:val="18"/>
                <w:szCs w:val="18"/>
                <w:highlight w:val="none"/>
              </w:rPr>
            </w:pPr>
            <w:r>
              <w:rPr>
                <w:rFonts w:hint="eastAsia" w:ascii="宋体" w:hAnsi="宋体" w:cs="宋体"/>
                <w:color w:val="auto"/>
                <w:sz w:val="18"/>
                <w:szCs w:val="18"/>
                <w:highlight w:val="none"/>
                <w:lang w:bidi="ar"/>
              </w:rPr>
              <w:t>100000</w:t>
            </w:r>
          </w:p>
        </w:tc>
        <w:tc>
          <w:tcPr>
            <w:tcW w:w="1048"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14:paraId="6EA8CEA8">
            <w:pPr>
              <w:widowControl/>
              <w:jc w:val="center"/>
              <w:textAlignment w:val="center"/>
              <w:rPr>
                <w:rFonts w:ascii="宋体" w:hAnsi="宋体" w:cs="宋体"/>
                <w:color w:val="auto"/>
                <w:sz w:val="18"/>
                <w:szCs w:val="18"/>
                <w:highlight w:val="none"/>
                <w:lang w:bidi="ar"/>
              </w:rPr>
            </w:pPr>
            <w:r>
              <w:rPr>
                <w:rFonts w:hint="eastAsia" w:ascii="宋体" w:hAnsi="宋体" w:cs="宋体"/>
                <w:color w:val="auto"/>
                <w:sz w:val="18"/>
                <w:szCs w:val="18"/>
                <w:highlight w:val="none"/>
                <w:lang w:bidi="ar"/>
              </w:rPr>
              <w:t>8333.33</w:t>
            </w:r>
          </w:p>
        </w:tc>
        <w:tc>
          <w:tcPr>
            <w:tcW w:w="1048"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14:paraId="406A2FFF">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新疆圣雄电石有限公司原料堆场指定地点</w:t>
            </w:r>
          </w:p>
        </w:tc>
        <w:tc>
          <w:tcPr>
            <w:tcW w:w="1222"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14:paraId="7B120704">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吐鲁番开能环保能源有限公司厂区干煤棚指定地点</w:t>
            </w:r>
          </w:p>
        </w:tc>
        <w:tc>
          <w:tcPr>
            <w:tcW w:w="1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708D65">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汽运</w:t>
            </w:r>
          </w:p>
        </w:tc>
      </w:tr>
      <w:tr w14:paraId="2D372960">
        <w:tblPrEx>
          <w:tblCellMar>
            <w:top w:w="0" w:type="dxa"/>
            <w:left w:w="0" w:type="dxa"/>
            <w:bottom w:w="0" w:type="dxa"/>
            <w:right w:w="0" w:type="dxa"/>
          </w:tblCellMar>
        </w:tblPrEx>
        <w:trPr>
          <w:trHeight w:val="1533"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96475C">
            <w:pPr>
              <w:jc w:val="center"/>
              <w:rPr>
                <w:rFonts w:ascii="宋体" w:hAnsi="宋体" w:cs="宋体" w:eastAsiaTheme="minorEastAsia"/>
                <w:b/>
                <w:color w:val="auto"/>
                <w:sz w:val="18"/>
                <w:szCs w:val="18"/>
                <w:highlight w:val="none"/>
              </w:rPr>
            </w:pPr>
            <w:r>
              <w:rPr>
                <w:rFonts w:hint="eastAsia" w:ascii="宋体" w:hAnsi="宋体" w:cs="宋体"/>
                <w:b/>
                <w:color w:val="auto"/>
                <w:sz w:val="18"/>
                <w:szCs w:val="18"/>
                <w:highlight w:val="none"/>
              </w:rPr>
              <w:t>2</w:t>
            </w:r>
          </w:p>
        </w:tc>
        <w:tc>
          <w:tcPr>
            <w:tcW w:w="8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D9FFFA">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粉煤灰</w:t>
            </w: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A1B45F">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val="en-US" w:eastAsia="zh-CN" w:bidi="ar"/>
              </w:rPr>
              <w:t>散</w:t>
            </w:r>
            <w:r>
              <w:rPr>
                <w:rFonts w:hint="eastAsia" w:ascii="宋体" w:hAnsi="宋体" w:cs="宋体"/>
                <w:color w:val="auto"/>
                <w:sz w:val="18"/>
                <w:szCs w:val="18"/>
                <w:highlight w:val="none"/>
                <w:lang w:bidi="ar"/>
              </w:rPr>
              <w:t>装</w:t>
            </w:r>
          </w:p>
        </w:tc>
        <w:tc>
          <w:tcPr>
            <w:tcW w:w="8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CD4E3C">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16</w:t>
            </w:r>
          </w:p>
        </w:tc>
        <w:tc>
          <w:tcPr>
            <w:tcW w:w="914"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14:paraId="0648C645">
            <w:pPr>
              <w:widowControl/>
              <w:jc w:val="center"/>
              <w:textAlignment w:val="center"/>
              <w:rPr>
                <w:rFonts w:hint="default" w:ascii="宋体" w:hAnsi="宋体" w:cs="宋体" w:eastAsiaTheme="minorEastAsia"/>
                <w:color w:val="auto"/>
                <w:sz w:val="18"/>
                <w:szCs w:val="18"/>
                <w:highlight w:val="none"/>
                <w:lang w:val="en-US" w:eastAsia="zh-CN"/>
              </w:rPr>
            </w:pPr>
            <w:r>
              <w:rPr>
                <w:rFonts w:hint="eastAsia" w:ascii="宋体" w:hAnsi="宋体" w:cs="宋体" w:eastAsiaTheme="minorEastAsia"/>
                <w:color w:val="auto"/>
                <w:sz w:val="18"/>
                <w:szCs w:val="18"/>
                <w:highlight w:val="none"/>
                <w:lang w:val="en-US" w:eastAsia="zh-CN" w:bidi="ar"/>
              </w:rPr>
              <w:t>80000</w:t>
            </w:r>
          </w:p>
        </w:tc>
        <w:tc>
          <w:tcPr>
            <w:tcW w:w="104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2DB9AB8">
            <w:pPr>
              <w:widowControl/>
              <w:jc w:val="center"/>
              <w:textAlignment w:val="center"/>
              <w:rPr>
                <w:rFonts w:hint="default" w:ascii="宋体" w:hAnsi="宋体" w:eastAsia="宋体" w:cs="宋体"/>
                <w:color w:val="auto"/>
                <w:sz w:val="18"/>
                <w:szCs w:val="18"/>
                <w:highlight w:val="none"/>
                <w:lang w:val="en-US" w:eastAsia="zh-CN" w:bidi="ar"/>
              </w:rPr>
            </w:pPr>
            <w:r>
              <w:rPr>
                <w:rFonts w:hint="eastAsia" w:ascii="宋体" w:hAnsi="宋体" w:cs="宋体"/>
                <w:color w:val="auto"/>
                <w:sz w:val="18"/>
                <w:szCs w:val="18"/>
                <w:highlight w:val="none"/>
                <w:lang w:val="en-US" w:eastAsia="zh-CN" w:bidi="ar"/>
              </w:rPr>
              <w:t>6666.67</w:t>
            </w:r>
          </w:p>
        </w:tc>
        <w:tc>
          <w:tcPr>
            <w:tcW w:w="104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E1EB74B">
            <w:pPr>
              <w:jc w:val="center"/>
              <w:rPr>
                <w:rFonts w:ascii="宋体" w:hAnsi="宋体" w:cs="宋体"/>
                <w:color w:val="auto"/>
                <w:sz w:val="18"/>
                <w:szCs w:val="18"/>
                <w:highlight w:val="none"/>
              </w:rPr>
            </w:pPr>
            <w:r>
              <w:rPr>
                <w:rFonts w:hint="eastAsia" w:ascii="宋体" w:hAnsi="宋体" w:cs="宋体"/>
                <w:color w:val="auto"/>
                <w:sz w:val="18"/>
                <w:szCs w:val="18"/>
                <w:highlight w:val="none"/>
                <w:lang w:bidi="ar"/>
              </w:rPr>
              <w:t>吐鲁番开能环保能源有限公司厂区除尘灰仓指定地点</w:t>
            </w:r>
          </w:p>
        </w:tc>
        <w:tc>
          <w:tcPr>
            <w:tcW w:w="122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3CD4032">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新疆圣雄能源股份有限公司灰场指定地点</w:t>
            </w:r>
          </w:p>
        </w:tc>
        <w:tc>
          <w:tcPr>
            <w:tcW w:w="1192"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671E06BF">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汽运</w:t>
            </w:r>
          </w:p>
        </w:tc>
      </w:tr>
    </w:tbl>
    <w:p w14:paraId="016474F3">
      <w:pPr>
        <w:pStyle w:val="20"/>
        <w:widowControl/>
        <w:spacing w:before="30" w:beforeAutospacing="0" w:after="30" w:afterAutospacing="0" w:line="560" w:lineRule="exact"/>
        <w:ind w:left="30" w:right="30" w:firstLine="430"/>
        <w:rPr>
          <w:rFonts w:ascii="仿宋_GB2312" w:hAnsi="微软雅黑" w:eastAsia="仿宋_GB2312" w:cs="仿宋_GB2312"/>
          <w:color w:val="auto"/>
          <w:sz w:val="21"/>
          <w:szCs w:val="21"/>
          <w:highlight w:val="none"/>
          <w:lang w:bidi="ar"/>
        </w:rPr>
      </w:pPr>
      <w:r>
        <w:rPr>
          <w:rFonts w:hint="eastAsia" w:ascii="仿宋_GB2312" w:hAnsi="微软雅黑" w:eastAsia="仿宋_GB2312" w:cs="仿宋_GB2312"/>
          <w:color w:val="auto"/>
          <w:sz w:val="21"/>
          <w:szCs w:val="21"/>
          <w:highlight w:val="none"/>
          <w:lang w:bidi="ar"/>
        </w:rPr>
        <w:t xml:space="preserve"> </w:t>
      </w:r>
    </w:p>
    <w:p w14:paraId="248FCDFA">
      <w:pPr>
        <w:pStyle w:val="20"/>
        <w:widowControl/>
        <w:spacing w:before="30" w:beforeAutospacing="0" w:after="30" w:afterAutospacing="0" w:line="560" w:lineRule="exact"/>
        <w:ind w:left="30" w:right="30" w:firstLine="430"/>
        <w:rPr>
          <w:rFonts w:hint="eastAsia" w:ascii="仿宋_GB2312" w:hAnsi="微软雅黑" w:eastAsia="仿宋_GB2312" w:cs="仿宋_GB2312"/>
          <w:color w:val="auto"/>
          <w:sz w:val="21"/>
          <w:szCs w:val="21"/>
          <w:highlight w:val="none"/>
          <w:lang w:val="en-US" w:eastAsia="zh-CN" w:bidi="ar"/>
        </w:rPr>
      </w:pPr>
      <w:r>
        <w:rPr>
          <w:rFonts w:hint="eastAsia" w:ascii="仿宋_GB2312" w:hAnsi="微软雅黑" w:eastAsia="仿宋_GB2312" w:cs="仿宋_GB2312"/>
          <w:color w:val="auto"/>
          <w:sz w:val="21"/>
          <w:szCs w:val="21"/>
          <w:highlight w:val="none"/>
          <w:lang w:val="en-US" w:eastAsia="zh-CN" w:bidi="ar"/>
        </w:rPr>
        <w:t>注</w:t>
      </w:r>
      <w:r>
        <w:rPr>
          <w:rFonts w:hint="eastAsia" w:ascii="仿宋_GB2312" w:hAnsi="微软雅黑" w:eastAsia="仿宋_GB2312" w:cs="仿宋_GB2312"/>
          <w:color w:val="auto"/>
          <w:sz w:val="21"/>
          <w:szCs w:val="21"/>
          <w:highlight w:val="none"/>
          <w:lang w:bidi="ar"/>
        </w:rPr>
        <w:t>：</w:t>
      </w:r>
      <w:bookmarkStart w:id="7" w:name="_Hlk108134205"/>
      <w:r>
        <w:rPr>
          <w:rFonts w:hint="eastAsia" w:ascii="仿宋_GB2312" w:hAnsi="微软雅黑" w:eastAsia="仿宋_GB2312" w:cs="仿宋_GB2312"/>
          <w:color w:val="auto"/>
          <w:sz w:val="21"/>
          <w:szCs w:val="21"/>
          <w:highlight w:val="none"/>
          <w:lang w:val="en-US" w:eastAsia="zh-CN" w:bidi="ar"/>
        </w:rPr>
        <w:t>合同运输周期实际运输总重量达到预计运输总重量的60%及以上，中标人所报固定运输单价</w:t>
      </w:r>
      <w:bookmarkEnd w:id="7"/>
      <w:r>
        <w:rPr>
          <w:rFonts w:hint="eastAsia" w:ascii="仿宋_GB2312" w:hAnsi="微软雅黑" w:eastAsia="仿宋_GB2312" w:cs="仿宋_GB2312"/>
          <w:color w:val="auto"/>
          <w:sz w:val="21"/>
          <w:szCs w:val="21"/>
          <w:highlight w:val="none"/>
          <w:lang w:val="en-US" w:eastAsia="zh-CN" w:bidi="ar"/>
        </w:rPr>
        <w:t>不做调整；实际运输总量达不到预计运输总重量的60%，中标人所报固定运输单价上浮10%，在合同运输周期结束前按照上浮价格一次性结算差价金额。</w:t>
      </w:r>
    </w:p>
    <w:p w14:paraId="1E95287E">
      <w:pPr>
        <w:pStyle w:val="20"/>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（二）项目运输周期</w:t>
      </w:r>
    </w:p>
    <w:p w14:paraId="1D892FA1">
      <w:pPr>
        <w:pStyle w:val="20"/>
        <w:widowControl/>
        <w:spacing w:before="30" w:beforeAutospacing="0" w:after="30" w:afterAutospacing="0" w:line="560" w:lineRule="exact"/>
        <w:ind w:left="30" w:right="30" w:firstLine="430"/>
        <w:rPr>
          <w:rFonts w:ascii="微软雅黑" w:hAnsi="微软雅黑" w:eastAsia="微软雅黑" w:cs="微软雅黑"/>
          <w:color w:val="auto"/>
          <w:sz w:val="14"/>
          <w:szCs w:val="14"/>
          <w:highlight w:val="none"/>
        </w:rPr>
      </w:pPr>
      <w:r>
        <w:rPr>
          <w:rFonts w:hint="eastAsia" w:ascii="仿宋_GB2312" w:hAnsi="微软雅黑" w:eastAsia="仿宋_GB2312" w:cs="仿宋_GB2312"/>
          <w:color w:val="auto"/>
          <w:sz w:val="21"/>
          <w:szCs w:val="21"/>
          <w:highlight w:val="none"/>
        </w:rPr>
        <w:t xml:space="preserve">自合同签订之日起满一年，预计时间为2026年2月1日至2027年1月31日 </w:t>
      </w:r>
      <w:r>
        <w:rPr>
          <w:rFonts w:ascii="仿宋_GB2312" w:hAnsi="微软雅黑" w:eastAsia="仿宋_GB2312" w:cs="仿宋_GB2312"/>
          <w:color w:val="auto"/>
          <w:sz w:val="21"/>
          <w:szCs w:val="21"/>
          <w:highlight w:val="none"/>
        </w:rPr>
        <w:t>。</w:t>
      </w:r>
    </w:p>
    <w:p w14:paraId="226384A4">
      <w:pPr>
        <w:pStyle w:val="20"/>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（三）付款方式</w:t>
      </w:r>
    </w:p>
    <w:p w14:paraId="6379B93D">
      <w:pPr>
        <w:pStyle w:val="20"/>
        <w:widowControl/>
        <w:spacing w:before="30" w:beforeAutospacing="0" w:after="30" w:afterAutospacing="0" w:line="560" w:lineRule="exact"/>
        <w:ind w:left="28" w:right="28" w:firstLine="431"/>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材料运达目的地后，中标人提供运输业务量确认审批表及收货单位的签收单经采购人审核无误后，中标人按运输业务量确认审批表确定的运输量以及合同单价开具有效的国内运输9%增值税专用发票，运输结算周期为按月结算。</w:t>
      </w:r>
    </w:p>
    <w:p w14:paraId="24A944FB">
      <w:pPr>
        <w:pStyle w:val="20"/>
        <w:widowControl/>
        <w:spacing w:before="30" w:beforeAutospacing="0" w:after="30" w:afterAutospacing="0" w:line="560" w:lineRule="exact"/>
        <w:ind w:left="28" w:right="28" w:firstLine="431"/>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2.采购人收到中标人提供运输业务量确认审批表及有效的国内运输9%增值税专用发票后7个工作日内支付对应的运输款项。</w:t>
      </w:r>
    </w:p>
    <w:p w14:paraId="04DE5B62">
      <w:pPr>
        <w:pStyle w:val="20"/>
        <w:widowControl/>
        <w:spacing w:before="30" w:beforeAutospacing="0" w:after="30" w:afterAutospacing="0" w:line="560" w:lineRule="exact"/>
        <w:ind w:left="30" w:right="30" w:firstLine="43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3.结算方式：运输总价=运输单价×实际运输数量（实际运输数量以过磅重量为准）</w:t>
      </w:r>
      <w:r>
        <w:rPr>
          <w:rFonts w:hint="eastAsia" w:ascii="仿宋_GB2312" w:hAnsi="微软雅黑" w:eastAsia="仿宋_GB2312" w:cs="仿宋_GB2312"/>
          <w:color w:val="auto"/>
          <w:sz w:val="21"/>
          <w:szCs w:val="21"/>
          <w:highlight w:val="none"/>
          <w:lang w:val="en-US" w:eastAsia="zh-CN" w:bidi="ar"/>
        </w:rPr>
        <w:t>合同运输周期实际运输总重量达到预计运输总重量的60%及以上，中标人所报固定运输单价不做调整；实际运输总量达不到预计运输总重量的60%，中标人所报固定运输单价上浮10%，在合同运输周期结束前按照上浮价格一次性结算差价金额。</w:t>
      </w:r>
    </w:p>
    <w:p w14:paraId="1D04186F">
      <w:pPr>
        <w:pStyle w:val="20"/>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（四）其他注意事项</w:t>
      </w:r>
    </w:p>
    <w:p w14:paraId="69FD4DAC">
      <w:pPr>
        <w:pStyle w:val="20"/>
        <w:widowControl/>
        <w:spacing w:before="30" w:beforeAutospacing="0" w:after="30" w:afterAutospacing="0" w:line="560" w:lineRule="exact"/>
        <w:ind w:left="30" w:right="30" w:firstLine="430"/>
        <w:rPr>
          <w:rFonts w:ascii="微软雅黑" w:hAnsi="微软雅黑" w:eastAsia="微软雅黑" w:cs="微软雅黑"/>
          <w:color w:val="auto"/>
          <w:sz w:val="14"/>
          <w:szCs w:val="14"/>
          <w:highlight w:val="none"/>
        </w:rPr>
      </w:pPr>
      <w:r>
        <w:rPr>
          <w:rFonts w:hint="eastAsia" w:ascii="微软雅黑" w:hAnsi="微软雅黑" w:eastAsia="微软雅黑" w:cs="微软雅黑"/>
          <w:color w:val="auto"/>
          <w:sz w:val="21"/>
          <w:szCs w:val="21"/>
          <w:highlight w:val="none"/>
        </w:rPr>
        <w:t>1.</w:t>
      </w:r>
      <w:r>
        <w:rPr>
          <w:rFonts w:ascii="仿宋_GB2312" w:hAnsi="微软雅黑" w:eastAsia="仿宋_GB2312" w:cs="仿宋_GB2312"/>
          <w:color w:val="auto"/>
          <w:sz w:val="21"/>
          <w:szCs w:val="21"/>
          <w:highlight w:val="none"/>
        </w:rPr>
        <w:t>本项目费用为</w:t>
      </w:r>
      <w:r>
        <w:rPr>
          <w:rFonts w:hint="eastAsia" w:ascii="仿宋_GB2312" w:hAnsi="微软雅黑" w:eastAsia="仿宋_GB2312" w:cs="仿宋_GB2312"/>
          <w:color w:val="auto"/>
          <w:sz w:val="21"/>
          <w:szCs w:val="21"/>
          <w:highlight w:val="none"/>
        </w:rPr>
        <w:t>固定单价，暂定</w:t>
      </w:r>
      <w:r>
        <w:rPr>
          <w:rFonts w:ascii="仿宋_GB2312" w:hAnsi="微软雅黑" w:eastAsia="仿宋_GB2312" w:cs="仿宋_GB2312"/>
          <w:color w:val="auto"/>
          <w:sz w:val="21"/>
          <w:szCs w:val="21"/>
          <w:highlight w:val="none"/>
        </w:rPr>
        <w:t>总价；</w:t>
      </w:r>
    </w:p>
    <w:p w14:paraId="5EE818E6">
      <w:pPr>
        <w:pStyle w:val="20"/>
        <w:widowControl/>
        <w:spacing w:before="30" w:beforeAutospacing="0" w:after="30" w:afterAutospacing="0" w:line="560" w:lineRule="exact"/>
        <w:ind w:left="30" w:right="30" w:firstLine="430"/>
        <w:rPr>
          <w:rFonts w:ascii="仿宋_GB2312" w:hAnsi="微软雅黑" w:eastAsia="仿宋_GB2312" w:cs="仿宋_GB2312"/>
          <w:color w:val="auto"/>
          <w:sz w:val="21"/>
          <w:szCs w:val="21"/>
          <w:highlight w:val="none"/>
        </w:rPr>
      </w:pPr>
      <w:r>
        <w:rPr>
          <w:rFonts w:hint="eastAsia" w:ascii="微软雅黑" w:hAnsi="微软雅黑" w:eastAsia="微软雅黑" w:cs="微软雅黑"/>
          <w:color w:val="auto"/>
          <w:sz w:val="21"/>
          <w:szCs w:val="21"/>
          <w:highlight w:val="none"/>
        </w:rPr>
        <w:t>2.</w:t>
      </w:r>
      <w:r>
        <w:rPr>
          <w:rFonts w:ascii="仿宋_GB2312" w:hAnsi="微软雅黑" w:eastAsia="仿宋_GB2312" w:cs="仿宋_GB2312"/>
          <w:color w:val="auto"/>
          <w:sz w:val="21"/>
          <w:szCs w:val="21"/>
          <w:highlight w:val="none"/>
        </w:rPr>
        <w:t>本项目不组织集中实地勘察，由</w:t>
      </w:r>
      <w:r>
        <w:rPr>
          <w:rFonts w:hint="eastAsia" w:ascii="仿宋_GB2312" w:hAnsi="微软雅黑" w:eastAsia="仿宋_GB2312" w:cs="仿宋_GB2312"/>
          <w:color w:val="auto"/>
          <w:sz w:val="21"/>
          <w:szCs w:val="21"/>
          <w:highlight w:val="none"/>
        </w:rPr>
        <w:t>报价</w:t>
      </w:r>
      <w:r>
        <w:rPr>
          <w:rFonts w:ascii="仿宋_GB2312" w:hAnsi="微软雅黑" w:eastAsia="仿宋_GB2312" w:cs="仿宋_GB2312"/>
          <w:color w:val="auto"/>
          <w:sz w:val="21"/>
          <w:szCs w:val="21"/>
          <w:highlight w:val="none"/>
        </w:rPr>
        <w:t>人自行前往</w:t>
      </w:r>
      <w:r>
        <w:rPr>
          <w:rFonts w:hint="eastAsia" w:ascii="仿宋_GB2312" w:hAnsi="微软雅黑" w:eastAsia="仿宋_GB2312" w:cs="仿宋_GB2312"/>
          <w:color w:val="auto"/>
          <w:sz w:val="21"/>
          <w:szCs w:val="21"/>
          <w:highlight w:val="none"/>
        </w:rPr>
        <w:t>。</w:t>
      </w:r>
    </w:p>
    <w:p w14:paraId="6B83722E">
      <w:pPr>
        <w:spacing w:line="360" w:lineRule="auto"/>
        <w:jc w:val="center"/>
        <w:rPr>
          <w:rFonts w:eastAsia="仿宋_GB2312"/>
          <w:color w:val="auto"/>
          <w:sz w:val="32"/>
          <w:szCs w:val="32"/>
          <w:highlight w:val="none"/>
        </w:rPr>
      </w:pPr>
    </w:p>
    <w:bookmarkEnd w:id="2"/>
    <w:bookmarkEnd w:id="5"/>
    <w:p w14:paraId="349F8AD2">
      <w:pPr>
        <w:spacing w:line="360" w:lineRule="auto"/>
        <w:jc w:val="both"/>
        <w:rPr>
          <w:rFonts w:eastAsia="仿宋_GB2312"/>
          <w:color w:val="auto"/>
          <w:sz w:val="32"/>
          <w:szCs w:val="32"/>
          <w:highlight w:val="none"/>
        </w:rPr>
      </w:pPr>
      <w:bookmarkStart w:id="8" w:name="_Toc148265712"/>
      <w:bookmarkEnd w:id="8"/>
    </w:p>
    <w:p w14:paraId="6DAFE596">
      <w:pPr>
        <w:pStyle w:val="2"/>
        <w:rPr>
          <w:rFonts w:eastAsia="仿宋_GB2312"/>
          <w:color w:val="auto"/>
          <w:sz w:val="32"/>
          <w:szCs w:val="32"/>
          <w:highlight w:val="none"/>
        </w:rPr>
      </w:pPr>
    </w:p>
    <w:p w14:paraId="1E03C1C8">
      <w:pPr>
        <w:pStyle w:val="2"/>
        <w:rPr>
          <w:rFonts w:eastAsia="仿宋_GB2312"/>
          <w:color w:val="auto"/>
          <w:sz w:val="32"/>
          <w:szCs w:val="32"/>
          <w:highlight w:val="none"/>
        </w:rPr>
      </w:pPr>
    </w:p>
    <w:p w14:paraId="5D366969">
      <w:pPr>
        <w:pStyle w:val="2"/>
        <w:rPr>
          <w:rFonts w:eastAsia="仿宋_GB2312"/>
          <w:color w:val="auto"/>
          <w:sz w:val="32"/>
          <w:szCs w:val="32"/>
          <w:highlight w:val="none"/>
        </w:rPr>
      </w:pPr>
    </w:p>
    <w:p w14:paraId="36ACB44E">
      <w:pPr>
        <w:pStyle w:val="2"/>
        <w:rPr>
          <w:rFonts w:eastAsia="仿宋_GB2312"/>
          <w:color w:val="auto"/>
          <w:sz w:val="32"/>
          <w:szCs w:val="32"/>
          <w:highlight w:val="none"/>
        </w:rPr>
      </w:pPr>
    </w:p>
    <w:p w14:paraId="098C7CC4">
      <w:pPr>
        <w:pStyle w:val="2"/>
        <w:rPr>
          <w:rFonts w:eastAsia="仿宋_GB2312"/>
          <w:color w:val="auto"/>
          <w:sz w:val="32"/>
          <w:szCs w:val="32"/>
          <w:highlight w:val="none"/>
        </w:rPr>
      </w:pPr>
    </w:p>
    <w:p w14:paraId="74708486">
      <w:pPr>
        <w:pStyle w:val="2"/>
        <w:rPr>
          <w:rFonts w:eastAsia="仿宋_GB2312"/>
          <w:color w:val="auto"/>
          <w:sz w:val="32"/>
          <w:szCs w:val="32"/>
          <w:highlight w:val="none"/>
        </w:rPr>
      </w:pPr>
    </w:p>
    <w:p w14:paraId="2C7BC585">
      <w:pPr>
        <w:pStyle w:val="2"/>
        <w:rPr>
          <w:rFonts w:eastAsia="仿宋_GB2312"/>
          <w:color w:val="auto"/>
          <w:sz w:val="32"/>
          <w:szCs w:val="32"/>
          <w:highlight w:val="none"/>
        </w:rPr>
      </w:pPr>
    </w:p>
    <w:p w14:paraId="0DFFAD04">
      <w:pPr>
        <w:pStyle w:val="2"/>
        <w:rPr>
          <w:rFonts w:eastAsia="仿宋_GB2312"/>
          <w:color w:val="auto"/>
          <w:sz w:val="32"/>
          <w:szCs w:val="32"/>
          <w:highlight w:val="none"/>
        </w:rPr>
      </w:pPr>
    </w:p>
    <w:p w14:paraId="5B6E97AC">
      <w:pPr>
        <w:pStyle w:val="2"/>
        <w:rPr>
          <w:rFonts w:eastAsia="仿宋_GB2312"/>
          <w:color w:val="auto"/>
          <w:sz w:val="32"/>
          <w:szCs w:val="32"/>
          <w:highlight w:val="none"/>
        </w:rPr>
      </w:pPr>
    </w:p>
    <w:p w14:paraId="7E17C48E">
      <w:pPr>
        <w:pStyle w:val="2"/>
        <w:rPr>
          <w:rFonts w:eastAsia="仿宋_GB2312"/>
          <w:color w:val="auto"/>
          <w:sz w:val="32"/>
          <w:szCs w:val="32"/>
          <w:highlight w:val="none"/>
        </w:rPr>
      </w:pPr>
    </w:p>
    <w:p w14:paraId="002F9242">
      <w:pPr>
        <w:pStyle w:val="2"/>
        <w:rPr>
          <w:rFonts w:eastAsia="仿宋_GB2312"/>
          <w:color w:val="auto"/>
          <w:sz w:val="32"/>
          <w:szCs w:val="32"/>
          <w:highlight w:val="none"/>
        </w:rPr>
      </w:pPr>
    </w:p>
    <w:p w14:paraId="241BC71D">
      <w:pPr>
        <w:pStyle w:val="41"/>
        <w:wordWrap w:val="0"/>
        <w:ind w:firstLine="0" w:firstLineChars="0"/>
        <w:jc w:val="left"/>
        <w:rPr>
          <w:rFonts w:eastAsia="黑体"/>
          <w:color w:val="auto"/>
          <w:sz w:val="28"/>
          <w:szCs w:val="44"/>
          <w:highlight w:val="none"/>
        </w:rPr>
      </w:pPr>
      <w:r>
        <w:rPr>
          <w:rFonts w:eastAsia="黑体"/>
          <w:color w:val="auto"/>
          <w:sz w:val="28"/>
          <w:szCs w:val="44"/>
          <w:highlight w:val="none"/>
        </w:rPr>
        <w:t>附件</w:t>
      </w:r>
      <w:r>
        <w:rPr>
          <w:rFonts w:hint="eastAsia" w:eastAsia="黑体"/>
          <w:color w:val="auto"/>
          <w:sz w:val="28"/>
          <w:szCs w:val="44"/>
          <w:highlight w:val="none"/>
          <w:lang w:val="en-US" w:eastAsia="zh-CN"/>
        </w:rPr>
        <w:t xml:space="preserve">七 </w:t>
      </w:r>
      <w:r>
        <w:rPr>
          <w:rFonts w:hint="eastAsia" w:eastAsia="黑体"/>
          <w:color w:val="auto"/>
          <w:sz w:val="28"/>
          <w:szCs w:val="44"/>
          <w:highlight w:val="none"/>
        </w:rPr>
        <w:t>合同模板</w:t>
      </w:r>
    </w:p>
    <w:p w14:paraId="15EF1B90">
      <w:pPr>
        <w:rPr>
          <w:color w:val="auto"/>
          <w:highlight w:val="none"/>
        </w:rPr>
      </w:pPr>
    </w:p>
    <w:p w14:paraId="75AF4349">
      <w:pPr>
        <w:jc w:val="center"/>
        <w:rPr>
          <w:b/>
          <w:color w:val="auto"/>
          <w:sz w:val="32"/>
          <w:szCs w:val="32"/>
          <w:highlight w:val="none"/>
        </w:rPr>
      </w:pPr>
      <w:r>
        <w:rPr>
          <w:rFonts w:hint="eastAsia"/>
          <w:b/>
          <w:color w:val="auto"/>
          <w:sz w:val="32"/>
          <w:szCs w:val="32"/>
          <w:highlight w:val="none"/>
        </w:rPr>
        <w:t>吐鲁番开能环保能源有限公司燃料及粉煤灰材料运输合同</w:t>
      </w:r>
    </w:p>
    <w:p w14:paraId="441E30D2">
      <w:pPr>
        <w:jc w:val="center"/>
        <w:rPr>
          <w:rFonts w:ascii="宋体" w:hAnsi="宋体" w:cs="宋体"/>
          <w:color w:val="auto"/>
          <w:highlight w:val="none"/>
        </w:rPr>
      </w:pPr>
    </w:p>
    <w:p w14:paraId="04A77C4F">
      <w:pPr>
        <w:ind w:firstLine="4200" w:firstLineChars="2000"/>
        <w:rPr>
          <w:rFonts w:ascii="宋体" w:hAnsi="宋体" w:cs="宋体"/>
          <w:color w:val="auto"/>
          <w:highlight w:val="none"/>
        </w:rPr>
      </w:pPr>
      <w:r>
        <w:rPr>
          <w:rFonts w:hint="eastAsia" w:ascii="宋体" w:hAnsi="宋体" w:cs="宋体"/>
          <w:color w:val="auto"/>
          <w:highlight w:val="none"/>
        </w:rPr>
        <w:t>甲方合同编号：</w:t>
      </w:r>
    </w:p>
    <w:p w14:paraId="3220CFE5">
      <w:pPr>
        <w:rPr>
          <w:rFonts w:ascii="宋体" w:hAnsi="宋体" w:cs="宋体"/>
          <w:color w:val="auto"/>
          <w:highlight w:val="none"/>
        </w:rPr>
      </w:pPr>
      <w:r>
        <w:rPr>
          <w:rFonts w:hint="eastAsia" w:ascii="宋体" w:hAnsi="宋体" w:cs="宋体"/>
          <w:color w:val="auto"/>
          <w:highlight w:val="none"/>
        </w:rPr>
        <w:t xml:space="preserve">                                        合同签订地点：新疆吐鲁番</w:t>
      </w:r>
    </w:p>
    <w:p w14:paraId="40184FA2">
      <w:pPr>
        <w:rPr>
          <w:rFonts w:ascii="宋体" w:hAnsi="宋体" w:cs="宋体"/>
          <w:color w:val="auto"/>
          <w:highlight w:val="none"/>
        </w:rPr>
      </w:pPr>
    </w:p>
    <w:p w14:paraId="1DAD6B47">
      <w:pPr>
        <w:rPr>
          <w:rFonts w:ascii="宋体" w:hAnsi="宋体" w:cs="宋体"/>
          <w:color w:val="auto"/>
          <w:highlight w:val="none"/>
        </w:rPr>
      </w:pPr>
      <w:r>
        <w:rPr>
          <w:rFonts w:hint="eastAsia" w:ascii="宋体" w:hAnsi="宋体" w:cs="宋体"/>
          <w:color w:val="auto"/>
          <w:highlight w:val="none"/>
        </w:rPr>
        <w:t>甲方：吐鲁番开能环保能源有限公司</w:t>
      </w:r>
    </w:p>
    <w:p w14:paraId="3AE858CC">
      <w:pPr>
        <w:rPr>
          <w:rFonts w:ascii="宋体" w:hAnsi="宋体" w:cs="宋体"/>
          <w:color w:val="auto"/>
          <w:highlight w:val="none"/>
        </w:rPr>
      </w:pPr>
      <w:r>
        <w:rPr>
          <w:rFonts w:hint="eastAsia" w:ascii="宋体" w:hAnsi="宋体" w:cs="宋体"/>
          <w:color w:val="auto"/>
          <w:highlight w:val="none"/>
        </w:rPr>
        <w:t>乙方：</w:t>
      </w:r>
    </w:p>
    <w:p w14:paraId="62924956">
      <w:pPr>
        <w:rPr>
          <w:rFonts w:ascii="宋体" w:hAnsi="宋体" w:cs="宋体"/>
          <w:color w:val="auto"/>
          <w:highlight w:val="none"/>
        </w:rPr>
      </w:pPr>
    </w:p>
    <w:p w14:paraId="4D549BE5">
      <w:pPr>
        <w:rPr>
          <w:rFonts w:ascii="宋体" w:hAnsi="宋体" w:cs="宋体"/>
          <w:color w:val="auto"/>
          <w:highlight w:val="none"/>
        </w:rPr>
      </w:pPr>
      <w:r>
        <w:rPr>
          <w:rFonts w:hint="eastAsia" w:ascii="宋体" w:hAnsi="宋体" w:cs="宋体"/>
          <w:color w:val="auto"/>
          <w:highlight w:val="none"/>
        </w:rPr>
        <w:t>根据《中华人民共和国民法典》及相关法律法规规定，甲乙双方本着诚信、平等、互利的原则，甲、乙双方就吐鲁番开能环保能源有限公司煤末/兰炭末及粉煤灰等材料运输事宜，经友好协商签订本合同供甲乙双方共同遵照执行。</w:t>
      </w:r>
    </w:p>
    <w:p w14:paraId="4F86E2BE">
      <w:pPr>
        <w:rPr>
          <w:rFonts w:ascii="宋体" w:hAnsi="宋体" w:cs="宋体"/>
          <w:color w:val="auto"/>
          <w:highlight w:val="none"/>
        </w:rPr>
      </w:pPr>
      <w:r>
        <w:rPr>
          <w:rFonts w:hint="eastAsia" w:ascii="宋体" w:hAnsi="宋体" w:cs="宋体"/>
          <w:color w:val="auto"/>
          <w:highlight w:val="none"/>
        </w:rPr>
        <w:t>一、材料名称、数量</w:t>
      </w:r>
    </w:p>
    <w:p w14:paraId="3E910D65">
      <w:pPr>
        <w:rPr>
          <w:rFonts w:ascii="宋体" w:hAnsi="宋体" w:cs="宋体"/>
          <w:color w:val="auto"/>
          <w:highlight w:val="none"/>
        </w:rPr>
      </w:pPr>
      <w:r>
        <w:rPr>
          <w:rFonts w:hint="eastAsia" w:ascii="宋体" w:hAnsi="宋体" w:cs="宋体"/>
          <w:color w:val="auto"/>
          <w:highlight w:val="none"/>
        </w:rPr>
        <w:t xml:space="preserve">材料名称：煤末/兰炭末及粉煤灰 </w:t>
      </w:r>
    </w:p>
    <w:p w14:paraId="2BF843EF">
      <w:pPr>
        <w:rPr>
          <w:rFonts w:ascii="宋体" w:hAnsi="宋体" w:cs="宋体"/>
          <w:color w:val="auto"/>
          <w:highlight w:val="none"/>
        </w:rPr>
      </w:pPr>
      <w:r>
        <w:rPr>
          <w:rFonts w:hint="eastAsia" w:ascii="宋体" w:hAnsi="宋体" w:cs="宋体"/>
          <w:color w:val="auto"/>
          <w:highlight w:val="none"/>
        </w:rPr>
        <w:t>材料预计运输数量：运输兰炭沫及粉煤灰预计共1</w:t>
      </w:r>
      <w:r>
        <w:rPr>
          <w:rFonts w:hint="eastAsia" w:ascii="宋体" w:hAnsi="宋体" w:cs="宋体"/>
          <w:color w:val="auto"/>
          <w:highlight w:val="none"/>
          <w:lang w:val="en-US" w:eastAsia="zh-CN"/>
        </w:rPr>
        <w:t>80000</w:t>
      </w:r>
      <w:r>
        <w:rPr>
          <w:rFonts w:hint="eastAsia" w:ascii="宋体" w:hAnsi="宋体" w:cs="宋体"/>
          <w:color w:val="auto"/>
          <w:highlight w:val="none"/>
        </w:rPr>
        <w:t>吨，其中兰炭末预计100000吨，粉煤灰预计</w:t>
      </w:r>
      <w:r>
        <w:rPr>
          <w:rFonts w:hint="eastAsia" w:ascii="宋体" w:hAnsi="宋体" w:cs="宋体"/>
          <w:color w:val="auto"/>
          <w:highlight w:val="none"/>
          <w:lang w:val="en-US" w:eastAsia="zh-CN"/>
        </w:rPr>
        <w:t>80000</w:t>
      </w:r>
      <w:r>
        <w:rPr>
          <w:rFonts w:hint="eastAsia" w:ascii="宋体" w:hAnsi="宋体" w:cs="宋体"/>
          <w:color w:val="auto"/>
          <w:highlight w:val="none"/>
        </w:rPr>
        <w:t>吨，按甲方需求发运（以实际发运时的运输数量为准）。</w:t>
      </w:r>
    </w:p>
    <w:p w14:paraId="2AE20CF5">
      <w:pPr>
        <w:rPr>
          <w:rFonts w:ascii="宋体" w:hAnsi="宋体" w:cs="宋体"/>
          <w:color w:val="auto"/>
          <w:highlight w:val="none"/>
        </w:rPr>
      </w:pPr>
      <w:r>
        <w:rPr>
          <w:rFonts w:hint="eastAsia" w:ascii="宋体" w:hAnsi="宋体" w:cs="宋体"/>
          <w:color w:val="auto"/>
          <w:highlight w:val="none"/>
        </w:rPr>
        <w:t>二、装载要求</w:t>
      </w:r>
    </w:p>
    <w:p w14:paraId="3F809C06">
      <w:pPr>
        <w:rPr>
          <w:rFonts w:ascii="宋体" w:hAnsi="宋体" w:cs="宋体"/>
          <w:color w:val="auto"/>
          <w:highlight w:val="none"/>
        </w:rPr>
      </w:pPr>
      <w:r>
        <w:rPr>
          <w:rFonts w:hint="eastAsia" w:ascii="宋体" w:hAnsi="宋体" w:cs="宋体"/>
          <w:color w:val="auto"/>
          <w:highlight w:val="none"/>
        </w:rPr>
        <w:t>产品绑扎、装载必须满足产品在运输过程中不被损耗及丢失的要求。因乙方对产品装载不符合要求造成甲方损失的应予以赔偿。</w:t>
      </w:r>
    </w:p>
    <w:p w14:paraId="4B52C25C">
      <w:pPr>
        <w:rPr>
          <w:rFonts w:ascii="宋体" w:hAnsi="宋体" w:cs="宋体"/>
          <w:color w:val="auto"/>
          <w:highlight w:val="none"/>
        </w:rPr>
      </w:pPr>
    </w:p>
    <w:p w14:paraId="46CF861C">
      <w:pPr>
        <w:rPr>
          <w:rFonts w:ascii="宋体" w:hAnsi="宋体" w:cs="宋体"/>
          <w:color w:val="auto"/>
          <w:highlight w:val="none"/>
        </w:rPr>
      </w:pPr>
      <w:r>
        <w:rPr>
          <w:rFonts w:hint="eastAsia" w:ascii="宋体" w:hAnsi="宋体" w:cs="宋体"/>
          <w:color w:val="auto"/>
          <w:highlight w:val="none"/>
        </w:rPr>
        <w:t>三、材料运输起止地点</w:t>
      </w:r>
    </w:p>
    <w:tbl>
      <w:tblPr>
        <w:tblStyle w:val="22"/>
        <w:tblW w:w="9264" w:type="dxa"/>
        <w:tblInd w:w="0" w:type="dxa"/>
        <w:tblLayout w:type="fixed"/>
        <w:tblCellMar>
          <w:top w:w="0" w:type="dxa"/>
          <w:left w:w="0" w:type="dxa"/>
          <w:bottom w:w="0" w:type="dxa"/>
          <w:right w:w="0" w:type="dxa"/>
        </w:tblCellMar>
      </w:tblPr>
      <w:tblGrid>
        <w:gridCol w:w="571"/>
        <w:gridCol w:w="954"/>
        <w:gridCol w:w="781"/>
        <w:gridCol w:w="825"/>
        <w:gridCol w:w="1410"/>
        <w:gridCol w:w="2018"/>
        <w:gridCol w:w="2705"/>
      </w:tblGrid>
      <w:tr w14:paraId="7C4B0DF3">
        <w:tblPrEx>
          <w:tblCellMar>
            <w:top w:w="0" w:type="dxa"/>
            <w:left w:w="0" w:type="dxa"/>
            <w:bottom w:w="0" w:type="dxa"/>
            <w:right w:w="0" w:type="dxa"/>
          </w:tblCellMar>
        </w:tblPrEx>
        <w:trPr>
          <w:trHeight w:val="1357" w:hRule="atLeast"/>
        </w:trPr>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9190CF">
            <w:pPr>
              <w:widowControl/>
              <w:jc w:val="center"/>
              <w:textAlignment w:val="center"/>
              <w:rPr>
                <w:rFonts w:ascii="宋体" w:hAnsi="宋体" w:cs="宋体"/>
                <w:b/>
                <w:color w:val="auto"/>
                <w:szCs w:val="24"/>
                <w:highlight w:val="none"/>
              </w:rPr>
            </w:pPr>
            <w:r>
              <w:rPr>
                <w:rFonts w:hint="eastAsia" w:ascii="宋体" w:hAnsi="宋体" w:cs="宋体"/>
                <w:b/>
                <w:color w:val="auto"/>
                <w:szCs w:val="24"/>
                <w:highlight w:val="none"/>
                <w:lang w:bidi="ar"/>
              </w:rPr>
              <w:t>序号</w:t>
            </w:r>
          </w:p>
        </w:tc>
        <w:tc>
          <w:tcPr>
            <w:tcW w:w="9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B9609E">
            <w:pPr>
              <w:widowControl/>
              <w:jc w:val="center"/>
              <w:textAlignment w:val="center"/>
              <w:rPr>
                <w:rFonts w:ascii="宋体" w:hAnsi="宋体" w:cs="宋体"/>
                <w:b/>
                <w:color w:val="auto"/>
                <w:szCs w:val="24"/>
                <w:highlight w:val="none"/>
              </w:rPr>
            </w:pPr>
            <w:r>
              <w:rPr>
                <w:rFonts w:hint="eastAsia" w:ascii="宋体" w:hAnsi="宋体" w:cs="宋体"/>
                <w:b/>
                <w:color w:val="auto"/>
                <w:szCs w:val="24"/>
                <w:highlight w:val="none"/>
                <w:lang w:bidi="ar"/>
              </w:rPr>
              <w:t>设备/材料名称</w:t>
            </w:r>
          </w:p>
        </w:tc>
        <w:tc>
          <w:tcPr>
            <w:tcW w:w="7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BEED1D">
            <w:pPr>
              <w:widowControl/>
              <w:jc w:val="center"/>
              <w:textAlignment w:val="center"/>
              <w:rPr>
                <w:rFonts w:ascii="宋体" w:hAnsi="宋体" w:cs="宋体"/>
                <w:b/>
                <w:color w:val="auto"/>
                <w:szCs w:val="24"/>
                <w:highlight w:val="none"/>
              </w:rPr>
            </w:pPr>
            <w:r>
              <w:rPr>
                <w:rFonts w:hint="eastAsia" w:ascii="宋体" w:hAnsi="宋体" w:cs="宋体"/>
                <w:b/>
                <w:color w:val="auto"/>
                <w:szCs w:val="24"/>
                <w:highlight w:val="none"/>
                <w:lang w:bidi="ar"/>
              </w:rPr>
              <w:t>运输距离（千米）</w:t>
            </w:r>
          </w:p>
        </w:tc>
        <w:tc>
          <w:tcPr>
            <w:tcW w:w="8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0B786D">
            <w:pPr>
              <w:widowControl/>
              <w:jc w:val="center"/>
              <w:textAlignment w:val="center"/>
              <w:rPr>
                <w:rFonts w:ascii="宋体" w:hAnsi="宋体" w:cs="宋体"/>
                <w:b/>
                <w:color w:val="auto"/>
                <w:szCs w:val="24"/>
                <w:highlight w:val="none"/>
              </w:rPr>
            </w:pPr>
            <w:r>
              <w:rPr>
                <w:rFonts w:hint="eastAsia" w:ascii="宋体" w:hAnsi="宋体" w:cs="宋体"/>
                <w:b/>
                <w:color w:val="auto"/>
                <w:szCs w:val="24"/>
                <w:highlight w:val="none"/>
                <w:lang w:bidi="ar"/>
              </w:rPr>
              <w:t>预计运输总重量（吨）</w:t>
            </w:r>
          </w:p>
        </w:tc>
        <w:tc>
          <w:tcPr>
            <w:tcW w:w="14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133F9D">
            <w:pPr>
              <w:widowControl/>
              <w:jc w:val="center"/>
              <w:textAlignment w:val="center"/>
              <w:rPr>
                <w:rFonts w:ascii="宋体" w:hAnsi="宋体" w:cs="宋体"/>
                <w:b/>
                <w:color w:val="auto"/>
                <w:szCs w:val="21"/>
                <w:highlight w:val="none"/>
                <w:lang w:bidi="ar"/>
              </w:rPr>
            </w:pPr>
            <w:r>
              <w:rPr>
                <w:rFonts w:hint="eastAsia" w:ascii="宋体" w:hAnsi="宋体" w:cs="宋体"/>
                <w:b/>
                <w:color w:val="auto"/>
                <w:szCs w:val="21"/>
                <w:highlight w:val="none"/>
                <w:lang w:bidi="ar"/>
              </w:rPr>
              <w:t>预计每月运输数量（吨）</w:t>
            </w:r>
          </w:p>
        </w:tc>
        <w:tc>
          <w:tcPr>
            <w:tcW w:w="201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2BB2A3">
            <w:pPr>
              <w:widowControl/>
              <w:jc w:val="center"/>
              <w:textAlignment w:val="center"/>
              <w:rPr>
                <w:rFonts w:ascii="宋体" w:hAnsi="宋体" w:cs="宋体"/>
                <w:b/>
                <w:color w:val="auto"/>
                <w:szCs w:val="24"/>
                <w:highlight w:val="none"/>
              </w:rPr>
            </w:pPr>
            <w:r>
              <w:rPr>
                <w:rFonts w:hint="eastAsia" w:ascii="宋体" w:hAnsi="宋体" w:cs="宋体"/>
                <w:b/>
                <w:color w:val="auto"/>
                <w:szCs w:val="24"/>
                <w:highlight w:val="none"/>
                <w:lang w:bidi="ar"/>
              </w:rPr>
              <w:t>起运地</w:t>
            </w:r>
          </w:p>
        </w:tc>
        <w:tc>
          <w:tcPr>
            <w:tcW w:w="27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AEED0E">
            <w:pPr>
              <w:widowControl/>
              <w:jc w:val="center"/>
              <w:textAlignment w:val="center"/>
              <w:rPr>
                <w:rFonts w:ascii="宋体" w:hAnsi="宋体" w:cs="宋体"/>
                <w:b/>
                <w:color w:val="auto"/>
                <w:szCs w:val="24"/>
                <w:highlight w:val="none"/>
              </w:rPr>
            </w:pPr>
            <w:r>
              <w:rPr>
                <w:rFonts w:hint="eastAsia" w:ascii="宋体" w:hAnsi="宋体" w:cs="宋体"/>
                <w:b/>
                <w:color w:val="auto"/>
                <w:szCs w:val="24"/>
                <w:highlight w:val="none"/>
                <w:lang w:bidi="ar"/>
              </w:rPr>
              <w:t>目的地</w:t>
            </w:r>
          </w:p>
        </w:tc>
      </w:tr>
      <w:tr w14:paraId="1A179C73">
        <w:tblPrEx>
          <w:tblCellMar>
            <w:top w:w="0" w:type="dxa"/>
            <w:left w:w="0" w:type="dxa"/>
            <w:bottom w:w="0" w:type="dxa"/>
            <w:right w:w="0" w:type="dxa"/>
          </w:tblCellMar>
        </w:tblPrEx>
        <w:trPr>
          <w:trHeight w:val="1217" w:hRule="atLeast"/>
        </w:trPr>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EDF175">
            <w:pPr>
              <w:widowControl/>
              <w:jc w:val="center"/>
              <w:textAlignment w:val="center"/>
              <w:rPr>
                <w:rFonts w:ascii="宋体" w:hAnsi="宋体" w:cs="宋体"/>
                <w:b/>
                <w:color w:val="auto"/>
                <w:szCs w:val="24"/>
                <w:highlight w:val="none"/>
              </w:rPr>
            </w:pPr>
            <w:r>
              <w:rPr>
                <w:rFonts w:hint="eastAsia" w:ascii="宋体" w:hAnsi="宋体" w:cs="宋体"/>
                <w:b/>
                <w:color w:val="auto"/>
                <w:szCs w:val="24"/>
                <w:highlight w:val="none"/>
                <w:lang w:bidi="ar"/>
              </w:rPr>
              <w:t>1</w:t>
            </w:r>
          </w:p>
        </w:tc>
        <w:tc>
          <w:tcPr>
            <w:tcW w:w="9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9279AD">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lang w:bidi="ar"/>
              </w:rPr>
              <w:t>煤末/兰炭末</w:t>
            </w:r>
          </w:p>
        </w:tc>
        <w:tc>
          <w:tcPr>
            <w:tcW w:w="7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9D6CC9">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lang w:bidi="ar"/>
              </w:rPr>
              <w:t>3</w:t>
            </w: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3A7372">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rPr>
              <w:t>10</w:t>
            </w:r>
            <w:r>
              <w:rPr>
                <w:rFonts w:ascii="宋体" w:hAnsi="宋体" w:cs="宋体"/>
                <w:color w:val="auto"/>
                <w:szCs w:val="24"/>
                <w:highlight w:val="none"/>
              </w:rPr>
              <w:t>0000</w:t>
            </w:r>
          </w:p>
        </w:tc>
        <w:tc>
          <w:tcPr>
            <w:tcW w:w="14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2BB305">
            <w:pPr>
              <w:widowControl/>
              <w:jc w:val="cente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8333.33</w:t>
            </w:r>
          </w:p>
        </w:tc>
        <w:tc>
          <w:tcPr>
            <w:tcW w:w="201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8A73F5">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lang w:bidi="ar"/>
              </w:rPr>
              <w:t>新疆圣雄电石有限公司原料堆场指定地点</w:t>
            </w:r>
          </w:p>
        </w:tc>
        <w:tc>
          <w:tcPr>
            <w:tcW w:w="27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6D3B7C">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lang w:bidi="ar"/>
              </w:rPr>
              <w:t>吐鲁番开能环保能源有限公司厂区干煤棚指定地点</w:t>
            </w:r>
          </w:p>
        </w:tc>
      </w:tr>
      <w:tr w14:paraId="74E1F92E">
        <w:tblPrEx>
          <w:tblCellMar>
            <w:top w:w="0" w:type="dxa"/>
            <w:left w:w="0" w:type="dxa"/>
            <w:bottom w:w="0" w:type="dxa"/>
            <w:right w:w="0" w:type="dxa"/>
          </w:tblCellMar>
        </w:tblPrEx>
        <w:trPr>
          <w:trHeight w:val="988" w:hRule="atLeast"/>
        </w:trPr>
        <w:tc>
          <w:tcPr>
            <w:tcW w:w="571" w:type="dxa"/>
            <w:tcBorders>
              <w:left w:val="single" w:color="000000" w:sz="4" w:space="0"/>
              <w:bottom w:val="single" w:color="auto" w:sz="4" w:space="0"/>
              <w:right w:val="single" w:color="000000" w:sz="4" w:space="0"/>
            </w:tcBorders>
            <w:noWrap/>
            <w:tcMar>
              <w:top w:w="15" w:type="dxa"/>
              <w:left w:w="15" w:type="dxa"/>
              <w:right w:w="15" w:type="dxa"/>
            </w:tcMar>
            <w:vAlign w:val="center"/>
          </w:tcPr>
          <w:p w14:paraId="302AD286">
            <w:pPr>
              <w:jc w:val="center"/>
              <w:rPr>
                <w:rFonts w:ascii="宋体" w:hAnsi="宋体" w:cs="宋体"/>
                <w:b/>
                <w:color w:val="auto"/>
                <w:szCs w:val="24"/>
                <w:highlight w:val="none"/>
              </w:rPr>
            </w:pPr>
            <w:r>
              <w:rPr>
                <w:rFonts w:hint="eastAsia" w:ascii="宋体" w:hAnsi="宋体" w:cs="宋体"/>
                <w:b/>
                <w:color w:val="auto"/>
                <w:szCs w:val="24"/>
                <w:highlight w:val="none"/>
              </w:rPr>
              <w:t>2</w:t>
            </w:r>
          </w:p>
        </w:tc>
        <w:tc>
          <w:tcPr>
            <w:tcW w:w="9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E15163">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lang w:bidi="ar"/>
              </w:rPr>
              <w:t>粉煤灰</w:t>
            </w:r>
          </w:p>
        </w:tc>
        <w:tc>
          <w:tcPr>
            <w:tcW w:w="7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81D663">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lang w:bidi="ar"/>
              </w:rPr>
              <w:t>16</w:t>
            </w: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BF66FE">
            <w:pPr>
              <w:widowControl/>
              <w:jc w:val="center"/>
              <w:textAlignment w:val="center"/>
              <w:rPr>
                <w:rFonts w:hint="default" w:ascii="宋体" w:hAnsi="宋体" w:eastAsia="宋体" w:cs="宋体"/>
                <w:color w:val="auto"/>
                <w:szCs w:val="24"/>
                <w:highlight w:val="none"/>
                <w:lang w:val="en-US" w:eastAsia="zh-CN"/>
              </w:rPr>
            </w:pPr>
            <w:r>
              <w:rPr>
                <w:rFonts w:hint="eastAsia" w:ascii="宋体" w:hAnsi="宋体" w:cs="宋体"/>
                <w:color w:val="auto"/>
                <w:szCs w:val="24"/>
                <w:highlight w:val="none"/>
                <w:lang w:val="en-US" w:eastAsia="zh-CN"/>
              </w:rPr>
              <w:t>80000</w:t>
            </w:r>
          </w:p>
        </w:tc>
        <w:tc>
          <w:tcPr>
            <w:tcW w:w="1410" w:type="dxa"/>
            <w:tcBorders>
              <w:left w:val="single" w:color="000000" w:sz="4" w:space="0"/>
              <w:bottom w:val="single" w:color="auto" w:sz="4" w:space="0"/>
              <w:right w:val="single" w:color="000000" w:sz="4" w:space="0"/>
            </w:tcBorders>
            <w:tcMar>
              <w:top w:w="15" w:type="dxa"/>
              <w:left w:w="15" w:type="dxa"/>
              <w:right w:w="15" w:type="dxa"/>
            </w:tcMar>
            <w:vAlign w:val="center"/>
          </w:tcPr>
          <w:p w14:paraId="01554DE4">
            <w:pPr>
              <w:widowControl/>
              <w:jc w:val="center"/>
              <w:textAlignment w:val="center"/>
              <w:rPr>
                <w:rFonts w:hint="default" w:ascii="宋体" w:hAnsi="宋体" w:eastAsia="宋体" w:cs="宋体"/>
                <w:color w:val="auto"/>
                <w:szCs w:val="21"/>
                <w:highlight w:val="none"/>
                <w:lang w:val="en-US" w:eastAsia="zh-CN" w:bidi="ar"/>
              </w:rPr>
            </w:pPr>
            <w:r>
              <w:rPr>
                <w:rFonts w:hint="eastAsia" w:ascii="宋体" w:hAnsi="宋体" w:cs="宋体"/>
                <w:color w:val="auto"/>
                <w:szCs w:val="21"/>
                <w:highlight w:val="none"/>
                <w:lang w:val="en-US" w:eastAsia="zh-CN" w:bidi="ar"/>
              </w:rPr>
              <w:t>6666.67</w:t>
            </w:r>
          </w:p>
        </w:tc>
        <w:tc>
          <w:tcPr>
            <w:tcW w:w="2018" w:type="dxa"/>
            <w:tcBorders>
              <w:left w:val="single" w:color="000000" w:sz="4" w:space="0"/>
              <w:bottom w:val="single" w:color="auto" w:sz="4" w:space="0"/>
              <w:right w:val="single" w:color="000000" w:sz="4" w:space="0"/>
            </w:tcBorders>
            <w:tcMar>
              <w:top w:w="15" w:type="dxa"/>
              <w:left w:w="15" w:type="dxa"/>
              <w:right w:w="15" w:type="dxa"/>
            </w:tcMar>
            <w:vAlign w:val="center"/>
          </w:tcPr>
          <w:p w14:paraId="171BC70B">
            <w:pPr>
              <w:widowControl/>
              <w:jc w:val="center"/>
              <w:textAlignment w:val="center"/>
              <w:rPr>
                <w:rFonts w:ascii="宋体" w:hAnsi="宋体" w:cs="宋体"/>
                <w:color w:val="auto"/>
                <w:szCs w:val="24"/>
                <w:highlight w:val="none"/>
                <w:lang w:bidi="ar"/>
              </w:rPr>
            </w:pPr>
            <w:r>
              <w:rPr>
                <w:rFonts w:hint="eastAsia" w:ascii="宋体" w:hAnsi="宋体" w:cs="宋体"/>
                <w:color w:val="auto"/>
                <w:szCs w:val="24"/>
                <w:highlight w:val="none"/>
                <w:lang w:bidi="ar"/>
              </w:rPr>
              <w:t>吐鲁番开能环保能源有限公司厂区除尘灰仓指定地点</w:t>
            </w:r>
          </w:p>
        </w:tc>
        <w:tc>
          <w:tcPr>
            <w:tcW w:w="27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39C0BF">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lang w:bidi="ar"/>
              </w:rPr>
              <w:t>新疆圣雄能源股份有限公司灰场指定地点</w:t>
            </w:r>
          </w:p>
        </w:tc>
      </w:tr>
    </w:tbl>
    <w:p w14:paraId="0CC832E4">
      <w:pPr>
        <w:rPr>
          <w:rFonts w:ascii="宋体" w:hAnsi="宋体" w:cs="宋体"/>
          <w:color w:val="auto"/>
          <w:highlight w:val="none"/>
        </w:rPr>
      </w:pPr>
      <w:r>
        <w:rPr>
          <w:rFonts w:hint="eastAsia" w:ascii="宋体" w:hAnsi="宋体" w:cs="宋体"/>
          <w:color w:val="auto"/>
          <w:highlight w:val="none"/>
        </w:rPr>
        <w:t>接货联系人：祝书签（19999546501）。</w:t>
      </w:r>
    </w:p>
    <w:p w14:paraId="18182093">
      <w:pPr>
        <w:rPr>
          <w:rFonts w:ascii="宋体" w:hAnsi="宋体" w:cs="宋体"/>
          <w:color w:val="auto"/>
          <w:highlight w:val="none"/>
        </w:rPr>
      </w:pPr>
      <w:r>
        <w:rPr>
          <w:rFonts w:hint="eastAsia" w:ascii="宋体" w:hAnsi="宋体" w:cs="宋体"/>
          <w:color w:val="auto"/>
          <w:highlight w:val="none"/>
        </w:rPr>
        <w:t>四、材料运输时间</w:t>
      </w:r>
    </w:p>
    <w:p w14:paraId="38EA8DCF">
      <w:pPr>
        <w:rPr>
          <w:rFonts w:ascii="宋体" w:hAnsi="宋体" w:cs="宋体"/>
          <w:color w:val="auto"/>
          <w:highlight w:val="none"/>
        </w:rPr>
      </w:pPr>
      <w:r>
        <w:rPr>
          <w:rFonts w:hint="eastAsia" w:ascii="宋体" w:hAnsi="宋体" w:cs="宋体"/>
          <w:color w:val="auto"/>
          <w:highlight w:val="none"/>
        </w:rPr>
        <w:t>1、材料启运前甲方提前1天通过电话或传真通知乙方。乙方接到甲方启运通知后，在指定时间内必须安排相应运输车辆到达指定地点等待装货，并不得以任何理由拒载或延期装载。一般情况下，在保证甲方燃料运入和粉煤灰运出最低需求的期限内且最长不超过12小时，将材料运至甲方指定地点。特殊情况延期应有相应的证明并第一时间通知甲方，所造成的损失由乙方承担。</w:t>
      </w:r>
    </w:p>
    <w:p w14:paraId="69E4B0C1">
      <w:pPr>
        <w:rPr>
          <w:rFonts w:ascii="宋体" w:hAnsi="宋体" w:cs="宋体"/>
          <w:color w:val="auto"/>
          <w:highlight w:val="none"/>
        </w:rPr>
      </w:pPr>
      <w:r>
        <w:rPr>
          <w:rFonts w:hint="eastAsia" w:ascii="宋体" w:hAnsi="宋体" w:cs="宋体"/>
          <w:color w:val="auto"/>
          <w:highlight w:val="none"/>
        </w:rPr>
        <w:t>2、材料预计运输时间：自合同签订之日起满一年，预计时间为202</w:t>
      </w:r>
      <w:r>
        <w:rPr>
          <w:rFonts w:hint="eastAsia" w:ascii="宋体" w:hAnsi="宋体" w:cs="宋体"/>
          <w:color w:val="auto"/>
          <w:highlight w:val="none"/>
          <w:lang w:val="en-US" w:eastAsia="zh-CN"/>
        </w:rPr>
        <w:t>6</w:t>
      </w:r>
      <w:r>
        <w:rPr>
          <w:rFonts w:hint="eastAsia" w:ascii="宋体" w:hAnsi="宋体" w:cs="宋体"/>
          <w:color w:val="auto"/>
          <w:highlight w:val="none"/>
        </w:rPr>
        <w:t>年</w:t>
      </w:r>
      <w:r>
        <w:rPr>
          <w:rFonts w:hint="eastAsia" w:ascii="宋体" w:hAnsi="宋体" w:cs="宋体"/>
          <w:color w:val="auto"/>
          <w:highlight w:val="none"/>
          <w:lang w:val="en-US" w:eastAsia="zh-CN"/>
        </w:rPr>
        <w:t>2</w:t>
      </w:r>
      <w:r>
        <w:rPr>
          <w:rFonts w:hint="eastAsia" w:ascii="宋体" w:hAnsi="宋体" w:cs="宋体"/>
          <w:color w:val="auto"/>
          <w:highlight w:val="none"/>
        </w:rPr>
        <w:t>月1日至202</w:t>
      </w:r>
      <w:r>
        <w:rPr>
          <w:rFonts w:hint="eastAsia" w:ascii="宋体" w:hAnsi="宋体" w:cs="宋体"/>
          <w:color w:val="auto"/>
          <w:highlight w:val="none"/>
          <w:lang w:val="en-US" w:eastAsia="zh-CN"/>
        </w:rPr>
        <w:t>7</w:t>
      </w:r>
      <w:r>
        <w:rPr>
          <w:rFonts w:hint="eastAsia" w:ascii="宋体" w:hAnsi="宋体" w:cs="宋体"/>
          <w:color w:val="auto"/>
          <w:highlight w:val="none"/>
        </w:rPr>
        <w:t>年</w:t>
      </w:r>
      <w:r>
        <w:rPr>
          <w:rFonts w:hint="eastAsia" w:ascii="宋体" w:hAnsi="宋体" w:cs="宋体"/>
          <w:color w:val="auto"/>
          <w:highlight w:val="none"/>
          <w:lang w:val="en-US" w:eastAsia="zh-CN"/>
        </w:rPr>
        <w:t>1</w:t>
      </w:r>
      <w:r>
        <w:rPr>
          <w:rFonts w:hint="eastAsia" w:ascii="宋体" w:hAnsi="宋体" w:cs="宋体"/>
          <w:color w:val="auto"/>
          <w:highlight w:val="none"/>
        </w:rPr>
        <w:t>月</w:t>
      </w:r>
      <w:r>
        <w:rPr>
          <w:rFonts w:hint="eastAsia" w:ascii="宋体" w:hAnsi="宋体" w:cs="宋体"/>
          <w:color w:val="auto"/>
          <w:highlight w:val="none"/>
          <w:lang w:val="en-US" w:eastAsia="zh-CN"/>
        </w:rPr>
        <w:t>31</w:t>
      </w:r>
      <w:r>
        <w:rPr>
          <w:rFonts w:hint="eastAsia" w:ascii="宋体" w:hAnsi="宋体" w:cs="宋体"/>
          <w:color w:val="auto"/>
          <w:highlight w:val="none"/>
        </w:rPr>
        <w:t>日，具体以甲方的实际需求时间为准。</w:t>
      </w:r>
    </w:p>
    <w:p w14:paraId="328B2159">
      <w:pPr>
        <w:rPr>
          <w:rFonts w:ascii="宋体" w:hAnsi="宋体" w:cs="宋体"/>
          <w:color w:val="auto"/>
          <w:highlight w:val="none"/>
        </w:rPr>
      </w:pPr>
      <w:r>
        <w:rPr>
          <w:rFonts w:hint="eastAsia" w:ascii="宋体" w:hAnsi="宋体" w:cs="宋体"/>
          <w:color w:val="auto"/>
          <w:highlight w:val="none"/>
        </w:rPr>
        <w:t>五、甲方责任</w:t>
      </w:r>
    </w:p>
    <w:p w14:paraId="6996F97B">
      <w:pPr>
        <w:rPr>
          <w:rFonts w:ascii="宋体" w:hAnsi="宋体" w:cs="宋体"/>
          <w:color w:val="auto"/>
          <w:highlight w:val="none"/>
        </w:rPr>
      </w:pPr>
      <w:r>
        <w:rPr>
          <w:rFonts w:hint="eastAsia" w:ascii="宋体" w:hAnsi="宋体" w:cs="宋体"/>
          <w:color w:val="auto"/>
          <w:highlight w:val="none"/>
        </w:rPr>
        <w:t>1、材料启运前甲方提前1天通过电话或传真通知乙方。</w:t>
      </w:r>
    </w:p>
    <w:p w14:paraId="34E13D25">
      <w:pPr>
        <w:rPr>
          <w:rFonts w:ascii="宋体" w:hAnsi="宋体" w:cs="宋体"/>
          <w:color w:val="auto"/>
          <w:highlight w:val="none"/>
        </w:rPr>
      </w:pPr>
      <w:r>
        <w:rPr>
          <w:rFonts w:hint="eastAsia" w:ascii="宋体" w:hAnsi="宋体" w:cs="宋体"/>
          <w:color w:val="auto"/>
          <w:highlight w:val="none"/>
        </w:rPr>
        <w:t>2、材料启运后，甲方需要变更目的地地点，乙方须予以支持，如因变更到货地点造成运输费用变化，甲乙双方另行协商确定运输费用。甲方变更收货人应书面通知乙方，乙方无条件接受，甲方无需增加任何费用。</w:t>
      </w:r>
    </w:p>
    <w:p w14:paraId="6696C267">
      <w:pPr>
        <w:rPr>
          <w:rFonts w:ascii="宋体" w:hAnsi="宋体" w:cs="宋体"/>
          <w:color w:val="auto"/>
          <w:highlight w:val="none"/>
        </w:rPr>
      </w:pPr>
      <w:r>
        <w:rPr>
          <w:rFonts w:hint="eastAsia" w:ascii="宋体" w:hAnsi="宋体" w:cs="宋体"/>
          <w:color w:val="auto"/>
          <w:highlight w:val="none"/>
        </w:rPr>
        <w:t>3、按时承付相应运输费用。</w:t>
      </w:r>
    </w:p>
    <w:p w14:paraId="02CBA24F">
      <w:pPr>
        <w:rPr>
          <w:rFonts w:ascii="宋体" w:hAnsi="宋体" w:cs="宋体"/>
          <w:color w:val="auto"/>
          <w:highlight w:val="none"/>
        </w:rPr>
      </w:pPr>
      <w:r>
        <w:rPr>
          <w:rFonts w:hint="eastAsia" w:ascii="宋体" w:hAnsi="宋体" w:cs="宋体"/>
          <w:color w:val="auto"/>
          <w:highlight w:val="none"/>
        </w:rPr>
        <w:t>六、乙方责任</w:t>
      </w:r>
    </w:p>
    <w:p w14:paraId="3B5DBE44">
      <w:pPr>
        <w:rPr>
          <w:rFonts w:ascii="宋体" w:hAnsi="宋体" w:cs="宋体"/>
          <w:color w:val="auto"/>
          <w:highlight w:val="none"/>
        </w:rPr>
      </w:pPr>
      <w:r>
        <w:rPr>
          <w:rFonts w:hint="eastAsia" w:ascii="宋体" w:hAnsi="宋体" w:cs="宋体"/>
          <w:color w:val="auto"/>
          <w:highlight w:val="none"/>
        </w:rPr>
        <w:t>1、接到甲方材料运输安排或计划后，按时安排安全、质量、技术等方面均符合规定要求的运输车辆到甲方指定的装货地点等待装货，装货完毕后及时起运，并在甲方规定时间内将材料如数送达到货指定地点。如果乙方不能在规定的期限内派相应运输车辆到甲方指定的装货地点等待装货或未能在甲方规定运输时间内将已装车的材料的送达甲方指定的到货地点，由此而造成甲方的各项费用损失或增加，则由乙方负责。</w:t>
      </w:r>
    </w:p>
    <w:p w14:paraId="61D941D6">
      <w:pPr>
        <w:rPr>
          <w:rFonts w:ascii="宋体" w:hAnsi="宋体" w:cs="宋体"/>
          <w:color w:val="auto"/>
          <w:highlight w:val="none"/>
        </w:rPr>
      </w:pPr>
      <w:r>
        <w:rPr>
          <w:rFonts w:hint="eastAsia" w:ascii="宋体" w:hAnsi="宋体" w:cs="宋体"/>
          <w:color w:val="auto"/>
          <w:highlight w:val="none"/>
        </w:rPr>
        <w:t>2、乙方必需保障甲方正常生产状况下燃料运入和粉煤灰运出的最低需求（保证甲方每日燃料库库存不低于</w:t>
      </w:r>
      <w:r>
        <w:rPr>
          <w:rFonts w:hint="eastAsia" w:ascii="宋体" w:hAnsi="宋体" w:cs="宋体"/>
          <w:color w:val="auto"/>
          <w:highlight w:val="none"/>
          <w:lang w:val="en-US" w:eastAsia="zh-CN"/>
        </w:rPr>
        <w:t>3</w:t>
      </w:r>
      <w:r>
        <w:rPr>
          <w:rFonts w:hint="eastAsia" w:ascii="宋体" w:hAnsi="宋体" w:cs="宋体"/>
          <w:color w:val="auto"/>
          <w:highlight w:val="none"/>
        </w:rPr>
        <w:t>00吨，每日粉煤灰仓灰位不高于8米），因乙方原因所造成的造成甲方的各项费用损失或增加，则由乙方负责。</w:t>
      </w:r>
    </w:p>
    <w:p w14:paraId="533D6B62">
      <w:pPr>
        <w:rPr>
          <w:rFonts w:ascii="宋体" w:hAnsi="宋体" w:cs="宋体"/>
          <w:color w:val="auto"/>
          <w:highlight w:val="none"/>
        </w:rPr>
      </w:pPr>
      <w:r>
        <w:rPr>
          <w:rFonts w:hint="eastAsia" w:ascii="宋体" w:hAnsi="宋体" w:cs="宋体"/>
          <w:color w:val="auto"/>
          <w:highlight w:val="none"/>
        </w:rPr>
        <w:t>2、乙方完成材料装卸完成后的24小时内需向甲方提供材料的装车磅单，甲方将对装车磅单进行复核及抽查，对于甲方提出的装车磅单需乙方澄清的，乙方应予以积极澄清或修改，若乙方无法澄清说明，甲方有权对需澄清的材料装车重量进行取证，核查清楚后再进行结算。</w:t>
      </w:r>
    </w:p>
    <w:p w14:paraId="0CAC01BE">
      <w:pPr>
        <w:rPr>
          <w:rFonts w:ascii="宋体" w:hAnsi="宋体" w:cs="宋体"/>
          <w:color w:val="auto"/>
          <w:highlight w:val="none"/>
        </w:rPr>
      </w:pPr>
      <w:r>
        <w:rPr>
          <w:rFonts w:hint="eastAsia" w:ascii="宋体" w:hAnsi="宋体" w:cs="宋体"/>
          <w:color w:val="auto"/>
          <w:highlight w:val="none"/>
        </w:rPr>
        <w:t>3、乙方转包或委托第三方运输，必须征得甲方的书面同意，而且应选择资质或运输设备优良的第三方，且承担第三方的全部责任。在第三方造成损失时，甲方可追究乙方及第三方责任。</w:t>
      </w:r>
    </w:p>
    <w:p w14:paraId="61383405">
      <w:pPr>
        <w:rPr>
          <w:rFonts w:ascii="宋体" w:hAnsi="宋体" w:cs="宋体"/>
          <w:color w:val="auto"/>
          <w:highlight w:val="none"/>
        </w:rPr>
      </w:pPr>
      <w:r>
        <w:rPr>
          <w:rFonts w:hint="eastAsia" w:ascii="宋体" w:hAnsi="宋体" w:cs="宋体"/>
          <w:color w:val="auto"/>
          <w:highlight w:val="none"/>
        </w:rPr>
        <w:t>4、乙方在实施运输过程中应严格遵守国家的各项法律法规，不得弄虚作假及作出虚假承诺，否则，由此造成的一切责任和损失由乙方承担。</w:t>
      </w:r>
    </w:p>
    <w:p w14:paraId="3D3C8441">
      <w:pPr>
        <w:rPr>
          <w:rFonts w:ascii="宋体" w:hAnsi="宋体" w:cs="宋体"/>
          <w:color w:val="auto"/>
          <w:highlight w:val="none"/>
        </w:rPr>
      </w:pPr>
      <w:r>
        <w:rPr>
          <w:rFonts w:hint="eastAsia" w:ascii="宋体" w:hAnsi="宋体" w:cs="宋体"/>
          <w:color w:val="auto"/>
          <w:highlight w:val="none"/>
        </w:rPr>
        <w:t>5、乙方在承运甲方材料的过程中，对其工作人员及司机的安全负全责，甲方概不承担。</w:t>
      </w:r>
    </w:p>
    <w:p w14:paraId="4A82A5A6">
      <w:pPr>
        <w:rPr>
          <w:rFonts w:ascii="宋体" w:hAnsi="宋体" w:cs="宋体"/>
          <w:color w:val="auto"/>
          <w:highlight w:val="none"/>
        </w:rPr>
      </w:pPr>
      <w:r>
        <w:rPr>
          <w:rFonts w:hint="eastAsia" w:ascii="宋体" w:hAnsi="宋体" w:cs="宋体"/>
          <w:color w:val="auto"/>
          <w:highlight w:val="none"/>
        </w:rPr>
        <w:t>6、乙方在运输甲方材料的过程中，未经甲方的书面同意，不得随意配载其它货物或拒绝承运货物。否则，应向甲方支付合同总金额5%的违约金并承担由此造成的一切损失。</w:t>
      </w:r>
    </w:p>
    <w:p w14:paraId="2DAE3792">
      <w:pPr>
        <w:rPr>
          <w:rFonts w:ascii="宋体" w:hAnsi="宋体" w:cs="宋体"/>
          <w:color w:val="auto"/>
          <w:highlight w:val="none"/>
        </w:rPr>
      </w:pPr>
      <w:r>
        <w:rPr>
          <w:rFonts w:hint="eastAsia" w:ascii="宋体" w:hAnsi="宋体" w:cs="宋体"/>
          <w:color w:val="auto"/>
          <w:highlight w:val="none"/>
        </w:rPr>
        <w:t>7、本合同所指的赔偿包括但不限于货物损失、运输费损失及因此而产生的律师费、差旅费、向第三方支付的违约金、赔偿金等，该赔偿应在赔偿责任产生之日起十五日内赔付完毕，逾期赔付按应赔付金额每日万分之八比例支付滞纳金。</w:t>
      </w:r>
    </w:p>
    <w:p w14:paraId="52C166B6">
      <w:pPr>
        <w:rPr>
          <w:rFonts w:ascii="宋体" w:hAnsi="宋体" w:cs="宋体"/>
          <w:color w:val="auto"/>
          <w:highlight w:val="none"/>
        </w:rPr>
      </w:pPr>
      <w:r>
        <w:rPr>
          <w:rFonts w:hint="eastAsia" w:ascii="宋体" w:hAnsi="宋体" w:cs="宋体"/>
          <w:color w:val="auto"/>
          <w:highlight w:val="none"/>
        </w:rPr>
        <w:t>七、运输费用和结算方式</w:t>
      </w:r>
    </w:p>
    <w:p w14:paraId="41B19547">
      <w:pPr>
        <w:rPr>
          <w:rFonts w:ascii="宋体" w:hAnsi="宋体" w:cs="宋体"/>
          <w:color w:val="auto"/>
          <w:highlight w:val="none"/>
        </w:rPr>
      </w:pPr>
      <w:r>
        <w:rPr>
          <w:rFonts w:hint="eastAsia" w:ascii="宋体" w:hAnsi="宋体" w:cs="宋体"/>
          <w:color w:val="auto"/>
          <w:highlight w:val="none"/>
        </w:rPr>
        <w:t>1、合同金额:合同采用固定单价形式，暂定总价为人民币</w:t>
      </w:r>
      <w:r>
        <w:rPr>
          <w:rFonts w:hint="eastAsia" w:ascii="宋体" w:hAnsi="宋体" w:cs="宋体"/>
          <w:b/>
          <w:color w:val="auto"/>
          <w:highlight w:val="none"/>
        </w:rPr>
        <w:t>XXX</w:t>
      </w:r>
      <w:r>
        <w:rPr>
          <w:rFonts w:hint="eastAsia" w:ascii="宋体" w:hAnsi="宋体" w:cs="宋体"/>
          <w:color w:val="auto"/>
          <w:highlight w:val="none"/>
        </w:rPr>
        <w:t>元（XXXX整），其中不含税运输费为XXXX元，税费为XXXX元，实际按固定单价</w:t>
      </w:r>
      <w:r>
        <w:rPr>
          <w:rFonts w:hint="eastAsia" w:ascii="宋体" w:hAnsi="宋体" w:cs="宋体"/>
          <w:b/>
          <w:color w:val="auto"/>
          <w:highlight w:val="none"/>
        </w:rPr>
        <w:t>×</w:t>
      </w:r>
      <w:r>
        <w:rPr>
          <w:rFonts w:hint="eastAsia" w:ascii="宋体" w:hAnsi="宋体" w:cs="宋体"/>
          <w:color w:val="auto"/>
          <w:highlight w:val="none"/>
        </w:rPr>
        <w:t>实际运输量的结算额为准。具体单价详见附件1，运输单价包括但不限于运费、税费、杂费、绑扎费（含钢绳、枕木等必要衬垫、绑扎物料的费用）、沿途有关的一切费用，为含税包干闭口价。</w:t>
      </w:r>
    </w:p>
    <w:p w14:paraId="07A9A496">
      <w:pPr>
        <w:spacing w:line="360" w:lineRule="auto"/>
        <w:rPr>
          <w:rFonts w:ascii="宋体" w:hAnsi="宋体"/>
          <w:color w:val="auto"/>
          <w:sz w:val="24"/>
          <w:szCs w:val="24"/>
          <w:highlight w:val="none"/>
        </w:rPr>
      </w:pPr>
      <w:r>
        <w:rPr>
          <w:rFonts w:hint="eastAsia" w:ascii="宋体" w:hAnsi="宋体" w:cs="宋体"/>
          <w:color w:val="auto"/>
          <w:highlight w:val="none"/>
        </w:rPr>
        <w:t>2、</w:t>
      </w:r>
      <w:r>
        <w:rPr>
          <w:rFonts w:hint="eastAsia" w:ascii="宋体" w:hAnsi="宋体" w:cs="宋体"/>
          <w:b/>
          <w:color w:val="auto"/>
          <w:highlight w:val="none"/>
        </w:rPr>
        <w:t>结算方式：运输总价=运输单价×实际运输数量（实际运输数量以过磅重量为准）。</w:t>
      </w:r>
      <w:r>
        <w:rPr>
          <w:rFonts w:hint="eastAsia" w:ascii="仿宋_GB2312" w:hAnsi="微软雅黑" w:eastAsia="仿宋_GB2312" w:cs="仿宋_GB2312"/>
          <w:color w:val="auto"/>
          <w:sz w:val="24"/>
          <w:szCs w:val="24"/>
          <w:highlight w:val="none"/>
          <w:lang w:val="en-US" w:eastAsia="zh-CN" w:bidi="ar"/>
        </w:rPr>
        <w:t>合同运输周期实际运输总重量达到预计运输总重量的60%及以上，合同固定运输单价不做调整；实际运输总量达不到预计运输总重量的60%，合同固定运输单价上浮10%，在合同运输周期结束前按照上浮价格一次性结算差价金额。</w:t>
      </w:r>
    </w:p>
    <w:p w14:paraId="4107D96F">
      <w:pPr>
        <w:rPr>
          <w:rFonts w:ascii="宋体" w:hAnsi="宋体" w:cs="宋体"/>
          <w:color w:val="auto"/>
          <w:highlight w:val="none"/>
        </w:rPr>
      </w:pPr>
      <w:r>
        <w:rPr>
          <w:rFonts w:hint="eastAsia" w:ascii="宋体" w:hAnsi="宋体" w:cs="宋体"/>
          <w:color w:val="auto"/>
          <w:highlight w:val="none"/>
        </w:rPr>
        <w:t>3、结算依据和运输费承付：</w:t>
      </w:r>
    </w:p>
    <w:p w14:paraId="334695A9">
      <w:pPr>
        <w:rPr>
          <w:rFonts w:ascii="宋体" w:hAnsi="宋体" w:cs="宋体"/>
          <w:color w:val="auto"/>
          <w:highlight w:val="none"/>
        </w:rPr>
      </w:pPr>
      <w:r>
        <w:rPr>
          <w:rFonts w:hint="eastAsia" w:ascii="宋体" w:hAnsi="宋体" w:cs="宋体"/>
          <w:color w:val="auto"/>
          <w:highlight w:val="none"/>
        </w:rPr>
        <w:t>3.1.材料运达目的地后，乙方提供运输业务量确认审批表（格式见附件2）及收货单位的签收单经甲方审核无误后，乙方按运输业务量确认审批表确定的运输量以及合同单价开具有效的国内运输9%增值税专用发票，运输结算周期为按月结算。</w:t>
      </w:r>
    </w:p>
    <w:p w14:paraId="4127BFF0">
      <w:pPr>
        <w:rPr>
          <w:rFonts w:ascii="宋体" w:hAnsi="宋体" w:cs="宋体"/>
          <w:color w:val="auto"/>
          <w:highlight w:val="none"/>
        </w:rPr>
      </w:pPr>
      <w:r>
        <w:rPr>
          <w:rFonts w:hint="eastAsia" w:ascii="宋体" w:hAnsi="宋体" w:cs="宋体"/>
          <w:color w:val="auto"/>
          <w:highlight w:val="none"/>
        </w:rPr>
        <w:t>3.2.甲方收到乙方提供运输业务量确认审批表（格式见附件2）及有效的国内运输9%增值税专用发票后7个工作日内支付对应的运输款项。如有掉失和其他违约情况，甲方在结算支付运输费过程中，有权按估计损失额和违约金额暂扣减部份或全部运输费作为损失抵押，直到处理结束后视实际情况扣减实际损失和应付违约金后，剩余的部份承付给乙方；如暂扣减的运输费不足以赔付实际损失和违约金，乙方负责另外赔付。</w:t>
      </w:r>
    </w:p>
    <w:p w14:paraId="210068C1">
      <w:pPr>
        <w:rPr>
          <w:rFonts w:ascii="宋体" w:hAnsi="宋体" w:cs="宋体"/>
          <w:color w:val="auto"/>
          <w:highlight w:val="none"/>
        </w:rPr>
      </w:pPr>
      <w:r>
        <w:rPr>
          <w:rFonts w:hint="eastAsia" w:ascii="宋体" w:hAnsi="宋体" w:cs="宋体"/>
          <w:color w:val="auto"/>
          <w:highlight w:val="none"/>
        </w:rPr>
        <w:t>3.3 合同费用支付方式：银行承兑汇票或电汇。</w:t>
      </w:r>
    </w:p>
    <w:p w14:paraId="782CE4C2">
      <w:pPr>
        <w:rPr>
          <w:rFonts w:ascii="宋体" w:hAnsi="宋体" w:cs="宋体"/>
          <w:color w:val="auto"/>
          <w:highlight w:val="none"/>
        </w:rPr>
      </w:pPr>
      <w:r>
        <w:rPr>
          <w:rFonts w:hint="eastAsia" w:ascii="宋体" w:hAnsi="宋体" w:cs="宋体"/>
          <w:color w:val="auto"/>
          <w:highlight w:val="none"/>
        </w:rPr>
        <w:t>八、违约责任</w:t>
      </w:r>
    </w:p>
    <w:p w14:paraId="7E6BFA5C">
      <w:pPr>
        <w:ind w:firstLine="0"/>
        <w:rPr>
          <w:rFonts w:hint="eastAsia" w:ascii="宋体" w:hAnsi="宋体" w:cs="宋体"/>
          <w:color w:val="auto"/>
          <w:highlight w:val="none"/>
        </w:rPr>
      </w:pPr>
      <w:r>
        <w:rPr>
          <w:rFonts w:hint="eastAsia" w:ascii="宋体" w:hAnsi="宋体" w:cs="宋体"/>
          <w:color w:val="auto"/>
          <w:highlight w:val="none"/>
        </w:rPr>
        <w:t>1、如因乙方原因未能保障甲方正常生产状况下燃料运入和粉煤灰运出的需求，按照紧急状况要对乙方相应经济考核，考核标准如下：</w:t>
      </w:r>
    </w:p>
    <w:p w14:paraId="4BDDD39A">
      <w:pPr>
        <w:ind w:firstLine="420"/>
        <w:rPr>
          <w:color w:val="auto"/>
          <w:highlight w:val="none"/>
        </w:rPr>
      </w:pPr>
      <w:r>
        <w:rPr>
          <w:rFonts w:hint="eastAsia" w:ascii="宋体" w:hAnsi="宋体" w:cs="宋体"/>
          <w:color w:val="auto"/>
          <w:highlight w:val="none"/>
        </w:rPr>
        <w:t>（</w:t>
      </w:r>
      <w:r>
        <w:rPr>
          <w:rFonts w:hint="eastAsia" w:ascii="宋体" w:hAnsi="宋体" w:cs="宋体"/>
          <w:color w:val="auto"/>
          <w:highlight w:val="none"/>
          <w:lang w:val="en-US" w:eastAsia="zh-CN"/>
        </w:rPr>
        <w:t>1</w:t>
      </w:r>
      <w:r>
        <w:rPr>
          <w:rFonts w:hint="eastAsia" w:ascii="宋体" w:hAnsi="宋体" w:cs="宋体"/>
          <w:color w:val="auto"/>
          <w:highlight w:val="none"/>
        </w:rPr>
        <w:t>）</w:t>
      </w:r>
      <w:r>
        <w:rPr>
          <w:rFonts w:hint="eastAsia" w:ascii="宋体" w:hAnsi="宋体" w:cs="宋体"/>
          <w:color w:val="auto"/>
          <w:highlight w:val="none"/>
          <w:lang w:val="en-US" w:eastAsia="zh-CN"/>
        </w:rPr>
        <w:t>连续2日</w:t>
      </w:r>
      <w:r>
        <w:rPr>
          <w:rFonts w:hint="eastAsia" w:ascii="宋体" w:hAnsi="宋体" w:cs="宋体"/>
          <w:color w:val="auto"/>
          <w:highlight w:val="none"/>
        </w:rPr>
        <w:t xml:space="preserve">甲方燃料库库存低于（ </w:t>
      </w:r>
      <w:r>
        <w:rPr>
          <w:rFonts w:ascii="宋体" w:hAnsi="宋体" w:cs="宋体"/>
          <w:color w:val="auto"/>
          <w:highlight w:val="none"/>
        </w:rPr>
        <w:t xml:space="preserve"> </w:t>
      </w:r>
      <w:r>
        <w:rPr>
          <w:rFonts w:hint="eastAsia" w:ascii="宋体" w:hAnsi="宋体" w:cs="宋体"/>
          <w:color w:val="auto"/>
          <w:highlight w:val="none"/>
          <w:lang w:val="en-US" w:eastAsia="zh-CN"/>
        </w:rPr>
        <w:t>3</w:t>
      </w:r>
      <w:r>
        <w:rPr>
          <w:rFonts w:ascii="宋体" w:hAnsi="宋体" w:cs="宋体"/>
          <w:color w:val="auto"/>
          <w:highlight w:val="none"/>
        </w:rPr>
        <w:t xml:space="preserve">00 </w:t>
      </w:r>
      <w:r>
        <w:rPr>
          <w:rFonts w:hint="eastAsia" w:ascii="宋体" w:hAnsi="宋体" w:cs="宋体"/>
          <w:color w:val="auto"/>
          <w:highlight w:val="none"/>
        </w:rPr>
        <w:t>）吨，每次考核</w:t>
      </w:r>
      <w:r>
        <w:rPr>
          <w:rFonts w:hint="eastAsia" w:ascii="宋体" w:hAnsi="宋体" w:cs="宋体"/>
          <w:color w:val="auto"/>
          <w:highlight w:val="none"/>
          <w:lang w:val="en-US" w:eastAsia="zh-CN"/>
        </w:rPr>
        <w:t>2</w:t>
      </w:r>
      <w:r>
        <w:rPr>
          <w:rFonts w:ascii="宋体" w:hAnsi="宋体" w:cs="宋体"/>
          <w:color w:val="auto"/>
          <w:highlight w:val="none"/>
        </w:rPr>
        <w:t>000</w:t>
      </w:r>
      <w:r>
        <w:rPr>
          <w:rFonts w:hint="eastAsia" w:ascii="宋体" w:hAnsi="宋体" w:cs="宋体"/>
          <w:color w:val="auto"/>
          <w:highlight w:val="none"/>
        </w:rPr>
        <w:t>元。</w:t>
      </w:r>
    </w:p>
    <w:p w14:paraId="0D189BAB">
      <w:pPr>
        <w:ind w:firstLine="420"/>
        <w:rPr>
          <w:rFonts w:ascii="宋体" w:hAnsi="宋体" w:cs="宋体"/>
          <w:color w:val="auto"/>
          <w:highlight w:val="none"/>
        </w:rPr>
      </w:pPr>
      <w:r>
        <w:rPr>
          <w:rFonts w:hint="eastAsia" w:ascii="宋体" w:hAnsi="宋体" w:cs="宋体"/>
          <w:color w:val="auto"/>
          <w:highlight w:val="none"/>
        </w:rPr>
        <w:t>（</w:t>
      </w:r>
      <w:r>
        <w:rPr>
          <w:rFonts w:hint="eastAsia" w:ascii="宋体" w:hAnsi="宋体" w:cs="宋体"/>
          <w:color w:val="auto"/>
          <w:highlight w:val="none"/>
          <w:lang w:val="en-US" w:eastAsia="zh-CN"/>
        </w:rPr>
        <w:t>2</w:t>
      </w:r>
      <w:r>
        <w:rPr>
          <w:rFonts w:hint="eastAsia" w:ascii="宋体" w:hAnsi="宋体" w:cs="宋体"/>
          <w:color w:val="auto"/>
          <w:highlight w:val="none"/>
        </w:rPr>
        <w:t>）如出现由于甲方燃料库空库，造成甲方停炉，乙方承担甲方全部损失。</w:t>
      </w:r>
    </w:p>
    <w:p w14:paraId="41B0B144">
      <w:pPr>
        <w:ind w:firstLine="420"/>
        <w:rPr>
          <w:rFonts w:hint="eastAsia" w:ascii="宋体" w:hAnsi="宋体" w:eastAsia="宋体" w:cs="宋体"/>
          <w:color w:val="auto"/>
          <w:highlight w:val="none"/>
          <w:lang w:eastAsia="zh-CN"/>
        </w:rPr>
      </w:pPr>
      <w:r>
        <w:rPr>
          <w:rFonts w:hint="eastAsia" w:ascii="宋体" w:hAnsi="宋体" w:cs="宋体"/>
          <w:color w:val="auto"/>
          <w:highlight w:val="none"/>
        </w:rPr>
        <w:t>（</w:t>
      </w:r>
      <w:r>
        <w:rPr>
          <w:rFonts w:hint="eastAsia" w:ascii="宋体" w:hAnsi="宋体" w:cs="宋体"/>
          <w:color w:val="auto"/>
          <w:highlight w:val="none"/>
          <w:lang w:val="en-US" w:eastAsia="zh-CN"/>
        </w:rPr>
        <w:t>3</w:t>
      </w:r>
      <w:r>
        <w:rPr>
          <w:rFonts w:hint="eastAsia" w:ascii="宋体" w:hAnsi="宋体" w:cs="宋体"/>
          <w:color w:val="auto"/>
          <w:highlight w:val="none"/>
        </w:rPr>
        <w:t xml:space="preserve">）每日甲方粉煤灰仓灰位高于（ </w:t>
      </w:r>
      <w:r>
        <w:rPr>
          <w:rFonts w:ascii="宋体" w:hAnsi="宋体" w:cs="宋体"/>
          <w:color w:val="auto"/>
          <w:highlight w:val="none"/>
        </w:rPr>
        <w:t xml:space="preserve">8 </w:t>
      </w:r>
      <w:r>
        <w:rPr>
          <w:rFonts w:hint="eastAsia" w:ascii="宋体" w:hAnsi="宋体" w:cs="宋体"/>
          <w:color w:val="auto"/>
          <w:highlight w:val="none"/>
        </w:rPr>
        <w:t>）米，每次考核</w:t>
      </w:r>
      <w:r>
        <w:rPr>
          <w:rFonts w:hint="eastAsia" w:ascii="宋体" w:hAnsi="宋体" w:cs="宋体"/>
          <w:color w:val="auto"/>
          <w:highlight w:val="none"/>
          <w:lang w:val="en-US" w:eastAsia="zh-CN"/>
        </w:rPr>
        <w:t>10</w:t>
      </w:r>
      <w:r>
        <w:rPr>
          <w:rFonts w:ascii="宋体" w:hAnsi="宋体" w:cs="宋体"/>
          <w:color w:val="auto"/>
          <w:highlight w:val="none"/>
        </w:rPr>
        <w:t>00</w:t>
      </w:r>
      <w:r>
        <w:rPr>
          <w:rFonts w:hint="eastAsia" w:ascii="宋体" w:hAnsi="宋体" w:cs="宋体"/>
          <w:color w:val="auto"/>
          <w:highlight w:val="none"/>
        </w:rPr>
        <w:t>元</w:t>
      </w:r>
      <w:r>
        <w:rPr>
          <w:rFonts w:hint="eastAsia" w:ascii="宋体" w:hAnsi="宋体" w:cs="宋体"/>
          <w:color w:val="auto"/>
          <w:highlight w:val="none"/>
          <w:lang w:eastAsia="zh-CN"/>
        </w:rPr>
        <w:t>。</w:t>
      </w:r>
    </w:p>
    <w:p w14:paraId="428794C3">
      <w:pPr>
        <w:pStyle w:val="2"/>
        <w:ind w:left="0" w:leftChars="0" w:firstLine="0" w:firstLineChars="0"/>
        <w:rPr>
          <w:rFonts w:ascii="宋体" w:hAnsi="宋体" w:cs="宋体"/>
          <w:color w:val="auto"/>
          <w:highlight w:val="none"/>
        </w:rPr>
      </w:pPr>
      <w:r>
        <w:rPr>
          <w:rFonts w:hint="eastAsia" w:ascii="宋体" w:hAnsi="宋体" w:cs="宋体"/>
          <w:color w:val="auto"/>
          <w:highlight w:val="none"/>
          <w:lang w:val="en-US" w:eastAsia="zh-CN"/>
        </w:rPr>
        <w:t xml:space="preserve">    </w:t>
      </w:r>
      <w:r>
        <w:rPr>
          <w:rFonts w:hint="eastAsia" w:ascii="宋体" w:hAnsi="宋体" w:cs="宋体"/>
          <w:color w:val="auto"/>
          <w:highlight w:val="none"/>
        </w:rPr>
        <w:t>（</w:t>
      </w:r>
      <w:r>
        <w:rPr>
          <w:rFonts w:hint="eastAsia" w:ascii="宋体" w:hAnsi="宋体" w:cs="宋体"/>
          <w:color w:val="auto"/>
          <w:highlight w:val="none"/>
          <w:lang w:val="en-US" w:eastAsia="zh-CN"/>
        </w:rPr>
        <w:t>4</w:t>
      </w:r>
      <w:r>
        <w:rPr>
          <w:rFonts w:hint="eastAsia" w:ascii="宋体" w:hAnsi="宋体" w:cs="宋体"/>
          <w:color w:val="auto"/>
          <w:highlight w:val="none"/>
        </w:rPr>
        <w:t>）如出现由于甲方粉煤灰仓满仓，造成甲方停炉，乙方承担甲方全部损失。</w:t>
      </w:r>
    </w:p>
    <w:p w14:paraId="41F86F71">
      <w:pPr>
        <w:ind w:firstLine="420"/>
        <w:rPr>
          <w:rFonts w:ascii="宋体" w:hAnsi="宋体" w:cs="宋体"/>
          <w:color w:val="auto"/>
          <w:highlight w:val="none"/>
        </w:rPr>
      </w:pPr>
      <w:r>
        <w:rPr>
          <w:rFonts w:hint="eastAsia" w:ascii="宋体" w:hAnsi="宋体" w:cs="宋体"/>
          <w:color w:val="auto"/>
          <w:highlight w:val="none"/>
        </w:rPr>
        <w:t>以上低于和高于的表述，包含本数。具体计量标准以甲方现场实际测量数据为准。</w:t>
      </w:r>
    </w:p>
    <w:p w14:paraId="6C49181A">
      <w:pPr>
        <w:rPr>
          <w:rFonts w:ascii="宋体" w:hAnsi="宋体" w:cs="宋体"/>
          <w:color w:val="auto"/>
          <w:highlight w:val="none"/>
        </w:rPr>
      </w:pPr>
      <w:r>
        <w:rPr>
          <w:rFonts w:hint="eastAsia" w:ascii="宋体" w:hAnsi="宋体" w:cs="宋体"/>
          <w:color w:val="auto"/>
          <w:highlight w:val="none"/>
        </w:rPr>
        <w:t>2、一旦乙方安排的运输工具延误到达现场2天，甲方有权另行委托安排发运事宜，乙方必须提供一切必要的配合，同时承担所有的运杂费等以及甲方由此遭受的其他额外费用。</w:t>
      </w:r>
    </w:p>
    <w:p w14:paraId="00058358">
      <w:pPr>
        <w:rPr>
          <w:rFonts w:ascii="宋体" w:hAnsi="宋体" w:cs="宋体"/>
          <w:color w:val="auto"/>
          <w:highlight w:val="none"/>
        </w:rPr>
      </w:pPr>
      <w:r>
        <w:rPr>
          <w:rFonts w:hint="eastAsia" w:ascii="宋体" w:hAnsi="宋体" w:cs="宋体"/>
          <w:color w:val="auto"/>
          <w:highlight w:val="none"/>
        </w:rPr>
        <w:t>3、如果乙方未按甲方要求将货物运至指定交货地，应负责免费将货物运至合同规定的交货地；因此造成交货期延误，乙方应按第八条第1款的规定向甲方支付违约金。</w:t>
      </w:r>
    </w:p>
    <w:p w14:paraId="42E75B52">
      <w:pPr>
        <w:rPr>
          <w:rFonts w:ascii="宋体" w:hAnsi="宋体" w:cs="宋体"/>
          <w:color w:val="auto"/>
          <w:highlight w:val="none"/>
        </w:rPr>
      </w:pPr>
      <w:r>
        <w:rPr>
          <w:rFonts w:hint="eastAsia" w:ascii="宋体" w:hAnsi="宋体" w:cs="宋体"/>
          <w:color w:val="auto"/>
          <w:highlight w:val="none"/>
        </w:rPr>
        <w:t>4、在运输过程中，由于乙方原因造成货物短缺、灭失等，乙方应按货物的实际损失（包括包装费、运杂费）向甲方偿付相应款项，并承担由此对甲方产生的全部损失。</w:t>
      </w:r>
    </w:p>
    <w:p w14:paraId="2AEC4E54">
      <w:pPr>
        <w:rPr>
          <w:rFonts w:ascii="宋体" w:hAnsi="宋体" w:cs="宋体"/>
          <w:color w:val="auto"/>
          <w:highlight w:val="none"/>
        </w:rPr>
      </w:pPr>
      <w:r>
        <w:rPr>
          <w:rFonts w:hint="eastAsia" w:ascii="宋体" w:hAnsi="宋体" w:cs="宋体"/>
          <w:color w:val="auto"/>
          <w:highlight w:val="none"/>
        </w:rPr>
        <w:t>5、乙方应在违约发生之日起十五日内向甲方支付违约金，逾期赔付按应赔付金额每日万分之八比例支付滞纳金。对于乙方违约应支付的违约金，甲方有权在应支付的运费中抵扣。</w:t>
      </w:r>
    </w:p>
    <w:p w14:paraId="4E84A6E1">
      <w:pPr>
        <w:rPr>
          <w:rFonts w:ascii="宋体" w:hAnsi="宋体" w:cs="宋体"/>
          <w:color w:val="auto"/>
          <w:highlight w:val="none"/>
        </w:rPr>
      </w:pPr>
      <w:r>
        <w:rPr>
          <w:rFonts w:hint="eastAsia" w:ascii="宋体" w:hAnsi="宋体" w:cs="宋体"/>
          <w:color w:val="auto"/>
          <w:highlight w:val="none"/>
        </w:rPr>
        <w:t>九、质量与安全</w:t>
      </w:r>
    </w:p>
    <w:p w14:paraId="6D28C156">
      <w:pPr>
        <w:rPr>
          <w:rFonts w:ascii="宋体" w:hAnsi="宋体" w:cs="宋体"/>
          <w:color w:val="auto"/>
          <w:highlight w:val="none"/>
        </w:rPr>
      </w:pPr>
      <w:r>
        <w:rPr>
          <w:rFonts w:hint="eastAsia" w:ascii="宋体" w:hAnsi="宋体" w:cs="宋体"/>
          <w:color w:val="auto"/>
          <w:highlight w:val="none"/>
        </w:rPr>
        <w:t>1、乙方应对本合同服务的质量、安全负责，保证货物无短缺、无损坏、无人为的变质，如有上述问题，应承担赔偿义务。签署本合同的乙方法定代表人或其委托代理人为本合同服务质量、安全总负责人，应对合同服务的质量、安全负全面责任。</w:t>
      </w:r>
    </w:p>
    <w:p w14:paraId="0C3B2AA1">
      <w:pPr>
        <w:rPr>
          <w:rFonts w:ascii="宋体" w:hAnsi="宋体" w:cs="宋体"/>
          <w:color w:val="auto"/>
          <w:highlight w:val="none"/>
        </w:rPr>
      </w:pPr>
      <w:r>
        <w:rPr>
          <w:rFonts w:hint="eastAsia" w:ascii="宋体" w:hAnsi="宋体" w:cs="宋体"/>
          <w:color w:val="auto"/>
          <w:highlight w:val="none"/>
        </w:rPr>
        <w:t>2、乙方应建立健全的质量、安全保证体系，参与合同服务的所有雇员及分包商都应具有相应的资质。</w:t>
      </w:r>
    </w:p>
    <w:p w14:paraId="4A37A498">
      <w:pPr>
        <w:rPr>
          <w:rFonts w:ascii="宋体" w:hAnsi="宋体" w:cs="宋体"/>
          <w:color w:val="auto"/>
          <w:highlight w:val="none"/>
        </w:rPr>
      </w:pPr>
      <w:r>
        <w:rPr>
          <w:rFonts w:hint="eastAsia" w:ascii="宋体" w:hAnsi="宋体" w:cs="宋体"/>
          <w:color w:val="auto"/>
          <w:highlight w:val="none"/>
        </w:rPr>
        <w:t>3、乙方操作人员必须对所操作物项，按其各自的作业规范和规程操作并由编制方案、程序的工程技术人员负责指导和协调。</w:t>
      </w:r>
    </w:p>
    <w:p w14:paraId="2BDDD4BD">
      <w:pPr>
        <w:rPr>
          <w:rFonts w:ascii="宋体" w:hAnsi="宋体" w:cs="宋体"/>
          <w:color w:val="auto"/>
          <w:highlight w:val="none"/>
        </w:rPr>
      </w:pPr>
      <w:r>
        <w:rPr>
          <w:rFonts w:hint="eastAsia" w:ascii="宋体" w:hAnsi="宋体" w:cs="宋体"/>
          <w:color w:val="auto"/>
          <w:highlight w:val="none"/>
        </w:rPr>
        <w:t>4、乙方应对其雇员进行安全方面的教育，由于乙方的原因导致的安全事故，由乙方承担相应责任及发生的费用，并保证甲方的权益不受到任何损害，乙方对乙方的雇员在运输过程中的安全负全责，甲方概不承担相关的赔偿责任。</w:t>
      </w:r>
    </w:p>
    <w:p w14:paraId="53731CA5">
      <w:pPr>
        <w:rPr>
          <w:rFonts w:ascii="宋体" w:hAnsi="宋体" w:cs="宋体"/>
          <w:color w:val="auto"/>
          <w:highlight w:val="none"/>
        </w:rPr>
      </w:pPr>
      <w:r>
        <w:rPr>
          <w:rFonts w:hint="eastAsia" w:ascii="宋体" w:hAnsi="宋体" w:cs="宋体"/>
          <w:color w:val="auto"/>
          <w:highlight w:val="none"/>
        </w:rPr>
        <w:t>5、合同服务质量与安全的检查和甲方的任何工作指令，不能免除乙方对合同服务质量、安全的任何责任。</w:t>
      </w:r>
    </w:p>
    <w:p w14:paraId="09F92578">
      <w:pPr>
        <w:rPr>
          <w:rFonts w:ascii="宋体" w:hAnsi="宋体" w:cs="宋体"/>
          <w:color w:val="auto"/>
          <w:highlight w:val="none"/>
        </w:rPr>
      </w:pPr>
      <w:r>
        <w:rPr>
          <w:rFonts w:hint="eastAsia" w:ascii="宋体" w:hAnsi="宋体" w:cs="宋体"/>
          <w:color w:val="auto"/>
          <w:highlight w:val="none"/>
        </w:rPr>
        <w:t>6、乙方必须遵守甲方关于设备材料运输及服务人员到现场需遵守的协议（见附件3），否则所造成的后果均由乙方承担，如因乙方原因造成相关方对甲方进行罚款，一切费用由乙方承担。</w:t>
      </w:r>
    </w:p>
    <w:p w14:paraId="7B89D852">
      <w:pPr>
        <w:pStyle w:val="2"/>
        <w:ind w:left="0" w:leftChars="0" w:firstLine="0" w:firstLineChars="0"/>
        <w:rPr>
          <w:rFonts w:ascii="宋体" w:hAnsi="宋体" w:cs="宋体"/>
          <w:color w:val="auto"/>
          <w:highlight w:val="none"/>
        </w:rPr>
      </w:pPr>
      <w:r>
        <w:rPr>
          <w:rFonts w:hint="eastAsia" w:ascii="宋体" w:hAnsi="宋体" w:cs="宋体"/>
          <w:color w:val="auto"/>
          <w:highlight w:val="none"/>
        </w:rPr>
        <w:t>十、履约担保</w:t>
      </w:r>
    </w:p>
    <w:p w14:paraId="3B698A88">
      <w:pPr>
        <w:spacing w:line="360" w:lineRule="auto"/>
        <w:rPr>
          <w:rFonts w:ascii="宋体" w:hAnsi="宋体" w:cs="宋体"/>
          <w:color w:val="auto"/>
          <w:highlight w:val="none"/>
        </w:rPr>
      </w:pPr>
      <w:r>
        <w:rPr>
          <w:rFonts w:hint="eastAsia" w:ascii="宋体" w:hAnsi="宋体" w:cs="宋体"/>
          <w:color w:val="auto"/>
          <w:highlight w:val="none"/>
        </w:rPr>
        <w:t xml:space="preserve">    </w:t>
      </w:r>
      <w:r>
        <w:rPr>
          <w:rFonts w:hint="eastAsia" w:ascii="宋体" w:hAnsi="宋体" w:cs="宋体"/>
          <w:color w:val="auto"/>
          <w:highlight w:val="none"/>
          <w:lang w:val="en-US" w:eastAsia="zh-CN"/>
        </w:rPr>
        <w:t>本合同的履约担保金额为人民币￥40000.00元 （大写：肆万元整），由乙方所缴纳的投标保证金转化。履约担保期限与合同履约期限保持一致；履约担保期限满，乙方向甲方提供履约保证金退还申请书，甲方审核无误后五个工作日内无息退还。若乙方不履行合同或者履行不符合合同约定或者有任何其他违约行为，甲方有权扣除乙方履约保证金，甲方暂扣的履约保证金金额不足以扣除违约赔偿费用的，甲方有权在乙方的结算款中扣除或由乙方自行补足，甲方在扣除该笔违约赔偿费用前书面通知乙方。</w:t>
      </w:r>
      <w:r>
        <w:rPr>
          <w:rFonts w:hint="eastAsia" w:ascii="宋体" w:hAnsi="宋体" w:cs="宋体"/>
          <w:color w:val="auto"/>
          <w:highlight w:val="none"/>
        </w:rPr>
        <w:t xml:space="preserve">   </w:t>
      </w:r>
      <w:r>
        <w:rPr>
          <w:rFonts w:hint="eastAsia" w:ascii="宋体" w:hAnsi="宋体"/>
          <w:color w:val="auto"/>
          <w:szCs w:val="21"/>
          <w:highlight w:val="none"/>
        </w:rPr>
        <w:t>。</w:t>
      </w:r>
    </w:p>
    <w:p w14:paraId="0009767D">
      <w:pPr>
        <w:rPr>
          <w:rFonts w:ascii="宋体" w:hAnsi="宋体" w:cs="宋体"/>
          <w:color w:val="auto"/>
          <w:highlight w:val="none"/>
        </w:rPr>
      </w:pPr>
      <w:r>
        <w:rPr>
          <w:rFonts w:hint="eastAsia" w:ascii="宋体" w:hAnsi="宋体" w:cs="宋体"/>
          <w:color w:val="auto"/>
          <w:highlight w:val="none"/>
        </w:rPr>
        <w:t>十一、其他事项</w:t>
      </w:r>
    </w:p>
    <w:p w14:paraId="60047A79">
      <w:pPr>
        <w:numPr>
          <w:ilvl w:val="0"/>
          <w:numId w:val="4"/>
        </w:numPr>
        <w:rPr>
          <w:rFonts w:ascii="宋体" w:hAnsi="宋体" w:cs="宋体"/>
          <w:color w:val="auto"/>
          <w:highlight w:val="none"/>
        </w:rPr>
      </w:pPr>
      <w:r>
        <w:rPr>
          <w:rFonts w:hint="eastAsia" w:ascii="宋体" w:hAnsi="宋体" w:cs="宋体"/>
          <w:color w:val="auto"/>
          <w:highlight w:val="none"/>
        </w:rPr>
        <w:t>甲方通知乙方运输合同所述材料，但乙方在规定时间内未能派车到指定地点，甲方除按合同约定追究乙方相应责任外，甲方还有权另请运输单位派车装运，发生超出本合同约定的费用部份的由乙方承担。如两次以上乙方不能按甲方指定时间派车到指定地点装运甲方材料，甲方有权单方面解除本合同，而无需承担任何责任。</w:t>
      </w:r>
    </w:p>
    <w:p w14:paraId="1E7DA745">
      <w:pPr>
        <w:numPr>
          <w:ilvl w:val="0"/>
          <w:numId w:val="4"/>
        </w:numPr>
        <w:rPr>
          <w:rFonts w:ascii="宋体" w:hAnsi="宋体" w:cs="宋体"/>
          <w:color w:val="auto"/>
          <w:highlight w:val="none"/>
        </w:rPr>
      </w:pPr>
      <w:r>
        <w:rPr>
          <w:rFonts w:hint="eastAsia" w:ascii="宋体" w:hAnsi="宋体" w:cs="宋体"/>
          <w:color w:val="auto"/>
          <w:highlight w:val="none"/>
        </w:rPr>
        <w:t>乙方有义务甄选原料堆场的燃料质量，尽力拉运高热值燃料。</w:t>
      </w:r>
    </w:p>
    <w:p w14:paraId="4ABA1A75">
      <w:pPr>
        <w:rPr>
          <w:rFonts w:ascii="宋体" w:hAnsi="宋体" w:cs="宋体"/>
          <w:color w:val="auto"/>
          <w:highlight w:val="none"/>
        </w:rPr>
      </w:pPr>
      <w:r>
        <w:rPr>
          <w:rFonts w:hint="eastAsia" w:ascii="宋体" w:hAnsi="宋体" w:cs="宋体"/>
          <w:color w:val="auto"/>
          <w:highlight w:val="none"/>
        </w:rPr>
        <w:t>2、本合同附件、甲方招标文件、乙方投标文件等作为本合同不可分割的一部分，与本合同具有同等的法律效力。</w:t>
      </w:r>
    </w:p>
    <w:p w14:paraId="55DFBB60">
      <w:pPr>
        <w:rPr>
          <w:rFonts w:ascii="宋体" w:hAnsi="宋体" w:cs="宋体"/>
          <w:color w:val="auto"/>
          <w:highlight w:val="none"/>
        </w:rPr>
      </w:pPr>
      <w:r>
        <w:rPr>
          <w:rFonts w:hint="eastAsia" w:ascii="宋体" w:hAnsi="宋体" w:cs="宋体"/>
          <w:color w:val="auto"/>
          <w:highlight w:val="none"/>
        </w:rPr>
        <w:t>3、本合同经双方法定代表人或授权代表签字并加盖合同专用章（或公章）至合同相关权利义务履行完毕后自行失效。</w:t>
      </w:r>
    </w:p>
    <w:p w14:paraId="4D58733B">
      <w:pPr>
        <w:rPr>
          <w:rFonts w:ascii="宋体" w:hAnsi="宋体" w:cs="宋体"/>
          <w:color w:val="auto"/>
          <w:highlight w:val="none"/>
        </w:rPr>
      </w:pPr>
      <w:r>
        <w:rPr>
          <w:rFonts w:hint="eastAsia" w:ascii="宋体" w:hAnsi="宋体" w:cs="宋体"/>
          <w:color w:val="auto"/>
          <w:highlight w:val="none"/>
        </w:rPr>
        <w:t>4、如有异议或未尽事宜，双方友好协商解决，协商不成可依法向甲方住所地具有管辖权的人民法院提起诉讼。</w:t>
      </w:r>
    </w:p>
    <w:p w14:paraId="07EA89DD">
      <w:pPr>
        <w:rPr>
          <w:rFonts w:ascii="宋体" w:hAnsi="宋体" w:cs="宋体"/>
          <w:color w:val="auto"/>
          <w:highlight w:val="none"/>
        </w:rPr>
      </w:pPr>
      <w:r>
        <w:rPr>
          <w:rFonts w:hint="eastAsia" w:ascii="宋体" w:hAnsi="宋体" w:cs="宋体"/>
          <w:color w:val="auto"/>
          <w:highlight w:val="none"/>
        </w:rPr>
        <w:t>5、甲乙双方应当严格遵守国家法律和廉政建设的规定与制度，以及相关行业行风建设的纪律和规定。若有违反，按照国家法律规定及相关制度进行处理。</w:t>
      </w:r>
    </w:p>
    <w:p w14:paraId="72B47A87">
      <w:pPr>
        <w:rPr>
          <w:rFonts w:ascii="宋体" w:hAnsi="宋体" w:cs="宋体"/>
          <w:color w:val="auto"/>
          <w:highlight w:val="none"/>
        </w:rPr>
      </w:pPr>
      <w:r>
        <w:rPr>
          <w:rFonts w:hint="eastAsia" w:ascii="宋体" w:hAnsi="宋体" w:cs="宋体"/>
          <w:color w:val="auto"/>
          <w:highlight w:val="none"/>
        </w:rPr>
        <w:t>6、本合同正本一式四份，甲乙双方各执两份，均具有同等的法律效力。</w:t>
      </w:r>
    </w:p>
    <w:p w14:paraId="2C1BCB0C">
      <w:pPr>
        <w:rPr>
          <w:rFonts w:ascii="宋体" w:hAnsi="宋体" w:cs="宋体"/>
          <w:color w:val="auto"/>
          <w:highlight w:val="none"/>
        </w:rPr>
      </w:pPr>
    </w:p>
    <w:p w14:paraId="35A4D4BB">
      <w:pPr>
        <w:rPr>
          <w:rFonts w:ascii="宋体" w:hAnsi="宋体" w:cs="宋体"/>
          <w:b/>
          <w:color w:val="auto"/>
          <w:highlight w:val="none"/>
        </w:rPr>
      </w:pPr>
    </w:p>
    <w:p w14:paraId="435A864C">
      <w:pPr>
        <w:rPr>
          <w:rFonts w:ascii="宋体" w:hAnsi="宋体" w:cs="宋体"/>
          <w:b/>
          <w:color w:val="auto"/>
          <w:highlight w:val="none"/>
        </w:rPr>
      </w:pPr>
      <w:r>
        <w:rPr>
          <w:rFonts w:hint="eastAsia" w:ascii="宋体" w:hAnsi="宋体" w:cs="宋体"/>
          <w:b/>
          <w:color w:val="auto"/>
          <w:highlight w:val="none"/>
        </w:rPr>
        <w:t>双方联系地址及签字：</w:t>
      </w:r>
    </w:p>
    <w:tbl>
      <w:tblPr>
        <w:tblStyle w:val="22"/>
        <w:tblpPr w:leftFromText="180" w:rightFromText="180" w:vertAnchor="text" w:horzAnchor="page" w:tblpX="1269" w:tblpY="400"/>
        <w:tblOverlap w:val="never"/>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3261"/>
        <w:gridCol w:w="1275"/>
        <w:gridCol w:w="3614"/>
      </w:tblGrid>
      <w:tr w14:paraId="50613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314" w:type="dxa"/>
            <w:vAlign w:val="center"/>
          </w:tcPr>
          <w:p w14:paraId="5C4FB346">
            <w:pPr>
              <w:rPr>
                <w:rFonts w:ascii="宋体" w:hAnsi="宋体"/>
                <w:b/>
                <w:color w:val="auto"/>
                <w:szCs w:val="21"/>
                <w:highlight w:val="none"/>
              </w:rPr>
            </w:pPr>
            <w:r>
              <w:rPr>
                <w:rFonts w:hint="eastAsia" w:ascii="宋体" w:hAnsi="宋体"/>
                <w:b/>
                <w:color w:val="auto"/>
                <w:szCs w:val="21"/>
                <w:highlight w:val="none"/>
              </w:rPr>
              <w:t>甲方名称</w:t>
            </w:r>
          </w:p>
        </w:tc>
        <w:tc>
          <w:tcPr>
            <w:tcW w:w="3261" w:type="dxa"/>
            <w:vAlign w:val="center"/>
          </w:tcPr>
          <w:p w14:paraId="59CCDB57">
            <w:pPr>
              <w:rPr>
                <w:rFonts w:ascii="宋体" w:hAnsi="宋体"/>
                <w:color w:val="auto"/>
                <w:szCs w:val="21"/>
                <w:highlight w:val="none"/>
              </w:rPr>
            </w:pPr>
            <w:r>
              <w:rPr>
                <w:rFonts w:hint="eastAsia" w:ascii="宋体" w:hAnsi="宋体"/>
                <w:color w:val="auto"/>
                <w:szCs w:val="21"/>
                <w:highlight w:val="none"/>
              </w:rPr>
              <w:t>吐鲁番开能环保能源有限公司</w:t>
            </w:r>
          </w:p>
        </w:tc>
        <w:tc>
          <w:tcPr>
            <w:tcW w:w="1275" w:type="dxa"/>
            <w:vAlign w:val="center"/>
          </w:tcPr>
          <w:p w14:paraId="38B1A13F">
            <w:pPr>
              <w:jc w:val="center"/>
              <w:rPr>
                <w:rFonts w:ascii="宋体" w:hAnsi="宋体"/>
                <w:b/>
                <w:color w:val="auto"/>
                <w:szCs w:val="21"/>
                <w:highlight w:val="none"/>
              </w:rPr>
            </w:pPr>
            <w:r>
              <w:rPr>
                <w:rFonts w:hint="eastAsia" w:ascii="宋体" w:hAnsi="宋体"/>
                <w:b/>
                <w:color w:val="auto"/>
                <w:szCs w:val="21"/>
                <w:highlight w:val="none"/>
              </w:rPr>
              <w:t>乙方名称</w:t>
            </w:r>
          </w:p>
        </w:tc>
        <w:tc>
          <w:tcPr>
            <w:tcW w:w="3614" w:type="dxa"/>
            <w:vAlign w:val="center"/>
          </w:tcPr>
          <w:p w14:paraId="2CA9614F">
            <w:pPr>
              <w:spacing w:line="264" w:lineRule="auto"/>
              <w:rPr>
                <w:rFonts w:ascii="宋体" w:hAnsi="宋体"/>
                <w:bCs/>
                <w:color w:val="auto"/>
                <w:szCs w:val="21"/>
                <w:highlight w:val="none"/>
              </w:rPr>
            </w:pPr>
          </w:p>
        </w:tc>
      </w:tr>
      <w:tr w14:paraId="19BA9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314" w:type="dxa"/>
            <w:vAlign w:val="center"/>
          </w:tcPr>
          <w:p w14:paraId="1D8F7769">
            <w:pPr>
              <w:rPr>
                <w:rFonts w:ascii="宋体" w:hAnsi="宋体"/>
                <w:b/>
                <w:color w:val="auto"/>
                <w:szCs w:val="21"/>
                <w:highlight w:val="none"/>
              </w:rPr>
            </w:pPr>
            <w:r>
              <w:rPr>
                <w:rFonts w:hint="eastAsia" w:ascii="宋体" w:hAnsi="宋体"/>
                <w:b/>
                <w:color w:val="auto"/>
                <w:szCs w:val="21"/>
                <w:highlight w:val="none"/>
              </w:rPr>
              <w:t xml:space="preserve">地 </w:t>
            </w:r>
            <w:r>
              <w:rPr>
                <w:rFonts w:ascii="宋体" w:hAnsi="宋体"/>
                <w:b/>
                <w:color w:val="auto"/>
                <w:szCs w:val="21"/>
                <w:highlight w:val="none"/>
              </w:rPr>
              <w:t xml:space="preserve">   </w:t>
            </w:r>
            <w:r>
              <w:rPr>
                <w:rFonts w:hint="eastAsia" w:ascii="宋体" w:hAnsi="宋体"/>
                <w:b/>
                <w:color w:val="auto"/>
                <w:szCs w:val="21"/>
                <w:highlight w:val="none"/>
              </w:rPr>
              <w:t>址</w:t>
            </w:r>
          </w:p>
          <w:p w14:paraId="171633CB">
            <w:pPr>
              <w:rPr>
                <w:rFonts w:ascii="宋体" w:hAnsi="宋体"/>
                <w:b/>
                <w:color w:val="auto"/>
                <w:szCs w:val="21"/>
                <w:highlight w:val="none"/>
              </w:rPr>
            </w:pPr>
          </w:p>
        </w:tc>
        <w:tc>
          <w:tcPr>
            <w:tcW w:w="3261" w:type="dxa"/>
            <w:vAlign w:val="center"/>
          </w:tcPr>
          <w:p w14:paraId="367B797A">
            <w:pPr>
              <w:rPr>
                <w:rFonts w:ascii="宋体" w:hAnsi="宋体"/>
                <w:color w:val="auto"/>
                <w:szCs w:val="21"/>
                <w:highlight w:val="none"/>
              </w:rPr>
            </w:pPr>
            <w:r>
              <w:rPr>
                <w:rFonts w:ascii="宋体" w:hAnsi="宋体"/>
                <w:color w:val="auto"/>
                <w:szCs w:val="21"/>
                <w:highlight w:val="none"/>
              </w:rPr>
              <w:t>新疆吐鲁番市托克逊县阿乐惠镇圣雄工业园区，电石厂区外101室</w:t>
            </w:r>
          </w:p>
        </w:tc>
        <w:tc>
          <w:tcPr>
            <w:tcW w:w="1275" w:type="dxa"/>
            <w:vAlign w:val="center"/>
          </w:tcPr>
          <w:p w14:paraId="12E6B053">
            <w:pPr>
              <w:jc w:val="center"/>
              <w:rPr>
                <w:rFonts w:ascii="宋体" w:hAnsi="宋体"/>
                <w:b/>
                <w:color w:val="auto"/>
                <w:szCs w:val="21"/>
                <w:highlight w:val="none"/>
              </w:rPr>
            </w:pPr>
            <w:r>
              <w:rPr>
                <w:rFonts w:hint="eastAsia" w:ascii="宋体" w:hAnsi="宋体"/>
                <w:b/>
                <w:color w:val="auto"/>
                <w:szCs w:val="21"/>
                <w:highlight w:val="none"/>
              </w:rPr>
              <w:t>地　　址</w:t>
            </w:r>
          </w:p>
        </w:tc>
        <w:tc>
          <w:tcPr>
            <w:tcW w:w="3614" w:type="dxa"/>
            <w:vAlign w:val="center"/>
          </w:tcPr>
          <w:p w14:paraId="40965860">
            <w:pPr>
              <w:spacing w:line="264" w:lineRule="auto"/>
              <w:rPr>
                <w:rFonts w:ascii="宋体" w:hAnsi="宋体"/>
                <w:color w:val="auto"/>
                <w:szCs w:val="21"/>
                <w:highlight w:val="none"/>
              </w:rPr>
            </w:pPr>
          </w:p>
        </w:tc>
      </w:tr>
      <w:tr w14:paraId="1A3EB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1314" w:type="dxa"/>
            <w:vAlign w:val="center"/>
          </w:tcPr>
          <w:p w14:paraId="13349134">
            <w:pPr>
              <w:rPr>
                <w:rFonts w:hint="eastAsia" w:ascii="宋体" w:hAnsi="宋体" w:eastAsia="宋体"/>
                <w:b/>
                <w:color w:val="auto"/>
                <w:szCs w:val="21"/>
                <w:highlight w:val="none"/>
                <w:lang w:eastAsia="zh-CN"/>
              </w:rPr>
            </w:pPr>
            <w:r>
              <w:rPr>
                <w:rFonts w:hint="eastAsia" w:ascii="宋体" w:hAnsi="宋体"/>
                <w:b/>
                <w:color w:val="auto"/>
                <w:szCs w:val="21"/>
                <w:highlight w:val="none"/>
              </w:rPr>
              <w:t>授权代表人</w:t>
            </w:r>
            <w:r>
              <w:rPr>
                <w:rFonts w:hint="eastAsia" w:ascii="宋体" w:hAnsi="宋体"/>
                <w:b/>
                <w:color w:val="auto"/>
                <w:szCs w:val="21"/>
                <w:highlight w:val="none"/>
                <w:lang w:eastAsia="zh-CN"/>
              </w:rPr>
              <w:t>（</w:t>
            </w:r>
            <w:r>
              <w:rPr>
                <w:rFonts w:hint="eastAsia" w:ascii="宋体" w:hAnsi="宋体"/>
                <w:b/>
                <w:color w:val="auto"/>
                <w:szCs w:val="21"/>
                <w:highlight w:val="none"/>
                <w:lang w:val="en-US" w:eastAsia="zh-CN"/>
              </w:rPr>
              <w:t>签字</w:t>
            </w:r>
            <w:r>
              <w:rPr>
                <w:rFonts w:hint="eastAsia" w:ascii="宋体" w:hAnsi="宋体"/>
                <w:b/>
                <w:color w:val="auto"/>
                <w:szCs w:val="21"/>
                <w:highlight w:val="none"/>
                <w:lang w:eastAsia="zh-CN"/>
              </w:rPr>
              <w:t>）</w:t>
            </w:r>
          </w:p>
        </w:tc>
        <w:tc>
          <w:tcPr>
            <w:tcW w:w="3261" w:type="dxa"/>
            <w:vAlign w:val="center"/>
          </w:tcPr>
          <w:p w14:paraId="43BF6A62">
            <w:pPr>
              <w:rPr>
                <w:rFonts w:ascii="宋体" w:hAnsi="宋体"/>
                <w:color w:val="auto"/>
                <w:w w:val="98"/>
                <w:szCs w:val="21"/>
                <w:highlight w:val="none"/>
              </w:rPr>
            </w:pPr>
          </w:p>
        </w:tc>
        <w:tc>
          <w:tcPr>
            <w:tcW w:w="1275" w:type="dxa"/>
            <w:vAlign w:val="center"/>
          </w:tcPr>
          <w:p w14:paraId="6273361A">
            <w:pPr>
              <w:jc w:val="center"/>
              <w:rPr>
                <w:rFonts w:hint="eastAsia" w:ascii="宋体" w:hAnsi="宋体" w:eastAsia="宋体"/>
                <w:b/>
                <w:color w:val="auto"/>
                <w:szCs w:val="21"/>
                <w:highlight w:val="none"/>
                <w:lang w:eastAsia="zh-CN"/>
              </w:rPr>
            </w:pPr>
            <w:r>
              <w:rPr>
                <w:rFonts w:hint="eastAsia" w:ascii="宋体" w:hAnsi="宋体"/>
                <w:b/>
                <w:color w:val="auto"/>
                <w:szCs w:val="21"/>
                <w:highlight w:val="none"/>
              </w:rPr>
              <w:t>授权代表人</w:t>
            </w:r>
            <w:r>
              <w:rPr>
                <w:rFonts w:hint="eastAsia" w:ascii="宋体" w:hAnsi="宋体"/>
                <w:b/>
                <w:color w:val="auto"/>
                <w:szCs w:val="21"/>
                <w:highlight w:val="none"/>
                <w:lang w:eastAsia="zh-CN"/>
              </w:rPr>
              <w:t>（</w:t>
            </w:r>
            <w:r>
              <w:rPr>
                <w:rFonts w:hint="eastAsia" w:ascii="宋体" w:hAnsi="宋体"/>
                <w:b/>
                <w:color w:val="auto"/>
                <w:szCs w:val="21"/>
                <w:highlight w:val="none"/>
                <w:lang w:val="en-US" w:eastAsia="zh-CN"/>
              </w:rPr>
              <w:t>签字</w:t>
            </w:r>
            <w:r>
              <w:rPr>
                <w:rFonts w:hint="eastAsia" w:ascii="宋体" w:hAnsi="宋体"/>
                <w:b/>
                <w:color w:val="auto"/>
                <w:szCs w:val="21"/>
                <w:highlight w:val="none"/>
                <w:lang w:eastAsia="zh-CN"/>
              </w:rPr>
              <w:t>）</w:t>
            </w:r>
          </w:p>
        </w:tc>
        <w:tc>
          <w:tcPr>
            <w:tcW w:w="3614" w:type="dxa"/>
            <w:vAlign w:val="center"/>
          </w:tcPr>
          <w:p w14:paraId="7D41AB46">
            <w:pPr>
              <w:spacing w:line="264" w:lineRule="auto"/>
              <w:rPr>
                <w:rFonts w:ascii="宋体" w:hAnsi="宋体"/>
                <w:color w:val="auto"/>
                <w:w w:val="98"/>
                <w:szCs w:val="21"/>
                <w:highlight w:val="none"/>
              </w:rPr>
            </w:pPr>
          </w:p>
        </w:tc>
      </w:tr>
      <w:tr w14:paraId="4707D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314" w:type="dxa"/>
            <w:tcBorders>
              <w:bottom w:val="single" w:color="auto" w:sz="4" w:space="0"/>
            </w:tcBorders>
            <w:vAlign w:val="center"/>
          </w:tcPr>
          <w:p w14:paraId="34AC53AC">
            <w:pPr>
              <w:rPr>
                <w:rFonts w:ascii="宋体" w:hAnsi="宋体"/>
                <w:b/>
                <w:color w:val="auto"/>
                <w:szCs w:val="21"/>
                <w:highlight w:val="none"/>
              </w:rPr>
            </w:pPr>
            <w:r>
              <w:rPr>
                <w:rFonts w:hint="eastAsia" w:ascii="宋体" w:hAnsi="宋体"/>
                <w:b/>
                <w:color w:val="auto"/>
                <w:szCs w:val="21"/>
                <w:highlight w:val="none"/>
              </w:rPr>
              <w:t>开 户 行</w:t>
            </w:r>
          </w:p>
        </w:tc>
        <w:tc>
          <w:tcPr>
            <w:tcW w:w="3261" w:type="dxa"/>
            <w:tcBorders>
              <w:bottom w:val="single" w:color="auto" w:sz="4" w:space="0"/>
            </w:tcBorders>
          </w:tcPr>
          <w:p w14:paraId="3B3BA720">
            <w:pPr>
              <w:rPr>
                <w:rFonts w:ascii="宋体" w:hAnsi="宋体"/>
                <w:color w:val="auto"/>
                <w:szCs w:val="21"/>
                <w:highlight w:val="none"/>
              </w:rPr>
            </w:pPr>
            <w:r>
              <w:rPr>
                <w:rFonts w:hint="eastAsia" w:ascii="宋体" w:hAnsi="宋体"/>
                <w:color w:val="auto"/>
                <w:szCs w:val="21"/>
                <w:highlight w:val="none"/>
              </w:rPr>
              <w:t>工行吐鲁番托克逊支行营业室</w:t>
            </w:r>
          </w:p>
        </w:tc>
        <w:tc>
          <w:tcPr>
            <w:tcW w:w="1275" w:type="dxa"/>
            <w:tcBorders>
              <w:bottom w:val="single" w:color="auto" w:sz="4" w:space="0"/>
            </w:tcBorders>
            <w:vAlign w:val="center"/>
          </w:tcPr>
          <w:p w14:paraId="170E0B44">
            <w:pPr>
              <w:jc w:val="center"/>
              <w:rPr>
                <w:rFonts w:ascii="宋体" w:hAnsi="宋体"/>
                <w:b/>
                <w:color w:val="auto"/>
                <w:szCs w:val="21"/>
                <w:highlight w:val="none"/>
              </w:rPr>
            </w:pPr>
            <w:r>
              <w:rPr>
                <w:rFonts w:hint="eastAsia" w:ascii="宋体" w:hAnsi="宋体"/>
                <w:b/>
                <w:color w:val="auto"/>
                <w:szCs w:val="21"/>
                <w:highlight w:val="none"/>
              </w:rPr>
              <w:t>开 户 行</w:t>
            </w:r>
          </w:p>
        </w:tc>
        <w:tc>
          <w:tcPr>
            <w:tcW w:w="3614" w:type="dxa"/>
            <w:tcBorders>
              <w:bottom w:val="single" w:color="auto" w:sz="4" w:space="0"/>
            </w:tcBorders>
          </w:tcPr>
          <w:p w14:paraId="654765CF">
            <w:pPr>
              <w:spacing w:line="264" w:lineRule="auto"/>
              <w:rPr>
                <w:rFonts w:ascii="宋体" w:hAnsi="宋体"/>
                <w:color w:val="auto"/>
                <w:szCs w:val="21"/>
                <w:highlight w:val="none"/>
              </w:rPr>
            </w:pPr>
          </w:p>
        </w:tc>
      </w:tr>
      <w:tr w14:paraId="6C122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314" w:type="dxa"/>
            <w:vAlign w:val="center"/>
          </w:tcPr>
          <w:p w14:paraId="3213B130">
            <w:pPr>
              <w:rPr>
                <w:rFonts w:ascii="宋体" w:hAnsi="宋体"/>
                <w:b/>
                <w:color w:val="auto"/>
                <w:szCs w:val="21"/>
                <w:highlight w:val="none"/>
              </w:rPr>
            </w:pPr>
            <w:r>
              <w:rPr>
                <w:rFonts w:hint="eastAsia" w:ascii="宋体" w:hAnsi="宋体"/>
                <w:b/>
                <w:color w:val="auto"/>
                <w:szCs w:val="21"/>
                <w:highlight w:val="none"/>
              </w:rPr>
              <w:t>帐    号</w:t>
            </w:r>
          </w:p>
        </w:tc>
        <w:tc>
          <w:tcPr>
            <w:tcW w:w="3261" w:type="dxa"/>
          </w:tcPr>
          <w:p w14:paraId="776E609A">
            <w:pPr>
              <w:rPr>
                <w:rFonts w:ascii="宋体" w:hAnsi="宋体"/>
                <w:color w:val="auto"/>
                <w:szCs w:val="21"/>
                <w:highlight w:val="none"/>
              </w:rPr>
            </w:pPr>
            <w:r>
              <w:rPr>
                <w:rFonts w:ascii="宋体" w:hAnsi="宋体"/>
                <w:color w:val="auto"/>
                <w:szCs w:val="21"/>
                <w:highlight w:val="none"/>
              </w:rPr>
              <w:t>3005 2931 0920 0127 655</w:t>
            </w:r>
          </w:p>
        </w:tc>
        <w:tc>
          <w:tcPr>
            <w:tcW w:w="1275" w:type="dxa"/>
            <w:vAlign w:val="center"/>
          </w:tcPr>
          <w:p w14:paraId="7E01D024">
            <w:pPr>
              <w:jc w:val="center"/>
              <w:rPr>
                <w:rFonts w:ascii="宋体" w:hAnsi="宋体"/>
                <w:b/>
                <w:color w:val="auto"/>
                <w:szCs w:val="21"/>
                <w:highlight w:val="none"/>
              </w:rPr>
            </w:pPr>
            <w:r>
              <w:rPr>
                <w:rFonts w:hint="eastAsia" w:ascii="宋体" w:hAnsi="宋体"/>
                <w:b/>
                <w:color w:val="auto"/>
                <w:szCs w:val="21"/>
                <w:highlight w:val="none"/>
              </w:rPr>
              <w:t>帐    号</w:t>
            </w:r>
          </w:p>
        </w:tc>
        <w:tc>
          <w:tcPr>
            <w:tcW w:w="3614" w:type="dxa"/>
          </w:tcPr>
          <w:p w14:paraId="21631552">
            <w:pPr>
              <w:spacing w:line="264" w:lineRule="auto"/>
              <w:rPr>
                <w:rFonts w:ascii="宋体" w:hAnsi="宋体"/>
                <w:color w:val="auto"/>
                <w:szCs w:val="21"/>
                <w:highlight w:val="none"/>
              </w:rPr>
            </w:pPr>
          </w:p>
        </w:tc>
      </w:tr>
      <w:tr w14:paraId="6B5D2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314" w:type="dxa"/>
            <w:vAlign w:val="center"/>
          </w:tcPr>
          <w:p w14:paraId="0E6A724C">
            <w:pPr>
              <w:rPr>
                <w:rFonts w:ascii="宋体" w:hAnsi="宋体"/>
                <w:b/>
                <w:color w:val="auto"/>
                <w:szCs w:val="21"/>
                <w:highlight w:val="none"/>
              </w:rPr>
            </w:pPr>
            <w:r>
              <w:rPr>
                <w:rFonts w:hint="eastAsia" w:ascii="宋体" w:hAnsi="宋体"/>
                <w:b/>
                <w:color w:val="auto"/>
                <w:szCs w:val="21"/>
                <w:highlight w:val="none"/>
              </w:rPr>
              <w:t>税    号</w:t>
            </w:r>
          </w:p>
        </w:tc>
        <w:tc>
          <w:tcPr>
            <w:tcW w:w="3261" w:type="dxa"/>
            <w:vAlign w:val="center"/>
          </w:tcPr>
          <w:p w14:paraId="0E88F69F">
            <w:pPr>
              <w:rPr>
                <w:rFonts w:ascii="宋体" w:hAnsi="宋体"/>
                <w:color w:val="auto"/>
                <w:szCs w:val="21"/>
                <w:highlight w:val="none"/>
              </w:rPr>
            </w:pPr>
            <w:r>
              <w:rPr>
                <w:rFonts w:ascii="宋体" w:hAnsi="宋体"/>
                <w:color w:val="auto"/>
                <w:szCs w:val="21"/>
                <w:highlight w:val="none"/>
              </w:rPr>
              <w:t>91650422MA77W5397E</w:t>
            </w:r>
          </w:p>
        </w:tc>
        <w:tc>
          <w:tcPr>
            <w:tcW w:w="1275" w:type="dxa"/>
            <w:vAlign w:val="center"/>
          </w:tcPr>
          <w:p w14:paraId="0158D66F">
            <w:pPr>
              <w:jc w:val="center"/>
              <w:rPr>
                <w:rFonts w:ascii="宋体" w:hAnsi="宋体"/>
                <w:b/>
                <w:color w:val="auto"/>
                <w:szCs w:val="21"/>
                <w:highlight w:val="none"/>
              </w:rPr>
            </w:pPr>
            <w:r>
              <w:rPr>
                <w:rFonts w:hint="eastAsia" w:ascii="宋体" w:hAnsi="宋体"/>
                <w:b/>
                <w:color w:val="auto"/>
                <w:szCs w:val="21"/>
                <w:highlight w:val="none"/>
              </w:rPr>
              <w:t>税    号</w:t>
            </w:r>
          </w:p>
        </w:tc>
        <w:tc>
          <w:tcPr>
            <w:tcW w:w="3614" w:type="dxa"/>
            <w:vAlign w:val="center"/>
          </w:tcPr>
          <w:p w14:paraId="09D969B2">
            <w:pPr>
              <w:spacing w:line="264" w:lineRule="auto"/>
              <w:rPr>
                <w:rFonts w:ascii="宋体" w:hAnsi="宋体"/>
                <w:color w:val="auto"/>
                <w:szCs w:val="21"/>
                <w:highlight w:val="none"/>
              </w:rPr>
            </w:pPr>
          </w:p>
        </w:tc>
      </w:tr>
      <w:tr w14:paraId="129C9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314" w:type="dxa"/>
            <w:vAlign w:val="center"/>
          </w:tcPr>
          <w:p w14:paraId="1A0BDC97">
            <w:pPr>
              <w:rPr>
                <w:rFonts w:ascii="宋体" w:hAnsi="宋体"/>
                <w:b/>
                <w:color w:val="auto"/>
                <w:szCs w:val="21"/>
                <w:highlight w:val="none"/>
              </w:rPr>
            </w:pPr>
            <w:r>
              <w:rPr>
                <w:rFonts w:hint="eastAsia" w:ascii="宋体" w:hAnsi="宋体"/>
                <w:b/>
                <w:color w:val="auto"/>
                <w:szCs w:val="21"/>
                <w:highlight w:val="none"/>
              </w:rPr>
              <w:t>电    话</w:t>
            </w:r>
          </w:p>
        </w:tc>
        <w:tc>
          <w:tcPr>
            <w:tcW w:w="3261" w:type="dxa"/>
            <w:vAlign w:val="center"/>
          </w:tcPr>
          <w:p w14:paraId="208B9114">
            <w:pPr>
              <w:rPr>
                <w:rFonts w:ascii="宋体" w:hAnsi="宋体"/>
                <w:color w:val="auto"/>
                <w:w w:val="98"/>
                <w:szCs w:val="21"/>
                <w:highlight w:val="none"/>
              </w:rPr>
            </w:pPr>
            <w:r>
              <w:rPr>
                <w:rFonts w:hint="eastAsia" w:ascii="宋体" w:hAnsi="宋体"/>
                <w:color w:val="auto"/>
                <w:w w:val="98"/>
                <w:szCs w:val="21"/>
                <w:highlight w:val="none"/>
              </w:rPr>
              <w:t>1</w:t>
            </w:r>
            <w:r>
              <w:rPr>
                <w:rFonts w:ascii="宋体" w:hAnsi="宋体"/>
                <w:color w:val="auto"/>
                <w:w w:val="98"/>
                <w:szCs w:val="21"/>
                <w:highlight w:val="none"/>
              </w:rPr>
              <w:t>8139317730</w:t>
            </w:r>
          </w:p>
        </w:tc>
        <w:tc>
          <w:tcPr>
            <w:tcW w:w="1275" w:type="dxa"/>
            <w:vAlign w:val="center"/>
          </w:tcPr>
          <w:p w14:paraId="72B14333">
            <w:pPr>
              <w:jc w:val="center"/>
              <w:rPr>
                <w:rFonts w:ascii="宋体" w:hAnsi="宋体"/>
                <w:b/>
                <w:color w:val="auto"/>
                <w:szCs w:val="21"/>
                <w:highlight w:val="none"/>
              </w:rPr>
            </w:pPr>
            <w:r>
              <w:rPr>
                <w:rFonts w:hint="eastAsia" w:ascii="宋体" w:hAnsi="宋体"/>
                <w:b/>
                <w:color w:val="auto"/>
                <w:szCs w:val="21"/>
                <w:highlight w:val="none"/>
              </w:rPr>
              <w:t>电话</w:t>
            </w:r>
          </w:p>
        </w:tc>
        <w:tc>
          <w:tcPr>
            <w:tcW w:w="3614" w:type="dxa"/>
            <w:vAlign w:val="center"/>
          </w:tcPr>
          <w:p w14:paraId="33CF17E1">
            <w:pPr>
              <w:spacing w:line="264" w:lineRule="auto"/>
              <w:rPr>
                <w:rFonts w:ascii="宋体" w:hAnsi="宋体"/>
                <w:color w:val="auto"/>
                <w:w w:val="98"/>
                <w:szCs w:val="21"/>
                <w:highlight w:val="none"/>
              </w:rPr>
            </w:pPr>
          </w:p>
        </w:tc>
      </w:tr>
    </w:tbl>
    <w:p w14:paraId="056251D0">
      <w:pPr>
        <w:rPr>
          <w:rFonts w:ascii="宋体" w:hAnsi="宋体" w:cs="宋体"/>
          <w:b/>
          <w:color w:val="auto"/>
          <w:highlight w:val="none"/>
        </w:rPr>
      </w:pPr>
    </w:p>
    <w:p w14:paraId="1BB1AF70">
      <w:pPr>
        <w:rPr>
          <w:rFonts w:ascii="宋体" w:hAnsi="宋体" w:cs="宋体"/>
          <w:b/>
          <w:color w:val="auto"/>
          <w:szCs w:val="21"/>
          <w:highlight w:val="none"/>
        </w:rPr>
      </w:pPr>
    </w:p>
    <w:p w14:paraId="12532FD5">
      <w:pPr>
        <w:rPr>
          <w:rFonts w:ascii="宋体" w:hAnsi="宋体" w:cs="宋体"/>
          <w:b/>
          <w:color w:val="auto"/>
          <w:szCs w:val="21"/>
          <w:highlight w:val="none"/>
        </w:rPr>
      </w:pPr>
    </w:p>
    <w:p w14:paraId="34FEE605">
      <w:pPr>
        <w:pStyle w:val="2"/>
        <w:ind w:left="0" w:leftChars="0" w:firstLine="0" w:firstLineChars="0"/>
        <w:rPr>
          <w:rFonts w:ascii="宋体" w:hAnsi="宋体" w:cs="宋体"/>
          <w:b/>
          <w:color w:val="auto"/>
          <w:szCs w:val="21"/>
          <w:highlight w:val="none"/>
        </w:rPr>
      </w:pPr>
    </w:p>
    <w:p w14:paraId="6F908AD8">
      <w:pPr>
        <w:rPr>
          <w:rFonts w:ascii="宋体" w:hAnsi="宋体" w:cs="宋体"/>
          <w:b/>
          <w:color w:val="auto"/>
          <w:szCs w:val="21"/>
          <w:highlight w:val="none"/>
        </w:rPr>
      </w:pPr>
      <w:r>
        <w:rPr>
          <w:rFonts w:hint="eastAsia" w:ascii="宋体" w:hAnsi="宋体" w:cs="宋体"/>
          <w:b/>
          <w:color w:val="auto"/>
          <w:szCs w:val="21"/>
          <w:highlight w:val="none"/>
        </w:rPr>
        <w:t>附件1：价格表</w:t>
      </w:r>
    </w:p>
    <w:p w14:paraId="2C15D65F">
      <w:pPr>
        <w:rPr>
          <w:rFonts w:ascii="宋体" w:hAnsi="宋体" w:cs="宋体"/>
          <w:b/>
          <w:color w:val="auto"/>
          <w:szCs w:val="21"/>
          <w:highlight w:val="none"/>
        </w:rPr>
      </w:pPr>
    </w:p>
    <w:p w14:paraId="7AE2083D">
      <w:pPr>
        <w:rPr>
          <w:rFonts w:ascii="宋体" w:hAnsi="宋体" w:cs="宋体"/>
          <w:b/>
          <w:color w:val="auto"/>
          <w:szCs w:val="21"/>
          <w:highlight w:val="none"/>
        </w:rPr>
      </w:pPr>
    </w:p>
    <w:tbl>
      <w:tblPr>
        <w:tblStyle w:val="22"/>
        <w:tblpPr w:leftFromText="180" w:rightFromText="180" w:vertAnchor="text" w:horzAnchor="page" w:tblpX="224" w:tblpY="183"/>
        <w:tblOverlap w:val="never"/>
        <w:tblW w:w="11449" w:type="dxa"/>
        <w:tblInd w:w="0" w:type="dxa"/>
        <w:tblLayout w:type="fixed"/>
        <w:tblCellMar>
          <w:top w:w="0" w:type="dxa"/>
          <w:left w:w="0" w:type="dxa"/>
          <w:bottom w:w="0" w:type="dxa"/>
          <w:right w:w="0" w:type="dxa"/>
        </w:tblCellMar>
      </w:tblPr>
      <w:tblGrid>
        <w:gridCol w:w="251"/>
        <w:gridCol w:w="624"/>
        <w:gridCol w:w="916"/>
        <w:gridCol w:w="794"/>
        <w:gridCol w:w="784"/>
        <w:gridCol w:w="1197"/>
        <w:gridCol w:w="1205"/>
        <w:gridCol w:w="1161"/>
        <w:gridCol w:w="1053"/>
        <w:gridCol w:w="940"/>
        <w:gridCol w:w="945"/>
        <w:gridCol w:w="1579"/>
      </w:tblGrid>
      <w:tr w14:paraId="5EA33768">
        <w:tblPrEx>
          <w:tblCellMar>
            <w:top w:w="0" w:type="dxa"/>
            <w:left w:w="0" w:type="dxa"/>
            <w:bottom w:w="0" w:type="dxa"/>
            <w:right w:w="0" w:type="dxa"/>
          </w:tblCellMar>
        </w:tblPrEx>
        <w:trPr>
          <w:trHeight w:val="360" w:hRule="atLeast"/>
        </w:trPr>
        <w:tc>
          <w:tcPr>
            <w:tcW w:w="25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2AA492">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序号</w:t>
            </w:r>
          </w:p>
        </w:tc>
        <w:tc>
          <w:tcPr>
            <w:tcW w:w="62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504779">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设备/材料名称</w:t>
            </w:r>
          </w:p>
        </w:tc>
        <w:tc>
          <w:tcPr>
            <w:tcW w:w="91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8F565C">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运输包装方式</w:t>
            </w: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C672E4">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运输距离（千米）</w:t>
            </w:r>
          </w:p>
        </w:tc>
        <w:tc>
          <w:tcPr>
            <w:tcW w:w="78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9C83AF">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预计运输总重量（吨）</w:t>
            </w:r>
          </w:p>
        </w:tc>
        <w:tc>
          <w:tcPr>
            <w:tcW w:w="11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BCB07D">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起运地</w:t>
            </w:r>
          </w:p>
        </w:tc>
        <w:tc>
          <w:tcPr>
            <w:tcW w:w="12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A9B799">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目的地</w:t>
            </w:r>
          </w:p>
        </w:tc>
        <w:tc>
          <w:tcPr>
            <w:tcW w:w="116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9048ED">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运输方式</w:t>
            </w:r>
          </w:p>
        </w:tc>
        <w:tc>
          <w:tcPr>
            <w:tcW w:w="105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D0B70A">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单位</w:t>
            </w:r>
          </w:p>
        </w:tc>
        <w:tc>
          <w:tcPr>
            <w:tcW w:w="9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A40E59">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单价（元/吨）</w:t>
            </w:r>
          </w:p>
        </w:tc>
        <w:tc>
          <w:tcPr>
            <w:tcW w:w="94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CF6BDD">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总价（元 )</w:t>
            </w:r>
          </w:p>
        </w:tc>
        <w:tc>
          <w:tcPr>
            <w:tcW w:w="157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5BA8D3">
            <w:pPr>
              <w:widowControl/>
              <w:jc w:val="center"/>
              <w:textAlignment w:val="center"/>
              <w:rPr>
                <w:rFonts w:ascii="宋体" w:hAnsi="宋体" w:cs="宋体"/>
                <w:color w:val="auto"/>
                <w:szCs w:val="24"/>
                <w:highlight w:val="none"/>
              </w:rPr>
            </w:pPr>
            <w:r>
              <w:rPr>
                <w:rFonts w:hint="eastAsia" w:ascii="宋体" w:hAnsi="宋体" w:cs="宋体"/>
                <w:color w:val="auto"/>
                <w:szCs w:val="21"/>
                <w:highlight w:val="none"/>
                <w:lang w:bidi="ar"/>
              </w:rPr>
              <w:t>备注</w:t>
            </w:r>
          </w:p>
        </w:tc>
      </w:tr>
      <w:tr w14:paraId="797DA163">
        <w:tblPrEx>
          <w:tblCellMar>
            <w:top w:w="0" w:type="dxa"/>
            <w:left w:w="0" w:type="dxa"/>
            <w:bottom w:w="0" w:type="dxa"/>
            <w:right w:w="0" w:type="dxa"/>
          </w:tblCellMar>
        </w:tblPrEx>
        <w:trPr>
          <w:trHeight w:val="1079" w:hRule="atLeast"/>
        </w:trPr>
        <w:tc>
          <w:tcPr>
            <w:tcW w:w="2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D26EB4">
            <w:pPr>
              <w:jc w:val="center"/>
              <w:rPr>
                <w:rFonts w:ascii="宋体" w:hAnsi="宋体" w:cs="宋体"/>
                <w:b/>
                <w:color w:val="auto"/>
                <w:sz w:val="18"/>
                <w:szCs w:val="18"/>
                <w:highlight w:val="none"/>
              </w:rPr>
            </w:pPr>
          </w:p>
        </w:tc>
        <w:tc>
          <w:tcPr>
            <w:tcW w:w="6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3006A0">
            <w:pPr>
              <w:jc w:val="center"/>
              <w:rPr>
                <w:rFonts w:ascii="宋体" w:hAnsi="宋体" w:cs="宋体"/>
                <w:b/>
                <w:color w:val="auto"/>
                <w:sz w:val="18"/>
                <w:szCs w:val="18"/>
                <w:highlight w:val="none"/>
              </w:rPr>
            </w:pPr>
          </w:p>
        </w:tc>
        <w:tc>
          <w:tcPr>
            <w:tcW w:w="91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64A622">
            <w:pPr>
              <w:jc w:val="center"/>
              <w:rPr>
                <w:rFonts w:ascii="宋体" w:hAnsi="宋体" w:cs="宋体"/>
                <w:b/>
                <w:color w:val="auto"/>
                <w:sz w:val="18"/>
                <w:szCs w:val="18"/>
                <w:highlight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3BD38B">
            <w:pPr>
              <w:jc w:val="center"/>
              <w:rPr>
                <w:rFonts w:ascii="宋体" w:hAnsi="宋体" w:cs="宋体"/>
                <w:b/>
                <w:color w:val="auto"/>
                <w:sz w:val="18"/>
                <w:szCs w:val="18"/>
                <w:highlight w:val="none"/>
              </w:rPr>
            </w:pPr>
          </w:p>
        </w:tc>
        <w:tc>
          <w:tcPr>
            <w:tcW w:w="7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B976E6">
            <w:pPr>
              <w:jc w:val="center"/>
              <w:rPr>
                <w:rFonts w:ascii="宋体" w:hAnsi="宋体" w:cs="宋体"/>
                <w:b/>
                <w:color w:val="auto"/>
                <w:sz w:val="18"/>
                <w:szCs w:val="18"/>
                <w:highlight w:val="none"/>
              </w:rPr>
            </w:pPr>
          </w:p>
        </w:tc>
        <w:tc>
          <w:tcPr>
            <w:tcW w:w="11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C4C0E4">
            <w:pPr>
              <w:jc w:val="center"/>
              <w:rPr>
                <w:rFonts w:ascii="宋体" w:hAnsi="宋体" w:cs="宋体"/>
                <w:b/>
                <w:color w:val="auto"/>
                <w:sz w:val="18"/>
                <w:szCs w:val="18"/>
                <w:highlight w:val="none"/>
              </w:rPr>
            </w:pPr>
          </w:p>
        </w:tc>
        <w:tc>
          <w:tcPr>
            <w:tcW w:w="12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E16826">
            <w:pPr>
              <w:jc w:val="center"/>
              <w:rPr>
                <w:rFonts w:ascii="宋体" w:hAnsi="宋体" w:cs="宋体"/>
                <w:b/>
                <w:color w:val="auto"/>
                <w:sz w:val="18"/>
                <w:szCs w:val="18"/>
                <w:highlight w:val="none"/>
              </w:rPr>
            </w:pPr>
          </w:p>
        </w:tc>
        <w:tc>
          <w:tcPr>
            <w:tcW w:w="116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F00AD5">
            <w:pPr>
              <w:jc w:val="center"/>
              <w:rPr>
                <w:rFonts w:ascii="宋体" w:hAnsi="宋体" w:cs="宋体"/>
                <w:b/>
                <w:color w:val="auto"/>
                <w:sz w:val="18"/>
                <w:szCs w:val="18"/>
                <w:highlight w:val="none"/>
              </w:rPr>
            </w:pPr>
          </w:p>
        </w:tc>
        <w:tc>
          <w:tcPr>
            <w:tcW w:w="105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9AE141">
            <w:pPr>
              <w:jc w:val="center"/>
              <w:rPr>
                <w:rFonts w:ascii="宋体" w:hAnsi="宋体" w:cs="宋体"/>
                <w:b/>
                <w:color w:val="auto"/>
                <w:sz w:val="18"/>
                <w:szCs w:val="18"/>
                <w:highlight w:val="none"/>
              </w:rPr>
            </w:pPr>
          </w:p>
        </w:tc>
        <w:tc>
          <w:tcPr>
            <w:tcW w:w="9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A01D4C">
            <w:pPr>
              <w:jc w:val="center"/>
              <w:rPr>
                <w:rFonts w:ascii="宋体" w:hAnsi="宋体" w:cs="宋体"/>
                <w:b/>
                <w:color w:val="auto"/>
                <w:sz w:val="18"/>
                <w:szCs w:val="18"/>
                <w:highlight w:val="none"/>
              </w:rPr>
            </w:pPr>
          </w:p>
        </w:tc>
        <w:tc>
          <w:tcPr>
            <w:tcW w:w="9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2C622E">
            <w:pPr>
              <w:jc w:val="center"/>
              <w:rPr>
                <w:rFonts w:ascii="宋体" w:hAnsi="宋体" w:cs="宋体"/>
                <w:b/>
                <w:color w:val="auto"/>
                <w:sz w:val="18"/>
                <w:szCs w:val="18"/>
                <w:highlight w:val="none"/>
              </w:rPr>
            </w:pPr>
          </w:p>
        </w:tc>
        <w:tc>
          <w:tcPr>
            <w:tcW w:w="157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AFDD4E">
            <w:pPr>
              <w:jc w:val="center"/>
              <w:rPr>
                <w:rFonts w:ascii="宋体" w:hAnsi="宋体" w:cs="宋体"/>
                <w:color w:val="auto"/>
                <w:szCs w:val="24"/>
                <w:highlight w:val="none"/>
              </w:rPr>
            </w:pPr>
          </w:p>
        </w:tc>
      </w:tr>
      <w:tr w14:paraId="045840EA">
        <w:tblPrEx>
          <w:tblCellMar>
            <w:top w:w="0" w:type="dxa"/>
            <w:left w:w="0" w:type="dxa"/>
            <w:bottom w:w="0" w:type="dxa"/>
            <w:right w:w="0" w:type="dxa"/>
          </w:tblCellMar>
        </w:tblPrEx>
        <w:trPr>
          <w:trHeight w:val="1413" w:hRule="atLeast"/>
        </w:trPr>
        <w:tc>
          <w:tcPr>
            <w:tcW w:w="2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60D712">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1</w:t>
            </w:r>
          </w:p>
        </w:tc>
        <w:tc>
          <w:tcPr>
            <w:tcW w:w="6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1EAECF">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煤末/兰炭末</w:t>
            </w:r>
          </w:p>
        </w:tc>
        <w:tc>
          <w:tcPr>
            <w:tcW w:w="9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BF58CA">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裸装</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A09B0F">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3</w:t>
            </w:r>
          </w:p>
        </w:tc>
        <w:tc>
          <w:tcPr>
            <w:tcW w:w="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591D70">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100000</w:t>
            </w:r>
          </w:p>
        </w:tc>
        <w:tc>
          <w:tcPr>
            <w:tcW w:w="11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682159">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新疆圣雄电石有限公司原料堆场指定地点</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5B29EC">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吐鲁番开能环保能源有限公司厂区干煤棚指定地点</w:t>
            </w:r>
          </w:p>
        </w:tc>
        <w:tc>
          <w:tcPr>
            <w:tcW w:w="11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C3EFEA">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汽运</w:t>
            </w:r>
          </w:p>
        </w:tc>
        <w:tc>
          <w:tcPr>
            <w:tcW w:w="10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218438">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元/吨</w:t>
            </w:r>
          </w:p>
        </w:tc>
        <w:tc>
          <w:tcPr>
            <w:tcW w:w="9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E244F8">
            <w:pPr>
              <w:jc w:val="center"/>
              <w:rPr>
                <w:rFonts w:ascii="宋体" w:hAnsi="宋体" w:cs="宋体"/>
                <w:color w:val="auto"/>
                <w:sz w:val="18"/>
                <w:szCs w:val="18"/>
                <w:highlight w:val="none"/>
              </w:rPr>
            </w:pPr>
          </w:p>
        </w:tc>
        <w:tc>
          <w:tcPr>
            <w:tcW w:w="9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A9972B">
            <w:pPr>
              <w:widowControl/>
              <w:jc w:val="center"/>
              <w:textAlignment w:val="center"/>
              <w:rPr>
                <w:rFonts w:ascii="宋体" w:hAnsi="宋体" w:cs="宋体"/>
                <w:b/>
                <w:color w:val="auto"/>
                <w:sz w:val="18"/>
                <w:szCs w:val="18"/>
                <w:highlight w:val="none"/>
              </w:rPr>
            </w:pPr>
          </w:p>
        </w:tc>
        <w:tc>
          <w:tcPr>
            <w:tcW w:w="157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688799">
            <w:pPr>
              <w:rPr>
                <w:rFonts w:ascii="宋体" w:hAnsi="宋体" w:cs="宋体"/>
                <w:color w:val="auto"/>
                <w:szCs w:val="24"/>
                <w:highlight w:val="none"/>
              </w:rPr>
            </w:pPr>
          </w:p>
        </w:tc>
      </w:tr>
      <w:tr w14:paraId="61F72E5B">
        <w:tblPrEx>
          <w:tblCellMar>
            <w:top w:w="0" w:type="dxa"/>
            <w:left w:w="0" w:type="dxa"/>
            <w:bottom w:w="0" w:type="dxa"/>
            <w:right w:w="0" w:type="dxa"/>
          </w:tblCellMar>
        </w:tblPrEx>
        <w:trPr>
          <w:trHeight w:val="1440" w:hRule="atLeast"/>
        </w:trPr>
        <w:tc>
          <w:tcPr>
            <w:tcW w:w="2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8EA109">
            <w:pPr>
              <w:jc w:val="center"/>
              <w:rPr>
                <w:rFonts w:ascii="宋体" w:hAnsi="宋体" w:cs="宋体"/>
                <w:b/>
                <w:color w:val="auto"/>
                <w:sz w:val="18"/>
                <w:szCs w:val="18"/>
                <w:highlight w:val="none"/>
              </w:rPr>
            </w:pPr>
            <w:r>
              <w:rPr>
                <w:rFonts w:hint="eastAsia" w:ascii="宋体" w:hAnsi="宋体" w:cs="宋体"/>
                <w:b/>
                <w:color w:val="auto"/>
                <w:sz w:val="18"/>
                <w:szCs w:val="18"/>
                <w:highlight w:val="none"/>
              </w:rPr>
              <w:t>2</w:t>
            </w:r>
          </w:p>
        </w:tc>
        <w:tc>
          <w:tcPr>
            <w:tcW w:w="6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126233">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粉煤灰</w:t>
            </w:r>
          </w:p>
        </w:tc>
        <w:tc>
          <w:tcPr>
            <w:tcW w:w="9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B23F31">
            <w:pPr>
              <w:widowControl/>
              <w:jc w:val="center"/>
              <w:textAlignment w:val="center"/>
              <w:rPr>
                <w:rFonts w:hint="eastAsia" w:ascii="宋体" w:hAnsi="宋体" w:eastAsia="宋体" w:cs="宋体"/>
                <w:color w:val="auto"/>
                <w:sz w:val="18"/>
                <w:szCs w:val="18"/>
                <w:highlight w:val="none"/>
                <w:lang w:eastAsia="zh-CN"/>
              </w:rPr>
            </w:pPr>
            <w:r>
              <w:rPr>
                <w:rFonts w:hint="eastAsia" w:ascii="宋体" w:hAnsi="宋体" w:cs="宋体"/>
                <w:color w:val="auto"/>
                <w:sz w:val="18"/>
                <w:szCs w:val="18"/>
                <w:highlight w:val="none"/>
                <w:lang w:val="en-US" w:eastAsia="zh-CN" w:bidi="ar"/>
              </w:rPr>
              <w:t>散装</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D16667">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16</w:t>
            </w:r>
          </w:p>
        </w:tc>
        <w:tc>
          <w:tcPr>
            <w:tcW w:w="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945A79">
            <w:pPr>
              <w:widowControl/>
              <w:jc w:val="center"/>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bidi="ar"/>
              </w:rPr>
              <w:t>80000</w:t>
            </w:r>
          </w:p>
        </w:tc>
        <w:tc>
          <w:tcPr>
            <w:tcW w:w="1197" w:type="dxa"/>
            <w:tcBorders>
              <w:left w:val="single" w:color="000000" w:sz="4" w:space="0"/>
              <w:right w:val="single" w:color="000000" w:sz="4" w:space="0"/>
            </w:tcBorders>
            <w:tcMar>
              <w:top w:w="15" w:type="dxa"/>
              <w:left w:w="15" w:type="dxa"/>
              <w:right w:w="15" w:type="dxa"/>
            </w:tcMar>
            <w:vAlign w:val="center"/>
          </w:tcPr>
          <w:p w14:paraId="65211120">
            <w:pPr>
              <w:jc w:val="center"/>
              <w:rPr>
                <w:rFonts w:ascii="宋体" w:hAnsi="宋体" w:cs="宋体"/>
                <w:color w:val="auto"/>
                <w:sz w:val="18"/>
                <w:szCs w:val="18"/>
                <w:highlight w:val="none"/>
              </w:rPr>
            </w:pPr>
            <w:r>
              <w:rPr>
                <w:rFonts w:hint="eastAsia" w:ascii="宋体" w:hAnsi="宋体" w:cs="宋体"/>
                <w:color w:val="auto"/>
                <w:sz w:val="18"/>
                <w:szCs w:val="18"/>
                <w:highlight w:val="none"/>
                <w:lang w:bidi="ar"/>
              </w:rPr>
              <w:t>吐鲁番开能环保能源有限公司厂区除尘灰仓指定地点</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37FC31">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新疆圣雄能源股份有限公司灰场指定地点</w:t>
            </w:r>
          </w:p>
        </w:tc>
        <w:tc>
          <w:tcPr>
            <w:tcW w:w="11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C18E40">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汽运</w:t>
            </w:r>
          </w:p>
        </w:tc>
        <w:tc>
          <w:tcPr>
            <w:tcW w:w="10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CB0D2D">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元/吨</w:t>
            </w:r>
          </w:p>
        </w:tc>
        <w:tc>
          <w:tcPr>
            <w:tcW w:w="9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D7BA85">
            <w:pPr>
              <w:jc w:val="center"/>
              <w:rPr>
                <w:rFonts w:ascii="宋体" w:hAnsi="宋体" w:cs="宋体"/>
                <w:color w:val="auto"/>
                <w:sz w:val="18"/>
                <w:szCs w:val="18"/>
                <w:highlight w:val="none"/>
              </w:rPr>
            </w:pPr>
          </w:p>
        </w:tc>
        <w:tc>
          <w:tcPr>
            <w:tcW w:w="9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99C943">
            <w:pPr>
              <w:widowControl/>
              <w:jc w:val="center"/>
              <w:textAlignment w:val="center"/>
              <w:rPr>
                <w:rFonts w:ascii="宋体" w:hAnsi="宋体" w:cs="宋体"/>
                <w:b/>
                <w:color w:val="auto"/>
                <w:sz w:val="18"/>
                <w:szCs w:val="18"/>
                <w:highlight w:val="none"/>
              </w:rPr>
            </w:pPr>
          </w:p>
        </w:tc>
        <w:tc>
          <w:tcPr>
            <w:tcW w:w="1579" w:type="dxa"/>
            <w:tcBorders>
              <w:left w:val="single" w:color="000000" w:sz="4" w:space="0"/>
              <w:right w:val="single" w:color="000000" w:sz="4" w:space="0"/>
            </w:tcBorders>
            <w:tcMar>
              <w:top w:w="15" w:type="dxa"/>
              <w:left w:w="15" w:type="dxa"/>
              <w:right w:w="15" w:type="dxa"/>
            </w:tcMar>
            <w:vAlign w:val="center"/>
          </w:tcPr>
          <w:p w14:paraId="7942D32F">
            <w:pPr>
              <w:jc w:val="center"/>
              <w:rPr>
                <w:rFonts w:ascii="宋体" w:hAnsi="宋体" w:cs="宋体"/>
                <w:color w:val="auto"/>
                <w:szCs w:val="24"/>
                <w:highlight w:val="none"/>
              </w:rPr>
            </w:pPr>
          </w:p>
        </w:tc>
      </w:tr>
      <w:tr w14:paraId="5BB0092B">
        <w:tblPrEx>
          <w:tblCellMar>
            <w:top w:w="0" w:type="dxa"/>
            <w:left w:w="0" w:type="dxa"/>
            <w:bottom w:w="0" w:type="dxa"/>
            <w:right w:w="0" w:type="dxa"/>
          </w:tblCellMar>
        </w:tblPrEx>
        <w:trPr>
          <w:trHeight w:val="1150" w:hRule="atLeast"/>
        </w:trPr>
        <w:tc>
          <w:tcPr>
            <w:tcW w:w="8925" w:type="dxa"/>
            <w:gridSpan w:val="10"/>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14:paraId="3C430AA0">
            <w:pPr>
              <w:jc w:val="center"/>
              <w:rPr>
                <w:rFonts w:ascii="宋体" w:hAnsi="宋体" w:cs="宋体"/>
                <w:color w:val="auto"/>
                <w:sz w:val="18"/>
                <w:szCs w:val="18"/>
                <w:highlight w:val="none"/>
              </w:rPr>
            </w:pPr>
            <w:r>
              <w:rPr>
                <w:rFonts w:hint="eastAsia" w:ascii="宋体" w:hAnsi="宋体" w:cs="宋体"/>
                <w:color w:val="auto"/>
                <w:sz w:val="18"/>
                <w:szCs w:val="18"/>
                <w:highlight w:val="none"/>
              </w:rPr>
              <w:t>合计(大写）：</w:t>
            </w:r>
          </w:p>
        </w:tc>
        <w:tc>
          <w:tcPr>
            <w:tcW w:w="945" w:type="dxa"/>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65E0C929">
            <w:pPr>
              <w:widowControl/>
              <w:jc w:val="center"/>
              <w:textAlignment w:val="center"/>
              <w:rPr>
                <w:rFonts w:ascii="宋体" w:hAnsi="宋体" w:cs="宋体"/>
                <w:b/>
                <w:color w:val="auto"/>
                <w:sz w:val="18"/>
                <w:szCs w:val="18"/>
                <w:highlight w:val="none"/>
                <w:lang w:bidi="ar"/>
              </w:rPr>
            </w:pPr>
          </w:p>
        </w:tc>
        <w:tc>
          <w:tcPr>
            <w:tcW w:w="1579" w:type="dxa"/>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38EE2DC8">
            <w:pPr>
              <w:jc w:val="center"/>
              <w:rPr>
                <w:rFonts w:ascii="宋体" w:hAnsi="宋体" w:cs="宋体"/>
                <w:color w:val="auto"/>
                <w:szCs w:val="24"/>
                <w:highlight w:val="none"/>
              </w:rPr>
            </w:pPr>
          </w:p>
        </w:tc>
      </w:tr>
    </w:tbl>
    <w:p w14:paraId="1BEADACC">
      <w:pPr>
        <w:rPr>
          <w:rFonts w:ascii="宋体" w:hAnsi="宋体" w:cs="宋体"/>
          <w:b/>
          <w:color w:val="auto"/>
          <w:szCs w:val="21"/>
          <w:highlight w:val="none"/>
        </w:rPr>
      </w:pPr>
    </w:p>
    <w:p w14:paraId="3B4B98F6">
      <w:pPr>
        <w:rPr>
          <w:rFonts w:ascii="宋体" w:hAnsi="宋体" w:cs="宋体"/>
          <w:b/>
          <w:color w:val="auto"/>
          <w:szCs w:val="21"/>
          <w:highlight w:val="none"/>
        </w:rPr>
      </w:pPr>
    </w:p>
    <w:p w14:paraId="2120C9B8">
      <w:pPr>
        <w:rPr>
          <w:rFonts w:ascii="宋体" w:hAnsi="宋体" w:cs="宋体"/>
          <w:b/>
          <w:color w:val="auto"/>
          <w:szCs w:val="21"/>
          <w:highlight w:val="none"/>
        </w:rPr>
      </w:pPr>
      <w:r>
        <w:rPr>
          <w:rFonts w:hint="eastAsia" w:ascii="宋体" w:hAnsi="宋体" w:cs="宋体"/>
          <w:b/>
          <w:color w:val="auto"/>
          <w:szCs w:val="21"/>
          <w:highlight w:val="none"/>
        </w:rPr>
        <w:t>附件2：运输业务量确认审批表</w:t>
      </w:r>
    </w:p>
    <w:p w14:paraId="37442F80">
      <w:pPr>
        <w:rPr>
          <w:rFonts w:ascii="宋体" w:hAnsi="宋体" w:cs="宋体"/>
          <w:b/>
          <w:color w:val="auto"/>
          <w:szCs w:val="21"/>
          <w:highlight w:val="none"/>
        </w:rPr>
      </w:pPr>
    </w:p>
    <w:p w14:paraId="5DDCEAEA">
      <w:pPr>
        <w:rPr>
          <w:rFonts w:ascii="宋体" w:hAnsi="宋体" w:cs="宋体"/>
          <w:color w:val="auto"/>
          <w:szCs w:val="21"/>
          <w:highlight w:val="none"/>
        </w:rPr>
      </w:pPr>
      <w:r>
        <w:rPr>
          <w:rFonts w:hint="eastAsia" w:ascii="宋体" w:hAnsi="宋体" w:cs="宋体"/>
          <w:color w:val="auto"/>
          <w:szCs w:val="24"/>
          <w:highlight w:val="none"/>
        </w:rPr>
        <w:object>
          <v:shape id="_x0000_i1025" o:spt="75" type="#_x0000_t75" style="height:231pt;width:482.5pt;" o:ole="t" filled="f" o:preferrelative="t" stroked="f" coordsize="21600,21600">
            <v:path/>
            <v:fill on="f" focussize="0,0"/>
            <v:stroke on="f" joinstyle="miter"/>
            <v:imagedata r:id="rId7" o:title=""/>
            <o:lock v:ext="edit" aspectratio="t"/>
            <w10:wrap type="none"/>
            <w10:anchorlock/>
          </v:shape>
          <o:OLEObject Type="Embed" ProgID="Excel.Sheet.12" ShapeID="_x0000_i1025" DrawAspect="Content" ObjectID="_1468075725" r:id="rId6">
            <o:LockedField>false</o:LockedField>
          </o:OLEObject>
        </w:object>
      </w:r>
    </w:p>
    <w:p w14:paraId="7143D8CA">
      <w:pPr>
        <w:rPr>
          <w:rFonts w:ascii="宋体" w:hAnsi="宋体" w:cs="宋体"/>
          <w:color w:val="auto"/>
          <w:szCs w:val="21"/>
          <w:highlight w:val="none"/>
        </w:rPr>
      </w:pPr>
    </w:p>
    <w:p w14:paraId="6DCFD664">
      <w:pPr>
        <w:pStyle w:val="2"/>
        <w:ind w:left="0" w:leftChars="0" w:firstLine="0" w:firstLineChars="0"/>
        <w:rPr>
          <w:rFonts w:ascii="宋体" w:hAnsi="宋体" w:cs="宋体"/>
          <w:color w:val="auto"/>
          <w:szCs w:val="21"/>
          <w:highlight w:val="none"/>
        </w:rPr>
      </w:pPr>
    </w:p>
    <w:p w14:paraId="349F0FDA">
      <w:pPr>
        <w:pStyle w:val="2"/>
        <w:rPr>
          <w:rFonts w:ascii="宋体" w:hAnsi="宋体" w:cs="宋体"/>
          <w:color w:val="auto"/>
          <w:szCs w:val="21"/>
          <w:highlight w:val="none"/>
        </w:rPr>
      </w:pPr>
    </w:p>
    <w:p w14:paraId="6AB8431E">
      <w:pPr>
        <w:rPr>
          <w:rFonts w:ascii="宋体" w:hAnsi="宋体" w:cs="宋体"/>
          <w:color w:val="auto"/>
          <w:szCs w:val="21"/>
          <w:highlight w:val="none"/>
        </w:rPr>
      </w:pPr>
      <w:r>
        <w:rPr>
          <w:rFonts w:hint="eastAsia" w:ascii="宋体" w:hAnsi="宋体" w:cs="宋体"/>
          <w:b/>
          <w:color w:val="auto"/>
          <w:szCs w:val="24"/>
          <w:highlight w:val="none"/>
        </w:rPr>
        <w:t>附件3： 货物运输安健环协议</w:t>
      </w:r>
    </w:p>
    <w:p w14:paraId="5EEF8937">
      <w:pPr>
        <w:spacing w:line="400" w:lineRule="exact"/>
        <w:jc w:val="center"/>
        <w:rPr>
          <w:rFonts w:ascii="宋体" w:hAnsi="宋体" w:cs="宋体"/>
          <w:b/>
          <w:color w:val="auto"/>
          <w:szCs w:val="24"/>
          <w:highlight w:val="none"/>
        </w:rPr>
      </w:pPr>
    </w:p>
    <w:p w14:paraId="4D517ACC">
      <w:pPr>
        <w:spacing w:line="400" w:lineRule="exact"/>
        <w:jc w:val="center"/>
        <w:rPr>
          <w:rFonts w:ascii="宋体" w:hAnsi="宋体" w:cs="宋体"/>
          <w:b/>
          <w:color w:val="auto"/>
          <w:szCs w:val="24"/>
          <w:highlight w:val="none"/>
        </w:rPr>
      </w:pPr>
      <w:r>
        <w:rPr>
          <w:rFonts w:hint="eastAsia" w:ascii="宋体" w:hAnsi="宋体" w:cs="宋体"/>
          <w:b/>
          <w:color w:val="auto"/>
          <w:szCs w:val="24"/>
          <w:highlight w:val="none"/>
        </w:rPr>
        <w:t>货物运输安健环协议</w:t>
      </w:r>
    </w:p>
    <w:p w14:paraId="27D62872">
      <w:pPr>
        <w:spacing w:line="400" w:lineRule="exact"/>
        <w:rPr>
          <w:rFonts w:ascii="宋体" w:hAnsi="宋体" w:cs="宋体"/>
          <w:color w:val="auto"/>
          <w:szCs w:val="21"/>
          <w:highlight w:val="none"/>
        </w:rPr>
      </w:pPr>
      <w:r>
        <w:rPr>
          <w:rFonts w:hint="eastAsia" w:ascii="宋体" w:hAnsi="宋体" w:cs="宋体"/>
          <w:color w:val="auto"/>
          <w:szCs w:val="21"/>
          <w:highlight w:val="none"/>
        </w:rPr>
        <w:t>甲方：吐鲁番开能环保能源有限公司</w:t>
      </w:r>
    </w:p>
    <w:p w14:paraId="6C229C96">
      <w:pPr>
        <w:spacing w:line="400" w:lineRule="exact"/>
        <w:rPr>
          <w:rFonts w:ascii="宋体" w:hAnsi="宋体" w:cs="宋体"/>
          <w:color w:val="auto"/>
          <w:szCs w:val="21"/>
          <w:highlight w:val="none"/>
        </w:rPr>
      </w:pPr>
      <w:r>
        <w:rPr>
          <w:rFonts w:hint="eastAsia" w:ascii="宋体" w:hAnsi="宋体" w:cs="宋体"/>
          <w:color w:val="auto"/>
          <w:szCs w:val="21"/>
          <w:highlight w:val="none"/>
        </w:rPr>
        <w:t>乙方：</w:t>
      </w:r>
    </w:p>
    <w:p w14:paraId="66C1B9AA">
      <w:pPr>
        <w:spacing w:line="400" w:lineRule="exact"/>
        <w:rPr>
          <w:rFonts w:ascii="宋体" w:hAnsi="宋体" w:cs="宋体"/>
          <w:color w:val="auto"/>
          <w:szCs w:val="21"/>
          <w:highlight w:val="none"/>
        </w:rPr>
      </w:pPr>
    </w:p>
    <w:p w14:paraId="759FFB52">
      <w:pPr>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为保证各项运输作业顺利进行，减少和杜绝运输违章、安全事故，加强现场安全文明管理，凡进入现场的司机及服务人员必须执行下列安全管理要求：</w:t>
      </w:r>
    </w:p>
    <w:p w14:paraId="772C1ECE">
      <w:pPr>
        <w:spacing w:line="400" w:lineRule="exact"/>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rPr>
        <w:tab/>
      </w:r>
      <w:r>
        <w:rPr>
          <w:rFonts w:hint="eastAsia" w:ascii="宋体" w:hAnsi="宋体" w:cs="宋体"/>
          <w:color w:val="auto"/>
          <w:szCs w:val="21"/>
          <w:highlight w:val="none"/>
        </w:rPr>
        <w:t>乙方应建立安全管理体系、安全管理组织机构，明确项目负责人，配有专职安全员建立安全管理网络，专职安全人员的数量应按项目总人员数的3%配备，为其雇佣的从业人员提供安全法规知识、安全规章制度、安全操作规程和安全操作技能教育和培训。</w:t>
      </w:r>
    </w:p>
    <w:p w14:paraId="6A2969F8">
      <w:pPr>
        <w:spacing w:line="400" w:lineRule="exact"/>
        <w:rPr>
          <w:rFonts w:ascii="宋体" w:hAnsi="宋体" w:cs="宋体"/>
          <w:color w:val="auto"/>
          <w:szCs w:val="21"/>
          <w:highlight w:val="none"/>
        </w:rPr>
      </w:pPr>
      <w:r>
        <w:rPr>
          <w:rFonts w:hint="eastAsia" w:ascii="宋体" w:hAnsi="宋体" w:cs="宋体"/>
          <w:color w:val="auto"/>
          <w:szCs w:val="21"/>
          <w:highlight w:val="none"/>
        </w:rPr>
        <w:t>2、乙方应当接受甲方的安全管理监督，遵守甲方的安全规章制度，并按时参加甲方组织的安全会议。</w:t>
      </w:r>
    </w:p>
    <w:p w14:paraId="3EFE35C1">
      <w:pPr>
        <w:spacing w:line="400" w:lineRule="exact"/>
        <w:rPr>
          <w:rFonts w:ascii="宋体" w:hAnsi="宋体" w:cs="宋体"/>
          <w:color w:val="auto"/>
          <w:szCs w:val="21"/>
          <w:highlight w:val="none"/>
        </w:rPr>
      </w:pPr>
      <w:r>
        <w:rPr>
          <w:rFonts w:hint="eastAsia" w:ascii="宋体" w:hAnsi="宋体" w:cs="宋体"/>
          <w:color w:val="auto"/>
          <w:szCs w:val="21"/>
          <w:highlight w:val="none"/>
        </w:rPr>
        <w:t>3、一般安全管理规定</w:t>
      </w:r>
    </w:p>
    <w:p w14:paraId="1F0207A8">
      <w:pPr>
        <w:spacing w:line="400" w:lineRule="exact"/>
        <w:rPr>
          <w:rFonts w:ascii="宋体" w:hAnsi="宋体" w:cs="宋体"/>
          <w:color w:val="auto"/>
          <w:szCs w:val="21"/>
          <w:highlight w:val="none"/>
        </w:rPr>
      </w:pPr>
      <w:r>
        <w:rPr>
          <w:rFonts w:hint="eastAsia" w:ascii="宋体" w:hAnsi="宋体" w:cs="宋体"/>
          <w:color w:val="auto"/>
          <w:szCs w:val="21"/>
          <w:highlight w:val="none"/>
        </w:rPr>
        <w:t>3.1、设备材料运输必须由安全、质量、技术等方面均符合规定要求的车辆(船)运输，应做好每趟次运输安全管理工作，乙方驾驶员应当驾驶与其从业资格类别相符的车辆(船舶)，驾驶货运车辆时，应当随身携带从业资格证。</w:t>
      </w:r>
    </w:p>
    <w:p w14:paraId="00BC60E4">
      <w:pPr>
        <w:spacing w:line="400" w:lineRule="exact"/>
        <w:rPr>
          <w:rFonts w:ascii="宋体" w:hAnsi="宋体" w:cs="宋体"/>
          <w:color w:val="auto"/>
          <w:szCs w:val="21"/>
          <w:highlight w:val="none"/>
        </w:rPr>
      </w:pPr>
      <w:r>
        <w:rPr>
          <w:rFonts w:hint="eastAsia" w:ascii="宋体" w:hAnsi="宋体" w:cs="宋体"/>
          <w:color w:val="auto"/>
          <w:szCs w:val="21"/>
          <w:highlight w:val="none"/>
        </w:rPr>
        <w:t>3.2、设备材料运输全过程的安全由乙方负责。承运设备、材料过程中，一旦出险，在尽力抢救使设备损失降到最低限度的前提下，应及时通知吐鲁番开能环保能源有限公司、保险公司及相关单位。</w:t>
      </w:r>
    </w:p>
    <w:p w14:paraId="1B42692E">
      <w:pPr>
        <w:spacing w:line="400" w:lineRule="exact"/>
        <w:rPr>
          <w:rFonts w:ascii="宋体" w:hAnsi="宋体" w:cs="宋体"/>
          <w:color w:val="auto"/>
          <w:szCs w:val="21"/>
          <w:highlight w:val="none"/>
        </w:rPr>
      </w:pPr>
      <w:r>
        <w:rPr>
          <w:rFonts w:hint="eastAsia" w:ascii="宋体" w:hAnsi="宋体" w:cs="宋体"/>
          <w:color w:val="auto"/>
          <w:szCs w:val="21"/>
          <w:highlight w:val="none"/>
        </w:rPr>
        <w:t>3.3乙方应当按照国家有关规定在其重型货运车辆配置通信、应急救援物资,驾驶人员不得疲劳驾驶。</w:t>
      </w:r>
    </w:p>
    <w:p w14:paraId="14E737F5">
      <w:pPr>
        <w:spacing w:line="400" w:lineRule="exact"/>
        <w:rPr>
          <w:rFonts w:ascii="宋体" w:hAnsi="宋体" w:cs="宋体"/>
          <w:color w:val="auto"/>
          <w:szCs w:val="21"/>
          <w:highlight w:val="none"/>
        </w:rPr>
      </w:pPr>
      <w:r>
        <w:rPr>
          <w:rFonts w:hint="eastAsia" w:ascii="宋体" w:hAnsi="宋体" w:cs="宋体"/>
          <w:color w:val="auto"/>
          <w:szCs w:val="21"/>
          <w:highlight w:val="none"/>
        </w:rPr>
        <w:t>3.5、乙方在实施运输过程中，应始终保证设备、材料在装货到车板时双方确认的数量和质量的完整性。</w:t>
      </w:r>
    </w:p>
    <w:p w14:paraId="556EACA5">
      <w:pPr>
        <w:spacing w:line="400" w:lineRule="exact"/>
        <w:rPr>
          <w:rFonts w:ascii="宋体" w:hAnsi="宋体" w:cs="宋体"/>
          <w:color w:val="auto"/>
          <w:szCs w:val="21"/>
          <w:highlight w:val="none"/>
        </w:rPr>
      </w:pPr>
      <w:r>
        <w:rPr>
          <w:rFonts w:hint="eastAsia" w:ascii="宋体" w:hAnsi="宋体" w:cs="宋体"/>
          <w:color w:val="auto"/>
          <w:szCs w:val="21"/>
          <w:highlight w:val="none"/>
        </w:rPr>
        <w:t>3.6、乙方在实施运输过程中应严格遵守国家的各项法律法规，否则，由此造成的一切损失由乙运方承担。</w:t>
      </w:r>
    </w:p>
    <w:p w14:paraId="6FC83AEC">
      <w:pPr>
        <w:spacing w:line="400" w:lineRule="exact"/>
        <w:rPr>
          <w:rFonts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rPr>
        <w:tab/>
      </w:r>
      <w:r>
        <w:rPr>
          <w:rFonts w:hint="eastAsia" w:ascii="宋体" w:hAnsi="宋体" w:cs="宋体"/>
          <w:color w:val="auto"/>
          <w:szCs w:val="21"/>
          <w:highlight w:val="none"/>
        </w:rPr>
        <w:t>装车（装船）、绑扎及场内行驶</w:t>
      </w:r>
    </w:p>
    <w:p w14:paraId="18BD6674">
      <w:pPr>
        <w:spacing w:line="400" w:lineRule="exact"/>
        <w:rPr>
          <w:rFonts w:ascii="宋体" w:hAnsi="宋体" w:cs="宋体"/>
          <w:color w:val="auto"/>
          <w:szCs w:val="21"/>
          <w:highlight w:val="none"/>
        </w:rPr>
      </w:pPr>
      <w:r>
        <w:rPr>
          <w:rFonts w:hint="eastAsia" w:ascii="宋体" w:hAnsi="宋体" w:cs="宋体"/>
          <w:color w:val="auto"/>
          <w:szCs w:val="21"/>
          <w:highlight w:val="none"/>
        </w:rPr>
        <w:t>4.1、装货和卸货过程，作业区域及周围，不得有非作业人员经过和停留。</w:t>
      </w:r>
    </w:p>
    <w:p w14:paraId="1C002D10">
      <w:pPr>
        <w:spacing w:line="400" w:lineRule="exact"/>
        <w:rPr>
          <w:rFonts w:ascii="宋体" w:hAnsi="宋体" w:cs="宋体"/>
          <w:color w:val="auto"/>
          <w:szCs w:val="21"/>
          <w:highlight w:val="none"/>
        </w:rPr>
      </w:pPr>
      <w:r>
        <w:rPr>
          <w:rFonts w:hint="eastAsia" w:ascii="宋体" w:hAnsi="宋体" w:cs="宋体"/>
          <w:color w:val="auto"/>
          <w:szCs w:val="21"/>
          <w:highlight w:val="none"/>
        </w:rPr>
        <w:t>4.2、装运物件长度超过后栏板时，不得遮挡号牌、转向灯、尾灯和制动灯。</w:t>
      </w:r>
    </w:p>
    <w:p w14:paraId="26566D32">
      <w:pPr>
        <w:spacing w:line="400" w:lineRule="exact"/>
        <w:rPr>
          <w:rFonts w:ascii="宋体" w:hAnsi="宋体" w:cs="宋体"/>
          <w:color w:val="auto"/>
          <w:szCs w:val="21"/>
          <w:highlight w:val="none"/>
        </w:rPr>
      </w:pPr>
      <w:r>
        <w:rPr>
          <w:rFonts w:hint="eastAsia" w:ascii="宋体" w:hAnsi="宋体" w:cs="宋体"/>
          <w:color w:val="auto"/>
          <w:szCs w:val="21"/>
          <w:highlight w:val="none"/>
        </w:rPr>
        <w:t>4.3、易滚动的物件沿其滚动方向用楔子垫牢。</w:t>
      </w:r>
    </w:p>
    <w:p w14:paraId="2FA3DA46">
      <w:pPr>
        <w:spacing w:line="400" w:lineRule="exact"/>
        <w:rPr>
          <w:rFonts w:ascii="宋体" w:hAnsi="宋体" w:cs="宋体"/>
          <w:color w:val="auto"/>
          <w:szCs w:val="21"/>
          <w:highlight w:val="none"/>
        </w:rPr>
      </w:pPr>
      <w:r>
        <w:rPr>
          <w:rFonts w:hint="eastAsia" w:ascii="宋体" w:hAnsi="宋体" w:cs="宋体"/>
          <w:color w:val="auto"/>
          <w:szCs w:val="21"/>
          <w:highlight w:val="none"/>
        </w:rPr>
        <w:t>4.4、装运物件应垫稳、绑扎牢固，不得超载。</w:t>
      </w:r>
    </w:p>
    <w:p w14:paraId="256F5772">
      <w:pPr>
        <w:spacing w:line="400" w:lineRule="exact"/>
        <w:rPr>
          <w:rFonts w:ascii="宋体" w:hAnsi="宋体" w:cs="宋体"/>
          <w:color w:val="auto"/>
          <w:szCs w:val="21"/>
          <w:highlight w:val="none"/>
        </w:rPr>
      </w:pPr>
      <w:r>
        <w:rPr>
          <w:rFonts w:hint="eastAsia" w:ascii="宋体" w:hAnsi="宋体" w:cs="宋体"/>
          <w:color w:val="auto"/>
          <w:szCs w:val="21"/>
          <w:highlight w:val="none"/>
        </w:rPr>
        <w:t>4.5、对未超出车厢/平板长度的物件绑扎至少2度；超出车厢/平板的物件至少绑扎3度；对超高、超宽容易晃动的物件，交叉绑扎。绑扎绳用钢丝绳或者专用绑扎带，但都应用链条葫芦或专用绑扎带收紧。</w:t>
      </w:r>
    </w:p>
    <w:p w14:paraId="72099D39">
      <w:pPr>
        <w:spacing w:line="400" w:lineRule="exact"/>
        <w:rPr>
          <w:rFonts w:ascii="宋体" w:hAnsi="宋体" w:cs="宋体"/>
          <w:color w:val="auto"/>
          <w:szCs w:val="21"/>
          <w:highlight w:val="none"/>
        </w:rPr>
      </w:pPr>
      <w:r>
        <w:rPr>
          <w:rFonts w:hint="eastAsia" w:ascii="宋体" w:hAnsi="宋体" w:cs="宋体"/>
          <w:color w:val="auto"/>
          <w:szCs w:val="21"/>
          <w:highlight w:val="none"/>
        </w:rPr>
        <w:t>4.6、所有绑扎工具必须合格有效，不得使用不合格索具。</w:t>
      </w:r>
    </w:p>
    <w:p w14:paraId="5325521B">
      <w:pPr>
        <w:spacing w:line="400" w:lineRule="exact"/>
        <w:rPr>
          <w:rFonts w:ascii="宋体" w:hAnsi="宋体" w:cs="宋体"/>
          <w:color w:val="auto"/>
          <w:szCs w:val="21"/>
          <w:highlight w:val="none"/>
        </w:rPr>
      </w:pPr>
      <w:r>
        <w:rPr>
          <w:rFonts w:hint="eastAsia" w:ascii="宋体" w:hAnsi="宋体" w:cs="宋体"/>
          <w:color w:val="auto"/>
          <w:szCs w:val="21"/>
          <w:highlight w:val="none"/>
        </w:rPr>
        <w:t>4.7、绑扎加固过程中，要充分考虑长途运输加固钢绳与设备摩擦而造成的设备磨损事宜，做好足够的防磨措施。</w:t>
      </w:r>
    </w:p>
    <w:p w14:paraId="02A5B4D4">
      <w:pPr>
        <w:spacing w:line="400" w:lineRule="exact"/>
        <w:rPr>
          <w:rFonts w:ascii="宋体" w:hAnsi="宋体" w:cs="宋体"/>
          <w:color w:val="auto"/>
          <w:szCs w:val="21"/>
          <w:highlight w:val="none"/>
        </w:rPr>
      </w:pPr>
      <w:r>
        <w:rPr>
          <w:rFonts w:hint="eastAsia" w:ascii="宋体" w:hAnsi="宋体" w:cs="宋体"/>
          <w:color w:val="auto"/>
          <w:szCs w:val="21"/>
          <w:highlight w:val="none"/>
        </w:rPr>
        <w:t>4.8、运输超长物件时，应设置超长架，超长架固定在车厢上，物件与超长架及车厢应捆绑牢固。</w:t>
      </w:r>
    </w:p>
    <w:p w14:paraId="3DFC9FAD">
      <w:pPr>
        <w:spacing w:line="400" w:lineRule="exact"/>
        <w:rPr>
          <w:rFonts w:ascii="宋体" w:hAnsi="宋体" w:cs="宋体"/>
          <w:color w:val="auto"/>
          <w:szCs w:val="21"/>
          <w:highlight w:val="none"/>
        </w:rPr>
      </w:pPr>
      <w:r>
        <w:rPr>
          <w:rFonts w:hint="eastAsia" w:ascii="宋体" w:hAnsi="宋体" w:cs="宋体"/>
          <w:color w:val="auto"/>
          <w:szCs w:val="21"/>
          <w:highlight w:val="none"/>
        </w:rPr>
        <w:t>4.9、进入现场的车辆必须停靠在指定位置，不得乱停乱放；未到达卸货地点前不得解除任何绑扎、固定物。</w:t>
      </w:r>
    </w:p>
    <w:p w14:paraId="4F9C5E49">
      <w:pPr>
        <w:spacing w:line="400" w:lineRule="exact"/>
        <w:rPr>
          <w:rFonts w:ascii="宋体" w:hAnsi="宋体" w:cs="宋体"/>
          <w:color w:val="auto"/>
          <w:szCs w:val="21"/>
          <w:highlight w:val="none"/>
        </w:rPr>
      </w:pPr>
      <w:r>
        <w:rPr>
          <w:rFonts w:hint="eastAsia" w:ascii="宋体" w:hAnsi="宋体" w:cs="宋体"/>
          <w:color w:val="auto"/>
          <w:szCs w:val="21"/>
          <w:highlight w:val="none"/>
        </w:rPr>
        <w:t>4.10、运输车辆在现场内行驶时，应根据现场限速标志执行。没有限速标志的，一般来说主干道速度不得超过30km/h，其他道路不得超过20km/h</w:t>
      </w:r>
    </w:p>
    <w:p w14:paraId="26F4C970">
      <w:pPr>
        <w:spacing w:line="400" w:lineRule="exact"/>
        <w:rPr>
          <w:rFonts w:ascii="宋体" w:hAnsi="宋体" w:cs="宋体"/>
          <w:color w:val="auto"/>
          <w:szCs w:val="21"/>
          <w:highlight w:val="none"/>
        </w:rPr>
      </w:pPr>
      <w:r>
        <w:rPr>
          <w:rFonts w:hint="eastAsia" w:ascii="宋体" w:hAnsi="宋体" w:cs="宋体"/>
          <w:color w:val="auto"/>
          <w:szCs w:val="21"/>
          <w:highlight w:val="none"/>
        </w:rPr>
        <w:t>4.11、卸货时物项供方需对货物表面垃圾、随车废物、绑扎物、包装物清理干净，并随车带走；</w:t>
      </w:r>
    </w:p>
    <w:p w14:paraId="19E448AA">
      <w:pPr>
        <w:spacing w:line="400" w:lineRule="exact"/>
        <w:rPr>
          <w:rFonts w:ascii="宋体" w:hAnsi="宋体" w:cs="宋体"/>
          <w:color w:val="auto"/>
          <w:szCs w:val="21"/>
          <w:highlight w:val="none"/>
        </w:rPr>
      </w:pPr>
      <w:r>
        <w:rPr>
          <w:rFonts w:hint="eastAsia" w:ascii="宋体" w:hAnsi="宋体" w:cs="宋体"/>
          <w:color w:val="auto"/>
          <w:szCs w:val="21"/>
          <w:highlight w:val="none"/>
        </w:rPr>
        <w:t>5、</w:t>
      </w:r>
      <w:r>
        <w:rPr>
          <w:rFonts w:hint="eastAsia" w:ascii="宋体" w:hAnsi="宋体" w:cs="宋体"/>
          <w:color w:val="auto"/>
          <w:szCs w:val="21"/>
          <w:highlight w:val="none"/>
        </w:rPr>
        <w:tab/>
      </w:r>
      <w:r>
        <w:rPr>
          <w:rFonts w:hint="eastAsia" w:ascii="宋体" w:hAnsi="宋体" w:cs="宋体"/>
          <w:color w:val="auto"/>
          <w:szCs w:val="21"/>
          <w:highlight w:val="none"/>
        </w:rPr>
        <w:t>人员进入现场安全管理规定</w:t>
      </w:r>
    </w:p>
    <w:p w14:paraId="28C5A96D">
      <w:pPr>
        <w:spacing w:line="400" w:lineRule="exact"/>
        <w:rPr>
          <w:rFonts w:ascii="宋体" w:hAnsi="宋体" w:cs="宋体"/>
          <w:color w:val="auto"/>
          <w:szCs w:val="21"/>
          <w:highlight w:val="none"/>
        </w:rPr>
      </w:pPr>
      <w:r>
        <w:rPr>
          <w:rFonts w:hint="eastAsia" w:ascii="宋体" w:hAnsi="宋体" w:cs="宋体"/>
          <w:color w:val="auto"/>
          <w:szCs w:val="21"/>
          <w:highlight w:val="none"/>
        </w:rPr>
        <w:t>5.1、服务人员（送货司机及厂家代表）必须遵守现场安全管理制度。</w:t>
      </w:r>
    </w:p>
    <w:p w14:paraId="42DA0D6E">
      <w:pPr>
        <w:spacing w:line="400" w:lineRule="exact"/>
        <w:rPr>
          <w:rFonts w:ascii="宋体" w:hAnsi="宋体" w:cs="宋体"/>
          <w:color w:val="auto"/>
          <w:szCs w:val="21"/>
          <w:highlight w:val="none"/>
        </w:rPr>
      </w:pPr>
      <w:r>
        <w:rPr>
          <w:rFonts w:hint="eastAsia" w:ascii="宋体" w:hAnsi="宋体" w:cs="宋体"/>
          <w:color w:val="auto"/>
          <w:szCs w:val="21"/>
          <w:highlight w:val="none"/>
        </w:rPr>
        <w:t>5.2、进入工地堆场及库区、施工现场服务人员必须穿工作服、工作鞋，不准穿背心、短裤、裙子、拖鞋、凉鞋、高跟鞋。</w:t>
      </w:r>
    </w:p>
    <w:p w14:paraId="0C165C66">
      <w:pPr>
        <w:spacing w:line="400" w:lineRule="exact"/>
        <w:rPr>
          <w:rFonts w:ascii="宋体" w:hAnsi="宋体" w:cs="宋体"/>
          <w:color w:val="auto"/>
          <w:szCs w:val="21"/>
          <w:highlight w:val="none"/>
        </w:rPr>
      </w:pPr>
      <w:r>
        <w:rPr>
          <w:rFonts w:hint="eastAsia" w:ascii="宋体" w:hAnsi="宋体" w:cs="宋体"/>
          <w:color w:val="auto"/>
          <w:szCs w:val="21"/>
          <w:highlight w:val="none"/>
        </w:rPr>
        <w:t>5.3、进入堆场及库区、施工现场服务人员必须带好安全帽，作业中不准将安全帽取下、垫坐。</w:t>
      </w:r>
    </w:p>
    <w:p w14:paraId="71C02359">
      <w:pPr>
        <w:spacing w:line="400" w:lineRule="exact"/>
        <w:rPr>
          <w:rFonts w:ascii="宋体" w:hAnsi="宋体" w:cs="宋体"/>
          <w:color w:val="auto"/>
          <w:szCs w:val="21"/>
          <w:highlight w:val="none"/>
        </w:rPr>
      </w:pPr>
      <w:r>
        <w:rPr>
          <w:rFonts w:hint="eastAsia" w:ascii="宋体" w:hAnsi="宋体" w:cs="宋体"/>
          <w:color w:val="auto"/>
          <w:szCs w:val="21"/>
          <w:highlight w:val="none"/>
        </w:rPr>
        <w:t>5.4、进入高出作业区现场服务人员必须佩戴安全带，作业中必须将安全带扣挂在腰部以上牢固可靠处，不准将安全带作为它用。</w:t>
      </w:r>
    </w:p>
    <w:p w14:paraId="6491780B">
      <w:pPr>
        <w:spacing w:line="400" w:lineRule="exact"/>
        <w:rPr>
          <w:rFonts w:ascii="宋体" w:hAnsi="宋体" w:cs="宋体"/>
          <w:color w:val="auto"/>
          <w:szCs w:val="21"/>
          <w:highlight w:val="none"/>
        </w:rPr>
      </w:pPr>
      <w:r>
        <w:rPr>
          <w:rFonts w:hint="eastAsia" w:ascii="宋体" w:hAnsi="宋体" w:cs="宋体"/>
          <w:color w:val="auto"/>
          <w:szCs w:val="21"/>
          <w:highlight w:val="none"/>
        </w:rPr>
        <w:t>5.5、进入施工现场，必须严格遵守劳动纪律，保持现场的文明与卫生，不准戏耍、打闹、睡觉，不准乱丢垃圾，不准随地便溺。</w:t>
      </w:r>
    </w:p>
    <w:p w14:paraId="1B140CEC">
      <w:pPr>
        <w:spacing w:line="400" w:lineRule="exact"/>
        <w:rPr>
          <w:rFonts w:ascii="宋体" w:hAnsi="宋体" w:cs="宋体"/>
          <w:color w:val="auto"/>
          <w:szCs w:val="21"/>
          <w:highlight w:val="none"/>
        </w:rPr>
      </w:pPr>
      <w:r>
        <w:rPr>
          <w:rFonts w:hint="eastAsia" w:ascii="宋体" w:hAnsi="宋体" w:cs="宋体"/>
          <w:color w:val="auto"/>
          <w:szCs w:val="21"/>
          <w:highlight w:val="none"/>
        </w:rPr>
        <w:t>5.6、行走时必须走安全通道，必须遵守限速要求，不准超速行驶。</w:t>
      </w:r>
    </w:p>
    <w:p w14:paraId="20223257">
      <w:pPr>
        <w:spacing w:line="400" w:lineRule="exact"/>
        <w:rPr>
          <w:rFonts w:ascii="宋体" w:hAnsi="宋体" w:cs="宋体"/>
          <w:color w:val="auto"/>
          <w:szCs w:val="21"/>
          <w:highlight w:val="none"/>
        </w:rPr>
      </w:pPr>
      <w:r>
        <w:rPr>
          <w:rFonts w:hint="eastAsia" w:ascii="宋体" w:hAnsi="宋体" w:cs="宋体"/>
          <w:color w:val="auto"/>
          <w:szCs w:val="21"/>
          <w:highlight w:val="none"/>
        </w:rPr>
        <w:t>5.7、进入施工现场必须爱护安全设施，不准乱动、乱拆、破坏安全设施。</w:t>
      </w:r>
    </w:p>
    <w:p w14:paraId="29C628A2">
      <w:pPr>
        <w:spacing w:line="400" w:lineRule="exact"/>
        <w:rPr>
          <w:rFonts w:ascii="宋体" w:hAnsi="宋体" w:cs="宋体"/>
          <w:color w:val="auto"/>
          <w:szCs w:val="21"/>
          <w:highlight w:val="none"/>
        </w:rPr>
      </w:pPr>
      <w:r>
        <w:rPr>
          <w:rFonts w:hint="eastAsia" w:ascii="宋体" w:hAnsi="宋体" w:cs="宋体"/>
          <w:color w:val="auto"/>
          <w:szCs w:val="21"/>
          <w:highlight w:val="none"/>
        </w:rPr>
        <w:t>5.8、进入堆场及库区、施工现场服务人员严禁流动吸烟，严禁在库区、燃料区域、易燃易爆区域吸烟。</w:t>
      </w:r>
    </w:p>
    <w:p w14:paraId="0CCFCAF6">
      <w:pPr>
        <w:spacing w:line="400" w:lineRule="exact"/>
        <w:rPr>
          <w:rFonts w:ascii="宋体" w:hAnsi="宋体" w:cs="宋体"/>
          <w:color w:val="auto"/>
          <w:szCs w:val="21"/>
          <w:highlight w:val="none"/>
        </w:rPr>
      </w:pPr>
      <w:r>
        <w:rPr>
          <w:rFonts w:hint="eastAsia" w:ascii="宋体" w:hAnsi="宋体" w:cs="宋体"/>
          <w:color w:val="auto"/>
          <w:szCs w:val="21"/>
          <w:highlight w:val="none"/>
        </w:rPr>
        <w:t>6、</w:t>
      </w:r>
      <w:r>
        <w:rPr>
          <w:rFonts w:hint="eastAsia" w:ascii="宋体" w:hAnsi="宋体" w:cs="宋体"/>
          <w:color w:val="auto"/>
          <w:szCs w:val="21"/>
          <w:highlight w:val="none"/>
        </w:rPr>
        <w:tab/>
      </w:r>
      <w:r>
        <w:rPr>
          <w:rFonts w:hint="eastAsia" w:ascii="宋体" w:hAnsi="宋体" w:cs="宋体"/>
          <w:color w:val="auto"/>
          <w:szCs w:val="21"/>
          <w:highlight w:val="none"/>
        </w:rPr>
        <w:t>罚则</w:t>
      </w:r>
    </w:p>
    <w:p w14:paraId="6CCC9925">
      <w:pPr>
        <w:spacing w:line="400" w:lineRule="exact"/>
        <w:rPr>
          <w:rFonts w:ascii="宋体" w:hAnsi="宋体" w:cs="宋体"/>
          <w:color w:val="auto"/>
          <w:szCs w:val="21"/>
          <w:highlight w:val="none"/>
        </w:rPr>
      </w:pPr>
      <w:r>
        <w:rPr>
          <w:rFonts w:hint="eastAsia" w:ascii="宋体" w:hAnsi="宋体" w:cs="宋体"/>
          <w:color w:val="auto"/>
          <w:szCs w:val="21"/>
          <w:highlight w:val="none"/>
        </w:rPr>
        <w:t>6.1.设备材料运输及服务人员应严格遵守以上安全管理规定，如因乙方违反以上规定造成甲方受到业主或施工现场等处罚，一切责任（罚款等）均由乙方承担，甲方有权中止合同及更换运输商。</w:t>
      </w:r>
    </w:p>
    <w:p w14:paraId="07C070B5">
      <w:pPr>
        <w:spacing w:line="400" w:lineRule="exact"/>
        <w:rPr>
          <w:rFonts w:ascii="宋体" w:hAnsi="宋体" w:cs="宋体"/>
          <w:color w:val="auto"/>
          <w:szCs w:val="21"/>
          <w:highlight w:val="none"/>
        </w:rPr>
      </w:pPr>
    </w:p>
    <w:p w14:paraId="7A219A98">
      <w:pPr>
        <w:spacing w:line="400" w:lineRule="exact"/>
        <w:rPr>
          <w:rFonts w:ascii="宋体" w:hAnsi="宋体" w:cs="宋体"/>
          <w:color w:val="auto"/>
          <w:szCs w:val="21"/>
          <w:highlight w:val="none"/>
        </w:rPr>
      </w:pPr>
      <w:r>
        <w:rPr>
          <w:rFonts w:hint="eastAsia" w:ascii="宋体" w:hAnsi="宋体" w:cs="宋体"/>
          <w:color w:val="auto"/>
          <w:szCs w:val="21"/>
          <w:highlight w:val="none"/>
        </w:rPr>
        <w:t>甲方：吐鲁番开能环保能源有限公司          乙方：</w:t>
      </w:r>
    </w:p>
    <w:p w14:paraId="3B272F50">
      <w:pPr>
        <w:spacing w:line="400" w:lineRule="exact"/>
        <w:rPr>
          <w:rFonts w:ascii="宋体" w:hAnsi="宋体" w:cs="宋体"/>
          <w:color w:val="auto"/>
          <w:highlight w:val="none"/>
        </w:rPr>
      </w:pPr>
      <w:r>
        <w:rPr>
          <w:rFonts w:hint="eastAsia" w:ascii="宋体" w:hAnsi="宋体" w:cs="宋体"/>
          <w:color w:val="auto"/>
          <w:szCs w:val="21"/>
          <w:highlight w:val="none"/>
        </w:rPr>
        <w:t>盖章：                                    盖章：</w:t>
      </w:r>
    </w:p>
    <w:p w14:paraId="1F26C685">
      <w:pPr>
        <w:rPr>
          <w:rFonts w:ascii="宋体" w:hAnsi="宋体" w:cs="宋体"/>
          <w:color w:val="auto"/>
          <w:highlight w:val="none"/>
        </w:rPr>
      </w:pPr>
    </w:p>
    <w:p w14:paraId="1832BB4A">
      <w:pPr>
        <w:rPr>
          <w:rFonts w:ascii="宋体" w:hAnsi="宋体" w:cs="宋体"/>
          <w:color w:val="auto"/>
          <w:highlight w:val="none"/>
        </w:rPr>
      </w:pPr>
    </w:p>
    <w:p w14:paraId="60F7FF64">
      <w:pPr>
        <w:rPr>
          <w:rFonts w:ascii="宋体" w:hAnsi="宋体" w:cs="宋体"/>
          <w:color w:val="auto"/>
          <w:highlight w:val="none"/>
        </w:rPr>
      </w:pPr>
    </w:p>
    <w:p w14:paraId="746F49DD">
      <w:pPr>
        <w:rPr>
          <w:rFonts w:ascii="宋体" w:hAnsi="宋体" w:cs="宋体"/>
          <w:color w:val="auto"/>
          <w:szCs w:val="21"/>
          <w:highlight w:val="none"/>
        </w:rPr>
      </w:pPr>
      <w:r>
        <w:rPr>
          <w:rFonts w:hint="eastAsia" w:ascii="宋体" w:hAnsi="宋体" w:cs="宋体"/>
          <w:b/>
          <w:color w:val="auto"/>
          <w:szCs w:val="24"/>
          <w:highlight w:val="none"/>
        </w:rPr>
        <w:t>附件4： 阳光合作协议</w:t>
      </w:r>
    </w:p>
    <w:p w14:paraId="6EE39C36">
      <w:pPr>
        <w:rPr>
          <w:rFonts w:ascii="宋体" w:hAnsi="宋体" w:cs="宋体"/>
          <w:color w:val="auto"/>
          <w:highlight w:val="none"/>
        </w:rPr>
      </w:pPr>
    </w:p>
    <w:p w14:paraId="03655C67">
      <w:pPr>
        <w:jc w:val="center"/>
        <w:rPr>
          <w:rFonts w:ascii="宋体" w:hAnsi="宋体" w:cs="宋体"/>
          <w:b/>
          <w:bCs/>
          <w:color w:val="auto"/>
          <w:sz w:val="32"/>
          <w:szCs w:val="32"/>
          <w:highlight w:val="none"/>
        </w:rPr>
      </w:pPr>
    </w:p>
    <w:p w14:paraId="0C5C45B5">
      <w:pPr>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阳光合作协议</w:t>
      </w:r>
    </w:p>
    <w:p w14:paraId="11D1DB9C">
      <w:pPr>
        <w:jc w:val="center"/>
        <w:rPr>
          <w:rFonts w:ascii="宋体" w:hAnsi="宋体" w:cs="宋体"/>
          <w:b/>
          <w:bCs/>
          <w:color w:val="auto"/>
          <w:sz w:val="32"/>
          <w:szCs w:val="32"/>
          <w:highlight w:val="none"/>
        </w:rPr>
      </w:pPr>
    </w:p>
    <w:p w14:paraId="199F37A9">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甲方（全称）：</w:t>
      </w:r>
      <w:r>
        <w:rPr>
          <w:rFonts w:hint="eastAsia" w:ascii="宋体" w:hAnsi="宋体" w:cs="宋体"/>
          <w:color w:val="auto"/>
          <w:szCs w:val="21"/>
          <w:highlight w:val="none"/>
          <w:u w:val="single"/>
        </w:rPr>
        <w:t>吐鲁番开能环保能源有限公司</w:t>
      </w:r>
      <w:r>
        <w:rPr>
          <w:rFonts w:hint="eastAsia" w:ascii="宋体" w:hAnsi="宋体" w:cs="宋体"/>
          <w:color w:val="auto"/>
          <w:szCs w:val="21"/>
          <w:highlight w:val="none"/>
        </w:rPr>
        <w:t xml:space="preserve">  </w:t>
      </w:r>
    </w:p>
    <w:p w14:paraId="207D3D1A">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乙方（全称）：</w:t>
      </w:r>
    </w:p>
    <w:p w14:paraId="68AE7861">
      <w:pPr>
        <w:spacing w:line="360" w:lineRule="auto"/>
        <w:ind w:firstLine="420" w:firstLineChars="200"/>
        <w:rPr>
          <w:rFonts w:ascii="宋体" w:hAnsi="宋体" w:cs="宋体"/>
          <w:color w:val="auto"/>
          <w:szCs w:val="21"/>
          <w:highlight w:val="none"/>
        </w:rPr>
      </w:pPr>
    </w:p>
    <w:p w14:paraId="1F5D09A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甲乙双方于   年  月   日签署了</w:t>
      </w:r>
      <w:r>
        <w:rPr>
          <w:rFonts w:hint="eastAsia" w:ascii="宋体" w:hAnsi="宋体" w:cs="宋体"/>
          <w:color w:val="auto"/>
          <w:szCs w:val="21"/>
          <w:highlight w:val="none"/>
          <w:u w:val="single"/>
        </w:rPr>
        <w:t>吐鲁番开能环保能源有限公司【煤末及粉煤灰】运输合同</w:t>
      </w:r>
      <w:r>
        <w:rPr>
          <w:rFonts w:hint="eastAsia" w:ascii="宋体" w:hAnsi="宋体" w:cs="宋体"/>
          <w:color w:val="auto"/>
          <w:szCs w:val="21"/>
          <w:highlight w:val="none"/>
        </w:rPr>
        <w:t>（以下简称原合同），为加强双方阳光合作，保证职员职业安全，甲乙双方经协商签订本协议并作为双方共同遵守的阳光合作行为准则。</w:t>
      </w:r>
    </w:p>
    <w:p w14:paraId="58D5CA12">
      <w:pPr>
        <w:numPr>
          <w:ilvl w:val="0"/>
          <w:numId w:val="5"/>
        </w:numPr>
        <w:spacing w:line="360" w:lineRule="auto"/>
        <w:ind w:firstLine="420" w:firstLineChars="200"/>
        <w:rPr>
          <w:rFonts w:ascii="宋体" w:hAnsi="宋体" w:cs="宋体"/>
          <w:b/>
          <w:bCs/>
          <w:color w:val="auto"/>
          <w:szCs w:val="21"/>
          <w:highlight w:val="none"/>
        </w:rPr>
      </w:pPr>
      <w:r>
        <w:rPr>
          <w:rFonts w:hint="eastAsia" w:ascii="宋体" w:hAnsi="宋体" w:cs="宋体"/>
          <w:b/>
          <w:bCs/>
          <w:color w:val="auto"/>
          <w:szCs w:val="21"/>
          <w:highlight w:val="none"/>
        </w:rPr>
        <w:t>甲方责任</w:t>
      </w:r>
    </w:p>
    <w:p w14:paraId="43B41F4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1.甲方有责任向乙方介绍本单位有关采购管理通用原则和本协议的规定。</w:t>
      </w:r>
    </w:p>
    <w:p w14:paraId="058EDB2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2.甲方有责任对本单位相关人员进行阳光合作教育。</w:t>
      </w:r>
    </w:p>
    <w:p w14:paraId="04AA850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3.甲方人员应严格遵守本单位有关阳关合作管理的规定，不得接受乙方任何形式的回扣、实物、现金、有价证券、礼券等有价物品，不得参与乙方提供的旅游或其他可能影响职务行为公正履行的活动。</w:t>
      </w:r>
    </w:p>
    <w:p w14:paraId="27264C6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4.甲方人员如违反阳光合作管理制度及本协议规定，甲方视情节轻重、影响大小给予行政及经济处罚。</w:t>
      </w:r>
    </w:p>
    <w:p w14:paraId="38B5352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5.对于乙方举报甲方人员违反阳关合作规定的情况，甲方应及时进行调查，根据调查情况进行处理，并将调查结果向乙方反馈。</w:t>
      </w:r>
    </w:p>
    <w:p w14:paraId="10CDFE1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6.接受举报的一方应为举报方保密，不得对举报方进行报复，对举报属实和严格遵守《阳关合作协议》的合作方，在同等条件下给予后续合作的优先权。</w:t>
      </w:r>
    </w:p>
    <w:p w14:paraId="378182D0">
      <w:pPr>
        <w:spacing w:line="360" w:lineRule="auto"/>
        <w:ind w:firstLine="420" w:firstLineChars="200"/>
        <w:rPr>
          <w:rFonts w:ascii="宋体" w:hAnsi="宋体" w:cs="宋体"/>
          <w:b/>
          <w:bCs/>
          <w:color w:val="auto"/>
          <w:szCs w:val="21"/>
          <w:highlight w:val="none"/>
        </w:rPr>
      </w:pPr>
      <w:r>
        <w:rPr>
          <w:rFonts w:hint="eastAsia" w:ascii="宋体" w:hAnsi="宋体" w:cs="宋体"/>
          <w:b/>
          <w:bCs/>
          <w:color w:val="auto"/>
          <w:szCs w:val="21"/>
          <w:highlight w:val="none"/>
        </w:rPr>
        <w:t>二、乙方责任</w:t>
      </w:r>
    </w:p>
    <w:p w14:paraId="67BB11C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1.乙方应保证乙方人员了解甲方有关采购管理通用原则和本协议的规定，并遵照执行。</w:t>
      </w:r>
    </w:p>
    <w:p w14:paraId="220CB46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2.乙方不得以任何形式给予甲方人员回扣、赠送实物、现金、有价证券、礼券等有价物品或提供旅游等其他可能影响职务行为公正履行的活动（以下统称“财物”）。</w:t>
      </w:r>
    </w:p>
    <w:p w14:paraId="3DE86F5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3.乙方有责任接受甲方对乙方在合作期间阳光合作管理执行情况的监督，并对甲方相关调查工作主动配合。</w:t>
      </w:r>
    </w:p>
    <w:p w14:paraId="2E3916B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4.乙方有义务就甲方人员任何形式的索取或收受财物的行为及时向甲方（直接联系人为东莞实业投资控股集团有限公司</w:t>
      </w:r>
      <w:r>
        <w:rPr>
          <w:rFonts w:hint="eastAsia" w:ascii="宋体" w:hAnsi="宋体" w:cs="宋体"/>
          <w:color w:val="auto"/>
          <w:szCs w:val="21"/>
          <w:highlight w:val="none"/>
          <w:lang w:val="en-US" w:eastAsia="zh-CN"/>
        </w:rPr>
        <w:t>风控法务</w:t>
      </w:r>
      <w:r>
        <w:rPr>
          <w:rFonts w:hint="eastAsia" w:ascii="宋体" w:hAnsi="宋体" w:cs="宋体"/>
          <w:color w:val="auto"/>
          <w:szCs w:val="21"/>
          <w:highlight w:val="none"/>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以上及类似情况或者如因乙方在合作期间贿赂甲方人员，被司法机关立案查处核实属实的，甲方有权解除原合同，如甲方解除原合同的，则乙方应退还甲方所支付的所有款项并按原合同和本合同约定承担违约责任，且五年之内不得作为东实集团（东莞实业投资控股集团有限公司及下属子公司）合格供应商。</w:t>
      </w:r>
    </w:p>
    <w:p w14:paraId="3A92B43E">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5.甲方接受乙方匿名举报，保证为举报者的信息保密，常设举报部门及电话：</w:t>
      </w:r>
    </w:p>
    <w:p w14:paraId="5625416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举报受理部门:东莞实业投资控股集团有限公司</w:t>
      </w:r>
      <w:r>
        <w:rPr>
          <w:rFonts w:hint="eastAsia" w:ascii="宋体" w:hAnsi="宋体" w:cs="宋体"/>
          <w:color w:val="auto"/>
          <w:szCs w:val="21"/>
          <w:highlight w:val="none"/>
          <w:lang w:val="en-US" w:eastAsia="zh-CN"/>
        </w:rPr>
        <w:t>风控法务</w:t>
      </w:r>
      <w:r>
        <w:rPr>
          <w:rFonts w:hint="eastAsia" w:ascii="宋体" w:hAnsi="宋体" w:cs="宋体"/>
          <w:color w:val="auto"/>
          <w:szCs w:val="21"/>
          <w:highlight w:val="none"/>
        </w:rPr>
        <w:t>部</w:t>
      </w:r>
    </w:p>
    <w:p w14:paraId="6AA19D7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东实集团举报邮箱：dgsyxf@163.com</w:t>
      </w:r>
    </w:p>
    <w:p w14:paraId="7F2B663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东实集团举报电话：0769-28820703（周一至周五9:00-12:00和14:00-18:00）</w:t>
      </w:r>
    </w:p>
    <w:p w14:paraId="4ACD2E9A">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邮寄地址：东莞市东城区八一路1号机关二号大院9号楼，东莞实业投资控股集团有限公司</w:t>
      </w:r>
      <w:r>
        <w:rPr>
          <w:rFonts w:hint="eastAsia" w:ascii="宋体" w:hAnsi="宋体" w:cs="宋体"/>
          <w:color w:val="auto"/>
          <w:szCs w:val="21"/>
          <w:highlight w:val="none"/>
          <w:lang w:val="en-US" w:eastAsia="zh-CN"/>
        </w:rPr>
        <w:t>风控法务</w:t>
      </w:r>
      <w:r>
        <w:rPr>
          <w:rFonts w:hint="eastAsia" w:ascii="宋体" w:hAnsi="宋体" w:cs="宋体"/>
          <w:color w:val="auto"/>
          <w:szCs w:val="21"/>
          <w:highlight w:val="none"/>
        </w:rPr>
        <w:t>部收，邮编523000。</w:t>
      </w:r>
    </w:p>
    <w:p w14:paraId="2C9EA8E7">
      <w:pPr>
        <w:spacing w:line="360" w:lineRule="auto"/>
        <w:ind w:firstLine="420" w:firstLineChars="200"/>
        <w:rPr>
          <w:rFonts w:ascii="宋体" w:hAnsi="宋体" w:cs="宋体"/>
          <w:b/>
          <w:bCs/>
          <w:color w:val="auto"/>
          <w:szCs w:val="21"/>
          <w:highlight w:val="none"/>
        </w:rPr>
      </w:pPr>
      <w:r>
        <w:rPr>
          <w:rFonts w:hint="eastAsia" w:ascii="宋体" w:hAnsi="宋体" w:cs="宋体"/>
          <w:b/>
          <w:bCs/>
          <w:color w:val="auto"/>
          <w:szCs w:val="21"/>
          <w:highlight w:val="none"/>
        </w:rPr>
        <w:t>三、其他</w:t>
      </w:r>
    </w:p>
    <w:p w14:paraId="5E71166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1.本协议是原合同的补充协议，与原合同有同等的法律效力。</w:t>
      </w:r>
    </w:p>
    <w:p w14:paraId="4050050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2.本协议一式 肆 份，甲方 贰 份，乙方 贰 份，具有同等法律效力。</w:t>
      </w:r>
    </w:p>
    <w:p w14:paraId="4606EA0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3.本协议经双方签署后生效。</w:t>
      </w:r>
    </w:p>
    <w:p w14:paraId="5092C595">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甲方（公章）：吐鲁番开能环保能源       乙方（公章）：                            </w:t>
      </w:r>
    </w:p>
    <w:p w14:paraId="327E27D7">
      <w:pPr>
        <w:spacing w:line="360" w:lineRule="auto"/>
        <w:rPr>
          <w:rFonts w:ascii="宋体" w:hAnsi="宋体" w:cs="宋体"/>
          <w:color w:val="auto"/>
          <w:szCs w:val="21"/>
          <w:highlight w:val="none"/>
        </w:rPr>
      </w:pPr>
      <w:r>
        <w:rPr>
          <w:rFonts w:hint="eastAsia" w:ascii="宋体" w:hAnsi="宋体" w:cs="宋体"/>
          <w:color w:val="auto"/>
          <w:szCs w:val="21"/>
          <w:highlight w:val="none"/>
        </w:rPr>
        <w:t>有限公司</w:t>
      </w:r>
    </w:p>
    <w:p w14:paraId="49912120">
      <w:pPr>
        <w:spacing w:line="360" w:lineRule="auto"/>
        <w:rPr>
          <w:rFonts w:ascii="宋体" w:hAnsi="宋体" w:cs="宋体"/>
          <w:color w:val="auto"/>
          <w:szCs w:val="21"/>
          <w:highlight w:val="none"/>
        </w:rPr>
      </w:pPr>
    </w:p>
    <w:p w14:paraId="68B3DC43">
      <w:pPr>
        <w:spacing w:line="360" w:lineRule="auto"/>
        <w:rPr>
          <w:rFonts w:ascii="宋体" w:hAnsi="宋体" w:cs="宋体"/>
          <w:color w:val="auto"/>
          <w:szCs w:val="21"/>
          <w:highlight w:val="none"/>
        </w:rPr>
      </w:pPr>
      <w:r>
        <w:rPr>
          <w:rFonts w:hint="eastAsia" w:ascii="宋体" w:hAnsi="宋体" w:cs="宋体"/>
          <w:color w:val="auto"/>
          <w:szCs w:val="21"/>
          <w:highlight w:val="none"/>
        </w:rPr>
        <w:t>法定代表人（授权代表）：                法定代表人（授权代表）：</w:t>
      </w:r>
    </w:p>
    <w:p w14:paraId="41C2F119">
      <w:pPr>
        <w:spacing w:line="360" w:lineRule="auto"/>
        <w:rPr>
          <w:rFonts w:ascii="宋体" w:hAnsi="宋体" w:cs="宋体"/>
          <w:color w:val="auto"/>
          <w:szCs w:val="21"/>
          <w:highlight w:val="none"/>
        </w:rPr>
      </w:pPr>
    </w:p>
    <w:p w14:paraId="3640B575">
      <w:pPr>
        <w:spacing w:line="360" w:lineRule="auto"/>
        <w:rPr>
          <w:rFonts w:ascii="宋体" w:hAnsi="宋体" w:cs="宋体"/>
          <w:color w:val="auto"/>
          <w:szCs w:val="21"/>
          <w:highlight w:val="none"/>
        </w:rPr>
      </w:pPr>
      <w:r>
        <w:rPr>
          <w:rFonts w:hint="eastAsia" w:ascii="宋体" w:hAnsi="宋体" w:cs="宋体"/>
          <w:color w:val="auto"/>
          <w:szCs w:val="21"/>
          <w:highlight w:val="none"/>
        </w:rPr>
        <w:t>签约日期： 年  月  日                    签约日期： 年  月  日</w:t>
      </w:r>
    </w:p>
    <w:p w14:paraId="5136B3F0">
      <w:pPr>
        <w:pStyle w:val="2"/>
        <w:ind w:left="0" w:leftChars="0" w:firstLine="0" w:firstLineChars="0"/>
        <w:rPr>
          <w:color w:val="auto"/>
          <w:highlight w:val="none"/>
        </w:rPr>
      </w:pPr>
    </w:p>
    <w:p w14:paraId="49296332">
      <w:pPr>
        <w:pStyle w:val="42"/>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附件八 报价保证金汇入情况说明</w:t>
      </w:r>
    </w:p>
    <w:p w14:paraId="06C11450">
      <w:pPr>
        <w:widowControl/>
        <w:spacing w:line="360" w:lineRule="auto"/>
        <w:jc w:val="center"/>
        <w:rPr>
          <w:rFonts w:ascii="仿宋" w:hAnsi="仿宋" w:eastAsia="仿宋" w:cs="仿宋"/>
          <w:b/>
          <w:bCs/>
          <w:color w:val="auto"/>
          <w:sz w:val="32"/>
          <w:szCs w:val="32"/>
          <w:highlight w:val="none"/>
        </w:rPr>
      </w:pPr>
      <w:bookmarkStart w:id="9" w:name="_Toc3217"/>
      <w:bookmarkStart w:id="10" w:name="_Toc28801"/>
      <w:bookmarkStart w:id="11" w:name="_Toc1367"/>
      <w:bookmarkStart w:id="12" w:name="_Toc3118"/>
      <w:bookmarkStart w:id="13" w:name="_Toc10037"/>
      <w:bookmarkStart w:id="14" w:name="_Toc30323"/>
      <w:bookmarkStart w:id="15" w:name="_Toc5428"/>
      <w:bookmarkStart w:id="16" w:name="_Toc32088"/>
      <w:bookmarkStart w:id="17" w:name="_Toc30346"/>
      <w:bookmarkStart w:id="18" w:name="_Toc12220"/>
      <w:r>
        <w:rPr>
          <w:rFonts w:hint="eastAsia" w:ascii="仿宋" w:hAnsi="仿宋" w:eastAsia="仿宋" w:cs="仿宋"/>
          <w:b/>
          <w:bCs/>
          <w:color w:val="auto"/>
          <w:sz w:val="32"/>
          <w:szCs w:val="32"/>
          <w:highlight w:val="none"/>
        </w:rPr>
        <w:t>报价保证金汇入情况说明</w:t>
      </w:r>
      <w:bookmarkEnd w:id="9"/>
      <w:bookmarkEnd w:id="10"/>
      <w:bookmarkEnd w:id="11"/>
      <w:bookmarkEnd w:id="12"/>
      <w:bookmarkEnd w:id="13"/>
      <w:bookmarkEnd w:id="14"/>
      <w:bookmarkEnd w:id="15"/>
      <w:bookmarkEnd w:id="16"/>
      <w:bookmarkEnd w:id="17"/>
      <w:bookmarkEnd w:id="18"/>
    </w:p>
    <w:p w14:paraId="0DA55275">
      <w:pPr>
        <w:spacing w:line="360" w:lineRule="auto"/>
        <w:ind w:firstLine="420" w:firstLineChars="200"/>
        <w:rPr>
          <w:rFonts w:ascii="仿宋" w:hAnsi="仿宋" w:eastAsia="仿宋" w:cs="仿宋"/>
          <w:b/>
          <w:color w:val="auto"/>
          <w:szCs w:val="21"/>
          <w:highlight w:val="none"/>
        </w:rPr>
      </w:pPr>
      <w:r>
        <w:rPr>
          <w:rFonts w:hint="eastAsia" w:ascii="仿宋" w:hAnsi="仿宋" w:eastAsia="仿宋" w:cs="仿宋"/>
          <w:b/>
          <w:color w:val="auto"/>
          <w:szCs w:val="21"/>
          <w:highlight w:val="none"/>
        </w:rPr>
        <w:t>致：</w:t>
      </w:r>
      <w:r>
        <w:rPr>
          <w:rFonts w:hint="eastAsia" w:ascii="仿宋" w:hAnsi="仿宋" w:eastAsia="仿宋" w:cs="仿宋"/>
          <w:b/>
          <w:color w:val="auto"/>
          <w:szCs w:val="21"/>
          <w:highlight w:val="none"/>
          <w:lang w:val="en-US" w:eastAsia="zh-CN"/>
        </w:rPr>
        <w:t>吐鲁番</w:t>
      </w:r>
      <w:r>
        <w:rPr>
          <w:rFonts w:hint="eastAsia" w:ascii="仿宋" w:hAnsi="仿宋" w:eastAsia="仿宋" w:cs="仿宋"/>
          <w:b/>
          <w:color w:val="auto"/>
          <w:szCs w:val="21"/>
          <w:highlight w:val="none"/>
        </w:rPr>
        <w:t>开能环保能源有限公司</w:t>
      </w:r>
    </w:p>
    <w:p w14:paraId="0868C96F">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本单位已按</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zh-CN"/>
        </w:rPr>
        <w:t>项目名称）</w:t>
      </w:r>
      <w:r>
        <w:rPr>
          <w:rFonts w:hint="eastAsia" w:ascii="仿宋" w:hAnsi="仿宋" w:eastAsia="仿宋" w:cs="仿宋"/>
          <w:color w:val="auto"/>
          <w:szCs w:val="21"/>
          <w:highlight w:val="none"/>
        </w:rPr>
        <w:t>的采购文件要求，于</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日前以</w:t>
      </w:r>
      <w:r>
        <w:rPr>
          <w:rFonts w:hint="eastAsia" w:ascii="仿宋" w:hAnsi="仿宋" w:eastAsia="仿宋" w:cs="仿宋"/>
          <w:color w:val="auto"/>
          <w:szCs w:val="21"/>
          <w:highlight w:val="none"/>
          <w:u w:val="single"/>
        </w:rPr>
        <w:t xml:space="preserve">    （付款形式）  </w:t>
      </w:r>
      <w:r>
        <w:rPr>
          <w:rFonts w:hint="eastAsia" w:ascii="仿宋" w:hAnsi="仿宋" w:eastAsia="仿宋" w:cs="仿宋"/>
          <w:color w:val="auto"/>
          <w:szCs w:val="21"/>
          <w:highlight w:val="none"/>
        </w:rPr>
        <w:t>方式汇入指定帐户（帐户名称：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，帐号 </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,开户银行：</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w:t>
      </w:r>
    </w:p>
    <w:p w14:paraId="2BE719E9">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本单位报价保证金的汇款情况：（详见附件－报价保证金进帐单）</w:t>
      </w:r>
    </w:p>
    <w:p w14:paraId="44AF1725">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汇出时间：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w:t>
      </w:r>
    </w:p>
    <w:p w14:paraId="0AFC537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汇款金额：（大写）人民币</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元（小写：￥</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w:t>
      </w:r>
    </w:p>
    <w:p w14:paraId="1F7EC9E7">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汇款帐户名称：</w:t>
      </w:r>
      <w:r>
        <w:rPr>
          <w:rFonts w:hint="eastAsia" w:ascii="仿宋" w:hAnsi="仿宋" w:eastAsia="仿宋" w:cs="仿宋"/>
          <w:color w:val="auto"/>
          <w:szCs w:val="21"/>
          <w:highlight w:val="none"/>
          <w:u w:val="single"/>
        </w:rPr>
        <w:t xml:space="preserve">  （必须是报价时使用的帐户名）   </w:t>
      </w:r>
    </w:p>
    <w:p w14:paraId="71134692">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帐    号：</w:t>
      </w:r>
      <w:r>
        <w:rPr>
          <w:rFonts w:hint="eastAsia" w:ascii="仿宋" w:hAnsi="仿宋" w:eastAsia="仿宋" w:cs="仿宋"/>
          <w:color w:val="auto"/>
          <w:szCs w:val="21"/>
          <w:highlight w:val="none"/>
          <w:u w:val="single"/>
        </w:rPr>
        <w:t xml:space="preserve">      （必须是报价时使用的帐号）     </w:t>
      </w:r>
    </w:p>
    <w:p w14:paraId="619FFF9D">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开户银行：</w:t>
      </w:r>
      <w:r>
        <w:rPr>
          <w:rFonts w:hint="eastAsia" w:ascii="仿宋" w:hAnsi="仿宋" w:eastAsia="仿宋" w:cs="仿宋"/>
          <w:color w:val="auto"/>
          <w:szCs w:val="21"/>
          <w:highlight w:val="none"/>
          <w:u w:val="single"/>
        </w:rPr>
        <w:t xml:space="preserve">         省    市                    </w:t>
      </w:r>
    </w:p>
    <w:p w14:paraId="7995F85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本单位谨承诺上述资料是正确、真实的，如因上述证明与事实不符导致的一切损失，本单位保证承担赔偿等一切法律责任。</w:t>
      </w:r>
    </w:p>
    <w:p w14:paraId="70FF925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报价保证金退回时，请按上述资料退回。</w:t>
      </w:r>
    </w:p>
    <w:p w14:paraId="5048B3A9">
      <w:pPr>
        <w:spacing w:line="360" w:lineRule="auto"/>
        <w:ind w:right="844" w:rightChars="402"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（单位公章）</w:t>
      </w:r>
    </w:p>
    <w:p w14:paraId="20DF643F">
      <w:pPr>
        <w:spacing w:line="360" w:lineRule="auto"/>
        <w:ind w:right="627" w:rightChars="299"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年  月  日</w:t>
      </w:r>
    </w:p>
    <w:p w14:paraId="43DA008F">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单位名称：</w:t>
      </w:r>
      <w:r>
        <w:rPr>
          <w:rFonts w:hint="eastAsia" w:ascii="仿宋" w:hAnsi="仿宋" w:eastAsia="仿宋" w:cs="仿宋"/>
          <w:color w:val="auto"/>
          <w:szCs w:val="21"/>
          <w:highlight w:val="none"/>
          <w:u w:val="single"/>
        </w:rPr>
        <w:t xml:space="preserve">                   </w:t>
      </w:r>
    </w:p>
    <w:p w14:paraId="496A76A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w:t>
      </w:r>
      <w:r>
        <w:rPr>
          <w:rFonts w:hint="eastAsia" w:ascii="仿宋" w:hAnsi="仿宋" w:eastAsia="仿宋" w:cs="仿宋"/>
          <w:color w:val="auto"/>
          <w:szCs w:val="21"/>
          <w:highlight w:val="none"/>
          <w:u w:val="single"/>
        </w:rPr>
        <w:t xml:space="preserve">                     </w:t>
      </w:r>
    </w:p>
    <w:p w14:paraId="35FDF3F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单位电话：</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w:t>
      </w:r>
    </w:p>
    <w:p w14:paraId="10AFA40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联系人手机：</w:t>
      </w:r>
      <w:r>
        <w:rPr>
          <w:rFonts w:hint="eastAsia" w:ascii="仿宋" w:hAnsi="仿宋" w:eastAsia="仿宋" w:cs="仿宋"/>
          <w:color w:val="auto"/>
          <w:szCs w:val="21"/>
          <w:highlight w:val="none"/>
          <w:u w:val="single"/>
        </w:rPr>
        <w:t xml:space="preserve">                </w:t>
      </w:r>
    </w:p>
    <w:p w14:paraId="3E439BAD">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附：我方报价保证金汇款凭证</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61086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5000" w:type="pct"/>
            <w:tcBorders>
              <w:top w:val="single" w:color="auto" w:sz="4" w:space="0"/>
              <w:left w:val="single" w:color="auto" w:sz="4" w:space="0"/>
              <w:bottom w:val="single" w:color="auto" w:sz="4" w:space="0"/>
              <w:right w:val="single" w:color="auto" w:sz="4" w:space="0"/>
            </w:tcBorders>
            <w:vAlign w:val="center"/>
          </w:tcPr>
          <w:p w14:paraId="4A2EBE63">
            <w:pPr>
              <w:tabs>
                <w:tab w:val="left" w:pos="3885"/>
              </w:tabs>
              <w:spacing w:line="360" w:lineRule="auto"/>
              <w:ind w:firstLine="420" w:firstLineChars="200"/>
              <w:jc w:val="center"/>
              <w:rPr>
                <w:rFonts w:ascii="仿宋" w:hAnsi="仿宋" w:eastAsia="仿宋" w:cs="仿宋"/>
                <w:color w:val="auto"/>
                <w:szCs w:val="21"/>
                <w:highlight w:val="none"/>
              </w:rPr>
            </w:pPr>
            <w:r>
              <w:rPr>
                <w:rFonts w:hint="eastAsia" w:ascii="仿宋" w:hAnsi="仿宋" w:eastAsia="仿宋" w:cs="仿宋"/>
                <w:color w:val="auto"/>
                <w:szCs w:val="21"/>
                <w:highlight w:val="none"/>
              </w:rPr>
              <w:t>（粘贴汇款单或转账凭证复印件，并在骑缝上加盖公章，或是直接把转账凭证复印到此张纸上）</w:t>
            </w:r>
          </w:p>
        </w:tc>
      </w:tr>
    </w:tbl>
    <w:p w14:paraId="1075FAAA">
      <w:pPr>
        <w:pStyle w:val="42"/>
        <w:numPr>
          <w:ilvl w:val="255"/>
          <w:numId w:val="0"/>
        </w:numPr>
        <w:spacing w:line="360" w:lineRule="auto"/>
        <w:jc w:val="left"/>
        <w:outlineLvl w:val="1"/>
        <w:rPr>
          <w:rFonts w:hint="eastAsia" w:eastAsia="黑体"/>
          <w:color w:val="auto"/>
          <w:sz w:val="28"/>
          <w:szCs w:val="44"/>
          <w:highlight w:val="none"/>
        </w:rPr>
      </w:pPr>
    </w:p>
    <w:p w14:paraId="6DA3E4B2">
      <w:pPr>
        <w:pStyle w:val="42"/>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附件九 营业执照复印件</w:t>
      </w:r>
      <w:r>
        <w:rPr>
          <w:rFonts w:hint="eastAsia" w:eastAsia="黑体"/>
          <w:color w:val="auto"/>
          <w:sz w:val="28"/>
          <w:szCs w:val="44"/>
          <w:highlight w:val="none"/>
          <w:lang w:val="en-US" w:eastAsia="zh-CN"/>
        </w:rPr>
        <w:t>及道路运输经营许可证</w:t>
      </w:r>
      <w:r>
        <w:rPr>
          <w:rFonts w:hint="eastAsia" w:eastAsia="黑体"/>
          <w:color w:val="auto"/>
          <w:sz w:val="28"/>
          <w:szCs w:val="44"/>
          <w:highlight w:val="none"/>
        </w:rPr>
        <w:t>（加盖公章）</w:t>
      </w:r>
    </w:p>
    <w:p w14:paraId="661DAB80">
      <w:pPr>
        <w:pStyle w:val="2"/>
        <w:ind w:left="0" w:leftChars="0" w:firstLine="0" w:firstLineChars="0"/>
        <w:rPr>
          <w:rFonts w:eastAsia="仿宋_GB2312"/>
          <w:color w:val="auto"/>
          <w:sz w:val="32"/>
          <w:szCs w:val="32"/>
          <w:highlight w:val="none"/>
        </w:rPr>
      </w:pPr>
    </w:p>
    <w:p w14:paraId="1F9BF86F">
      <w:pPr>
        <w:pStyle w:val="2"/>
        <w:ind w:left="0" w:leftChars="0" w:firstLine="0" w:firstLineChars="0"/>
        <w:rPr>
          <w:rFonts w:eastAsia="仿宋_GB2312"/>
          <w:color w:val="auto"/>
          <w:sz w:val="32"/>
          <w:szCs w:val="32"/>
          <w:highlight w:val="none"/>
        </w:rPr>
      </w:pPr>
    </w:p>
    <w:p w14:paraId="496413BE">
      <w:pPr>
        <w:pStyle w:val="2"/>
        <w:ind w:left="0" w:leftChars="0" w:firstLine="0" w:firstLineChars="0"/>
        <w:rPr>
          <w:rFonts w:eastAsia="仿宋_GB2312"/>
          <w:color w:val="auto"/>
          <w:sz w:val="32"/>
          <w:szCs w:val="32"/>
          <w:highlight w:val="none"/>
        </w:rPr>
      </w:pPr>
    </w:p>
    <w:p w14:paraId="66CB45AF">
      <w:pPr>
        <w:pStyle w:val="2"/>
        <w:ind w:left="0" w:leftChars="0" w:firstLine="0" w:firstLineChars="0"/>
        <w:rPr>
          <w:rFonts w:eastAsia="仿宋_GB2312"/>
          <w:color w:val="auto"/>
          <w:sz w:val="32"/>
          <w:szCs w:val="32"/>
          <w:highlight w:val="none"/>
        </w:rPr>
      </w:pPr>
    </w:p>
    <w:p w14:paraId="051030E1">
      <w:pPr>
        <w:pStyle w:val="2"/>
        <w:ind w:left="0" w:leftChars="0" w:firstLine="0" w:firstLineChars="0"/>
        <w:rPr>
          <w:rFonts w:eastAsia="仿宋_GB2312"/>
          <w:color w:val="auto"/>
          <w:sz w:val="32"/>
          <w:szCs w:val="32"/>
          <w:highlight w:val="none"/>
        </w:rPr>
      </w:pPr>
    </w:p>
    <w:p w14:paraId="6EE872FC">
      <w:pPr>
        <w:pStyle w:val="2"/>
        <w:ind w:left="0" w:leftChars="0" w:firstLine="0" w:firstLineChars="0"/>
        <w:rPr>
          <w:rFonts w:eastAsia="仿宋_GB2312"/>
          <w:color w:val="auto"/>
          <w:sz w:val="32"/>
          <w:szCs w:val="32"/>
          <w:highlight w:val="none"/>
        </w:rPr>
      </w:pPr>
    </w:p>
    <w:p w14:paraId="5191BFEB">
      <w:pPr>
        <w:pStyle w:val="2"/>
        <w:ind w:left="0" w:leftChars="0" w:firstLine="0" w:firstLineChars="0"/>
        <w:rPr>
          <w:rFonts w:eastAsia="仿宋_GB2312"/>
          <w:color w:val="auto"/>
          <w:sz w:val="32"/>
          <w:szCs w:val="32"/>
          <w:highlight w:val="none"/>
        </w:rPr>
      </w:pPr>
    </w:p>
    <w:p w14:paraId="584BBBB0">
      <w:pPr>
        <w:pStyle w:val="2"/>
        <w:ind w:left="0" w:leftChars="0" w:firstLine="0" w:firstLineChars="0"/>
        <w:rPr>
          <w:rFonts w:eastAsia="仿宋_GB2312"/>
          <w:color w:val="auto"/>
          <w:sz w:val="32"/>
          <w:szCs w:val="32"/>
          <w:highlight w:val="none"/>
        </w:rPr>
      </w:pPr>
    </w:p>
    <w:p w14:paraId="01B745D1">
      <w:pPr>
        <w:pStyle w:val="2"/>
        <w:ind w:left="0" w:leftChars="0" w:firstLine="0" w:firstLineChars="0"/>
        <w:rPr>
          <w:rFonts w:eastAsia="仿宋_GB2312"/>
          <w:color w:val="auto"/>
          <w:sz w:val="32"/>
          <w:szCs w:val="32"/>
          <w:highlight w:val="none"/>
        </w:rPr>
      </w:pPr>
    </w:p>
    <w:p w14:paraId="4DE36B1F">
      <w:pPr>
        <w:pStyle w:val="2"/>
        <w:ind w:left="0" w:leftChars="0" w:firstLine="0" w:firstLineChars="0"/>
        <w:rPr>
          <w:rFonts w:eastAsia="仿宋_GB2312"/>
          <w:color w:val="auto"/>
          <w:sz w:val="32"/>
          <w:szCs w:val="32"/>
          <w:highlight w:val="none"/>
        </w:rPr>
      </w:pPr>
    </w:p>
    <w:p w14:paraId="43D85977">
      <w:pPr>
        <w:pStyle w:val="2"/>
        <w:ind w:left="0" w:leftChars="0" w:firstLine="0" w:firstLineChars="0"/>
        <w:rPr>
          <w:rFonts w:eastAsia="仿宋_GB2312"/>
          <w:color w:val="auto"/>
          <w:sz w:val="32"/>
          <w:szCs w:val="32"/>
          <w:highlight w:val="none"/>
        </w:rPr>
      </w:pPr>
    </w:p>
    <w:p w14:paraId="053FFE53">
      <w:pPr>
        <w:pStyle w:val="2"/>
        <w:ind w:left="0" w:leftChars="0" w:firstLine="0" w:firstLineChars="0"/>
        <w:rPr>
          <w:rFonts w:eastAsia="仿宋_GB2312"/>
          <w:color w:val="auto"/>
          <w:sz w:val="32"/>
          <w:szCs w:val="32"/>
          <w:highlight w:val="none"/>
        </w:rPr>
      </w:pPr>
    </w:p>
    <w:p w14:paraId="7782C93A">
      <w:pPr>
        <w:pStyle w:val="2"/>
        <w:ind w:left="0" w:leftChars="0" w:firstLine="0" w:firstLineChars="0"/>
        <w:rPr>
          <w:rFonts w:eastAsia="仿宋_GB2312"/>
          <w:color w:val="auto"/>
          <w:sz w:val="32"/>
          <w:szCs w:val="32"/>
          <w:highlight w:val="none"/>
        </w:rPr>
      </w:pPr>
    </w:p>
    <w:p w14:paraId="5A454B1E">
      <w:pPr>
        <w:pStyle w:val="2"/>
        <w:ind w:left="0" w:leftChars="0" w:firstLine="0" w:firstLineChars="0"/>
        <w:rPr>
          <w:rFonts w:eastAsia="仿宋_GB2312"/>
          <w:color w:val="auto"/>
          <w:sz w:val="32"/>
          <w:szCs w:val="32"/>
          <w:highlight w:val="none"/>
        </w:rPr>
      </w:pPr>
    </w:p>
    <w:p w14:paraId="155E978C">
      <w:pPr>
        <w:pStyle w:val="2"/>
        <w:ind w:left="0" w:leftChars="0" w:firstLine="0" w:firstLineChars="0"/>
        <w:rPr>
          <w:rFonts w:eastAsia="仿宋_GB2312"/>
          <w:color w:val="auto"/>
          <w:sz w:val="32"/>
          <w:szCs w:val="32"/>
          <w:highlight w:val="none"/>
        </w:rPr>
      </w:pPr>
    </w:p>
    <w:p w14:paraId="3523A77B">
      <w:pPr>
        <w:pStyle w:val="2"/>
        <w:ind w:left="0" w:leftChars="0" w:firstLine="0" w:firstLineChars="0"/>
        <w:rPr>
          <w:rFonts w:eastAsia="仿宋_GB2312"/>
          <w:color w:val="auto"/>
          <w:sz w:val="32"/>
          <w:szCs w:val="32"/>
          <w:highlight w:val="none"/>
        </w:rPr>
      </w:pPr>
    </w:p>
    <w:p w14:paraId="6A551A2D">
      <w:pPr>
        <w:pStyle w:val="2"/>
        <w:ind w:left="0" w:leftChars="0" w:firstLine="0" w:firstLineChars="0"/>
        <w:rPr>
          <w:rFonts w:eastAsia="仿宋_GB2312"/>
          <w:color w:val="auto"/>
          <w:sz w:val="32"/>
          <w:szCs w:val="32"/>
          <w:highlight w:val="none"/>
        </w:rPr>
      </w:pPr>
    </w:p>
    <w:p w14:paraId="29E0D2BB">
      <w:pPr>
        <w:pStyle w:val="42"/>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附件十 同类项目业绩合同（加盖公章）</w:t>
      </w:r>
    </w:p>
    <w:p w14:paraId="46D2C7D3">
      <w:pPr>
        <w:pStyle w:val="42"/>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4BD24079">
      <w:pPr>
        <w:pStyle w:val="2"/>
        <w:ind w:left="0" w:leftChars="0" w:firstLine="0" w:firstLineChars="0"/>
        <w:rPr>
          <w:rFonts w:eastAsia="仿宋_GB2312"/>
          <w:color w:val="auto"/>
          <w:sz w:val="32"/>
          <w:szCs w:val="32"/>
          <w:highlight w:val="none"/>
        </w:rPr>
      </w:pPr>
    </w:p>
    <w:p w14:paraId="7B81E6E6">
      <w:pPr>
        <w:pStyle w:val="2"/>
        <w:ind w:left="0" w:leftChars="0" w:firstLine="0" w:firstLineChars="0"/>
        <w:rPr>
          <w:rFonts w:eastAsia="仿宋_GB2312"/>
          <w:color w:val="auto"/>
          <w:sz w:val="32"/>
          <w:szCs w:val="32"/>
          <w:highlight w:val="none"/>
        </w:rPr>
      </w:pPr>
    </w:p>
    <w:p w14:paraId="286AF398">
      <w:pPr>
        <w:pStyle w:val="2"/>
        <w:ind w:left="0" w:leftChars="0" w:firstLine="0" w:firstLineChars="0"/>
        <w:rPr>
          <w:rFonts w:eastAsia="仿宋_GB2312"/>
          <w:color w:val="auto"/>
          <w:sz w:val="32"/>
          <w:szCs w:val="32"/>
          <w:highlight w:val="none"/>
        </w:rPr>
      </w:pPr>
    </w:p>
    <w:p w14:paraId="7EC1F620">
      <w:pPr>
        <w:pStyle w:val="2"/>
        <w:ind w:left="0" w:leftChars="0" w:firstLine="0" w:firstLineChars="0"/>
        <w:rPr>
          <w:rFonts w:eastAsia="仿宋_GB2312"/>
          <w:color w:val="auto"/>
          <w:sz w:val="32"/>
          <w:szCs w:val="32"/>
          <w:highlight w:val="none"/>
        </w:rPr>
      </w:pPr>
    </w:p>
    <w:p w14:paraId="7C6468BC">
      <w:pPr>
        <w:pStyle w:val="2"/>
        <w:ind w:left="0" w:leftChars="0" w:firstLine="0" w:firstLineChars="0"/>
        <w:rPr>
          <w:rFonts w:eastAsia="仿宋_GB2312"/>
          <w:color w:val="auto"/>
          <w:sz w:val="32"/>
          <w:szCs w:val="32"/>
          <w:highlight w:val="none"/>
        </w:rPr>
      </w:pPr>
    </w:p>
    <w:p w14:paraId="5387E17B">
      <w:pPr>
        <w:pStyle w:val="2"/>
        <w:ind w:left="0" w:leftChars="0" w:firstLine="0" w:firstLineChars="0"/>
        <w:rPr>
          <w:rFonts w:eastAsia="仿宋_GB2312"/>
          <w:color w:val="auto"/>
          <w:sz w:val="32"/>
          <w:szCs w:val="32"/>
          <w:highlight w:val="none"/>
        </w:rPr>
      </w:pPr>
    </w:p>
    <w:p w14:paraId="7162FBF0">
      <w:pPr>
        <w:pStyle w:val="2"/>
        <w:ind w:left="0" w:leftChars="0" w:firstLine="0" w:firstLineChars="0"/>
        <w:rPr>
          <w:rFonts w:eastAsia="仿宋_GB2312"/>
          <w:color w:val="auto"/>
          <w:sz w:val="32"/>
          <w:szCs w:val="32"/>
          <w:highlight w:val="none"/>
        </w:rPr>
      </w:pPr>
    </w:p>
    <w:p w14:paraId="711EDF57">
      <w:pPr>
        <w:pStyle w:val="2"/>
        <w:ind w:left="0" w:leftChars="0" w:firstLine="0" w:firstLineChars="0"/>
        <w:rPr>
          <w:rFonts w:eastAsia="仿宋_GB2312"/>
          <w:color w:val="auto"/>
          <w:sz w:val="32"/>
          <w:szCs w:val="32"/>
          <w:highlight w:val="none"/>
        </w:rPr>
      </w:pPr>
    </w:p>
    <w:p w14:paraId="47C3B1E1">
      <w:pPr>
        <w:pStyle w:val="2"/>
        <w:ind w:left="0" w:leftChars="0" w:firstLine="0" w:firstLineChars="0"/>
        <w:rPr>
          <w:rFonts w:eastAsia="仿宋_GB2312"/>
          <w:color w:val="auto"/>
          <w:sz w:val="32"/>
          <w:szCs w:val="32"/>
          <w:highlight w:val="none"/>
        </w:rPr>
      </w:pPr>
    </w:p>
    <w:p w14:paraId="286F7403">
      <w:pPr>
        <w:pStyle w:val="2"/>
        <w:ind w:left="0" w:leftChars="0" w:firstLine="0" w:firstLineChars="0"/>
        <w:rPr>
          <w:rFonts w:eastAsia="仿宋_GB2312"/>
          <w:color w:val="auto"/>
          <w:sz w:val="32"/>
          <w:szCs w:val="32"/>
          <w:highlight w:val="none"/>
        </w:rPr>
      </w:pPr>
    </w:p>
    <w:p w14:paraId="6B22B67F">
      <w:pPr>
        <w:pStyle w:val="2"/>
        <w:ind w:left="0" w:leftChars="0" w:firstLine="0" w:firstLineChars="0"/>
        <w:rPr>
          <w:rFonts w:eastAsia="仿宋_GB2312"/>
          <w:color w:val="auto"/>
          <w:sz w:val="32"/>
          <w:szCs w:val="32"/>
          <w:highlight w:val="none"/>
        </w:rPr>
      </w:pPr>
    </w:p>
    <w:p w14:paraId="6EEEB7FA">
      <w:pPr>
        <w:pStyle w:val="2"/>
        <w:ind w:left="0" w:leftChars="0" w:firstLine="0" w:firstLineChars="0"/>
        <w:rPr>
          <w:rFonts w:eastAsia="仿宋_GB2312"/>
          <w:color w:val="auto"/>
          <w:sz w:val="32"/>
          <w:szCs w:val="32"/>
          <w:highlight w:val="none"/>
        </w:rPr>
      </w:pPr>
    </w:p>
    <w:p w14:paraId="76804B5F">
      <w:pPr>
        <w:pStyle w:val="2"/>
        <w:ind w:left="0" w:leftChars="0" w:firstLine="0" w:firstLineChars="0"/>
        <w:rPr>
          <w:rFonts w:eastAsia="仿宋_GB2312"/>
          <w:color w:val="auto"/>
          <w:sz w:val="32"/>
          <w:szCs w:val="32"/>
          <w:highlight w:val="none"/>
        </w:rPr>
      </w:pPr>
    </w:p>
    <w:p w14:paraId="3D155A89">
      <w:pPr>
        <w:pStyle w:val="2"/>
        <w:ind w:left="0" w:leftChars="0" w:firstLine="0" w:firstLineChars="0"/>
        <w:rPr>
          <w:rFonts w:eastAsia="仿宋_GB2312"/>
          <w:color w:val="auto"/>
          <w:sz w:val="32"/>
          <w:szCs w:val="32"/>
          <w:highlight w:val="none"/>
        </w:rPr>
      </w:pPr>
    </w:p>
    <w:p w14:paraId="63A3C58D">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十一商务偏离表</w:t>
      </w:r>
    </w:p>
    <w:p w14:paraId="37882192">
      <w:pPr>
        <w:spacing w:before="332" w:beforeLines="100" w:after="332" w:afterLines="100"/>
        <w:jc w:val="center"/>
        <w:outlineLvl w:val="1"/>
        <w:rPr>
          <w:rFonts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2258AF74">
      <w:pPr>
        <w:spacing w:line="360" w:lineRule="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36C0C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341D0EC">
            <w:pPr>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62F9D231">
            <w:pPr>
              <w:jc w:val="center"/>
              <w:rPr>
                <w:rFonts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30BF871B">
            <w:pPr>
              <w:jc w:val="center"/>
              <w:rPr>
                <w:rFonts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2E2BCE1C">
            <w:pPr>
              <w:jc w:val="center"/>
              <w:rPr>
                <w:rFonts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0ACBF679">
            <w:pPr>
              <w:jc w:val="center"/>
              <w:rPr>
                <w:rFonts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662F34A5">
            <w:pPr>
              <w:jc w:val="center"/>
              <w:rPr>
                <w:rFonts w:ascii="宋体" w:hAnsi="宋体" w:cs="宋体"/>
                <w:b/>
                <w:color w:val="auto"/>
                <w:sz w:val="24"/>
                <w:highlight w:val="none"/>
              </w:rPr>
            </w:pPr>
            <w:r>
              <w:rPr>
                <w:rFonts w:hint="eastAsia" w:ascii="宋体" w:hAnsi="宋体" w:cs="宋体"/>
                <w:b/>
                <w:color w:val="auto"/>
                <w:sz w:val="24"/>
                <w:highlight w:val="none"/>
              </w:rPr>
              <w:t>说明</w:t>
            </w:r>
          </w:p>
        </w:tc>
      </w:tr>
      <w:tr w14:paraId="18580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7ED93C8">
            <w:pPr>
              <w:jc w:val="center"/>
              <w:rPr>
                <w:rFonts w:ascii="宋体" w:hAnsi="宋体" w:cs="宋体"/>
                <w:color w:val="auto"/>
                <w:sz w:val="24"/>
                <w:highlight w:val="none"/>
              </w:rPr>
            </w:pPr>
          </w:p>
        </w:tc>
        <w:tc>
          <w:tcPr>
            <w:tcW w:w="2120" w:type="dxa"/>
            <w:vAlign w:val="center"/>
          </w:tcPr>
          <w:p w14:paraId="378504E2">
            <w:pPr>
              <w:jc w:val="center"/>
              <w:rPr>
                <w:rFonts w:ascii="宋体" w:hAnsi="宋体" w:cs="宋体"/>
                <w:color w:val="auto"/>
                <w:sz w:val="24"/>
                <w:highlight w:val="none"/>
              </w:rPr>
            </w:pPr>
          </w:p>
        </w:tc>
        <w:tc>
          <w:tcPr>
            <w:tcW w:w="1958" w:type="dxa"/>
            <w:vAlign w:val="center"/>
          </w:tcPr>
          <w:p w14:paraId="503D501E">
            <w:pPr>
              <w:jc w:val="center"/>
              <w:rPr>
                <w:rFonts w:ascii="宋体" w:hAnsi="宋体" w:cs="宋体"/>
                <w:color w:val="auto"/>
                <w:sz w:val="24"/>
                <w:highlight w:val="none"/>
              </w:rPr>
            </w:pPr>
          </w:p>
        </w:tc>
        <w:tc>
          <w:tcPr>
            <w:tcW w:w="1955" w:type="dxa"/>
            <w:vAlign w:val="center"/>
          </w:tcPr>
          <w:p w14:paraId="236149CB">
            <w:pPr>
              <w:jc w:val="center"/>
              <w:rPr>
                <w:rFonts w:ascii="宋体" w:hAnsi="宋体" w:cs="宋体"/>
                <w:color w:val="auto"/>
                <w:sz w:val="24"/>
                <w:highlight w:val="none"/>
              </w:rPr>
            </w:pPr>
          </w:p>
        </w:tc>
        <w:tc>
          <w:tcPr>
            <w:tcW w:w="832" w:type="dxa"/>
            <w:vAlign w:val="center"/>
          </w:tcPr>
          <w:p w14:paraId="0A437C66">
            <w:pPr>
              <w:jc w:val="center"/>
              <w:rPr>
                <w:rFonts w:ascii="宋体" w:hAnsi="宋体" w:cs="宋体"/>
                <w:color w:val="auto"/>
                <w:sz w:val="24"/>
                <w:highlight w:val="none"/>
              </w:rPr>
            </w:pPr>
          </w:p>
        </w:tc>
        <w:tc>
          <w:tcPr>
            <w:tcW w:w="831" w:type="dxa"/>
            <w:vAlign w:val="center"/>
          </w:tcPr>
          <w:p w14:paraId="107FB203">
            <w:pPr>
              <w:jc w:val="center"/>
              <w:rPr>
                <w:rFonts w:ascii="宋体" w:hAnsi="宋体" w:cs="宋体"/>
                <w:color w:val="auto"/>
                <w:sz w:val="24"/>
                <w:highlight w:val="none"/>
              </w:rPr>
            </w:pPr>
          </w:p>
        </w:tc>
      </w:tr>
      <w:tr w14:paraId="0B3B7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390D71A0">
            <w:pPr>
              <w:jc w:val="center"/>
              <w:rPr>
                <w:rFonts w:ascii="宋体" w:hAnsi="宋体" w:cs="宋体"/>
                <w:color w:val="auto"/>
                <w:sz w:val="24"/>
                <w:highlight w:val="none"/>
              </w:rPr>
            </w:pPr>
          </w:p>
        </w:tc>
        <w:tc>
          <w:tcPr>
            <w:tcW w:w="2120" w:type="dxa"/>
            <w:vAlign w:val="center"/>
          </w:tcPr>
          <w:p w14:paraId="00F6695B">
            <w:pPr>
              <w:jc w:val="center"/>
              <w:rPr>
                <w:rFonts w:ascii="宋体" w:hAnsi="宋体" w:cs="宋体"/>
                <w:color w:val="auto"/>
                <w:sz w:val="24"/>
                <w:highlight w:val="none"/>
              </w:rPr>
            </w:pPr>
          </w:p>
        </w:tc>
        <w:tc>
          <w:tcPr>
            <w:tcW w:w="1958" w:type="dxa"/>
            <w:vAlign w:val="center"/>
          </w:tcPr>
          <w:p w14:paraId="4F41FF31">
            <w:pPr>
              <w:jc w:val="center"/>
              <w:rPr>
                <w:rFonts w:ascii="宋体" w:hAnsi="宋体" w:cs="宋体"/>
                <w:color w:val="auto"/>
                <w:sz w:val="24"/>
                <w:highlight w:val="none"/>
              </w:rPr>
            </w:pPr>
          </w:p>
        </w:tc>
        <w:tc>
          <w:tcPr>
            <w:tcW w:w="1955" w:type="dxa"/>
            <w:vAlign w:val="center"/>
          </w:tcPr>
          <w:p w14:paraId="38E5C22D">
            <w:pPr>
              <w:jc w:val="center"/>
              <w:rPr>
                <w:rFonts w:ascii="宋体" w:hAnsi="宋体" w:cs="宋体"/>
                <w:color w:val="auto"/>
                <w:sz w:val="24"/>
                <w:highlight w:val="none"/>
              </w:rPr>
            </w:pPr>
          </w:p>
        </w:tc>
        <w:tc>
          <w:tcPr>
            <w:tcW w:w="832" w:type="dxa"/>
            <w:vAlign w:val="center"/>
          </w:tcPr>
          <w:p w14:paraId="2CBB66AB">
            <w:pPr>
              <w:jc w:val="center"/>
              <w:rPr>
                <w:rFonts w:ascii="宋体" w:hAnsi="宋体" w:cs="宋体"/>
                <w:color w:val="auto"/>
                <w:sz w:val="24"/>
                <w:highlight w:val="none"/>
              </w:rPr>
            </w:pPr>
          </w:p>
        </w:tc>
        <w:tc>
          <w:tcPr>
            <w:tcW w:w="831" w:type="dxa"/>
            <w:vAlign w:val="center"/>
          </w:tcPr>
          <w:p w14:paraId="5FDD9DC9">
            <w:pPr>
              <w:jc w:val="center"/>
              <w:rPr>
                <w:rFonts w:ascii="宋体" w:hAnsi="宋体" w:cs="宋体"/>
                <w:color w:val="auto"/>
                <w:sz w:val="24"/>
                <w:highlight w:val="none"/>
              </w:rPr>
            </w:pPr>
          </w:p>
        </w:tc>
      </w:tr>
      <w:tr w14:paraId="0FDCE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129FFDA">
            <w:pPr>
              <w:jc w:val="center"/>
              <w:rPr>
                <w:rFonts w:ascii="宋体" w:hAnsi="宋体" w:cs="宋体"/>
                <w:color w:val="auto"/>
                <w:sz w:val="24"/>
                <w:highlight w:val="none"/>
              </w:rPr>
            </w:pPr>
          </w:p>
        </w:tc>
        <w:tc>
          <w:tcPr>
            <w:tcW w:w="2120" w:type="dxa"/>
            <w:vAlign w:val="center"/>
          </w:tcPr>
          <w:p w14:paraId="4713BFF0">
            <w:pPr>
              <w:jc w:val="center"/>
              <w:rPr>
                <w:rFonts w:ascii="宋体" w:hAnsi="宋体" w:cs="宋体"/>
                <w:color w:val="auto"/>
                <w:sz w:val="24"/>
                <w:highlight w:val="none"/>
              </w:rPr>
            </w:pPr>
          </w:p>
        </w:tc>
        <w:tc>
          <w:tcPr>
            <w:tcW w:w="1958" w:type="dxa"/>
            <w:vAlign w:val="center"/>
          </w:tcPr>
          <w:p w14:paraId="79CE627F">
            <w:pPr>
              <w:jc w:val="center"/>
              <w:rPr>
                <w:rFonts w:ascii="宋体" w:hAnsi="宋体" w:cs="宋体"/>
                <w:color w:val="auto"/>
                <w:sz w:val="24"/>
                <w:highlight w:val="none"/>
              </w:rPr>
            </w:pPr>
          </w:p>
        </w:tc>
        <w:tc>
          <w:tcPr>
            <w:tcW w:w="1955" w:type="dxa"/>
            <w:vAlign w:val="center"/>
          </w:tcPr>
          <w:p w14:paraId="775EF6ED">
            <w:pPr>
              <w:jc w:val="center"/>
              <w:rPr>
                <w:rFonts w:ascii="宋体" w:hAnsi="宋体" w:cs="宋体"/>
                <w:color w:val="auto"/>
                <w:sz w:val="24"/>
                <w:highlight w:val="none"/>
              </w:rPr>
            </w:pPr>
          </w:p>
        </w:tc>
        <w:tc>
          <w:tcPr>
            <w:tcW w:w="832" w:type="dxa"/>
            <w:vAlign w:val="center"/>
          </w:tcPr>
          <w:p w14:paraId="5A4FD10A">
            <w:pPr>
              <w:jc w:val="center"/>
              <w:rPr>
                <w:rFonts w:ascii="宋体" w:hAnsi="宋体" w:cs="宋体"/>
                <w:color w:val="auto"/>
                <w:sz w:val="24"/>
                <w:highlight w:val="none"/>
              </w:rPr>
            </w:pPr>
          </w:p>
        </w:tc>
        <w:tc>
          <w:tcPr>
            <w:tcW w:w="831" w:type="dxa"/>
            <w:vAlign w:val="center"/>
          </w:tcPr>
          <w:p w14:paraId="4FAA0578">
            <w:pPr>
              <w:jc w:val="center"/>
              <w:rPr>
                <w:rFonts w:ascii="宋体" w:hAnsi="宋体" w:cs="宋体"/>
                <w:color w:val="auto"/>
                <w:sz w:val="24"/>
                <w:highlight w:val="none"/>
              </w:rPr>
            </w:pPr>
          </w:p>
        </w:tc>
      </w:tr>
      <w:tr w14:paraId="5B408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75D33FB">
            <w:pPr>
              <w:jc w:val="center"/>
              <w:rPr>
                <w:rFonts w:ascii="宋体" w:hAnsi="宋体" w:cs="宋体"/>
                <w:color w:val="auto"/>
                <w:sz w:val="24"/>
                <w:highlight w:val="none"/>
              </w:rPr>
            </w:pPr>
          </w:p>
        </w:tc>
        <w:tc>
          <w:tcPr>
            <w:tcW w:w="2120" w:type="dxa"/>
            <w:vAlign w:val="center"/>
          </w:tcPr>
          <w:p w14:paraId="2465638A">
            <w:pPr>
              <w:jc w:val="center"/>
              <w:rPr>
                <w:rFonts w:ascii="宋体" w:hAnsi="宋体" w:cs="宋体"/>
                <w:color w:val="auto"/>
                <w:sz w:val="24"/>
                <w:highlight w:val="none"/>
              </w:rPr>
            </w:pPr>
          </w:p>
        </w:tc>
        <w:tc>
          <w:tcPr>
            <w:tcW w:w="1958" w:type="dxa"/>
            <w:vAlign w:val="center"/>
          </w:tcPr>
          <w:p w14:paraId="5D88654F">
            <w:pPr>
              <w:jc w:val="center"/>
              <w:rPr>
                <w:rFonts w:ascii="宋体" w:hAnsi="宋体" w:cs="宋体"/>
                <w:color w:val="auto"/>
                <w:sz w:val="24"/>
                <w:highlight w:val="none"/>
              </w:rPr>
            </w:pPr>
          </w:p>
        </w:tc>
        <w:tc>
          <w:tcPr>
            <w:tcW w:w="1955" w:type="dxa"/>
            <w:vAlign w:val="center"/>
          </w:tcPr>
          <w:p w14:paraId="60CD082F">
            <w:pPr>
              <w:jc w:val="center"/>
              <w:rPr>
                <w:rFonts w:ascii="宋体" w:hAnsi="宋体" w:cs="宋体"/>
                <w:color w:val="auto"/>
                <w:sz w:val="24"/>
                <w:highlight w:val="none"/>
              </w:rPr>
            </w:pPr>
          </w:p>
        </w:tc>
        <w:tc>
          <w:tcPr>
            <w:tcW w:w="832" w:type="dxa"/>
            <w:vAlign w:val="center"/>
          </w:tcPr>
          <w:p w14:paraId="6A2DA10B">
            <w:pPr>
              <w:jc w:val="center"/>
              <w:rPr>
                <w:rFonts w:ascii="宋体" w:hAnsi="宋体" w:cs="宋体"/>
                <w:color w:val="auto"/>
                <w:sz w:val="24"/>
                <w:highlight w:val="none"/>
              </w:rPr>
            </w:pPr>
          </w:p>
        </w:tc>
        <w:tc>
          <w:tcPr>
            <w:tcW w:w="831" w:type="dxa"/>
            <w:vAlign w:val="center"/>
          </w:tcPr>
          <w:p w14:paraId="14387713">
            <w:pPr>
              <w:jc w:val="center"/>
              <w:rPr>
                <w:rFonts w:ascii="宋体" w:hAnsi="宋体" w:cs="宋体"/>
                <w:color w:val="auto"/>
                <w:sz w:val="24"/>
                <w:highlight w:val="none"/>
              </w:rPr>
            </w:pPr>
          </w:p>
        </w:tc>
      </w:tr>
      <w:tr w14:paraId="25CF9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C7502C0">
            <w:pPr>
              <w:jc w:val="center"/>
              <w:rPr>
                <w:rFonts w:ascii="宋体" w:hAnsi="宋体" w:cs="宋体"/>
                <w:color w:val="auto"/>
                <w:sz w:val="24"/>
                <w:highlight w:val="none"/>
              </w:rPr>
            </w:pPr>
          </w:p>
        </w:tc>
        <w:tc>
          <w:tcPr>
            <w:tcW w:w="2120" w:type="dxa"/>
            <w:vAlign w:val="center"/>
          </w:tcPr>
          <w:p w14:paraId="56C0FCC0">
            <w:pPr>
              <w:jc w:val="center"/>
              <w:rPr>
                <w:rFonts w:ascii="宋体" w:hAnsi="宋体" w:cs="宋体"/>
                <w:color w:val="auto"/>
                <w:sz w:val="24"/>
                <w:highlight w:val="none"/>
              </w:rPr>
            </w:pPr>
          </w:p>
        </w:tc>
        <w:tc>
          <w:tcPr>
            <w:tcW w:w="1958" w:type="dxa"/>
            <w:vAlign w:val="center"/>
          </w:tcPr>
          <w:p w14:paraId="3C90AE59">
            <w:pPr>
              <w:jc w:val="center"/>
              <w:rPr>
                <w:rFonts w:ascii="宋体" w:hAnsi="宋体" w:cs="宋体"/>
                <w:color w:val="auto"/>
                <w:sz w:val="24"/>
                <w:highlight w:val="none"/>
              </w:rPr>
            </w:pPr>
          </w:p>
        </w:tc>
        <w:tc>
          <w:tcPr>
            <w:tcW w:w="1955" w:type="dxa"/>
            <w:vAlign w:val="center"/>
          </w:tcPr>
          <w:p w14:paraId="24713903">
            <w:pPr>
              <w:jc w:val="center"/>
              <w:rPr>
                <w:rFonts w:ascii="宋体" w:hAnsi="宋体" w:cs="宋体"/>
                <w:color w:val="auto"/>
                <w:sz w:val="24"/>
                <w:highlight w:val="none"/>
              </w:rPr>
            </w:pPr>
          </w:p>
        </w:tc>
        <w:tc>
          <w:tcPr>
            <w:tcW w:w="832" w:type="dxa"/>
            <w:vAlign w:val="center"/>
          </w:tcPr>
          <w:p w14:paraId="7530D3C0">
            <w:pPr>
              <w:jc w:val="center"/>
              <w:rPr>
                <w:rFonts w:ascii="宋体" w:hAnsi="宋体" w:cs="宋体"/>
                <w:color w:val="auto"/>
                <w:sz w:val="24"/>
                <w:highlight w:val="none"/>
              </w:rPr>
            </w:pPr>
          </w:p>
        </w:tc>
        <w:tc>
          <w:tcPr>
            <w:tcW w:w="831" w:type="dxa"/>
            <w:vAlign w:val="center"/>
          </w:tcPr>
          <w:p w14:paraId="3EEC5521">
            <w:pPr>
              <w:jc w:val="center"/>
              <w:rPr>
                <w:rFonts w:ascii="宋体" w:hAnsi="宋体" w:cs="宋体"/>
                <w:color w:val="auto"/>
                <w:sz w:val="24"/>
                <w:highlight w:val="none"/>
              </w:rPr>
            </w:pPr>
          </w:p>
        </w:tc>
      </w:tr>
      <w:tr w14:paraId="5856A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E2ED909">
            <w:pPr>
              <w:jc w:val="center"/>
              <w:rPr>
                <w:rFonts w:ascii="宋体" w:hAnsi="宋体" w:cs="宋体"/>
                <w:color w:val="auto"/>
                <w:sz w:val="24"/>
                <w:highlight w:val="none"/>
              </w:rPr>
            </w:pPr>
          </w:p>
        </w:tc>
        <w:tc>
          <w:tcPr>
            <w:tcW w:w="2120" w:type="dxa"/>
            <w:vAlign w:val="center"/>
          </w:tcPr>
          <w:p w14:paraId="0957C1E5">
            <w:pPr>
              <w:jc w:val="center"/>
              <w:rPr>
                <w:rFonts w:ascii="宋体" w:hAnsi="宋体" w:cs="宋体"/>
                <w:color w:val="auto"/>
                <w:sz w:val="24"/>
                <w:highlight w:val="none"/>
              </w:rPr>
            </w:pPr>
          </w:p>
        </w:tc>
        <w:tc>
          <w:tcPr>
            <w:tcW w:w="1958" w:type="dxa"/>
            <w:vAlign w:val="center"/>
          </w:tcPr>
          <w:p w14:paraId="7075D871">
            <w:pPr>
              <w:jc w:val="center"/>
              <w:rPr>
                <w:rFonts w:ascii="宋体" w:hAnsi="宋体" w:cs="宋体"/>
                <w:color w:val="auto"/>
                <w:sz w:val="24"/>
                <w:highlight w:val="none"/>
              </w:rPr>
            </w:pPr>
          </w:p>
        </w:tc>
        <w:tc>
          <w:tcPr>
            <w:tcW w:w="1955" w:type="dxa"/>
            <w:vAlign w:val="center"/>
          </w:tcPr>
          <w:p w14:paraId="489AE05C">
            <w:pPr>
              <w:jc w:val="center"/>
              <w:rPr>
                <w:rFonts w:ascii="宋体" w:hAnsi="宋体" w:cs="宋体"/>
                <w:color w:val="auto"/>
                <w:sz w:val="24"/>
                <w:highlight w:val="none"/>
              </w:rPr>
            </w:pPr>
          </w:p>
        </w:tc>
        <w:tc>
          <w:tcPr>
            <w:tcW w:w="832" w:type="dxa"/>
            <w:vAlign w:val="center"/>
          </w:tcPr>
          <w:p w14:paraId="51C6A007">
            <w:pPr>
              <w:jc w:val="center"/>
              <w:rPr>
                <w:rFonts w:ascii="宋体" w:hAnsi="宋体" w:cs="宋体"/>
                <w:color w:val="auto"/>
                <w:sz w:val="24"/>
                <w:highlight w:val="none"/>
              </w:rPr>
            </w:pPr>
          </w:p>
        </w:tc>
        <w:tc>
          <w:tcPr>
            <w:tcW w:w="831" w:type="dxa"/>
            <w:vAlign w:val="center"/>
          </w:tcPr>
          <w:p w14:paraId="7CCC71F2">
            <w:pPr>
              <w:jc w:val="center"/>
              <w:rPr>
                <w:rFonts w:ascii="宋体" w:hAnsi="宋体" w:cs="宋体"/>
                <w:color w:val="auto"/>
                <w:sz w:val="24"/>
                <w:highlight w:val="none"/>
              </w:rPr>
            </w:pPr>
          </w:p>
        </w:tc>
      </w:tr>
      <w:tr w14:paraId="1FD40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19B31AB">
            <w:pPr>
              <w:jc w:val="center"/>
              <w:rPr>
                <w:rFonts w:ascii="宋体" w:hAnsi="宋体" w:cs="宋体"/>
                <w:color w:val="auto"/>
                <w:sz w:val="24"/>
                <w:highlight w:val="none"/>
              </w:rPr>
            </w:pPr>
          </w:p>
        </w:tc>
        <w:tc>
          <w:tcPr>
            <w:tcW w:w="2120" w:type="dxa"/>
            <w:vAlign w:val="center"/>
          </w:tcPr>
          <w:p w14:paraId="7A6DAD57">
            <w:pPr>
              <w:jc w:val="center"/>
              <w:rPr>
                <w:rFonts w:ascii="宋体" w:hAnsi="宋体" w:cs="宋体"/>
                <w:color w:val="auto"/>
                <w:sz w:val="24"/>
                <w:highlight w:val="none"/>
              </w:rPr>
            </w:pPr>
          </w:p>
        </w:tc>
        <w:tc>
          <w:tcPr>
            <w:tcW w:w="1958" w:type="dxa"/>
            <w:vAlign w:val="center"/>
          </w:tcPr>
          <w:p w14:paraId="4D3E7B56">
            <w:pPr>
              <w:jc w:val="center"/>
              <w:rPr>
                <w:rFonts w:ascii="宋体" w:hAnsi="宋体" w:cs="宋体"/>
                <w:color w:val="auto"/>
                <w:sz w:val="24"/>
                <w:highlight w:val="none"/>
              </w:rPr>
            </w:pPr>
          </w:p>
        </w:tc>
        <w:tc>
          <w:tcPr>
            <w:tcW w:w="1955" w:type="dxa"/>
            <w:vAlign w:val="center"/>
          </w:tcPr>
          <w:p w14:paraId="199C1564">
            <w:pPr>
              <w:jc w:val="center"/>
              <w:rPr>
                <w:rFonts w:ascii="宋体" w:hAnsi="宋体" w:cs="宋体"/>
                <w:color w:val="auto"/>
                <w:sz w:val="24"/>
                <w:highlight w:val="none"/>
              </w:rPr>
            </w:pPr>
          </w:p>
        </w:tc>
        <w:tc>
          <w:tcPr>
            <w:tcW w:w="832" w:type="dxa"/>
            <w:vAlign w:val="center"/>
          </w:tcPr>
          <w:p w14:paraId="3E9AEBCD">
            <w:pPr>
              <w:jc w:val="center"/>
              <w:rPr>
                <w:rFonts w:ascii="宋体" w:hAnsi="宋体" w:cs="宋体"/>
                <w:color w:val="auto"/>
                <w:sz w:val="24"/>
                <w:highlight w:val="none"/>
              </w:rPr>
            </w:pPr>
          </w:p>
        </w:tc>
        <w:tc>
          <w:tcPr>
            <w:tcW w:w="831" w:type="dxa"/>
            <w:vAlign w:val="center"/>
          </w:tcPr>
          <w:p w14:paraId="51B2C8B2">
            <w:pPr>
              <w:jc w:val="center"/>
              <w:rPr>
                <w:rFonts w:ascii="宋体" w:hAnsi="宋体" w:cs="宋体"/>
                <w:color w:val="auto"/>
                <w:sz w:val="24"/>
                <w:highlight w:val="none"/>
              </w:rPr>
            </w:pPr>
          </w:p>
        </w:tc>
      </w:tr>
      <w:tr w14:paraId="3692C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FD9F60C">
            <w:pPr>
              <w:jc w:val="center"/>
              <w:rPr>
                <w:rFonts w:ascii="宋体" w:hAnsi="宋体" w:cs="宋体"/>
                <w:color w:val="auto"/>
                <w:sz w:val="24"/>
                <w:highlight w:val="none"/>
              </w:rPr>
            </w:pPr>
          </w:p>
        </w:tc>
        <w:tc>
          <w:tcPr>
            <w:tcW w:w="2120" w:type="dxa"/>
            <w:vAlign w:val="center"/>
          </w:tcPr>
          <w:p w14:paraId="0D892FCB">
            <w:pPr>
              <w:jc w:val="center"/>
              <w:rPr>
                <w:rFonts w:ascii="宋体" w:hAnsi="宋体" w:cs="宋体"/>
                <w:color w:val="auto"/>
                <w:sz w:val="24"/>
                <w:highlight w:val="none"/>
              </w:rPr>
            </w:pPr>
          </w:p>
        </w:tc>
        <w:tc>
          <w:tcPr>
            <w:tcW w:w="1958" w:type="dxa"/>
            <w:vAlign w:val="center"/>
          </w:tcPr>
          <w:p w14:paraId="00B761A7">
            <w:pPr>
              <w:jc w:val="center"/>
              <w:rPr>
                <w:rFonts w:ascii="宋体" w:hAnsi="宋体" w:cs="宋体"/>
                <w:color w:val="auto"/>
                <w:sz w:val="24"/>
                <w:highlight w:val="none"/>
              </w:rPr>
            </w:pPr>
          </w:p>
        </w:tc>
        <w:tc>
          <w:tcPr>
            <w:tcW w:w="1955" w:type="dxa"/>
            <w:vAlign w:val="center"/>
          </w:tcPr>
          <w:p w14:paraId="00D3B554">
            <w:pPr>
              <w:jc w:val="center"/>
              <w:rPr>
                <w:rFonts w:ascii="宋体" w:hAnsi="宋体" w:cs="宋体"/>
                <w:color w:val="auto"/>
                <w:sz w:val="24"/>
                <w:highlight w:val="none"/>
              </w:rPr>
            </w:pPr>
          </w:p>
        </w:tc>
        <w:tc>
          <w:tcPr>
            <w:tcW w:w="832" w:type="dxa"/>
            <w:vAlign w:val="center"/>
          </w:tcPr>
          <w:p w14:paraId="09615E36">
            <w:pPr>
              <w:jc w:val="center"/>
              <w:rPr>
                <w:rFonts w:ascii="宋体" w:hAnsi="宋体" w:cs="宋体"/>
                <w:color w:val="auto"/>
                <w:sz w:val="24"/>
                <w:highlight w:val="none"/>
              </w:rPr>
            </w:pPr>
          </w:p>
        </w:tc>
        <w:tc>
          <w:tcPr>
            <w:tcW w:w="831" w:type="dxa"/>
            <w:vAlign w:val="center"/>
          </w:tcPr>
          <w:p w14:paraId="18CC342A">
            <w:pPr>
              <w:jc w:val="center"/>
              <w:rPr>
                <w:rFonts w:ascii="宋体" w:hAnsi="宋体" w:cs="宋体"/>
                <w:color w:val="auto"/>
                <w:sz w:val="24"/>
                <w:highlight w:val="none"/>
              </w:rPr>
            </w:pPr>
          </w:p>
        </w:tc>
      </w:tr>
      <w:tr w14:paraId="638C1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33BBAB8">
            <w:pPr>
              <w:jc w:val="center"/>
              <w:rPr>
                <w:rFonts w:ascii="宋体" w:hAnsi="宋体" w:cs="宋体"/>
                <w:color w:val="auto"/>
                <w:sz w:val="24"/>
                <w:highlight w:val="none"/>
              </w:rPr>
            </w:pPr>
          </w:p>
        </w:tc>
        <w:tc>
          <w:tcPr>
            <w:tcW w:w="2120" w:type="dxa"/>
            <w:vAlign w:val="center"/>
          </w:tcPr>
          <w:p w14:paraId="181474BB">
            <w:pPr>
              <w:jc w:val="center"/>
              <w:rPr>
                <w:rFonts w:ascii="宋体" w:hAnsi="宋体" w:cs="宋体"/>
                <w:color w:val="auto"/>
                <w:sz w:val="24"/>
                <w:highlight w:val="none"/>
              </w:rPr>
            </w:pPr>
          </w:p>
        </w:tc>
        <w:tc>
          <w:tcPr>
            <w:tcW w:w="1958" w:type="dxa"/>
            <w:vAlign w:val="center"/>
          </w:tcPr>
          <w:p w14:paraId="233B4623">
            <w:pPr>
              <w:jc w:val="center"/>
              <w:rPr>
                <w:rFonts w:ascii="宋体" w:hAnsi="宋体" w:cs="宋体"/>
                <w:color w:val="auto"/>
                <w:sz w:val="24"/>
                <w:highlight w:val="none"/>
              </w:rPr>
            </w:pPr>
          </w:p>
        </w:tc>
        <w:tc>
          <w:tcPr>
            <w:tcW w:w="1955" w:type="dxa"/>
            <w:vAlign w:val="center"/>
          </w:tcPr>
          <w:p w14:paraId="6B1715D6">
            <w:pPr>
              <w:jc w:val="center"/>
              <w:rPr>
                <w:rFonts w:ascii="宋体" w:hAnsi="宋体" w:cs="宋体"/>
                <w:color w:val="auto"/>
                <w:sz w:val="24"/>
                <w:highlight w:val="none"/>
              </w:rPr>
            </w:pPr>
          </w:p>
        </w:tc>
        <w:tc>
          <w:tcPr>
            <w:tcW w:w="832" w:type="dxa"/>
            <w:vAlign w:val="center"/>
          </w:tcPr>
          <w:p w14:paraId="0B1BAE4E">
            <w:pPr>
              <w:jc w:val="center"/>
              <w:rPr>
                <w:rFonts w:ascii="宋体" w:hAnsi="宋体" w:cs="宋体"/>
                <w:color w:val="auto"/>
                <w:sz w:val="24"/>
                <w:highlight w:val="none"/>
              </w:rPr>
            </w:pPr>
          </w:p>
        </w:tc>
        <w:tc>
          <w:tcPr>
            <w:tcW w:w="831" w:type="dxa"/>
            <w:vAlign w:val="center"/>
          </w:tcPr>
          <w:p w14:paraId="7E523F51">
            <w:pPr>
              <w:jc w:val="center"/>
              <w:rPr>
                <w:rFonts w:ascii="宋体" w:hAnsi="宋体" w:cs="宋体"/>
                <w:color w:val="auto"/>
                <w:sz w:val="24"/>
                <w:highlight w:val="none"/>
              </w:rPr>
            </w:pPr>
          </w:p>
        </w:tc>
      </w:tr>
    </w:tbl>
    <w:p w14:paraId="6526432E">
      <w:pPr>
        <w:ind w:firstLine="480" w:firstLineChars="200"/>
        <w:jc w:val="left"/>
        <w:rPr>
          <w:rFonts w:ascii="宋体" w:hAnsi="宋体" w:cs="宋体"/>
          <w:color w:val="auto"/>
          <w:sz w:val="24"/>
          <w:highlight w:val="none"/>
        </w:rPr>
      </w:pPr>
    </w:p>
    <w:p w14:paraId="3F92F283">
      <w:pPr>
        <w:spacing w:line="360" w:lineRule="exact"/>
        <w:jc w:val="left"/>
        <w:rPr>
          <w:rFonts w:ascii="宋体" w:hAnsi="宋体" w:cs="宋体"/>
          <w:color w:val="auto"/>
          <w:sz w:val="24"/>
          <w:highlight w:val="none"/>
        </w:rPr>
      </w:pPr>
      <w:r>
        <w:rPr>
          <w:rFonts w:hint="eastAsia" w:ascii="宋体" w:hAnsi="宋体" w:cs="宋体"/>
          <w:color w:val="auto"/>
          <w:sz w:val="24"/>
          <w:highlight w:val="none"/>
        </w:rPr>
        <w:t>注：</w:t>
      </w:r>
    </w:p>
    <w:p w14:paraId="0B6AC2BD">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31E8167C">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2、商务条款包括但不限于合格供应商条件、服务期限、付款方式、品牌等要求。</w:t>
      </w:r>
    </w:p>
    <w:p w14:paraId="769A01AE">
      <w:pPr>
        <w:pStyle w:val="12"/>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3、技术条款包括但不限于附件</w:t>
      </w:r>
      <w:r>
        <w:rPr>
          <w:rFonts w:hint="eastAsia" w:ascii="宋体" w:hAnsi="宋体" w:cs="宋体"/>
          <w:color w:val="auto"/>
          <w:sz w:val="24"/>
          <w:highlight w:val="none"/>
          <w:lang w:val="en-US" w:eastAsia="zh-CN"/>
        </w:rPr>
        <w:t>六</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用户需求书</w:t>
      </w:r>
      <w:r>
        <w:rPr>
          <w:rFonts w:hint="eastAsia" w:ascii="宋体" w:hAnsi="宋体" w:cs="宋体"/>
          <w:color w:val="auto"/>
          <w:sz w:val="24"/>
          <w:highlight w:val="none"/>
        </w:rPr>
        <w:t>》中的各项技术要求。</w:t>
      </w:r>
    </w:p>
    <w:p w14:paraId="5A5CF63B">
      <w:pPr>
        <w:spacing w:line="360" w:lineRule="exact"/>
        <w:ind w:firstLine="480" w:firstLineChars="200"/>
        <w:jc w:val="left"/>
        <w:rPr>
          <w:rFonts w:ascii="宋体" w:hAnsi="宋体" w:cs="宋体"/>
          <w:color w:val="auto"/>
          <w:sz w:val="24"/>
          <w:highlight w:val="none"/>
        </w:rPr>
      </w:pPr>
    </w:p>
    <w:p w14:paraId="7AE799B6">
      <w:pPr>
        <w:spacing w:line="360" w:lineRule="exact"/>
        <w:ind w:firstLine="480" w:firstLineChars="200"/>
        <w:jc w:val="left"/>
        <w:rPr>
          <w:rFonts w:ascii="宋体" w:hAnsi="宋体" w:cs="宋体"/>
          <w:color w:val="auto"/>
          <w:sz w:val="24"/>
          <w:highlight w:val="none"/>
        </w:rPr>
      </w:pPr>
    </w:p>
    <w:p w14:paraId="6C6DF144">
      <w:pPr>
        <w:spacing w:line="360" w:lineRule="exact"/>
        <w:ind w:firstLine="480" w:firstLineChars="200"/>
        <w:jc w:val="left"/>
        <w:rPr>
          <w:rFonts w:ascii="宋体" w:hAnsi="宋体" w:cs="宋体"/>
          <w:color w:val="auto"/>
          <w:sz w:val="24"/>
          <w:highlight w:val="none"/>
        </w:rPr>
      </w:pPr>
    </w:p>
    <w:p w14:paraId="7C2AAE5F">
      <w:pPr>
        <w:pStyle w:val="12"/>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响应人名称（加盖公章）：</w:t>
      </w:r>
    </w:p>
    <w:p w14:paraId="6D043437">
      <w:pPr>
        <w:pStyle w:val="12"/>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响应人法定代表人或受委托人（签名或盖私章）：</w:t>
      </w:r>
    </w:p>
    <w:p w14:paraId="433EA669">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日      期：</w:t>
      </w:r>
    </w:p>
    <w:p w14:paraId="155B7036">
      <w:pPr>
        <w:pStyle w:val="2"/>
        <w:ind w:left="0" w:leftChars="0" w:firstLine="0" w:firstLineChars="0"/>
        <w:rPr>
          <w:rFonts w:eastAsia="仿宋_GB2312"/>
          <w:color w:val="auto"/>
          <w:sz w:val="32"/>
          <w:szCs w:val="32"/>
          <w:highlight w:val="none"/>
        </w:rPr>
      </w:pPr>
    </w:p>
    <w:bookmarkEnd w:id="19"/>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AE4E8">
    <w:pPr>
      <w:pStyle w:val="17"/>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1217F16">
                <w:pPr>
                  <w:pStyle w:val="1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D0A6A">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CFF6BA"/>
    <w:multiLevelType w:val="singleLevel"/>
    <w:tmpl w:val="BECFF6BA"/>
    <w:lvl w:ilvl="0" w:tentative="0">
      <w:start w:val="1"/>
      <w:numFmt w:val="chineseCounting"/>
      <w:suff w:val="nothing"/>
      <w:lvlText w:val="%1、"/>
      <w:lvlJc w:val="left"/>
      <w:rPr>
        <w:rFonts w:hint="eastAsia"/>
      </w:rPr>
    </w:lvl>
  </w:abstractNum>
  <w:abstractNum w:abstractNumId="1">
    <w:nsid w:val="02BA4E6F"/>
    <w:multiLevelType w:val="multilevel"/>
    <w:tmpl w:val="02BA4E6F"/>
    <w:lvl w:ilvl="0" w:tentative="0">
      <w:start w:val="1"/>
      <w:numFmt w:val="bullet"/>
      <w:pStyle w:val="59"/>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3F4D1D03"/>
    <w:multiLevelType w:val="multilevel"/>
    <w:tmpl w:val="3F4D1D0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099A159"/>
    <w:multiLevelType w:val="singleLevel"/>
    <w:tmpl w:val="6099A159"/>
    <w:lvl w:ilvl="0" w:tentative="0">
      <w:start w:val="1"/>
      <w:numFmt w:val="decimal"/>
      <w:suff w:val="nothing"/>
      <w:lvlText w:val="%1、"/>
      <w:lvlJc w:val="left"/>
      <w:rPr>
        <w:rFonts w:cs="Times New Roman"/>
      </w:rPr>
    </w:lvl>
  </w:abstractNum>
  <w:abstractNum w:abstractNumId="4">
    <w:nsid w:val="68B40337"/>
    <w:multiLevelType w:val="multilevel"/>
    <w:tmpl w:val="68B40337"/>
    <w:lvl w:ilvl="0" w:tentative="0">
      <w:start w:val="1"/>
      <w:numFmt w:val="japaneseCounting"/>
      <w:pStyle w:val="50"/>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WM5ZmE1ZTg2YWQyZjkyNDFjNDRlY2FmM2Y3Yzg0ZDM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2E0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4CF6E29"/>
    <w:rsid w:val="05111DAD"/>
    <w:rsid w:val="059366CF"/>
    <w:rsid w:val="05D00163"/>
    <w:rsid w:val="06F15928"/>
    <w:rsid w:val="077C34B8"/>
    <w:rsid w:val="07A209C4"/>
    <w:rsid w:val="080D26DA"/>
    <w:rsid w:val="08284245"/>
    <w:rsid w:val="086F1260"/>
    <w:rsid w:val="0880226D"/>
    <w:rsid w:val="089F2BDE"/>
    <w:rsid w:val="08BB2505"/>
    <w:rsid w:val="099A07E1"/>
    <w:rsid w:val="0A9B4FED"/>
    <w:rsid w:val="0B0C0A79"/>
    <w:rsid w:val="0B451F6A"/>
    <w:rsid w:val="0BA14D3A"/>
    <w:rsid w:val="0C6F4C8D"/>
    <w:rsid w:val="0D0E0EB6"/>
    <w:rsid w:val="0DE142CB"/>
    <w:rsid w:val="0FDC1CDC"/>
    <w:rsid w:val="10223C48"/>
    <w:rsid w:val="104502E7"/>
    <w:rsid w:val="11A97DFC"/>
    <w:rsid w:val="12475EA9"/>
    <w:rsid w:val="133360BD"/>
    <w:rsid w:val="137F7471"/>
    <w:rsid w:val="146E4633"/>
    <w:rsid w:val="150412EA"/>
    <w:rsid w:val="171438BA"/>
    <w:rsid w:val="17230955"/>
    <w:rsid w:val="172309AA"/>
    <w:rsid w:val="180F5427"/>
    <w:rsid w:val="182770BA"/>
    <w:rsid w:val="18863017"/>
    <w:rsid w:val="18AC6D73"/>
    <w:rsid w:val="1B4716B4"/>
    <w:rsid w:val="1BEE7E74"/>
    <w:rsid w:val="1C08419D"/>
    <w:rsid w:val="1D4D5FFD"/>
    <w:rsid w:val="1EB43554"/>
    <w:rsid w:val="1F7A0970"/>
    <w:rsid w:val="209E2C67"/>
    <w:rsid w:val="21581D11"/>
    <w:rsid w:val="216D1D4D"/>
    <w:rsid w:val="216F32CA"/>
    <w:rsid w:val="22124112"/>
    <w:rsid w:val="225C19C8"/>
    <w:rsid w:val="23F57352"/>
    <w:rsid w:val="249A7996"/>
    <w:rsid w:val="261C543B"/>
    <w:rsid w:val="267E2359"/>
    <w:rsid w:val="26BC7CBC"/>
    <w:rsid w:val="270B17B9"/>
    <w:rsid w:val="27447ED5"/>
    <w:rsid w:val="275F3A77"/>
    <w:rsid w:val="284F0253"/>
    <w:rsid w:val="28644870"/>
    <w:rsid w:val="28941B11"/>
    <w:rsid w:val="2A891206"/>
    <w:rsid w:val="2AC5216B"/>
    <w:rsid w:val="2AE949DF"/>
    <w:rsid w:val="2B2C3F7A"/>
    <w:rsid w:val="2B325AD0"/>
    <w:rsid w:val="2B3B474B"/>
    <w:rsid w:val="2B8D044E"/>
    <w:rsid w:val="2B8E43CA"/>
    <w:rsid w:val="2C016BB8"/>
    <w:rsid w:val="2D77461B"/>
    <w:rsid w:val="2E015014"/>
    <w:rsid w:val="2E400C5F"/>
    <w:rsid w:val="2E5209E3"/>
    <w:rsid w:val="2EB01AFE"/>
    <w:rsid w:val="2F02606D"/>
    <w:rsid w:val="30592C7B"/>
    <w:rsid w:val="30D1119A"/>
    <w:rsid w:val="30F12F4C"/>
    <w:rsid w:val="3112402E"/>
    <w:rsid w:val="313D3E38"/>
    <w:rsid w:val="32207B6B"/>
    <w:rsid w:val="32611BF0"/>
    <w:rsid w:val="33A83294"/>
    <w:rsid w:val="34011E26"/>
    <w:rsid w:val="341B4D23"/>
    <w:rsid w:val="345C5D91"/>
    <w:rsid w:val="35613714"/>
    <w:rsid w:val="358C4411"/>
    <w:rsid w:val="36A81FB2"/>
    <w:rsid w:val="3722158D"/>
    <w:rsid w:val="375E09FC"/>
    <w:rsid w:val="38525FA9"/>
    <w:rsid w:val="39003F1D"/>
    <w:rsid w:val="39276876"/>
    <w:rsid w:val="392B2930"/>
    <w:rsid w:val="3AB56764"/>
    <w:rsid w:val="3AC853CC"/>
    <w:rsid w:val="3B66136D"/>
    <w:rsid w:val="3C582CD8"/>
    <w:rsid w:val="3E094E14"/>
    <w:rsid w:val="3E2546CD"/>
    <w:rsid w:val="3E5874B7"/>
    <w:rsid w:val="40531C58"/>
    <w:rsid w:val="41192D98"/>
    <w:rsid w:val="413E5CD9"/>
    <w:rsid w:val="43425F9D"/>
    <w:rsid w:val="43F465D0"/>
    <w:rsid w:val="442A053D"/>
    <w:rsid w:val="44440739"/>
    <w:rsid w:val="446F65B8"/>
    <w:rsid w:val="44F057A6"/>
    <w:rsid w:val="45A95346"/>
    <w:rsid w:val="46416F41"/>
    <w:rsid w:val="464E48D9"/>
    <w:rsid w:val="467D6748"/>
    <w:rsid w:val="46C4203A"/>
    <w:rsid w:val="470E29AE"/>
    <w:rsid w:val="47946434"/>
    <w:rsid w:val="49CB0CCD"/>
    <w:rsid w:val="4AA610D6"/>
    <w:rsid w:val="4AD618B2"/>
    <w:rsid w:val="4B0C055A"/>
    <w:rsid w:val="4C1B7A56"/>
    <w:rsid w:val="4C610D2E"/>
    <w:rsid w:val="4C8B4A7C"/>
    <w:rsid w:val="4CFC368B"/>
    <w:rsid w:val="4E7D412D"/>
    <w:rsid w:val="4EBE4481"/>
    <w:rsid w:val="4F086AAF"/>
    <w:rsid w:val="5069668A"/>
    <w:rsid w:val="50A83CB2"/>
    <w:rsid w:val="512B42F2"/>
    <w:rsid w:val="5247520B"/>
    <w:rsid w:val="538E5DEC"/>
    <w:rsid w:val="56D076DF"/>
    <w:rsid w:val="56E34736"/>
    <w:rsid w:val="56FB15A3"/>
    <w:rsid w:val="572C3C94"/>
    <w:rsid w:val="57806BBC"/>
    <w:rsid w:val="58963DA7"/>
    <w:rsid w:val="592C3305"/>
    <w:rsid w:val="5A2C7551"/>
    <w:rsid w:val="5A400720"/>
    <w:rsid w:val="5B33669F"/>
    <w:rsid w:val="5B397B76"/>
    <w:rsid w:val="5C072B21"/>
    <w:rsid w:val="5CF4139A"/>
    <w:rsid w:val="5D693C9C"/>
    <w:rsid w:val="5D9D7735"/>
    <w:rsid w:val="5DE973D6"/>
    <w:rsid w:val="5E5E457D"/>
    <w:rsid w:val="5E8D2D21"/>
    <w:rsid w:val="5EBD1212"/>
    <w:rsid w:val="5F1D6CF6"/>
    <w:rsid w:val="5F616FA8"/>
    <w:rsid w:val="5FAD0DCB"/>
    <w:rsid w:val="60C82A21"/>
    <w:rsid w:val="61EE5BEB"/>
    <w:rsid w:val="623F329A"/>
    <w:rsid w:val="62695E27"/>
    <w:rsid w:val="628242DE"/>
    <w:rsid w:val="62BE7007"/>
    <w:rsid w:val="636127C3"/>
    <w:rsid w:val="637528F4"/>
    <w:rsid w:val="6381342F"/>
    <w:rsid w:val="650B601A"/>
    <w:rsid w:val="6541100E"/>
    <w:rsid w:val="654C0BA8"/>
    <w:rsid w:val="664352EB"/>
    <w:rsid w:val="672079BD"/>
    <w:rsid w:val="683E7EE4"/>
    <w:rsid w:val="69356912"/>
    <w:rsid w:val="696610E4"/>
    <w:rsid w:val="6A83721D"/>
    <w:rsid w:val="6AE21101"/>
    <w:rsid w:val="6B4F3B9E"/>
    <w:rsid w:val="6B59484F"/>
    <w:rsid w:val="6BD63153"/>
    <w:rsid w:val="6BFE0B4D"/>
    <w:rsid w:val="6C5B55DC"/>
    <w:rsid w:val="6C920FC8"/>
    <w:rsid w:val="6CAE03DD"/>
    <w:rsid w:val="6CE56E6B"/>
    <w:rsid w:val="6D032DAA"/>
    <w:rsid w:val="6DFD769B"/>
    <w:rsid w:val="6E005A26"/>
    <w:rsid w:val="6E6329C5"/>
    <w:rsid w:val="6EFF345A"/>
    <w:rsid w:val="6F0E41D6"/>
    <w:rsid w:val="6F4F7C8F"/>
    <w:rsid w:val="6FB4540B"/>
    <w:rsid w:val="70C73255"/>
    <w:rsid w:val="71126C39"/>
    <w:rsid w:val="715F328E"/>
    <w:rsid w:val="71610FBE"/>
    <w:rsid w:val="725008FF"/>
    <w:rsid w:val="72760778"/>
    <w:rsid w:val="73034614"/>
    <w:rsid w:val="743104E3"/>
    <w:rsid w:val="74320C3C"/>
    <w:rsid w:val="74513162"/>
    <w:rsid w:val="75431AF8"/>
    <w:rsid w:val="757B75BC"/>
    <w:rsid w:val="76A665D3"/>
    <w:rsid w:val="78BD1F9D"/>
    <w:rsid w:val="79201CE1"/>
    <w:rsid w:val="79B14724"/>
    <w:rsid w:val="7B3E0A41"/>
    <w:rsid w:val="7C323980"/>
    <w:rsid w:val="7CD715B4"/>
    <w:rsid w:val="7D730629"/>
    <w:rsid w:val="7E01395C"/>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5">
    <w:name w:val="heading 1"/>
    <w:basedOn w:val="1"/>
    <w:next w:val="1"/>
    <w:link w:val="29"/>
    <w:qFormat/>
    <w:uiPriority w:val="99"/>
    <w:pPr>
      <w:keepNext/>
      <w:keepLines/>
      <w:spacing w:before="340" w:after="330" w:line="578" w:lineRule="auto"/>
      <w:outlineLvl w:val="0"/>
    </w:pPr>
    <w:rPr>
      <w:b/>
      <w:bCs/>
      <w:kern w:val="44"/>
      <w:sz w:val="44"/>
      <w:szCs w:val="44"/>
    </w:rPr>
  </w:style>
  <w:style w:type="paragraph" w:styleId="6">
    <w:name w:val="heading 2"/>
    <w:basedOn w:val="1"/>
    <w:next w:val="1"/>
    <w:link w:val="30"/>
    <w:qFormat/>
    <w:uiPriority w:val="99"/>
    <w:pPr>
      <w:keepNext/>
      <w:keepLines/>
      <w:spacing w:before="260" w:after="260" w:line="416" w:lineRule="auto"/>
      <w:outlineLvl w:val="1"/>
    </w:pPr>
    <w:rPr>
      <w:rFonts w:ascii="Cambria" w:hAnsi="Cambria"/>
      <w:b/>
      <w:bCs/>
      <w:sz w:val="32"/>
      <w:szCs w:val="32"/>
    </w:rPr>
  </w:style>
  <w:style w:type="paragraph" w:styleId="7">
    <w:name w:val="heading 3"/>
    <w:basedOn w:val="1"/>
    <w:next w:val="1"/>
    <w:link w:val="31"/>
    <w:qFormat/>
    <w:uiPriority w:val="99"/>
    <w:pPr>
      <w:keepNext/>
      <w:keepLines/>
      <w:widowControl/>
      <w:spacing w:before="260" w:after="260" w:line="413" w:lineRule="auto"/>
      <w:outlineLvl w:val="2"/>
    </w:pPr>
    <w:rPr>
      <w:rFonts w:ascii="Calibri" w:hAnsi="Calibri" w:cs="宋体"/>
      <w:b/>
      <w:sz w:val="32"/>
      <w:szCs w:val="22"/>
    </w:rPr>
  </w:style>
  <w:style w:type="paragraph" w:styleId="8">
    <w:name w:val="heading 4"/>
    <w:basedOn w:val="1"/>
    <w:next w:val="1"/>
    <w:link w:val="32"/>
    <w:qFormat/>
    <w:uiPriority w:val="99"/>
    <w:pPr>
      <w:keepNext/>
      <w:keepLines/>
      <w:spacing w:before="280" w:after="290" w:line="376" w:lineRule="auto"/>
      <w:outlineLvl w:val="3"/>
    </w:pPr>
    <w:rPr>
      <w:rFonts w:ascii="Arial" w:hAnsi="Arial" w:eastAsia="黑体"/>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ind w:left="567" w:leftChars="270" w:firstLine="420" w:firstLineChars="200"/>
    </w:pPr>
    <w:rPr>
      <w:color w:val="000000"/>
    </w:rPr>
  </w:style>
  <w:style w:type="paragraph" w:styleId="3">
    <w:name w:val="Body Text Indent"/>
    <w:basedOn w:val="1"/>
    <w:next w:val="4"/>
    <w:qFormat/>
    <w:uiPriority w:val="0"/>
    <w:pPr>
      <w:spacing w:after="120"/>
      <w:ind w:left="420" w:leftChars="200"/>
    </w:pPr>
  </w:style>
  <w:style w:type="paragraph" w:styleId="4">
    <w:name w:val="envelope return"/>
    <w:basedOn w:val="1"/>
    <w:unhideWhenUsed/>
    <w:qFormat/>
    <w:uiPriority w:val="99"/>
    <w:rPr>
      <w:rFonts w:hint="eastAsia" w:ascii="Arial" w:hAnsi="Arial"/>
    </w:rPr>
  </w:style>
  <w:style w:type="paragraph" w:styleId="9">
    <w:name w:val="Normal Indent"/>
    <w:basedOn w:val="1"/>
    <w:link w:val="49"/>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10">
    <w:name w:val="Document Map"/>
    <w:basedOn w:val="1"/>
    <w:link w:val="33"/>
    <w:qFormat/>
    <w:uiPriority w:val="99"/>
    <w:rPr>
      <w:rFonts w:ascii="宋体"/>
      <w:sz w:val="18"/>
      <w:szCs w:val="18"/>
    </w:rPr>
  </w:style>
  <w:style w:type="paragraph" w:styleId="11">
    <w:name w:val="annotation text"/>
    <w:basedOn w:val="1"/>
    <w:link w:val="34"/>
    <w:qFormat/>
    <w:uiPriority w:val="99"/>
    <w:pPr>
      <w:jc w:val="left"/>
    </w:pPr>
  </w:style>
  <w:style w:type="paragraph" w:styleId="12">
    <w:name w:val="Body Text"/>
    <w:basedOn w:val="1"/>
    <w:next w:val="13"/>
    <w:link w:val="35"/>
    <w:qFormat/>
    <w:uiPriority w:val="99"/>
    <w:pPr>
      <w:spacing w:after="120"/>
    </w:pPr>
  </w:style>
  <w:style w:type="paragraph" w:styleId="13">
    <w:name w:val="Body Text First Indent"/>
    <w:basedOn w:val="12"/>
    <w:next w:val="14"/>
    <w:link w:val="39"/>
    <w:qFormat/>
    <w:uiPriority w:val="99"/>
    <w:pPr>
      <w:widowControl/>
      <w:ind w:firstLine="420" w:firstLineChars="100"/>
    </w:pPr>
    <w:rPr>
      <w:rFonts w:ascii="Calibri" w:hAnsi="Calibri" w:cs="宋体"/>
      <w:szCs w:val="22"/>
    </w:rPr>
  </w:style>
  <w:style w:type="paragraph" w:customStyle="1" w:styleId="14">
    <w:name w:val="样式 正文首行缩进 + 首行缩进:  1 字符"/>
    <w:basedOn w:val="1"/>
    <w:next w:val="1"/>
    <w:qFormat/>
    <w:uiPriority w:val="0"/>
    <w:pPr>
      <w:ind w:firstLine="200" w:firstLineChars="200"/>
    </w:pPr>
    <w:rPr>
      <w:rFonts w:cs="宋体"/>
    </w:rPr>
  </w:style>
  <w:style w:type="paragraph" w:styleId="15">
    <w:name w:val="Plain Text"/>
    <w:basedOn w:val="1"/>
    <w:link w:val="51"/>
    <w:qFormat/>
    <w:uiPriority w:val="99"/>
    <w:pPr>
      <w:tabs>
        <w:tab w:val="left" w:pos="-105"/>
      </w:tabs>
      <w:spacing w:line="440" w:lineRule="exact"/>
      <w:ind w:right="-147" w:rightChars="-70"/>
      <w:outlineLvl w:val="2"/>
    </w:pPr>
    <w:rPr>
      <w:rFonts w:ascii="宋体" w:hAnsi="Courier New"/>
      <w:sz w:val="24"/>
      <w:szCs w:val="21"/>
    </w:rPr>
  </w:style>
  <w:style w:type="paragraph" w:styleId="16">
    <w:name w:val="Balloon Text"/>
    <w:basedOn w:val="1"/>
    <w:link w:val="36"/>
    <w:qFormat/>
    <w:uiPriority w:val="99"/>
    <w:rPr>
      <w:sz w:val="18"/>
      <w:szCs w:val="18"/>
    </w:rPr>
  </w:style>
  <w:style w:type="paragraph" w:styleId="17">
    <w:name w:val="footer"/>
    <w:basedOn w:val="1"/>
    <w:link w:val="37"/>
    <w:qFormat/>
    <w:uiPriority w:val="99"/>
    <w:pPr>
      <w:tabs>
        <w:tab w:val="center" w:pos="4153"/>
        <w:tab w:val="right" w:pos="8306"/>
      </w:tabs>
      <w:snapToGrid w:val="0"/>
      <w:jc w:val="left"/>
    </w:pPr>
    <w:rPr>
      <w:sz w:val="18"/>
      <w:szCs w:val="18"/>
    </w:rPr>
  </w:style>
  <w:style w:type="paragraph" w:styleId="18">
    <w:name w:val="header"/>
    <w:basedOn w:val="1"/>
    <w:link w:val="38"/>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20">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1">
    <w:name w:val="annotation subject"/>
    <w:basedOn w:val="11"/>
    <w:next w:val="11"/>
    <w:link w:val="56"/>
    <w:semiHidden/>
    <w:qFormat/>
    <w:uiPriority w:val="99"/>
    <w:rPr>
      <w:b/>
      <w:bCs/>
    </w:rPr>
  </w:style>
  <w:style w:type="table" w:styleId="23">
    <w:name w:val="Table Grid"/>
    <w:basedOn w:val="22"/>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locked/>
    <w:uiPriority w:val="22"/>
    <w:rPr>
      <w:b/>
    </w:rPr>
  </w:style>
  <w:style w:type="character" w:styleId="26">
    <w:name w:val="Hyperlink"/>
    <w:basedOn w:val="24"/>
    <w:qFormat/>
    <w:uiPriority w:val="99"/>
    <w:rPr>
      <w:rFonts w:cs="Times New Roman"/>
      <w:color w:val="0000FF"/>
      <w:u w:val="single"/>
    </w:rPr>
  </w:style>
  <w:style w:type="character" w:styleId="27">
    <w:name w:val="annotation reference"/>
    <w:basedOn w:val="24"/>
    <w:qFormat/>
    <w:uiPriority w:val="99"/>
    <w:rPr>
      <w:rFonts w:cs="Times New Roman"/>
      <w:sz w:val="21"/>
      <w:szCs w:val="21"/>
    </w:rPr>
  </w:style>
  <w:style w:type="paragraph" w:customStyle="1" w:styleId="28">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9">
    <w:name w:val="标题 1 Char"/>
    <w:basedOn w:val="24"/>
    <w:link w:val="5"/>
    <w:qFormat/>
    <w:locked/>
    <w:uiPriority w:val="99"/>
    <w:rPr>
      <w:rFonts w:ascii="Times New Roman" w:hAnsi="Times New Roman" w:eastAsia="宋体" w:cs="Times New Roman"/>
      <w:b/>
      <w:bCs/>
      <w:kern w:val="44"/>
      <w:sz w:val="44"/>
      <w:szCs w:val="44"/>
    </w:rPr>
  </w:style>
  <w:style w:type="character" w:customStyle="1" w:styleId="30">
    <w:name w:val="标题 2 Char"/>
    <w:basedOn w:val="24"/>
    <w:link w:val="6"/>
    <w:qFormat/>
    <w:locked/>
    <w:uiPriority w:val="99"/>
    <w:rPr>
      <w:rFonts w:ascii="Cambria" w:hAnsi="Cambria" w:eastAsia="宋体" w:cs="Times New Roman"/>
      <w:b/>
      <w:bCs/>
      <w:kern w:val="2"/>
      <w:sz w:val="32"/>
      <w:szCs w:val="32"/>
    </w:rPr>
  </w:style>
  <w:style w:type="character" w:customStyle="1" w:styleId="31">
    <w:name w:val="标题 3 Char"/>
    <w:basedOn w:val="24"/>
    <w:link w:val="7"/>
    <w:qFormat/>
    <w:locked/>
    <w:uiPriority w:val="99"/>
    <w:rPr>
      <w:rFonts w:eastAsia="宋体" w:cs="Times New Roman"/>
      <w:b/>
      <w:sz w:val="32"/>
    </w:rPr>
  </w:style>
  <w:style w:type="character" w:customStyle="1" w:styleId="32">
    <w:name w:val="标题 4 Char"/>
    <w:basedOn w:val="24"/>
    <w:link w:val="8"/>
    <w:qFormat/>
    <w:locked/>
    <w:uiPriority w:val="99"/>
    <w:rPr>
      <w:rFonts w:ascii="Arial" w:hAnsi="Arial" w:eastAsia="黑体" w:cs="Times New Roman"/>
      <w:b/>
      <w:bCs/>
      <w:kern w:val="2"/>
      <w:sz w:val="28"/>
      <w:szCs w:val="28"/>
    </w:rPr>
  </w:style>
  <w:style w:type="character" w:customStyle="1" w:styleId="33">
    <w:name w:val="文档结构图 Char"/>
    <w:basedOn w:val="24"/>
    <w:link w:val="10"/>
    <w:qFormat/>
    <w:locked/>
    <w:uiPriority w:val="99"/>
    <w:rPr>
      <w:rFonts w:ascii="宋体" w:hAnsi="Times New Roman" w:eastAsia="宋体" w:cs="Times New Roman"/>
      <w:kern w:val="2"/>
      <w:sz w:val="18"/>
      <w:szCs w:val="18"/>
    </w:rPr>
  </w:style>
  <w:style w:type="character" w:customStyle="1" w:styleId="34">
    <w:name w:val="批注文字 Char"/>
    <w:basedOn w:val="24"/>
    <w:link w:val="11"/>
    <w:qFormat/>
    <w:locked/>
    <w:uiPriority w:val="99"/>
    <w:rPr>
      <w:rFonts w:ascii="Times New Roman" w:hAnsi="Times New Roman" w:cs="Times New Roman"/>
      <w:kern w:val="2"/>
      <w:sz w:val="21"/>
    </w:rPr>
  </w:style>
  <w:style w:type="character" w:customStyle="1" w:styleId="35">
    <w:name w:val="正文文本 Char"/>
    <w:basedOn w:val="24"/>
    <w:link w:val="12"/>
    <w:qFormat/>
    <w:locked/>
    <w:uiPriority w:val="99"/>
    <w:rPr>
      <w:rFonts w:ascii="Times New Roman" w:hAnsi="Times New Roman" w:eastAsia="宋体" w:cs="Times New Roman"/>
      <w:sz w:val="20"/>
      <w:szCs w:val="20"/>
    </w:rPr>
  </w:style>
  <w:style w:type="character" w:customStyle="1" w:styleId="36">
    <w:name w:val="批注框文本 Char"/>
    <w:basedOn w:val="24"/>
    <w:link w:val="16"/>
    <w:qFormat/>
    <w:locked/>
    <w:uiPriority w:val="99"/>
    <w:rPr>
      <w:rFonts w:ascii="Times New Roman" w:hAnsi="Times New Roman" w:eastAsia="宋体" w:cs="Times New Roman"/>
      <w:kern w:val="2"/>
      <w:sz w:val="18"/>
      <w:szCs w:val="18"/>
    </w:rPr>
  </w:style>
  <w:style w:type="character" w:customStyle="1" w:styleId="37">
    <w:name w:val="页脚 Char"/>
    <w:basedOn w:val="24"/>
    <w:link w:val="17"/>
    <w:qFormat/>
    <w:locked/>
    <w:uiPriority w:val="99"/>
    <w:rPr>
      <w:rFonts w:ascii="Times New Roman" w:hAnsi="Times New Roman" w:eastAsia="宋体" w:cs="Times New Roman"/>
      <w:sz w:val="18"/>
      <w:szCs w:val="18"/>
    </w:rPr>
  </w:style>
  <w:style w:type="character" w:customStyle="1" w:styleId="38">
    <w:name w:val="页眉 Char"/>
    <w:basedOn w:val="24"/>
    <w:link w:val="18"/>
    <w:qFormat/>
    <w:locked/>
    <w:uiPriority w:val="99"/>
    <w:rPr>
      <w:rFonts w:ascii="Times New Roman" w:hAnsi="Times New Roman" w:eastAsia="宋体" w:cs="Times New Roman"/>
      <w:sz w:val="18"/>
      <w:szCs w:val="18"/>
    </w:rPr>
  </w:style>
  <w:style w:type="character" w:customStyle="1" w:styleId="39">
    <w:name w:val="正文首行缩进 Char"/>
    <w:basedOn w:val="35"/>
    <w:link w:val="13"/>
    <w:qFormat/>
    <w:locked/>
    <w:uiPriority w:val="99"/>
    <w:rPr>
      <w:rFonts w:ascii="Times New Roman" w:hAnsi="Times New Roman" w:eastAsia="宋体" w:cs="Times New Roman"/>
      <w:sz w:val="20"/>
      <w:szCs w:val="20"/>
    </w:rPr>
  </w:style>
  <w:style w:type="character" w:customStyle="1" w:styleId="40">
    <w:name w:val="正文缩进2格 Char"/>
    <w:link w:val="41"/>
    <w:qFormat/>
    <w:locked/>
    <w:uiPriority w:val="99"/>
    <w:rPr>
      <w:rFonts w:ascii="仿宋_GB2312" w:hAnsi="宋体" w:eastAsia="仿宋_GB2312"/>
      <w:sz w:val="31"/>
    </w:rPr>
  </w:style>
  <w:style w:type="paragraph" w:customStyle="1" w:styleId="41">
    <w:name w:val="正文缩进2格"/>
    <w:basedOn w:val="1"/>
    <w:link w:val="40"/>
    <w:qFormat/>
    <w:uiPriority w:val="99"/>
    <w:pPr>
      <w:spacing w:line="600" w:lineRule="exact"/>
      <w:ind w:firstLine="639" w:firstLineChars="206"/>
    </w:pPr>
    <w:rPr>
      <w:rFonts w:ascii="仿宋_GB2312" w:hAnsi="宋体" w:eastAsia="仿宋_GB2312"/>
      <w:kern w:val="0"/>
      <w:sz w:val="31"/>
      <w:szCs w:val="31"/>
    </w:rPr>
  </w:style>
  <w:style w:type="paragraph" w:customStyle="1" w:styleId="42">
    <w:name w:val="列出段落1"/>
    <w:basedOn w:val="1"/>
    <w:qFormat/>
    <w:uiPriority w:val="99"/>
    <w:pPr>
      <w:ind w:firstLine="420" w:firstLineChars="200"/>
    </w:pPr>
  </w:style>
  <w:style w:type="paragraph" w:customStyle="1" w:styleId="43">
    <w:name w:val="列出段落2"/>
    <w:basedOn w:val="1"/>
    <w:qFormat/>
    <w:uiPriority w:val="99"/>
    <w:pPr>
      <w:ind w:firstLine="420" w:firstLineChars="200"/>
    </w:pPr>
  </w:style>
  <w:style w:type="paragraph" w:styleId="44">
    <w:name w:val="List Paragraph"/>
    <w:basedOn w:val="1"/>
    <w:qFormat/>
    <w:uiPriority w:val="99"/>
    <w:pPr>
      <w:ind w:firstLine="420" w:firstLineChars="200"/>
    </w:pPr>
  </w:style>
  <w:style w:type="character" w:customStyle="1" w:styleId="45">
    <w:name w:val="fontstyle01"/>
    <w:basedOn w:val="24"/>
    <w:qFormat/>
    <w:uiPriority w:val="99"/>
    <w:rPr>
      <w:rFonts w:ascii="仿宋" w:hAnsi="仿宋" w:eastAsia="仿宋" w:cs="Times New Roman"/>
      <w:color w:val="000000"/>
      <w:sz w:val="28"/>
      <w:szCs w:val="28"/>
    </w:rPr>
  </w:style>
  <w:style w:type="character" w:customStyle="1" w:styleId="46">
    <w:name w:val="！正文 Char"/>
    <w:link w:val="47"/>
    <w:qFormat/>
    <w:locked/>
    <w:uiPriority w:val="99"/>
    <w:rPr>
      <w:rFonts w:ascii="Arial" w:hAnsi="Arial"/>
      <w:sz w:val="24"/>
    </w:rPr>
  </w:style>
  <w:style w:type="paragraph" w:customStyle="1" w:styleId="47">
    <w:name w:val="！正文"/>
    <w:basedOn w:val="1"/>
    <w:link w:val="46"/>
    <w:qFormat/>
    <w:uiPriority w:val="99"/>
    <w:pPr>
      <w:spacing w:line="360" w:lineRule="auto"/>
      <w:ind w:firstLine="200" w:firstLineChars="200"/>
    </w:pPr>
    <w:rPr>
      <w:rFonts w:ascii="Arial" w:hAnsi="Arial" w:eastAsia="等线"/>
      <w:kern w:val="0"/>
      <w:sz w:val="24"/>
      <w:szCs w:val="24"/>
    </w:rPr>
  </w:style>
  <w:style w:type="paragraph" w:customStyle="1" w:styleId="48">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9">
    <w:name w:val="正文缩进 Char"/>
    <w:link w:val="9"/>
    <w:qFormat/>
    <w:locked/>
    <w:uiPriority w:val="99"/>
    <w:rPr>
      <w:sz w:val="24"/>
    </w:rPr>
  </w:style>
  <w:style w:type="paragraph" w:customStyle="1" w:styleId="50">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51">
    <w:name w:val="纯文本 Char"/>
    <w:basedOn w:val="24"/>
    <w:link w:val="15"/>
    <w:qFormat/>
    <w:locked/>
    <w:uiPriority w:val="99"/>
    <w:rPr>
      <w:rFonts w:ascii="宋体" w:hAnsi="Courier New" w:eastAsia="宋体" w:cs="Times New Roman"/>
      <w:kern w:val="2"/>
      <w:sz w:val="21"/>
      <w:szCs w:val="21"/>
    </w:rPr>
  </w:style>
  <w:style w:type="character" w:customStyle="1" w:styleId="52">
    <w:name w:val="未处理的提及1"/>
    <w:basedOn w:val="24"/>
    <w:semiHidden/>
    <w:qFormat/>
    <w:uiPriority w:val="99"/>
    <w:rPr>
      <w:rFonts w:cs="Times New Roman"/>
      <w:color w:val="605E5C"/>
      <w:shd w:val="clear" w:color="auto" w:fill="E1DFDD"/>
    </w:rPr>
  </w:style>
  <w:style w:type="paragraph" w:customStyle="1" w:styleId="53">
    <w:name w:val="样式"/>
    <w:basedOn w:val="1"/>
    <w:next w:val="44"/>
    <w:qFormat/>
    <w:uiPriority w:val="99"/>
    <w:pPr>
      <w:ind w:firstLine="420" w:firstLineChars="200"/>
    </w:pPr>
    <w:rPr>
      <w:rFonts w:ascii="Calibri" w:hAnsi="Calibri"/>
      <w:szCs w:val="22"/>
    </w:rPr>
  </w:style>
  <w:style w:type="character" w:customStyle="1" w:styleId="54">
    <w:name w:val="Body Text Indent 2 Char Char"/>
    <w:link w:val="55"/>
    <w:qFormat/>
    <w:locked/>
    <w:uiPriority w:val="99"/>
  </w:style>
  <w:style w:type="paragraph" w:customStyle="1" w:styleId="55">
    <w:name w:val="正文文本缩进 21"/>
    <w:basedOn w:val="1"/>
    <w:link w:val="54"/>
    <w:qFormat/>
    <w:uiPriority w:val="99"/>
    <w:pPr>
      <w:adjustRightInd w:val="0"/>
      <w:spacing w:line="480" w:lineRule="auto"/>
      <w:ind w:firstLine="540"/>
    </w:pPr>
    <w:rPr>
      <w:rFonts w:ascii="Calibri" w:hAnsi="Calibri" w:eastAsia="等线"/>
      <w:kern w:val="0"/>
      <w:sz w:val="20"/>
    </w:rPr>
  </w:style>
  <w:style w:type="character" w:customStyle="1" w:styleId="56">
    <w:name w:val="批注主题 Char"/>
    <w:basedOn w:val="34"/>
    <w:link w:val="21"/>
    <w:semiHidden/>
    <w:qFormat/>
    <w:locked/>
    <w:uiPriority w:val="99"/>
    <w:rPr>
      <w:rFonts w:ascii="Times New Roman" w:hAnsi="Times New Roman" w:eastAsia="宋体" w:cs="Times New Roman"/>
      <w:b/>
      <w:bCs/>
      <w:kern w:val="2"/>
      <w:sz w:val="21"/>
    </w:rPr>
  </w:style>
  <w:style w:type="character" w:customStyle="1" w:styleId="57">
    <w:name w:val="标题 4 字符"/>
    <w:basedOn w:val="24"/>
    <w:semiHidden/>
    <w:qFormat/>
    <w:uiPriority w:val="99"/>
    <w:rPr>
      <w:rFonts w:ascii="Cambria" w:hAnsi="Cambria" w:eastAsia="宋体" w:cs="Times New Roman"/>
      <w:b/>
      <w:bCs/>
      <w:kern w:val="2"/>
      <w:sz w:val="28"/>
      <w:szCs w:val="28"/>
    </w:rPr>
  </w:style>
  <w:style w:type="paragraph" w:customStyle="1" w:styleId="58">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9">
    <w:name w:val="致远要点"/>
    <w:basedOn w:val="44"/>
    <w:link w:val="60"/>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0">
    <w:name w:val="致远要点 字符"/>
    <w:basedOn w:val="24"/>
    <w:link w:val="59"/>
    <w:qFormat/>
    <w:locked/>
    <w:uiPriority w:val="99"/>
    <w:rPr>
      <w:rFonts w:ascii="黑体" w:hAnsi="黑体" w:eastAsia="黑体" w:cs="宋体"/>
      <w:kern w:val="2"/>
      <w:sz w:val="22"/>
      <w:szCs w:val="22"/>
    </w:rPr>
  </w:style>
  <w:style w:type="paragraph" w:customStyle="1" w:styleId="61">
    <w:name w:val="SANGFOR_6_正文"/>
    <w:basedOn w:val="1"/>
    <w:qFormat/>
    <w:uiPriority w:val="99"/>
    <w:pPr>
      <w:spacing w:line="360" w:lineRule="auto"/>
    </w:pPr>
    <w:rPr>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31</Pages>
  <Words>10247</Words>
  <Characters>10696</Characters>
  <Lines>4</Lines>
  <Paragraphs>7</Paragraphs>
  <TotalTime>98</TotalTime>
  <ScaleCrop>false</ScaleCrop>
  <LinksUpToDate>false</LinksUpToDate>
  <CharactersWithSpaces>11028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86138</dc:creator>
  <cp:lastModifiedBy>LV</cp:lastModifiedBy>
  <cp:lastPrinted>2020-06-08T08:11:00Z</cp:lastPrinted>
  <dcterms:modified xsi:type="dcterms:W3CDTF">2025-12-24T03:27:49Z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9C06B65765CB4A429B468F47EEFAB073</vt:lpwstr>
  </property>
  <property fmtid="{D5CDD505-2E9C-101B-9397-08002B2CF9AE}" pid="4" name="KSOTemplateDocerSaveRecord">
    <vt:lpwstr>eyJoZGlkIjoiNzNiNTM0Mjk3Nzk4YWY0OGVhMjUyNDM2Y2U4ZDA1ZTYiLCJ1c2VySWQiOiI5NDA4NDc3MTEifQ==</vt:lpwstr>
  </property>
</Properties>
</file>