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E466">
      <w:pPr>
        <w:adjustRightInd w:val="0"/>
        <w:snapToGrid w:val="0"/>
        <w:spacing w:before="120" w:after="120" w:line="276" w:lineRule="auto"/>
        <w:jc w:val="center"/>
        <w:rPr>
          <w:rFonts w:eastAsia="华文中宋"/>
          <w:color w:val="auto"/>
          <w:sz w:val="44"/>
          <w:szCs w:val="44"/>
          <w:highlight w:val="none"/>
        </w:rPr>
      </w:pPr>
      <w:bookmarkStart w:id="20" w:name="_GoBack"/>
      <w:r>
        <w:rPr>
          <w:rFonts w:hint="eastAsia" w:eastAsia="华文中宋"/>
          <w:color w:val="auto"/>
          <w:sz w:val="44"/>
          <w:szCs w:val="44"/>
          <w:highlight w:val="none"/>
        </w:rPr>
        <w:t>询价文件</w:t>
      </w:r>
    </w:p>
    <w:p w14:paraId="15D4891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煤气过热炉助燃风机安装及系统设备大修</w:t>
      </w:r>
      <w:r>
        <w:rPr>
          <w:rFonts w:hint="eastAsia" w:eastAsia="仿宋_GB2312"/>
          <w:color w:val="auto"/>
          <w:sz w:val="32"/>
          <w:szCs w:val="32"/>
          <w:highlight w:val="none"/>
          <w:u w:val="single"/>
          <w:lang w:val="en-US" w:eastAsia="zh-CN"/>
        </w:rPr>
        <w:t>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52FAED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ED44260">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阳江开能余热发电煤气过热炉助燃风机安装及系统设备大修项目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（采购项目编号：</w:t>
      </w:r>
      <w:r>
        <w:rPr>
          <w:rFonts w:hint="eastAsia" w:eastAsia="仿宋_GB2312"/>
          <w:color w:val="auto"/>
          <w:sz w:val="32"/>
          <w:szCs w:val="32"/>
          <w:highlight w:val="none"/>
          <w:u w:val="single"/>
          <w:lang w:val="en-US" w:eastAsia="zh-CN"/>
        </w:rPr>
        <w:t>YJ</w:t>
      </w:r>
      <w:r>
        <w:rPr>
          <w:rFonts w:hint="eastAsia" w:eastAsia="仿宋_GB2312"/>
          <w:color w:val="auto"/>
          <w:sz w:val="32"/>
          <w:szCs w:val="32"/>
          <w:highlight w:val="none"/>
          <w:u w:val="single"/>
        </w:rPr>
        <w:t>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）-GC-0</w:t>
      </w:r>
      <w:r>
        <w:rPr>
          <w:rFonts w:hint="eastAsia" w:eastAsia="仿宋_GB2312"/>
          <w:color w:val="auto"/>
          <w:sz w:val="32"/>
          <w:szCs w:val="32"/>
          <w:highlight w:val="none"/>
          <w:u w:val="single"/>
          <w:lang w:val="en-US" w:eastAsia="zh-CN"/>
        </w:rPr>
        <w:t>10-1</w:t>
      </w:r>
      <w:r>
        <w:rPr>
          <w:rFonts w:hint="eastAsia" w:eastAsia="仿宋_GB2312"/>
          <w:color w:val="auto"/>
          <w:sz w:val="32"/>
          <w:szCs w:val="32"/>
          <w:highlight w:val="none"/>
          <w:u w:val="single"/>
        </w:rPr>
        <w:t>）；</w:t>
      </w:r>
    </w:p>
    <w:p w14:paraId="6D406A4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机组系统设备过热炉、环冷炉、AOD炉汽化烟道余热锅炉、循环水冷却等设备检修施工项目，包括：助燃风机的安装、过热炉减温器的安装、流量计的更换、管道更换、光纤更换、阀门研磨、设备检修等内容。</w:t>
      </w:r>
    </w:p>
    <w:p w14:paraId="63B7A262">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广东省阳江市高新区港口工业区海港二横路一号阳江开能环保能源有限公司</w:t>
      </w:r>
      <w:r>
        <w:rPr>
          <w:rFonts w:hint="eastAsia" w:eastAsia="仿宋_GB2312"/>
          <w:color w:val="auto"/>
          <w:sz w:val="32"/>
          <w:szCs w:val="32"/>
          <w:highlight w:val="none"/>
          <w:u w:val="single"/>
        </w:rPr>
        <w:t>；</w:t>
      </w:r>
    </w:p>
    <w:p w14:paraId="612F200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w:t>
      </w:r>
      <w:r>
        <w:rPr>
          <w:rFonts w:hint="eastAsia" w:eastAsia="仿宋_GB2312"/>
          <w:color w:val="auto"/>
          <w:sz w:val="32"/>
          <w:szCs w:val="32"/>
          <w:highlight w:val="none"/>
          <w:u w:val="single"/>
        </w:rPr>
        <w:t>总工期限定30天完成，施工预估时间范围在202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1</w:t>
      </w:r>
      <w:r>
        <w:rPr>
          <w:rFonts w:hint="eastAsia" w:eastAsia="仿宋_GB2312"/>
          <w:color w:val="auto"/>
          <w:sz w:val="32"/>
          <w:szCs w:val="32"/>
          <w:highlight w:val="none"/>
          <w:u w:val="single"/>
        </w:rPr>
        <w:t>月</w:t>
      </w:r>
      <w:r>
        <w:rPr>
          <w:rFonts w:hint="eastAsia" w:eastAsia="仿宋_GB2312"/>
          <w:color w:val="auto"/>
          <w:sz w:val="32"/>
          <w:szCs w:val="32"/>
          <w:highlight w:val="none"/>
          <w:u w:val="single"/>
          <w:lang w:val="en-US" w:eastAsia="zh-CN"/>
        </w:rPr>
        <w:t>8</w:t>
      </w:r>
      <w:r>
        <w:rPr>
          <w:rFonts w:hint="eastAsia" w:eastAsia="仿宋_GB2312"/>
          <w:color w:val="auto"/>
          <w:sz w:val="32"/>
          <w:szCs w:val="32"/>
          <w:highlight w:val="none"/>
          <w:u w:val="single"/>
        </w:rPr>
        <w:t>日至202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年2月9日期间内，具体开工日期以采购人正式通知为准</w:t>
      </w:r>
      <w:r>
        <w:rPr>
          <w:rFonts w:hint="eastAsia" w:eastAsia="仿宋_GB2312"/>
          <w:color w:val="auto"/>
          <w:sz w:val="32"/>
          <w:szCs w:val="32"/>
          <w:highlight w:val="none"/>
          <w:u w:val="single"/>
          <w:lang w:val="en-US" w:eastAsia="zh-CN"/>
        </w:rPr>
        <w:t>。</w:t>
      </w:r>
    </w:p>
    <w:p w14:paraId="01F21C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B6EE2E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56665BA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0DAC442">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20E5553">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发电厂项目检修的</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个</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u w:val="single"/>
          <w:lang w:val="en-US" w:eastAsia="zh-CN"/>
        </w:rPr>
        <w:t> 发电厂项目检修</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2BF9F8F2">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34A30AD7">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7243BAE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8B72B9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w:t>
      </w:r>
      <w:r>
        <w:rPr>
          <w:rFonts w:hint="eastAsia" w:eastAsia="仿宋_GB2312"/>
          <w:color w:val="auto"/>
          <w:sz w:val="32"/>
          <w:szCs w:val="32"/>
          <w:highlight w:val="none"/>
          <w:u w:val="single"/>
          <w:lang w:val="en-US" w:eastAsia="zh-CN"/>
        </w:rPr>
        <w:t>二《报价函及清单》以及附件六《阳江开能余热发电煤气过热炉助燃风机安装及系统设备大修项目施工技术规范书》</w:t>
      </w:r>
      <w:r>
        <w:rPr>
          <w:rFonts w:hint="eastAsia" w:eastAsia="仿宋_GB2312"/>
          <w:color w:val="auto"/>
          <w:sz w:val="32"/>
          <w:szCs w:val="32"/>
          <w:highlight w:val="none"/>
        </w:rPr>
        <w:t>。响应人须仔细</w:t>
      </w:r>
      <w:r>
        <w:rPr>
          <w:rFonts w:hint="eastAsia" w:eastAsia="仿宋_GB2312"/>
          <w:color w:val="auto"/>
          <w:sz w:val="32"/>
          <w:szCs w:val="32"/>
          <w:highlight w:val="none"/>
          <w:lang w:val="en-US" w:eastAsia="zh-CN"/>
        </w:rPr>
        <w:t>了解清单及技术规范所列内容</w:t>
      </w:r>
      <w:r>
        <w:rPr>
          <w:rFonts w:hint="eastAsia" w:eastAsia="仿宋_GB2312"/>
          <w:color w:val="auto"/>
          <w:sz w:val="32"/>
          <w:szCs w:val="32"/>
          <w:highlight w:val="none"/>
        </w:rPr>
        <w:t>，因未详细了解造成报价项目遗漏，由响应人自行负责。</w:t>
      </w:r>
    </w:p>
    <w:p w14:paraId="77F916D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696641">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工期</w:t>
      </w:r>
      <w:r>
        <w:rPr>
          <w:rFonts w:hint="eastAsia" w:eastAsia="仿宋_GB2312"/>
          <w:color w:val="auto"/>
          <w:sz w:val="32"/>
          <w:szCs w:val="32"/>
          <w:highlight w:val="none"/>
          <w:u w:val="single"/>
          <w:lang w:val="en-US" w:eastAsia="zh-CN"/>
        </w:rPr>
        <w:t>要求</w:t>
      </w:r>
      <w:r>
        <w:rPr>
          <w:rFonts w:hint="eastAsia" w:eastAsia="仿宋_GB2312"/>
          <w:color w:val="auto"/>
          <w:sz w:val="32"/>
          <w:szCs w:val="32"/>
          <w:highlight w:val="none"/>
          <w:u w:val="single"/>
        </w:rPr>
        <w:t>：</w:t>
      </w:r>
      <w:r>
        <w:rPr>
          <w:rFonts w:hint="eastAsia" w:eastAsia="仿宋_GB2312"/>
          <w:color w:val="auto"/>
          <w:sz w:val="32"/>
          <w:szCs w:val="32"/>
          <w:highlight w:val="none"/>
          <w:u w:val="single"/>
        </w:rPr>
        <w:t>总工期限定30天完成，施工预估时间范围在202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1</w:t>
      </w:r>
      <w:r>
        <w:rPr>
          <w:rFonts w:hint="eastAsia" w:eastAsia="仿宋_GB2312"/>
          <w:color w:val="auto"/>
          <w:sz w:val="32"/>
          <w:szCs w:val="32"/>
          <w:highlight w:val="none"/>
          <w:u w:val="single"/>
        </w:rPr>
        <w:t>月</w:t>
      </w:r>
      <w:r>
        <w:rPr>
          <w:rFonts w:hint="eastAsia" w:eastAsia="仿宋_GB2312"/>
          <w:color w:val="auto"/>
          <w:sz w:val="32"/>
          <w:szCs w:val="32"/>
          <w:highlight w:val="none"/>
          <w:u w:val="single"/>
          <w:lang w:val="en-US" w:eastAsia="zh-CN"/>
        </w:rPr>
        <w:t>8</w:t>
      </w:r>
      <w:r>
        <w:rPr>
          <w:rFonts w:hint="eastAsia" w:eastAsia="仿宋_GB2312"/>
          <w:color w:val="auto"/>
          <w:sz w:val="32"/>
          <w:szCs w:val="32"/>
          <w:highlight w:val="none"/>
          <w:u w:val="single"/>
        </w:rPr>
        <w:t>日至202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年2月9日期间内，具体开工日期以采购人正式通知为准</w:t>
      </w:r>
      <w:r>
        <w:rPr>
          <w:rFonts w:hint="eastAsia" w:eastAsia="仿宋_GB2312"/>
          <w:color w:val="auto"/>
          <w:sz w:val="32"/>
          <w:szCs w:val="32"/>
          <w:highlight w:val="none"/>
          <w:u w:val="single"/>
          <w:lang w:val="en-US" w:eastAsia="zh-CN"/>
        </w:rPr>
        <w:t>。</w:t>
      </w:r>
    </w:p>
    <w:p w14:paraId="20D82F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58E08638">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预付款：合</w:t>
      </w:r>
      <w:r>
        <w:rPr>
          <w:rFonts w:hint="eastAsia" w:eastAsia="仿宋_GB2312"/>
          <w:color w:val="auto"/>
          <w:sz w:val="32"/>
          <w:szCs w:val="32"/>
          <w:highlight w:val="none"/>
          <w:u w:val="none"/>
          <w:lang w:val="en-US" w:eastAsia="zh-CN"/>
        </w:rPr>
        <w:t>同签订</w:t>
      </w:r>
      <w:r>
        <w:rPr>
          <w:rFonts w:hint="eastAsia" w:eastAsia="仿宋_GB2312"/>
          <w:color w:val="auto"/>
          <w:sz w:val="32"/>
          <w:szCs w:val="32"/>
          <w:highlight w:val="none"/>
          <w:lang w:val="en-US" w:eastAsia="zh-CN"/>
        </w:rPr>
        <w:t>生效后，成交人开出预付款等额发票，支付合同总额的20%预付款。</w:t>
      </w:r>
    </w:p>
    <w:p w14:paraId="6F4DE7C5">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完工</w:t>
      </w:r>
      <w:r>
        <w:rPr>
          <w:rFonts w:hint="eastAsia" w:eastAsia="仿宋_GB2312"/>
          <w:color w:val="auto"/>
          <w:sz w:val="32"/>
          <w:szCs w:val="32"/>
          <w:highlight w:val="none"/>
          <w:lang w:val="en-US" w:eastAsia="zh-CN"/>
        </w:rPr>
        <w:t>验收</w:t>
      </w:r>
      <w:r>
        <w:rPr>
          <w:rFonts w:hint="eastAsia" w:eastAsia="仿宋_GB2312"/>
          <w:color w:val="auto"/>
          <w:sz w:val="32"/>
          <w:szCs w:val="32"/>
          <w:highlight w:val="none"/>
        </w:rPr>
        <w:t>款：</w:t>
      </w:r>
      <w:r>
        <w:rPr>
          <w:rFonts w:hint="eastAsia" w:eastAsia="仿宋_GB2312"/>
          <w:color w:val="auto"/>
          <w:sz w:val="32"/>
          <w:szCs w:val="32"/>
          <w:highlight w:val="none"/>
          <w:lang w:val="en-US" w:eastAsia="zh-CN"/>
        </w:rPr>
        <w:t>项目完工验收合格，采购人收到成交人提供合同剩余金额发票后，支付至合同结算总价的97%</w:t>
      </w:r>
      <w:r>
        <w:rPr>
          <w:rFonts w:hint="eastAsia" w:eastAsia="仿宋_GB2312"/>
          <w:color w:val="auto"/>
          <w:sz w:val="32"/>
          <w:szCs w:val="32"/>
          <w:highlight w:val="none"/>
        </w:rPr>
        <w:t>。</w:t>
      </w:r>
    </w:p>
    <w:p w14:paraId="2829C07D">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质保金</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本项目质量保证金为最终结算价款的3%，报价单位对施工内容予以质保期质量担保，质保期为自项目验收合格后满一年</w:t>
      </w:r>
      <w:r>
        <w:rPr>
          <w:rFonts w:hint="eastAsia" w:eastAsia="仿宋_GB2312"/>
          <w:color w:val="auto"/>
          <w:sz w:val="32"/>
          <w:szCs w:val="32"/>
          <w:highlight w:val="none"/>
        </w:rPr>
        <w:t>。质保期到期后的一个月内，成交人向采购人申请支付相应质保金。</w:t>
      </w:r>
    </w:p>
    <w:p w14:paraId="5A1CE5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EF26A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none"/>
        </w:rPr>
        <w:t>人民币</w:t>
      </w:r>
      <w:r>
        <w:rPr>
          <w:rFonts w:eastAsia="仿宋_GB2312"/>
          <w:color w:val="auto"/>
          <w:sz w:val="32"/>
          <w:szCs w:val="32"/>
          <w:highlight w:val="none"/>
          <w:u w:val="single"/>
        </w:rPr>
        <w:t>¥</w:t>
      </w:r>
      <w:r>
        <w:rPr>
          <w:rFonts w:hint="eastAsia" w:eastAsia="仿宋_GB2312"/>
          <w:color w:val="auto"/>
          <w:sz w:val="32"/>
          <w:szCs w:val="32"/>
          <w:highlight w:val="none"/>
          <w:u w:val="single"/>
          <w:lang w:val="en-US" w:eastAsia="zh-CN"/>
        </w:rPr>
        <w:t>360000.00元</w:t>
      </w:r>
      <w:r>
        <w:rPr>
          <w:rFonts w:hint="eastAsia" w:eastAsia="仿宋_GB2312"/>
          <w:color w:val="auto"/>
          <w:sz w:val="32"/>
          <w:szCs w:val="32"/>
          <w:highlight w:val="none"/>
          <w:u w:val="single"/>
        </w:rPr>
        <w:t>整（大写：</w:t>
      </w:r>
      <w:r>
        <w:rPr>
          <w:rFonts w:hint="eastAsia" w:eastAsia="仿宋_GB2312"/>
          <w:color w:val="auto"/>
          <w:sz w:val="32"/>
          <w:szCs w:val="32"/>
          <w:highlight w:val="none"/>
          <w:u w:val="single"/>
          <w:lang w:val="en-US" w:eastAsia="zh-CN"/>
        </w:rPr>
        <w:t>叁拾陆万</w:t>
      </w:r>
      <w:r>
        <w:rPr>
          <w:rFonts w:hint="eastAsia" w:eastAsia="仿宋_GB2312"/>
          <w:color w:val="auto"/>
          <w:sz w:val="32"/>
          <w:szCs w:val="32"/>
          <w:highlight w:val="none"/>
          <w:u w:val="single"/>
        </w:rPr>
        <w:t>元整）</w:t>
      </w:r>
      <w:r>
        <w:rPr>
          <w:rFonts w:hint="eastAsia" w:eastAsia="仿宋_GB2312"/>
          <w:color w:val="auto"/>
          <w:sz w:val="32"/>
          <w:szCs w:val="32"/>
          <w:highlight w:val="none"/>
        </w:rPr>
        <w:t>（含税）。</w:t>
      </w:r>
    </w:p>
    <w:p w14:paraId="41F904C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固定单价暂定总价的形式，承包内容为</w:t>
      </w:r>
      <w:r>
        <w:rPr>
          <w:rFonts w:hint="eastAsia" w:eastAsia="仿宋_GB2312"/>
          <w:color w:val="auto"/>
          <w:sz w:val="32"/>
          <w:szCs w:val="32"/>
          <w:highlight w:val="none"/>
          <w:u w:val="single"/>
        </w:rPr>
        <w:t>附件</w:t>
      </w:r>
      <w:r>
        <w:rPr>
          <w:rFonts w:hint="eastAsia" w:eastAsia="仿宋_GB2312"/>
          <w:color w:val="auto"/>
          <w:sz w:val="32"/>
          <w:szCs w:val="32"/>
          <w:highlight w:val="none"/>
          <w:u w:val="single"/>
          <w:lang w:val="en-US" w:eastAsia="zh-CN"/>
        </w:rPr>
        <w:t>二《报价函及清单》以及附件六《阳江开能余热发电煤气过热炉助燃风机安装及系统设备大修项目技术规范书》的全部内容</w:t>
      </w:r>
      <w:r>
        <w:rPr>
          <w:rFonts w:hint="eastAsia" w:eastAsia="仿宋_GB2312"/>
          <w:color w:val="auto"/>
          <w:sz w:val="32"/>
          <w:szCs w:val="32"/>
          <w:highlight w:val="none"/>
        </w:rPr>
        <w:t>。</w:t>
      </w:r>
    </w:p>
    <w:p w14:paraId="4EE5010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B2175C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28D038EB">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771E6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50C8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4F5888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0B5B28E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FF7CB99">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60528BF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05844CC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3C4EE96">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59F34015">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5、投标人未到场证明（如需）</w:t>
      </w:r>
    </w:p>
    <w:p w14:paraId="14536C5E">
      <w:pPr>
        <w:pStyle w:val="6"/>
        <w:ind w:left="0" w:leftChars="0" w:firstLine="640" w:firstLineChars="200"/>
        <w:rPr>
          <w:color w:val="auto"/>
          <w:highlight w:val="none"/>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146C369">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、符合“响应人资格要求”对应的证明资料；</w:t>
      </w:r>
    </w:p>
    <w:p w14:paraId="3311524F">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8、技术实施方案</w:t>
      </w:r>
    </w:p>
    <w:p w14:paraId="079058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9</w:t>
      </w:r>
      <w:r>
        <w:rPr>
          <w:rFonts w:hint="eastAsia" w:eastAsia="仿宋_GB2312"/>
          <w:color w:val="auto"/>
          <w:sz w:val="32"/>
          <w:szCs w:val="32"/>
          <w:highlight w:val="none"/>
        </w:rPr>
        <w:t>、响应人认为需要提供的其他资料。</w:t>
      </w:r>
    </w:p>
    <w:p w14:paraId="448FB00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BEACE7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4F960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37AC395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48D4D8E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柒仟贰佰元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720</w:t>
      </w:r>
      <w:r>
        <w:rPr>
          <w:rFonts w:hint="eastAsia" w:eastAsia="仿宋_GB2312"/>
          <w:color w:val="auto"/>
          <w:sz w:val="32"/>
          <w:szCs w:val="32"/>
          <w:highlight w:val="none"/>
          <w:u w:val="single"/>
        </w:rPr>
        <w:t>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4EAF5FD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17A09DE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2396C6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9766B2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ABE4BF9">
      <w:pPr>
        <w:spacing w:line="600" w:lineRule="exact"/>
        <w:ind w:firstLine="640" w:firstLineChars="200"/>
        <w:rPr>
          <w:color w:val="auto"/>
          <w:highlight w:val="none"/>
        </w:rPr>
      </w:pPr>
      <w:r>
        <w:rPr>
          <w:rFonts w:hint="eastAsia" w:eastAsia="仿宋_GB2312"/>
          <w:color w:val="auto"/>
          <w:sz w:val="32"/>
          <w:szCs w:val="32"/>
          <w:highlight w:val="none"/>
          <w:u w:val="single"/>
        </w:rPr>
        <w:t>2、成交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的报价保证金在本项目合同签订后自动转为履约保证金，作为成交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在履约过程中违约金或罚款的扣罚来源之一，履约保证金申请返还时间为采购人</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最终验收合格后，成交单位没有任何违约的情况下由成交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提交退款申请，收到成交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申请后30个日历日内，采购人一次性无息退回。</w:t>
      </w:r>
    </w:p>
    <w:p w14:paraId="1C31280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2B0E06F">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1、接收响应文件截止及开标时间：</w:t>
      </w:r>
      <w:r>
        <w:rPr>
          <w:rFonts w:hint="eastAsia" w:eastAsia="仿宋_GB2312"/>
          <w:b/>
          <w:color w:val="auto"/>
          <w:sz w:val="32"/>
          <w:szCs w:val="32"/>
          <w:highlight w:val="none"/>
          <w:u w:val="single"/>
        </w:rPr>
        <w:t>202</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u w:val="single"/>
        </w:rPr>
        <w:t>  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u w:val="single"/>
        </w:rPr>
        <w:t>  月</w:t>
      </w:r>
      <w:r>
        <w:rPr>
          <w:rFonts w:hint="eastAsia" w:eastAsia="仿宋_GB2312"/>
          <w:b/>
          <w:color w:val="auto"/>
          <w:sz w:val="32"/>
          <w:szCs w:val="32"/>
          <w:highlight w:val="none"/>
          <w:u w:val="single"/>
          <w:lang w:val="en-US" w:eastAsia="zh-CN"/>
        </w:rPr>
        <w:t>30</w:t>
      </w:r>
      <w:r>
        <w:rPr>
          <w:rFonts w:hint="eastAsia" w:eastAsia="仿宋_GB2312"/>
          <w:b/>
          <w:color w:val="auto"/>
          <w:sz w:val="32"/>
          <w:szCs w:val="32"/>
          <w:highlight w:val="none"/>
          <w:u w:val="single"/>
        </w:rPr>
        <w:t> 日（星期 </w:t>
      </w:r>
      <w:r>
        <w:rPr>
          <w:rFonts w:hint="eastAsia" w:eastAsia="仿宋_GB2312"/>
          <w:b/>
          <w:color w:val="auto"/>
          <w:sz w:val="32"/>
          <w:szCs w:val="32"/>
          <w:highlight w:val="none"/>
          <w:u w:val="single"/>
          <w:lang w:val="en-US" w:eastAsia="zh-CN"/>
        </w:rPr>
        <w:t>二</w:t>
      </w:r>
      <w:r>
        <w:rPr>
          <w:rFonts w:hint="eastAsia" w:eastAsia="仿宋_GB2312"/>
          <w:b/>
          <w:color w:val="auto"/>
          <w:sz w:val="32"/>
          <w:szCs w:val="32"/>
          <w:highlight w:val="none"/>
          <w:u w:val="single"/>
        </w:rPr>
        <w:t>）下午15:00</w:t>
      </w:r>
      <w:r>
        <w:rPr>
          <w:rFonts w:hint="eastAsia" w:eastAsia="仿宋_GB2312"/>
          <w:b/>
          <w:color w:val="auto"/>
          <w:sz w:val="32"/>
          <w:szCs w:val="32"/>
          <w:highlight w:val="none"/>
        </w:rPr>
        <w:t>。</w:t>
      </w:r>
    </w:p>
    <w:p w14:paraId="45C615FB">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2、本项目原则上需要现场递交报价文件，如报价人因自身原因无法到现场开标，可选择邮寄递交报价文件。</w:t>
      </w:r>
    </w:p>
    <w:p w14:paraId="606B6403">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1CE3920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4714CF41">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报价人现场递交报价文件地址：广东省东莞市东城街道八一路1号机关二号大院九号楼102会议室，逾期无效。</w:t>
      </w:r>
    </w:p>
    <w:p w14:paraId="4E4B8EC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04FA0D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627297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37C97E17">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收件地址：广东省东莞市东城街道八一路1号机关二号大院九号楼102会议室</w:t>
      </w:r>
    </w:p>
    <w:p w14:paraId="7EC510EE">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联系人：吕先生</w:t>
      </w:r>
    </w:p>
    <w:p w14:paraId="3FADAC06">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联系电话：15692019575</w:t>
      </w:r>
    </w:p>
    <w:p w14:paraId="6989FB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1BDD179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786DE4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949B15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42B39413">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AF7C10C">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59821103">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D7D8FFA">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2EC64797">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00261092">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8D01ECB">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7551152B">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 xml:space="preserve"> </w:t>
      </w:r>
      <w:r>
        <w:rPr>
          <w:rFonts w:eastAsia="仿宋_GB2312"/>
          <w:color w:val="auto"/>
          <w:sz w:val="32"/>
          <w:szCs w:val="32"/>
          <w:highlight w:val="none"/>
        </w:rPr>
        <w:t xml:space="preserve">  </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开能环保能源有限公司</w:t>
      </w:r>
    </w:p>
    <w:p w14:paraId="5FA7EA2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24</w:t>
      </w:r>
      <w:r>
        <w:rPr>
          <w:rFonts w:hint="eastAsia" w:eastAsia="仿宋_GB2312"/>
          <w:color w:val="auto"/>
          <w:sz w:val="32"/>
          <w:szCs w:val="32"/>
          <w:highlight w:val="none"/>
        </w:rPr>
        <w:t>日</w:t>
      </w:r>
    </w:p>
    <w:bookmarkEnd w:id="20"/>
    <w:p w14:paraId="4F8A599E">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4488CD58">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DFF64B">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F50C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2FFFA2E">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4C53F65">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2C860BB">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B2332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9FAE8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12B7A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FB643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阳江开能余热发电煤气过热炉助燃风机安装及系统设备大修项目</w:t>
            </w:r>
          </w:p>
        </w:tc>
      </w:tr>
      <w:tr w14:paraId="707C3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69F2C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12ACBFF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B0B6FD">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广东省阳江市高新区港口工业区海港二横路一号阳江开能环保能源有限公司</w:t>
            </w:r>
          </w:p>
        </w:tc>
      </w:tr>
      <w:tr w14:paraId="088FA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2956F6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524C810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B8C4AE3">
            <w:pPr>
              <w:spacing w:line="500" w:lineRule="exact"/>
              <w:jc w:val="left"/>
              <w:rPr>
                <w:rFonts w:hint="default" w:eastAsia="仿宋_GB2312"/>
                <w:color w:val="auto"/>
                <w:sz w:val="32"/>
                <w:szCs w:val="32"/>
                <w:highlight w:val="none"/>
                <w:lang w:val="en-US" w:eastAsia="zh-CN"/>
              </w:rPr>
            </w:pPr>
            <w:r>
              <w:rPr>
                <w:rFonts w:hint="eastAsia" w:eastAsia="仿宋_GB2312"/>
                <w:color w:val="FF0000"/>
                <w:sz w:val="32"/>
                <w:szCs w:val="32"/>
                <w:highlight w:val="none"/>
                <w:u w:val="none"/>
                <w:lang w:val="en-US" w:eastAsia="zh-CN"/>
              </w:rPr>
              <w:t>总工期限定30天完成，施工预估时间范围在2026年1月8日至2026年2月9日期间内，具体开工日期以采购人正式通知为准。</w:t>
            </w:r>
          </w:p>
        </w:tc>
      </w:tr>
      <w:tr w14:paraId="6E06F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AE74F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076A5CB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615E37F">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1C7D27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925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413B9D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04B835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柒仟贰佰</w:t>
            </w:r>
            <w:r>
              <w:rPr>
                <w:rFonts w:hint="eastAsia" w:eastAsia="仿宋_GB2312"/>
                <w:color w:val="auto"/>
                <w:sz w:val="30"/>
                <w:szCs w:val="30"/>
                <w:highlight w:val="none"/>
                <w:u w:val="single"/>
              </w:rPr>
              <w:t>元整（小写￥</w:t>
            </w:r>
            <w:r>
              <w:rPr>
                <w:rFonts w:hint="eastAsia" w:eastAsia="仿宋_GB2312"/>
                <w:color w:val="auto"/>
                <w:sz w:val="30"/>
                <w:szCs w:val="30"/>
                <w:highlight w:val="none"/>
                <w:u w:val="single"/>
                <w:lang w:val="en-US" w:eastAsia="zh-CN"/>
              </w:rPr>
              <w:t>72</w:t>
            </w:r>
            <w:r>
              <w:rPr>
                <w:rFonts w:hint="eastAsia" w:eastAsia="仿宋_GB2312"/>
                <w:color w:val="auto"/>
                <w:sz w:val="30"/>
                <w:szCs w:val="30"/>
                <w:highlight w:val="none"/>
                <w:u w:val="single"/>
              </w:rPr>
              <w:t>00.00元）至以下投标保</w:t>
            </w:r>
            <w:r>
              <w:rPr>
                <w:rFonts w:hint="eastAsia" w:eastAsia="仿宋_GB2312"/>
                <w:color w:val="auto"/>
                <w:sz w:val="32"/>
                <w:szCs w:val="32"/>
                <w:highlight w:val="none"/>
                <w:u w:val="single"/>
              </w:rPr>
              <w:t>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540EF9D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421F7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 xml:space="preserve">开能环保能源有限公司；                            </w:t>
            </w:r>
          </w:p>
          <w:p w14:paraId="2F5824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开户银行：广发银行股份有限公司阳江分行；                         </w:t>
            </w:r>
          </w:p>
          <w:p w14:paraId="0127D6C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银行帐号：9550 8802 0063 4500 171。         </w:t>
            </w:r>
          </w:p>
        </w:tc>
      </w:tr>
      <w:tr w14:paraId="5C799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F654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60FF24E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B82D9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671CB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1F56E3">
            <w:pPr>
              <w:spacing w:line="360" w:lineRule="auto"/>
              <w:jc w:val="center"/>
              <w:rPr>
                <w:rFonts w:eastAsia="仿宋_GB2312"/>
                <w:color w:val="auto"/>
                <w:sz w:val="32"/>
                <w:szCs w:val="32"/>
                <w:highlight w:val="none"/>
              </w:rPr>
            </w:pPr>
          </w:p>
        </w:tc>
        <w:tc>
          <w:tcPr>
            <w:tcW w:w="2275" w:type="dxa"/>
            <w:vAlign w:val="center"/>
          </w:tcPr>
          <w:p w14:paraId="5D5C86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65E8A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F3DE4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CAB09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34302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8257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4E216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24BD3B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C478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BED799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1873FB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B1A1B8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1D2D1C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43060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D746C1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19B00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79E35D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7718D3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E4FECE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17C90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B04B3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3C940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0682E52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528C30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CA19F5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8B60A7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8E583C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A98D1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22436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7003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B993E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E5E68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A1FAAA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275A3F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DAF6C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B3502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DF6A280">
      <w:pPr>
        <w:rPr>
          <w:rFonts w:eastAsia="仿宋_GB2312"/>
          <w:color w:val="auto"/>
          <w:sz w:val="32"/>
          <w:szCs w:val="32"/>
          <w:highlight w:val="none"/>
        </w:rPr>
      </w:pPr>
    </w:p>
    <w:p w14:paraId="1BDB387C">
      <w:pPr>
        <w:rPr>
          <w:rFonts w:eastAsia="仿宋_GB2312"/>
          <w:color w:val="auto"/>
          <w:sz w:val="32"/>
          <w:szCs w:val="32"/>
          <w:highlight w:val="none"/>
        </w:rPr>
      </w:pPr>
    </w:p>
    <w:p w14:paraId="2CAE8442">
      <w:pPr>
        <w:pStyle w:val="23"/>
        <w:ind w:left="0" w:leftChars="0" w:firstLine="0" w:firstLineChars="0"/>
        <w:rPr>
          <w:rFonts w:eastAsia="仿宋_GB2312"/>
          <w:color w:val="auto"/>
          <w:sz w:val="32"/>
          <w:szCs w:val="32"/>
          <w:highlight w:val="none"/>
        </w:rPr>
      </w:pPr>
    </w:p>
    <w:p w14:paraId="5FBE09F9">
      <w:pPr>
        <w:pStyle w:val="23"/>
        <w:ind w:left="0" w:leftChars="0" w:firstLine="0" w:firstLineChars="0"/>
        <w:rPr>
          <w:rFonts w:eastAsia="仿宋_GB2312"/>
          <w:color w:val="auto"/>
          <w:sz w:val="32"/>
          <w:szCs w:val="32"/>
          <w:highlight w:val="none"/>
        </w:rPr>
      </w:pPr>
    </w:p>
    <w:p w14:paraId="4552C879">
      <w:pPr>
        <w:pStyle w:val="45"/>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0CE97E4">
      <w:pPr>
        <w:jc w:val="center"/>
        <w:rPr>
          <w:rFonts w:eastAsia="华文中宋"/>
          <w:color w:val="auto"/>
          <w:sz w:val="44"/>
          <w:szCs w:val="44"/>
          <w:highlight w:val="none"/>
        </w:rPr>
      </w:pPr>
      <w:r>
        <w:rPr>
          <w:rFonts w:hint="eastAsia" w:eastAsia="华文中宋"/>
          <w:color w:val="auto"/>
          <w:sz w:val="44"/>
          <w:szCs w:val="44"/>
          <w:highlight w:val="none"/>
        </w:rPr>
        <w:t>报价函</w:t>
      </w:r>
    </w:p>
    <w:p w14:paraId="528F44A7">
      <w:pPr>
        <w:ind w:firstLine="560"/>
        <w:jc w:val="center"/>
        <w:rPr>
          <w:rFonts w:eastAsia="仿宋_GB2312"/>
          <w:color w:val="auto"/>
          <w:sz w:val="32"/>
          <w:szCs w:val="32"/>
          <w:highlight w:val="none"/>
        </w:rPr>
      </w:pPr>
    </w:p>
    <w:p w14:paraId="29E6CD0B">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A969A0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阳江开能余热发电煤气过热炉助燃风机安装及系统设备大修项目</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7C960603">
      <w:pPr>
        <w:rPr>
          <w:rFonts w:eastAsia="仿宋_GB2312"/>
          <w:color w:val="auto"/>
          <w:sz w:val="32"/>
          <w:szCs w:val="32"/>
          <w:highlight w:val="none"/>
        </w:rPr>
      </w:pPr>
    </w:p>
    <w:p w14:paraId="26629FEE">
      <w:pPr>
        <w:rPr>
          <w:rFonts w:eastAsia="仿宋_GB2312"/>
          <w:color w:val="auto"/>
          <w:sz w:val="32"/>
          <w:szCs w:val="32"/>
          <w:highlight w:val="none"/>
        </w:rPr>
      </w:pPr>
    </w:p>
    <w:p w14:paraId="4A7AFD3A">
      <w:pPr>
        <w:rPr>
          <w:rFonts w:eastAsia="仿宋_GB2312"/>
          <w:color w:val="auto"/>
          <w:sz w:val="32"/>
          <w:szCs w:val="32"/>
          <w:highlight w:val="none"/>
        </w:rPr>
      </w:pPr>
    </w:p>
    <w:p w14:paraId="2188D3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F2B2E66">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3E63770">
      <w:pPr>
        <w:jc w:val="left"/>
        <w:rPr>
          <w:rFonts w:eastAsia="仿宋_GB2312"/>
          <w:color w:val="auto"/>
          <w:sz w:val="32"/>
          <w:szCs w:val="32"/>
          <w:highlight w:val="none"/>
        </w:rPr>
      </w:pPr>
      <w:r>
        <w:rPr>
          <w:rFonts w:hint="eastAsia" w:eastAsia="仿宋_GB2312"/>
          <w:color w:val="auto"/>
          <w:sz w:val="32"/>
          <w:szCs w:val="32"/>
          <w:highlight w:val="none"/>
        </w:rPr>
        <w:t>联系人：</w:t>
      </w:r>
    </w:p>
    <w:p w14:paraId="654E44AE">
      <w:pPr>
        <w:jc w:val="left"/>
        <w:rPr>
          <w:rFonts w:eastAsia="仿宋_GB2312"/>
          <w:color w:val="auto"/>
          <w:sz w:val="32"/>
          <w:szCs w:val="32"/>
          <w:highlight w:val="none"/>
        </w:rPr>
      </w:pPr>
      <w:r>
        <w:rPr>
          <w:rFonts w:hint="eastAsia" w:eastAsia="仿宋_GB2312"/>
          <w:color w:val="auto"/>
          <w:sz w:val="32"/>
          <w:szCs w:val="32"/>
          <w:highlight w:val="none"/>
        </w:rPr>
        <w:t>联系电话：</w:t>
      </w:r>
    </w:p>
    <w:p w14:paraId="32C33707">
      <w:pPr>
        <w:jc w:val="left"/>
        <w:rPr>
          <w:rFonts w:hint="eastAsia" w:eastAsia="仿宋_GB2312"/>
          <w:color w:val="auto"/>
          <w:sz w:val="32"/>
          <w:szCs w:val="32"/>
          <w:highlight w:val="none"/>
          <w:lang w:eastAsia="zh-CN"/>
        </w:rPr>
      </w:pPr>
      <w:r>
        <w:rPr>
          <w:rFonts w:hint="eastAsia" w:eastAsia="仿宋_GB2312"/>
          <w:color w:val="auto"/>
          <w:sz w:val="32"/>
          <w:szCs w:val="32"/>
          <w:highlight w:val="none"/>
        </w:rPr>
        <w:t>日期</w:t>
      </w:r>
      <w:r>
        <w:rPr>
          <w:rFonts w:hint="eastAsia" w:eastAsia="仿宋_GB2312"/>
          <w:color w:val="auto"/>
          <w:sz w:val="32"/>
          <w:szCs w:val="32"/>
          <w:highlight w:val="none"/>
          <w:lang w:eastAsia="zh-CN"/>
        </w:rPr>
        <w:t>：</w:t>
      </w:r>
    </w:p>
    <w:p w14:paraId="15CCDF3D">
      <w:pPr>
        <w:rPr>
          <w:color w:val="auto"/>
          <w:highlight w:val="none"/>
        </w:rPr>
      </w:pPr>
    </w:p>
    <w:p w14:paraId="14163D9C">
      <w:pPr>
        <w:pStyle w:val="10"/>
        <w:rPr>
          <w:rFonts w:eastAsia="仿宋_GB2312"/>
          <w:color w:val="auto"/>
          <w:sz w:val="32"/>
          <w:szCs w:val="32"/>
          <w:highlight w:val="none"/>
        </w:rPr>
      </w:pPr>
    </w:p>
    <w:p w14:paraId="3D907687">
      <w:pPr>
        <w:ind w:firstLine="3600" w:firstLineChars="1200"/>
        <w:jc w:val="both"/>
        <w:rPr>
          <w:rFonts w:eastAsia="仿宋_GB2312"/>
          <w:color w:val="auto"/>
          <w:sz w:val="30"/>
          <w:szCs w:val="30"/>
          <w:highlight w:val="none"/>
        </w:rPr>
      </w:pPr>
      <w:r>
        <w:rPr>
          <w:rFonts w:hint="eastAsia" w:eastAsia="华文中宋"/>
          <w:color w:val="auto"/>
          <w:sz w:val="30"/>
          <w:szCs w:val="30"/>
          <w:highlight w:val="none"/>
        </w:rPr>
        <w:t>报价清单</w:t>
      </w:r>
    </w:p>
    <w:tbl>
      <w:tblPr>
        <w:tblStyle w:val="24"/>
        <w:tblW w:w="1013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2"/>
        <w:gridCol w:w="1971"/>
        <w:gridCol w:w="2636"/>
        <w:gridCol w:w="957"/>
        <w:gridCol w:w="957"/>
        <w:gridCol w:w="1013"/>
        <w:gridCol w:w="1155"/>
        <w:gridCol w:w="884"/>
      </w:tblGrid>
      <w:tr w14:paraId="1507F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trPr>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E95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D960">
            <w:pPr>
              <w:keepNext w:val="0"/>
              <w:keepLines w:val="0"/>
              <w:widowControl/>
              <w:suppressLineNumbers w:val="0"/>
              <w:jc w:val="center"/>
              <w:textAlignment w:val="center"/>
              <w:rPr>
                <w:rFonts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施工项目名称</w:t>
            </w:r>
          </w:p>
        </w:tc>
        <w:tc>
          <w:tcPr>
            <w:tcW w:w="2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5625D">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施工材料准备及要求</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5AD7">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单位</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0188">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数量</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C7F5">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A4DC">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总价（元）</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B231">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备注</w:t>
            </w:r>
          </w:p>
        </w:tc>
      </w:tr>
      <w:tr w14:paraId="7698F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F14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97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279AE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8台AOD炉增加检修平台制作安装</w:t>
            </w:r>
          </w:p>
        </w:tc>
        <w:tc>
          <w:tcPr>
            <w:tcW w:w="263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8C22F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1200*1500，包平台、栏杆、简易门 （主材料由采购人负责，辅材由响应人负责）</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019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E4F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76C0">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C5C3">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033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平台承重不小于6KN/㎡</w:t>
            </w:r>
          </w:p>
        </w:tc>
      </w:tr>
      <w:tr w14:paraId="136D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74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92E065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主蒸汽流量计更换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F2658D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碳钢 dn400 1个（采购人提供）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210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54A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6D92">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AA3D">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8E68">
            <w:pPr>
              <w:jc w:val="center"/>
              <w:rPr>
                <w:rFonts w:hint="eastAsia" w:ascii="微软雅黑" w:hAnsi="微软雅黑" w:eastAsia="微软雅黑" w:cs="微软雅黑"/>
                <w:i w:val="0"/>
                <w:iCs w:val="0"/>
                <w:color w:val="auto"/>
                <w:sz w:val="20"/>
                <w:szCs w:val="20"/>
                <w:highlight w:val="none"/>
                <w:u w:val="none"/>
              </w:rPr>
            </w:pPr>
          </w:p>
        </w:tc>
      </w:tr>
      <w:tr w14:paraId="518F9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A93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E1026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1-3#冷却塔风筒压板更换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A69A8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镀锌钢板120*60*10/183块；镀锌丝杆、M16*70 8.8级/183套；水泥、沙（钢板、丝杆由采购人提供，水泥与沙由响应人供货）</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D77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37C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D361A">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73A4">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A97D">
            <w:pPr>
              <w:jc w:val="center"/>
              <w:rPr>
                <w:rFonts w:hint="eastAsia" w:ascii="微软雅黑" w:hAnsi="微软雅黑" w:eastAsia="微软雅黑" w:cs="微软雅黑"/>
                <w:i w:val="0"/>
                <w:iCs w:val="0"/>
                <w:color w:val="auto"/>
                <w:sz w:val="20"/>
                <w:szCs w:val="20"/>
                <w:highlight w:val="none"/>
                <w:u w:val="none"/>
              </w:rPr>
            </w:pPr>
          </w:p>
        </w:tc>
      </w:tr>
      <w:tr w14:paraId="27F08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F10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2B2C22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过热炉本体疏水管更换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8F3FC7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DN20，长度80米左右（钢管由采购人提供）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A81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868E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000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3604">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6FB0">
            <w:pPr>
              <w:jc w:val="center"/>
              <w:rPr>
                <w:rFonts w:hint="eastAsia" w:ascii="微软雅黑" w:hAnsi="微软雅黑" w:eastAsia="微软雅黑" w:cs="微软雅黑"/>
                <w:i w:val="0"/>
                <w:iCs w:val="0"/>
                <w:color w:val="auto"/>
                <w:sz w:val="20"/>
                <w:szCs w:val="20"/>
                <w:highlight w:val="none"/>
                <w:u w:val="none"/>
              </w:rPr>
            </w:pPr>
          </w:p>
        </w:tc>
      </w:tr>
      <w:tr w14:paraId="5F0C6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E9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072E5AB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过热炉给水管更换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7F976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   30米（钢管由采购人提供）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159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10E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BDA1">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EC0F">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1DDD5">
            <w:pPr>
              <w:jc w:val="center"/>
              <w:rPr>
                <w:rFonts w:hint="eastAsia" w:ascii="微软雅黑" w:hAnsi="微软雅黑" w:eastAsia="微软雅黑" w:cs="微软雅黑"/>
                <w:i w:val="0"/>
                <w:iCs w:val="0"/>
                <w:color w:val="auto"/>
                <w:sz w:val="20"/>
                <w:szCs w:val="20"/>
                <w:highlight w:val="none"/>
                <w:u w:val="none"/>
              </w:rPr>
            </w:pPr>
          </w:p>
        </w:tc>
      </w:tr>
      <w:tr w14:paraId="30283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EE4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DA0C1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过热炉减温器更换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36C8FCB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1台  （按厂家设计要求安装焊接，减温器由采购人提供）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275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E48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C9E2">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D0F5">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702C">
            <w:pPr>
              <w:jc w:val="center"/>
              <w:rPr>
                <w:rFonts w:hint="eastAsia" w:ascii="微软雅黑" w:hAnsi="微软雅黑" w:eastAsia="微软雅黑" w:cs="微软雅黑"/>
                <w:i w:val="0"/>
                <w:iCs w:val="0"/>
                <w:color w:val="auto"/>
                <w:sz w:val="20"/>
                <w:szCs w:val="20"/>
                <w:highlight w:val="none"/>
                <w:u w:val="none"/>
              </w:rPr>
            </w:pPr>
          </w:p>
        </w:tc>
      </w:tr>
      <w:tr w14:paraId="03EDB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F9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1B71B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过热炉压缩空气管道更换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722329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DN80，长度20米（钢管由采购人提供）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BEA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ADC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FEED">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EA4D">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B7AA">
            <w:pPr>
              <w:rPr>
                <w:rFonts w:hint="eastAsia" w:ascii="微软雅黑" w:hAnsi="微软雅黑" w:eastAsia="微软雅黑" w:cs="微软雅黑"/>
                <w:i w:val="0"/>
                <w:iCs w:val="0"/>
                <w:color w:val="auto"/>
                <w:sz w:val="20"/>
                <w:szCs w:val="20"/>
                <w:highlight w:val="none"/>
                <w:u w:val="none"/>
              </w:rPr>
            </w:pPr>
          </w:p>
        </w:tc>
      </w:tr>
      <w:tr w14:paraId="2210F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BC3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3FB600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环冷输灰系统安装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76E17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0.5㎥  1个（主材料由采购人提供）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9F5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54F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29FF">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8CCC">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3FCB">
            <w:pPr>
              <w:rPr>
                <w:rFonts w:hint="eastAsia" w:ascii="微软雅黑" w:hAnsi="微软雅黑" w:eastAsia="微软雅黑" w:cs="微软雅黑"/>
                <w:i w:val="0"/>
                <w:iCs w:val="0"/>
                <w:color w:val="auto"/>
                <w:sz w:val="20"/>
                <w:szCs w:val="20"/>
                <w:highlight w:val="none"/>
                <w:u w:val="none"/>
              </w:rPr>
            </w:pPr>
          </w:p>
        </w:tc>
      </w:tr>
      <w:tr w14:paraId="7024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21C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2029B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环冷主汽流量计更换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98E3F3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DN250  1个（流量计由采购人提供）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297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218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F030">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D0F7">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3A1C">
            <w:pPr>
              <w:rPr>
                <w:rFonts w:hint="eastAsia" w:ascii="微软雅黑" w:hAnsi="微软雅黑" w:eastAsia="微软雅黑" w:cs="微软雅黑"/>
                <w:i w:val="0"/>
                <w:iCs w:val="0"/>
                <w:color w:val="auto"/>
                <w:sz w:val="20"/>
                <w:szCs w:val="20"/>
                <w:highlight w:val="none"/>
                <w:u w:val="none"/>
              </w:rPr>
            </w:pPr>
          </w:p>
        </w:tc>
      </w:tr>
      <w:tr w14:paraId="63B2B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905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491A52B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1-4号炉视频监控水位计光纤更换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552459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长度7600米（光纤由采购人提供）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BEE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D91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2986">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8827">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45C2">
            <w:pPr>
              <w:rPr>
                <w:rFonts w:hint="eastAsia" w:ascii="微软雅黑" w:hAnsi="微软雅黑" w:eastAsia="微软雅黑" w:cs="微软雅黑"/>
                <w:i w:val="0"/>
                <w:iCs w:val="0"/>
                <w:color w:val="auto"/>
                <w:sz w:val="20"/>
                <w:szCs w:val="20"/>
                <w:highlight w:val="none"/>
                <w:u w:val="none"/>
              </w:rPr>
            </w:pPr>
          </w:p>
        </w:tc>
      </w:tr>
      <w:tr w14:paraId="0618C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BE6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30BB1D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主厂房至过热炉压缩空气管道安装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299EB27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采购人提供管道DN80 200米</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3B5D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31F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142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5EC9">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EE11">
            <w:pPr>
              <w:rPr>
                <w:rFonts w:hint="eastAsia" w:ascii="微软雅黑" w:hAnsi="微软雅黑" w:eastAsia="微软雅黑" w:cs="微软雅黑"/>
                <w:i w:val="0"/>
                <w:iCs w:val="0"/>
                <w:color w:val="auto"/>
                <w:sz w:val="20"/>
                <w:szCs w:val="20"/>
                <w:highlight w:val="none"/>
                <w:u w:val="none"/>
              </w:rPr>
            </w:pPr>
          </w:p>
        </w:tc>
      </w:tr>
      <w:tr w14:paraId="38ABE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E46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45B1049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1#8#3#4#6#AOD炉和过热炉安全阀内漏研磨</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002535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DN150 （6个安全阀）（不含校验）</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D1A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17C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2B3D">
            <w:pPr>
              <w:jc w:val="center"/>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0235">
            <w:pPr>
              <w:jc w:val="center"/>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243D">
            <w:pPr>
              <w:rPr>
                <w:rFonts w:hint="eastAsia" w:ascii="微软雅黑" w:hAnsi="微软雅黑" w:eastAsia="微软雅黑" w:cs="微软雅黑"/>
                <w:i w:val="0"/>
                <w:iCs w:val="0"/>
                <w:color w:val="auto"/>
                <w:sz w:val="20"/>
                <w:szCs w:val="20"/>
                <w:highlight w:val="none"/>
                <w:u w:val="none"/>
              </w:rPr>
            </w:pPr>
          </w:p>
        </w:tc>
      </w:tr>
      <w:tr w14:paraId="27BE9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DB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25D0D65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煤气助燃风机安装</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67820C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整体按设计安装（整套风机由采购人负责提供），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278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ABC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715B">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ED99">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495F">
            <w:pPr>
              <w:rPr>
                <w:rFonts w:hint="eastAsia" w:ascii="微软雅黑" w:hAnsi="微软雅黑" w:eastAsia="微软雅黑" w:cs="微软雅黑"/>
                <w:i w:val="0"/>
                <w:iCs w:val="0"/>
                <w:color w:val="auto"/>
                <w:sz w:val="20"/>
                <w:szCs w:val="20"/>
                <w:highlight w:val="none"/>
                <w:u w:val="none"/>
              </w:rPr>
            </w:pPr>
          </w:p>
        </w:tc>
      </w:tr>
      <w:tr w14:paraId="18658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9CC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1971" w:type="dxa"/>
            <w:tcBorders>
              <w:top w:val="nil"/>
              <w:left w:val="single" w:color="000000" w:sz="8" w:space="0"/>
              <w:bottom w:val="single" w:color="000000" w:sz="8" w:space="0"/>
              <w:right w:val="single" w:color="000000" w:sz="8" w:space="0"/>
            </w:tcBorders>
            <w:shd w:val="clear" w:color="auto" w:fill="auto"/>
            <w:vAlign w:val="center"/>
          </w:tcPr>
          <w:p w14:paraId="6D5A44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环冷炉蒙皮破更换</w:t>
            </w:r>
          </w:p>
        </w:tc>
        <w:tc>
          <w:tcPr>
            <w:tcW w:w="2636" w:type="dxa"/>
            <w:tcBorders>
              <w:top w:val="nil"/>
              <w:left w:val="single" w:color="000000" w:sz="8" w:space="0"/>
              <w:bottom w:val="single" w:color="000000" w:sz="8" w:space="0"/>
              <w:right w:val="single" w:color="000000" w:sz="8" w:space="0"/>
            </w:tcBorders>
            <w:shd w:val="clear" w:color="auto" w:fill="auto"/>
            <w:vAlign w:val="center"/>
          </w:tcPr>
          <w:p w14:paraId="1B236C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3个，Ø2200  1个  Ø1800  2个（蒙皮及胶水由采购人提供，其他辅材由响应人提供）</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0EB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1247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E891">
            <w:pPr>
              <w:jc w:val="left"/>
              <w:rPr>
                <w:rFonts w:hint="eastAsia" w:ascii="微软雅黑" w:hAnsi="微软雅黑" w:eastAsia="微软雅黑" w:cs="微软雅黑"/>
                <w:i w:val="0"/>
                <w:iCs w:val="0"/>
                <w:color w:val="auto"/>
                <w:sz w:val="20"/>
                <w:szCs w:val="20"/>
                <w:highlight w:val="none"/>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4E95">
            <w:pPr>
              <w:jc w:val="left"/>
              <w:rPr>
                <w:rFonts w:hint="eastAsia" w:ascii="微软雅黑" w:hAnsi="微软雅黑" w:eastAsia="微软雅黑" w:cs="微软雅黑"/>
                <w:i w:val="0"/>
                <w:iCs w:val="0"/>
                <w:color w:val="auto"/>
                <w:sz w:val="20"/>
                <w:szCs w:val="20"/>
                <w:highlight w:val="none"/>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8C615">
            <w:pPr>
              <w:rPr>
                <w:rFonts w:hint="eastAsia" w:ascii="微软雅黑" w:hAnsi="微软雅黑" w:eastAsia="微软雅黑" w:cs="微软雅黑"/>
                <w:i w:val="0"/>
                <w:iCs w:val="0"/>
                <w:color w:val="auto"/>
                <w:sz w:val="20"/>
                <w:szCs w:val="20"/>
                <w:highlight w:val="none"/>
                <w:u w:val="none"/>
              </w:rPr>
            </w:pPr>
          </w:p>
        </w:tc>
      </w:tr>
      <w:tr w14:paraId="75511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F260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合计（含税价）：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BFD0">
            <w:pPr>
              <w:rPr>
                <w:rFonts w:hint="eastAsia" w:ascii="宋体" w:hAnsi="宋体" w:eastAsia="宋体" w:cs="宋体"/>
                <w:b/>
                <w:bCs/>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84639">
            <w:pPr>
              <w:rPr>
                <w:rFonts w:hint="eastAsia" w:ascii="宋体" w:hAnsi="宋体" w:eastAsia="宋体" w:cs="宋体"/>
                <w:b/>
                <w:bCs/>
                <w:i w:val="0"/>
                <w:iCs w:val="0"/>
                <w:color w:val="auto"/>
                <w:sz w:val="22"/>
                <w:szCs w:val="22"/>
                <w:highlight w:val="none"/>
                <w:u w:val="none"/>
              </w:rPr>
            </w:pPr>
          </w:p>
        </w:tc>
      </w:tr>
    </w:tbl>
    <w:p w14:paraId="6190C365">
      <w:pPr>
        <w:jc w:val="left"/>
        <w:rPr>
          <w:rFonts w:hint="eastAsia" w:eastAsia="仿宋_GB2312"/>
          <w:color w:val="auto"/>
          <w:sz w:val="32"/>
          <w:szCs w:val="32"/>
          <w:highlight w:val="none"/>
        </w:rPr>
      </w:pPr>
    </w:p>
    <w:p w14:paraId="703369F8">
      <w:pPr>
        <w:jc w:val="left"/>
        <w:rPr>
          <w:rFonts w:hint="eastAsia" w:eastAsia="仿宋_GB2312"/>
          <w:color w:val="auto"/>
          <w:sz w:val="32"/>
          <w:szCs w:val="32"/>
          <w:highlight w:val="none"/>
        </w:rPr>
      </w:pPr>
    </w:p>
    <w:p w14:paraId="06D81E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BE0C40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9F4CEC2">
      <w:pPr>
        <w:jc w:val="left"/>
        <w:rPr>
          <w:rFonts w:eastAsia="仿宋_GB2312"/>
          <w:color w:val="auto"/>
          <w:sz w:val="32"/>
          <w:szCs w:val="32"/>
          <w:highlight w:val="none"/>
        </w:rPr>
      </w:pPr>
      <w:r>
        <w:rPr>
          <w:rFonts w:hint="eastAsia" w:eastAsia="仿宋_GB2312"/>
          <w:color w:val="auto"/>
          <w:sz w:val="32"/>
          <w:szCs w:val="32"/>
          <w:highlight w:val="none"/>
        </w:rPr>
        <w:t>联系人：</w:t>
      </w:r>
    </w:p>
    <w:p w14:paraId="3AEFB6A7">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F8DBFA">
      <w:pPr>
        <w:jc w:val="left"/>
        <w:rPr>
          <w:rFonts w:eastAsia="仿宋_GB2312"/>
          <w:color w:val="auto"/>
          <w:sz w:val="32"/>
          <w:szCs w:val="32"/>
          <w:highlight w:val="none"/>
        </w:rPr>
      </w:pPr>
      <w:r>
        <w:rPr>
          <w:rFonts w:hint="eastAsia" w:eastAsia="仿宋_GB2312"/>
          <w:color w:val="auto"/>
          <w:sz w:val="32"/>
          <w:szCs w:val="32"/>
          <w:highlight w:val="none"/>
        </w:rPr>
        <w:t>日期：</w:t>
      </w:r>
    </w:p>
    <w:p w14:paraId="783F5655">
      <w:pPr>
        <w:pStyle w:val="23"/>
        <w:ind w:left="0" w:leftChars="0" w:firstLine="0" w:firstLineChars="0"/>
        <w:rPr>
          <w:rFonts w:eastAsia="仿宋_GB2312"/>
          <w:color w:val="auto"/>
          <w:sz w:val="32"/>
          <w:szCs w:val="32"/>
          <w:highlight w:val="none"/>
        </w:rPr>
      </w:pPr>
    </w:p>
    <w:p w14:paraId="07DDE2C8">
      <w:pPr>
        <w:pStyle w:val="23"/>
        <w:ind w:left="0" w:leftChars="0" w:firstLine="0" w:firstLineChars="0"/>
        <w:rPr>
          <w:rFonts w:eastAsia="仿宋_GB2312"/>
          <w:color w:val="auto"/>
          <w:sz w:val="32"/>
          <w:szCs w:val="32"/>
          <w:highlight w:val="none"/>
        </w:rPr>
      </w:pPr>
    </w:p>
    <w:p w14:paraId="48DE5072">
      <w:pPr>
        <w:pStyle w:val="23"/>
        <w:ind w:left="0" w:leftChars="0" w:firstLine="0" w:firstLineChars="0"/>
        <w:rPr>
          <w:rFonts w:eastAsia="仿宋_GB2312"/>
          <w:color w:val="auto"/>
          <w:sz w:val="32"/>
          <w:szCs w:val="32"/>
          <w:highlight w:val="none"/>
        </w:rPr>
      </w:pPr>
    </w:p>
    <w:p w14:paraId="46299689">
      <w:pPr>
        <w:pStyle w:val="23"/>
        <w:ind w:left="0" w:leftChars="0" w:firstLine="0" w:firstLineChars="0"/>
        <w:rPr>
          <w:rFonts w:eastAsia="仿宋_GB2312"/>
          <w:color w:val="auto"/>
          <w:sz w:val="32"/>
          <w:szCs w:val="32"/>
          <w:highlight w:val="none"/>
        </w:rPr>
      </w:pPr>
    </w:p>
    <w:p w14:paraId="187F7804">
      <w:pPr>
        <w:pStyle w:val="23"/>
        <w:ind w:left="0" w:leftChars="0" w:firstLine="0" w:firstLineChars="0"/>
        <w:rPr>
          <w:rFonts w:eastAsia="仿宋_GB2312"/>
          <w:color w:val="auto"/>
          <w:sz w:val="32"/>
          <w:szCs w:val="32"/>
          <w:highlight w:val="none"/>
        </w:rPr>
      </w:pPr>
    </w:p>
    <w:p w14:paraId="5D02AA4E">
      <w:pPr>
        <w:pStyle w:val="23"/>
        <w:ind w:left="0" w:leftChars="0" w:firstLine="0" w:firstLineChars="0"/>
        <w:rPr>
          <w:rFonts w:eastAsia="仿宋_GB2312"/>
          <w:color w:val="auto"/>
          <w:sz w:val="32"/>
          <w:szCs w:val="32"/>
          <w:highlight w:val="none"/>
        </w:rPr>
      </w:pPr>
    </w:p>
    <w:p w14:paraId="60AA0EB8">
      <w:pPr>
        <w:pStyle w:val="23"/>
        <w:ind w:left="0" w:leftChars="0" w:firstLine="0" w:firstLineChars="0"/>
        <w:rPr>
          <w:rFonts w:eastAsia="仿宋_GB2312"/>
          <w:color w:val="auto"/>
          <w:sz w:val="32"/>
          <w:szCs w:val="32"/>
          <w:highlight w:val="none"/>
        </w:rPr>
      </w:pPr>
    </w:p>
    <w:p w14:paraId="4AE4D9D9">
      <w:pPr>
        <w:pStyle w:val="23"/>
        <w:ind w:left="0" w:leftChars="0" w:firstLine="0" w:firstLineChars="0"/>
        <w:rPr>
          <w:rFonts w:eastAsia="仿宋_GB2312"/>
          <w:color w:val="auto"/>
          <w:sz w:val="32"/>
          <w:szCs w:val="32"/>
          <w:highlight w:val="none"/>
        </w:rPr>
      </w:pPr>
    </w:p>
    <w:p w14:paraId="30903523">
      <w:pPr>
        <w:pStyle w:val="23"/>
        <w:ind w:left="0" w:leftChars="0" w:firstLine="0" w:firstLineChars="0"/>
        <w:rPr>
          <w:rFonts w:eastAsia="仿宋_GB2312"/>
          <w:color w:val="auto"/>
          <w:sz w:val="32"/>
          <w:szCs w:val="32"/>
          <w:highlight w:val="none"/>
        </w:rPr>
      </w:pPr>
    </w:p>
    <w:p w14:paraId="61829A21">
      <w:pPr>
        <w:pStyle w:val="23"/>
        <w:ind w:left="0" w:leftChars="0" w:firstLine="0" w:firstLineChars="0"/>
        <w:rPr>
          <w:rFonts w:eastAsia="仿宋_GB2312"/>
          <w:color w:val="auto"/>
          <w:sz w:val="32"/>
          <w:szCs w:val="32"/>
          <w:highlight w:val="none"/>
        </w:rPr>
      </w:pPr>
    </w:p>
    <w:p w14:paraId="10CFC9ED">
      <w:pPr>
        <w:pStyle w:val="23"/>
        <w:ind w:left="0" w:leftChars="0" w:firstLine="0" w:firstLineChars="0"/>
        <w:rPr>
          <w:rFonts w:eastAsia="仿宋_GB2312"/>
          <w:color w:val="auto"/>
          <w:sz w:val="32"/>
          <w:szCs w:val="32"/>
          <w:highlight w:val="none"/>
        </w:rPr>
      </w:pPr>
    </w:p>
    <w:p w14:paraId="2F819098">
      <w:pPr>
        <w:pStyle w:val="23"/>
        <w:ind w:left="0" w:leftChars="0" w:firstLine="0" w:firstLineChars="0"/>
        <w:rPr>
          <w:rFonts w:eastAsia="仿宋_GB2312"/>
          <w:color w:val="auto"/>
          <w:sz w:val="32"/>
          <w:szCs w:val="32"/>
          <w:highlight w:val="none"/>
        </w:rPr>
      </w:pPr>
    </w:p>
    <w:p w14:paraId="12BF6EDE">
      <w:pPr>
        <w:pStyle w:val="23"/>
        <w:ind w:left="0" w:leftChars="0" w:firstLine="0" w:firstLineChars="0"/>
        <w:rPr>
          <w:rFonts w:eastAsia="仿宋_GB2312"/>
          <w:color w:val="auto"/>
          <w:sz w:val="32"/>
          <w:szCs w:val="32"/>
          <w:highlight w:val="none"/>
        </w:rPr>
      </w:pPr>
    </w:p>
    <w:p w14:paraId="1E5F15A2">
      <w:pPr>
        <w:pStyle w:val="23"/>
        <w:ind w:left="0" w:leftChars="0" w:firstLine="0" w:firstLineChars="0"/>
        <w:rPr>
          <w:rFonts w:eastAsia="仿宋_GB2312"/>
          <w:color w:val="auto"/>
          <w:sz w:val="32"/>
          <w:szCs w:val="32"/>
          <w:highlight w:val="none"/>
        </w:rPr>
      </w:pPr>
    </w:p>
    <w:p w14:paraId="06741988">
      <w:pPr>
        <w:pStyle w:val="23"/>
        <w:ind w:left="0" w:leftChars="0" w:firstLine="0" w:firstLineChars="0"/>
        <w:rPr>
          <w:rFonts w:eastAsia="仿宋_GB2312"/>
          <w:color w:val="auto"/>
          <w:sz w:val="32"/>
          <w:szCs w:val="32"/>
          <w:highlight w:val="none"/>
        </w:rPr>
      </w:pPr>
    </w:p>
    <w:p w14:paraId="4BFFF1C6">
      <w:pPr>
        <w:pStyle w:val="23"/>
        <w:ind w:left="0" w:leftChars="0" w:firstLine="0" w:firstLineChars="0"/>
        <w:rPr>
          <w:rFonts w:eastAsia="仿宋_GB2312"/>
          <w:color w:val="auto"/>
          <w:sz w:val="32"/>
          <w:szCs w:val="32"/>
          <w:highlight w:val="none"/>
        </w:rPr>
      </w:pPr>
    </w:p>
    <w:p w14:paraId="09FC4CA0">
      <w:pPr>
        <w:pStyle w:val="23"/>
        <w:ind w:left="0" w:leftChars="0" w:firstLine="0" w:firstLineChars="0"/>
        <w:rPr>
          <w:rFonts w:eastAsia="仿宋_GB2312"/>
          <w:color w:val="auto"/>
          <w:sz w:val="32"/>
          <w:szCs w:val="32"/>
          <w:highlight w:val="none"/>
        </w:rPr>
      </w:pPr>
    </w:p>
    <w:p w14:paraId="2768FEF3">
      <w:pPr>
        <w:pStyle w:val="23"/>
        <w:ind w:left="0" w:leftChars="0" w:firstLine="0" w:firstLineChars="0"/>
        <w:rPr>
          <w:rFonts w:eastAsia="仿宋_GB2312"/>
          <w:color w:val="auto"/>
          <w:sz w:val="32"/>
          <w:szCs w:val="32"/>
          <w:highlight w:val="none"/>
        </w:rPr>
      </w:pPr>
    </w:p>
    <w:p w14:paraId="6A82A814">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6DD88C6">
      <w:pPr>
        <w:pStyle w:val="45"/>
        <w:ind w:firstLine="0" w:firstLineChars="0"/>
        <w:jc w:val="left"/>
        <w:rPr>
          <w:rFonts w:eastAsia="黑体"/>
          <w:color w:val="auto"/>
          <w:sz w:val="28"/>
          <w:szCs w:val="44"/>
          <w:highlight w:val="none"/>
        </w:rPr>
      </w:pPr>
    </w:p>
    <w:p w14:paraId="6F6A7350">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7B90D7">
      <w:pPr>
        <w:rPr>
          <w:rFonts w:eastAsia="仿宋_GB2312"/>
          <w:color w:val="auto"/>
          <w:sz w:val="32"/>
          <w:szCs w:val="32"/>
          <w:highlight w:val="none"/>
        </w:rPr>
      </w:pPr>
    </w:p>
    <w:p w14:paraId="32B7E38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E4C4DEC">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22949D0">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1878BD1">
      <w:pPr>
        <w:spacing w:line="600" w:lineRule="exact"/>
        <w:rPr>
          <w:rFonts w:eastAsia="仿宋_GB2312"/>
          <w:color w:val="auto"/>
          <w:sz w:val="32"/>
          <w:szCs w:val="32"/>
          <w:highlight w:val="none"/>
        </w:rPr>
      </w:pPr>
    </w:p>
    <w:p w14:paraId="1461FFD5">
      <w:pPr>
        <w:spacing w:line="600" w:lineRule="exact"/>
        <w:rPr>
          <w:rFonts w:eastAsia="仿宋_GB2312"/>
          <w:color w:val="auto"/>
          <w:sz w:val="32"/>
          <w:szCs w:val="32"/>
          <w:highlight w:val="none"/>
        </w:rPr>
      </w:pPr>
    </w:p>
    <w:p w14:paraId="74F8BF5C">
      <w:pPr>
        <w:spacing w:line="600" w:lineRule="exact"/>
        <w:rPr>
          <w:rFonts w:eastAsia="仿宋_GB2312"/>
          <w:color w:val="auto"/>
          <w:sz w:val="32"/>
          <w:szCs w:val="32"/>
          <w:highlight w:val="none"/>
        </w:rPr>
      </w:pPr>
    </w:p>
    <w:p w14:paraId="36799C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C82783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98839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8B2CCE">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4AF7F2F">
      <w:pPr>
        <w:rPr>
          <w:rFonts w:eastAsia="仿宋_GB2312"/>
          <w:color w:val="auto"/>
          <w:sz w:val="32"/>
          <w:szCs w:val="32"/>
          <w:highlight w:val="none"/>
        </w:rPr>
      </w:pPr>
    </w:p>
    <w:p w14:paraId="704F1A1C">
      <w:pPr>
        <w:widowControl/>
        <w:rPr>
          <w:rFonts w:eastAsia="仿宋_GB2312"/>
          <w:color w:val="auto"/>
          <w:sz w:val="32"/>
          <w:szCs w:val="32"/>
          <w:highlight w:val="none"/>
        </w:rPr>
      </w:pPr>
      <w:bookmarkStart w:id="2" w:name="_Toc384752807"/>
    </w:p>
    <w:p w14:paraId="1E5D1A96">
      <w:pPr>
        <w:pStyle w:val="23"/>
        <w:ind w:left="0" w:leftChars="0" w:firstLine="0" w:firstLineChars="0"/>
        <w:rPr>
          <w:color w:val="auto"/>
          <w:highlight w:val="none"/>
        </w:rPr>
      </w:pPr>
    </w:p>
    <w:p w14:paraId="34DA71D0">
      <w:pPr>
        <w:pStyle w:val="23"/>
        <w:rPr>
          <w:color w:val="auto"/>
          <w:highlight w:val="none"/>
        </w:rPr>
      </w:pPr>
    </w:p>
    <w:p w14:paraId="3F106885">
      <w:pPr>
        <w:pStyle w:val="23"/>
        <w:rPr>
          <w:color w:val="auto"/>
          <w:highlight w:val="none"/>
        </w:rPr>
      </w:pPr>
    </w:p>
    <w:p w14:paraId="39750B7B">
      <w:pPr>
        <w:pStyle w:val="23"/>
        <w:rPr>
          <w:color w:val="auto"/>
          <w:highlight w:val="none"/>
        </w:rPr>
      </w:pPr>
    </w:p>
    <w:p w14:paraId="4D42F4A2">
      <w:pPr>
        <w:pStyle w:val="23"/>
        <w:rPr>
          <w:color w:val="auto"/>
          <w:highlight w:val="none"/>
        </w:rPr>
      </w:pPr>
    </w:p>
    <w:p w14:paraId="10C5672B">
      <w:pPr>
        <w:pStyle w:val="23"/>
        <w:rPr>
          <w:color w:val="auto"/>
          <w:highlight w:val="none"/>
        </w:rPr>
      </w:pPr>
    </w:p>
    <w:p w14:paraId="0C94A175">
      <w:pPr>
        <w:pStyle w:val="23"/>
        <w:rPr>
          <w:color w:val="auto"/>
          <w:highlight w:val="none"/>
        </w:rPr>
      </w:pPr>
    </w:p>
    <w:p w14:paraId="3A7127F8">
      <w:pPr>
        <w:pStyle w:val="23"/>
        <w:rPr>
          <w:color w:val="auto"/>
          <w:highlight w:val="none"/>
        </w:rPr>
      </w:pPr>
    </w:p>
    <w:p w14:paraId="452BC4AD">
      <w:pPr>
        <w:pStyle w:val="23"/>
        <w:rPr>
          <w:color w:val="auto"/>
          <w:highlight w:val="none"/>
        </w:rPr>
      </w:pPr>
    </w:p>
    <w:p w14:paraId="5530A836">
      <w:pPr>
        <w:pStyle w:val="23"/>
        <w:rPr>
          <w:color w:val="auto"/>
          <w:highlight w:val="none"/>
        </w:rPr>
      </w:pPr>
    </w:p>
    <w:p w14:paraId="14937EBD">
      <w:pPr>
        <w:pStyle w:val="23"/>
        <w:rPr>
          <w:color w:val="auto"/>
          <w:highlight w:val="none"/>
        </w:rPr>
      </w:pPr>
    </w:p>
    <w:p w14:paraId="60BAA404">
      <w:pPr>
        <w:pStyle w:val="45"/>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47BD80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07C4D09">
      <w:pPr>
        <w:pStyle w:val="44"/>
        <w:ind w:firstLine="0" w:firstLineChars="0"/>
        <w:rPr>
          <w:rFonts w:ascii="Times New Roman" w:hAnsi="Times New Roman"/>
          <w:color w:val="auto"/>
          <w:sz w:val="32"/>
          <w:szCs w:val="32"/>
          <w:highlight w:val="none"/>
        </w:rPr>
      </w:pPr>
    </w:p>
    <w:p w14:paraId="1C6D325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671604D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阳江开能余热发电煤气过热炉助燃风机安装及系统设备大修项目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C60DA59">
      <w:pPr>
        <w:pStyle w:val="44"/>
        <w:ind w:firstLine="659"/>
        <w:rPr>
          <w:rFonts w:ascii="Times New Roman" w:hAnsi="Times New Roman"/>
          <w:color w:val="auto"/>
          <w:sz w:val="32"/>
          <w:szCs w:val="32"/>
          <w:highlight w:val="none"/>
        </w:rPr>
      </w:pPr>
    </w:p>
    <w:p w14:paraId="2E07D065">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093E43E6">
      <w:pPr>
        <w:pStyle w:val="44"/>
        <w:ind w:firstLine="659"/>
        <w:rPr>
          <w:rFonts w:ascii="Times New Roman" w:hAnsi="Times New Roman"/>
          <w:color w:val="auto"/>
          <w:sz w:val="32"/>
          <w:szCs w:val="32"/>
          <w:highlight w:val="none"/>
        </w:rPr>
      </w:pPr>
    </w:p>
    <w:p w14:paraId="42F6C887">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2A45F47">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2F8BAC5">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2992F">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A088D7E">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4B4405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574D78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2E56A4F6">
      <w:pPr>
        <w:pStyle w:val="4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B315A8C">
      <w:pPr>
        <w:pStyle w:val="4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60DC607">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166D76C">
      <w:pPr>
        <w:pStyle w:val="44"/>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阳江开能余热发电煤气过热炉助燃风机安装及系统设备大修项目</w:t>
      </w:r>
      <w:r>
        <w:rPr>
          <w:rFonts w:hint="eastAsia" w:ascii="Times New Roman" w:hAnsi="Times New Roman"/>
          <w:color w:val="auto"/>
          <w:sz w:val="32"/>
          <w:szCs w:val="32"/>
          <w:highlight w:val="none"/>
        </w:rPr>
        <w:t>投标工作，作出以下承诺：</w:t>
      </w:r>
    </w:p>
    <w:p w14:paraId="6AF58383">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8193E98">
      <w:pPr>
        <w:pStyle w:val="44"/>
        <w:ind w:firstLine="659"/>
        <w:rPr>
          <w:rFonts w:ascii="Times New Roman" w:hAnsi="Times New Roman"/>
          <w:color w:val="auto"/>
          <w:sz w:val="32"/>
          <w:szCs w:val="32"/>
          <w:highlight w:val="none"/>
        </w:rPr>
      </w:pPr>
    </w:p>
    <w:p w14:paraId="1BC66E08">
      <w:pPr>
        <w:pStyle w:val="44"/>
        <w:ind w:firstLine="0" w:firstLineChars="0"/>
        <w:jc w:val="left"/>
        <w:rPr>
          <w:rFonts w:ascii="Times New Roman" w:hAnsi="Times New Roman"/>
          <w:color w:val="auto"/>
          <w:sz w:val="32"/>
          <w:szCs w:val="32"/>
          <w:highlight w:val="none"/>
        </w:rPr>
      </w:pPr>
    </w:p>
    <w:p w14:paraId="1F585398">
      <w:pPr>
        <w:jc w:val="left"/>
        <w:rPr>
          <w:rFonts w:eastAsia="仿宋"/>
          <w:color w:val="auto"/>
          <w:sz w:val="32"/>
          <w:szCs w:val="32"/>
          <w:highlight w:val="none"/>
        </w:rPr>
      </w:pPr>
    </w:p>
    <w:p w14:paraId="1F30291F">
      <w:pPr>
        <w:jc w:val="left"/>
        <w:rPr>
          <w:rFonts w:eastAsia="仿宋"/>
          <w:color w:val="auto"/>
          <w:sz w:val="32"/>
          <w:szCs w:val="32"/>
          <w:highlight w:val="none"/>
        </w:rPr>
      </w:pPr>
    </w:p>
    <w:p w14:paraId="0B252488">
      <w:pPr>
        <w:jc w:val="left"/>
        <w:rPr>
          <w:rFonts w:eastAsia="仿宋"/>
          <w:color w:val="auto"/>
          <w:sz w:val="32"/>
          <w:szCs w:val="32"/>
          <w:highlight w:val="none"/>
        </w:rPr>
      </w:pPr>
    </w:p>
    <w:p w14:paraId="336DF163">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F3A1562">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DFC2A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46A6949">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4F7C813">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06AEFA6E">
      <w:pPr>
        <w:pStyle w:val="44"/>
        <w:ind w:firstLine="0" w:firstLineChars="0"/>
        <w:jc w:val="left"/>
        <w:rPr>
          <w:rFonts w:ascii="Times New Roman" w:hAnsi="Times New Roman"/>
          <w:color w:val="auto"/>
          <w:sz w:val="32"/>
          <w:szCs w:val="32"/>
          <w:highlight w:val="none"/>
        </w:rPr>
      </w:pPr>
    </w:p>
    <w:p w14:paraId="1A7FB924">
      <w:pPr>
        <w:pStyle w:val="44"/>
        <w:ind w:firstLine="0" w:firstLineChars="0"/>
        <w:jc w:val="left"/>
        <w:rPr>
          <w:rFonts w:ascii="Times New Roman" w:hAnsi="Times New Roman"/>
          <w:color w:val="auto"/>
          <w:sz w:val="32"/>
          <w:szCs w:val="32"/>
          <w:highlight w:val="none"/>
        </w:rPr>
      </w:pPr>
    </w:p>
    <w:p w14:paraId="6BF1EAC7">
      <w:pPr>
        <w:widowControl/>
        <w:jc w:val="left"/>
        <w:rPr>
          <w:rFonts w:eastAsia="黑体"/>
          <w:color w:val="auto"/>
          <w:sz w:val="28"/>
          <w:szCs w:val="44"/>
          <w:highlight w:val="none"/>
        </w:rPr>
      </w:pPr>
    </w:p>
    <w:p w14:paraId="05BB3938">
      <w:pPr>
        <w:pStyle w:val="9"/>
        <w:rPr>
          <w:rFonts w:eastAsia="黑体"/>
          <w:color w:val="auto"/>
          <w:sz w:val="28"/>
          <w:szCs w:val="44"/>
          <w:highlight w:val="none"/>
        </w:rPr>
      </w:pPr>
    </w:p>
    <w:p w14:paraId="4E5A5BE2">
      <w:pPr>
        <w:pStyle w:val="10"/>
        <w:ind w:firstLine="280"/>
        <w:rPr>
          <w:rFonts w:eastAsia="黑体"/>
          <w:color w:val="auto"/>
          <w:sz w:val="28"/>
          <w:szCs w:val="44"/>
          <w:highlight w:val="none"/>
        </w:rPr>
      </w:pPr>
    </w:p>
    <w:p w14:paraId="78F3B21A">
      <w:pPr>
        <w:pStyle w:val="11"/>
        <w:ind w:firstLine="560"/>
        <w:rPr>
          <w:rFonts w:eastAsia="黑体"/>
          <w:color w:val="auto"/>
          <w:sz w:val="28"/>
          <w:szCs w:val="44"/>
          <w:highlight w:val="none"/>
        </w:rPr>
      </w:pPr>
    </w:p>
    <w:p w14:paraId="18D62263">
      <w:pPr>
        <w:rPr>
          <w:rFonts w:eastAsia="黑体"/>
          <w:color w:val="auto"/>
          <w:sz w:val="28"/>
          <w:szCs w:val="44"/>
          <w:highlight w:val="none"/>
        </w:rPr>
      </w:pPr>
    </w:p>
    <w:p w14:paraId="360FC4E6">
      <w:pPr>
        <w:pStyle w:val="9"/>
        <w:rPr>
          <w:color w:val="auto"/>
          <w:highlight w:val="none"/>
        </w:rPr>
      </w:pPr>
    </w:p>
    <w:p w14:paraId="6B61C74F">
      <w:pPr>
        <w:widowControl/>
        <w:jc w:val="left"/>
        <w:rPr>
          <w:rFonts w:eastAsia="黑体"/>
          <w:color w:val="auto"/>
          <w:sz w:val="28"/>
          <w:szCs w:val="44"/>
          <w:highlight w:val="none"/>
        </w:rPr>
      </w:pPr>
    </w:p>
    <w:p w14:paraId="155A99EA">
      <w:pPr>
        <w:pStyle w:val="45"/>
        <w:ind w:firstLine="0" w:firstLineChars="0"/>
        <w:jc w:val="left"/>
        <w:outlineLvl w:val="1"/>
        <w:rPr>
          <w:rFonts w:hint="default" w:eastAsia="黑体"/>
          <w:color w:val="auto"/>
          <w:sz w:val="28"/>
          <w:szCs w:val="44"/>
          <w:highlight w:val="none"/>
          <w:lang w:val="en-US" w:eastAsia="zh-CN"/>
        </w:rPr>
      </w:pPr>
      <w:bookmarkStart w:id="4" w:name="_Hlk40704598"/>
      <w:r>
        <w:rPr>
          <w:rFonts w:hint="eastAsia" w:eastAsia="黑体"/>
          <w:color w:val="auto"/>
          <w:sz w:val="28"/>
          <w:szCs w:val="44"/>
          <w:highlight w:val="none"/>
        </w:rPr>
        <w:t xml:space="preserve">附件六 </w:t>
      </w:r>
      <w:r>
        <w:rPr>
          <w:rFonts w:hint="eastAsia" w:eastAsia="黑体"/>
          <w:color w:val="auto"/>
          <w:sz w:val="28"/>
          <w:szCs w:val="44"/>
          <w:highlight w:val="none"/>
          <w:lang w:val="en-US" w:eastAsia="zh-CN"/>
        </w:rPr>
        <w:t>技术</w:t>
      </w:r>
      <w:bookmarkEnd w:id="1"/>
      <w:bookmarkEnd w:id="4"/>
      <w:r>
        <w:rPr>
          <w:rFonts w:hint="eastAsia" w:eastAsia="黑体"/>
          <w:color w:val="auto"/>
          <w:sz w:val="28"/>
          <w:szCs w:val="44"/>
          <w:highlight w:val="none"/>
          <w:lang w:val="en-US" w:eastAsia="zh-CN"/>
        </w:rPr>
        <w:t>规范书</w:t>
      </w:r>
    </w:p>
    <w:p w14:paraId="106302D0">
      <w:pPr>
        <w:widowControl w:val="0"/>
        <w:adjustRightInd/>
        <w:snapToGrid/>
        <w:ind w:firstLine="0" w:firstLineChars="0"/>
        <w:jc w:val="center"/>
        <w:rPr>
          <w:rFonts w:ascii="宋体" w:hAnsi="宋体"/>
          <w:b/>
          <w:bCs/>
          <w:color w:val="auto"/>
          <w:sz w:val="24"/>
          <w:szCs w:val="24"/>
          <w:highlight w:val="none"/>
        </w:rPr>
      </w:pPr>
      <w:r>
        <w:rPr>
          <w:rFonts w:hint="eastAsia" w:ascii="宋体" w:hAnsi="宋体"/>
          <w:b/>
          <w:bCs/>
          <w:color w:val="auto"/>
          <w:sz w:val="24"/>
          <w:szCs w:val="24"/>
          <w:highlight w:val="none"/>
        </w:rPr>
        <w:t>阳江开能余热发电煤气过热炉助燃风机安装及</w:t>
      </w:r>
    </w:p>
    <w:p w14:paraId="12A4FFB7">
      <w:pPr>
        <w:widowControl w:val="0"/>
        <w:adjustRightInd/>
        <w:snapToGrid/>
        <w:ind w:firstLine="0" w:firstLineChars="0"/>
        <w:jc w:val="center"/>
        <w:rPr>
          <w:rFonts w:ascii="宋体" w:hAnsi="宋体" w:cs="宋体"/>
          <w:b/>
          <w:color w:val="auto"/>
          <w:szCs w:val="21"/>
          <w:highlight w:val="none"/>
        </w:rPr>
      </w:pPr>
      <w:r>
        <w:rPr>
          <w:rFonts w:hint="eastAsia" w:ascii="宋体" w:hAnsi="宋体"/>
          <w:b/>
          <w:bCs/>
          <w:color w:val="auto"/>
          <w:sz w:val="24"/>
          <w:szCs w:val="24"/>
          <w:highlight w:val="none"/>
        </w:rPr>
        <w:t>系统设备大修项目</w:t>
      </w:r>
      <w:r>
        <w:rPr>
          <w:rFonts w:hint="eastAsia" w:ascii="宋体" w:hAnsi="宋体" w:cs="宋体"/>
          <w:b/>
          <w:bCs/>
          <w:color w:val="auto"/>
          <w:sz w:val="24"/>
          <w:szCs w:val="24"/>
          <w:highlight w:val="none"/>
        </w:rPr>
        <w:t>施工技术规范书</w:t>
      </w:r>
    </w:p>
    <w:p w14:paraId="2C2DFC9B">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一、项目概况</w:t>
      </w:r>
    </w:p>
    <w:p w14:paraId="7B409727">
      <w:pPr>
        <w:ind w:firstLine="424" w:firstLineChars="202"/>
        <w:rPr>
          <w:rFonts w:hint="eastAsia" w:asciiTheme="minorEastAsia" w:hAnsiTheme="minorEastAsia" w:eastAsiaTheme="minorEastAsia"/>
          <w:color w:val="auto"/>
          <w:szCs w:val="21"/>
          <w:highlight w:val="none"/>
          <w:lang w:eastAsia="zh-CN"/>
        </w:rPr>
      </w:pPr>
      <w:r>
        <w:rPr>
          <w:rFonts w:hint="eastAsia" w:ascii="宋体" w:hAnsi="宋体" w:cs="宋体"/>
          <w:color w:val="auto"/>
          <w:szCs w:val="21"/>
          <w:highlight w:val="none"/>
        </w:rPr>
        <w:t>1.1项目名称：</w:t>
      </w:r>
      <w:r>
        <w:rPr>
          <w:rFonts w:hint="eastAsia" w:asciiTheme="minorEastAsia" w:hAnsiTheme="minorEastAsia" w:eastAsiaTheme="minorEastAsia"/>
          <w:color w:val="auto"/>
          <w:szCs w:val="21"/>
          <w:highlight w:val="none"/>
        </w:rPr>
        <w:t>阳江开能余热发电煤气过热炉助燃风机安装及系统设备大修项目</w:t>
      </w:r>
      <w:r>
        <w:rPr>
          <w:rFonts w:hint="eastAsia" w:asciiTheme="minorEastAsia" w:hAnsiTheme="minorEastAsia" w:eastAsiaTheme="minorEastAsia"/>
          <w:color w:val="auto"/>
          <w:szCs w:val="21"/>
          <w:highlight w:val="none"/>
          <w:lang w:eastAsia="zh-CN"/>
        </w:rPr>
        <w:t>。</w:t>
      </w:r>
    </w:p>
    <w:p w14:paraId="77F3B2FE">
      <w:pPr>
        <w:ind w:left="480"/>
        <w:rPr>
          <w:rFonts w:ascii="宋体" w:hAnsi="宋体" w:cs="宋体"/>
          <w:color w:val="auto"/>
          <w:szCs w:val="21"/>
          <w:highlight w:val="none"/>
        </w:rPr>
      </w:pPr>
      <w:r>
        <w:rPr>
          <w:rFonts w:hint="eastAsia" w:ascii="宋体" w:hAnsi="宋体" w:cs="宋体"/>
          <w:color w:val="auto"/>
          <w:szCs w:val="21"/>
          <w:highlight w:val="none"/>
        </w:rPr>
        <w:t>1.2施工地点：广东省阳江市江城区平冈镇临港工业园广青科技公司炼钢厂</w:t>
      </w:r>
    </w:p>
    <w:p w14:paraId="5B26B5FB">
      <w:pPr>
        <w:ind w:firstLine="480"/>
        <w:rPr>
          <w:rFonts w:ascii="宋体" w:hAnsi="宋体" w:cs="宋体"/>
          <w:color w:val="auto"/>
          <w:szCs w:val="21"/>
          <w:highlight w:val="none"/>
        </w:rPr>
      </w:pPr>
      <w:r>
        <w:rPr>
          <w:rFonts w:hint="eastAsia" w:ascii="宋体" w:hAnsi="宋体" w:cs="宋体"/>
          <w:color w:val="auto"/>
          <w:szCs w:val="21"/>
          <w:highlight w:val="none"/>
        </w:rPr>
        <w:t>1.3项目概况：</w:t>
      </w:r>
      <w:r>
        <w:rPr>
          <w:rFonts w:hint="eastAsia" w:asciiTheme="minorEastAsia" w:hAnsiTheme="minorEastAsia" w:eastAsiaTheme="minorEastAsia"/>
          <w:color w:val="auto"/>
          <w:szCs w:val="21"/>
          <w:highlight w:val="none"/>
        </w:rPr>
        <w:t>阳江开能能余热发电机组装机1×12MW汽轮机组，配套1×4</w:t>
      </w:r>
      <w:r>
        <w:rPr>
          <w:rFonts w:asciiTheme="minorEastAsia" w:hAnsiTheme="minorEastAsia" w:eastAsiaTheme="minorEastAsia"/>
          <w:color w:val="auto"/>
          <w:szCs w:val="21"/>
          <w:highlight w:val="none"/>
        </w:rPr>
        <w:t>8</w:t>
      </w:r>
      <w:r>
        <w:rPr>
          <w:rFonts w:hint="eastAsia" w:asciiTheme="minorEastAsia" w:hAnsiTheme="minorEastAsia" w:eastAsiaTheme="minorEastAsia"/>
          <w:color w:val="auto"/>
          <w:szCs w:val="21"/>
          <w:highlight w:val="none"/>
        </w:rPr>
        <w:t>/h煤气过热炉、8台AOD汽化烟道余热锅炉、1台环冷炉、两台蓄热器系统及配套附属设施。本次施工利用机组大修期间对系统设备进行检修、更换，并对过热炉煤气系统进行技改增加助燃风机等内容。</w:t>
      </w:r>
    </w:p>
    <w:p w14:paraId="772033D3">
      <w:pPr>
        <w:pStyle w:val="3"/>
        <w:numPr>
          <w:ilvl w:val="0"/>
          <w:numId w:val="4"/>
        </w:numP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施工范围涉及内容</w:t>
      </w:r>
    </w:p>
    <w:p w14:paraId="29711718">
      <w:pPr>
        <w:snapToGrid/>
        <w:spacing w:line="240" w:lineRule="auto"/>
        <w:jc w:val="both"/>
        <w:rPr>
          <w:rFonts w:ascii="宋体" w:hAnsi="宋体" w:cs="宋体"/>
          <w:color w:val="auto"/>
          <w:szCs w:val="21"/>
          <w:highlight w:val="none"/>
        </w:rPr>
      </w:pPr>
      <w:r>
        <w:rPr>
          <w:rFonts w:hint="eastAsia" w:ascii="宋体" w:hAnsi="宋体" w:cs="宋体"/>
          <w:color w:val="auto"/>
          <w:szCs w:val="21"/>
          <w:highlight w:val="none"/>
        </w:rPr>
        <w:t xml:space="preserve">  </w:t>
      </w:r>
      <w:r>
        <w:rPr>
          <w:rFonts w:ascii="宋体" w:hAnsi="宋体" w:cs="宋体"/>
          <w:color w:val="auto"/>
          <w:szCs w:val="21"/>
          <w:highlight w:val="none"/>
        </w:rPr>
        <w:t xml:space="preserve">  </w:t>
      </w:r>
      <w:r>
        <w:rPr>
          <w:rFonts w:hint="eastAsia" w:ascii="宋体" w:hAnsi="宋体" w:cs="宋体"/>
          <w:color w:val="auto"/>
          <w:szCs w:val="21"/>
          <w:highlight w:val="none"/>
        </w:rPr>
        <w:t>余热发电机组系统设备过热炉、环冷炉、A</w:t>
      </w:r>
      <w:r>
        <w:rPr>
          <w:rFonts w:ascii="宋体" w:hAnsi="宋体" w:cs="宋体"/>
          <w:color w:val="auto"/>
          <w:szCs w:val="21"/>
          <w:highlight w:val="none"/>
        </w:rPr>
        <w:t>OD</w:t>
      </w:r>
      <w:r>
        <w:rPr>
          <w:rFonts w:hint="eastAsia" w:ascii="宋体" w:hAnsi="宋体" w:cs="宋体"/>
          <w:color w:val="auto"/>
          <w:szCs w:val="21"/>
          <w:highlight w:val="none"/>
        </w:rPr>
        <w:t>炉汽化烟道余热锅炉、循环水冷却</w:t>
      </w:r>
      <w:r>
        <w:rPr>
          <w:rFonts w:hint="eastAsia" w:ascii="宋体" w:hAnsi="宋体" w:cs="宋体"/>
          <w:color w:val="auto"/>
          <w:szCs w:val="21"/>
          <w:highlight w:val="none"/>
          <w:lang w:val="en-US" w:eastAsia="zh-CN"/>
        </w:rPr>
        <w:t>等设备检修施工项目</w:t>
      </w:r>
      <w:r>
        <w:rPr>
          <w:rFonts w:hint="eastAsia" w:ascii="宋体" w:hAnsi="宋体" w:cs="宋体"/>
          <w:color w:val="auto"/>
          <w:szCs w:val="21"/>
          <w:highlight w:val="none"/>
        </w:rPr>
        <w:t>，包括：助燃风机的安装、过热炉减温器的安装、流量计的更换、管道更换、光纤更换、阀门研磨、设备检修等内容</w:t>
      </w:r>
      <w:r>
        <w:rPr>
          <w:rFonts w:hint="eastAsia" w:asciiTheme="minorEastAsia" w:hAnsiTheme="minorEastAsia" w:eastAsiaTheme="minorEastAsia"/>
          <w:color w:val="auto"/>
          <w:szCs w:val="21"/>
          <w:highlight w:val="none"/>
        </w:rPr>
        <w:t>（具体施工量详见表一）</w:t>
      </w:r>
      <w:r>
        <w:rPr>
          <w:rFonts w:hint="eastAsia" w:ascii="宋体" w:hAnsi="宋体" w:cs="宋体"/>
          <w:color w:val="auto"/>
          <w:szCs w:val="21"/>
          <w:highlight w:val="none"/>
        </w:rPr>
        <w:t xml:space="preserve">。            </w:t>
      </w:r>
    </w:p>
    <w:p w14:paraId="728FCDDB">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三、施工工程量</w:t>
      </w:r>
    </w:p>
    <w:p w14:paraId="11D9381B">
      <w:pPr>
        <w:rPr>
          <w:rFonts w:ascii="宋体" w:hAnsi="宋体" w:cs="宋体"/>
          <w:color w:val="auto"/>
          <w:szCs w:val="21"/>
          <w:highlight w:val="none"/>
        </w:rPr>
      </w:pPr>
      <w:r>
        <w:rPr>
          <w:rFonts w:hint="eastAsia" w:ascii="宋体" w:hAnsi="宋体" w:cs="宋体"/>
          <w:color w:val="auto"/>
          <w:szCs w:val="21"/>
          <w:highlight w:val="none"/>
        </w:rPr>
        <w:t>表一</w:t>
      </w:r>
    </w:p>
    <w:tbl>
      <w:tblPr>
        <w:tblStyle w:val="24"/>
        <w:tblW w:w="8365" w:type="dxa"/>
        <w:tblInd w:w="93" w:type="dxa"/>
        <w:tblLayout w:type="autofit"/>
        <w:tblCellMar>
          <w:top w:w="0" w:type="dxa"/>
          <w:left w:w="108" w:type="dxa"/>
          <w:bottom w:w="0" w:type="dxa"/>
          <w:right w:w="108" w:type="dxa"/>
        </w:tblCellMar>
      </w:tblPr>
      <w:tblGrid>
        <w:gridCol w:w="725"/>
        <w:gridCol w:w="2878"/>
        <w:gridCol w:w="2386"/>
        <w:gridCol w:w="1615"/>
        <w:gridCol w:w="761"/>
      </w:tblGrid>
      <w:tr w14:paraId="0BB664A5">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2CDD">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序号</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F7F3">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施工内容</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DAB3">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材料准备</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F26C">
            <w:pPr>
              <w:jc w:val="center"/>
              <w:textAlignment w:val="center"/>
              <w:rPr>
                <w:rFonts w:hint="eastAsia" w:ascii="宋体" w:hAnsi="宋体" w:eastAsia="宋体" w:cs="宋体"/>
                <w:b/>
                <w:bCs/>
                <w:color w:val="auto"/>
                <w:sz w:val="20"/>
                <w:szCs w:val="20"/>
                <w:highlight w:val="none"/>
                <w:lang w:eastAsia="zh-CN"/>
              </w:rPr>
            </w:pPr>
            <w:r>
              <w:rPr>
                <w:rFonts w:hint="eastAsia" w:ascii="宋体" w:hAnsi="宋体" w:cs="宋体"/>
                <w:b/>
                <w:bCs/>
                <w:color w:val="auto"/>
                <w:sz w:val="20"/>
                <w:szCs w:val="20"/>
                <w:highlight w:val="none"/>
                <w:lang w:val="en-US" w:eastAsia="zh-CN" w:bidi="ar"/>
              </w:rPr>
              <w:t>建议投入</w:t>
            </w:r>
            <w:r>
              <w:rPr>
                <w:rFonts w:hint="eastAsia" w:ascii="宋体" w:hAnsi="宋体" w:cs="宋体"/>
                <w:b/>
                <w:bCs/>
                <w:color w:val="auto"/>
                <w:sz w:val="20"/>
                <w:szCs w:val="20"/>
                <w:highlight w:val="none"/>
                <w:lang w:bidi="ar"/>
              </w:rPr>
              <w:t>工作人数</w:t>
            </w:r>
            <w:r>
              <w:rPr>
                <w:rFonts w:hint="eastAsia" w:ascii="宋体" w:hAnsi="宋体" w:cs="宋体"/>
                <w:b/>
                <w:bCs/>
                <w:color w:val="auto"/>
                <w:sz w:val="20"/>
                <w:szCs w:val="20"/>
                <w:highlight w:val="none"/>
                <w:lang w:eastAsia="zh-CN" w:bidi="ar"/>
              </w:rPr>
              <w:t>（</w:t>
            </w:r>
            <w:r>
              <w:rPr>
                <w:rFonts w:hint="eastAsia" w:ascii="宋体" w:hAnsi="宋体" w:cs="宋体"/>
                <w:b/>
                <w:bCs/>
                <w:color w:val="auto"/>
                <w:sz w:val="20"/>
                <w:szCs w:val="20"/>
                <w:highlight w:val="none"/>
                <w:lang w:val="en-US" w:eastAsia="zh-CN" w:bidi="ar"/>
              </w:rPr>
              <w:t>不少于</w:t>
            </w:r>
            <w:r>
              <w:rPr>
                <w:rFonts w:hint="eastAsia" w:ascii="宋体" w:hAnsi="宋体" w:cs="宋体"/>
                <w:b/>
                <w:bCs/>
                <w:color w:val="auto"/>
                <w:sz w:val="20"/>
                <w:szCs w:val="20"/>
                <w:highlight w:val="none"/>
                <w:lang w:eastAsia="zh-CN" w:bidi="ar"/>
              </w:rPr>
              <w:t>）</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FA90">
            <w:pPr>
              <w:jc w:val="center"/>
              <w:textAlignment w:val="center"/>
              <w:rPr>
                <w:rFonts w:ascii="宋体" w:hAnsi="宋体" w:cs="宋体"/>
                <w:b/>
                <w:bCs/>
                <w:color w:val="auto"/>
                <w:sz w:val="20"/>
                <w:szCs w:val="20"/>
                <w:highlight w:val="none"/>
              </w:rPr>
            </w:pPr>
            <w:r>
              <w:rPr>
                <w:rFonts w:hint="eastAsia" w:ascii="宋体" w:hAnsi="宋体" w:cs="宋体"/>
                <w:b/>
                <w:bCs/>
                <w:color w:val="auto"/>
                <w:sz w:val="20"/>
                <w:szCs w:val="20"/>
                <w:highlight w:val="none"/>
                <w:lang w:bidi="ar"/>
              </w:rPr>
              <w:t>备注</w:t>
            </w:r>
          </w:p>
        </w:tc>
      </w:tr>
      <w:tr w14:paraId="77271761">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CB01">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E6FC">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8台AOD炉增加检修平台制作安装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95B0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1200*1500，包平台、栏杆、简易门 （主材料由甲方负责，辅材由乙方负责）</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7475">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A6F0">
            <w:pPr>
              <w:rPr>
                <w:rFonts w:hint="eastAsia" w:ascii="宋体" w:hAnsi="宋体" w:cs="宋体"/>
                <w:color w:val="auto"/>
                <w:sz w:val="20"/>
                <w:szCs w:val="20"/>
                <w:highlight w:val="none"/>
              </w:rPr>
            </w:pPr>
            <w:r>
              <w:rPr>
                <w:rFonts w:hint="eastAsia" w:ascii="宋体" w:hAnsi="宋体" w:cs="宋体"/>
                <w:color w:val="auto"/>
                <w:sz w:val="20"/>
                <w:szCs w:val="20"/>
                <w:highlight w:val="none"/>
              </w:rPr>
              <w:t>平台承重不小于6</w:t>
            </w:r>
            <w:r>
              <w:rPr>
                <w:rFonts w:ascii="宋体" w:hAnsi="宋体" w:cs="宋体"/>
                <w:color w:val="auto"/>
                <w:sz w:val="20"/>
                <w:szCs w:val="20"/>
                <w:highlight w:val="none"/>
              </w:rPr>
              <w:t>KN/</w:t>
            </w:r>
            <w:r>
              <w:rPr>
                <w:rFonts w:hint="eastAsia" w:ascii="宋体" w:hAnsi="宋体" w:cs="宋体"/>
                <w:color w:val="auto"/>
                <w:sz w:val="20"/>
                <w:szCs w:val="20"/>
                <w:highlight w:val="none"/>
              </w:rPr>
              <w:t>㎡</w:t>
            </w:r>
          </w:p>
        </w:tc>
      </w:tr>
      <w:tr w14:paraId="4039302D">
        <w:tblPrEx>
          <w:tblCellMar>
            <w:top w:w="0" w:type="dxa"/>
            <w:left w:w="108" w:type="dxa"/>
            <w:bottom w:w="0" w:type="dxa"/>
            <w:right w:w="108" w:type="dxa"/>
          </w:tblCellMar>
        </w:tblPrEx>
        <w:trPr>
          <w:trHeight w:val="741"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EE68">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2</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E38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主蒸汽流量计更换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5A0E">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碳钢 dn400 1个（甲方提供）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A4C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2A07">
            <w:pPr>
              <w:rPr>
                <w:rFonts w:ascii="宋体" w:hAnsi="宋体" w:cs="宋体"/>
                <w:color w:val="auto"/>
                <w:sz w:val="20"/>
                <w:szCs w:val="20"/>
                <w:highlight w:val="none"/>
              </w:rPr>
            </w:pPr>
          </w:p>
        </w:tc>
      </w:tr>
      <w:tr w14:paraId="448E8D31">
        <w:tblPrEx>
          <w:tblCellMar>
            <w:top w:w="0" w:type="dxa"/>
            <w:left w:w="108" w:type="dxa"/>
            <w:bottom w:w="0" w:type="dxa"/>
            <w:right w:w="108" w:type="dxa"/>
          </w:tblCellMar>
        </w:tblPrEx>
        <w:trPr>
          <w:trHeight w:val="60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FBE5">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8051">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1-3#冷却塔风筒压板更换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94A4">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镀锌钢板120*60*10/183块；镀锌丝杆、M16*70 8.8级/183套；水泥、沙（钢板、丝杆由甲方提供，水泥与沙由</w:t>
            </w:r>
            <w:r>
              <w:rPr>
                <w:rFonts w:hint="eastAsia" w:ascii="宋体" w:hAnsi="宋体" w:cs="宋体"/>
                <w:i w:val="0"/>
                <w:iCs w:val="0"/>
                <w:color w:val="auto"/>
                <w:kern w:val="0"/>
                <w:sz w:val="20"/>
                <w:szCs w:val="20"/>
                <w:highlight w:val="none"/>
                <w:u w:val="none"/>
                <w:lang w:val="en-US" w:eastAsia="zh-CN" w:bidi="ar"/>
              </w:rPr>
              <w:t>乙方供货</w:t>
            </w:r>
            <w:r>
              <w:rPr>
                <w:rFonts w:hint="eastAsia" w:ascii="宋体" w:hAnsi="宋体" w:eastAsia="宋体" w:cs="宋体"/>
                <w:i w:val="0"/>
                <w:iCs w:val="0"/>
                <w:color w:val="auto"/>
                <w:kern w:val="0"/>
                <w:sz w:val="20"/>
                <w:szCs w:val="20"/>
                <w:highlight w:val="none"/>
                <w:u w:val="none"/>
                <w:lang w:val="en-US" w:eastAsia="zh-CN" w:bidi="ar"/>
              </w:rPr>
              <w:t>）</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430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2926">
            <w:pPr>
              <w:rPr>
                <w:rFonts w:ascii="宋体" w:hAnsi="宋体" w:cs="宋体"/>
                <w:color w:val="auto"/>
                <w:sz w:val="20"/>
                <w:szCs w:val="20"/>
                <w:highlight w:val="none"/>
              </w:rPr>
            </w:pPr>
          </w:p>
        </w:tc>
      </w:tr>
      <w:tr w14:paraId="48DD1335">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6A5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67C5">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过热炉本体疏水管更换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B413">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DN20，长度80米左右（钢管由甲方提供）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12FFF">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FD1D">
            <w:pPr>
              <w:rPr>
                <w:rFonts w:ascii="宋体" w:hAnsi="宋体" w:cs="宋体"/>
                <w:color w:val="auto"/>
                <w:sz w:val="20"/>
                <w:szCs w:val="20"/>
                <w:highlight w:val="none"/>
              </w:rPr>
            </w:pPr>
          </w:p>
        </w:tc>
      </w:tr>
      <w:tr w14:paraId="40B2E3C9">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B1A4">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5</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D52B">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过热炉给水管更换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9E60">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DN50   30米（钢管由甲方提供）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94D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5014">
            <w:pPr>
              <w:rPr>
                <w:rFonts w:ascii="宋体" w:hAnsi="宋体" w:cs="宋体"/>
                <w:color w:val="auto"/>
                <w:sz w:val="20"/>
                <w:szCs w:val="20"/>
                <w:highlight w:val="none"/>
              </w:rPr>
            </w:pPr>
          </w:p>
        </w:tc>
      </w:tr>
      <w:tr w14:paraId="56F770EA">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6BA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6</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23D7">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过热炉减温器更换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A2BB">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1台  （按厂家设计要求安装焊接，减温器由甲方提供）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BF8B">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6</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08A4">
            <w:pPr>
              <w:rPr>
                <w:rFonts w:ascii="宋体" w:hAnsi="宋体" w:cs="宋体"/>
                <w:color w:val="auto"/>
                <w:sz w:val="20"/>
                <w:szCs w:val="20"/>
                <w:highlight w:val="none"/>
              </w:rPr>
            </w:pPr>
          </w:p>
        </w:tc>
      </w:tr>
      <w:tr w14:paraId="36B7C862">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AC14">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7</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D6AC3">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过热炉压缩空气管道更换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791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DN80，长度20米（钢管由甲方提供）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D87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3</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87BB">
            <w:pPr>
              <w:rPr>
                <w:rFonts w:ascii="宋体" w:hAnsi="宋体" w:cs="宋体"/>
                <w:color w:val="auto"/>
                <w:sz w:val="20"/>
                <w:szCs w:val="20"/>
                <w:highlight w:val="none"/>
              </w:rPr>
            </w:pPr>
          </w:p>
        </w:tc>
      </w:tr>
      <w:tr w14:paraId="05334EB1">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1AF6">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3485">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环冷输灰系统安装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B465">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0.5㎥  1个（主材料由甲方提供）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E7DF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3C041">
            <w:pPr>
              <w:rPr>
                <w:rFonts w:ascii="宋体" w:hAnsi="宋体" w:cs="宋体"/>
                <w:color w:val="auto"/>
                <w:sz w:val="20"/>
                <w:szCs w:val="20"/>
                <w:highlight w:val="none"/>
              </w:rPr>
            </w:pPr>
          </w:p>
        </w:tc>
      </w:tr>
      <w:tr w14:paraId="71F36A64">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7DF2">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9</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75BE">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环冷主汽流量计更换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E925">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 xml:space="preserve"> DN250  1个（流量计由甲方提供）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F24F">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6737">
            <w:pPr>
              <w:rPr>
                <w:rFonts w:ascii="宋体" w:hAnsi="宋体" w:cs="宋体"/>
                <w:color w:val="auto"/>
                <w:sz w:val="20"/>
                <w:szCs w:val="20"/>
                <w:highlight w:val="none"/>
              </w:rPr>
            </w:pPr>
          </w:p>
        </w:tc>
      </w:tr>
      <w:tr w14:paraId="3992BC67">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6E2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10</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756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1-4号炉视频监控水位计光纤更换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79A">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长度7600米（光纤由甲方提供）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257DA">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10</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15EB">
            <w:pPr>
              <w:rPr>
                <w:rFonts w:ascii="宋体" w:hAnsi="宋体" w:cs="宋体"/>
                <w:color w:val="auto"/>
                <w:sz w:val="20"/>
                <w:szCs w:val="20"/>
                <w:highlight w:val="none"/>
              </w:rPr>
            </w:pPr>
          </w:p>
        </w:tc>
      </w:tr>
      <w:tr w14:paraId="7D066486">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81B3">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11</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9866">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主厂房至过热炉压缩空气管道安装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823B">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甲方提供管道DN80 200米</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DF0F8">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2446">
            <w:pPr>
              <w:rPr>
                <w:rFonts w:ascii="宋体" w:hAnsi="宋体" w:cs="宋体"/>
                <w:color w:val="auto"/>
                <w:sz w:val="20"/>
                <w:szCs w:val="20"/>
                <w:highlight w:val="none"/>
              </w:rPr>
            </w:pPr>
          </w:p>
        </w:tc>
      </w:tr>
      <w:tr w14:paraId="0D75545D">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B536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12</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7CE4">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1#8#3#4#6#AOD炉和过热炉安全阀内漏研磨</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09C6">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DN150 （6个安全阀）（不含校验）</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CDB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D432">
            <w:pPr>
              <w:rPr>
                <w:rFonts w:ascii="宋体" w:hAnsi="宋体" w:cs="宋体"/>
                <w:color w:val="auto"/>
                <w:sz w:val="20"/>
                <w:szCs w:val="20"/>
                <w:highlight w:val="none"/>
              </w:rPr>
            </w:pPr>
          </w:p>
        </w:tc>
      </w:tr>
      <w:tr w14:paraId="654A4496">
        <w:tblPrEx>
          <w:tblCellMar>
            <w:top w:w="0" w:type="dxa"/>
            <w:left w:w="108" w:type="dxa"/>
            <w:bottom w:w="0" w:type="dxa"/>
            <w:right w:w="108" w:type="dxa"/>
          </w:tblCellMar>
        </w:tblPrEx>
        <w:trPr>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23139">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13</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55D0">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煤气助燃风机安装</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DAF0">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整体按设计安装（整套风机由发包人负责提供），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02E0">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8</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3578">
            <w:pPr>
              <w:rPr>
                <w:rFonts w:hint="eastAsia" w:ascii="宋体" w:hAnsi="宋体" w:cs="宋体"/>
                <w:color w:val="auto"/>
                <w:sz w:val="20"/>
                <w:szCs w:val="20"/>
                <w:highlight w:val="none"/>
              </w:rPr>
            </w:pPr>
          </w:p>
        </w:tc>
      </w:tr>
      <w:tr w14:paraId="56E1AB8B">
        <w:tblPrEx>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2267">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14</w:t>
            </w:r>
          </w:p>
        </w:tc>
        <w:tc>
          <w:tcPr>
            <w:tcW w:w="2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C98B">
            <w:pP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环冷炉蒙皮破更换</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CAB7">
            <w:pPr>
              <w:keepNext w:val="0"/>
              <w:keepLines w:val="0"/>
              <w:widowControl/>
              <w:suppressLineNumbers w:val="0"/>
              <w:jc w:val="left"/>
              <w:textAlignment w:val="center"/>
              <w:rPr>
                <w:rFonts w:ascii="宋体" w:hAnsi="宋体" w:cs="宋体"/>
                <w:color w:val="auto"/>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3个，</w:t>
            </w:r>
            <w:r>
              <w:rPr>
                <w:rFonts w:ascii="Calibri" w:hAnsi="Calibri" w:eastAsia="宋体" w:cs="Calibri"/>
                <w:i w:val="0"/>
                <w:iCs w:val="0"/>
                <w:color w:val="auto"/>
                <w:kern w:val="0"/>
                <w:sz w:val="20"/>
                <w:szCs w:val="20"/>
                <w:highlight w:val="none"/>
                <w:u w:val="none"/>
                <w:lang w:val="en-US" w:eastAsia="zh-CN" w:bidi="ar"/>
              </w:rPr>
              <w:t>Ø</w:t>
            </w:r>
            <w:r>
              <w:rPr>
                <w:rFonts w:hint="eastAsia" w:ascii="宋体" w:hAnsi="宋体" w:eastAsia="宋体" w:cs="宋体"/>
                <w:i w:val="0"/>
                <w:iCs w:val="0"/>
                <w:color w:val="auto"/>
                <w:kern w:val="0"/>
                <w:sz w:val="20"/>
                <w:szCs w:val="20"/>
                <w:highlight w:val="none"/>
                <w:u w:val="none"/>
                <w:lang w:val="en-US" w:eastAsia="zh-CN" w:bidi="ar"/>
              </w:rPr>
              <w:t>2200  1个  Ø1800  2个（蒙皮及胶水由甲方提供，其他辅材由乙方提供）</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9391">
            <w:pPr>
              <w:jc w:val="center"/>
              <w:textAlignment w:val="center"/>
              <w:rPr>
                <w:rFonts w:ascii="宋体" w:hAnsi="宋体" w:cs="宋体"/>
                <w:color w:val="auto"/>
                <w:sz w:val="20"/>
                <w:szCs w:val="20"/>
                <w:highlight w:val="none"/>
              </w:rPr>
            </w:pPr>
            <w:r>
              <w:rPr>
                <w:rFonts w:hint="eastAsia" w:ascii="宋体" w:hAnsi="宋体" w:cs="宋体"/>
                <w:color w:val="auto"/>
                <w:sz w:val="20"/>
                <w:szCs w:val="20"/>
                <w:highlight w:val="none"/>
                <w:lang w:bidi="ar"/>
              </w:rPr>
              <w:t>4</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E74A">
            <w:pPr>
              <w:rPr>
                <w:rFonts w:hint="eastAsia" w:ascii="宋体" w:hAnsi="宋体" w:cs="宋体"/>
                <w:color w:val="auto"/>
                <w:sz w:val="20"/>
                <w:szCs w:val="20"/>
                <w:highlight w:val="none"/>
              </w:rPr>
            </w:pPr>
          </w:p>
        </w:tc>
      </w:tr>
      <w:tr w14:paraId="790C9BD5">
        <w:tblPrEx>
          <w:tblCellMar>
            <w:top w:w="0" w:type="dxa"/>
            <w:left w:w="108" w:type="dxa"/>
            <w:bottom w:w="0" w:type="dxa"/>
            <w:right w:w="108" w:type="dxa"/>
          </w:tblCellMar>
        </w:tblPrEx>
        <w:trPr>
          <w:trHeight w:val="1298" w:hRule="atLeast"/>
        </w:trPr>
        <w:tc>
          <w:tcPr>
            <w:tcW w:w="83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7ECD09">
            <w:pPr>
              <w:tabs>
                <w:tab w:val="left" w:pos="3118"/>
              </w:tabs>
              <w:rPr>
                <w:rFonts w:ascii="宋体" w:hAnsi="宋体" w:cs="宋体"/>
                <w:color w:val="auto"/>
                <w:sz w:val="20"/>
                <w:szCs w:val="20"/>
                <w:highlight w:val="none"/>
              </w:rPr>
            </w:pPr>
            <w:r>
              <w:rPr>
                <w:rFonts w:hint="eastAsia" w:ascii="宋体" w:hAnsi="宋体" w:cs="宋体"/>
                <w:color w:val="auto"/>
                <w:sz w:val="20"/>
                <w:szCs w:val="20"/>
                <w:highlight w:val="none"/>
              </w:rPr>
              <w:t>特别说明：</w:t>
            </w:r>
          </w:p>
          <w:p w14:paraId="5D8CAE6E">
            <w:pPr>
              <w:tabs>
                <w:tab w:val="left" w:pos="3118"/>
              </w:tabs>
              <w:rPr>
                <w:rFonts w:ascii="宋体" w:hAnsi="宋体" w:cs="宋体"/>
                <w:color w:val="auto"/>
                <w:sz w:val="20"/>
                <w:szCs w:val="20"/>
                <w:highlight w:val="none"/>
              </w:rPr>
            </w:pPr>
            <w:r>
              <w:rPr>
                <w:rFonts w:hint="eastAsia" w:ascii="宋体" w:hAnsi="宋体" w:cs="宋体"/>
                <w:color w:val="auto"/>
                <w:sz w:val="20"/>
                <w:szCs w:val="20"/>
                <w:highlight w:val="none"/>
              </w:rPr>
              <w:t xml:space="preserve">    以上施工材料均作参考，对施工工具及为完成施工的其它施工及施工措施所需的所有物资如脚手架、施工工器具、吊装工具、氧气、乙炔、施工消耗性材料等等均由乙方负责提供，甲方提供电源、水源、气源。</w:t>
            </w:r>
            <w:r>
              <w:rPr>
                <w:rFonts w:hint="eastAsia" w:ascii="宋体" w:hAnsi="宋体" w:cs="宋体"/>
                <w:color w:val="auto"/>
                <w:sz w:val="20"/>
                <w:szCs w:val="20"/>
                <w:highlight w:val="none"/>
                <w:u w:val="none"/>
              </w:rPr>
              <w:t>除明确由甲方</w:t>
            </w:r>
            <w:r>
              <w:rPr>
                <w:rFonts w:hint="eastAsia" w:ascii="宋体" w:hAnsi="宋体" w:cs="宋体"/>
                <w:color w:val="auto"/>
                <w:sz w:val="20"/>
                <w:szCs w:val="20"/>
                <w:highlight w:val="none"/>
                <w:u w:val="none"/>
                <w:lang w:val="en-US" w:eastAsia="zh-CN"/>
              </w:rPr>
              <w:t>/发包人</w:t>
            </w:r>
            <w:r>
              <w:rPr>
                <w:rFonts w:hint="eastAsia" w:ascii="宋体" w:hAnsi="宋体" w:cs="宋体"/>
                <w:color w:val="auto"/>
                <w:sz w:val="20"/>
                <w:szCs w:val="20"/>
                <w:highlight w:val="none"/>
                <w:u w:val="none"/>
              </w:rPr>
              <w:t>供货外，其它材料都由承包人负</w:t>
            </w:r>
            <w:r>
              <w:rPr>
                <w:rFonts w:hint="eastAsia" w:ascii="宋体" w:hAnsi="宋体" w:cs="宋体"/>
                <w:color w:val="auto"/>
                <w:sz w:val="20"/>
                <w:szCs w:val="20"/>
                <w:highlight w:val="none"/>
                <w:u w:val="none"/>
                <w:lang w:val="en-US" w:eastAsia="zh-CN"/>
              </w:rPr>
              <w:t>责。</w:t>
            </w:r>
          </w:p>
        </w:tc>
      </w:tr>
    </w:tbl>
    <w:p w14:paraId="73C32D77">
      <w:pPr>
        <w:ind w:firstLine="6300" w:firstLineChars="3000"/>
        <w:rPr>
          <w:rFonts w:ascii="宋体" w:hAnsi="宋体" w:cs="宋体"/>
          <w:color w:val="auto"/>
          <w:szCs w:val="21"/>
          <w:highlight w:val="none"/>
        </w:rPr>
      </w:pPr>
    </w:p>
    <w:p w14:paraId="21B42E6F">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四、施工技术规范</w:t>
      </w:r>
    </w:p>
    <w:p w14:paraId="18662A13">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（一）施工依据</w:t>
      </w:r>
    </w:p>
    <w:p w14:paraId="2268D4E6">
      <w:pPr>
        <w:pStyle w:val="45"/>
        <w:numPr>
          <w:ilvl w:val="0"/>
          <w:numId w:val="5"/>
        </w:numPr>
        <w:ind w:left="900" w:right="84" w:rightChars="40" w:hanging="420" w:firstLineChars="0"/>
        <w:rPr>
          <w:color w:val="auto"/>
          <w:highlight w:val="none"/>
        </w:rPr>
      </w:pPr>
      <w:r>
        <w:rPr>
          <w:rFonts w:hint="eastAsia"/>
          <w:color w:val="auto"/>
          <w:highlight w:val="none"/>
        </w:rPr>
        <w:t>《锅炉安全技术监察规程》（2022年版）</w:t>
      </w:r>
    </w:p>
    <w:p w14:paraId="2ABC45A9">
      <w:pPr>
        <w:pStyle w:val="45"/>
        <w:numPr>
          <w:ilvl w:val="0"/>
          <w:numId w:val="5"/>
        </w:numPr>
        <w:ind w:left="900" w:right="84" w:rightChars="40" w:hanging="420" w:firstLineChars="0"/>
        <w:rPr>
          <w:color w:val="auto"/>
          <w:highlight w:val="none"/>
        </w:rPr>
      </w:pPr>
      <w:r>
        <w:rPr>
          <w:rFonts w:hint="eastAsia"/>
          <w:color w:val="auto"/>
          <w:highlight w:val="none"/>
        </w:rPr>
        <w:t>《压力管道规范一工业管道》(GB/T20801)</w:t>
      </w:r>
    </w:p>
    <w:p w14:paraId="13C93086">
      <w:pPr>
        <w:pStyle w:val="45"/>
        <w:numPr>
          <w:ilvl w:val="0"/>
          <w:numId w:val="5"/>
        </w:numPr>
        <w:ind w:left="900" w:right="84" w:rightChars="40" w:hanging="420" w:firstLineChars="0"/>
        <w:rPr>
          <w:color w:val="auto"/>
          <w:highlight w:val="none"/>
        </w:rPr>
      </w:pPr>
      <w:r>
        <w:rPr>
          <w:rFonts w:hint="eastAsia"/>
          <w:color w:val="auto"/>
          <w:highlight w:val="none"/>
        </w:rPr>
        <w:t>《火力发电厂焊接技术规程》DL/T 869—2012</w:t>
      </w:r>
    </w:p>
    <w:p w14:paraId="28574D23">
      <w:pPr>
        <w:pStyle w:val="45"/>
        <w:numPr>
          <w:ilvl w:val="0"/>
          <w:numId w:val="5"/>
        </w:numPr>
        <w:ind w:left="900" w:right="84" w:rightChars="40" w:hanging="420" w:firstLineChars="0"/>
        <w:rPr>
          <w:color w:val="auto"/>
          <w:highlight w:val="none"/>
        </w:rPr>
      </w:pPr>
      <w:r>
        <w:rPr>
          <w:rFonts w:hint="eastAsia"/>
          <w:color w:val="auto"/>
          <w:highlight w:val="none"/>
        </w:rPr>
        <w:t>《电力建设施工质量验收及评价规程》（焊接篇）DL/T 5210.7-2018</w:t>
      </w:r>
    </w:p>
    <w:p w14:paraId="383703FE">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第2部分：锅炉机组》DL 5190.2-2019</w:t>
      </w:r>
    </w:p>
    <w:p w14:paraId="31A0FDAB">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第5部分：管道及系统》DL 5190.5-2019</w:t>
      </w:r>
    </w:p>
    <w:p w14:paraId="08304D29">
      <w:pPr>
        <w:pStyle w:val="45"/>
        <w:numPr>
          <w:ilvl w:val="0"/>
          <w:numId w:val="5"/>
        </w:numPr>
        <w:ind w:left="900" w:right="84" w:rightChars="40" w:hanging="420" w:firstLineChars="0"/>
        <w:rPr>
          <w:color w:val="auto"/>
          <w:highlight w:val="none"/>
        </w:rPr>
      </w:pPr>
      <w:r>
        <w:rPr>
          <w:rFonts w:hint="eastAsia"/>
          <w:color w:val="auto"/>
          <w:highlight w:val="none"/>
        </w:rPr>
        <w:t>《电力建设施工技术规范 第8部分：加工配制》DL 5190.8-2019</w:t>
      </w:r>
    </w:p>
    <w:p w14:paraId="400CCEAC">
      <w:pPr>
        <w:pStyle w:val="45"/>
        <w:numPr>
          <w:ilvl w:val="0"/>
          <w:numId w:val="5"/>
        </w:numPr>
        <w:ind w:left="900" w:right="84" w:rightChars="40" w:hanging="420" w:firstLineChars="0"/>
        <w:rPr>
          <w:color w:val="auto"/>
          <w:highlight w:val="none"/>
        </w:rPr>
      </w:pPr>
      <w:r>
        <w:rPr>
          <w:rFonts w:hint="eastAsia"/>
          <w:color w:val="auto"/>
          <w:highlight w:val="none"/>
        </w:rPr>
        <w:t>《工业设备及管道绝热工程施工质量验收规范》GB50185-2010</w:t>
      </w:r>
    </w:p>
    <w:p w14:paraId="46617FD7">
      <w:pPr>
        <w:pStyle w:val="74"/>
        <w:numPr>
          <w:ilvl w:val="0"/>
          <w:numId w:val="5"/>
        </w:numPr>
        <w:adjustRightInd w:val="0"/>
        <w:spacing w:line="360" w:lineRule="auto"/>
        <w:ind w:left="900" w:hanging="420"/>
        <w:jc w:val="both"/>
        <w:rPr>
          <w:color w:val="auto"/>
          <w:highlight w:val="none"/>
        </w:rPr>
      </w:pPr>
      <w:r>
        <w:rPr>
          <w:rFonts w:hint="eastAsia"/>
          <w:color w:val="auto"/>
          <w:highlight w:val="none"/>
        </w:rPr>
        <w:t>《焊工技术考核规程》DL/T679—1999</w:t>
      </w:r>
    </w:p>
    <w:p w14:paraId="25722F67">
      <w:pPr>
        <w:pStyle w:val="74"/>
        <w:numPr>
          <w:ilvl w:val="0"/>
          <w:numId w:val="5"/>
        </w:numPr>
        <w:adjustRightInd w:val="0"/>
        <w:spacing w:line="360" w:lineRule="auto"/>
        <w:ind w:left="900" w:hanging="420"/>
        <w:jc w:val="both"/>
        <w:rPr>
          <w:color w:val="auto"/>
          <w:highlight w:val="none"/>
        </w:rPr>
      </w:pPr>
      <w:r>
        <w:rPr>
          <w:rFonts w:hint="eastAsia"/>
          <w:color w:val="auto"/>
          <w:highlight w:val="none"/>
        </w:rPr>
        <w:t>《焊接工艺评定规程》DL/T868-2004</w:t>
      </w:r>
    </w:p>
    <w:p w14:paraId="28914328">
      <w:pPr>
        <w:pStyle w:val="74"/>
        <w:numPr>
          <w:ilvl w:val="0"/>
          <w:numId w:val="5"/>
        </w:numPr>
        <w:adjustRightInd w:val="0"/>
        <w:spacing w:line="360" w:lineRule="auto"/>
        <w:ind w:left="900" w:hanging="420"/>
        <w:jc w:val="both"/>
        <w:rPr>
          <w:color w:val="auto"/>
          <w:highlight w:val="none"/>
        </w:rPr>
      </w:pPr>
      <w:r>
        <w:rPr>
          <w:rFonts w:hint="eastAsia"/>
          <w:color w:val="auto"/>
          <w:highlight w:val="none"/>
        </w:rPr>
        <w:t>《火力发电厂异种钢焊接技术规程》DL/T572《电站锅炉压力容器检验规程》DL/T647-2004</w:t>
      </w:r>
    </w:p>
    <w:p w14:paraId="67CA2CF8">
      <w:pPr>
        <w:pStyle w:val="74"/>
        <w:numPr>
          <w:ilvl w:val="0"/>
          <w:numId w:val="5"/>
        </w:numPr>
        <w:adjustRightInd w:val="0"/>
        <w:spacing w:line="360" w:lineRule="auto"/>
        <w:ind w:left="900" w:hanging="420"/>
        <w:jc w:val="both"/>
        <w:rPr>
          <w:color w:val="auto"/>
          <w:highlight w:val="none"/>
        </w:rPr>
      </w:pPr>
      <w:r>
        <w:rPr>
          <w:rFonts w:hint="eastAsia"/>
          <w:color w:val="auto"/>
          <w:highlight w:val="none"/>
        </w:rPr>
        <w:t>《管道焊接接头超声波检验技术规程》DL/T820-2002</w:t>
      </w:r>
    </w:p>
    <w:p w14:paraId="522C2552">
      <w:pPr>
        <w:pStyle w:val="74"/>
        <w:numPr>
          <w:ilvl w:val="0"/>
          <w:numId w:val="5"/>
        </w:numPr>
        <w:adjustRightInd w:val="0"/>
        <w:spacing w:line="360" w:lineRule="auto"/>
        <w:ind w:left="900" w:hanging="420"/>
        <w:jc w:val="both"/>
        <w:rPr>
          <w:color w:val="auto"/>
          <w:highlight w:val="none"/>
        </w:rPr>
      </w:pPr>
      <w:r>
        <w:rPr>
          <w:rFonts w:hint="eastAsia"/>
          <w:color w:val="auto"/>
          <w:highlight w:val="none"/>
        </w:rPr>
        <w:t>《钢制承压管道对接焊接接头射线检验技术规程》DL/T821-2002</w:t>
      </w:r>
    </w:p>
    <w:p w14:paraId="02A0A4F7">
      <w:pPr>
        <w:pStyle w:val="45"/>
        <w:numPr>
          <w:ilvl w:val="0"/>
          <w:numId w:val="5"/>
        </w:numPr>
        <w:ind w:left="900" w:right="84" w:rightChars="40" w:hanging="420" w:firstLineChars="0"/>
        <w:rPr>
          <w:color w:val="auto"/>
          <w:highlight w:val="none"/>
        </w:rPr>
      </w:pPr>
      <w:r>
        <w:rPr>
          <w:rFonts w:hint="eastAsia"/>
          <w:color w:val="auto"/>
          <w:highlight w:val="none"/>
        </w:rPr>
        <w:t>《火力发电厂金属技术监督规程》DL/T438—2016</w:t>
      </w:r>
    </w:p>
    <w:p w14:paraId="67E559F7">
      <w:pPr>
        <w:pStyle w:val="45"/>
        <w:numPr>
          <w:ilvl w:val="0"/>
          <w:numId w:val="5"/>
        </w:numPr>
        <w:ind w:left="900" w:right="84" w:rightChars="40" w:hanging="420" w:firstLineChars="0"/>
        <w:rPr>
          <w:color w:val="auto"/>
          <w:highlight w:val="none"/>
        </w:rPr>
      </w:pPr>
      <w:r>
        <w:rPr>
          <w:rFonts w:hint="eastAsia"/>
          <w:color w:val="auto"/>
          <w:highlight w:val="none"/>
        </w:rPr>
        <w:t>《锅炉安装监督检验规则》TSG G7001－2015</w:t>
      </w:r>
    </w:p>
    <w:p w14:paraId="64B94873">
      <w:pPr>
        <w:pStyle w:val="45"/>
        <w:numPr>
          <w:ilvl w:val="0"/>
          <w:numId w:val="5"/>
        </w:numPr>
        <w:ind w:left="900" w:right="84" w:rightChars="40" w:hanging="420" w:firstLineChars="0"/>
        <w:rPr>
          <w:color w:val="auto"/>
          <w:highlight w:val="none"/>
        </w:rPr>
      </w:pPr>
      <w:r>
        <w:rPr>
          <w:rFonts w:hint="eastAsia"/>
          <w:color w:val="auto"/>
          <w:highlight w:val="none"/>
        </w:rPr>
        <w:t>《室内汽水管道支品架》和《西北电力设计院汽水管道支吊架手》</w:t>
      </w:r>
    </w:p>
    <w:p w14:paraId="331D4DF4">
      <w:pPr>
        <w:pStyle w:val="45"/>
        <w:numPr>
          <w:ilvl w:val="0"/>
          <w:numId w:val="5"/>
        </w:numPr>
        <w:ind w:left="900" w:right="84" w:rightChars="40" w:hanging="420" w:firstLineChars="0"/>
        <w:rPr>
          <w:color w:val="auto"/>
          <w:highlight w:val="none"/>
        </w:rPr>
      </w:pPr>
      <w:r>
        <w:rPr>
          <w:rFonts w:hint="eastAsia"/>
          <w:color w:val="auto"/>
          <w:highlight w:val="none"/>
        </w:rPr>
        <w:t>《施工现场临时用电安全技术规范》JGJ46-2005</w:t>
      </w:r>
    </w:p>
    <w:p w14:paraId="06444BE2">
      <w:pPr>
        <w:pStyle w:val="45"/>
        <w:numPr>
          <w:ilvl w:val="0"/>
          <w:numId w:val="5"/>
        </w:numPr>
        <w:ind w:left="900" w:right="84" w:rightChars="40" w:hanging="420" w:firstLineChars="0"/>
        <w:rPr>
          <w:color w:val="auto"/>
          <w:highlight w:val="none"/>
        </w:rPr>
      </w:pPr>
      <w:r>
        <w:rPr>
          <w:rFonts w:hint="eastAsia"/>
          <w:color w:val="auto"/>
          <w:highlight w:val="none"/>
        </w:rPr>
        <w:t>《建筑施工扣件式钢管脚手架安全技术规范》JGJ-130-2011</w:t>
      </w:r>
    </w:p>
    <w:p w14:paraId="051FC019">
      <w:pPr>
        <w:pStyle w:val="45"/>
        <w:numPr>
          <w:ilvl w:val="0"/>
          <w:numId w:val="5"/>
        </w:numPr>
        <w:ind w:left="900" w:right="84" w:rightChars="40" w:hanging="420" w:firstLineChars="0"/>
        <w:rPr>
          <w:color w:val="auto"/>
          <w:highlight w:val="none"/>
        </w:rPr>
      </w:pPr>
      <w:r>
        <w:rPr>
          <w:rFonts w:hint="eastAsia"/>
          <w:color w:val="auto"/>
          <w:highlight w:val="none"/>
        </w:rPr>
        <w:t>《建筑机械使用安全技术规程》(JGJ33-2012)</w:t>
      </w:r>
    </w:p>
    <w:p w14:paraId="2E192BE4">
      <w:pPr>
        <w:pStyle w:val="45"/>
        <w:numPr>
          <w:ilvl w:val="0"/>
          <w:numId w:val="5"/>
        </w:numPr>
        <w:ind w:left="900" w:right="84" w:rightChars="40" w:hanging="420" w:firstLineChars="0"/>
        <w:rPr>
          <w:color w:val="auto"/>
          <w:highlight w:val="none"/>
        </w:rPr>
      </w:pPr>
      <w:r>
        <w:rPr>
          <w:rFonts w:hint="eastAsia"/>
          <w:color w:val="auto"/>
          <w:highlight w:val="none"/>
        </w:rPr>
        <w:t>《起重机械安全规程》GB6067-2011</w:t>
      </w:r>
    </w:p>
    <w:p w14:paraId="16B59522">
      <w:pPr>
        <w:pStyle w:val="45"/>
        <w:numPr>
          <w:ilvl w:val="0"/>
          <w:numId w:val="5"/>
        </w:numPr>
        <w:ind w:left="900" w:right="84" w:rightChars="40" w:hanging="420" w:firstLineChars="0"/>
        <w:rPr>
          <w:rFonts w:asciiTheme="minorEastAsia" w:hAnsiTheme="minorEastAsia" w:eastAsiaTheme="minorEastAsia" w:cstheme="minorEastAsia"/>
          <w:color w:val="auto"/>
          <w:sz w:val="24"/>
          <w:highlight w:val="none"/>
        </w:rPr>
      </w:pPr>
      <w:r>
        <w:rPr>
          <w:rFonts w:hint="eastAsia"/>
          <w:color w:val="auto"/>
          <w:highlight w:val="none"/>
        </w:rPr>
        <w:t>《电力建设安全健康与环境管理规定》</w:t>
      </w:r>
    </w:p>
    <w:p w14:paraId="4F2701E2">
      <w:pPr>
        <w:pStyle w:val="45"/>
        <w:numPr>
          <w:ilvl w:val="0"/>
          <w:numId w:val="5"/>
        </w:numPr>
        <w:ind w:left="900" w:right="84" w:rightChars="40" w:hanging="420" w:firstLineChars="0"/>
        <w:rPr>
          <w:color w:val="auto"/>
          <w:highlight w:val="none"/>
        </w:rPr>
      </w:pPr>
      <w:r>
        <w:rPr>
          <w:rFonts w:hint="eastAsia"/>
          <w:color w:val="auto"/>
          <w:highlight w:val="none"/>
        </w:rPr>
        <w:t>《钢筋混凝土结构工程施工及验收规范》（GB50204-2001）</w:t>
      </w:r>
    </w:p>
    <w:p w14:paraId="26800E59">
      <w:pPr>
        <w:pStyle w:val="45"/>
        <w:numPr>
          <w:ilvl w:val="0"/>
          <w:numId w:val="5"/>
        </w:numPr>
        <w:ind w:left="900" w:right="84" w:rightChars="40" w:hanging="420" w:firstLineChars="0"/>
        <w:rPr>
          <w:rFonts w:asciiTheme="minorEastAsia" w:hAnsiTheme="minorEastAsia" w:eastAsiaTheme="minorEastAsia" w:cstheme="minorEastAsia"/>
          <w:color w:val="auto"/>
          <w:highlight w:val="none"/>
        </w:rPr>
      </w:pPr>
      <w:r>
        <w:rPr>
          <w:rFonts w:hint="eastAsia" w:asciiTheme="minorEastAsia" w:hAnsiTheme="minorEastAsia" w:cstheme="minorEastAsia"/>
          <w:color w:val="auto"/>
          <w:highlight w:val="none"/>
        </w:rPr>
        <w:t xml:space="preserve">根据 </w:t>
      </w:r>
      <w:r>
        <w:rPr>
          <w:rFonts w:hint="eastAsia"/>
          <w:color w:val="auto"/>
          <w:highlight w:val="none"/>
        </w:rPr>
        <w:t>GB6067-2014 起重机械安全规程</w:t>
      </w:r>
    </w:p>
    <w:p w14:paraId="0C7584B9">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（二）施工前的准备</w:t>
      </w:r>
    </w:p>
    <w:p w14:paraId="13715A77">
      <w:pPr>
        <w:ind w:firstLine="480"/>
        <w:jc w:val="both"/>
        <w:rPr>
          <w:rFonts w:ascii="宋体" w:hAnsi="宋体" w:cs="宋体"/>
          <w:color w:val="auto"/>
          <w:szCs w:val="21"/>
          <w:highlight w:val="none"/>
        </w:rPr>
      </w:pPr>
      <w:r>
        <w:rPr>
          <w:rFonts w:hint="eastAsia" w:ascii="宋体" w:hAnsi="宋体" w:cs="宋体"/>
          <w:color w:val="auto"/>
          <w:szCs w:val="21"/>
          <w:highlight w:val="none"/>
        </w:rPr>
        <w:t>1、8台AOD炉增加检修平台制作、主蒸汽流量计更换、1-3#冷却塔风筒压板更换、过热炉本体疏水管更换、过热炉减温器更换、环冷输灰系统安装、1-4号炉视频监控水位计光纤更换敷设、1#8#3#4#6#AOD炉及过热炉安全阀内漏研磨、煤气稳压系统安装、环冷炉蒙皮破更换等施工内容应根据上述技术条件或规范，现场勘探后再详细研究设备的图纸，结合具体的施工条件和其它有关技术规定，制订一份施工组织设计，编制施工作业指导书，明确质量验收程序和内容。在施工中应对每道工序均应仔细检查，做好记录，并严格进行部、组件分阶段验收及整体验收。</w:t>
      </w:r>
    </w:p>
    <w:p w14:paraId="7EA855FA">
      <w:pPr>
        <w:ind w:firstLine="480"/>
        <w:jc w:val="both"/>
        <w:rPr>
          <w:rFonts w:ascii="宋体" w:hAnsi="宋体" w:cs="宋体"/>
          <w:color w:val="auto"/>
          <w:szCs w:val="21"/>
          <w:highlight w:val="none"/>
        </w:rPr>
      </w:pPr>
      <w:r>
        <w:rPr>
          <w:rFonts w:hint="eastAsia" w:ascii="宋体" w:hAnsi="宋体" w:cs="宋体"/>
          <w:color w:val="auto"/>
          <w:szCs w:val="21"/>
          <w:highlight w:val="none"/>
        </w:rPr>
        <w:t>2、施工负责人必须先到达施工现场熟悉施工环境及确认工作内容。为完成施工所具备的劳动力资源和工、器具资源（详见下表二、表三：</w:t>
      </w:r>
      <w:r>
        <w:rPr>
          <w:rFonts w:hint="eastAsia" w:ascii="宋体" w:hAnsi="宋体" w:cs="宋体"/>
          <w:b/>
          <w:color w:val="auto"/>
          <w:szCs w:val="21"/>
          <w:highlight w:val="none"/>
          <w:shd w:val="clear" w:color="auto" w:fill="FFFF00"/>
        </w:rPr>
        <w:t>投标人填写</w:t>
      </w:r>
      <w:r>
        <w:rPr>
          <w:rFonts w:hint="eastAsia" w:ascii="宋体" w:hAnsi="宋体" w:cs="宋体"/>
          <w:color w:val="auto"/>
          <w:szCs w:val="21"/>
          <w:highlight w:val="none"/>
        </w:rPr>
        <w:t>）。</w:t>
      </w:r>
    </w:p>
    <w:p w14:paraId="1AF7545B">
      <w:pPr>
        <w:rPr>
          <w:rFonts w:ascii="宋体" w:hAnsi="宋体" w:cs="宋体"/>
          <w:color w:val="auto"/>
          <w:szCs w:val="21"/>
          <w:highlight w:val="none"/>
        </w:rPr>
      </w:pPr>
      <w:r>
        <w:rPr>
          <w:rFonts w:hint="eastAsia" w:ascii="宋体" w:hAnsi="宋体" w:cs="宋体"/>
          <w:color w:val="auto"/>
          <w:szCs w:val="21"/>
          <w:highlight w:val="none"/>
        </w:rPr>
        <w:t>表二：劳动办资源</w:t>
      </w:r>
    </w:p>
    <w:tbl>
      <w:tblPr>
        <w:tblStyle w:val="24"/>
        <w:tblW w:w="820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24"/>
        <w:gridCol w:w="2268"/>
        <w:gridCol w:w="1843"/>
        <w:gridCol w:w="2971"/>
      </w:tblGrid>
      <w:tr w14:paraId="04BFBAE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1D6BD657">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2268" w:type="dxa"/>
            <w:vAlign w:val="center"/>
          </w:tcPr>
          <w:p w14:paraId="4D0A92AF">
            <w:pPr>
              <w:jc w:val="center"/>
              <w:rPr>
                <w:rFonts w:ascii="宋体" w:hAnsi="宋体" w:cs="宋体"/>
                <w:color w:val="auto"/>
                <w:szCs w:val="21"/>
                <w:highlight w:val="none"/>
              </w:rPr>
            </w:pPr>
            <w:r>
              <w:rPr>
                <w:rFonts w:hint="eastAsia" w:ascii="宋体" w:hAnsi="宋体" w:cs="宋体"/>
                <w:color w:val="auto"/>
                <w:szCs w:val="21"/>
                <w:highlight w:val="none"/>
              </w:rPr>
              <w:t>工种</w:t>
            </w:r>
          </w:p>
        </w:tc>
        <w:tc>
          <w:tcPr>
            <w:tcW w:w="1843" w:type="dxa"/>
            <w:vAlign w:val="center"/>
          </w:tcPr>
          <w:p w14:paraId="29AA1D91">
            <w:pPr>
              <w:jc w:val="center"/>
              <w:rPr>
                <w:rFonts w:ascii="宋体" w:hAnsi="宋体" w:cs="宋体"/>
                <w:color w:val="auto"/>
                <w:szCs w:val="21"/>
                <w:highlight w:val="none"/>
              </w:rPr>
            </w:pPr>
            <w:r>
              <w:rPr>
                <w:rFonts w:hint="eastAsia" w:ascii="宋体" w:hAnsi="宋体" w:cs="宋体"/>
                <w:color w:val="auto"/>
                <w:szCs w:val="21"/>
                <w:highlight w:val="none"/>
              </w:rPr>
              <w:t>数量（人）</w:t>
            </w:r>
          </w:p>
        </w:tc>
        <w:tc>
          <w:tcPr>
            <w:tcW w:w="2971" w:type="dxa"/>
            <w:vAlign w:val="center"/>
          </w:tcPr>
          <w:p w14:paraId="7E3CFCEB">
            <w:pPr>
              <w:jc w:val="center"/>
              <w:rPr>
                <w:rFonts w:ascii="宋体" w:hAnsi="宋体" w:cs="宋体"/>
                <w:color w:val="auto"/>
                <w:szCs w:val="21"/>
                <w:highlight w:val="none"/>
              </w:rPr>
            </w:pPr>
            <w:r>
              <w:rPr>
                <w:rFonts w:hint="eastAsia" w:ascii="宋体" w:hAnsi="宋体" w:cs="宋体"/>
                <w:color w:val="auto"/>
                <w:szCs w:val="21"/>
                <w:highlight w:val="none"/>
              </w:rPr>
              <w:t>姓名</w:t>
            </w:r>
          </w:p>
        </w:tc>
      </w:tr>
      <w:tr w14:paraId="0FBB5E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4A713F27">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2268" w:type="dxa"/>
            <w:vAlign w:val="center"/>
          </w:tcPr>
          <w:p w14:paraId="759086D8">
            <w:pPr>
              <w:rPr>
                <w:rFonts w:ascii="宋体" w:hAnsi="宋体" w:cs="宋体"/>
                <w:color w:val="auto"/>
                <w:szCs w:val="21"/>
                <w:highlight w:val="none"/>
              </w:rPr>
            </w:pPr>
            <w:r>
              <w:rPr>
                <w:rFonts w:hint="eastAsia" w:ascii="宋体" w:hAnsi="宋体" w:cs="宋体"/>
                <w:color w:val="auto"/>
                <w:szCs w:val="21"/>
                <w:highlight w:val="none"/>
              </w:rPr>
              <w:t>施工负责人</w:t>
            </w:r>
          </w:p>
        </w:tc>
        <w:tc>
          <w:tcPr>
            <w:tcW w:w="1843" w:type="dxa"/>
            <w:vAlign w:val="center"/>
          </w:tcPr>
          <w:p w14:paraId="4491F7D7">
            <w:pPr>
              <w:jc w:val="center"/>
              <w:rPr>
                <w:rFonts w:ascii="宋体" w:hAnsi="宋体" w:cs="宋体"/>
                <w:color w:val="auto"/>
                <w:szCs w:val="21"/>
                <w:highlight w:val="none"/>
              </w:rPr>
            </w:pPr>
          </w:p>
        </w:tc>
        <w:tc>
          <w:tcPr>
            <w:tcW w:w="2971" w:type="dxa"/>
            <w:vAlign w:val="center"/>
          </w:tcPr>
          <w:p w14:paraId="2EDDD82F">
            <w:pPr>
              <w:jc w:val="center"/>
              <w:rPr>
                <w:rFonts w:ascii="宋体" w:hAnsi="宋体" w:cs="宋体"/>
                <w:color w:val="auto"/>
                <w:szCs w:val="21"/>
                <w:highlight w:val="none"/>
              </w:rPr>
            </w:pPr>
          </w:p>
        </w:tc>
      </w:tr>
      <w:tr w14:paraId="65E343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22192C7C">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2268" w:type="dxa"/>
            <w:vAlign w:val="center"/>
          </w:tcPr>
          <w:p w14:paraId="3ACC4ABE">
            <w:pPr>
              <w:rPr>
                <w:rFonts w:ascii="宋体" w:hAnsi="宋体" w:cs="宋体"/>
                <w:color w:val="auto"/>
                <w:szCs w:val="21"/>
                <w:highlight w:val="none"/>
              </w:rPr>
            </w:pPr>
            <w:r>
              <w:rPr>
                <w:rFonts w:hint="eastAsia" w:ascii="宋体" w:hAnsi="宋体" w:cs="宋体"/>
                <w:color w:val="auto"/>
                <w:szCs w:val="21"/>
                <w:highlight w:val="none"/>
              </w:rPr>
              <w:t>技术员</w:t>
            </w:r>
          </w:p>
        </w:tc>
        <w:tc>
          <w:tcPr>
            <w:tcW w:w="1843" w:type="dxa"/>
            <w:vAlign w:val="center"/>
          </w:tcPr>
          <w:p w14:paraId="4A5C2F9E">
            <w:pPr>
              <w:jc w:val="center"/>
              <w:rPr>
                <w:rFonts w:ascii="宋体" w:hAnsi="宋体" w:cs="宋体"/>
                <w:color w:val="auto"/>
                <w:szCs w:val="21"/>
                <w:highlight w:val="none"/>
              </w:rPr>
            </w:pPr>
          </w:p>
        </w:tc>
        <w:tc>
          <w:tcPr>
            <w:tcW w:w="2971" w:type="dxa"/>
            <w:vAlign w:val="center"/>
          </w:tcPr>
          <w:p w14:paraId="4D9B9D02">
            <w:pPr>
              <w:jc w:val="center"/>
              <w:rPr>
                <w:rFonts w:ascii="宋体" w:hAnsi="宋体" w:cs="宋体"/>
                <w:color w:val="auto"/>
                <w:szCs w:val="21"/>
                <w:highlight w:val="none"/>
              </w:rPr>
            </w:pPr>
          </w:p>
        </w:tc>
      </w:tr>
      <w:tr w14:paraId="35076DE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5A8FFDB9">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2268" w:type="dxa"/>
            <w:vAlign w:val="center"/>
          </w:tcPr>
          <w:p w14:paraId="61057E4B">
            <w:pPr>
              <w:rPr>
                <w:rFonts w:ascii="宋体" w:hAnsi="宋体" w:cs="宋体"/>
                <w:color w:val="auto"/>
                <w:szCs w:val="21"/>
                <w:highlight w:val="none"/>
              </w:rPr>
            </w:pPr>
            <w:r>
              <w:rPr>
                <w:rFonts w:hint="eastAsia" w:ascii="宋体" w:hAnsi="宋体" w:cs="宋体"/>
                <w:color w:val="auto"/>
                <w:szCs w:val="21"/>
                <w:highlight w:val="none"/>
              </w:rPr>
              <w:t>质检员</w:t>
            </w:r>
          </w:p>
        </w:tc>
        <w:tc>
          <w:tcPr>
            <w:tcW w:w="1843" w:type="dxa"/>
            <w:vAlign w:val="center"/>
          </w:tcPr>
          <w:p w14:paraId="2ACAE627">
            <w:pPr>
              <w:jc w:val="center"/>
              <w:rPr>
                <w:rFonts w:ascii="宋体" w:hAnsi="宋体" w:cs="宋体"/>
                <w:color w:val="auto"/>
                <w:szCs w:val="21"/>
                <w:highlight w:val="none"/>
              </w:rPr>
            </w:pPr>
          </w:p>
        </w:tc>
        <w:tc>
          <w:tcPr>
            <w:tcW w:w="2971" w:type="dxa"/>
            <w:vAlign w:val="center"/>
          </w:tcPr>
          <w:p w14:paraId="44EC3704">
            <w:pPr>
              <w:jc w:val="center"/>
              <w:rPr>
                <w:rFonts w:ascii="宋体" w:hAnsi="宋体" w:cs="宋体"/>
                <w:color w:val="auto"/>
                <w:szCs w:val="21"/>
                <w:highlight w:val="none"/>
              </w:rPr>
            </w:pPr>
          </w:p>
        </w:tc>
      </w:tr>
      <w:tr w14:paraId="0236D5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7910A590">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2268" w:type="dxa"/>
            <w:vAlign w:val="center"/>
          </w:tcPr>
          <w:p w14:paraId="0EAC7350">
            <w:pPr>
              <w:rPr>
                <w:rFonts w:ascii="宋体" w:hAnsi="宋体" w:cs="宋体"/>
                <w:color w:val="auto"/>
                <w:szCs w:val="21"/>
                <w:highlight w:val="none"/>
              </w:rPr>
            </w:pPr>
            <w:r>
              <w:rPr>
                <w:rFonts w:hint="eastAsia" w:ascii="宋体" w:hAnsi="宋体" w:cs="宋体"/>
                <w:color w:val="auto"/>
                <w:szCs w:val="21"/>
                <w:highlight w:val="none"/>
              </w:rPr>
              <w:t>安全员</w:t>
            </w:r>
          </w:p>
        </w:tc>
        <w:tc>
          <w:tcPr>
            <w:tcW w:w="1843" w:type="dxa"/>
            <w:vAlign w:val="center"/>
          </w:tcPr>
          <w:p w14:paraId="08D06A0E">
            <w:pPr>
              <w:jc w:val="center"/>
              <w:rPr>
                <w:rFonts w:ascii="宋体" w:hAnsi="宋体" w:cs="宋体"/>
                <w:color w:val="auto"/>
                <w:szCs w:val="21"/>
                <w:highlight w:val="none"/>
              </w:rPr>
            </w:pPr>
          </w:p>
        </w:tc>
        <w:tc>
          <w:tcPr>
            <w:tcW w:w="2971" w:type="dxa"/>
            <w:vAlign w:val="center"/>
          </w:tcPr>
          <w:p w14:paraId="3E815215">
            <w:pPr>
              <w:jc w:val="center"/>
              <w:rPr>
                <w:rFonts w:ascii="宋体" w:hAnsi="宋体" w:cs="宋体"/>
                <w:color w:val="auto"/>
                <w:szCs w:val="21"/>
                <w:highlight w:val="none"/>
              </w:rPr>
            </w:pPr>
          </w:p>
        </w:tc>
      </w:tr>
      <w:tr w14:paraId="309086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0CB8FCCD">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2268" w:type="dxa"/>
            <w:vAlign w:val="center"/>
          </w:tcPr>
          <w:p w14:paraId="2FC6FDF2">
            <w:pPr>
              <w:rPr>
                <w:rFonts w:ascii="宋体" w:hAnsi="宋体" w:cs="宋体"/>
                <w:color w:val="auto"/>
                <w:szCs w:val="21"/>
                <w:highlight w:val="none"/>
              </w:rPr>
            </w:pPr>
            <w:r>
              <w:rPr>
                <w:rFonts w:hint="eastAsia" w:ascii="宋体" w:hAnsi="宋体" w:cs="宋体"/>
                <w:color w:val="auto"/>
                <w:szCs w:val="21"/>
                <w:highlight w:val="none"/>
              </w:rPr>
              <w:t>电焊工</w:t>
            </w:r>
          </w:p>
        </w:tc>
        <w:tc>
          <w:tcPr>
            <w:tcW w:w="1843" w:type="dxa"/>
            <w:vAlign w:val="center"/>
          </w:tcPr>
          <w:p w14:paraId="0009039A">
            <w:pPr>
              <w:jc w:val="center"/>
              <w:rPr>
                <w:rFonts w:ascii="宋体" w:hAnsi="宋体" w:cs="宋体"/>
                <w:color w:val="auto"/>
                <w:szCs w:val="21"/>
                <w:highlight w:val="none"/>
              </w:rPr>
            </w:pPr>
          </w:p>
        </w:tc>
        <w:tc>
          <w:tcPr>
            <w:tcW w:w="2971" w:type="dxa"/>
            <w:vAlign w:val="center"/>
          </w:tcPr>
          <w:p w14:paraId="74DBD53D">
            <w:pPr>
              <w:jc w:val="center"/>
              <w:rPr>
                <w:rFonts w:ascii="宋体" w:hAnsi="宋体" w:cs="宋体"/>
                <w:color w:val="auto"/>
                <w:szCs w:val="21"/>
                <w:highlight w:val="none"/>
              </w:rPr>
            </w:pPr>
          </w:p>
        </w:tc>
      </w:tr>
      <w:tr w14:paraId="2C5DF6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24" w:type="dxa"/>
            <w:vAlign w:val="center"/>
          </w:tcPr>
          <w:p w14:paraId="338E4DBD">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2268" w:type="dxa"/>
            <w:vAlign w:val="center"/>
          </w:tcPr>
          <w:p w14:paraId="75492B44">
            <w:pPr>
              <w:rPr>
                <w:rFonts w:ascii="宋体" w:hAnsi="宋体" w:cs="宋体"/>
                <w:color w:val="auto"/>
                <w:szCs w:val="21"/>
                <w:highlight w:val="none"/>
              </w:rPr>
            </w:pPr>
            <w:r>
              <w:rPr>
                <w:rFonts w:hint="eastAsia" w:ascii="宋体" w:hAnsi="宋体" w:cs="宋体"/>
                <w:color w:val="auto"/>
                <w:szCs w:val="21"/>
                <w:highlight w:val="none"/>
              </w:rPr>
              <w:t>钳工</w:t>
            </w:r>
          </w:p>
        </w:tc>
        <w:tc>
          <w:tcPr>
            <w:tcW w:w="1843" w:type="dxa"/>
            <w:vAlign w:val="center"/>
          </w:tcPr>
          <w:p w14:paraId="130DC738">
            <w:pPr>
              <w:jc w:val="center"/>
              <w:rPr>
                <w:rFonts w:ascii="宋体" w:hAnsi="宋体" w:cs="宋体"/>
                <w:color w:val="auto"/>
                <w:szCs w:val="21"/>
                <w:highlight w:val="none"/>
              </w:rPr>
            </w:pPr>
          </w:p>
        </w:tc>
        <w:tc>
          <w:tcPr>
            <w:tcW w:w="2971" w:type="dxa"/>
            <w:vAlign w:val="center"/>
          </w:tcPr>
          <w:p w14:paraId="12A05808">
            <w:pPr>
              <w:jc w:val="center"/>
              <w:rPr>
                <w:rFonts w:ascii="宋体" w:hAnsi="宋体" w:cs="宋体"/>
                <w:color w:val="auto"/>
                <w:szCs w:val="21"/>
                <w:highlight w:val="none"/>
              </w:rPr>
            </w:pPr>
          </w:p>
        </w:tc>
      </w:tr>
    </w:tbl>
    <w:p w14:paraId="2BC99D81">
      <w:pPr>
        <w:jc w:val="both"/>
        <w:rPr>
          <w:rFonts w:ascii="宋体" w:hAnsi="宋体" w:cs="宋体"/>
          <w:color w:val="auto"/>
          <w:szCs w:val="21"/>
          <w:highlight w:val="none"/>
        </w:rPr>
      </w:pPr>
      <w:r>
        <w:rPr>
          <w:rFonts w:hint="eastAsia" w:ascii="宋体" w:hAnsi="宋体" w:cs="宋体"/>
          <w:color w:val="auto"/>
          <w:szCs w:val="21"/>
          <w:highlight w:val="none"/>
        </w:rPr>
        <w:t>表三：工、器具资源</w:t>
      </w:r>
    </w:p>
    <w:tbl>
      <w:tblPr>
        <w:tblStyle w:val="24"/>
        <w:tblW w:w="8332" w:type="dxa"/>
        <w:jc w:val="center"/>
        <w:tblLayout w:type="fixed"/>
        <w:tblCellMar>
          <w:top w:w="0" w:type="dxa"/>
          <w:left w:w="108" w:type="dxa"/>
          <w:bottom w:w="0" w:type="dxa"/>
          <w:right w:w="108" w:type="dxa"/>
        </w:tblCellMar>
      </w:tblPr>
      <w:tblGrid>
        <w:gridCol w:w="761"/>
        <w:gridCol w:w="1499"/>
        <w:gridCol w:w="1276"/>
        <w:gridCol w:w="851"/>
        <w:gridCol w:w="1134"/>
        <w:gridCol w:w="2811"/>
      </w:tblGrid>
      <w:tr w14:paraId="7A9F181F">
        <w:trPr>
          <w:trHeight w:val="170" w:hRule="atLeast"/>
          <w:tblHeader/>
          <w:jc w:val="center"/>
        </w:trPr>
        <w:tc>
          <w:tcPr>
            <w:tcW w:w="761" w:type="dxa"/>
            <w:tcBorders>
              <w:top w:val="single" w:color="auto" w:sz="6" w:space="0"/>
              <w:left w:val="single" w:color="auto" w:sz="6" w:space="0"/>
              <w:bottom w:val="single" w:color="auto" w:sz="6" w:space="0"/>
              <w:right w:val="single" w:color="auto" w:sz="6" w:space="0"/>
            </w:tcBorders>
            <w:vAlign w:val="center"/>
          </w:tcPr>
          <w:p w14:paraId="70AC1C80">
            <w:pPr>
              <w:jc w:val="center"/>
              <w:rPr>
                <w:rFonts w:ascii="宋体" w:hAnsi="宋体" w:cs="宋体"/>
                <w:b/>
                <w:color w:val="auto"/>
                <w:szCs w:val="21"/>
                <w:highlight w:val="none"/>
              </w:rPr>
            </w:pPr>
            <w:r>
              <w:rPr>
                <w:rFonts w:hint="eastAsia" w:ascii="宋体" w:hAnsi="宋体" w:cs="宋体"/>
                <w:b/>
                <w:color w:val="auto"/>
                <w:szCs w:val="21"/>
                <w:highlight w:val="none"/>
                <w:lang w:val="zh-CN"/>
              </w:rPr>
              <w:t>序号</w:t>
            </w:r>
          </w:p>
        </w:tc>
        <w:tc>
          <w:tcPr>
            <w:tcW w:w="1499" w:type="dxa"/>
            <w:tcBorders>
              <w:top w:val="single" w:color="auto" w:sz="6" w:space="0"/>
              <w:left w:val="single" w:color="auto" w:sz="6" w:space="0"/>
              <w:bottom w:val="single" w:color="auto" w:sz="6" w:space="0"/>
              <w:right w:val="single" w:color="auto" w:sz="6" w:space="0"/>
            </w:tcBorders>
            <w:vAlign w:val="center"/>
          </w:tcPr>
          <w:p w14:paraId="15CE5503">
            <w:pPr>
              <w:jc w:val="center"/>
              <w:rPr>
                <w:rFonts w:ascii="宋体" w:hAnsi="宋体" w:cs="宋体"/>
                <w:b/>
                <w:color w:val="auto"/>
                <w:szCs w:val="21"/>
                <w:highlight w:val="none"/>
              </w:rPr>
            </w:pPr>
            <w:r>
              <w:rPr>
                <w:rFonts w:hint="eastAsia" w:ascii="宋体" w:hAnsi="宋体" w:cs="宋体"/>
                <w:b/>
                <w:color w:val="auto"/>
                <w:szCs w:val="21"/>
                <w:highlight w:val="none"/>
                <w:lang w:val="zh-CN"/>
              </w:rPr>
              <w:t>名称</w:t>
            </w:r>
          </w:p>
        </w:tc>
        <w:tc>
          <w:tcPr>
            <w:tcW w:w="1276" w:type="dxa"/>
            <w:tcBorders>
              <w:top w:val="single" w:color="auto" w:sz="6" w:space="0"/>
              <w:left w:val="single" w:color="auto" w:sz="6" w:space="0"/>
              <w:bottom w:val="single" w:color="auto" w:sz="6" w:space="0"/>
              <w:right w:val="single" w:color="auto" w:sz="6" w:space="0"/>
            </w:tcBorders>
            <w:vAlign w:val="center"/>
          </w:tcPr>
          <w:p w14:paraId="27A006F8">
            <w:pPr>
              <w:jc w:val="center"/>
              <w:rPr>
                <w:rFonts w:ascii="宋体" w:hAnsi="宋体" w:cs="宋体"/>
                <w:b/>
                <w:color w:val="auto"/>
                <w:szCs w:val="21"/>
                <w:highlight w:val="none"/>
              </w:rPr>
            </w:pPr>
            <w:r>
              <w:rPr>
                <w:rFonts w:hint="eastAsia" w:ascii="宋体" w:hAnsi="宋体" w:cs="宋体"/>
                <w:b/>
                <w:color w:val="auto"/>
                <w:szCs w:val="21"/>
                <w:highlight w:val="none"/>
                <w:lang w:val="zh-CN"/>
              </w:rPr>
              <w:t>规格型号</w:t>
            </w:r>
          </w:p>
        </w:tc>
        <w:tc>
          <w:tcPr>
            <w:tcW w:w="851" w:type="dxa"/>
            <w:tcBorders>
              <w:top w:val="single" w:color="auto" w:sz="6" w:space="0"/>
              <w:left w:val="single" w:color="auto" w:sz="6" w:space="0"/>
              <w:bottom w:val="single" w:color="auto" w:sz="6" w:space="0"/>
              <w:right w:val="single" w:color="auto" w:sz="6" w:space="0"/>
            </w:tcBorders>
            <w:vAlign w:val="center"/>
          </w:tcPr>
          <w:p w14:paraId="41381862">
            <w:pPr>
              <w:jc w:val="center"/>
              <w:rPr>
                <w:rFonts w:ascii="宋体" w:hAnsi="宋体" w:cs="宋体"/>
                <w:b/>
                <w:color w:val="auto"/>
                <w:szCs w:val="21"/>
                <w:highlight w:val="none"/>
              </w:rPr>
            </w:pPr>
            <w:r>
              <w:rPr>
                <w:rFonts w:hint="eastAsia" w:ascii="宋体" w:hAnsi="宋体" w:cs="宋体"/>
                <w:b/>
                <w:color w:val="auto"/>
                <w:szCs w:val="21"/>
                <w:highlight w:val="none"/>
                <w:lang w:val="zh-CN"/>
              </w:rPr>
              <w:t>单位</w:t>
            </w:r>
          </w:p>
        </w:tc>
        <w:tc>
          <w:tcPr>
            <w:tcW w:w="1134" w:type="dxa"/>
            <w:tcBorders>
              <w:top w:val="single" w:color="auto" w:sz="6" w:space="0"/>
              <w:left w:val="single" w:color="auto" w:sz="6" w:space="0"/>
              <w:bottom w:val="single" w:color="auto" w:sz="6" w:space="0"/>
              <w:right w:val="single" w:color="auto" w:sz="6" w:space="0"/>
            </w:tcBorders>
            <w:vAlign w:val="center"/>
          </w:tcPr>
          <w:p w14:paraId="200C3B99">
            <w:pPr>
              <w:jc w:val="center"/>
              <w:rPr>
                <w:rFonts w:ascii="宋体" w:hAnsi="宋体" w:cs="宋体"/>
                <w:b/>
                <w:color w:val="auto"/>
                <w:szCs w:val="21"/>
                <w:highlight w:val="none"/>
              </w:rPr>
            </w:pPr>
            <w:r>
              <w:rPr>
                <w:rFonts w:hint="eastAsia" w:ascii="宋体" w:hAnsi="宋体" w:cs="宋体"/>
                <w:b/>
                <w:color w:val="auto"/>
                <w:szCs w:val="21"/>
                <w:highlight w:val="none"/>
                <w:lang w:val="zh-CN"/>
              </w:rPr>
              <w:t>数量</w:t>
            </w:r>
          </w:p>
        </w:tc>
        <w:tc>
          <w:tcPr>
            <w:tcW w:w="2811" w:type="dxa"/>
            <w:tcBorders>
              <w:top w:val="single" w:color="auto" w:sz="6" w:space="0"/>
              <w:left w:val="single" w:color="auto" w:sz="6" w:space="0"/>
              <w:bottom w:val="single" w:color="auto" w:sz="6" w:space="0"/>
              <w:right w:val="single" w:color="auto" w:sz="6" w:space="0"/>
            </w:tcBorders>
            <w:vAlign w:val="center"/>
          </w:tcPr>
          <w:p w14:paraId="105727D0">
            <w:pPr>
              <w:jc w:val="center"/>
              <w:rPr>
                <w:rFonts w:ascii="宋体" w:hAnsi="宋体" w:cs="宋体"/>
                <w:b/>
                <w:color w:val="auto"/>
                <w:szCs w:val="21"/>
                <w:highlight w:val="none"/>
              </w:rPr>
            </w:pPr>
            <w:r>
              <w:rPr>
                <w:rFonts w:hint="eastAsia" w:ascii="宋体" w:hAnsi="宋体" w:cs="宋体"/>
                <w:b/>
                <w:color w:val="auto"/>
                <w:szCs w:val="21"/>
                <w:highlight w:val="none"/>
                <w:lang w:val="zh-CN"/>
              </w:rPr>
              <w:t>要求</w:t>
            </w:r>
          </w:p>
        </w:tc>
      </w:tr>
      <w:tr w14:paraId="4C649995">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46D5AFE">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499" w:type="dxa"/>
            <w:tcBorders>
              <w:top w:val="single" w:color="auto" w:sz="6" w:space="0"/>
              <w:left w:val="single" w:color="auto" w:sz="6" w:space="0"/>
              <w:bottom w:val="single" w:color="auto" w:sz="6" w:space="0"/>
              <w:right w:val="single" w:color="auto" w:sz="6" w:space="0"/>
            </w:tcBorders>
            <w:vAlign w:val="center"/>
          </w:tcPr>
          <w:p w14:paraId="32489452">
            <w:pPr>
              <w:rPr>
                <w:rFonts w:ascii="宋体" w:hAnsi="宋体" w:cs="宋体"/>
                <w:color w:val="auto"/>
                <w:szCs w:val="21"/>
                <w:highlight w:val="none"/>
              </w:rPr>
            </w:pPr>
            <w:r>
              <w:rPr>
                <w:rFonts w:hint="eastAsia" w:ascii="宋体" w:hAnsi="宋体" w:cs="宋体"/>
                <w:color w:val="auto"/>
                <w:szCs w:val="21"/>
                <w:highlight w:val="none"/>
                <w:lang w:val="zh-CN"/>
              </w:rPr>
              <w:t>气割</w:t>
            </w:r>
          </w:p>
        </w:tc>
        <w:tc>
          <w:tcPr>
            <w:tcW w:w="1276" w:type="dxa"/>
            <w:tcBorders>
              <w:top w:val="single" w:color="auto" w:sz="6" w:space="0"/>
              <w:left w:val="single" w:color="auto" w:sz="6" w:space="0"/>
              <w:bottom w:val="single" w:color="auto" w:sz="6" w:space="0"/>
              <w:right w:val="single" w:color="auto" w:sz="6" w:space="0"/>
            </w:tcBorders>
            <w:vAlign w:val="center"/>
          </w:tcPr>
          <w:p w14:paraId="256EE3A9">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2A208404">
            <w:pPr>
              <w:jc w:val="center"/>
              <w:rPr>
                <w:rFonts w:ascii="宋体" w:hAnsi="宋体" w:cs="宋体"/>
                <w:color w:val="auto"/>
                <w:szCs w:val="21"/>
                <w:highlight w:val="none"/>
              </w:rPr>
            </w:pPr>
            <w:r>
              <w:rPr>
                <w:rFonts w:hint="eastAsia" w:ascii="宋体" w:hAnsi="宋体" w:cs="宋体"/>
                <w:color w:val="auto"/>
                <w:szCs w:val="21"/>
                <w:highlight w:val="none"/>
                <w:lang w:val="zh-CN"/>
              </w:rPr>
              <w:t>套</w:t>
            </w:r>
          </w:p>
        </w:tc>
        <w:tc>
          <w:tcPr>
            <w:tcW w:w="1134" w:type="dxa"/>
            <w:tcBorders>
              <w:top w:val="single" w:color="auto" w:sz="6" w:space="0"/>
              <w:left w:val="single" w:color="auto" w:sz="6" w:space="0"/>
              <w:bottom w:val="single" w:color="auto" w:sz="6" w:space="0"/>
              <w:right w:val="single" w:color="auto" w:sz="6" w:space="0"/>
            </w:tcBorders>
            <w:vAlign w:val="center"/>
          </w:tcPr>
          <w:p w14:paraId="3C755B1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7D33EEFF">
            <w:pPr>
              <w:rPr>
                <w:rFonts w:ascii="宋体" w:hAnsi="宋体" w:cs="宋体"/>
                <w:color w:val="auto"/>
                <w:szCs w:val="21"/>
                <w:highlight w:val="none"/>
              </w:rPr>
            </w:pPr>
            <w:r>
              <w:rPr>
                <w:rFonts w:hint="eastAsia" w:ascii="宋体" w:hAnsi="宋体" w:cs="宋体"/>
                <w:color w:val="auto"/>
                <w:szCs w:val="21"/>
                <w:highlight w:val="none"/>
                <w:lang w:val="zh-CN"/>
              </w:rPr>
              <w:t>检查合格</w:t>
            </w:r>
          </w:p>
        </w:tc>
      </w:tr>
      <w:tr w14:paraId="25759B4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A64C72A">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499" w:type="dxa"/>
            <w:tcBorders>
              <w:top w:val="single" w:color="auto" w:sz="6" w:space="0"/>
              <w:left w:val="single" w:color="auto" w:sz="6" w:space="0"/>
              <w:bottom w:val="single" w:color="auto" w:sz="6" w:space="0"/>
              <w:right w:val="single" w:color="auto" w:sz="6" w:space="0"/>
            </w:tcBorders>
            <w:vAlign w:val="center"/>
          </w:tcPr>
          <w:p w14:paraId="17396E87">
            <w:pPr>
              <w:rPr>
                <w:rFonts w:ascii="宋体" w:hAnsi="宋体" w:cs="宋体"/>
                <w:color w:val="auto"/>
                <w:szCs w:val="21"/>
                <w:highlight w:val="none"/>
              </w:rPr>
            </w:pPr>
            <w:r>
              <w:rPr>
                <w:rFonts w:hint="eastAsia" w:ascii="宋体" w:hAnsi="宋体" w:cs="宋体"/>
                <w:color w:val="auto"/>
                <w:szCs w:val="21"/>
                <w:highlight w:val="none"/>
                <w:lang w:val="zh-CN"/>
              </w:rPr>
              <w:t>磨光机</w:t>
            </w:r>
          </w:p>
        </w:tc>
        <w:tc>
          <w:tcPr>
            <w:tcW w:w="1276" w:type="dxa"/>
            <w:tcBorders>
              <w:top w:val="single" w:color="auto" w:sz="6" w:space="0"/>
              <w:left w:val="single" w:color="auto" w:sz="6" w:space="0"/>
              <w:bottom w:val="single" w:color="auto" w:sz="6" w:space="0"/>
              <w:right w:val="single" w:color="auto" w:sz="6" w:space="0"/>
            </w:tcBorders>
            <w:vAlign w:val="center"/>
          </w:tcPr>
          <w:p w14:paraId="1151E379">
            <w:pPr>
              <w:jc w:val="center"/>
              <w:rPr>
                <w:rFonts w:ascii="宋体" w:hAnsi="宋体" w:cs="宋体"/>
                <w:color w:val="auto"/>
                <w:szCs w:val="21"/>
                <w:highlight w:val="none"/>
              </w:rPr>
            </w:pPr>
            <w:r>
              <w:rPr>
                <w:rFonts w:hint="eastAsia" w:ascii="宋体" w:hAnsi="宋体" w:cs="宋体"/>
                <w:color w:val="auto"/>
                <w:szCs w:val="21"/>
                <w:highlight w:val="none"/>
              </w:rPr>
              <w:t>φ100</w:t>
            </w:r>
          </w:p>
        </w:tc>
        <w:tc>
          <w:tcPr>
            <w:tcW w:w="851" w:type="dxa"/>
            <w:tcBorders>
              <w:top w:val="single" w:color="auto" w:sz="6" w:space="0"/>
              <w:left w:val="single" w:color="auto" w:sz="6" w:space="0"/>
              <w:bottom w:val="single" w:color="auto" w:sz="6" w:space="0"/>
              <w:right w:val="single" w:color="auto" w:sz="6" w:space="0"/>
            </w:tcBorders>
            <w:vAlign w:val="center"/>
          </w:tcPr>
          <w:p w14:paraId="0D9055CD">
            <w:pPr>
              <w:jc w:val="center"/>
              <w:rPr>
                <w:rFonts w:ascii="宋体" w:hAnsi="宋体" w:cs="宋体"/>
                <w:color w:val="auto"/>
                <w:szCs w:val="21"/>
                <w:highlight w:val="none"/>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75385FD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0EC1375D">
            <w:pPr>
              <w:rPr>
                <w:rFonts w:ascii="宋体" w:hAnsi="宋体" w:cs="宋体"/>
                <w:color w:val="auto"/>
                <w:szCs w:val="21"/>
                <w:highlight w:val="none"/>
              </w:rPr>
            </w:pPr>
            <w:r>
              <w:rPr>
                <w:rFonts w:hint="eastAsia" w:ascii="宋体" w:hAnsi="宋体" w:cs="宋体"/>
                <w:color w:val="auto"/>
                <w:szCs w:val="21"/>
                <w:highlight w:val="none"/>
                <w:lang w:val="zh-CN"/>
              </w:rPr>
              <w:t>检验合格并在有效期内</w:t>
            </w:r>
          </w:p>
        </w:tc>
      </w:tr>
      <w:tr w14:paraId="5A79D0FA">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2BD24730">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499" w:type="dxa"/>
            <w:tcBorders>
              <w:top w:val="single" w:color="auto" w:sz="6" w:space="0"/>
              <w:left w:val="single" w:color="auto" w:sz="6" w:space="0"/>
              <w:bottom w:val="single" w:color="auto" w:sz="6" w:space="0"/>
              <w:right w:val="single" w:color="auto" w:sz="6" w:space="0"/>
            </w:tcBorders>
            <w:vAlign w:val="center"/>
          </w:tcPr>
          <w:p w14:paraId="3D01BADA">
            <w:pPr>
              <w:rPr>
                <w:rFonts w:ascii="宋体" w:hAnsi="宋体" w:cs="宋体"/>
                <w:color w:val="auto"/>
                <w:szCs w:val="21"/>
                <w:highlight w:val="none"/>
                <w:lang w:val="zh-CN"/>
              </w:rPr>
            </w:pPr>
            <w:r>
              <w:rPr>
                <w:rFonts w:hint="eastAsia" w:ascii="宋体" w:hAnsi="宋体" w:cs="宋体"/>
                <w:color w:val="auto"/>
                <w:szCs w:val="21"/>
                <w:highlight w:val="none"/>
                <w:lang w:val="zh-CN"/>
              </w:rPr>
              <w:t>内磨机</w:t>
            </w:r>
          </w:p>
        </w:tc>
        <w:tc>
          <w:tcPr>
            <w:tcW w:w="1276" w:type="dxa"/>
            <w:tcBorders>
              <w:top w:val="single" w:color="auto" w:sz="6" w:space="0"/>
              <w:left w:val="single" w:color="auto" w:sz="6" w:space="0"/>
              <w:bottom w:val="single" w:color="auto" w:sz="6" w:space="0"/>
              <w:right w:val="single" w:color="auto" w:sz="6" w:space="0"/>
            </w:tcBorders>
            <w:vAlign w:val="center"/>
          </w:tcPr>
          <w:p w14:paraId="066A22CD">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30C5D1A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300838C7">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4676E69C">
            <w:pPr>
              <w:rPr>
                <w:rFonts w:ascii="宋体" w:hAnsi="宋体" w:cs="宋体"/>
                <w:color w:val="auto"/>
                <w:szCs w:val="21"/>
                <w:highlight w:val="none"/>
                <w:lang w:val="zh-CN"/>
              </w:rPr>
            </w:pPr>
            <w:r>
              <w:rPr>
                <w:rFonts w:hint="eastAsia" w:ascii="宋体" w:hAnsi="宋体" w:cs="宋体"/>
                <w:color w:val="auto"/>
                <w:szCs w:val="21"/>
                <w:highlight w:val="none"/>
                <w:lang w:val="zh-CN"/>
              </w:rPr>
              <w:t>检验合格并在有效期内</w:t>
            </w:r>
          </w:p>
        </w:tc>
      </w:tr>
      <w:tr w14:paraId="39396177">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0E52ECA7">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499" w:type="dxa"/>
            <w:tcBorders>
              <w:top w:val="single" w:color="auto" w:sz="6" w:space="0"/>
              <w:left w:val="single" w:color="auto" w:sz="6" w:space="0"/>
              <w:bottom w:val="single" w:color="auto" w:sz="6" w:space="0"/>
              <w:right w:val="single" w:color="auto" w:sz="6" w:space="0"/>
            </w:tcBorders>
            <w:vAlign w:val="center"/>
          </w:tcPr>
          <w:p w14:paraId="1E4D7060">
            <w:pPr>
              <w:rPr>
                <w:rFonts w:ascii="宋体" w:hAnsi="宋体" w:cs="宋体"/>
                <w:color w:val="auto"/>
                <w:szCs w:val="21"/>
                <w:highlight w:val="none"/>
                <w:lang w:val="zh-CN"/>
              </w:rPr>
            </w:pPr>
            <w:r>
              <w:rPr>
                <w:rFonts w:hint="eastAsia" w:ascii="宋体" w:hAnsi="宋体" w:cs="宋体"/>
                <w:color w:val="auto"/>
                <w:szCs w:val="21"/>
                <w:highlight w:val="none"/>
                <w:lang w:val="zh-CN"/>
              </w:rPr>
              <w:t>对口钳</w:t>
            </w:r>
          </w:p>
        </w:tc>
        <w:tc>
          <w:tcPr>
            <w:tcW w:w="1276" w:type="dxa"/>
            <w:tcBorders>
              <w:top w:val="single" w:color="auto" w:sz="6" w:space="0"/>
              <w:left w:val="single" w:color="auto" w:sz="6" w:space="0"/>
              <w:bottom w:val="single" w:color="auto" w:sz="6" w:space="0"/>
              <w:right w:val="single" w:color="auto" w:sz="6" w:space="0"/>
            </w:tcBorders>
            <w:vAlign w:val="center"/>
          </w:tcPr>
          <w:p w14:paraId="1BDCE513">
            <w:pPr>
              <w:jc w:val="center"/>
              <w:rPr>
                <w:rFonts w:ascii="宋体" w:hAnsi="宋体" w:cs="宋体"/>
                <w:color w:val="auto"/>
                <w:szCs w:val="21"/>
                <w:highlight w:val="none"/>
              </w:rPr>
            </w:pPr>
            <w:r>
              <w:rPr>
                <w:rFonts w:hint="eastAsia" w:ascii="宋体" w:hAnsi="宋体" w:cs="宋体"/>
                <w:color w:val="auto"/>
                <w:szCs w:val="21"/>
                <w:highlight w:val="none"/>
              </w:rPr>
              <w:t>/</w:t>
            </w:r>
          </w:p>
        </w:tc>
        <w:tc>
          <w:tcPr>
            <w:tcW w:w="851" w:type="dxa"/>
            <w:tcBorders>
              <w:top w:val="single" w:color="auto" w:sz="6" w:space="0"/>
              <w:left w:val="single" w:color="auto" w:sz="6" w:space="0"/>
              <w:bottom w:val="single" w:color="auto" w:sz="6" w:space="0"/>
              <w:right w:val="single" w:color="auto" w:sz="6" w:space="0"/>
            </w:tcBorders>
            <w:vAlign w:val="center"/>
          </w:tcPr>
          <w:p w14:paraId="044CC759">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把</w:t>
            </w:r>
          </w:p>
        </w:tc>
        <w:tc>
          <w:tcPr>
            <w:tcW w:w="1134" w:type="dxa"/>
            <w:tcBorders>
              <w:top w:val="single" w:color="auto" w:sz="6" w:space="0"/>
              <w:left w:val="single" w:color="auto" w:sz="6" w:space="0"/>
              <w:bottom w:val="single" w:color="auto" w:sz="6" w:space="0"/>
              <w:right w:val="single" w:color="auto" w:sz="6" w:space="0"/>
            </w:tcBorders>
            <w:vAlign w:val="center"/>
          </w:tcPr>
          <w:p w14:paraId="108852B7">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58D9DE7E">
            <w:pPr>
              <w:rPr>
                <w:rFonts w:ascii="宋体" w:hAnsi="宋体" w:cs="宋体"/>
                <w:color w:val="auto"/>
                <w:szCs w:val="21"/>
                <w:highlight w:val="none"/>
                <w:lang w:val="zh-CN"/>
              </w:rPr>
            </w:pPr>
          </w:p>
        </w:tc>
      </w:tr>
      <w:tr w14:paraId="1E254871">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695CD5F7">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499" w:type="dxa"/>
            <w:tcBorders>
              <w:top w:val="single" w:color="auto" w:sz="6" w:space="0"/>
              <w:left w:val="single" w:color="auto" w:sz="6" w:space="0"/>
              <w:bottom w:val="single" w:color="auto" w:sz="6" w:space="0"/>
              <w:right w:val="single" w:color="auto" w:sz="6" w:space="0"/>
            </w:tcBorders>
            <w:vAlign w:val="center"/>
          </w:tcPr>
          <w:p w14:paraId="2989465D">
            <w:pPr>
              <w:rPr>
                <w:rFonts w:ascii="宋体" w:hAnsi="宋体" w:cs="宋体"/>
                <w:color w:val="auto"/>
                <w:szCs w:val="21"/>
                <w:highlight w:val="none"/>
                <w:lang w:val="zh-CN"/>
              </w:rPr>
            </w:pPr>
            <w:r>
              <w:rPr>
                <w:rFonts w:hint="eastAsia" w:ascii="宋体" w:hAnsi="宋体" w:cs="宋体"/>
                <w:color w:val="auto"/>
                <w:szCs w:val="21"/>
                <w:highlight w:val="none"/>
                <w:lang w:val="zh-CN"/>
              </w:rPr>
              <w:t>直流焊机</w:t>
            </w:r>
          </w:p>
        </w:tc>
        <w:tc>
          <w:tcPr>
            <w:tcW w:w="1276" w:type="dxa"/>
            <w:tcBorders>
              <w:top w:val="single" w:color="auto" w:sz="6" w:space="0"/>
              <w:left w:val="single" w:color="auto" w:sz="6" w:space="0"/>
              <w:bottom w:val="single" w:color="auto" w:sz="6" w:space="0"/>
              <w:right w:val="single" w:color="auto" w:sz="6" w:space="0"/>
            </w:tcBorders>
            <w:vAlign w:val="center"/>
          </w:tcPr>
          <w:p w14:paraId="125D2B44">
            <w:pPr>
              <w:jc w:val="center"/>
              <w:rPr>
                <w:rFonts w:ascii="宋体" w:hAnsi="宋体" w:cs="宋体"/>
                <w:color w:val="auto"/>
                <w:szCs w:val="21"/>
                <w:highlight w:val="none"/>
              </w:rPr>
            </w:pPr>
            <w:r>
              <w:rPr>
                <w:rFonts w:hint="eastAsia" w:ascii="宋体" w:hAnsi="宋体" w:cs="宋体"/>
                <w:color w:val="auto"/>
                <w:szCs w:val="21"/>
                <w:highlight w:val="none"/>
              </w:rPr>
              <w:t>400</w:t>
            </w:r>
          </w:p>
        </w:tc>
        <w:tc>
          <w:tcPr>
            <w:tcW w:w="851" w:type="dxa"/>
            <w:tcBorders>
              <w:top w:val="single" w:color="auto" w:sz="6" w:space="0"/>
              <w:left w:val="single" w:color="auto" w:sz="6" w:space="0"/>
              <w:bottom w:val="single" w:color="auto" w:sz="6" w:space="0"/>
              <w:right w:val="single" w:color="auto" w:sz="6" w:space="0"/>
            </w:tcBorders>
            <w:vAlign w:val="center"/>
          </w:tcPr>
          <w:p w14:paraId="1B517C2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2014198B">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3E24A045">
            <w:pPr>
              <w:rPr>
                <w:rFonts w:ascii="宋体" w:hAnsi="宋体" w:cs="宋体"/>
                <w:color w:val="auto"/>
                <w:szCs w:val="21"/>
                <w:highlight w:val="none"/>
              </w:rPr>
            </w:pPr>
          </w:p>
        </w:tc>
      </w:tr>
      <w:tr w14:paraId="510C1420">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1758D492">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499" w:type="dxa"/>
            <w:tcBorders>
              <w:top w:val="single" w:color="auto" w:sz="6" w:space="0"/>
              <w:left w:val="single" w:color="auto" w:sz="6" w:space="0"/>
              <w:bottom w:val="single" w:color="auto" w:sz="6" w:space="0"/>
              <w:right w:val="single" w:color="auto" w:sz="6" w:space="0"/>
            </w:tcBorders>
            <w:vAlign w:val="center"/>
          </w:tcPr>
          <w:p w14:paraId="45DF9D63">
            <w:pPr>
              <w:rPr>
                <w:rFonts w:ascii="宋体" w:hAnsi="宋体" w:cs="宋体"/>
                <w:color w:val="auto"/>
                <w:szCs w:val="21"/>
                <w:highlight w:val="none"/>
                <w:lang w:val="zh-CN"/>
              </w:rPr>
            </w:pPr>
            <w:r>
              <w:rPr>
                <w:rFonts w:hint="eastAsia" w:ascii="宋体" w:hAnsi="宋体" w:cs="宋体"/>
                <w:color w:val="auto"/>
                <w:szCs w:val="21"/>
                <w:highlight w:val="none"/>
                <w:lang w:val="zh-CN"/>
              </w:rPr>
              <w:t>氩弧焊把</w:t>
            </w:r>
          </w:p>
        </w:tc>
        <w:tc>
          <w:tcPr>
            <w:tcW w:w="1276" w:type="dxa"/>
            <w:tcBorders>
              <w:top w:val="single" w:color="auto" w:sz="6" w:space="0"/>
              <w:left w:val="single" w:color="auto" w:sz="6" w:space="0"/>
              <w:bottom w:val="single" w:color="auto" w:sz="6" w:space="0"/>
              <w:right w:val="single" w:color="auto" w:sz="6" w:space="0"/>
            </w:tcBorders>
            <w:vAlign w:val="center"/>
          </w:tcPr>
          <w:p w14:paraId="2EA5A938">
            <w:pPr>
              <w:jc w:val="center"/>
              <w:rPr>
                <w:rFonts w:ascii="宋体" w:hAnsi="宋体" w:cs="宋体"/>
                <w:color w:val="auto"/>
                <w:szCs w:val="21"/>
                <w:highlight w:val="none"/>
              </w:rPr>
            </w:pPr>
            <w:r>
              <w:rPr>
                <w:rFonts w:hint="eastAsia" w:ascii="宋体" w:hAnsi="宋体" w:cs="宋体"/>
                <w:color w:val="auto"/>
                <w:szCs w:val="21"/>
                <w:highlight w:val="none"/>
              </w:rPr>
              <w:t>150A</w:t>
            </w:r>
          </w:p>
        </w:tc>
        <w:tc>
          <w:tcPr>
            <w:tcW w:w="851" w:type="dxa"/>
            <w:tcBorders>
              <w:top w:val="single" w:color="auto" w:sz="6" w:space="0"/>
              <w:left w:val="single" w:color="auto" w:sz="6" w:space="0"/>
              <w:bottom w:val="single" w:color="auto" w:sz="6" w:space="0"/>
              <w:right w:val="single" w:color="auto" w:sz="6" w:space="0"/>
            </w:tcBorders>
            <w:vAlign w:val="center"/>
          </w:tcPr>
          <w:p w14:paraId="2459A369">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套</w:t>
            </w:r>
          </w:p>
        </w:tc>
        <w:tc>
          <w:tcPr>
            <w:tcW w:w="1134" w:type="dxa"/>
            <w:tcBorders>
              <w:top w:val="single" w:color="auto" w:sz="6" w:space="0"/>
              <w:left w:val="single" w:color="auto" w:sz="6" w:space="0"/>
              <w:bottom w:val="single" w:color="auto" w:sz="6" w:space="0"/>
              <w:right w:val="single" w:color="auto" w:sz="6" w:space="0"/>
            </w:tcBorders>
            <w:vAlign w:val="center"/>
          </w:tcPr>
          <w:p w14:paraId="1DDEB35C">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03939D74">
            <w:pPr>
              <w:rPr>
                <w:rFonts w:ascii="宋体" w:hAnsi="宋体" w:cs="宋体"/>
                <w:color w:val="auto"/>
                <w:szCs w:val="21"/>
                <w:highlight w:val="none"/>
              </w:rPr>
            </w:pPr>
          </w:p>
        </w:tc>
      </w:tr>
      <w:tr w14:paraId="4DD4A0E0">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576CF72D">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499" w:type="dxa"/>
            <w:tcBorders>
              <w:top w:val="single" w:color="auto" w:sz="6" w:space="0"/>
              <w:left w:val="single" w:color="auto" w:sz="6" w:space="0"/>
              <w:bottom w:val="single" w:color="auto" w:sz="6" w:space="0"/>
              <w:right w:val="single" w:color="auto" w:sz="6" w:space="0"/>
            </w:tcBorders>
            <w:vAlign w:val="center"/>
          </w:tcPr>
          <w:p w14:paraId="0A53543D">
            <w:pPr>
              <w:rPr>
                <w:rFonts w:ascii="宋体" w:hAnsi="宋体" w:cs="宋体"/>
                <w:color w:val="auto"/>
                <w:szCs w:val="21"/>
                <w:highlight w:val="none"/>
                <w:lang w:val="zh-CN"/>
              </w:rPr>
            </w:pPr>
            <w:r>
              <w:rPr>
                <w:rFonts w:hint="eastAsia" w:ascii="宋体" w:hAnsi="宋体" w:cs="宋体"/>
                <w:color w:val="auto"/>
                <w:szCs w:val="21"/>
                <w:highlight w:val="none"/>
                <w:lang w:val="zh-CN"/>
              </w:rPr>
              <w:t>氩气</w:t>
            </w:r>
          </w:p>
        </w:tc>
        <w:tc>
          <w:tcPr>
            <w:tcW w:w="1276" w:type="dxa"/>
            <w:tcBorders>
              <w:top w:val="single" w:color="auto" w:sz="6" w:space="0"/>
              <w:left w:val="single" w:color="auto" w:sz="6" w:space="0"/>
              <w:bottom w:val="single" w:color="auto" w:sz="6" w:space="0"/>
              <w:right w:val="single" w:color="auto" w:sz="6" w:space="0"/>
            </w:tcBorders>
            <w:vAlign w:val="center"/>
          </w:tcPr>
          <w:p w14:paraId="39D3684D">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7E551807">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瓶</w:t>
            </w:r>
          </w:p>
        </w:tc>
        <w:tc>
          <w:tcPr>
            <w:tcW w:w="1134" w:type="dxa"/>
            <w:tcBorders>
              <w:top w:val="single" w:color="auto" w:sz="6" w:space="0"/>
              <w:left w:val="single" w:color="auto" w:sz="6" w:space="0"/>
              <w:bottom w:val="single" w:color="auto" w:sz="6" w:space="0"/>
              <w:right w:val="single" w:color="auto" w:sz="6" w:space="0"/>
            </w:tcBorders>
            <w:vAlign w:val="center"/>
          </w:tcPr>
          <w:p w14:paraId="2187BE61">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6F9F5033">
            <w:pPr>
              <w:rPr>
                <w:rFonts w:ascii="宋体" w:hAnsi="宋体" w:cs="宋体"/>
                <w:color w:val="auto"/>
                <w:szCs w:val="21"/>
                <w:highlight w:val="none"/>
              </w:rPr>
            </w:pPr>
          </w:p>
        </w:tc>
      </w:tr>
      <w:tr w14:paraId="00D9E42D">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712C7E06">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499" w:type="dxa"/>
            <w:tcBorders>
              <w:top w:val="single" w:color="auto" w:sz="6" w:space="0"/>
              <w:left w:val="single" w:color="auto" w:sz="6" w:space="0"/>
              <w:bottom w:val="single" w:color="auto" w:sz="6" w:space="0"/>
              <w:right w:val="single" w:color="auto" w:sz="6" w:space="0"/>
            </w:tcBorders>
            <w:vAlign w:val="center"/>
          </w:tcPr>
          <w:p w14:paraId="52EBA56A">
            <w:pPr>
              <w:rPr>
                <w:rFonts w:ascii="宋体" w:hAnsi="宋体" w:cs="宋体"/>
                <w:color w:val="auto"/>
                <w:szCs w:val="21"/>
                <w:highlight w:val="none"/>
              </w:rPr>
            </w:pPr>
            <w:r>
              <w:rPr>
                <w:rFonts w:hint="eastAsia" w:ascii="宋体" w:hAnsi="宋体" w:cs="宋体"/>
                <w:color w:val="auto"/>
                <w:szCs w:val="21"/>
                <w:highlight w:val="none"/>
              </w:rPr>
              <w:t>X射线机</w:t>
            </w:r>
          </w:p>
        </w:tc>
        <w:tc>
          <w:tcPr>
            <w:tcW w:w="1276" w:type="dxa"/>
            <w:tcBorders>
              <w:top w:val="single" w:color="auto" w:sz="6" w:space="0"/>
              <w:left w:val="single" w:color="auto" w:sz="6" w:space="0"/>
              <w:bottom w:val="single" w:color="auto" w:sz="6" w:space="0"/>
              <w:right w:val="single" w:color="auto" w:sz="6" w:space="0"/>
            </w:tcBorders>
            <w:vAlign w:val="center"/>
          </w:tcPr>
          <w:p w14:paraId="3535A974">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6B287BA">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6A0DDA70">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3081DBCC">
            <w:pPr>
              <w:rPr>
                <w:rFonts w:ascii="宋体" w:hAnsi="宋体" w:cs="宋体"/>
                <w:color w:val="auto"/>
                <w:szCs w:val="21"/>
                <w:highlight w:val="none"/>
                <w:lang w:val="zh-CN"/>
              </w:rPr>
            </w:pPr>
            <w:r>
              <w:rPr>
                <w:rFonts w:hint="eastAsia" w:ascii="宋体" w:hAnsi="宋体" w:cs="宋体"/>
                <w:color w:val="auto"/>
                <w:szCs w:val="21"/>
                <w:highlight w:val="none"/>
                <w:lang w:val="zh-CN"/>
              </w:rPr>
              <w:t>焊口无损检测用</w:t>
            </w:r>
          </w:p>
        </w:tc>
      </w:tr>
      <w:tr w14:paraId="59D8D94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2133544">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499" w:type="dxa"/>
            <w:tcBorders>
              <w:top w:val="single" w:color="auto" w:sz="6" w:space="0"/>
              <w:left w:val="single" w:color="auto" w:sz="6" w:space="0"/>
              <w:bottom w:val="single" w:color="auto" w:sz="6" w:space="0"/>
              <w:right w:val="single" w:color="auto" w:sz="6" w:space="0"/>
            </w:tcBorders>
            <w:vAlign w:val="center"/>
          </w:tcPr>
          <w:p w14:paraId="75EF3DE7">
            <w:pPr>
              <w:rPr>
                <w:rFonts w:ascii="宋体" w:hAnsi="宋体" w:cs="宋体"/>
                <w:color w:val="auto"/>
                <w:szCs w:val="21"/>
                <w:highlight w:val="none"/>
                <w:lang w:val="zh-CN"/>
              </w:rPr>
            </w:pPr>
            <w:r>
              <w:rPr>
                <w:rFonts w:hint="eastAsia" w:ascii="宋体" w:hAnsi="宋体" w:cs="宋体"/>
                <w:color w:val="auto"/>
                <w:szCs w:val="21"/>
                <w:highlight w:val="none"/>
                <w:lang w:val="zh-CN"/>
              </w:rPr>
              <w:t>红外线测温枪</w:t>
            </w:r>
          </w:p>
        </w:tc>
        <w:tc>
          <w:tcPr>
            <w:tcW w:w="1276" w:type="dxa"/>
            <w:tcBorders>
              <w:top w:val="single" w:color="auto" w:sz="6" w:space="0"/>
              <w:left w:val="single" w:color="auto" w:sz="6" w:space="0"/>
              <w:bottom w:val="single" w:color="auto" w:sz="6" w:space="0"/>
              <w:right w:val="single" w:color="auto" w:sz="6" w:space="0"/>
            </w:tcBorders>
            <w:vAlign w:val="center"/>
          </w:tcPr>
          <w:p w14:paraId="7626C82B">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48DA0033">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6E4671A0">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1F8203CF">
            <w:pPr>
              <w:rPr>
                <w:rFonts w:ascii="宋体" w:hAnsi="宋体" w:cs="宋体"/>
                <w:color w:val="auto"/>
                <w:szCs w:val="21"/>
                <w:highlight w:val="none"/>
                <w:lang w:val="zh-CN"/>
              </w:rPr>
            </w:pPr>
          </w:p>
        </w:tc>
      </w:tr>
      <w:tr w14:paraId="3AC6E746">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6F13E0F7">
            <w:pPr>
              <w:jc w:val="center"/>
              <w:rPr>
                <w:rFonts w:ascii="宋体" w:hAnsi="宋体" w:cs="宋体"/>
                <w:color w:val="auto"/>
                <w:szCs w:val="21"/>
                <w:highlight w:val="none"/>
              </w:rPr>
            </w:pPr>
            <w:r>
              <w:rPr>
                <w:rFonts w:hint="eastAsia" w:ascii="宋体" w:hAnsi="宋体" w:cs="宋体"/>
                <w:color w:val="auto"/>
                <w:szCs w:val="21"/>
                <w:highlight w:val="none"/>
              </w:rPr>
              <w:t>12</w:t>
            </w:r>
          </w:p>
        </w:tc>
        <w:tc>
          <w:tcPr>
            <w:tcW w:w="1499" w:type="dxa"/>
            <w:tcBorders>
              <w:top w:val="single" w:color="auto" w:sz="6" w:space="0"/>
              <w:left w:val="single" w:color="auto" w:sz="6" w:space="0"/>
              <w:bottom w:val="single" w:color="auto" w:sz="6" w:space="0"/>
              <w:right w:val="single" w:color="auto" w:sz="6" w:space="0"/>
            </w:tcBorders>
            <w:vAlign w:val="center"/>
          </w:tcPr>
          <w:p w14:paraId="68AA46B5">
            <w:pPr>
              <w:rPr>
                <w:rFonts w:ascii="宋体" w:hAnsi="宋体" w:cs="宋体"/>
                <w:color w:val="auto"/>
                <w:szCs w:val="21"/>
                <w:highlight w:val="none"/>
                <w:lang w:val="zh-CN"/>
              </w:rPr>
            </w:pPr>
            <w:r>
              <w:rPr>
                <w:rFonts w:hint="eastAsia" w:ascii="宋体" w:hAnsi="宋体" w:cs="宋体"/>
                <w:color w:val="auto"/>
                <w:szCs w:val="21"/>
                <w:highlight w:val="none"/>
                <w:lang w:val="zh-CN"/>
              </w:rPr>
              <w:t>焊材烘干箱</w:t>
            </w:r>
          </w:p>
        </w:tc>
        <w:tc>
          <w:tcPr>
            <w:tcW w:w="1276" w:type="dxa"/>
            <w:tcBorders>
              <w:top w:val="single" w:color="auto" w:sz="6" w:space="0"/>
              <w:left w:val="single" w:color="auto" w:sz="6" w:space="0"/>
              <w:bottom w:val="single" w:color="auto" w:sz="6" w:space="0"/>
              <w:right w:val="single" w:color="auto" w:sz="6" w:space="0"/>
            </w:tcBorders>
            <w:vAlign w:val="center"/>
          </w:tcPr>
          <w:p w14:paraId="67678C02">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0A73050B">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79952214">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6949441C">
            <w:pPr>
              <w:rPr>
                <w:rFonts w:ascii="宋体" w:hAnsi="宋体" w:cs="宋体"/>
                <w:color w:val="auto"/>
                <w:szCs w:val="21"/>
                <w:highlight w:val="none"/>
                <w:lang w:val="zh-CN"/>
              </w:rPr>
            </w:pPr>
          </w:p>
        </w:tc>
      </w:tr>
      <w:tr w14:paraId="28B88599">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7BA340FE">
            <w:pPr>
              <w:jc w:val="center"/>
              <w:rPr>
                <w:rFonts w:ascii="宋体" w:hAnsi="宋体" w:cs="宋体"/>
                <w:color w:val="auto"/>
                <w:szCs w:val="21"/>
                <w:highlight w:val="none"/>
              </w:rPr>
            </w:pPr>
            <w:r>
              <w:rPr>
                <w:rFonts w:hint="eastAsia" w:ascii="宋体" w:hAnsi="宋体" w:cs="宋体"/>
                <w:color w:val="auto"/>
                <w:szCs w:val="21"/>
                <w:highlight w:val="none"/>
              </w:rPr>
              <w:t>13</w:t>
            </w:r>
          </w:p>
        </w:tc>
        <w:tc>
          <w:tcPr>
            <w:tcW w:w="1499" w:type="dxa"/>
            <w:tcBorders>
              <w:top w:val="single" w:color="auto" w:sz="6" w:space="0"/>
              <w:left w:val="single" w:color="auto" w:sz="6" w:space="0"/>
              <w:bottom w:val="single" w:color="auto" w:sz="6" w:space="0"/>
              <w:right w:val="single" w:color="auto" w:sz="6" w:space="0"/>
            </w:tcBorders>
            <w:vAlign w:val="center"/>
          </w:tcPr>
          <w:p w14:paraId="410144F0">
            <w:pPr>
              <w:rPr>
                <w:rFonts w:ascii="宋体" w:hAnsi="宋体" w:cs="宋体"/>
                <w:color w:val="auto"/>
                <w:szCs w:val="21"/>
                <w:highlight w:val="none"/>
                <w:lang w:val="zh-CN"/>
              </w:rPr>
            </w:pPr>
            <w:r>
              <w:rPr>
                <w:rFonts w:hint="eastAsia" w:ascii="宋体" w:hAnsi="宋体" w:cs="宋体"/>
                <w:color w:val="auto"/>
                <w:szCs w:val="21"/>
                <w:highlight w:val="none"/>
                <w:lang w:val="zh-CN"/>
              </w:rPr>
              <w:t>焊条筒</w:t>
            </w:r>
          </w:p>
        </w:tc>
        <w:tc>
          <w:tcPr>
            <w:tcW w:w="1276" w:type="dxa"/>
            <w:tcBorders>
              <w:top w:val="single" w:color="auto" w:sz="6" w:space="0"/>
              <w:left w:val="single" w:color="auto" w:sz="6" w:space="0"/>
              <w:bottom w:val="single" w:color="auto" w:sz="6" w:space="0"/>
              <w:right w:val="single" w:color="auto" w:sz="6" w:space="0"/>
            </w:tcBorders>
            <w:vAlign w:val="center"/>
          </w:tcPr>
          <w:p w14:paraId="68BE7DFB">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EF3FB5E">
            <w:pPr>
              <w:jc w:val="center"/>
              <w:rPr>
                <w:rFonts w:ascii="宋体" w:hAnsi="宋体" w:cs="宋体"/>
                <w:color w:val="auto"/>
                <w:szCs w:val="21"/>
                <w:highlight w:val="none"/>
                <w:lang w:val="zh-CN"/>
              </w:rPr>
            </w:pPr>
            <w:r>
              <w:rPr>
                <w:rFonts w:hint="eastAsia" w:ascii="宋体" w:hAnsi="宋体" w:cs="宋体"/>
                <w:color w:val="auto"/>
                <w:szCs w:val="21"/>
                <w:highlight w:val="none"/>
                <w:lang w:val="zh-CN"/>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20FF48A6">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7C92D9C0">
            <w:pPr>
              <w:rPr>
                <w:rFonts w:ascii="宋体" w:hAnsi="宋体" w:cs="宋体"/>
                <w:color w:val="auto"/>
                <w:szCs w:val="21"/>
                <w:highlight w:val="none"/>
                <w:lang w:val="zh-CN"/>
              </w:rPr>
            </w:pPr>
          </w:p>
        </w:tc>
      </w:tr>
      <w:tr w14:paraId="1C9C2CA6">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49EA1952">
            <w:pPr>
              <w:jc w:val="center"/>
              <w:rPr>
                <w:rFonts w:ascii="宋体" w:hAnsi="宋体" w:cs="宋体"/>
                <w:color w:val="auto"/>
                <w:szCs w:val="21"/>
                <w:highlight w:val="none"/>
              </w:rPr>
            </w:pPr>
            <w:r>
              <w:rPr>
                <w:rFonts w:hint="eastAsia" w:ascii="宋体" w:hAnsi="宋体" w:cs="宋体"/>
                <w:color w:val="auto"/>
                <w:szCs w:val="21"/>
                <w:highlight w:val="none"/>
              </w:rPr>
              <w:t>14</w:t>
            </w:r>
          </w:p>
        </w:tc>
        <w:tc>
          <w:tcPr>
            <w:tcW w:w="1499" w:type="dxa"/>
            <w:tcBorders>
              <w:top w:val="single" w:color="auto" w:sz="6" w:space="0"/>
              <w:left w:val="single" w:color="auto" w:sz="6" w:space="0"/>
              <w:bottom w:val="single" w:color="auto" w:sz="6" w:space="0"/>
              <w:right w:val="single" w:color="auto" w:sz="6" w:space="0"/>
            </w:tcBorders>
            <w:vAlign w:val="center"/>
          </w:tcPr>
          <w:p w14:paraId="34DA375B">
            <w:pPr>
              <w:rPr>
                <w:rFonts w:ascii="宋体" w:hAnsi="宋体" w:cs="宋体"/>
                <w:color w:val="auto"/>
                <w:szCs w:val="21"/>
                <w:highlight w:val="none"/>
                <w:lang w:val="zh-CN"/>
              </w:rPr>
            </w:pPr>
            <w:r>
              <w:rPr>
                <w:rFonts w:hint="eastAsia" w:ascii="宋体" w:hAnsi="宋体" w:cs="宋体"/>
                <w:color w:val="auto"/>
                <w:szCs w:val="21"/>
                <w:highlight w:val="none"/>
                <w:lang w:val="zh-CN"/>
              </w:rPr>
              <w:t>超吊设备</w:t>
            </w:r>
          </w:p>
        </w:tc>
        <w:tc>
          <w:tcPr>
            <w:tcW w:w="1276" w:type="dxa"/>
            <w:tcBorders>
              <w:top w:val="single" w:color="auto" w:sz="6" w:space="0"/>
              <w:left w:val="single" w:color="auto" w:sz="6" w:space="0"/>
              <w:bottom w:val="single" w:color="auto" w:sz="6" w:space="0"/>
              <w:right w:val="single" w:color="auto" w:sz="6" w:space="0"/>
            </w:tcBorders>
            <w:vAlign w:val="center"/>
          </w:tcPr>
          <w:p w14:paraId="328A6C5C">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036BD826">
            <w:pPr>
              <w:jc w:val="center"/>
              <w:rPr>
                <w:rFonts w:ascii="宋体" w:hAnsi="宋体" w:cs="宋体"/>
                <w:color w:val="auto"/>
                <w:szCs w:val="21"/>
                <w:highlight w:val="none"/>
              </w:rPr>
            </w:pPr>
            <w:r>
              <w:rPr>
                <w:rFonts w:hint="eastAsia" w:ascii="宋体" w:hAnsi="宋体" w:cs="宋体"/>
                <w:color w:val="auto"/>
                <w:szCs w:val="21"/>
                <w:highlight w:val="none"/>
              </w:rPr>
              <w:t>台</w:t>
            </w:r>
          </w:p>
        </w:tc>
        <w:tc>
          <w:tcPr>
            <w:tcW w:w="1134" w:type="dxa"/>
            <w:tcBorders>
              <w:top w:val="single" w:color="auto" w:sz="6" w:space="0"/>
              <w:left w:val="single" w:color="auto" w:sz="6" w:space="0"/>
              <w:bottom w:val="single" w:color="auto" w:sz="6" w:space="0"/>
              <w:right w:val="single" w:color="auto" w:sz="6" w:space="0"/>
            </w:tcBorders>
            <w:vAlign w:val="center"/>
          </w:tcPr>
          <w:p w14:paraId="5B4FCB4C">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1F3703DE">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r w14:paraId="11886EBD">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2E699D58">
            <w:pPr>
              <w:jc w:val="center"/>
              <w:rPr>
                <w:rFonts w:ascii="宋体" w:hAnsi="宋体" w:cs="宋体"/>
                <w:color w:val="auto"/>
                <w:szCs w:val="21"/>
                <w:highlight w:val="none"/>
              </w:rPr>
            </w:pPr>
            <w:r>
              <w:rPr>
                <w:rFonts w:hint="eastAsia" w:ascii="宋体" w:hAnsi="宋体" w:cs="宋体"/>
                <w:color w:val="auto"/>
                <w:szCs w:val="21"/>
                <w:highlight w:val="none"/>
              </w:rPr>
              <w:t>15</w:t>
            </w:r>
          </w:p>
        </w:tc>
        <w:tc>
          <w:tcPr>
            <w:tcW w:w="1499" w:type="dxa"/>
            <w:tcBorders>
              <w:top w:val="single" w:color="auto" w:sz="6" w:space="0"/>
              <w:left w:val="single" w:color="auto" w:sz="6" w:space="0"/>
              <w:bottom w:val="single" w:color="auto" w:sz="6" w:space="0"/>
              <w:right w:val="single" w:color="auto" w:sz="6" w:space="0"/>
            </w:tcBorders>
            <w:vAlign w:val="center"/>
          </w:tcPr>
          <w:p w14:paraId="24C605EC">
            <w:pPr>
              <w:rPr>
                <w:rFonts w:ascii="宋体" w:hAnsi="宋体" w:cs="宋体"/>
                <w:color w:val="auto"/>
                <w:szCs w:val="21"/>
                <w:highlight w:val="none"/>
                <w:lang w:val="zh-CN"/>
              </w:rPr>
            </w:pPr>
            <w:r>
              <w:rPr>
                <w:rFonts w:hint="eastAsia" w:ascii="宋体" w:hAnsi="宋体" w:cs="宋体"/>
                <w:color w:val="auto"/>
                <w:szCs w:val="21"/>
                <w:highlight w:val="none"/>
              </w:rPr>
              <w:t>脚手架</w:t>
            </w:r>
          </w:p>
        </w:tc>
        <w:tc>
          <w:tcPr>
            <w:tcW w:w="1276" w:type="dxa"/>
            <w:tcBorders>
              <w:top w:val="single" w:color="auto" w:sz="6" w:space="0"/>
              <w:left w:val="single" w:color="auto" w:sz="6" w:space="0"/>
              <w:bottom w:val="single" w:color="auto" w:sz="6" w:space="0"/>
              <w:right w:val="single" w:color="auto" w:sz="6" w:space="0"/>
            </w:tcBorders>
            <w:vAlign w:val="center"/>
          </w:tcPr>
          <w:p w14:paraId="5BDDF71D">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6D5DFF34">
            <w:pPr>
              <w:jc w:val="center"/>
              <w:rPr>
                <w:rFonts w:ascii="宋体" w:hAnsi="宋体" w:cs="宋体"/>
                <w:color w:val="auto"/>
                <w:szCs w:val="21"/>
                <w:highlight w:val="none"/>
                <w:lang w:val="zh-CN"/>
              </w:rPr>
            </w:pPr>
          </w:p>
        </w:tc>
        <w:tc>
          <w:tcPr>
            <w:tcW w:w="1134" w:type="dxa"/>
            <w:tcBorders>
              <w:top w:val="single" w:color="auto" w:sz="6" w:space="0"/>
              <w:left w:val="single" w:color="auto" w:sz="6" w:space="0"/>
              <w:bottom w:val="single" w:color="auto" w:sz="6" w:space="0"/>
              <w:right w:val="single" w:color="auto" w:sz="6" w:space="0"/>
            </w:tcBorders>
            <w:vAlign w:val="center"/>
          </w:tcPr>
          <w:p w14:paraId="4A146EC4">
            <w:pPr>
              <w:jc w:val="center"/>
              <w:rPr>
                <w:rFonts w:ascii="宋体" w:hAnsi="宋体" w:cs="宋体"/>
                <w:color w:val="auto"/>
                <w:szCs w:val="21"/>
                <w:highlight w:val="none"/>
              </w:rPr>
            </w:pPr>
            <w:r>
              <w:rPr>
                <w:rFonts w:hint="eastAsia" w:ascii="宋体" w:hAnsi="宋体" w:cs="宋体"/>
                <w:color w:val="auto"/>
                <w:szCs w:val="21"/>
                <w:highlight w:val="none"/>
              </w:rPr>
              <w:t>若干</w:t>
            </w:r>
          </w:p>
        </w:tc>
        <w:tc>
          <w:tcPr>
            <w:tcW w:w="2811" w:type="dxa"/>
            <w:tcBorders>
              <w:top w:val="single" w:color="auto" w:sz="6" w:space="0"/>
              <w:left w:val="single" w:color="auto" w:sz="6" w:space="0"/>
              <w:bottom w:val="single" w:color="auto" w:sz="6" w:space="0"/>
              <w:right w:val="single" w:color="auto" w:sz="6" w:space="0"/>
            </w:tcBorders>
            <w:vAlign w:val="center"/>
          </w:tcPr>
          <w:p w14:paraId="0CEA3F3B">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r w14:paraId="3FC55A74">
        <w:tblPrEx>
          <w:tblCellMar>
            <w:top w:w="0" w:type="dxa"/>
            <w:left w:w="108" w:type="dxa"/>
            <w:bottom w:w="0" w:type="dxa"/>
            <w:right w:w="108" w:type="dxa"/>
          </w:tblCellMar>
        </w:tblPrEx>
        <w:trPr>
          <w:trHeight w:val="170" w:hRule="atLeast"/>
          <w:jc w:val="center"/>
        </w:trPr>
        <w:tc>
          <w:tcPr>
            <w:tcW w:w="761" w:type="dxa"/>
            <w:tcBorders>
              <w:top w:val="single" w:color="auto" w:sz="6" w:space="0"/>
              <w:left w:val="single" w:color="auto" w:sz="6" w:space="0"/>
              <w:bottom w:val="single" w:color="auto" w:sz="6" w:space="0"/>
              <w:right w:val="single" w:color="auto" w:sz="6" w:space="0"/>
            </w:tcBorders>
            <w:vAlign w:val="center"/>
          </w:tcPr>
          <w:p w14:paraId="3A0CF3E5">
            <w:pPr>
              <w:jc w:val="center"/>
              <w:rPr>
                <w:rFonts w:ascii="宋体" w:hAnsi="宋体" w:cs="宋体"/>
                <w:color w:val="auto"/>
                <w:szCs w:val="21"/>
                <w:highlight w:val="none"/>
              </w:rPr>
            </w:pPr>
            <w:r>
              <w:rPr>
                <w:rFonts w:hint="eastAsia" w:ascii="宋体" w:hAnsi="宋体" w:cs="宋体"/>
                <w:color w:val="auto"/>
                <w:szCs w:val="21"/>
                <w:highlight w:val="none"/>
              </w:rPr>
              <w:t>16</w:t>
            </w:r>
          </w:p>
        </w:tc>
        <w:tc>
          <w:tcPr>
            <w:tcW w:w="1499" w:type="dxa"/>
            <w:tcBorders>
              <w:top w:val="single" w:color="auto" w:sz="6" w:space="0"/>
              <w:left w:val="single" w:color="auto" w:sz="6" w:space="0"/>
              <w:bottom w:val="single" w:color="auto" w:sz="6" w:space="0"/>
              <w:right w:val="single" w:color="auto" w:sz="6" w:space="0"/>
            </w:tcBorders>
            <w:vAlign w:val="center"/>
          </w:tcPr>
          <w:p w14:paraId="1DF56A9D">
            <w:pPr>
              <w:rPr>
                <w:rFonts w:ascii="宋体" w:hAnsi="宋体" w:cs="宋体"/>
                <w:color w:val="auto"/>
                <w:szCs w:val="21"/>
                <w:highlight w:val="none"/>
              </w:rPr>
            </w:pPr>
            <w:r>
              <w:rPr>
                <w:rFonts w:hint="eastAsia" w:ascii="宋体" w:hAnsi="宋体" w:cs="宋体"/>
                <w:color w:val="auto"/>
                <w:szCs w:val="21"/>
                <w:highlight w:val="none"/>
              </w:rPr>
              <w:t>其他</w:t>
            </w:r>
          </w:p>
        </w:tc>
        <w:tc>
          <w:tcPr>
            <w:tcW w:w="1276" w:type="dxa"/>
            <w:tcBorders>
              <w:top w:val="single" w:color="auto" w:sz="6" w:space="0"/>
              <w:left w:val="single" w:color="auto" w:sz="6" w:space="0"/>
              <w:bottom w:val="single" w:color="auto" w:sz="6" w:space="0"/>
              <w:right w:val="single" w:color="auto" w:sz="6" w:space="0"/>
            </w:tcBorders>
            <w:vAlign w:val="center"/>
          </w:tcPr>
          <w:p w14:paraId="6B07DB61">
            <w:pPr>
              <w:jc w:val="center"/>
              <w:rPr>
                <w:rFonts w:ascii="宋体" w:hAnsi="宋体" w:cs="宋体"/>
                <w:color w:val="auto"/>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14:paraId="277809FB">
            <w:pPr>
              <w:jc w:val="center"/>
              <w:rPr>
                <w:rFonts w:ascii="宋体" w:hAnsi="宋体" w:cs="宋体"/>
                <w:color w:val="auto"/>
                <w:szCs w:val="21"/>
                <w:highlight w:val="none"/>
                <w:lang w:val="zh-CN"/>
              </w:rPr>
            </w:pPr>
          </w:p>
        </w:tc>
        <w:tc>
          <w:tcPr>
            <w:tcW w:w="1134" w:type="dxa"/>
            <w:tcBorders>
              <w:top w:val="single" w:color="auto" w:sz="6" w:space="0"/>
              <w:left w:val="single" w:color="auto" w:sz="6" w:space="0"/>
              <w:bottom w:val="single" w:color="auto" w:sz="6" w:space="0"/>
              <w:right w:val="single" w:color="auto" w:sz="6" w:space="0"/>
            </w:tcBorders>
            <w:vAlign w:val="center"/>
          </w:tcPr>
          <w:p w14:paraId="4323B1D5">
            <w:pPr>
              <w:jc w:val="center"/>
              <w:rPr>
                <w:rFonts w:ascii="宋体" w:hAnsi="宋体" w:cs="宋体"/>
                <w:color w:val="auto"/>
                <w:szCs w:val="21"/>
                <w:highlight w:val="none"/>
              </w:rPr>
            </w:pPr>
          </w:p>
        </w:tc>
        <w:tc>
          <w:tcPr>
            <w:tcW w:w="2811" w:type="dxa"/>
            <w:tcBorders>
              <w:top w:val="single" w:color="auto" w:sz="6" w:space="0"/>
              <w:left w:val="single" w:color="auto" w:sz="6" w:space="0"/>
              <w:bottom w:val="single" w:color="auto" w:sz="6" w:space="0"/>
              <w:right w:val="single" w:color="auto" w:sz="6" w:space="0"/>
            </w:tcBorders>
            <w:vAlign w:val="center"/>
          </w:tcPr>
          <w:p w14:paraId="4B6A1571">
            <w:pPr>
              <w:rPr>
                <w:rFonts w:ascii="宋体" w:hAnsi="宋体" w:cs="宋体"/>
                <w:color w:val="auto"/>
                <w:szCs w:val="21"/>
                <w:highlight w:val="none"/>
                <w:lang w:val="zh-CN"/>
              </w:rPr>
            </w:pPr>
            <w:r>
              <w:rPr>
                <w:rFonts w:hint="eastAsia" w:ascii="宋体" w:hAnsi="宋体" w:cs="宋体"/>
                <w:color w:val="auto"/>
                <w:szCs w:val="21"/>
                <w:highlight w:val="none"/>
                <w:lang w:val="zh-CN"/>
              </w:rPr>
              <w:t>满足现场施工要求</w:t>
            </w:r>
          </w:p>
        </w:tc>
      </w:tr>
    </w:tbl>
    <w:p w14:paraId="112BFC25">
      <w:pPr>
        <w:ind w:firstLine="480"/>
        <w:rPr>
          <w:rFonts w:ascii="宋体" w:hAnsi="宋体" w:cs="宋体"/>
          <w:color w:val="auto"/>
          <w:szCs w:val="21"/>
          <w:highlight w:val="none"/>
        </w:rPr>
      </w:pPr>
      <w:r>
        <w:rPr>
          <w:rFonts w:hint="eastAsia" w:ascii="宋体" w:hAnsi="宋体" w:cs="宋体"/>
          <w:color w:val="auto"/>
          <w:szCs w:val="21"/>
          <w:highlight w:val="none"/>
        </w:rPr>
        <w:t>3、人员要求：</w:t>
      </w:r>
    </w:p>
    <w:p w14:paraId="5F74CF69">
      <w:pPr>
        <w:ind w:firstLine="480"/>
        <w:rPr>
          <w:rFonts w:ascii="宋体" w:hAnsi="宋体" w:cs="宋体"/>
          <w:color w:val="auto"/>
          <w:szCs w:val="21"/>
          <w:highlight w:val="none"/>
        </w:rPr>
      </w:pPr>
      <w:r>
        <w:rPr>
          <w:rFonts w:hint="eastAsia" w:ascii="宋体" w:hAnsi="宋体" w:cs="宋体"/>
          <w:color w:val="auto"/>
          <w:szCs w:val="21"/>
          <w:highlight w:val="none"/>
        </w:rPr>
        <w:t>3.1所有施工人员施工前必须接收采购人（甲方）的安全培训合格后方可进入施工现场进行施工；</w:t>
      </w:r>
    </w:p>
    <w:p w14:paraId="1F45E349">
      <w:pPr>
        <w:ind w:firstLine="480"/>
        <w:rPr>
          <w:rFonts w:ascii="宋体" w:hAnsi="宋体" w:cs="宋体"/>
          <w:color w:val="auto"/>
          <w:szCs w:val="21"/>
          <w:highlight w:val="none"/>
        </w:rPr>
      </w:pPr>
      <w:r>
        <w:rPr>
          <w:rFonts w:hint="eastAsia" w:ascii="宋体" w:hAnsi="宋体" w:cs="宋体"/>
          <w:color w:val="auto"/>
          <w:szCs w:val="21"/>
          <w:highlight w:val="none"/>
        </w:rPr>
        <w:t xml:space="preserve">3.2所有参加施工人员均应了解施工范围和施工工序,熟悉施工环境和现场安全状况； </w:t>
      </w:r>
    </w:p>
    <w:p w14:paraId="572D2FD3">
      <w:pPr>
        <w:ind w:firstLine="480"/>
        <w:rPr>
          <w:rFonts w:ascii="宋体" w:hAnsi="宋体" w:cs="宋体"/>
          <w:color w:val="auto"/>
          <w:szCs w:val="21"/>
          <w:highlight w:val="none"/>
        </w:rPr>
      </w:pPr>
      <w:r>
        <w:rPr>
          <w:rFonts w:hint="eastAsia" w:ascii="宋体" w:hAnsi="宋体" w:cs="宋体"/>
          <w:color w:val="auto"/>
          <w:szCs w:val="21"/>
          <w:highlight w:val="none"/>
        </w:rPr>
        <w:t>3.3所有参加高空作业的人员须持有高空作业证，在施工前均应进行体检，对于有高血压、恐高症等不宜从事高空作业的人员不得参加高空作业。</w:t>
      </w:r>
    </w:p>
    <w:p w14:paraId="7B90965A">
      <w:pPr>
        <w:ind w:firstLine="480"/>
        <w:rPr>
          <w:rFonts w:ascii="宋体" w:hAnsi="宋体" w:cs="宋体"/>
          <w:color w:val="auto"/>
          <w:szCs w:val="21"/>
          <w:highlight w:val="none"/>
        </w:rPr>
      </w:pPr>
      <w:r>
        <w:rPr>
          <w:rFonts w:hint="eastAsia" w:ascii="宋体" w:hAnsi="宋体" w:cs="宋体"/>
          <w:color w:val="auto"/>
          <w:szCs w:val="21"/>
          <w:highlight w:val="none"/>
        </w:rPr>
        <w:t>3.4作业人员应熟练掌握本工种基本知识和操作技能，特种作业人员</w:t>
      </w:r>
      <w:r>
        <w:rPr>
          <w:rFonts w:hint="eastAsia" w:ascii="宋体" w:hAnsi="宋体" w:cs="宋体"/>
          <w:color w:val="auto"/>
          <w:szCs w:val="21"/>
          <w:highlight w:val="none"/>
          <w:lang w:val="zh-CN"/>
        </w:rPr>
        <w:t>必须持有特种作业人员上岗证</w:t>
      </w:r>
      <w:r>
        <w:rPr>
          <w:rFonts w:hint="eastAsia" w:ascii="宋体" w:hAnsi="宋体" w:cs="宋体"/>
          <w:color w:val="auto"/>
          <w:szCs w:val="21"/>
          <w:highlight w:val="none"/>
        </w:rPr>
        <w:t>，否则严禁上岗作业。</w:t>
      </w:r>
    </w:p>
    <w:p w14:paraId="74E4FFB1">
      <w:pPr>
        <w:ind w:firstLine="480"/>
        <w:rPr>
          <w:rFonts w:ascii="宋体" w:hAnsi="宋体" w:cs="宋体"/>
          <w:color w:val="auto"/>
          <w:szCs w:val="21"/>
          <w:highlight w:val="none"/>
          <w:lang w:val="zh-CN"/>
        </w:rPr>
      </w:pPr>
      <w:r>
        <w:rPr>
          <w:rFonts w:hint="eastAsia" w:ascii="宋体" w:hAnsi="宋体" w:cs="宋体"/>
          <w:color w:val="auto"/>
          <w:szCs w:val="21"/>
          <w:highlight w:val="none"/>
        </w:rPr>
        <w:t>3.5</w:t>
      </w:r>
      <w:r>
        <w:rPr>
          <w:rFonts w:hint="eastAsia" w:ascii="宋体" w:hAnsi="宋体" w:cs="宋体"/>
          <w:color w:val="auto"/>
          <w:szCs w:val="21"/>
          <w:highlight w:val="none"/>
          <w:lang w:val="zh-CN"/>
        </w:rPr>
        <w:t>所有施工人员进入施工现场务必保证严谨的工作态度，严禁嬉戏打闹、从事与工作无关的其他事宜。</w:t>
      </w:r>
    </w:p>
    <w:p w14:paraId="10321307">
      <w:pPr>
        <w:ind w:firstLine="480"/>
        <w:rPr>
          <w:rFonts w:ascii="宋体" w:hAnsi="宋体" w:cs="宋体"/>
          <w:color w:val="auto"/>
          <w:szCs w:val="21"/>
          <w:highlight w:val="none"/>
          <w:lang w:val="zh-CN"/>
        </w:rPr>
      </w:pPr>
      <w:r>
        <w:rPr>
          <w:rFonts w:hint="eastAsia" w:ascii="宋体" w:hAnsi="宋体" w:cs="宋体"/>
          <w:color w:val="auto"/>
          <w:szCs w:val="21"/>
          <w:highlight w:val="none"/>
          <w:lang w:val="zh-CN"/>
        </w:rPr>
        <w:t>4、工、器具要求：</w:t>
      </w:r>
    </w:p>
    <w:p w14:paraId="6C10B268">
      <w:pPr>
        <w:ind w:firstLine="480"/>
        <w:rPr>
          <w:rFonts w:ascii="宋体" w:hAnsi="宋体" w:cs="宋体"/>
          <w:color w:val="auto"/>
          <w:szCs w:val="21"/>
          <w:highlight w:val="none"/>
        </w:rPr>
      </w:pPr>
      <w:r>
        <w:rPr>
          <w:rFonts w:hint="eastAsia" w:ascii="宋体" w:hAnsi="宋体" w:cs="宋体"/>
          <w:color w:val="auto"/>
          <w:szCs w:val="21"/>
          <w:highlight w:val="none"/>
        </w:rPr>
        <w:t>4.1焊接用气体</w:t>
      </w:r>
    </w:p>
    <w:p w14:paraId="579928D4">
      <w:pPr>
        <w:ind w:firstLine="480"/>
        <w:rPr>
          <w:rFonts w:ascii="宋体" w:hAnsi="宋体" w:cs="宋体"/>
          <w:color w:val="auto"/>
          <w:szCs w:val="21"/>
          <w:highlight w:val="none"/>
        </w:rPr>
      </w:pPr>
      <w:r>
        <w:rPr>
          <w:rFonts w:hint="eastAsia" w:ascii="宋体" w:hAnsi="宋体" w:cs="宋体"/>
          <w:color w:val="auto"/>
          <w:szCs w:val="21"/>
          <w:highlight w:val="none"/>
        </w:rPr>
        <w:t>a.所用氩气纯度不得低于99.95%，且必须有出厂质量合格证。</w:t>
      </w:r>
    </w:p>
    <w:p w14:paraId="29C04055">
      <w:pPr>
        <w:ind w:firstLine="480"/>
        <w:rPr>
          <w:rFonts w:ascii="宋体" w:hAnsi="宋体" w:cs="宋体"/>
          <w:color w:val="auto"/>
          <w:szCs w:val="21"/>
          <w:highlight w:val="none"/>
        </w:rPr>
      </w:pPr>
      <w:r>
        <w:rPr>
          <w:rFonts w:hint="eastAsia" w:ascii="宋体" w:hAnsi="宋体" w:cs="宋体"/>
          <w:color w:val="auto"/>
          <w:szCs w:val="21"/>
          <w:highlight w:val="none"/>
        </w:rPr>
        <w:t>b.施工现场供应氩气采用瓶装分散式供应。</w:t>
      </w:r>
    </w:p>
    <w:p w14:paraId="4F70C542">
      <w:pPr>
        <w:ind w:firstLine="480"/>
        <w:rPr>
          <w:rFonts w:ascii="宋体" w:hAnsi="宋体" w:cs="宋体"/>
          <w:color w:val="auto"/>
          <w:szCs w:val="21"/>
          <w:highlight w:val="none"/>
        </w:rPr>
      </w:pPr>
      <w:r>
        <w:rPr>
          <w:rFonts w:hint="eastAsia" w:ascii="宋体" w:hAnsi="宋体" w:cs="宋体"/>
          <w:color w:val="auto"/>
          <w:szCs w:val="21"/>
          <w:highlight w:val="none"/>
        </w:rPr>
        <w:t xml:space="preserve">4.2焊接器材     </w:t>
      </w:r>
    </w:p>
    <w:p w14:paraId="344C60A6">
      <w:pPr>
        <w:ind w:firstLine="480"/>
        <w:jc w:val="both"/>
        <w:rPr>
          <w:rFonts w:ascii="宋体" w:hAnsi="宋体" w:cs="宋体"/>
          <w:color w:val="auto"/>
          <w:szCs w:val="21"/>
          <w:highlight w:val="none"/>
        </w:rPr>
      </w:pPr>
      <w:r>
        <w:rPr>
          <w:rFonts w:hint="eastAsia" w:ascii="宋体" w:hAnsi="宋体" w:cs="宋体"/>
          <w:color w:val="auto"/>
          <w:szCs w:val="21"/>
          <w:highlight w:val="none"/>
        </w:rPr>
        <w:t>a.电焊机：电焊机合格，且应绝缘良好，并有良好的接地措施，电源为专用电源，布置就合理，尽量靠近焊接施工区域，避免电焊线拉得过长，要求排放整齐，接地良好。</w:t>
      </w:r>
    </w:p>
    <w:p w14:paraId="71249AD1">
      <w:pPr>
        <w:pStyle w:val="74"/>
        <w:adjustRightInd w:val="0"/>
        <w:spacing w:line="360" w:lineRule="auto"/>
        <w:ind w:firstLine="480"/>
        <w:rPr>
          <w:color w:val="auto"/>
          <w:highlight w:val="none"/>
        </w:rPr>
      </w:pPr>
      <w:r>
        <w:rPr>
          <w:rFonts w:hint="eastAsia"/>
          <w:color w:val="auto"/>
          <w:highlight w:val="none"/>
        </w:rPr>
        <w:t>b.焊接材料的质量要求:焊接材料严格执行相应的国家标准。焊接工程中使用的进口焊接材料必须符合设计要求和工艺方提交的技术文件的要求。焊接材料均要有制造厂的质量合格证、焊接材料质量证明书。对焊接材料质量有怀疑时，按批号抽查检验，合格后方可使用。</w:t>
      </w:r>
    </w:p>
    <w:p w14:paraId="24542DF4">
      <w:pPr>
        <w:pStyle w:val="74"/>
        <w:adjustRightInd w:val="0"/>
        <w:spacing w:line="360" w:lineRule="auto"/>
        <w:ind w:firstLine="480"/>
        <w:jc w:val="both"/>
        <w:rPr>
          <w:color w:val="auto"/>
          <w:highlight w:val="none"/>
        </w:rPr>
      </w:pPr>
      <w:r>
        <w:rPr>
          <w:rFonts w:hint="eastAsia"/>
          <w:color w:val="auto"/>
          <w:highlight w:val="none"/>
        </w:rPr>
        <w:t>c.焊接材料的选用要求:焊接材料严格按照设计要求及焊接工艺评定结果使用。</w:t>
      </w:r>
      <w:r>
        <w:rPr>
          <w:rFonts w:hint="eastAsia"/>
          <w:color w:val="auto"/>
          <w:highlight w:val="none"/>
        </w:rPr>
        <w:pict>
          <v:shape id="图片 17" o:spid="_x0000_s2050" o:spt="75" alt="5699859131583913545200.png" type="#_x0000_t75" style="position:absolute;left:0pt;margin-left:310pt;margin-top:618pt;height:43pt;width:45pt;z-index:-251656192;mso-width-relative:page;mso-height-relative:page;" filled="f" o:preferrelative="t" stroked="f" coordsize="21600,21600">
            <v:path/>
            <v:fill on="f" focussize="0,0"/>
            <v:stroke on="f"/>
            <v:imagedata r:id="rId14" o:title=""/>
            <o:lock v:ext="edit" aspectratio="t"/>
            <w10:anchorlock/>
          </v:shape>
        </w:pict>
      </w:r>
      <w:r>
        <w:rPr>
          <w:rFonts w:hint="eastAsia"/>
          <w:color w:val="auto"/>
          <w:highlight w:val="none"/>
        </w:rPr>
        <w:pict>
          <v:shape id="图片 18" o:spid="_x0000_s2051" o:spt="75" alt="3981452421583913545198.png" type="#_x0000_t75" style="position:absolute;left:0pt;margin-left:208pt;margin-top:522pt;height:16pt;width:111pt;z-index:-251657216;mso-width-relative:page;mso-height-relative:page;" filled="f" o:preferrelative="t" stroked="f" coordsize="21600,21600">
            <v:path/>
            <v:fill on="f" focussize="0,0"/>
            <v:stroke on="f"/>
            <v:imagedata r:id="rId15" o:title=""/>
            <o:lock v:ext="edit" aspectratio="t"/>
            <w10:anchorlock/>
          </v:shape>
        </w:pict>
      </w:r>
      <w:r>
        <w:rPr>
          <w:rFonts w:hint="eastAsia"/>
          <w:color w:val="auto"/>
          <w:highlight w:val="none"/>
        </w:rPr>
        <w:t>钨极氩弧焊应使用符合有关规定的电极。</w:t>
      </w:r>
    </w:p>
    <w:p w14:paraId="4C739E04">
      <w:pPr>
        <w:pStyle w:val="74"/>
        <w:adjustRightInd w:val="0"/>
        <w:spacing w:line="360" w:lineRule="auto"/>
        <w:ind w:firstLine="480"/>
        <w:jc w:val="both"/>
        <w:rPr>
          <w:color w:val="auto"/>
          <w:highlight w:val="none"/>
        </w:rPr>
      </w:pPr>
      <w:r>
        <w:rPr>
          <w:rFonts w:hint="eastAsia"/>
          <w:color w:val="auto"/>
          <w:highlight w:val="none"/>
        </w:rPr>
        <w:t>d.焊接材料的使用:焊条使用前严格按照产品说明书对其进行烘焙，烘焙后的焊条应放置在专用的焊条保温桶内，随用随取。焊丝使用前清除其表面的油、污、锈、垢，直至露出金属光泽。</w:t>
      </w:r>
    </w:p>
    <w:p w14:paraId="0A81D806">
      <w:pPr>
        <w:ind w:firstLine="480"/>
        <w:jc w:val="both"/>
        <w:rPr>
          <w:rFonts w:ascii="宋体" w:hAnsi="宋体" w:cs="宋体"/>
          <w:color w:val="auto"/>
          <w:szCs w:val="21"/>
          <w:highlight w:val="none"/>
        </w:rPr>
      </w:pPr>
      <w:r>
        <w:rPr>
          <w:rFonts w:hint="eastAsia" w:ascii="宋体" w:hAnsi="宋体" w:cs="宋体"/>
          <w:color w:val="auto"/>
          <w:szCs w:val="21"/>
          <w:highlight w:val="none"/>
        </w:rPr>
        <w:t>e.有故障的设备不得使用。</w:t>
      </w:r>
    </w:p>
    <w:p w14:paraId="3249061E">
      <w:pPr>
        <w:ind w:firstLine="480"/>
        <w:jc w:val="both"/>
        <w:rPr>
          <w:rFonts w:ascii="宋体" w:hAnsi="宋体" w:cs="宋体"/>
          <w:color w:val="auto"/>
          <w:szCs w:val="21"/>
          <w:highlight w:val="none"/>
        </w:rPr>
      </w:pPr>
      <w:r>
        <w:rPr>
          <w:rFonts w:hint="eastAsia" w:ascii="宋体" w:hAnsi="宋体" w:cs="宋体"/>
          <w:color w:val="auto"/>
          <w:szCs w:val="21"/>
          <w:highlight w:val="none"/>
        </w:rPr>
        <w:t>4.3其它工、器具要求：需有合格证且在有效期内。</w:t>
      </w:r>
    </w:p>
    <w:p w14:paraId="367C7F9F">
      <w:pPr>
        <w:pStyle w:val="4"/>
        <w:spacing w:line="360" w:lineRule="auto"/>
        <w:ind w:firstLine="562"/>
        <w:rPr>
          <w:rFonts w:ascii="宋体" w:hAnsi="宋体" w:cs="宋体"/>
          <w:color w:val="auto"/>
          <w:sz w:val="21"/>
          <w:szCs w:val="21"/>
          <w:highlight w:val="none"/>
        </w:rPr>
      </w:pPr>
      <w:r>
        <w:rPr>
          <w:rFonts w:hint="eastAsia" w:ascii="宋体" w:hAnsi="宋体" w:cs="宋体"/>
          <w:color w:val="auto"/>
          <w:sz w:val="21"/>
          <w:szCs w:val="21"/>
          <w:highlight w:val="none"/>
        </w:rPr>
        <w:t>（三）施工技术要求</w:t>
      </w:r>
    </w:p>
    <w:p w14:paraId="6138BE9E">
      <w:pPr>
        <w:pStyle w:val="5"/>
        <w:ind w:firstLine="482"/>
        <w:rPr>
          <w:rFonts w:ascii="宋体" w:hAnsi="宋体" w:cs="宋体"/>
          <w:color w:val="auto"/>
          <w:sz w:val="21"/>
          <w:szCs w:val="21"/>
          <w:highlight w:val="none"/>
        </w:rPr>
      </w:pPr>
      <w:r>
        <w:rPr>
          <w:rFonts w:hint="eastAsia" w:ascii="宋体" w:hAnsi="宋体" w:cs="宋体"/>
          <w:color w:val="auto"/>
          <w:sz w:val="21"/>
          <w:szCs w:val="21"/>
          <w:highlight w:val="none"/>
        </w:rPr>
        <w:t>1、减温器及更换管道拆除技术要求</w:t>
      </w:r>
    </w:p>
    <w:p w14:paraId="58F594A7">
      <w:pPr>
        <w:ind w:firstLine="480"/>
        <w:rPr>
          <w:rFonts w:ascii="宋体" w:hAnsi="宋体" w:cs="宋体"/>
          <w:color w:val="auto"/>
          <w:szCs w:val="21"/>
          <w:highlight w:val="none"/>
        </w:rPr>
      </w:pPr>
      <w:r>
        <w:rPr>
          <w:rFonts w:hint="eastAsia" w:ascii="宋体" w:hAnsi="宋体" w:cs="宋体"/>
          <w:color w:val="auto"/>
          <w:szCs w:val="21"/>
          <w:highlight w:val="none"/>
        </w:rPr>
        <w:t>1.1减温器拆除前需对原有减温器的安装进行全面研究，了解减温器的技术参数和安装位置等，并整理出减温器的相关图纸，制定拆除方案。</w:t>
      </w:r>
    </w:p>
    <w:p w14:paraId="6054C207">
      <w:pPr>
        <w:ind w:firstLine="480"/>
        <w:rPr>
          <w:rFonts w:ascii="宋体" w:hAnsi="宋体" w:cs="宋体"/>
          <w:color w:val="auto"/>
          <w:szCs w:val="21"/>
          <w:highlight w:val="none"/>
        </w:rPr>
      </w:pPr>
      <w:r>
        <w:rPr>
          <w:rFonts w:hint="eastAsia" w:ascii="宋体" w:hAnsi="宋体" w:cs="宋体"/>
          <w:color w:val="auto"/>
          <w:szCs w:val="21"/>
          <w:highlight w:val="none"/>
        </w:rPr>
        <w:t>1.2准备好必要的施工工具和材料，包括起重设备、切割设备、安全防护设备等，特别对周边燃气管道和压缩空气管道做好安全防护措施，确保拆除过程安全。</w:t>
      </w:r>
    </w:p>
    <w:p w14:paraId="2EA46DF2">
      <w:pPr>
        <w:ind w:firstLine="480"/>
        <w:rPr>
          <w:rFonts w:ascii="宋体" w:hAnsi="宋体" w:cs="宋体"/>
          <w:color w:val="auto"/>
          <w:szCs w:val="21"/>
          <w:highlight w:val="none"/>
        </w:rPr>
      </w:pPr>
      <w:r>
        <w:rPr>
          <w:rFonts w:hint="eastAsia" w:ascii="宋体" w:hAnsi="宋体" w:cs="宋体"/>
          <w:color w:val="auto"/>
          <w:szCs w:val="21"/>
          <w:highlight w:val="none"/>
        </w:rPr>
        <w:t>1.3按照图纸和方案，做好安全隔离措施，逐一割断减温器的汽、水等管路。</w:t>
      </w:r>
    </w:p>
    <w:p w14:paraId="751AA9DD">
      <w:pPr>
        <w:ind w:firstLine="480"/>
        <w:rPr>
          <w:rFonts w:ascii="宋体" w:hAnsi="宋体" w:cs="宋体"/>
          <w:color w:val="auto"/>
          <w:szCs w:val="21"/>
          <w:highlight w:val="none"/>
        </w:rPr>
      </w:pPr>
      <w:r>
        <w:rPr>
          <w:rFonts w:hint="eastAsia" w:ascii="宋体" w:hAnsi="宋体" w:cs="宋体"/>
          <w:color w:val="auto"/>
          <w:szCs w:val="21"/>
          <w:highlight w:val="none"/>
        </w:rPr>
        <w:t>1.4对隔断后减温器的留存系统各开口做好安全保护措施，确保系统内不进杂物。</w:t>
      </w:r>
    </w:p>
    <w:p w14:paraId="1AF37208">
      <w:pPr>
        <w:ind w:firstLine="480"/>
        <w:rPr>
          <w:rFonts w:ascii="宋体" w:hAnsi="宋体" w:cs="宋体"/>
          <w:color w:val="auto"/>
          <w:szCs w:val="21"/>
          <w:highlight w:val="none"/>
        </w:rPr>
      </w:pPr>
      <w:r>
        <w:rPr>
          <w:rFonts w:hint="eastAsia" w:ascii="宋体" w:hAnsi="宋体" w:cs="宋体"/>
          <w:color w:val="auto"/>
          <w:szCs w:val="21"/>
          <w:highlight w:val="none"/>
        </w:rPr>
        <w:t>1.5在确认减温器与整个系统完全隔断后，利用起重设备将其卸下，注意安全操作，确保不损坏周围设施。</w:t>
      </w:r>
    </w:p>
    <w:p w14:paraId="086A625E">
      <w:pPr>
        <w:ind w:firstLine="480"/>
        <w:rPr>
          <w:rFonts w:ascii="宋体" w:hAnsi="宋体" w:cs="宋体"/>
          <w:color w:val="auto"/>
          <w:szCs w:val="21"/>
          <w:highlight w:val="none"/>
        </w:rPr>
      </w:pPr>
      <w:r>
        <w:rPr>
          <w:rFonts w:hint="eastAsia" w:ascii="宋体" w:hAnsi="宋体" w:cs="宋体"/>
          <w:color w:val="auto"/>
          <w:szCs w:val="21"/>
          <w:highlight w:val="none"/>
        </w:rPr>
        <w:t>1.6按照预定计划进行切割和拆卸，逐一拆减温器各部件，确保工作安全和高效。</w:t>
      </w:r>
    </w:p>
    <w:p w14:paraId="744C723B">
      <w:pPr>
        <w:ind w:firstLine="480"/>
        <w:rPr>
          <w:rFonts w:hint="eastAsia"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.7</w:t>
      </w:r>
      <w:r>
        <w:rPr>
          <w:rFonts w:hint="eastAsia" w:ascii="宋体" w:hAnsi="宋体" w:cs="宋体"/>
          <w:color w:val="auto"/>
          <w:szCs w:val="21"/>
          <w:highlight w:val="none"/>
        </w:rPr>
        <w:t>施工工程量中需更换的汽水管道、流量计等部件切割后对管口需采取保护措施，避免异物进入管内。</w:t>
      </w:r>
    </w:p>
    <w:p w14:paraId="33C74994">
      <w:pPr>
        <w:ind w:firstLine="48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8</w:t>
      </w:r>
      <w:r>
        <w:rPr>
          <w:rFonts w:hint="eastAsia" w:ascii="宋体" w:hAnsi="宋体" w:cs="宋体"/>
          <w:color w:val="auto"/>
          <w:szCs w:val="21"/>
          <w:highlight w:val="none"/>
        </w:rPr>
        <w:t>在施工过程中，严格控制粉尘、废气及施工垃圾等污染物，保护周边环境安全和健康，并将施工垃圾清运至环保定点排放单位。</w:t>
      </w:r>
    </w:p>
    <w:p w14:paraId="7F5E8E40">
      <w:pPr>
        <w:pStyle w:val="5"/>
        <w:ind w:firstLine="482"/>
        <w:rPr>
          <w:rFonts w:ascii="宋体" w:hAnsi="宋体" w:cs="宋体"/>
          <w:color w:val="auto"/>
          <w:sz w:val="21"/>
          <w:szCs w:val="21"/>
          <w:highlight w:val="none"/>
        </w:rPr>
      </w:pPr>
      <w:r>
        <w:rPr>
          <w:rFonts w:hint="eastAsia" w:ascii="宋体" w:hAnsi="宋体" w:cs="宋体"/>
          <w:color w:val="auto"/>
          <w:sz w:val="21"/>
          <w:szCs w:val="21"/>
          <w:highlight w:val="none"/>
        </w:rPr>
        <w:t>2、安装技术要求</w:t>
      </w:r>
    </w:p>
    <w:p w14:paraId="69842522">
      <w:pPr>
        <w:ind w:firstLine="480"/>
        <w:jc w:val="both"/>
        <w:rPr>
          <w:rFonts w:ascii="宋体" w:hAnsi="宋体" w:cs="宋体"/>
          <w:color w:val="auto"/>
          <w:szCs w:val="21"/>
          <w:highlight w:val="none"/>
        </w:rPr>
      </w:pPr>
      <w:r>
        <w:rPr>
          <w:rFonts w:hint="eastAsia" w:ascii="宋体" w:hAnsi="宋体" w:cs="宋体"/>
          <w:color w:val="auto"/>
          <w:szCs w:val="21"/>
          <w:highlight w:val="none"/>
        </w:rPr>
        <w:t>2.1安装前需对现场设备的安装进行全面研究，了解设备的技术参数和安装位置等，并整理出设备的相关图纸，精心编制施工组织设计，制定起吊安装和焊接专项施工方案。</w:t>
      </w:r>
    </w:p>
    <w:p w14:paraId="0D917B2C">
      <w:pPr>
        <w:pStyle w:val="45"/>
        <w:ind w:firstLine="420" w:firstLineChars="200"/>
        <w:rPr>
          <w:rFonts w:ascii="宋体" w:hAnsi="宋体" w:cs="宋体"/>
          <w:color w:val="auto"/>
          <w:szCs w:val="21"/>
          <w:highlight w:val="none"/>
        </w:rPr>
      </w:pPr>
      <w:r>
        <w:rPr>
          <w:rFonts w:hint="eastAsia" w:ascii="宋体" w:hAnsi="宋体" w:cs="宋体"/>
          <w:color w:val="auto"/>
          <w:szCs w:val="21"/>
          <w:highlight w:val="none"/>
        </w:rPr>
        <w:t>2.2</w:t>
      </w:r>
      <w:r>
        <w:rPr>
          <w:rFonts w:hint="eastAsia"/>
          <w:color w:val="auto"/>
          <w:highlight w:val="none"/>
        </w:rPr>
        <w:t>施工前需</w:t>
      </w:r>
      <w:r>
        <w:rPr>
          <w:rFonts w:hint="eastAsia" w:ascii="宋体" w:hAnsi="宋体" w:cs="宋体"/>
          <w:color w:val="auto"/>
          <w:szCs w:val="21"/>
          <w:highlight w:val="none"/>
        </w:rPr>
        <w:t>准备好必要的施工工具和材料，包括起重设备、安全防护设备等，</w:t>
      </w:r>
      <w:r>
        <w:rPr>
          <w:rFonts w:hint="eastAsia"/>
          <w:color w:val="auto"/>
          <w:highlight w:val="none"/>
        </w:rPr>
        <w:t>减温器、管道及流量计的更换安装施工工艺需满足《电力建设施工技术规范 第2部分：锅炉机组》、《电力建设施工技术规范 第5部分：管道及系统</w:t>
      </w:r>
      <w:r>
        <w:rPr>
          <w:rFonts w:hint="eastAsia" w:ascii="宋体" w:hAnsi="宋体" w:cs="宋体"/>
          <w:color w:val="auto"/>
          <w:szCs w:val="21"/>
          <w:highlight w:val="none"/>
        </w:rPr>
        <w:t>》等相应规范要求，对更换后的管道及管件需按原固定、支吊位置进行固定完好，待试压合格后完成保温工作。</w:t>
      </w:r>
    </w:p>
    <w:p w14:paraId="212EF717">
      <w:pPr>
        <w:ind w:firstLine="480"/>
        <w:jc w:val="both"/>
        <w:rPr>
          <w:rFonts w:ascii="宋体" w:hAnsi="宋体" w:cs="宋体"/>
          <w:color w:val="auto"/>
          <w:szCs w:val="21"/>
          <w:highlight w:val="none"/>
        </w:rPr>
      </w:pPr>
      <w:r>
        <w:rPr>
          <w:rFonts w:hint="eastAsia" w:ascii="宋体" w:hAnsi="宋体" w:cs="宋体"/>
          <w:color w:val="auto"/>
          <w:szCs w:val="21"/>
          <w:highlight w:val="none"/>
        </w:rPr>
        <w:t>2.3按照批复后的起吊安装方案进行起吊安装。</w:t>
      </w:r>
    </w:p>
    <w:p w14:paraId="21C9F85C">
      <w:pPr>
        <w:ind w:firstLine="480"/>
        <w:jc w:val="both"/>
        <w:rPr>
          <w:rFonts w:ascii="宋体" w:hAnsi="宋体" w:cs="宋体"/>
          <w:color w:val="auto"/>
          <w:szCs w:val="21"/>
          <w:highlight w:val="none"/>
        </w:rPr>
      </w:pPr>
      <w:r>
        <w:rPr>
          <w:rFonts w:hint="eastAsia" w:ascii="宋体" w:hAnsi="宋体" w:cs="宋体"/>
          <w:color w:val="auto"/>
          <w:szCs w:val="21"/>
          <w:highlight w:val="none"/>
        </w:rPr>
        <w:t>2.4管道对口焊接应符合以下规定：</w:t>
      </w:r>
    </w:p>
    <w:p w14:paraId="5C49B471">
      <w:pPr>
        <w:ind w:firstLine="480"/>
        <w:jc w:val="both"/>
        <w:rPr>
          <w:rFonts w:ascii="宋体" w:hAnsi="宋体" w:cs="宋体"/>
          <w:color w:val="auto"/>
          <w:szCs w:val="21"/>
          <w:highlight w:val="none"/>
        </w:rPr>
      </w:pPr>
      <w:r>
        <w:rPr>
          <w:rFonts w:hint="eastAsia" w:ascii="宋体" w:hAnsi="宋体" w:cs="宋体"/>
          <w:color w:val="auto"/>
          <w:szCs w:val="21"/>
          <w:highlight w:val="none"/>
        </w:rPr>
        <w:t>1）管道的对口焊接乙方应按照经采购人（甲方）批准后的焊接专项施工方案进行实施，焊接施工方案应符合设计要求和相关标准及规范，施工完成后经甲方组织验收合格。</w:t>
      </w:r>
    </w:p>
    <w:p w14:paraId="129C36C9">
      <w:pPr>
        <w:ind w:firstLine="480"/>
        <w:jc w:val="both"/>
        <w:rPr>
          <w:rFonts w:ascii="宋体" w:hAnsi="宋体" w:cs="宋体"/>
          <w:color w:val="auto"/>
          <w:szCs w:val="21"/>
          <w:highlight w:val="none"/>
        </w:rPr>
      </w:pPr>
      <w:r>
        <w:rPr>
          <w:rFonts w:hint="eastAsia" w:ascii="宋体" w:hAnsi="宋体" w:cs="宋体"/>
          <w:color w:val="auto"/>
          <w:szCs w:val="21"/>
          <w:highlight w:val="none"/>
        </w:rPr>
        <w:t>2）乙方在项目现场凡属国家目录规定的特种作业人员均需持本人有效的特种人员操作证，并将复印件上交甲方安全主管人员，焊接人员必须携带技术监督局颁发的锅炉、压力容器、压力管道焊工证明（胸卡），以便检查。</w:t>
      </w:r>
    </w:p>
    <w:p w14:paraId="0DEE676F">
      <w:pPr>
        <w:ind w:firstLine="480"/>
        <w:jc w:val="both"/>
        <w:rPr>
          <w:rFonts w:ascii="宋体" w:hAnsi="宋体" w:cs="宋体"/>
          <w:color w:val="auto"/>
          <w:szCs w:val="21"/>
          <w:highlight w:val="none"/>
        </w:rPr>
      </w:pPr>
      <w:r>
        <w:rPr>
          <w:rFonts w:hint="eastAsia" w:ascii="宋体" w:hAnsi="宋体" w:cs="宋体"/>
          <w:color w:val="auto"/>
          <w:szCs w:val="21"/>
          <w:highlight w:val="none"/>
        </w:rPr>
        <w:t>3）焊接材料：乙方安装使用的焊材（焊条、焊丝品牌推荐：大西洋、猴王牌、金桥牌）应有生产厂的质量保证书。氩气纯度不低于99.95%，钨棒采用铈钨棒。焊接材料接收甲方检查检验。</w:t>
      </w:r>
    </w:p>
    <w:p w14:paraId="0E02B976">
      <w:pPr>
        <w:ind w:firstLine="480"/>
        <w:jc w:val="both"/>
        <w:rPr>
          <w:rFonts w:ascii="宋体" w:hAnsi="宋体" w:cs="宋体"/>
          <w:color w:val="auto"/>
          <w:szCs w:val="21"/>
          <w:highlight w:val="none"/>
        </w:rPr>
      </w:pPr>
      <w:r>
        <w:rPr>
          <w:rFonts w:hint="eastAsia" w:ascii="宋体" w:hAnsi="宋体" w:cs="宋体"/>
          <w:color w:val="auto"/>
          <w:szCs w:val="21"/>
          <w:highlight w:val="none"/>
        </w:rPr>
        <w:t>4）乙方在压力管道焊接施工前须对焊点（对接口、角接口等）焊接位置进行编号。</w:t>
      </w:r>
    </w:p>
    <w:p w14:paraId="199196D2">
      <w:pPr>
        <w:ind w:firstLine="480"/>
        <w:jc w:val="both"/>
        <w:rPr>
          <w:rFonts w:ascii="宋体" w:hAnsi="宋体" w:cs="宋体"/>
          <w:color w:val="auto"/>
          <w:szCs w:val="21"/>
          <w:highlight w:val="none"/>
        </w:rPr>
      </w:pPr>
      <w:r>
        <w:rPr>
          <w:rFonts w:hint="eastAsia" w:ascii="宋体" w:hAnsi="宋体" w:cs="宋体"/>
          <w:color w:val="auto"/>
          <w:szCs w:val="21"/>
          <w:highlight w:val="none"/>
        </w:rPr>
        <w:t>5）较大口径管道施工，对口应采用对口器，以防止对口错边超差，端口的坡口角度、对口间隙尺寸等满足《压力管道规范-工业管道》(GB/T-20801)和《电力建设施工质量验收及评定规程第7部分：焊接》DL／T 5210.7的要求。管子焊接对口时错口不应超过壁厚的10％，对口焊接的管子内外壁10-15mm清除锈至显出金属的光泽度,管子不得强行对口焊接。</w:t>
      </w:r>
    </w:p>
    <w:p w14:paraId="0153BD8D">
      <w:pPr>
        <w:ind w:firstLine="480"/>
        <w:jc w:val="both"/>
        <w:rPr>
          <w:rFonts w:ascii="宋体" w:hAnsi="宋体" w:cs="宋体"/>
          <w:color w:val="auto"/>
          <w:szCs w:val="21"/>
          <w:highlight w:val="none"/>
        </w:rPr>
      </w:pPr>
      <w:r>
        <w:rPr>
          <w:rFonts w:ascii="宋体" w:hAnsi="宋体" w:cs="宋体"/>
          <w:color w:val="auto"/>
          <w:szCs w:val="21"/>
          <w:highlight w:val="none"/>
        </w:rPr>
        <w:t>6</w:t>
      </w:r>
      <w:r>
        <w:rPr>
          <w:rFonts w:hint="eastAsia" w:ascii="宋体" w:hAnsi="宋体" w:cs="宋体"/>
          <w:color w:val="auto"/>
          <w:szCs w:val="21"/>
          <w:highlight w:val="none"/>
        </w:rPr>
        <w:t>）焊接时应采用氩弧焊打底或全氩焊接,氩弧焊打底时应一气呵成,不允许中途停止,如出现中途返修，发现有气孔.裂纹应彻底铲除后修复,不允许用重复熔化的方法来消除缺陷，返工不能超过二次（含二次）。安装焊口的焊接工作结束后, 需进行“三级检验”并留有检验记录或检验报告。</w:t>
      </w:r>
    </w:p>
    <w:p w14:paraId="049B73BD">
      <w:pPr>
        <w:ind w:firstLine="480"/>
        <w:jc w:val="both"/>
        <w:rPr>
          <w:rFonts w:ascii="宋体" w:hAnsi="宋体" w:cs="宋体"/>
          <w:color w:val="auto"/>
          <w:szCs w:val="21"/>
          <w:highlight w:val="none"/>
        </w:rPr>
      </w:pPr>
      <w:r>
        <w:rPr>
          <w:rFonts w:ascii="宋体" w:hAnsi="宋体" w:cs="宋体"/>
          <w:color w:val="auto"/>
          <w:szCs w:val="21"/>
          <w:highlight w:val="none"/>
        </w:rPr>
        <w:t>7</w:t>
      </w:r>
      <w:r>
        <w:rPr>
          <w:rFonts w:hint="eastAsia" w:ascii="宋体" w:hAnsi="宋体" w:cs="宋体"/>
          <w:color w:val="auto"/>
          <w:szCs w:val="21"/>
          <w:highlight w:val="none"/>
        </w:rPr>
        <w:t>）5.9管道各焊口无损检测比例按《工业金属管道工程施工质量验收规范》（GB50184-2011）相关条款要求执行。对DN50以上所有焊口进行100%无损检测，DN50（含DN50）以下的焊口进行20%的无损检测。片底交一份由甲方保管，费用由乙方负责。</w:t>
      </w:r>
    </w:p>
    <w:p w14:paraId="5AB3BEE6">
      <w:pPr>
        <w:ind w:firstLine="480"/>
        <w:jc w:val="both"/>
        <w:rPr>
          <w:rFonts w:ascii="宋体" w:hAnsi="宋体" w:cs="宋体"/>
          <w:color w:val="auto"/>
          <w:szCs w:val="21"/>
          <w:highlight w:val="none"/>
        </w:rPr>
      </w:pPr>
      <w:r>
        <w:rPr>
          <w:rFonts w:ascii="宋体" w:hAnsi="宋体" w:cs="宋体"/>
          <w:color w:val="auto"/>
          <w:szCs w:val="21"/>
          <w:highlight w:val="none"/>
        </w:rPr>
        <w:t>8</w:t>
      </w:r>
      <w:r>
        <w:rPr>
          <w:rFonts w:hint="eastAsia" w:ascii="宋体" w:hAnsi="宋体" w:cs="宋体"/>
          <w:color w:val="auto"/>
          <w:szCs w:val="21"/>
          <w:highlight w:val="none"/>
        </w:rPr>
        <w:t>）系统压力试验前须送审检验记录：水压试验方案、隐蔽工程验收报告、、管线敷设检查验收报告、管道组成件质量证明及施焊及焊接检验记录、焊接工艺试件机械性能报告、无损检测报告及RT底片、管道支架（墩）检查验收报告等。</w:t>
      </w:r>
    </w:p>
    <w:p w14:paraId="3CAF6D75">
      <w:pPr>
        <w:ind w:firstLine="480"/>
        <w:jc w:val="both"/>
        <w:rPr>
          <w:rFonts w:ascii="宋体" w:hAnsi="宋体" w:cs="宋体"/>
          <w:color w:val="auto"/>
          <w:szCs w:val="21"/>
          <w:highlight w:val="none"/>
        </w:rPr>
      </w:pPr>
      <w:r>
        <w:rPr>
          <w:rFonts w:ascii="宋体" w:hAnsi="宋体" w:cs="宋体"/>
          <w:color w:val="auto"/>
          <w:szCs w:val="21"/>
          <w:highlight w:val="none"/>
        </w:rPr>
        <w:t>9</w:t>
      </w:r>
      <w:r>
        <w:rPr>
          <w:rFonts w:hint="eastAsia" w:ascii="宋体" w:hAnsi="宋体" w:cs="宋体"/>
          <w:color w:val="auto"/>
          <w:szCs w:val="21"/>
          <w:highlight w:val="none"/>
        </w:rPr>
        <w:t>）管道压力试验或气密性试验前焊接接头应保持干净，不得防腐涂油漆，待压力试验合格后方可进行下步工序。</w:t>
      </w:r>
    </w:p>
    <w:p w14:paraId="3106EB4F">
      <w:pPr>
        <w:ind w:firstLine="480"/>
        <w:jc w:val="both"/>
        <w:rPr>
          <w:rFonts w:ascii="宋体" w:hAnsi="宋体" w:cs="宋体"/>
          <w:color w:val="auto"/>
          <w:szCs w:val="21"/>
          <w:highlight w:val="none"/>
        </w:rPr>
      </w:pPr>
      <w:r>
        <w:rPr>
          <w:rFonts w:hint="eastAsia" w:ascii="宋体" w:hAnsi="宋体" w:cs="宋体"/>
          <w:color w:val="auto"/>
          <w:szCs w:val="21"/>
          <w:highlight w:val="none"/>
        </w:rPr>
        <w:t>2.5支座和悬挂装置安装应符合厂家设计要求和《室内汽水管道支吊架》规范要求。</w:t>
      </w:r>
    </w:p>
    <w:p w14:paraId="717E0C50">
      <w:pPr>
        <w:ind w:firstLine="480"/>
        <w:jc w:val="both"/>
        <w:rPr>
          <w:rFonts w:ascii="宋体" w:hAnsi="宋体" w:cs="宋体"/>
          <w:color w:val="auto"/>
          <w:szCs w:val="21"/>
          <w:highlight w:val="none"/>
        </w:rPr>
      </w:pPr>
      <w:r>
        <w:rPr>
          <w:rFonts w:hint="eastAsia" w:ascii="宋体" w:hAnsi="宋体" w:cs="宋体"/>
          <w:color w:val="auto"/>
          <w:szCs w:val="21"/>
          <w:highlight w:val="none"/>
        </w:rPr>
        <w:t>2.6恢复安装完成与钢厂连接的系统装置，质量满足钢厂相关标准要求。</w:t>
      </w:r>
    </w:p>
    <w:p w14:paraId="0BAB585F">
      <w:pPr>
        <w:ind w:firstLine="480"/>
        <w:jc w:val="both"/>
        <w:rPr>
          <w:rFonts w:hAnsi="宋体"/>
          <w:color w:val="auto"/>
          <w:sz w:val="22"/>
          <w:highlight w:val="none"/>
        </w:rPr>
      </w:pPr>
      <w:r>
        <w:rPr>
          <w:rFonts w:hint="eastAsia" w:ascii="宋体" w:hAnsi="宋体" w:cs="宋体"/>
          <w:color w:val="auto"/>
          <w:szCs w:val="21"/>
          <w:highlight w:val="none"/>
        </w:rPr>
        <w:t>2</w:t>
      </w:r>
      <w:r>
        <w:rPr>
          <w:rFonts w:ascii="宋体" w:hAnsi="宋体" w:cs="宋体"/>
          <w:color w:val="auto"/>
          <w:szCs w:val="21"/>
          <w:highlight w:val="none"/>
        </w:rPr>
        <w:t>.7</w:t>
      </w:r>
      <w:r>
        <w:rPr>
          <w:rFonts w:hint="eastAsia" w:ascii="宋体" w:hAnsi="宋体" w:cs="宋体"/>
          <w:color w:val="auto"/>
          <w:szCs w:val="21"/>
          <w:highlight w:val="none"/>
        </w:rPr>
        <w:t>介质温度低于1</w:t>
      </w:r>
      <w:r>
        <w:rPr>
          <w:rFonts w:ascii="宋体" w:hAnsi="宋体" w:cs="宋体"/>
          <w:color w:val="auto"/>
          <w:szCs w:val="21"/>
          <w:highlight w:val="none"/>
        </w:rPr>
        <w:t>00</w:t>
      </w:r>
      <w:r>
        <w:rPr>
          <w:rFonts w:hint="eastAsia" w:ascii="等线" w:hAnsi="等线" w:eastAsia="等线" w:cs="宋体"/>
          <w:color w:val="auto"/>
          <w:szCs w:val="21"/>
          <w:highlight w:val="none"/>
        </w:rPr>
        <w:t>℃</w:t>
      </w:r>
      <w:r>
        <w:rPr>
          <w:rFonts w:hint="eastAsia" w:ascii="宋体" w:hAnsi="宋体" w:cs="宋体"/>
          <w:color w:val="auto"/>
          <w:szCs w:val="21"/>
          <w:highlight w:val="none"/>
        </w:rPr>
        <w:t>的管道施工前需先进行防腐刷漆（管端焊口处不刷），油漆工艺采用一底两面，底漆采用</w:t>
      </w:r>
      <w:r>
        <w:rPr>
          <w:rFonts w:hint="eastAsia" w:hAnsi="宋体"/>
          <w:color w:val="auto"/>
          <w:sz w:val="22"/>
          <w:highlight w:val="none"/>
        </w:rPr>
        <w:t>无机/环氧富锌底漆，面漆采用环氧云铁漆，待安装试压合格后刷最后一道面漆，油漆完成后总厚度不小于1</w:t>
      </w:r>
      <w:r>
        <w:rPr>
          <w:rFonts w:hAnsi="宋体"/>
          <w:color w:val="auto"/>
          <w:sz w:val="22"/>
          <w:highlight w:val="none"/>
        </w:rPr>
        <w:t>20um</w:t>
      </w:r>
      <w:r>
        <w:rPr>
          <w:rFonts w:hint="eastAsia" w:hAnsi="宋体"/>
          <w:color w:val="auto"/>
          <w:sz w:val="22"/>
          <w:highlight w:val="none"/>
        </w:rPr>
        <w:t>。</w:t>
      </w:r>
    </w:p>
    <w:p w14:paraId="458E841E">
      <w:pPr>
        <w:ind w:firstLine="480"/>
        <w:jc w:val="both"/>
        <w:rPr>
          <w:rFonts w:hint="eastAsia" w:ascii="宋体" w:hAnsi="宋体" w:cs="宋体"/>
          <w:color w:val="auto"/>
          <w:szCs w:val="21"/>
          <w:highlight w:val="none"/>
        </w:rPr>
      </w:pPr>
      <w:r>
        <w:rPr>
          <w:rFonts w:hint="eastAsia" w:hAnsi="宋体"/>
          <w:color w:val="auto"/>
          <w:sz w:val="22"/>
          <w:highlight w:val="none"/>
        </w:rPr>
        <w:t>2</w:t>
      </w:r>
      <w:r>
        <w:rPr>
          <w:rFonts w:hAnsi="宋体"/>
          <w:color w:val="auto"/>
          <w:sz w:val="22"/>
          <w:highlight w:val="none"/>
        </w:rPr>
        <w:t>.8</w:t>
      </w:r>
      <w:r>
        <w:rPr>
          <w:rFonts w:hint="eastAsia" w:hAnsi="宋体"/>
          <w:color w:val="auto"/>
          <w:sz w:val="22"/>
          <w:highlight w:val="none"/>
        </w:rPr>
        <w:t>设备表面温度运行中高于5</w:t>
      </w:r>
      <w:r>
        <w:rPr>
          <w:rFonts w:hAnsi="宋体"/>
          <w:color w:val="auto"/>
          <w:sz w:val="22"/>
          <w:highlight w:val="none"/>
        </w:rPr>
        <w:t>0</w:t>
      </w:r>
      <w:r>
        <w:rPr>
          <w:rFonts w:hint="eastAsia" w:ascii="等线" w:hAnsi="等线" w:eastAsia="等线" w:cs="宋体"/>
          <w:color w:val="auto"/>
          <w:szCs w:val="21"/>
          <w:highlight w:val="none"/>
        </w:rPr>
        <w:t>℃的，需对管道进行保温，保温采用硅酸铝毡，容重不</w:t>
      </w:r>
      <w:r>
        <w:rPr>
          <w:rFonts w:hint="eastAsia" w:ascii="等线" w:hAnsi="等线" w:eastAsia="等线" w:cs="宋体"/>
          <w:color w:val="auto"/>
          <w:szCs w:val="21"/>
          <w:highlight w:val="none"/>
          <w:lang w:val="en-US" w:eastAsia="zh-CN"/>
        </w:rPr>
        <w:t>小于</w:t>
      </w:r>
      <w:r>
        <w:rPr>
          <w:rFonts w:hint="eastAsia" w:ascii="等线" w:hAnsi="等线" w:eastAsia="等线" w:cs="宋体"/>
          <w:color w:val="auto"/>
          <w:szCs w:val="21"/>
          <w:highlight w:val="none"/>
        </w:rPr>
        <w:t>1</w:t>
      </w:r>
      <w:r>
        <w:rPr>
          <w:rFonts w:ascii="等线" w:hAnsi="等线" w:eastAsia="等线" w:cs="宋体"/>
          <w:color w:val="auto"/>
          <w:szCs w:val="21"/>
          <w:highlight w:val="none"/>
        </w:rPr>
        <w:t>28Kg/</w:t>
      </w:r>
      <w:r>
        <w:rPr>
          <w:rFonts w:ascii="宋体" w:hAnsi="宋体"/>
          <w:color w:val="auto"/>
          <w:highlight w:val="none"/>
        </w:rPr>
        <w:t xml:space="preserve"> m</w:t>
      </w:r>
      <w:r>
        <w:rPr>
          <w:rFonts w:hint="eastAsia" w:ascii="宋体" w:hAnsi="宋体"/>
          <w:color w:val="auto"/>
          <w:highlight w:val="none"/>
        </w:rPr>
        <w:t>³</w:t>
      </w:r>
      <w:r>
        <w:rPr>
          <w:rFonts w:hint="eastAsia" w:ascii="等线" w:hAnsi="等线" w:eastAsia="等线" w:cs="宋体"/>
          <w:color w:val="auto"/>
          <w:szCs w:val="21"/>
          <w:highlight w:val="none"/>
        </w:rPr>
        <w:t>，</w:t>
      </w:r>
      <w:r>
        <w:rPr>
          <w:rFonts w:hint="eastAsia" w:ascii="宋体" w:hAnsi="宋体"/>
          <w:color w:val="auto"/>
          <w:highlight w:val="none"/>
        </w:rPr>
        <w:t>导热系统不大于0</w:t>
      </w:r>
      <w:r>
        <w:rPr>
          <w:rFonts w:ascii="宋体" w:hAnsi="宋体"/>
          <w:color w:val="auto"/>
          <w:highlight w:val="none"/>
        </w:rPr>
        <w:t>.148W/(m</w:t>
      </w:r>
      <w:r>
        <w:rPr>
          <w:rFonts w:hint="eastAsia" w:ascii="微软雅黑" w:hAnsi="微软雅黑" w:eastAsia="微软雅黑"/>
          <w:color w:val="auto"/>
          <w:highlight w:val="none"/>
        </w:rPr>
        <w:t>﹒k</w:t>
      </w:r>
      <w:r>
        <w:rPr>
          <w:rFonts w:ascii="宋体" w:hAnsi="宋体"/>
          <w:color w:val="auto"/>
          <w:highlight w:val="none"/>
        </w:rPr>
        <w:t>)</w:t>
      </w:r>
      <w:r>
        <w:rPr>
          <w:rFonts w:hint="eastAsia" w:ascii="宋体" w:hAnsi="宋体"/>
          <w:color w:val="auto"/>
          <w:highlight w:val="none"/>
          <w:lang w:eastAsia="zh-CN"/>
        </w:rPr>
        <w:t>，</w:t>
      </w:r>
      <w:r>
        <w:rPr>
          <w:rFonts w:hint="eastAsia" w:ascii="宋体" w:hAnsi="宋体"/>
          <w:color w:val="auto"/>
          <w:highlight w:val="none"/>
        </w:rPr>
        <w:t>外护板厚度采用.0.5mm 厚的铝板。。</w:t>
      </w:r>
    </w:p>
    <w:p w14:paraId="4769D900">
      <w:pPr>
        <w:pStyle w:val="3"/>
        <w:spacing w:line="360" w:lineRule="auto"/>
        <w:rPr>
          <w:rFonts w:ascii="宋体" w:hAnsi="宋体" w:eastAsia="宋体" w:cs="宋体"/>
          <w:snapToGrid w:val="0"/>
          <w:color w:val="auto"/>
          <w:sz w:val="21"/>
          <w:szCs w:val="21"/>
          <w:highlight w:val="none"/>
        </w:rPr>
      </w:pPr>
      <w:r>
        <w:rPr>
          <w:rFonts w:hint="eastAsia" w:ascii="宋体" w:hAnsi="宋体" w:eastAsia="宋体" w:cs="宋体"/>
          <w:color w:val="auto"/>
          <w:sz w:val="21"/>
          <w:szCs w:val="21"/>
          <w:highlight w:val="none"/>
        </w:rPr>
        <w:t>五、</w:t>
      </w:r>
      <w:r>
        <w:rPr>
          <w:rFonts w:hint="eastAsia" w:ascii="宋体" w:hAnsi="宋体" w:eastAsia="宋体" w:cs="宋体"/>
          <w:snapToGrid w:val="0"/>
          <w:color w:val="auto"/>
          <w:sz w:val="21"/>
          <w:szCs w:val="21"/>
          <w:highlight w:val="none"/>
        </w:rPr>
        <w:t>安全文明施工与环境保护</w:t>
      </w:r>
    </w:p>
    <w:p w14:paraId="42B6C073">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5.1乙方必须严格贯彻国家有关安全生产的方针、政策、规定及甲方有关安全、文明施工及环境保护 的规定，把“安全第一，预防为主，综合治理”的安全生产方针落实到施工管理中，建立健全安全文明施工管理网络。</w:t>
      </w:r>
    </w:p>
    <w:p w14:paraId="7801C162">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5.2乙方负责施工现场的安全及第三方人身安全，工程开工前按国家有关规定要求提交安全施工措施； 工程开工前3日内购买工人不低于150万人身意外伤害保险，乙方与现场施工人员必须签订劳动合同，并办理工伤保险。</w:t>
      </w:r>
    </w:p>
    <w:p w14:paraId="7664C2FC">
      <w:pPr>
        <w:widowControl w:val="0"/>
        <w:ind w:firstLine="480"/>
        <w:jc w:val="both"/>
        <w:rPr>
          <w:rFonts w:ascii="宋体" w:hAnsi="宋体" w:cs="宋体"/>
          <w:color w:val="auto"/>
          <w:szCs w:val="21"/>
          <w:highlight w:val="none"/>
        </w:rPr>
      </w:pPr>
      <w:r>
        <w:rPr>
          <w:rFonts w:hint="eastAsia" w:ascii="宋体" w:hAnsi="宋体" w:cs="宋体"/>
          <w:color w:val="auto"/>
          <w:szCs w:val="21"/>
          <w:highlight w:val="none"/>
        </w:rPr>
        <w:t>5.3乙方须严格按安全标准组织施工，并随时接受甲方或行业安全检查人员依照法规实施的监督检查， 采取必要的安全防范措施，发现隐患，及时地进行整改。由于乙方原因造成的安全事故及由此引起的经济损  失，所有责任均由乙方承担；由于乙方原因造成甲方承担业主的经济损失则由全部由乙方承担。</w:t>
      </w:r>
    </w:p>
    <w:p w14:paraId="12993D74">
      <w:pPr>
        <w:ind w:firstLine="480"/>
        <w:rPr>
          <w:rFonts w:ascii="宋体" w:hAnsi="宋体" w:cs="宋体"/>
          <w:color w:val="auto"/>
          <w:szCs w:val="21"/>
          <w:highlight w:val="none"/>
        </w:rPr>
      </w:pPr>
      <w:r>
        <w:rPr>
          <w:rFonts w:hint="eastAsia" w:ascii="宋体" w:hAnsi="宋体" w:cs="宋体"/>
          <w:color w:val="auto"/>
          <w:szCs w:val="21"/>
          <w:highlight w:val="none"/>
        </w:rPr>
        <w:t>5.4工程施工过程中，乙方应保持施工现场及周边环境的清洁，设备、材料堆放应整齐有序，做到“工 完、料尽、场地清”,搞好文明施工和环境保护，已完工的施工项目在试运移交前负责成品保管。若乙方不及时清理垃圾、废料和临时设施，甲方有权委托其他方清理，费用从工程结算款中扣除。</w:t>
      </w:r>
    </w:p>
    <w:p w14:paraId="1BD74104">
      <w:pPr>
        <w:ind w:firstLine="480"/>
        <w:rPr>
          <w:rFonts w:ascii="宋体" w:hAnsi="宋体" w:cs="宋体"/>
          <w:color w:val="auto"/>
          <w:szCs w:val="21"/>
          <w:highlight w:val="none"/>
        </w:rPr>
      </w:pPr>
      <w:r>
        <w:rPr>
          <w:rFonts w:hint="eastAsia" w:ascii="宋体" w:hAnsi="宋体" w:cs="宋体"/>
          <w:color w:val="auto"/>
          <w:szCs w:val="21"/>
          <w:highlight w:val="none"/>
        </w:rPr>
        <w:t>5.5乙方负责人是安全施工第一责任者，对乙方人员的安全负责，乙方必须按照规定为施工人员配备应有的劳动保护用品、用具，乙方有30人及以上施工时，应设立专职安全员(具有资格证及一定的现场管 理经验),少于30人时应设兼职安全员。</w:t>
      </w:r>
    </w:p>
    <w:p w14:paraId="2BE600EF">
      <w:pPr>
        <w:ind w:firstLine="480"/>
        <w:rPr>
          <w:rFonts w:ascii="宋体" w:hAnsi="宋体" w:cs="宋体"/>
          <w:color w:val="auto"/>
          <w:szCs w:val="21"/>
          <w:highlight w:val="none"/>
        </w:rPr>
      </w:pPr>
      <w:r>
        <w:rPr>
          <w:rFonts w:hint="eastAsia" w:ascii="宋体" w:hAnsi="宋体" w:cs="宋体"/>
          <w:color w:val="auto"/>
          <w:szCs w:val="21"/>
          <w:highlight w:val="none"/>
        </w:rPr>
        <w:t>5.6乙方必须为其现场管理人员和施工人员提供必须的、质量符合有关规定的安全防护用品和用具，确 保其施工人员的人身安全和健康。</w:t>
      </w:r>
    </w:p>
    <w:p w14:paraId="31BE996E">
      <w:pPr>
        <w:ind w:firstLine="480"/>
        <w:rPr>
          <w:rFonts w:ascii="宋体" w:hAnsi="宋体" w:cs="宋体"/>
          <w:color w:val="auto"/>
          <w:szCs w:val="21"/>
          <w:highlight w:val="none"/>
        </w:rPr>
      </w:pPr>
      <w:r>
        <w:rPr>
          <w:rFonts w:hint="eastAsia" w:ascii="宋体" w:hAnsi="宋体" w:cs="宋体"/>
          <w:color w:val="auto"/>
          <w:szCs w:val="21"/>
          <w:highlight w:val="none"/>
        </w:rPr>
        <w:t>5.7对由于不可抗力引起的事故或损失，根据双方各自的职责，各自承担相应的责任及损失，同时双方应 尽最大的努力减少损失，由于不可抗力而不能达到合同目的或合同无法履行，双方可书面解除合同。</w:t>
      </w:r>
    </w:p>
    <w:p w14:paraId="7810EB2C">
      <w:pPr>
        <w:ind w:firstLine="480"/>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snapToGrid w:val="0"/>
          <w:color w:val="auto"/>
          <w:szCs w:val="21"/>
          <w:highlight w:val="none"/>
        </w:rPr>
        <w:t>.8乙方应</w:t>
      </w:r>
      <w:r>
        <w:rPr>
          <w:rFonts w:hint="eastAsia" w:ascii="宋体" w:hAnsi="宋体" w:cs="宋体"/>
          <w:color w:val="auto"/>
          <w:szCs w:val="21"/>
          <w:highlight w:val="none"/>
        </w:rPr>
        <w:t>于开工</w:t>
      </w:r>
      <w:r>
        <w:rPr>
          <w:rFonts w:hint="eastAsia" w:ascii="宋体" w:hAnsi="宋体" w:cs="宋体"/>
          <w:snapToGrid w:val="0"/>
          <w:color w:val="auto"/>
          <w:szCs w:val="21"/>
          <w:highlight w:val="none"/>
        </w:rPr>
        <w:t>前三天</w:t>
      </w:r>
      <w:r>
        <w:rPr>
          <w:rFonts w:hint="eastAsia" w:ascii="宋体" w:hAnsi="宋体" w:cs="宋体"/>
          <w:color w:val="auto"/>
          <w:szCs w:val="21"/>
          <w:highlight w:val="none"/>
        </w:rPr>
        <w:t>至广青科技金属有限公司办理安全施工许可证，并提供员工个人体检报告（一年期内体检报告均有效）。</w:t>
      </w:r>
    </w:p>
    <w:p w14:paraId="3C1AEB80">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七、质量检验</w:t>
      </w:r>
    </w:p>
    <w:p w14:paraId="6FC9525B">
      <w:pPr>
        <w:ind w:firstLine="480"/>
        <w:rPr>
          <w:rFonts w:ascii="宋体" w:hAnsi="宋体" w:cs="宋体"/>
          <w:color w:val="auto"/>
          <w:szCs w:val="21"/>
          <w:highlight w:val="none"/>
        </w:rPr>
      </w:pPr>
      <w:r>
        <w:rPr>
          <w:rFonts w:hint="eastAsia" w:ascii="宋体" w:hAnsi="宋体" w:cs="宋体"/>
          <w:color w:val="auto"/>
          <w:szCs w:val="21"/>
          <w:highlight w:val="none"/>
        </w:rPr>
        <w:t>6.1 质量检查验收的依据和标准：设计文件、施工图纸、技术资料及设计变更；制造厂家提供的设备图纸，技术说明书中的技术标准和要求；甲方和乙方拟定的技术要求。</w:t>
      </w:r>
    </w:p>
    <w:p w14:paraId="19696A7E">
      <w:pPr>
        <w:ind w:firstLine="480"/>
        <w:rPr>
          <w:rFonts w:ascii="宋体" w:hAnsi="宋体" w:cs="宋体"/>
          <w:color w:val="auto"/>
          <w:szCs w:val="21"/>
          <w:highlight w:val="none"/>
        </w:rPr>
      </w:pPr>
      <w:r>
        <w:rPr>
          <w:rFonts w:hint="eastAsia" w:ascii="宋体" w:hAnsi="宋体" w:cs="宋体"/>
          <w:color w:val="auto"/>
          <w:szCs w:val="21"/>
          <w:highlight w:val="none"/>
        </w:rPr>
        <w:t>6.2验收标准依据：</w:t>
      </w:r>
    </w:p>
    <w:p w14:paraId="7C2719F1">
      <w:pPr>
        <w:ind w:firstLine="480"/>
        <w:rPr>
          <w:rFonts w:ascii="宋体" w:hAnsi="宋体" w:cs="宋体"/>
          <w:color w:val="auto"/>
          <w:szCs w:val="21"/>
          <w:highlight w:val="none"/>
        </w:rPr>
      </w:pPr>
      <w:r>
        <w:rPr>
          <w:rFonts w:hint="eastAsia" w:ascii="宋体" w:hAnsi="宋体" w:cs="宋体"/>
          <w:color w:val="auto"/>
          <w:szCs w:val="21"/>
          <w:highlight w:val="none"/>
        </w:rPr>
        <w:t>DLT5210.2-2009电力建设施工质量验收及评价规程第2部分：锅炉机组</w:t>
      </w:r>
    </w:p>
    <w:p w14:paraId="031B3F45">
      <w:pPr>
        <w:ind w:firstLine="480"/>
        <w:rPr>
          <w:rFonts w:ascii="宋体" w:hAnsi="宋体" w:cs="宋体"/>
          <w:color w:val="auto"/>
          <w:szCs w:val="21"/>
          <w:highlight w:val="none"/>
        </w:rPr>
      </w:pPr>
      <w:r>
        <w:rPr>
          <w:rFonts w:hint="eastAsia" w:ascii="宋体" w:hAnsi="宋体" w:cs="宋体"/>
          <w:color w:val="auto"/>
          <w:szCs w:val="21"/>
          <w:highlight w:val="none"/>
        </w:rPr>
        <w:t>DLT 5210.5-2009电力建设施工质量验收及评价规程第5部分：管道及系统</w:t>
      </w:r>
    </w:p>
    <w:p w14:paraId="4756F256">
      <w:pPr>
        <w:ind w:firstLine="480"/>
        <w:rPr>
          <w:rFonts w:ascii="宋体" w:hAnsi="宋体" w:cs="宋体"/>
          <w:color w:val="auto"/>
          <w:szCs w:val="21"/>
          <w:highlight w:val="none"/>
        </w:rPr>
      </w:pPr>
      <w:r>
        <w:rPr>
          <w:rFonts w:hint="eastAsia" w:ascii="宋体" w:hAnsi="宋体" w:cs="宋体"/>
          <w:color w:val="auto"/>
          <w:szCs w:val="21"/>
          <w:highlight w:val="none"/>
        </w:rPr>
        <w:t>DL／T 5210.7-2010 电力建设施工质量验收及评定规程 第7部分：焊接</w:t>
      </w:r>
    </w:p>
    <w:p w14:paraId="6D9BB6E4">
      <w:pPr>
        <w:ind w:firstLine="480"/>
        <w:rPr>
          <w:rFonts w:ascii="宋体" w:hAnsi="宋体" w:cs="宋体"/>
          <w:color w:val="auto"/>
          <w:szCs w:val="21"/>
          <w:highlight w:val="none"/>
        </w:rPr>
      </w:pPr>
      <w:r>
        <w:rPr>
          <w:rFonts w:hint="eastAsia" w:ascii="宋体" w:hAnsi="宋体" w:cs="宋体"/>
          <w:color w:val="auto"/>
          <w:szCs w:val="21"/>
          <w:highlight w:val="none"/>
        </w:rPr>
        <w:t>DLT 5210.8-2009 电力建设施工质量验收及评价规程 第8部分：加工配制</w:t>
      </w:r>
    </w:p>
    <w:p w14:paraId="09C43E05">
      <w:pPr>
        <w:ind w:firstLine="480"/>
        <w:rPr>
          <w:rFonts w:ascii="宋体" w:hAnsi="宋体" w:cs="宋体"/>
          <w:color w:val="auto"/>
          <w:szCs w:val="21"/>
          <w:highlight w:val="none"/>
        </w:rPr>
      </w:pPr>
      <w:r>
        <w:rPr>
          <w:rFonts w:hint="eastAsia" w:ascii="宋体" w:hAnsi="宋体" w:cs="宋体"/>
          <w:color w:val="auto"/>
          <w:szCs w:val="21"/>
          <w:highlight w:val="none"/>
        </w:rPr>
        <w:t>DL／T869-2012 火力发电厂焊接技术规程</w:t>
      </w:r>
    </w:p>
    <w:p w14:paraId="488BFC97">
      <w:pPr>
        <w:ind w:firstLine="480"/>
        <w:rPr>
          <w:rFonts w:hint="eastAsia" w:ascii="宋体" w:hAnsi="宋体" w:cs="宋体"/>
          <w:color w:val="auto"/>
          <w:szCs w:val="21"/>
          <w:highlight w:val="none"/>
        </w:rPr>
      </w:pPr>
      <w:r>
        <w:rPr>
          <w:rFonts w:hint="eastAsia" w:ascii="宋体" w:hAnsi="宋体" w:cs="宋体"/>
          <w:color w:val="auto"/>
          <w:szCs w:val="21"/>
          <w:highlight w:val="none"/>
        </w:rPr>
        <w:t>6</w:t>
      </w:r>
      <w:r>
        <w:rPr>
          <w:rFonts w:ascii="宋体" w:hAnsi="宋体" w:cs="宋体"/>
          <w:color w:val="auto"/>
          <w:szCs w:val="21"/>
          <w:highlight w:val="none"/>
        </w:rPr>
        <w:t>.3</w:t>
      </w:r>
      <w:r>
        <w:rPr>
          <w:rFonts w:hint="eastAsia" w:ascii="宋体" w:hAnsi="宋体" w:cs="宋体"/>
          <w:color w:val="auto"/>
          <w:szCs w:val="21"/>
          <w:highlight w:val="none"/>
        </w:rPr>
        <w:t>施工完工后需提交的资料：施工方案、施工质量验收表、</w:t>
      </w:r>
      <w:r>
        <w:rPr>
          <w:rFonts w:hint="eastAsia" w:ascii="宋体" w:hAnsi="宋体"/>
          <w:color w:val="auto"/>
          <w:kern w:val="2"/>
          <w:szCs w:val="21"/>
          <w:highlight w:val="none"/>
        </w:rPr>
        <w:t>无损检测报告及</w:t>
      </w:r>
      <w:r>
        <w:rPr>
          <w:rFonts w:ascii="宋体" w:hAnsi="宋体"/>
          <w:color w:val="auto"/>
          <w:kern w:val="2"/>
          <w:szCs w:val="21"/>
          <w:highlight w:val="none"/>
        </w:rPr>
        <w:t>RT</w:t>
      </w:r>
      <w:r>
        <w:rPr>
          <w:rFonts w:hint="eastAsia" w:ascii="宋体" w:hAnsi="宋体"/>
          <w:color w:val="auto"/>
          <w:kern w:val="2"/>
          <w:szCs w:val="21"/>
          <w:highlight w:val="none"/>
        </w:rPr>
        <w:t>底片，保温材料施工及验收记录、压力试验报告，项目竣工验收报告等，由承包方负责提供的设备物资需提供产品合格证明、质量证明书等资料。</w:t>
      </w:r>
    </w:p>
    <w:p w14:paraId="3D65FE3A">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八、质保期</w:t>
      </w:r>
    </w:p>
    <w:p w14:paraId="0CD6DAF4">
      <w:pPr>
        <w:ind w:firstLine="480"/>
        <w:rPr>
          <w:rFonts w:ascii="宋体" w:hAnsi="宋体" w:cs="宋体"/>
          <w:color w:val="auto"/>
          <w:szCs w:val="21"/>
          <w:highlight w:val="none"/>
        </w:rPr>
      </w:pPr>
      <w:r>
        <w:rPr>
          <w:rFonts w:hint="eastAsia" w:ascii="宋体" w:hAnsi="宋体" w:cs="宋体"/>
          <w:color w:val="auto"/>
          <w:szCs w:val="21"/>
          <w:highlight w:val="none"/>
        </w:rPr>
        <w:t>质量保修期：</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p>
    <w:p w14:paraId="299A7AFD">
      <w:pPr>
        <w:pStyle w:val="3"/>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九、工期（</w:t>
      </w:r>
      <w:r>
        <w:rPr>
          <w:rFonts w:hint="eastAsia" w:ascii="宋体" w:hAnsi="宋体" w:eastAsia="宋体" w:cs="宋体"/>
          <w:color w:val="auto"/>
          <w:sz w:val="21"/>
          <w:szCs w:val="21"/>
          <w:highlight w:val="none"/>
          <w:lang w:val="en-US" w:eastAsia="zh-CN"/>
        </w:rPr>
        <w:t>总工期</w:t>
      </w:r>
      <w:r>
        <w:rPr>
          <w:rFonts w:hint="eastAsia" w:ascii="宋体" w:hAnsi="宋体" w:eastAsia="宋体" w:cs="宋体"/>
          <w:color w:val="auto"/>
          <w:sz w:val="21"/>
          <w:szCs w:val="21"/>
          <w:highlight w:val="none"/>
        </w:rPr>
        <w:t>限定30天完成，</w:t>
      </w:r>
      <w:r>
        <w:rPr>
          <w:rFonts w:hint="eastAsia" w:ascii="宋体" w:hAnsi="宋体" w:eastAsia="宋体" w:cs="宋体"/>
          <w:color w:val="auto"/>
          <w:sz w:val="21"/>
          <w:szCs w:val="21"/>
          <w:highlight w:val="none"/>
          <w:lang w:val="en-US" w:eastAsia="zh-CN"/>
        </w:rPr>
        <w:t>施工预估时间范围</w:t>
      </w:r>
      <w:r>
        <w:rPr>
          <w:rFonts w:hint="eastAsia" w:ascii="宋体" w:hAnsi="宋体" w:eastAsia="宋体" w:cs="宋体"/>
          <w:color w:val="auto"/>
          <w:sz w:val="21"/>
          <w:szCs w:val="21"/>
          <w:highlight w:val="none"/>
        </w:rPr>
        <w:t>在2025年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0日至202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年2月9日期间内，具体开工日期以甲方正式通知为准）</w:t>
      </w:r>
    </w:p>
    <w:p w14:paraId="18294BC7">
      <w:pPr>
        <w:pStyle w:val="44"/>
        <w:wordWrap w:val="0"/>
        <w:ind w:firstLine="0" w:firstLineChars="0"/>
        <w:jc w:val="left"/>
        <w:rPr>
          <w:rFonts w:eastAsia="黑体"/>
          <w:color w:val="auto"/>
          <w:sz w:val="28"/>
          <w:szCs w:val="44"/>
          <w:highlight w:val="none"/>
        </w:rPr>
      </w:pPr>
    </w:p>
    <w:p w14:paraId="0896E0F8">
      <w:pPr>
        <w:pStyle w:val="44"/>
        <w:wordWrap w:val="0"/>
        <w:ind w:firstLine="0" w:firstLineChars="0"/>
        <w:jc w:val="left"/>
        <w:rPr>
          <w:rFonts w:eastAsia="黑体"/>
          <w:color w:val="auto"/>
          <w:sz w:val="28"/>
          <w:szCs w:val="44"/>
          <w:highlight w:val="none"/>
        </w:rPr>
      </w:pPr>
    </w:p>
    <w:p w14:paraId="4582DCA5">
      <w:pPr>
        <w:pStyle w:val="44"/>
        <w:wordWrap w:val="0"/>
        <w:ind w:firstLine="0" w:firstLineChars="0"/>
        <w:jc w:val="left"/>
        <w:rPr>
          <w:rFonts w:eastAsia="黑体"/>
          <w:color w:val="auto"/>
          <w:sz w:val="28"/>
          <w:szCs w:val="44"/>
          <w:highlight w:val="none"/>
        </w:rPr>
      </w:pPr>
    </w:p>
    <w:p w14:paraId="5EC7DD05">
      <w:pPr>
        <w:rPr>
          <w:rFonts w:eastAsia="黑体"/>
          <w:color w:val="auto"/>
          <w:sz w:val="28"/>
          <w:szCs w:val="44"/>
          <w:highlight w:val="none"/>
        </w:rPr>
      </w:pPr>
    </w:p>
    <w:p w14:paraId="0D53C6AF">
      <w:pPr>
        <w:rPr>
          <w:rFonts w:eastAsia="黑体"/>
          <w:color w:val="auto"/>
          <w:sz w:val="28"/>
          <w:szCs w:val="44"/>
          <w:highlight w:val="none"/>
        </w:rPr>
      </w:pPr>
    </w:p>
    <w:p w14:paraId="14E30C86">
      <w:pPr>
        <w:rPr>
          <w:rFonts w:eastAsia="黑体"/>
          <w:color w:val="auto"/>
          <w:sz w:val="28"/>
          <w:szCs w:val="44"/>
          <w:highlight w:val="none"/>
        </w:rPr>
      </w:pPr>
    </w:p>
    <w:p w14:paraId="00D744BA">
      <w:pPr>
        <w:pStyle w:val="44"/>
        <w:wordWrap w:val="0"/>
        <w:ind w:firstLine="0" w:firstLineChars="0"/>
        <w:jc w:val="left"/>
        <w:rPr>
          <w:rFonts w:eastAsia="黑体"/>
          <w:color w:val="auto"/>
          <w:sz w:val="28"/>
          <w:szCs w:val="44"/>
          <w:highlight w:val="none"/>
        </w:rPr>
      </w:pPr>
    </w:p>
    <w:p w14:paraId="65953D5F">
      <w:pPr>
        <w:rPr>
          <w:rFonts w:eastAsia="黑体"/>
          <w:color w:val="auto"/>
          <w:sz w:val="28"/>
          <w:szCs w:val="44"/>
          <w:highlight w:val="none"/>
        </w:rPr>
      </w:pPr>
    </w:p>
    <w:p w14:paraId="0844EBA5">
      <w:pPr>
        <w:rPr>
          <w:rFonts w:eastAsia="黑体"/>
          <w:color w:val="auto"/>
          <w:sz w:val="28"/>
          <w:szCs w:val="44"/>
          <w:highlight w:val="none"/>
        </w:rPr>
      </w:pPr>
    </w:p>
    <w:p w14:paraId="6868C48E">
      <w:pPr>
        <w:rPr>
          <w:rFonts w:eastAsia="黑体"/>
          <w:color w:val="auto"/>
          <w:sz w:val="28"/>
          <w:szCs w:val="44"/>
          <w:highlight w:val="none"/>
        </w:rPr>
      </w:pPr>
    </w:p>
    <w:p w14:paraId="2ADDCB36">
      <w:pPr>
        <w:rPr>
          <w:rFonts w:eastAsia="黑体"/>
          <w:color w:val="auto"/>
          <w:sz w:val="28"/>
          <w:szCs w:val="44"/>
          <w:highlight w:val="none"/>
        </w:rPr>
      </w:pPr>
    </w:p>
    <w:p w14:paraId="3490AB17">
      <w:pPr>
        <w:rPr>
          <w:rFonts w:eastAsia="黑体"/>
          <w:color w:val="auto"/>
          <w:sz w:val="28"/>
          <w:szCs w:val="44"/>
          <w:highlight w:val="none"/>
        </w:rPr>
      </w:pPr>
    </w:p>
    <w:p w14:paraId="46A21C32">
      <w:pPr>
        <w:rPr>
          <w:rFonts w:eastAsia="黑体"/>
          <w:color w:val="auto"/>
          <w:sz w:val="28"/>
          <w:szCs w:val="44"/>
          <w:highlight w:val="none"/>
        </w:rPr>
      </w:pPr>
    </w:p>
    <w:p w14:paraId="0A43E8EA">
      <w:pPr>
        <w:rPr>
          <w:rFonts w:eastAsia="黑体"/>
          <w:color w:val="auto"/>
          <w:sz w:val="28"/>
          <w:szCs w:val="44"/>
          <w:highlight w:val="none"/>
        </w:rPr>
      </w:pPr>
    </w:p>
    <w:p w14:paraId="118C52E4">
      <w:pPr>
        <w:rPr>
          <w:rFonts w:eastAsia="黑体"/>
          <w:color w:val="auto"/>
          <w:sz w:val="28"/>
          <w:szCs w:val="44"/>
          <w:highlight w:val="none"/>
        </w:rPr>
      </w:pPr>
    </w:p>
    <w:p w14:paraId="78574778">
      <w:pPr>
        <w:rPr>
          <w:rFonts w:eastAsia="黑体"/>
          <w:color w:val="auto"/>
          <w:sz w:val="28"/>
          <w:szCs w:val="44"/>
          <w:highlight w:val="none"/>
        </w:rPr>
      </w:pPr>
    </w:p>
    <w:p w14:paraId="636F9957">
      <w:pPr>
        <w:pStyle w:val="44"/>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3FBE5DCD">
      <w:pPr>
        <w:spacing w:line="520" w:lineRule="exact"/>
        <w:jc w:val="center"/>
        <w:rPr>
          <w:rFonts w:ascii="宋体" w:hAnsi="宋体"/>
          <w:b/>
          <w:color w:val="auto"/>
          <w:sz w:val="44"/>
          <w:szCs w:val="44"/>
          <w:highlight w:val="none"/>
        </w:rPr>
      </w:pPr>
      <w:r>
        <w:rPr>
          <w:rFonts w:hint="eastAsia" w:ascii="宋体" w:hAnsi="宋体"/>
          <w:b/>
          <w:color w:val="auto"/>
          <w:sz w:val="44"/>
          <w:szCs w:val="44"/>
          <w:highlight w:val="none"/>
        </w:rPr>
        <w:t>阳江开能余热发电煤气过热炉助燃风机安装及系统设备大修项目</w:t>
      </w:r>
      <w:r>
        <w:rPr>
          <w:rFonts w:hint="eastAsia" w:ascii="宋体" w:hAnsi="宋体"/>
          <w:b/>
          <w:color w:val="auto"/>
          <w:sz w:val="44"/>
          <w:szCs w:val="44"/>
          <w:highlight w:val="none"/>
          <w:lang w:val="en-US" w:eastAsia="zh-CN"/>
        </w:rPr>
        <w:t>施工</w:t>
      </w:r>
      <w:r>
        <w:rPr>
          <w:rFonts w:hint="eastAsia" w:ascii="宋体" w:hAnsi="宋体"/>
          <w:b/>
          <w:color w:val="auto"/>
          <w:sz w:val="44"/>
          <w:szCs w:val="44"/>
          <w:highlight w:val="none"/>
        </w:rPr>
        <w:t>合同</w:t>
      </w:r>
    </w:p>
    <w:p w14:paraId="03B0CD64">
      <w:pPr>
        <w:spacing w:after="240" w:afterLines="100" w:line="600" w:lineRule="auto"/>
        <w:rPr>
          <w:rFonts w:ascii="黑体" w:hAnsi="宋体" w:eastAsia="黑体"/>
          <w:color w:val="auto"/>
          <w:sz w:val="44"/>
          <w:szCs w:val="44"/>
          <w:highlight w:val="none"/>
        </w:rPr>
      </w:pPr>
    </w:p>
    <w:p w14:paraId="5D9F7820">
      <w:pPr>
        <w:spacing w:after="240" w:afterLines="100" w:line="360" w:lineRule="auto"/>
        <w:rPr>
          <w:rFonts w:ascii="宋体" w:hAnsi="宋体"/>
          <w:b/>
          <w:color w:val="auto"/>
          <w:sz w:val="44"/>
          <w:szCs w:val="44"/>
          <w:highlight w:val="none"/>
        </w:rPr>
      </w:pPr>
    </w:p>
    <w:p w14:paraId="393D8FC6">
      <w:pPr>
        <w:spacing w:after="240" w:afterLines="100" w:line="360" w:lineRule="auto"/>
        <w:rPr>
          <w:rFonts w:ascii="宋体" w:hAnsi="宋体"/>
          <w:b/>
          <w:color w:val="auto"/>
          <w:sz w:val="44"/>
          <w:szCs w:val="44"/>
          <w:highlight w:val="none"/>
        </w:rPr>
      </w:pPr>
    </w:p>
    <w:p w14:paraId="25669486">
      <w:pPr>
        <w:pStyle w:val="65"/>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发 包 方（甲方）：阳江开能环保能源有限公司</w:t>
      </w:r>
    </w:p>
    <w:p w14:paraId="240D67AC">
      <w:pPr>
        <w:pStyle w:val="65"/>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承 包 方（乙方）：</w:t>
      </w:r>
    </w:p>
    <w:p w14:paraId="0B2C4FB0">
      <w:pPr>
        <w:pStyle w:val="65"/>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合同编号：</w:t>
      </w:r>
    </w:p>
    <w:p w14:paraId="0A083164">
      <w:pPr>
        <w:pStyle w:val="65"/>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 xml:space="preserve">签约地点：广东省阳江市 </w:t>
      </w:r>
    </w:p>
    <w:p w14:paraId="2E864206">
      <w:pPr>
        <w:pStyle w:val="65"/>
        <w:spacing w:line="360" w:lineRule="auto"/>
        <w:ind w:left="0" w:firstLine="2168" w:firstLineChars="720"/>
        <w:rPr>
          <w:rFonts w:ascii="宋体" w:hAnsi="宋体"/>
          <w:bCs/>
          <w:color w:val="auto"/>
          <w:sz w:val="30"/>
          <w:szCs w:val="30"/>
          <w:highlight w:val="none"/>
        </w:rPr>
        <w:sectPr>
          <w:headerReference r:id="rId5" w:type="default"/>
          <w:footerReference r:id="rId6" w:type="default"/>
          <w:pgSz w:w="11906" w:h="16838"/>
          <w:pgMar w:top="1417" w:right="1273" w:bottom="1134" w:left="1273" w:header="1440" w:footer="1440" w:gutter="0"/>
          <w:pgNumType w:start="8"/>
          <w:cols w:space="720" w:num="1"/>
        </w:sectPr>
      </w:pPr>
      <w:r>
        <w:rPr>
          <w:rFonts w:hint="eastAsia" w:ascii="宋体" w:hAnsi="宋体"/>
          <w:b/>
          <w:bCs/>
          <w:color w:val="auto"/>
          <w:kern w:val="2"/>
          <w:sz w:val="30"/>
          <w:szCs w:val="30"/>
          <w:highlight w:val="none"/>
        </w:rPr>
        <w:t xml:space="preserve">签订日期：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年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月  </w:t>
      </w:r>
    </w:p>
    <w:p w14:paraId="6E41C85E">
      <w:pPr>
        <w:ind w:firstLine="482" w:firstLineChars="200"/>
        <w:rPr>
          <w:rFonts w:ascii="宋体" w:hAnsi="宋体"/>
          <w:b/>
          <w:color w:val="auto"/>
          <w:sz w:val="24"/>
          <w:highlight w:val="none"/>
        </w:rPr>
      </w:pPr>
      <w:r>
        <w:rPr>
          <w:rFonts w:hint="eastAsia" w:ascii="宋体" w:hAnsi="宋体"/>
          <w:b/>
          <w:color w:val="auto"/>
          <w:sz w:val="24"/>
          <w:highlight w:val="none"/>
        </w:rPr>
        <w:t>发包方（甲方）：</w:t>
      </w:r>
      <w:r>
        <w:rPr>
          <w:rFonts w:hint="eastAsia" w:ascii="宋体" w:hAnsi="宋体"/>
          <w:b/>
          <w:color w:val="auto"/>
          <w:sz w:val="24"/>
          <w:highlight w:val="none"/>
          <w:u w:val="single"/>
        </w:rPr>
        <w:t>阳江开能环保能源有限公司</w:t>
      </w:r>
    </w:p>
    <w:p w14:paraId="456286C1">
      <w:pPr>
        <w:ind w:firstLine="482" w:firstLineChars="200"/>
        <w:rPr>
          <w:rFonts w:ascii="宋体" w:hAnsi="宋体"/>
          <w:b/>
          <w:color w:val="auto"/>
          <w:sz w:val="24"/>
          <w:highlight w:val="none"/>
          <w:u w:val="single"/>
        </w:rPr>
      </w:pPr>
      <w:r>
        <w:rPr>
          <w:rFonts w:hint="eastAsia" w:ascii="宋体" w:hAnsi="宋体"/>
          <w:b/>
          <w:color w:val="auto"/>
          <w:sz w:val="24"/>
          <w:highlight w:val="none"/>
        </w:rPr>
        <w:t>承包方（乙方）：</w:t>
      </w:r>
    </w:p>
    <w:p w14:paraId="7D18B756">
      <w:pPr>
        <w:widowControl/>
        <w:spacing w:before="102" w:after="102"/>
        <w:ind w:right="-6" w:firstLine="420" w:firstLineChars="200"/>
        <w:jc w:val="left"/>
        <w:rPr>
          <w:rFonts w:ascii="宋体" w:hAnsi="宋体"/>
          <w:color w:val="auto"/>
          <w:szCs w:val="21"/>
          <w:highlight w:val="none"/>
        </w:rPr>
      </w:pPr>
      <w:r>
        <w:rPr>
          <w:rFonts w:hint="eastAsia" w:ascii="宋体" w:hAnsi="宋体"/>
          <w:color w:val="auto"/>
          <w:szCs w:val="21"/>
          <w:highlight w:val="none"/>
        </w:rPr>
        <w:t>依据《中华人民共和国民法典》、《中华人民共和国建筑法》及其他相关法律法规，遵循平等、自愿、互利互惠、公平和诚实信用的原则，发、承包方双方就本合同范围内</w:t>
      </w:r>
      <w:r>
        <w:rPr>
          <w:rFonts w:hint="eastAsia" w:cs="宋体"/>
          <w:color w:val="auto"/>
          <w:szCs w:val="21"/>
          <w:highlight w:val="none"/>
          <w:u w:val="single"/>
        </w:rPr>
        <w:t>阳江开能余热发电煤气过热炉助燃风机安装及系统设备大修项目</w:t>
      </w:r>
      <w:r>
        <w:rPr>
          <w:rFonts w:hint="eastAsia" w:ascii="宋体" w:hAnsi="宋体"/>
          <w:color w:val="auto"/>
          <w:szCs w:val="21"/>
          <w:highlight w:val="none"/>
        </w:rPr>
        <w:t>事项协商一致，订本合同，合同条款如下：</w:t>
      </w:r>
    </w:p>
    <w:p w14:paraId="42F16D2E">
      <w:pPr>
        <w:ind w:firstLine="413" w:firstLineChars="196"/>
        <w:rPr>
          <w:rFonts w:ascii="宋体" w:hAnsi="宋体"/>
          <w:b/>
          <w:color w:val="auto"/>
          <w:szCs w:val="21"/>
          <w:highlight w:val="none"/>
        </w:rPr>
      </w:pPr>
      <w:r>
        <w:rPr>
          <w:rFonts w:hint="eastAsia" w:ascii="宋体" w:hAnsi="宋体"/>
          <w:b/>
          <w:color w:val="auto"/>
          <w:szCs w:val="21"/>
          <w:highlight w:val="none"/>
        </w:rPr>
        <w:t>第一条 工程概况</w:t>
      </w:r>
    </w:p>
    <w:p w14:paraId="617CAEFF">
      <w:pPr>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阳江开能余热发电煤气过热炉助燃风机安装及系统设备大修项目；</w:t>
      </w:r>
      <w:r>
        <w:rPr>
          <w:rFonts w:hint="eastAsia" w:ascii="宋体" w:hAnsi="宋体"/>
          <w:color w:val="auto"/>
          <w:szCs w:val="21"/>
          <w:highlight w:val="none"/>
        </w:rPr>
        <w:t xml:space="preserve">  </w:t>
      </w:r>
    </w:p>
    <w:p w14:paraId="252C090A">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 xml:space="preserve">1.2工程地点: </w:t>
      </w:r>
      <w:r>
        <w:rPr>
          <w:rFonts w:hint="eastAsia" w:ascii="宋体" w:hAnsi="宋体"/>
          <w:color w:val="auto"/>
          <w:szCs w:val="21"/>
          <w:highlight w:val="none"/>
          <w:u w:val="single"/>
          <w:lang w:val="zh-CN"/>
        </w:rPr>
        <w:t>广东省阳江市高新区临港工业园海港二横路1号；</w:t>
      </w:r>
      <w:r>
        <w:rPr>
          <w:rFonts w:hint="eastAsia" w:ascii="宋体" w:hAnsi="宋体"/>
          <w:color w:val="auto"/>
          <w:szCs w:val="21"/>
          <w:highlight w:val="none"/>
          <w:u w:val="single"/>
        </w:rPr>
        <w:t xml:space="preserve">                                                </w:t>
      </w:r>
    </w:p>
    <w:p w14:paraId="733D533B">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1.3 工程内容：</w:t>
      </w:r>
      <w:r>
        <w:rPr>
          <w:rFonts w:hint="eastAsia" w:ascii="宋体" w:hAnsi="宋体"/>
          <w:color w:val="auto"/>
          <w:szCs w:val="21"/>
          <w:highlight w:val="none"/>
          <w:u w:val="single"/>
        </w:rPr>
        <w:t xml:space="preserve">阳江开能余热发电煤气过热炉助燃风机安装及系统设备大修。     </w:t>
      </w:r>
    </w:p>
    <w:p w14:paraId="7BDE7E1C">
      <w:pPr>
        <w:ind w:firstLine="420" w:firstLineChars="200"/>
        <w:outlineLvl w:val="2"/>
        <w:rPr>
          <w:rFonts w:ascii="宋体" w:hAnsi="宋体"/>
          <w:color w:val="auto"/>
          <w:szCs w:val="21"/>
          <w:highlight w:val="none"/>
        </w:rPr>
      </w:pPr>
      <w:r>
        <w:rPr>
          <w:rFonts w:hint="eastAsia" w:ascii="宋体" w:hAnsi="宋体"/>
          <w:color w:val="auto"/>
          <w:szCs w:val="21"/>
          <w:highlight w:val="none"/>
        </w:rPr>
        <w:t>第二条 承包范围</w:t>
      </w:r>
    </w:p>
    <w:p w14:paraId="73A42D8B">
      <w:pPr>
        <w:ind w:firstLine="411" w:firstLineChars="196"/>
        <w:rPr>
          <w:rFonts w:hint="eastAsia" w:ascii="宋体" w:hAnsi="宋体"/>
          <w:color w:val="auto"/>
          <w:szCs w:val="21"/>
          <w:highlight w:val="none"/>
          <w:u w:val="none"/>
        </w:rPr>
      </w:pPr>
      <w:r>
        <w:rPr>
          <w:rFonts w:hint="eastAsia" w:ascii="宋体" w:hAnsi="宋体"/>
          <w:color w:val="auto"/>
          <w:kern w:val="0"/>
          <w:szCs w:val="21"/>
          <w:highlight w:val="none"/>
        </w:rPr>
        <w:t>2.1承包范围：</w:t>
      </w:r>
      <w:r>
        <w:rPr>
          <w:rFonts w:hint="eastAsia" w:ascii="宋体" w:hAnsi="宋体"/>
          <w:b/>
          <w:color w:val="auto"/>
          <w:kern w:val="0"/>
          <w:szCs w:val="21"/>
          <w:highlight w:val="none"/>
          <w:u w:val="none"/>
        </w:rPr>
        <w:t xml:space="preserve"> </w:t>
      </w:r>
      <w:r>
        <w:rPr>
          <w:rFonts w:hint="eastAsia" w:ascii="宋体" w:hAnsi="宋体"/>
          <w:color w:val="auto"/>
          <w:szCs w:val="21"/>
          <w:highlight w:val="none"/>
          <w:u w:val="none"/>
          <w:lang w:val="en-US" w:eastAsia="zh-CN"/>
        </w:rPr>
        <w:t xml:space="preserve"> 阳江开能环保能源有限公司余热发电机组系统设备过热炉、环冷炉、AOD炉汽化烟道余热锅炉、循环水冷却等设备检修施工项目，包括：助燃风机的安装、过热炉减温器的安装、流量计的更换、管道更换、光纤更换、阀门研磨、设备检修等内容</w:t>
      </w:r>
      <w:r>
        <w:rPr>
          <w:rFonts w:hint="eastAsia" w:ascii="宋体" w:hAnsi="宋体"/>
          <w:color w:val="auto"/>
          <w:szCs w:val="21"/>
          <w:highlight w:val="none"/>
          <w:u w:val="none"/>
        </w:rPr>
        <w:t>，具体要求详见附件</w:t>
      </w:r>
      <w:r>
        <w:rPr>
          <w:rFonts w:hint="eastAsia" w:ascii="宋体" w:hAnsi="宋体"/>
          <w:color w:val="auto"/>
          <w:szCs w:val="21"/>
          <w:highlight w:val="none"/>
          <w:u w:val="none"/>
          <w:lang w:val="en-US" w:eastAsia="zh-CN"/>
        </w:rPr>
        <w:t>2《阳江开能余热发电煤气过热炉助燃风机安装及系统设备大修项目技术规范书》</w:t>
      </w:r>
      <w:r>
        <w:rPr>
          <w:rFonts w:hint="eastAsia" w:ascii="宋体" w:hAnsi="宋体"/>
          <w:color w:val="auto"/>
          <w:szCs w:val="21"/>
          <w:highlight w:val="none"/>
          <w:u w:val="none"/>
        </w:rPr>
        <w:t>。</w:t>
      </w:r>
    </w:p>
    <w:p w14:paraId="66AF796B">
      <w:pPr>
        <w:pStyle w:val="9"/>
        <w:rPr>
          <w:rFonts w:hint="default" w:eastAsia="宋体"/>
          <w:color w:val="auto"/>
          <w:highlight w:val="none"/>
          <w:u w:val="none"/>
          <w:lang w:val="en-US" w:eastAsia="zh-CN"/>
        </w:rPr>
      </w:pPr>
      <w:r>
        <w:rPr>
          <w:rFonts w:hint="eastAsia" w:ascii="宋体" w:hAnsi="宋体"/>
          <w:color w:val="auto"/>
          <w:szCs w:val="21"/>
          <w:highlight w:val="none"/>
          <w:u w:val="none"/>
          <w:lang w:val="en-US" w:eastAsia="zh-CN"/>
        </w:rPr>
        <w:t xml:space="preserve">    本合同的发包方式为固定单价暂定总价的模式，最终结算金额按照附件1价格清单的固定单价*实际完工工项目计算。</w:t>
      </w:r>
    </w:p>
    <w:p w14:paraId="748C7B4B">
      <w:pPr>
        <w:ind w:firstLine="422" w:firstLineChars="200"/>
        <w:rPr>
          <w:rFonts w:ascii="宋体" w:hAnsi="宋体"/>
          <w:b/>
          <w:color w:val="auto"/>
          <w:szCs w:val="21"/>
          <w:highlight w:val="none"/>
        </w:rPr>
      </w:pPr>
      <w:r>
        <w:rPr>
          <w:rFonts w:hint="eastAsia" w:ascii="宋体" w:hAnsi="宋体"/>
          <w:b/>
          <w:color w:val="auto"/>
          <w:szCs w:val="21"/>
          <w:highlight w:val="none"/>
        </w:rPr>
        <w:t>第二条 质量标准</w:t>
      </w:r>
    </w:p>
    <w:p w14:paraId="15A5219D">
      <w:pPr>
        <w:ind w:firstLine="420" w:firstLineChars="200"/>
        <w:rPr>
          <w:rFonts w:ascii="宋体" w:hAnsi="宋体"/>
          <w:color w:val="auto"/>
          <w:szCs w:val="21"/>
          <w:highlight w:val="none"/>
          <w:u w:val="single"/>
        </w:rPr>
      </w:pPr>
      <w:r>
        <w:rPr>
          <w:rFonts w:hint="eastAsia" w:ascii="宋体" w:hAnsi="宋体"/>
          <w:color w:val="auto"/>
          <w:szCs w:val="21"/>
          <w:highlight w:val="none"/>
        </w:rPr>
        <w:t>工程质量标准：</w:t>
      </w:r>
      <w:r>
        <w:rPr>
          <w:rFonts w:hint="eastAsia" w:ascii="宋体" w:hAnsi="宋体"/>
          <w:color w:val="auto"/>
          <w:szCs w:val="21"/>
          <w:highlight w:val="none"/>
          <w:u w:val="single"/>
        </w:rPr>
        <w:t>符合国家及有关部门的规范规定及质量验收标准，并能满足发包方的各项技术与功能要求，保证符合设计及规范要求，验收合格。</w:t>
      </w:r>
    </w:p>
    <w:p w14:paraId="6D564A44">
      <w:pPr>
        <w:ind w:firstLine="422" w:firstLineChars="200"/>
        <w:rPr>
          <w:rFonts w:ascii="宋体" w:hAnsi="宋体"/>
          <w:b/>
          <w:color w:val="auto"/>
          <w:szCs w:val="21"/>
          <w:highlight w:val="none"/>
        </w:rPr>
      </w:pPr>
      <w:r>
        <w:rPr>
          <w:rFonts w:hint="eastAsia" w:ascii="宋体" w:hAnsi="宋体"/>
          <w:b/>
          <w:color w:val="auto"/>
          <w:szCs w:val="21"/>
          <w:highlight w:val="none"/>
        </w:rPr>
        <w:t>第三条 合同价款</w:t>
      </w:r>
    </w:p>
    <w:p w14:paraId="039D1B9C">
      <w:pPr>
        <w:ind w:firstLine="420" w:firstLineChars="200"/>
        <w:rPr>
          <w:rFonts w:hint="eastAsia" w:ascii="宋体" w:hAnsi="宋体"/>
          <w:color w:val="auto"/>
          <w:szCs w:val="21"/>
          <w:highlight w:val="none"/>
        </w:rPr>
      </w:pPr>
      <w:r>
        <w:rPr>
          <w:rFonts w:hint="eastAsia"/>
          <w:color w:val="auto"/>
          <w:szCs w:val="21"/>
          <w:highlight w:val="none"/>
        </w:rPr>
        <w:t xml:space="preserve">3.1 </w:t>
      </w:r>
      <w:r>
        <w:rPr>
          <w:rFonts w:hint="eastAsia" w:ascii="宋体" w:hAnsi="宋体"/>
          <w:color w:val="auto"/>
          <w:szCs w:val="21"/>
          <w:highlight w:val="none"/>
        </w:rPr>
        <w:t xml:space="preserve">  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总价金额为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），此为含税金额，按照现行税收政策规定，应包含税率</w:t>
      </w:r>
      <w:r>
        <w:rPr>
          <w:rFonts w:hint="eastAsia" w:ascii="宋体" w:hAnsi="宋体"/>
          <w:color w:val="auto"/>
          <w:szCs w:val="21"/>
          <w:highlight w:val="none"/>
          <w:lang w:val="en-US" w:eastAsia="zh-CN"/>
        </w:rPr>
        <w:t>xx</w:t>
      </w:r>
      <w:r>
        <w:rPr>
          <w:rFonts w:hint="eastAsia" w:ascii="宋体" w:hAnsi="宋体"/>
          <w:color w:val="auto"/>
          <w:szCs w:val="21"/>
          <w:highlight w:val="none"/>
        </w:rPr>
        <w:t>%的增值税，如遇税务政策调整，自税务政策调整之日起，应按本合同金额/（1+增值税税率</w:t>
      </w:r>
      <w:r>
        <w:rPr>
          <w:rFonts w:hint="eastAsia" w:ascii="宋体" w:hAnsi="宋体"/>
          <w:color w:val="auto"/>
          <w:szCs w:val="21"/>
          <w:highlight w:val="none"/>
          <w:lang w:val="en-US" w:eastAsia="zh-CN"/>
        </w:rPr>
        <w:t>xx</w:t>
      </w:r>
      <w:r>
        <w:rPr>
          <w:rFonts w:hint="eastAsia" w:ascii="宋体" w:hAnsi="宋体"/>
          <w:color w:val="auto"/>
          <w:szCs w:val="21"/>
          <w:highlight w:val="none"/>
        </w:rPr>
        <w:t>%）计算的不含税价格乘以调整后的税率支付后续合同款项。每次付款前，承包方应提前开具等额有效的增值税专用发票，并交付甲方；发包方未收到承包方发票的，可不予付款。</w:t>
      </w:r>
    </w:p>
    <w:p w14:paraId="5B2A2B35">
      <w:pPr>
        <w:ind w:firstLine="420" w:firstLineChars="200"/>
        <w:rPr>
          <w:rFonts w:ascii="宋体" w:hAnsi="宋体"/>
          <w:color w:val="auto"/>
          <w:szCs w:val="21"/>
          <w:highlight w:val="none"/>
        </w:rPr>
      </w:pPr>
      <w:r>
        <w:rPr>
          <w:rFonts w:hint="eastAsia" w:ascii="宋体" w:hAnsi="宋体"/>
          <w:color w:val="auto"/>
          <w:szCs w:val="21"/>
          <w:highlight w:val="none"/>
        </w:rPr>
        <w:t xml:space="preserve">3.2   </w:t>
      </w:r>
      <w:r>
        <w:rPr>
          <w:rFonts w:hint="eastAsia" w:ascii="宋体" w:hAnsi="宋体"/>
          <w:color w:val="auto"/>
          <w:szCs w:val="21"/>
          <w:highlight w:val="none"/>
          <w:lang w:val="zh-CN"/>
        </w:rPr>
        <w:t>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不含税金额为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zh-CN"/>
        </w:rPr>
        <w:t>，承包方负责开具发票所需承担的所有税费，包括税务政策调整引起的税费变化等</w:t>
      </w:r>
      <w:r>
        <w:rPr>
          <w:rFonts w:hint="eastAsia" w:ascii="宋体" w:hAnsi="宋体"/>
          <w:color w:val="auto"/>
          <w:szCs w:val="21"/>
          <w:highlight w:val="none"/>
        </w:rPr>
        <w:t xml:space="preserve">。每次付款前，如约定承包方应提前开具等额有效的增值税专用发票并交付发包方；发包方未收到承包方发票的，可不予付款。   </w:t>
      </w:r>
      <w:r>
        <w:rPr>
          <w:rFonts w:hint="eastAsia" w:ascii="宋体" w:hAnsi="宋体"/>
          <w:color w:val="auto"/>
          <w:szCs w:val="21"/>
          <w:highlight w:val="none"/>
          <w:lang w:val="en-US" w:eastAsia="zh-CN"/>
        </w:rPr>
        <w:t>税额</w:t>
      </w:r>
      <w:r>
        <w:rPr>
          <w:rFonts w:hint="eastAsia" w:ascii="宋体" w:hAnsi="宋体"/>
          <w:color w:val="auto"/>
          <w:szCs w:val="21"/>
          <w:highlight w:val="none"/>
        </w:rPr>
        <w:t>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672253D5">
      <w:pPr>
        <w:ind w:firstLine="420" w:firstLineChars="200"/>
        <w:rPr>
          <w:rFonts w:ascii="宋体" w:hAnsi="宋体"/>
          <w:color w:val="auto"/>
          <w:szCs w:val="21"/>
          <w:highlight w:val="none"/>
          <w:u w:val="single"/>
        </w:rPr>
      </w:pPr>
      <w:r>
        <w:rPr>
          <w:rFonts w:hint="eastAsia" w:ascii="宋体" w:hAnsi="宋体"/>
          <w:color w:val="auto"/>
          <w:szCs w:val="21"/>
          <w:highlight w:val="none"/>
        </w:rPr>
        <w:t>合同价款</w:t>
      </w:r>
      <w:r>
        <w:rPr>
          <w:rFonts w:hint="eastAsia" w:ascii="宋体" w:hAnsi="宋体"/>
          <w:color w:val="auto"/>
          <w:szCs w:val="21"/>
          <w:highlight w:val="none"/>
          <w:u w:val="single"/>
        </w:rPr>
        <w:t>包括但不限于：（1）人工费；（2）辅材备件费；（3）机械费；（4）管理费；（5）利润；（6）措施项目费；（7）规费；（8）报建、报验及其他项目费用；项目所需受省级或地方行业部门现场监检费用；（9）建设期的工料机差价；（10）税金（9%专票）；（11）在完成标区范围的工作时与其他单位或承包商（包括业主及其他安装/土建施工单位）的工作交叉及协调配合费用；（12）施工用水电费用及垃圾清理外运费用；（13）不超过八小时发包方原因引起的临时停电停水；（13）环境保护费；（14）工程相关保险；（15）承包商对本工程的优惠和让利；（16）大型机械进出场费；（17）本工程全部设备及材料装卸费用(包干使用)，施工材料的第三方送检、复检、检测费用 ；(21) 易损易丢防潮设备仓库及看管费用； (18)安全文明施工措施费用 ；(19)分部调试费用及整组联合启动调试（依据发包方/业主/相关部门要求）； (20)特殊设备(锅炉压力容器、压力管道、安全阀等)安装试验报验报检费用；（21）试运转及机整体性能测试费用；（22）土建施工及施工开挖土方及外运费用、保温工程包工包料及施工费用；（23）因工期要求而造成的人员加班赶工费（节假日加班费，夜间加班、倒班施工费等）；（24）由于无法同步施工造成的窝工费用；</w:t>
      </w:r>
    </w:p>
    <w:p w14:paraId="12F18F9B">
      <w:pPr>
        <w:ind w:left="260" w:leftChars="124" w:firstLine="226" w:firstLineChars="98"/>
        <w:rPr>
          <w:rFonts w:ascii="宋体" w:hAnsi="宋体"/>
          <w:b/>
          <w:bCs/>
          <w:color w:val="auto"/>
          <w:spacing w:val="10"/>
          <w:szCs w:val="21"/>
          <w:highlight w:val="none"/>
        </w:rPr>
      </w:pPr>
      <w:r>
        <w:rPr>
          <w:rFonts w:hint="eastAsia" w:ascii="宋体" w:hAnsi="宋体"/>
          <w:b/>
          <w:bCs/>
          <w:color w:val="auto"/>
          <w:spacing w:val="10"/>
          <w:szCs w:val="21"/>
          <w:highlight w:val="none"/>
        </w:rPr>
        <w:t>第四条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工期：</w:t>
      </w:r>
    </w:p>
    <w:p w14:paraId="68CB7AD1">
      <w:pPr>
        <w:ind w:firstLine="420" w:firstLineChars="200"/>
        <w:rPr>
          <w:rFonts w:ascii="宋体" w:hAnsi="宋体"/>
          <w:color w:val="auto"/>
          <w:kern w:val="0"/>
          <w:szCs w:val="21"/>
          <w:highlight w:val="none"/>
        </w:rPr>
      </w:pPr>
      <w:r>
        <w:rPr>
          <w:rFonts w:hint="eastAsia" w:ascii="宋体" w:hAnsi="宋体"/>
          <w:color w:val="auto"/>
          <w:kern w:val="0"/>
          <w:szCs w:val="21"/>
          <w:highlight w:val="none"/>
        </w:rPr>
        <w:t>4.1工期：</w:t>
      </w:r>
      <w:r>
        <w:rPr>
          <w:rFonts w:hint="eastAsia" w:asciiTheme="minorEastAsia" w:hAnsiTheme="minorEastAsia" w:eastAsiaTheme="minorEastAsia"/>
          <w:color w:val="auto"/>
          <w:szCs w:val="21"/>
          <w:highlight w:val="none"/>
          <w:lang w:val="en-US" w:eastAsia="zh-CN"/>
        </w:rPr>
        <w:t>总工期限定30天完成，施工预估时间范围在2026年1月8日至2026年2月9日期间内，具体开工日期以发包方正式通知为准。</w:t>
      </w:r>
    </w:p>
    <w:p w14:paraId="52D59FE4">
      <w:pPr>
        <w:ind w:firstLine="411" w:firstLineChars="196"/>
        <w:rPr>
          <w:rFonts w:ascii="宋体" w:hAnsi="宋体"/>
          <w:color w:val="auto"/>
          <w:kern w:val="0"/>
          <w:szCs w:val="21"/>
          <w:highlight w:val="none"/>
        </w:rPr>
      </w:pPr>
      <w:r>
        <w:rPr>
          <w:rFonts w:hint="eastAsia" w:ascii="宋体" w:hAnsi="宋体"/>
          <w:color w:val="auto"/>
          <w:kern w:val="0"/>
          <w:szCs w:val="21"/>
          <w:highlight w:val="none"/>
        </w:rPr>
        <w:t>4.2承包方提交施工方案及相关资质文件资料并经业主认可后2日内，发包方向承包方发出开工通知书。</w:t>
      </w:r>
    </w:p>
    <w:p w14:paraId="3E6C97A3">
      <w:pPr>
        <w:ind w:firstLine="411" w:firstLineChars="196"/>
        <w:rPr>
          <w:rFonts w:ascii="宋体" w:hAnsi="宋体"/>
          <w:color w:val="auto"/>
          <w:kern w:val="0"/>
          <w:szCs w:val="21"/>
          <w:highlight w:val="none"/>
        </w:rPr>
      </w:pPr>
      <w:r>
        <w:rPr>
          <w:rFonts w:hint="eastAsia" w:ascii="宋体" w:hAnsi="宋体"/>
          <w:color w:val="auto"/>
          <w:kern w:val="0"/>
          <w:szCs w:val="21"/>
          <w:highlight w:val="none"/>
        </w:rPr>
        <w:t>4.3如遇下列情况，经发包方、承包方现场代表签字确认，工期相应顺延：</w:t>
      </w:r>
    </w:p>
    <w:p w14:paraId="6D7630E7">
      <w:pPr>
        <w:ind w:firstLine="411" w:firstLineChars="196"/>
        <w:rPr>
          <w:rFonts w:ascii="宋体" w:hAnsi="宋体"/>
          <w:color w:val="auto"/>
          <w:kern w:val="0"/>
          <w:szCs w:val="21"/>
          <w:highlight w:val="none"/>
        </w:rPr>
      </w:pPr>
      <w:r>
        <w:rPr>
          <w:rFonts w:hint="eastAsia" w:ascii="宋体" w:hAnsi="宋体"/>
          <w:color w:val="auto"/>
          <w:kern w:val="0"/>
          <w:szCs w:val="21"/>
          <w:highlight w:val="none"/>
        </w:rPr>
        <w:t>(1)发包方未能按约定时间具备停炉条件；</w:t>
      </w:r>
    </w:p>
    <w:p w14:paraId="73481253">
      <w:pPr>
        <w:ind w:firstLine="411" w:firstLineChars="196"/>
        <w:rPr>
          <w:rFonts w:ascii="宋体" w:hAnsi="宋体"/>
          <w:color w:val="auto"/>
          <w:kern w:val="0"/>
          <w:szCs w:val="21"/>
          <w:highlight w:val="none"/>
        </w:rPr>
      </w:pPr>
      <w:r>
        <w:rPr>
          <w:rFonts w:hint="eastAsia" w:ascii="宋体" w:hAnsi="宋体"/>
          <w:color w:val="auto"/>
          <w:kern w:val="0"/>
          <w:szCs w:val="21"/>
          <w:highlight w:val="none"/>
        </w:rPr>
        <w:t>(2)在施工中如因停电、停水24小时以上或连续间歇性停水、停电2天以上（每次连续3小时以上），影响正常施工；</w:t>
      </w:r>
    </w:p>
    <w:p w14:paraId="7F6A5724">
      <w:pPr>
        <w:ind w:firstLine="411" w:firstLineChars="196"/>
        <w:rPr>
          <w:rFonts w:ascii="宋体" w:hAnsi="宋体"/>
          <w:color w:val="auto"/>
          <w:kern w:val="0"/>
          <w:szCs w:val="21"/>
          <w:highlight w:val="none"/>
        </w:rPr>
      </w:pPr>
      <w:r>
        <w:rPr>
          <w:rFonts w:hint="eastAsia" w:ascii="宋体" w:hAnsi="宋体"/>
          <w:color w:val="auto"/>
          <w:kern w:val="0"/>
          <w:szCs w:val="21"/>
          <w:highlight w:val="none"/>
        </w:rPr>
        <w:t>(3)不可抗力因素而延误工期。</w:t>
      </w:r>
    </w:p>
    <w:p w14:paraId="74D98281">
      <w:pPr>
        <w:ind w:firstLine="420" w:firstLineChars="200"/>
        <w:rPr>
          <w:rFonts w:eastAsiaTheme="majorEastAsia"/>
          <w:color w:val="auto"/>
          <w:highlight w:val="none"/>
        </w:rPr>
      </w:pPr>
      <w:r>
        <w:rPr>
          <w:rFonts w:hint="eastAsia" w:ascii="宋体" w:hAnsi="宋体"/>
          <w:color w:val="auto"/>
          <w:kern w:val="0"/>
          <w:szCs w:val="21"/>
          <w:highlight w:val="none"/>
        </w:rPr>
        <w:t>(4)延迟违约金及投产工期延迟违约金直接从工程款里扣除。</w:t>
      </w:r>
    </w:p>
    <w:p w14:paraId="4CD76555">
      <w:pPr>
        <w:ind w:firstLine="413" w:firstLineChars="196"/>
        <w:rPr>
          <w:rFonts w:ascii="宋体" w:hAnsi="宋体"/>
          <w:b/>
          <w:bCs/>
          <w:color w:val="auto"/>
          <w:szCs w:val="21"/>
          <w:highlight w:val="none"/>
        </w:rPr>
      </w:pPr>
      <w:bookmarkStart w:id="5" w:name="材料设备供应1"/>
      <w:r>
        <w:rPr>
          <w:rFonts w:hint="eastAsia" w:ascii="宋体" w:hAnsi="宋体"/>
          <w:b/>
          <w:bCs/>
          <w:color w:val="auto"/>
          <w:szCs w:val="21"/>
          <w:highlight w:val="none"/>
        </w:rPr>
        <w:t>第五条  材料设备供应</w:t>
      </w:r>
      <w:bookmarkEnd w:id="5"/>
      <w:r>
        <w:rPr>
          <w:rFonts w:hint="eastAsia" w:ascii="宋体" w:hAnsi="宋体"/>
          <w:b/>
          <w:bCs/>
          <w:color w:val="auto"/>
          <w:szCs w:val="21"/>
          <w:highlight w:val="none"/>
        </w:rPr>
        <w:t>：</w:t>
      </w:r>
    </w:p>
    <w:p w14:paraId="0F08E014">
      <w:pPr>
        <w:ind w:firstLine="411" w:firstLineChars="196"/>
        <w:rPr>
          <w:rFonts w:ascii="宋体" w:hAnsi="宋体"/>
          <w:bCs/>
          <w:color w:val="auto"/>
          <w:szCs w:val="21"/>
          <w:highlight w:val="none"/>
        </w:rPr>
      </w:pPr>
      <w:r>
        <w:rPr>
          <w:rFonts w:hint="eastAsia" w:ascii="宋体" w:hAnsi="宋体"/>
          <w:bCs/>
          <w:color w:val="auto"/>
          <w:szCs w:val="21"/>
          <w:highlight w:val="none"/>
        </w:rPr>
        <w:t>5.1发包方供应材料设备</w:t>
      </w:r>
    </w:p>
    <w:p w14:paraId="37C44834">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5.1.1实行发包方供应材料设备的，双方应当约定发包方供应材料设备的一览表。</w:t>
      </w:r>
    </w:p>
    <w:p w14:paraId="270D9EBB">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5.1.2发包方按一览表约定的内容提供材料设备，并向承包方提供产品合格证明，对其质量负责。发包方在所供材料设备到货前24小时，以书面形式通知承包方，由承包方派人与发包方共同清点。</w:t>
      </w:r>
    </w:p>
    <w:p w14:paraId="29BFD00C">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5.1.3发包方供应的材料设备，承包方派人参加清点后由承包方妥善保管。因承包方原因发生丢失损坏，由承包方负责赔偿。</w:t>
      </w:r>
    </w:p>
    <w:p w14:paraId="2A5DD6A2">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5.2承包方采购材料设备</w:t>
      </w:r>
    </w:p>
    <w:p w14:paraId="5CBE8C4A">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5.2.1承包方负责采购材料设备的，应按照专用条款约定及设计和有关标准要求采购，并提供产品合格证明，对材料设备质量负责。承包方在材料设备到货前24小时通知工程师清点。</w:t>
      </w:r>
    </w:p>
    <w:p w14:paraId="525E923D">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5.2.2承包方采购的材料设备与设计或标准要求不符时，承包方应按工程师要求的时间运出施工场地，重新采购符合要求的产品，承担由此发生的费用，由此延误的工期不予顺延。</w:t>
      </w:r>
    </w:p>
    <w:p w14:paraId="38644D31">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5.2.3承包方采购的材料设备在使用前，承包方应按工程师的要求进行检验或试验，不合格的不得使用，检验或试验费用由承包方承担。</w:t>
      </w:r>
    </w:p>
    <w:p w14:paraId="12BBA4D6">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5.2.4工程师发现承包方采购并使用不符合设计或标准要求的材料设备时，应要求由承包方负责修复、拆除或重新采购，并承担发生的费用，由此延误的工期不予顺延。</w:t>
      </w:r>
    </w:p>
    <w:p w14:paraId="4C798D68">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第六条</w:t>
      </w:r>
      <w:r>
        <w:rPr>
          <w:rFonts w:ascii="宋体" w:hAnsi="宋体"/>
          <w:b/>
          <w:bCs/>
          <w:color w:val="auto"/>
          <w:spacing w:val="10"/>
          <w:szCs w:val="21"/>
          <w:highlight w:val="none"/>
        </w:rPr>
        <w:t>  </w:t>
      </w:r>
      <w:r>
        <w:rPr>
          <w:rFonts w:hint="eastAsia" w:ascii="宋体" w:hAnsi="宋体"/>
          <w:b/>
          <w:bCs/>
          <w:color w:val="auto"/>
          <w:spacing w:val="10"/>
          <w:szCs w:val="21"/>
          <w:highlight w:val="none"/>
        </w:rPr>
        <w:t>质量与检查</w:t>
      </w:r>
    </w:p>
    <w:p w14:paraId="05A01D93">
      <w:pPr>
        <w:tabs>
          <w:tab w:val="left" w:pos="1011"/>
        </w:tabs>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6.1</w:t>
      </w:r>
      <w:r>
        <w:rPr>
          <w:rFonts w:hint="eastAsia" w:ascii="宋体" w:hAnsi="宋体"/>
          <w:color w:val="auto"/>
          <w:spacing w:val="10"/>
          <w:szCs w:val="21"/>
          <w:highlight w:val="none"/>
        </w:rPr>
        <w:t>工程质量</w:t>
      </w:r>
    </w:p>
    <w:p w14:paraId="63CDA83D">
      <w:pPr>
        <w:ind w:firstLine="420" w:firstLineChars="200"/>
        <w:rPr>
          <w:rFonts w:ascii="宋体" w:hAnsi="宋体"/>
          <w:color w:val="auto"/>
          <w:szCs w:val="21"/>
          <w:highlight w:val="none"/>
          <w:u w:val="single"/>
        </w:rPr>
      </w:pPr>
      <w:r>
        <w:rPr>
          <w:rFonts w:hint="eastAsia" w:ascii="宋体" w:hAnsi="宋体"/>
          <w:color w:val="auto"/>
          <w:szCs w:val="21"/>
          <w:highlight w:val="none"/>
          <w:u w:val="single"/>
        </w:rPr>
        <w:t>工程质量标准的评定以现行国家或行业的质量检验评定标准为依据，并符合发包方要求。</w:t>
      </w:r>
    </w:p>
    <w:p w14:paraId="0B621581">
      <w:pPr>
        <w:tabs>
          <w:tab w:val="left" w:pos="1011"/>
        </w:tabs>
        <w:ind w:firstLine="420" w:firstLineChars="200"/>
        <w:rPr>
          <w:rFonts w:ascii="宋体" w:hAnsi="宋体"/>
          <w:color w:val="auto"/>
          <w:szCs w:val="21"/>
          <w:highlight w:val="none"/>
        </w:rPr>
      </w:pPr>
      <w:r>
        <w:rPr>
          <w:rFonts w:hint="eastAsia" w:ascii="宋体" w:hAnsi="宋体"/>
          <w:color w:val="auto"/>
          <w:szCs w:val="21"/>
          <w:highlight w:val="none"/>
        </w:rPr>
        <w:t xml:space="preserve">6.2承包方必须严格按照施工图纸、说明文件和国家颁发的建筑工程规范、规程和标准进行施工，并接受发包方的监督。 </w:t>
      </w:r>
    </w:p>
    <w:p w14:paraId="045BB0C4">
      <w:pPr>
        <w:ind w:firstLine="420" w:firstLineChars="200"/>
        <w:rPr>
          <w:rFonts w:ascii="宋体" w:hAnsi="宋体"/>
          <w:color w:val="auto"/>
          <w:szCs w:val="21"/>
          <w:highlight w:val="none"/>
        </w:rPr>
      </w:pPr>
      <w:r>
        <w:rPr>
          <w:rFonts w:hint="eastAsia" w:ascii="宋体" w:hAnsi="宋体"/>
          <w:color w:val="auto"/>
          <w:szCs w:val="21"/>
          <w:highlight w:val="none"/>
        </w:rPr>
        <w:t>6.3承包方应认真按照标准、规范和设计图纸要求以及发包方依据合同发出的指令施工，随时接受发包方的检查检验，为检验提供便利条件，并根据要求向发包方提供与工程质量有关的技术资料。</w:t>
      </w:r>
    </w:p>
    <w:p w14:paraId="5FFC9161">
      <w:pPr>
        <w:ind w:firstLine="420" w:firstLineChars="200"/>
        <w:rPr>
          <w:rFonts w:ascii="宋体" w:hAnsi="宋体"/>
          <w:color w:val="auto"/>
          <w:spacing w:val="10"/>
          <w:szCs w:val="21"/>
          <w:highlight w:val="none"/>
        </w:rPr>
      </w:pPr>
      <w:r>
        <w:rPr>
          <w:rFonts w:hint="eastAsia" w:ascii="宋体" w:hAnsi="宋体"/>
          <w:color w:val="auto"/>
          <w:szCs w:val="21"/>
          <w:highlight w:val="none"/>
        </w:rPr>
        <w:t>6.4</w:t>
      </w:r>
      <w:r>
        <w:rPr>
          <w:rFonts w:hint="eastAsia" w:ascii="宋体" w:hAnsi="宋体"/>
          <w:color w:val="auto"/>
          <w:spacing w:val="10"/>
          <w:szCs w:val="21"/>
          <w:highlight w:val="none"/>
        </w:rPr>
        <w:t>工程质量达不到约定标准的部分，发包方工程师一经发现，应要求承包方拆除和重新施工，承包方应按发包方代表人员的要求返工、修改，直到符合约定标准。因承包方原因达不到约定标准，由承包方承担返工、修改的费用，工期不予顺延。</w:t>
      </w:r>
    </w:p>
    <w:p w14:paraId="60D289BF">
      <w:pPr>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6.5</w:t>
      </w:r>
      <w:r>
        <w:rPr>
          <w:rFonts w:hint="eastAsia" w:ascii="宋体" w:hAnsi="宋体"/>
          <w:color w:val="auto"/>
          <w:spacing w:val="10"/>
          <w:szCs w:val="21"/>
          <w:highlight w:val="none"/>
        </w:rPr>
        <w:t>双方对工程质量有争议，由双方同意的工程质量检测机构鉴定，所需费用及因此造成的损失，由责任方承担。若均有责任，由双方根据其责任分别承担。</w:t>
      </w:r>
    </w:p>
    <w:p w14:paraId="1F424AE6">
      <w:pPr>
        <w:ind w:firstLine="460" w:firstLineChars="200"/>
        <w:rPr>
          <w:rFonts w:ascii="宋体" w:hAnsi="宋体"/>
          <w:color w:val="auto"/>
          <w:szCs w:val="21"/>
          <w:highlight w:val="none"/>
        </w:rPr>
      </w:pPr>
      <w:r>
        <w:rPr>
          <w:rFonts w:hint="eastAsia" w:ascii="宋体" w:hAnsi="宋体"/>
          <w:color w:val="auto"/>
          <w:spacing w:val="10"/>
          <w:szCs w:val="21"/>
          <w:highlight w:val="none"/>
        </w:rPr>
        <w:t>6.6</w:t>
      </w:r>
      <w:r>
        <w:rPr>
          <w:rFonts w:ascii="宋体" w:hAnsi="宋体"/>
          <w:color w:val="auto"/>
          <w:szCs w:val="21"/>
          <w:highlight w:val="none"/>
        </w:rPr>
        <w:t>承包方所进场的各种原材料、设备必须有出厂合格证书，试验、化验报告单，使用说明，检测、检验报告和设备验收标准。发包方或政府</w:t>
      </w:r>
      <w:r>
        <w:rPr>
          <w:rFonts w:hint="eastAsia" w:ascii="宋体" w:hAnsi="宋体"/>
          <w:color w:val="auto"/>
          <w:szCs w:val="21"/>
          <w:highlight w:val="none"/>
        </w:rPr>
        <w:t>相关</w:t>
      </w:r>
      <w:r>
        <w:rPr>
          <w:rFonts w:ascii="宋体" w:hAnsi="宋体"/>
          <w:color w:val="auto"/>
          <w:szCs w:val="21"/>
          <w:highlight w:val="none"/>
        </w:rPr>
        <w:t>主管部门可以随机抽检原材料和设备，并有权对其进行化验、检测（化验、检测的费用由承包方承担），不合格的材料、设备不允许进场使用和安装。</w:t>
      </w:r>
    </w:p>
    <w:p w14:paraId="43F7D64A">
      <w:pPr>
        <w:ind w:firstLine="420" w:firstLineChars="200"/>
        <w:rPr>
          <w:rFonts w:ascii="宋体" w:hAnsi="宋体"/>
          <w:color w:val="auto"/>
          <w:szCs w:val="21"/>
          <w:highlight w:val="none"/>
        </w:rPr>
      </w:pPr>
      <w:r>
        <w:rPr>
          <w:rFonts w:hint="eastAsia" w:ascii="宋体" w:hAnsi="宋体"/>
          <w:color w:val="auto"/>
          <w:szCs w:val="21"/>
          <w:highlight w:val="none"/>
        </w:rPr>
        <w:t>6.7</w:t>
      </w:r>
      <w:r>
        <w:rPr>
          <w:rFonts w:ascii="宋体" w:hAnsi="宋体"/>
          <w:color w:val="auto"/>
          <w:szCs w:val="21"/>
          <w:highlight w:val="none"/>
        </w:rPr>
        <w:t>承包方在组织施工中必须高度重视和认真抓好工程质量，服从发包方的质量管理体系要求，明确质量负责人（质量负责人须经发包方和监理单位审核认可，危险性大、专业性强的施工作业岗位的质量负责人必须由发包方施工人员担任），并向发包方质量管理人员通报工程质量受控情况。</w:t>
      </w:r>
    </w:p>
    <w:p w14:paraId="55F1B4B3">
      <w:pPr>
        <w:ind w:firstLine="420" w:firstLineChars="200"/>
        <w:rPr>
          <w:rFonts w:ascii="宋体" w:hAnsi="宋体"/>
          <w:color w:val="auto"/>
          <w:szCs w:val="21"/>
          <w:highlight w:val="none"/>
        </w:rPr>
      </w:pPr>
      <w:r>
        <w:rPr>
          <w:rFonts w:hint="eastAsia" w:ascii="宋体" w:hAnsi="宋体"/>
          <w:color w:val="auto"/>
          <w:szCs w:val="21"/>
          <w:highlight w:val="none"/>
        </w:rPr>
        <w:t>6.8</w:t>
      </w:r>
      <w:r>
        <w:rPr>
          <w:rFonts w:ascii="宋体" w:hAnsi="宋体"/>
          <w:color w:val="auto"/>
          <w:szCs w:val="21"/>
          <w:highlight w:val="none"/>
        </w:rPr>
        <w:t>凡质量检验及评定标准中规定发包方参加验收的项目及隐蔽工程的施工，承包方应及时通知发包方，并配合发包方做好相应的记录。</w:t>
      </w:r>
    </w:p>
    <w:p w14:paraId="62BC96C2">
      <w:pPr>
        <w:ind w:firstLine="420" w:firstLineChars="200"/>
        <w:rPr>
          <w:rFonts w:ascii="宋体" w:hAnsi="宋体"/>
          <w:color w:val="auto"/>
          <w:szCs w:val="21"/>
          <w:highlight w:val="none"/>
        </w:rPr>
      </w:pPr>
      <w:r>
        <w:rPr>
          <w:rFonts w:hint="eastAsia" w:ascii="宋体" w:hAnsi="宋体"/>
          <w:color w:val="auto"/>
          <w:szCs w:val="21"/>
          <w:highlight w:val="none"/>
        </w:rPr>
        <w:t>6.9</w:t>
      </w:r>
      <w:r>
        <w:rPr>
          <w:rFonts w:ascii="宋体" w:hAnsi="宋体"/>
          <w:color w:val="auto"/>
          <w:szCs w:val="21"/>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7F5B9CA4">
      <w:pPr>
        <w:ind w:firstLine="420" w:firstLineChars="200"/>
        <w:rPr>
          <w:rFonts w:ascii="宋体" w:hAnsi="宋体"/>
          <w:color w:val="auto"/>
          <w:szCs w:val="21"/>
          <w:highlight w:val="none"/>
        </w:rPr>
      </w:pPr>
      <w:r>
        <w:rPr>
          <w:rFonts w:hint="eastAsia" w:ascii="宋体" w:hAnsi="宋体"/>
          <w:color w:val="auto"/>
          <w:szCs w:val="21"/>
          <w:highlight w:val="none"/>
        </w:rPr>
        <w:t>6.10</w:t>
      </w:r>
      <w:r>
        <w:rPr>
          <w:rFonts w:ascii="宋体" w:hAnsi="宋体"/>
          <w:color w:val="auto"/>
          <w:szCs w:val="21"/>
          <w:highlight w:val="none"/>
        </w:rPr>
        <w:t>工程竣工后，承包方必须整理并按发包方要求及时提供完整及足够数量的技术档案资料，包括施工资料、图纸、竣工报告和施工原始记录,否则发包方不予办理承包方最终合同结算。</w:t>
      </w:r>
    </w:p>
    <w:p w14:paraId="24C13B65">
      <w:pPr>
        <w:ind w:firstLine="420" w:firstLineChars="200"/>
        <w:rPr>
          <w:rFonts w:ascii="宋体" w:hAnsi="宋体"/>
          <w:color w:val="auto"/>
          <w:szCs w:val="21"/>
          <w:highlight w:val="none"/>
        </w:rPr>
      </w:pPr>
      <w:r>
        <w:rPr>
          <w:rFonts w:hint="eastAsia" w:ascii="宋体" w:hAnsi="宋体"/>
          <w:color w:val="auto"/>
          <w:szCs w:val="21"/>
          <w:highlight w:val="none"/>
        </w:rPr>
        <w:t>6.11承包方应及时进行隐蔽工程和中间过程质量的报验工作，承包方自检合格并有书面资料报发包方工程师确认，上道工序未经发包工程师验收签字，不得进入下道工序，重要工序实施停工待检，否则将视情节轻重，给予承包方书面警告或</w:t>
      </w:r>
      <w:r>
        <w:rPr>
          <w:rFonts w:ascii="宋体" w:hAnsi="宋体"/>
          <w:color w:val="auto"/>
          <w:szCs w:val="21"/>
          <w:highlight w:val="none"/>
        </w:rPr>
        <w:t>1000-3000</w:t>
      </w:r>
      <w:r>
        <w:rPr>
          <w:rFonts w:hint="eastAsia" w:ascii="宋体" w:hAnsi="宋体"/>
          <w:color w:val="auto"/>
          <w:szCs w:val="21"/>
          <w:highlight w:val="none"/>
        </w:rPr>
        <w:t>元的罚款。</w:t>
      </w:r>
    </w:p>
    <w:p w14:paraId="0D849BEC">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第七条  安全文明施工与环境保护</w:t>
      </w:r>
    </w:p>
    <w:p w14:paraId="5B6AED52">
      <w:pPr>
        <w:tabs>
          <w:tab w:val="left" w:pos="1281"/>
        </w:tabs>
        <w:ind w:firstLine="411" w:firstLineChars="196"/>
        <w:rPr>
          <w:rFonts w:ascii="宋体" w:hAnsi="宋体"/>
          <w:b/>
          <w:bCs/>
          <w:color w:val="auto"/>
          <w:spacing w:val="10"/>
          <w:szCs w:val="21"/>
          <w:highlight w:val="none"/>
        </w:rPr>
      </w:pPr>
      <w:r>
        <w:rPr>
          <w:rFonts w:hint="eastAsia" w:ascii="宋体" w:hAnsi="宋体" w:cs="仿宋_GB2312"/>
          <w:color w:val="auto"/>
          <w:kern w:val="0"/>
          <w:szCs w:val="21"/>
          <w:highlight w:val="none"/>
        </w:rPr>
        <w:t>7.1</w:t>
      </w:r>
      <w:r>
        <w:rPr>
          <w:rFonts w:hint="eastAsia" w:ascii="宋体" w:hAnsi="宋体" w:cs="仿宋_GB2312"/>
          <w:color w:val="auto"/>
          <w:kern w:val="0"/>
          <w:szCs w:val="21"/>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4CD308AC">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7.2承包方负责施工现场的安全及第三方人身安全，工程开工前按国家有关规定要求提交安全施工措施；工程开工前</w:t>
      </w:r>
      <w:r>
        <w:rPr>
          <w:rFonts w:hint="eastAsia" w:ascii="宋体" w:hAnsi="宋体" w:cs="仿宋_GB2312"/>
          <w:color w:val="auto"/>
          <w:kern w:val="0"/>
          <w:szCs w:val="21"/>
          <w:highlight w:val="none"/>
        </w:rPr>
        <w:t>3</w:t>
      </w:r>
      <w:r>
        <w:rPr>
          <w:rFonts w:hint="eastAsia" w:ascii="宋体" w:hAnsi="宋体" w:cs="仿宋_GB2312"/>
          <w:color w:val="auto"/>
          <w:kern w:val="0"/>
          <w:szCs w:val="21"/>
          <w:highlight w:val="none"/>
          <w:lang w:val="zh-CN"/>
        </w:rPr>
        <w:t>日内购买工人人身意外伤害保险，承包方与现场施工人员必须签订劳动合同，并办理工伤保险。</w:t>
      </w:r>
    </w:p>
    <w:p w14:paraId="536D9B6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由全部由承包方承担。</w:t>
      </w:r>
    </w:p>
    <w:p w14:paraId="4FC6563B">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7.4工程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工程结算款中扣除。</w:t>
      </w:r>
    </w:p>
    <w:p w14:paraId="269D953F">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06617E6A">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7.6承包方必须为其现场管理人员和施工人员提供必须的、质量符合有关规定的安全防护用品和用具，确保其施工人员的人身安全和健康。</w:t>
      </w:r>
    </w:p>
    <w:p w14:paraId="4157DF2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66470742">
      <w:pPr>
        <w:ind w:firstLine="452" w:firstLineChars="196"/>
        <w:rPr>
          <w:rFonts w:ascii="宋体" w:hAnsi="宋体"/>
          <w:color w:val="auto"/>
          <w:spacing w:val="10"/>
          <w:szCs w:val="21"/>
          <w:highlight w:val="none"/>
        </w:rPr>
      </w:pPr>
      <w:r>
        <w:rPr>
          <w:rFonts w:hint="eastAsia" w:ascii="宋体" w:hAnsi="宋体"/>
          <w:b/>
          <w:bCs/>
          <w:color w:val="auto"/>
          <w:spacing w:val="10"/>
          <w:szCs w:val="21"/>
          <w:highlight w:val="none"/>
        </w:rPr>
        <w:t>第八条  工程款支付：</w:t>
      </w:r>
      <w:r>
        <w:rPr>
          <w:rFonts w:hint="eastAsia" w:ascii="宋体" w:hAnsi="宋体"/>
          <w:color w:val="auto"/>
          <w:spacing w:val="10"/>
          <w:szCs w:val="21"/>
          <w:highlight w:val="none"/>
        </w:rPr>
        <w:t>工程款支付方式为</w:t>
      </w:r>
      <w:r>
        <w:rPr>
          <w:rFonts w:hint="eastAsia" w:ascii="宋体" w:hAnsi="宋体"/>
          <w:color w:val="auto"/>
          <w:spacing w:val="10"/>
          <w:szCs w:val="21"/>
          <w:highlight w:val="none"/>
          <w:lang w:val="en-US" w:eastAsia="zh-CN"/>
        </w:rPr>
        <w:t>银行</w:t>
      </w:r>
      <w:r>
        <w:rPr>
          <w:rFonts w:hint="eastAsia" w:ascii="宋体" w:hAnsi="宋体"/>
          <w:color w:val="auto"/>
          <w:spacing w:val="10"/>
          <w:szCs w:val="21"/>
          <w:highlight w:val="none"/>
        </w:rPr>
        <w:t>转账。</w:t>
      </w:r>
    </w:p>
    <w:p w14:paraId="3516D2AF">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8.1预付款：合同</w:t>
      </w:r>
      <w:r>
        <w:rPr>
          <w:rFonts w:hint="eastAsia" w:ascii="宋体" w:hAnsi="宋体" w:cs="宋体"/>
          <w:color w:val="auto"/>
          <w:spacing w:val="10"/>
          <w:szCs w:val="21"/>
          <w:highlight w:val="none"/>
          <w:lang w:val="en-US" w:eastAsia="zh-CN"/>
        </w:rPr>
        <w:t>签订</w:t>
      </w:r>
      <w:r>
        <w:rPr>
          <w:rFonts w:hint="eastAsia" w:ascii="宋体" w:hAnsi="宋体" w:cs="宋体"/>
          <w:color w:val="auto"/>
          <w:spacing w:val="10"/>
          <w:szCs w:val="21"/>
          <w:highlight w:val="none"/>
        </w:rPr>
        <w:t>生效后，承包方开出预付款等额发票，支付合同总额的20%预付款；</w:t>
      </w:r>
    </w:p>
    <w:p w14:paraId="781946FE">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8.2完工验收款：</w:t>
      </w:r>
      <w:r>
        <w:rPr>
          <w:rFonts w:hint="eastAsia" w:ascii="宋体" w:hAnsi="宋体" w:cs="宋体"/>
          <w:color w:val="auto"/>
          <w:spacing w:val="10"/>
          <w:szCs w:val="21"/>
          <w:highlight w:val="none"/>
          <w:lang w:val="en-US" w:eastAsia="zh-CN"/>
        </w:rPr>
        <w:t>项目完工验收合格，发包方收到承包方提供合同剩余金额发票（税率9%增值税专用发票）后，支付至合同结算总价的97%</w:t>
      </w:r>
      <w:r>
        <w:rPr>
          <w:rFonts w:hint="eastAsia" w:ascii="宋体" w:hAnsi="宋体" w:cs="宋体"/>
          <w:color w:val="auto"/>
          <w:spacing w:val="10"/>
          <w:szCs w:val="21"/>
          <w:highlight w:val="none"/>
        </w:rPr>
        <w:t>；</w:t>
      </w:r>
    </w:p>
    <w:p w14:paraId="5CA3B849">
      <w:pPr>
        <w:pStyle w:val="65"/>
        <w:spacing w:before="0" w:after="0"/>
        <w:ind w:left="0" w:right="720" w:firstLine="460" w:firstLineChars="200"/>
        <w:rPr>
          <w:rFonts w:ascii="宋体" w:hAnsi="宋体" w:cs="宋体"/>
          <w:color w:val="auto"/>
          <w:spacing w:val="10"/>
          <w:sz w:val="21"/>
          <w:szCs w:val="21"/>
          <w:highlight w:val="none"/>
        </w:rPr>
      </w:pPr>
      <w:r>
        <w:rPr>
          <w:rFonts w:hint="eastAsia" w:ascii="宋体" w:hAnsi="宋体" w:cs="宋体"/>
          <w:color w:val="auto"/>
          <w:spacing w:val="10"/>
          <w:sz w:val="21"/>
          <w:szCs w:val="21"/>
          <w:highlight w:val="none"/>
        </w:rPr>
        <w:t>8.3 质量保修：</w:t>
      </w:r>
      <w:r>
        <w:rPr>
          <w:rFonts w:hint="eastAsia" w:ascii="宋体" w:hAnsi="宋体" w:cs="宋体"/>
          <w:color w:val="auto"/>
          <w:spacing w:val="10"/>
          <w:sz w:val="21"/>
          <w:szCs w:val="21"/>
          <w:highlight w:val="none"/>
          <w:lang w:val="en-US" w:eastAsia="zh-CN"/>
        </w:rPr>
        <w:t>本项目质量保证金为最终结算价款的3%，报价单位对施工内容予以质保期质量担保，质保期为自项目验收合格后满一年</w:t>
      </w:r>
      <w:r>
        <w:rPr>
          <w:rFonts w:hint="eastAsia" w:ascii="宋体" w:hAnsi="宋体" w:cs="宋体"/>
          <w:color w:val="auto"/>
          <w:spacing w:val="10"/>
          <w:sz w:val="21"/>
          <w:szCs w:val="21"/>
          <w:highlight w:val="none"/>
        </w:rPr>
        <w:t>，质保期内出现质量问题承包方需在发包方要求时间内无条件免费完成所有质量缺陷修补及处理，否则发包方有权暂缓支付质保金，或直接自行处理，处理费用承包方同意发包方直接从应付给承包方款项中予以扣除。</w:t>
      </w:r>
    </w:p>
    <w:p w14:paraId="4E2C01AB">
      <w:pPr>
        <w:pStyle w:val="65"/>
        <w:spacing w:before="0" w:after="0"/>
        <w:ind w:left="315" w:leftChars="150" w:right="720" w:firstLine="105" w:firstLineChars="50"/>
        <w:rPr>
          <w:rFonts w:ascii="宋体" w:hAnsi="宋体"/>
          <w:b/>
          <w:bCs/>
          <w:color w:val="auto"/>
          <w:sz w:val="21"/>
          <w:szCs w:val="21"/>
          <w:highlight w:val="none"/>
        </w:rPr>
      </w:pPr>
      <w:r>
        <w:rPr>
          <w:rFonts w:hint="eastAsia" w:ascii="宋体" w:hAnsi="宋体"/>
          <w:b/>
          <w:bCs/>
          <w:color w:val="auto"/>
          <w:sz w:val="21"/>
          <w:szCs w:val="21"/>
          <w:highlight w:val="none"/>
        </w:rPr>
        <w:t>8.4承包方收款信息（承包方已核对无误并确认）：</w:t>
      </w:r>
    </w:p>
    <w:p w14:paraId="2DB9F9E0">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收款人：</w:t>
      </w:r>
    </w:p>
    <w:p w14:paraId="01EDC81A">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开户行：</w:t>
      </w:r>
    </w:p>
    <w:p w14:paraId="29D285EC">
      <w:pPr>
        <w:pStyle w:val="65"/>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账号：</w:t>
      </w:r>
    </w:p>
    <w:p w14:paraId="22DA651E">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8.5开具发票</w:t>
      </w:r>
    </w:p>
    <w:p w14:paraId="0DB647F8">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承包方按发包方以及项目所在地税务局要求开具</w:t>
      </w:r>
      <w:r>
        <w:rPr>
          <w:rFonts w:hint="eastAsia" w:ascii="宋体" w:hAnsi="宋体"/>
          <w:color w:val="auto"/>
          <w:szCs w:val="21"/>
          <w:highlight w:val="none"/>
          <w:lang w:val="en-US" w:eastAsia="zh-CN"/>
        </w:rPr>
        <w:t>满足合同要求的</w:t>
      </w:r>
      <w:r>
        <w:rPr>
          <w:rFonts w:hint="eastAsia" w:ascii="宋体" w:hAnsi="宋体"/>
          <w:color w:val="auto"/>
          <w:szCs w:val="21"/>
          <w:highlight w:val="none"/>
        </w:rPr>
        <w:t>增值税专用发票。</w:t>
      </w:r>
    </w:p>
    <w:p w14:paraId="5889D376">
      <w:pPr>
        <w:snapToGrid w:val="0"/>
        <w:ind w:firstLine="420" w:firstLineChars="200"/>
        <w:rPr>
          <w:rFonts w:ascii="宋体" w:hAnsi="宋体"/>
          <w:color w:val="auto"/>
          <w:szCs w:val="21"/>
          <w:highlight w:val="none"/>
        </w:rPr>
      </w:pP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6担保</w:t>
      </w:r>
    </w:p>
    <w:p w14:paraId="33BEA167">
      <w:pPr>
        <w:snapToGrid w:val="0"/>
        <w:ind w:firstLine="420" w:firstLineChars="200"/>
        <w:rPr>
          <w:rFonts w:ascii="宋体" w:hAnsi="宋体"/>
          <w:color w:val="auto"/>
          <w:szCs w:val="21"/>
          <w:highlight w:val="none"/>
          <w:u w:val="single"/>
        </w:rPr>
      </w:pPr>
      <w:r>
        <w:rPr>
          <w:rFonts w:hint="eastAsia" w:ascii="宋体" w:hAnsi="宋体"/>
          <w:color w:val="auto"/>
          <w:szCs w:val="21"/>
          <w:highlight w:val="none"/>
        </w:rPr>
        <w:t>承包方向发包方提供履约提保，担保方式为：</w:t>
      </w:r>
      <w:r>
        <w:rPr>
          <w:rFonts w:ascii="宋体" w:hAnsi="宋体"/>
          <w:color w:val="auto"/>
          <w:szCs w:val="21"/>
          <w:highlight w:val="none"/>
          <w:u w:val="single"/>
        </w:rPr>
        <w:t xml:space="preserve">   </w:t>
      </w:r>
      <w:r>
        <w:rPr>
          <w:rFonts w:hint="eastAsia" w:ascii="宋体" w:hAnsi="宋体"/>
          <w:color w:val="auto"/>
          <w:szCs w:val="21"/>
          <w:highlight w:val="none"/>
          <w:u w:val="single"/>
        </w:rPr>
        <w:t>无</w:t>
      </w:r>
      <w:r>
        <w:rPr>
          <w:rFonts w:ascii="宋体" w:hAnsi="宋体"/>
          <w:color w:val="auto"/>
          <w:szCs w:val="21"/>
          <w:highlight w:val="none"/>
          <w:u w:val="single"/>
        </w:rPr>
        <w:t xml:space="preserve">   </w:t>
      </w:r>
    </w:p>
    <w:p w14:paraId="0837FFA1">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第九条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质量保修</w:t>
      </w:r>
    </w:p>
    <w:p w14:paraId="4E6F3970">
      <w:pPr>
        <w:ind w:firstLine="411" w:firstLineChars="196"/>
        <w:rPr>
          <w:rFonts w:ascii="宋体" w:hAnsi="宋体"/>
          <w:color w:val="auto"/>
          <w:szCs w:val="21"/>
          <w:highlight w:val="none"/>
        </w:rPr>
      </w:pPr>
      <w:r>
        <w:rPr>
          <w:rFonts w:hint="eastAsia" w:ascii="宋体" w:hAnsi="宋体"/>
          <w:color w:val="auto"/>
          <w:szCs w:val="21"/>
          <w:highlight w:val="none"/>
        </w:rPr>
        <w:t>9.1</w:t>
      </w:r>
      <w:r>
        <w:rPr>
          <w:rFonts w:ascii="宋体" w:hAnsi="宋体"/>
          <w:color w:val="auto"/>
          <w:szCs w:val="21"/>
          <w:highlight w:val="none"/>
        </w:rPr>
        <w:t>承包方应按法律、行政法规或国家关于工程质量保修的有关规定，对交付发包方使用的工程在质量保修期内承担质量保修责任。</w:t>
      </w:r>
    </w:p>
    <w:p w14:paraId="2C077B6C">
      <w:pPr>
        <w:ind w:firstLine="480"/>
        <w:rPr>
          <w:rFonts w:ascii="宋体" w:hAnsi="宋体"/>
          <w:color w:val="auto"/>
          <w:szCs w:val="21"/>
          <w:highlight w:val="none"/>
        </w:rPr>
      </w:pPr>
      <w:r>
        <w:rPr>
          <w:rFonts w:hint="eastAsia" w:ascii="宋体" w:hAnsi="宋体"/>
          <w:bCs/>
          <w:color w:val="auto"/>
          <w:szCs w:val="21"/>
          <w:highlight w:val="none"/>
        </w:rPr>
        <w:t>9.2</w:t>
      </w:r>
      <w:r>
        <w:rPr>
          <w:rFonts w:ascii="宋体" w:hAnsi="宋体"/>
          <w:color w:val="auto"/>
          <w:szCs w:val="21"/>
          <w:highlight w:val="none"/>
        </w:rPr>
        <w:t>质量保修工作的实施。双方根据国家有关规定</w:t>
      </w:r>
      <w:r>
        <w:rPr>
          <w:rFonts w:hint="eastAsia" w:ascii="宋体" w:hAnsi="宋体"/>
          <w:color w:val="auto"/>
          <w:szCs w:val="21"/>
          <w:highlight w:val="none"/>
        </w:rPr>
        <w:t>执行，质量保修期自通过相关部门验收合格，取得验收合格报告之日起计算。</w:t>
      </w:r>
    </w:p>
    <w:p w14:paraId="2CF02358">
      <w:pPr>
        <w:ind w:firstLine="480"/>
        <w:rPr>
          <w:rFonts w:ascii="宋体" w:hAnsi="宋体"/>
          <w:color w:val="auto"/>
          <w:szCs w:val="21"/>
          <w:highlight w:val="none"/>
        </w:rPr>
      </w:pPr>
      <w:r>
        <w:rPr>
          <w:rFonts w:hint="eastAsia" w:ascii="宋体" w:hAnsi="宋体"/>
          <w:bCs/>
          <w:color w:val="auto"/>
          <w:szCs w:val="21"/>
          <w:highlight w:val="none"/>
        </w:rPr>
        <w:t>9.3</w:t>
      </w:r>
      <w:r>
        <w:rPr>
          <w:rFonts w:ascii="宋体" w:hAnsi="宋体"/>
          <w:color w:val="auto"/>
          <w:szCs w:val="21"/>
          <w:highlight w:val="none"/>
        </w:rPr>
        <w:t>质量保修责任</w:t>
      </w:r>
    </w:p>
    <w:p w14:paraId="597A68C0">
      <w:pPr>
        <w:ind w:firstLine="480"/>
        <w:rPr>
          <w:rFonts w:ascii="宋体" w:hAnsi="宋体"/>
          <w:color w:val="auto"/>
          <w:szCs w:val="21"/>
          <w:highlight w:val="none"/>
        </w:rPr>
      </w:pPr>
      <w:r>
        <w:rPr>
          <w:rFonts w:ascii="宋体" w:hAnsi="宋体"/>
          <w:color w:val="auto"/>
          <w:szCs w:val="21"/>
          <w:highlight w:val="none"/>
        </w:rPr>
        <w:t>属于保修范围内的项目，承包方应在接到修理通知之日后</w:t>
      </w:r>
      <w:r>
        <w:rPr>
          <w:rFonts w:hint="eastAsia" w:ascii="宋体" w:hAnsi="宋体"/>
          <w:color w:val="auto"/>
          <w:szCs w:val="21"/>
          <w:highlight w:val="none"/>
        </w:rPr>
        <w:t>7</w:t>
      </w:r>
      <w:r>
        <w:rPr>
          <w:rFonts w:ascii="宋体" w:hAnsi="宋体"/>
          <w:color w:val="auto"/>
          <w:szCs w:val="21"/>
          <w:highlight w:val="none"/>
        </w:rPr>
        <w:t>天内派人修理。承包方不在约定期限内派人修理，发包方可委托其他人员修理，保修费用</w:t>
      </w:r>
      <w:r>
        <w:rPr>
          <w:rFonts w:hint="eastAsia" w:ascii="宋体" w:hAnsi="宋体"/>
          <w:color w:val="auto"/>
          <w:szCs w:val="21"/>
          <w:highlight w:val="none"/>
        </w:rPr>
        <w:t>由承包方予以承担</w:t>
      </w:r>
      <w:r>
        <w:rPr>
          <w:rFonts w:ascii="宋体" w:hAnsi="宋体"/>
          <w:color w:val="auto"/>
          <w:szCs w:val="21"/>
          <w:highlight w:val="none"/>
        </w:rPr>
        <w:t>。</w:t>
      </w:r>
    </w:p>
    <w:p w14:paraId="1E2003F6">
      <w:pPr>
        <w:ind w:firstLine="420" w:firstLineChars="200"/>
        <w:rPr>
          <w:rFonts w:ascii="宋体" w:hAnsi="宋体"/>
          <w:color w:val="auto"/>
          <w:szCs w:val="21"/>
          <w:highlight w:val="none"/>
        </w:rPr>
      </w:pPr>
      <w:r>
        <w:rPr>
          <w:rFonts w:hint="eastAsia" w:ascii="宋体" w:hAnsi="宋体"/>
          <w:color w:val="auto"/>
          <w:szCs w:val="21"/>
          <w:highlight w:val="none"/>
        </w:rPr>
        <w:t>9.4</w:t>
      </w:r>
      <w:r>
        <w:rPr>
          <w:rFonts w:ascii="宋体" w:hAnsi="宋体"/>
          <w:color w:val="auto"/>
          <w:szCs w:val="21"/>
          <w:highlight w:val="none"/>
        </w:rPr>
        <w:t>发生须紧急抢修事故，承包方接到事故通知后，应立即到达事故现场抢修。非承包方施工质量引起的事故，抢修费用由发包方承担。</w:t>
      </w:r>
    </w:p>
    <w:p w14:paraId="6D76C2E9">
      <w:pPr>
        <w:ind w:firstLine="420" w:firstLineChars="200"/>
        <w:rPr>
          <w:rFonts w:ascii="宋体" w:hAnsi="宋体"/>
          <w:color w:val="auto"/>
          <w:szCs w:val="21"/>
          <w:highlight w:val="none"/>
        </w:rPr>
      </w:pPr>
      <w:r>
        <w:rPr>
          <w:rFonts w:hint="eastAsia" w:ascii="宋体" w:hAnsi="宋体"/>
          <w:color w:val="auto"/>
          <w:szCs w:val="21"/>
          <w:highlight w:val="none"/>
        </w:rPr>
        <w:t>9.5在质量保修期内进行返修的这部分工程按重新验收合格之日起重新计算，这部分工程的质量保修期从重新验收合格之日起顺延壹年。</w:t>
      </w:r>
    </w:p>
    <w:p w14:paraId="17254EBD">
      <w:pPr>
        <w:numPr>
          <w:ilvl w:val="0"/>
          <w:numId w:val="6"/>
        </w:num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 xml:space="preserve"> 规范及报检报验</w:t>
      </w:r>
    </w:p>
    <w:p w14:paraId="18ECE22B">
      <w:pPr>
        <w:rPr>
          <w:rFonts w:ascii="宋体" w:hAnsi="宋体"/>
          <w:bCs/>
          <w:color w:val="auto"/>
          <w:spacing w:val="10"/>
          <w:szCs w:val="21"/>
          <w:highlight w:val="none"/>
        </w:rPr>
      </w:pPr>
      <w:r>
        <w:rPr>
          <w:rFonts w:hint="eastAsia" w:ascii="宋体" w:hAnsi="宋体"/>
          <w:bCs/>
          <w:color w:val="auto"/>
          <w:szCs w:val="21"/>
          <w:highlight w:val="none"/>
        </w:rPr>
        <w:t>10.1施工验收标准及报价报验要求：具体按照本合同附件</w:t>
      </w:r>
      <w:r>
        <w:rPr>
          <w:rFonts w:hint="eastAsia" w:ascii="宋体" w:hAnsi="宋体"/>
          <w:bCs/>
          <w:color w:val="auto"/>
          <w:szCs w:val="21"/>
          <w:highlight w:val="none"/>
          <w:lang w:val="en-US" w:eastAsia="zh-CN"/>
        </w:rPr>
        <w:t>2</w:t>
      </w:r>
      <w:r>
        <w:rPr>
          <w:rFonts w:hint="eastAsia" w:ascii="宋体" w:hAnsi="宋体"/>
          <w:bCs/>
          <w:color w:val="auto"/>
          <w:szCs w:val="21"/>
          <w:highlight w:val="none"/>
        </w:rPr>
        <w:t>技术规范书执行，若有新的标准则执行新标准，替代原有标准。</w:t>
      </w:r>
    </w:p>
    <w:p w14:paraId="58C9961B">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第十一条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违约</w:t>
      </w:r>
    </w:p>
    <w:p w14:paraId="2E3FF432">
      <w:pPr>
        <w:ind w:firstLine="482"/>
        <w:outlineLvl w:val="2"/>
        <w:rPr>
          <w:rFonts w:ascii="宋体" w:hAnsi="宋体"/>
          <w:bCs/>
          <w:color w:val="auto"/>
          <w:szCs w:val="21"/>
          <w:highlight w:val="none"/>
        </w:rPr>
      </w:pPr>
      <w:r>
        <w:rPr>
          <w:rFonts w:hint="eastAsia" w:ascii="宋体" w:hAnsi="宋体"/>
          <w:color w:val="auto"/>
          <w:szCs w:val="21"/>
          <w:highlight w:val="none"/>
        </w:rPr>
        <w:t>11.1</w:t>
      </w:r>
      <w:r>
        <w:rPr>
          <w:rFonts w:hint="eastAsia" w:ascii="宋体" w:hAnsi="宋体"/>
          <w:bCs/>
          <w:color w:val="auto"/>
          <w:szCs w:val="21"/>
          <w:highlight w:val="none"/>
        </w:rPr>
        <w:t>承包方严格按项目要求的工期进行施工，非发包方原因，超过</w:t>
      </w:r>
      <w:r>
        <w:rPr>
          <w:rFonts w:hint="eastAsia" w:ascii="宋体" w:hAnsi="宋体"/>
          <w:color w:val="auto"/>
          <w:szCs w:val="21"/>
          <w:highlight w:val="none"/>
        </w:rPr>
        <w:t>总工期每延迟一天承担违约金</w:t>
      </w:r>
      <w:r>
        <w:rPr>
          <w:rFonts w:hint="eastAsia" w:ascii="宋体" w:hAnsi="宋体"/>
          <w:b/>
          <w:bCs/>
          <w:color w:val="auto"/>
          <w:szCs w:val="21"/>
          <w:highlight w:val="none"/>
          <w:u w:val="single"/>
        </w:rPr>
        <w:t>2000元/天</w:t>
      </w:r>
      <w:r>
        <w:rPr>
          <w:rFonts w:hint="eastAsia" w:ascii="宋体" w:hAnsi="宋体"/>
          <w:color w:val="auto"/>
          <w:szCs w:val="21"/>
          <w:highlight w:val="none"/>
        </w:rPr>
        <w:t>，违约金从本合同剩余应支付价款中予以扣除，直至款项扣清</w:t>
      </w:r>
      <w:r>
        <w:rPr>
          <w:rFonts w:hint="eastAsia" w:ascii="宋体" w:hAnsi="宋体"/>
          <w:iCs/>
          <w:color w:val="auto"/>
          <w:szCs w:val="21"/>
          <w:highlight w:val="none"/>
        </w:rPr>
        <w:t>。</w:t>
      </w:r>
    </w:p>
    <w:p w14:paraId="46991E17">
      <w:pPr>
        <w:pStyle w:val="20"/>
        <w:spacing w:line="240" w:lineRule="auto"/>
        <w:ind w:firstLine="480" w:firstLineChars="0"/>
        <w:rPr>
          <w:rFonts w:ascii="宋体" w:hAnsi="宋体"/>
          <w:color w:val="auto"/>
          <w:szCs w:val="21"/>
          <w:highlight w:val="none"/>
        </w:rPr>
      </w:pPr>
      <w:r>
        <w:rPr>
          <w:rFonts w:hint="eastAsia" w:ascii="宋体" w:hAnsi="宋体"/>
          <w:color w:val="auto"/>
          <w:szCs w:val="21"/>
          <w:highlight w:val="none"/>
        </w:rPr>
        <w:t>11.2</w:t>
      </w:r>
      <w:r>
        <w:rPr>
          <w:rFonts w:ascii="宋体" w:hAnsi="宋体"/>
          <w:color w:val="auto"/>
          <w:szCs w:val="21"/>
          <w:highlight w:val="none"/>
        </w:rPr>
        <w:t>因承包方原因工程质量达不到协议书约定的质量标准</w:t>
      </w:r>
      <w:r>
        <w:rPr>
          <w:rFonts w:hint="eastAsia" w:ascii="宋体" w:hAnsi="宋体"/>
          <w:color w:val="auto"/>
          <w:szCs w:val="21"/>
          <w:highlight w:val="none"/>
        </w:rPr>
        <w:t>、验收标准、取得项目所在地</w:t>
      </w:r>
      <w:r>
        <w:rPr>
          <w:rFonts w:hint="eastAsia" w:ascii="宋体" w:hAnsi="宋体"/>
          <w:bCs/>
          <w:color w:val="auto"/>
          <w:szCs w:val="21"/>
          <w:highlight w:val="none"/>
        </w:rPr>
        <w:t>所需受省级或地方行业部门现场监检</w:t>
      </w:r>
      <w:r>
        <w:rPr>
          <w:rFonts w:hint="eastAsia" w:ascii="宋体" w:hAnsi="宋体"/>
          <w:color w:val="auto"/>
          <w:szCs w:val="21"/>
          <w:highlight w:val="none"/>
        </w:rPr>
        <w:t>，则承包方负责无条件整改直至合格，所延误工期不予顺延，并承担由此造成发包方的一切损失。</w:t>
      </w:r>
    </w:p>
    <w:p w14:paraId="4D5BA065">
      <w:pPr>
        <w:ind w:firstLine="420" w:firstLineChars="200"/>
        <w:rPr>
          <w:rFonts w:ascii="宋体" w:hAnsi="宋体"/>
          <w:bCs/>
          <w:color w:val="auto"/>
          <w:szCs w:val="21"/>
          <w:highlight w:val="none"/>
        </w:rPr>
      </w:pPr>
      <w:r>
        <w:rPr>
          <w:rFonts w:hint="eastAsia" w:ascii="宋体" w:hAnsi="宋体"/>
          <w:bCs/>
          <w:color w:val="auto"/>
          <w:szCs w:val="21"/>
          <w:highlight w:val="none"/>
        </w:rPr>
        <w:t>11.3施工过程中承包方应做好发包方设备、设施的防护工作，如保护不当或为采用保护造成损坏，因此造成的直接或间接损失承包方应予以赔偿。</w:t>
      </w:r>
    </w:p>
    <w:p w14:paraId="5E80D6A5">
      <w:pPr>
        <w:ind w:firstLine="420" w:firstLineChars="200"/>
        <w:rPr>
          <w:rFonts w:ascii="宋体" w:hAnsi="宋体"/>
          <w:bCs/>
          <w:color w:val="auto"/>
          <w:szCs w:val="21"/>
          <w:highlight w:val="none"/>
        </w:rPr>
      </w:pPr>
      <w:r>
        <w:rPr>
          <w:rFonts w:hint="eastAsia" w:ascii="宋体" w:hAnsi="宋体"/>
          <w:bCs/>
          <w:color w:val="auto"/>
          <w:szCs w:val="21"/>
          <w:highlight w:val="none"/>
        </w:rPr>
        <w:t>11.4施工过程中达不到发包方或业主有关安全文明生产规定及违章作业，产生的安全罚款以及给发包方造成所有损失由承包方自行承担，由承包方自行缴纳，如承包方拒绝缴纳，发包方有权在合同总价中予以扣除。</w:t>
      </w:r>
    </w:p>
    <w:p w14:paraId="3AB43E29">
      <w:pPr>
        <w:ind w:firstLine="420" w:firstLineChars="200"/>
        <w:rPr>
          <w:rFonts w:ascii="宋体" w:hAnsi="宋体"/>
          <w:bCs/>
          <w:color w:val="auto"/>
          <w:szCs w:val="21"/>
          <w:highlight w:val="none"/>
        </w:rPr>
      </w:pPr>
      <w:r>
        <w:rPr>
          <w:rFonts w:hint="eastAsia" w:ascii="宋体" w:hAnsi="宋体"/>
          <w:bCs/>
          <w:color w:val="auto"/>
          <w:szCs w:val="21"/>
          <w:highlight w:val="none"/>
        </w:rPr>
        <w:t>11.5施工中不按发包方管理人员要求施工，按有关规定罚款，在总价中扣除。</w:t>
      </w:r>
    </w:p>
    <w:p w14:paraId="14FE9CFF">
      <w:pPr>
        <w:pStyle w:val="12"/>
        <w:ind w:left="0" w:leftChars="0" w:firstLine="413" w:firstLineChars="197"/>
        <w:rPr>
          <w:rFonts w:ascii="宋体" w:hAnsi="宋体"/>
          <w:bCs/>
          <w:color w:val="auto"/>
          <w:szCs w:val="21"/>
          <w:highlight w:val="none"/>
        </w:rPr>
      </w:pPr>
      <w:r>
        <w:rPr>
          <w:rFonts w:hint="eastAsia" w:ascii="宋体" w:hAnsi="宋体"/>
          <w:bCs/>
          <w:color w:val="auto"/>
          <w:szCs w:val="21"/>
          <w:highlight w:val="none"/>
        </w:rPr>
        <w:t>11.6因承包方原因解除合同时，发包方对承包方处以预付款双倍的违约金，且发包方有权决定是否接受属于承包方在现场的一切设施、设备、材料使用与本工程，并有进一步要求承包方索赔的权利。</w:t>
      </w:r>
    </w:p>
    <w:p w14:paraId="5097685C">
      <w:pPr>
        <w:pStyle w:val="13"/>
        <w:ind w:firstLine="420"/>
        <w:rPr>
          <w:rFonts w:hint="default" w:ascii="宋体" w:hAnsi="宋体"/>
          <w:bCs/>
          <w:color w:val="auto"/>
          <w:szCs w:val="21"/>
          <w:highlight w:val="none"/>
        </w:rPr>
      </w:pPr>
      <w:r>
        <w:rPr>
          <w:rFonts w:ascii="宋体" w:hAnsi="宋体"/>
          <w:bCs/>
          <w:color w:val="auto"/>
          <w:szCs w:val="21"/>
          <w:highlight w:val="none"/>
        </w:rPr>
        <w:t>11.7 合同生效后，承包方无法定理由不能单方提出终止合同，否则属单方面毁约，承包方毁约将给发包方造成巨大损失，因此除赔偿发包方全部损失外，还必须支付合同总价款 20 %的违约金。</w:t>
      </w:r>
    </w:p>
    <w:p w14:paraId="47838362">
      <w:pPr>
        <w:pStyle w:val="13"/>
        <w:ind w:firstLine="420"/>
        <w:rPr>
          <w:rFonts w:hint="default" w:ascii="宋体" w:hAnsi="宋体"/>
          <w:bCs/>
          <w:color w:val="auto"/>
          <w:szCs w:val="21"/>
          <w:highlight w:val="none"/>
        </w:rPr>
      </w:pPr>
      <w:r>
        <w:rPr>
          <w:rFonts w:ascii="宋体" w:hAnsi="宋体"/>
          <w:bCs/>
          <w:color w:val="auto"/>
          <w:szCs w:val="21"/>
          <w:highlight w:val="none"/>
        </w:rPr>
        <w:t xml:space="preserve">11.8 </w:t>
      </w:r>
      <w:r>
        <w:rPr>
          <w:rFonts w:asciiTheme="minorEastAsia" w:hAnsiTheme="minorEastAsia" w:eastAsiaTheme="minorEastAsia"/>
          <w:color w:val="auto"/>
          <w:szCs w:val="21"/>
          <w:highlight w:val="none"/>
        </w:rPr>
        <w:t>承包方无正当理由单方面变更或终止合同，发包方有权按本条款约定行使留置权，接收与本工程有关的属于承包方在现场的一切设施、材料、设备和器件。</w:t>
      </w:r>
    </w:p>
    <w:p w14:paraId="765AF62E">
      <w:pPr>
        <w:spacing w:line="276" w:lineRule="auto"/>
        <w:ind w:firstLine="420" w:firstLineChars="200"/>
        <w:rPr>
          <w:rFonts w:ascii="宋体" w:hAnsi="宋体"/>
          <w:b/>
          <w:bCs/>
          <w:color w:val="auto"/>
          <w:szCs w:val="21"/>
          <w:highlight w:val="none"/>
        </w:rPr>
      </w:pPr>
      <w:r>
        <w:rPr>
          <w:rFonts w:hint="eastAsia" w:ascii="宋体" w:hAnsi="宋体"/>
          <w:bCs/>
          <w:color w:val="auto"/>
          <w:szCs w:val="21"/>
          <w:highlight w:val="none"/>
        </w:rPr>
        <w:t xml:space="preserve">11.9 </w:t>
      </w:r>
      <w:r>
        <w:rPr>
          <w:rFonts w:hint="eastAsia" w:asciiTheme="minorEastAsia" w:hAnsiTheme="minorEastAsia" w:eastAsiaTheme="minorEastAsia"/>
          <w:color w:val="auto"/>
          <w:szCs w:val="21"/>
          <w:highlight w:val="none"/>
        </w:rPr>
        <w:t>承包方应当在第一时间内支付工人工资，否则因拖欠工资引发的上访、围攻政府或企业的全部责任由承包方承担；发包方可以根据需要代发工人工资，相应款项从承包方工程款中扣除，并可每次收取合同总价款5%的违约金。具体按附件4《农民工工资及管理要求》执行。</w:t>
      </w:r>
    </w:p>
    <w:p w14:paraId="6319DCEB">
      <w:pPr>
        <w:ind w:firstLine="413" w:firstLineChars="196"/>
        <w:rPr>
          <w:rFonts w:ascii="宋体" w:hAnsi="宋体"/>
          <w:b/>
          <w:bCs/>
          <w:color w:val="auto"/>
          <w:szCs w:val="21"/>
          <w:highlight w:val="none"/>
        </w:rPr>
      </w:pPr>
      <w:r>
        <w:rPr>
          <w:rFonts w:hint="eastAsia" w:ascii="宋体" w:hAnsi="宋体"/>
          <w:b/>
          <w:bCs/>
          <w:color w:val="auto"/>
          <w:szCs w:val="21"/>
          <w:highlight w:val="none"/>
        </w:rPr>
        <w:t>第十二条  合同纠纷解决方式</w:t>
      </w:r>
    </w:p>
    <w:p w14:paraId="519324EB">
      <w:pPr>
        <w:ind w:firstLine="424" w:firstLineChars="202"/>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发、承包双方在履行合同中发生纠纷，应友好协商解决，如协商不成，双方同意在发包方所在地人民法院申请诉讼，禁止采用示威、游行等非正常手段解决。如发生此类情况，承包方支付给发包方合同总价款30%的违约金且无条件接受政府部门的处理措施，单方面无条件安抚和解决问题。</w:t>
      </w:r>
    </w:p>
    <w:p w14:paraId="2B6992DC">
      <w:pPr>
        <w:ind w:firstLine="413" w:firstLineChars="196"/>
        <w:rPr>
          <w:rFonts w:hint="default" w:eastAsia="宋体"/>
          <w:color w:val="auto"/>
          <w:highlight w:val="none"/>
          <w:lang w:val="en-US" w:eastAsia="zh-CN"/>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三</w:t>
      </w:r>
      <w:r>
        <w:rPr>
          <w:rFonts w:hint="eastAsia" w:ascii="宋体" w:hAnsi="宋体"/>
          <w:b/>
          <w:bCs/>
          <w:color w:val="auto"/>
          <w:szCs w:val="21"/>
          <w:highlight w:val="none"/>
        </w:rPr>
        <w:t xml:space="preserve">条  </w:t>
      </w:r>
      <w:r>
        <w:rPr>
          <w:rFonts w:hint="eastAsia" w:ascii="宋体" w:hAnsi="宋体"/>
          <w:b/>
          <w:bCs/>
          <w:color w:val="auto"/>
          <w:szCs w:val="21"/>
          <w:highlight w:val="none"/>
          <w:lang w:val="en-US" w:eastAsia="zh-CN"/>
        </w:rPr>
        <w:t>履约担保</w:t>
      </w:r>
    </w:p>
    <w:p w14:paraId="5698E7F1">
      <w:pPr>
        <w:ind w:firstLine="371" w:firstLineChars="177"/>
        <w:rPr>
          <w:rFonts w:hint="eastAsia" w:asciiTheme="minorEastAsia" w:hAnsiTheme="minorEastAsia" w:eastAsiaTheme="minorEastAsia"/>
          <w:color w:val="auto"/>
          <w:szCs w:val="21"/>
          <w:highlight w:val="none"/>
        </w:rPr>
      </w:pPr>
      <w:r>
        <w:rPr>
          <w:rFonts w:hint="eastAsia" w:ascii="宋体" w:hAnsi="宋体"/>
          <w:color w:val="auto"/>
          <w:szCs w:val="21"/>
          <w:highlight w:val="none"/>
        </w:rPr>
        <w:t xml:space="preserve">本合同的履约担保金额为人民币￥ </w:t>
      </w:r>
      <w:r>
        <w:rPr>
          <w:rFonts w:hint="eastAsia" w:ascii="宋体" w:hAnsi="宋体"/>
          <w:color w:val="auto"/>
          <w:szCs w:val="21"/>
          <w:highlight w:val="none"/>
          <w:lang w:val="en-US" w:eastAsia="zh-CN"/>
        </w:rPr>
        <w:t>7200</w:t>
      </w:r>
      <w:r>
        <w:rPr>
          <w:rFonts w:hint="eastAsia" w:ascii="宋体" w:hAnsi="宋体"/>
          <w:color w:val="auto"/>
          <w:szCs w:val="21"/>
          <w:highlight w:val="none"/>
        </w:rPr>
        <w:t>元 （大写：</w:t>
      </w:r>
      <w:r>
        <w:rPr>
          <w:rFonts w:hint="eastAsia" w:ascii="宋体" w:hAnsi="宋体"/>
          <w:color w:val="auto"/>
          <w:szCs w:val="21"/>
          <w:highlight w:val="none"/>
          <w:lang w:val="en-US" w:eastAsia="zh-CN"/>
        </w:rPr>
        <w:t>柒仟贰佰元</w:t>
      </w:r>
      <w:r>
        <w:rPr>
          <w:rFonts w:hint="eastAsia" w:ascii="宋体" w:hAnsi="宋体"/>
          <w:color w:val="auto"/>
          <w:szCs w:val="21"/>
          <w:highlight w:val="none"/>
        </w:rPr>
        <w:t>整），由</w:t>
      </w:r>
      <w:r>
        <w:rPr>
          <w:rFonts w:hint="eastAsia" w:ascii="宋体" w:hAnsi="宋体"/>
          <w:color w:val="auto"/>
          <w:szCs w:val="21"/>
          <w:highlight w:val="none"/>
          <w:lang w:val="en-US" w:eastAsia="zh-CN"/>
        </w:rPr>
        <w:t>承包</w:t>
      </w:r>
      <w:r>
        <w:rPr>
          <w:rFonts w:hint="eastAsia" w:ascii="宋体" w:hAnsi="宋体"/>
          <w:color w:val="auto"/>
          <w:szCs w:val="21"/>
          <w:highlight w:val="none"/>
        </w:rPr>
        <w:t>方所缴纳的响应保证金转化。履约担保期限从合同签订之日起至项目竣工验收合格后一个月后保持有效；</w:t>
      </w:r>
      <w:r>
        <w:rPr>
          <w:rFonts w:hint="eastAsia" w:ascii="宋体" w:hAnsi="宋体"/>
          <w:color w:val="auto"/>
          <w:szCs w:val="21"/>
          <w:highlight w:val="none"/>
          <w:lang w:val="en-US" w:eastAsia="zh-CN"/>
        </w:rPr>
        <w:t>承包方</w:t>
      </w:r>
      <w:r>
        <w:rPr>
          <w:rFonts w:hint="eastAsia" w:ascii="宋体" w:hAnsi="宋体"/>
          <w:color w:val="auto"/>
          <w:szCs w:val="21"/>
          <w:highlight w:val="none"/>
        </w:rPr>
        <w:t>在本合同项下的义务全部履行完毕，且经</w:t>
      </w:r>
      <w:r>
        <w:rPr>
          <w:rFonts w:hint="eastAsia" w:ascii="宋体" w:hAnsi="宋体"/>
          <w:color w:val="auto"/>
          <w:szCs w:val="21"/>
          <w:highlight w:val="none"/>
          <w:lang w:val="en-US" w:eastAsia="zh-CN"/>
        </w:rPr>
        <w:t>发包方</w:t>
      </w:r>
      <w:r>
        <w:rPr>
          <w:rFonts w:hint="eastAsia" w:ascii="宋体" w:hAnsi="宋体"/>
          <w:color w:val="auto"/>
          <w:szCs w:val="21"/>
          <w:highlight w:val="none"/>
        </w:rPr>
        <w:t>验收合格（或者视同验收合格），</w:t>
      </w:r>
      <w:r>
        <w:rPr>
          <w:rFonts w:hint="eastAsia" w:ascii="宋体" w:hAnsi="宋体"/>
          <w:color w:val="auto"/>
          <w:szCs w:val="21"/>
          <w:highlight w:val="none"/>
          <w:lang w:val="en-US" w:eastAsia="zh-CN"/>
        </w:rPr>
        <w:t>承包方</w:t>
      </w:r>
      <w:r>
        <w:rPr>
          <w:rFonts w:hint="eastAsia" w:ascii="宋体" w:hAnsi="宋体"/>
          <w:color w:val="auto"/>
          <w:szCs w:val="21"/>
          <w:highlight w:val="none"/>
        </w:rPr>
        <w:t>向</w:t>
      </w:r>
      <w:r>
        <w:rPr>
          <w:rFonts w:hint="eastAsia" w:ascii="宋体" w:hAnsi="宋体"/>
          <w:color w:val="auto"/>
          <w:szCs w:val="21"/>
          <w:highlight w:val="none"/>
          <w:lang w:val="en-US" w:eastAsia="zh-CN"/>
        </w:rPr>
        <w:t>发包方</w:t>
      </w:r>
      <w:r>
        <w:rPr>
          <w:rFonts w:hint="eastAsia" w:ascii="宋体" w:hAnsi="宋体"/>
          <w:color w:val="auto"/>
          <w:szCs w:val="21"/>
          <w:highlight w:val="none"/>
        </w:rPr>
        <w:t>提供履约保证金退还申请书，</w:t>
      </w:r>
      <w:r>
        <w:rPr>
          <w:rFonts w:hint="eastAsia" w:ascii="宋体" w:hAnsi="宋体"/>
          <w:color w:val="auto"/>
          <w:szCs w:val="21"/>
          <w:highlight w:val="none"/>
          <w:lang w:val="en-US" w:eastAsia="zh-CN"/>
        </w:rPr>
        <w:t>发包方</w:t>
      </w:r>
      <w:r>
        <w:rPr>
          <w:rFonts w:hint="eastAsia" w:ascii="宋体" w:hAnsi="宋体"/>
          <w:color w:val="auto"/>
          <w:szCs w:val="21"/>
          <w:highlight w:val="none"/>
        </w:rPr>
        <w:t>审核无误后五个工作日内无息退还。若</w:t>
      </w:r>
      <w:r>
        <w:rPr>
          <w:rFonts w:hint="eastAsia" w:ascii="宋体" w:hAnsi="宋体"/>
          <w:color w:val="auto"/>
          <w:szCs w:val="21"/>
          <w:highlight w:val="none"/>
          <w:lang w:val="en-US" w:eastAsia="zh-CN"/>
        </w:rPr>
        <w:t>承包方</w:t>
      </w:r>
      <w:r>
        <w:rPr>
          <w:rFonts w:hint="eastAsia" w:ascii="宋体" w:hAnsi="宋体"/>
          <w:color w:val="auto"/>
          <w:szCs w:val="21"/>
          <w:highlight w:val="none"/>
        </w:rPr>
        <w:t>不履行合同或者履行不符合合同约定或者有任何其他违约行为，</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有权扣除</w:t>
      </w:r>
      <w:r>
        <w:rPr>
          <w:rFonts w:hint="eastAsia" w:ascii="宋体" w:hAnsi="宋体"/>
          <w:color w:val="auto"/>
          <w:szCs w:val="21"/>
          <w:highlight w:val="none"/>
          <w:lang w:val="en-US" w:eastAsia="zh-CN"/>
        </w:rPr>
        <w:t>承包方</w:t>
      </w:r>
      <w:r>
        <w:rPr>
          <w:rFonts w:hint="eastAsia" w:ascii="宋体" w:hAnsi="宋体"/>
          <w:color w:val="auto"/>
          <w:szCs w:val="21"/>
          <w:highlight w:val="none"/>
        </w:rPr>
        <w:t>履约保证金，</w:t>
      </w:r>
      <w:r>
        <w:rPr>
          <w:rFonts w:hint="eastAsia" w:ascii="宋体" w:hAnsi="宋体"/>
          <w:color w:val="auto"/>
          <w:szCs w:val="21"/>
          <w:highlight w:val="none"/>
          <w:lang w:val="en-US" w:eastAsia="zh-CN"/>
        </w:rPr>
        <w:t>发包方</w:t>
      </w:r>
      <w:r>
        <w:rPr>
          <w:rFonts w:hint="eastAsia" w:ascii="宋体" w:hAnsi="宋体"/>
          <w:color w:val="auto"/>
          <w:szCs w:val="21"/>
          <w:highlight w:val="none"/>
        </w:rPr>
        <w:t>暂扣的履约保证金金额不足以扣除违约赔偿费用的，</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有权在</w:t>
      </w:r>
      <w:r>
        <w:rPr>
          <w:rFonts w:hint="eastAsia" w:ascii="宋体" w:hAnsi="宋体"/>
          <w:color w:val="auto"/>
          <w:szCs w:val="21"/>
          <w:highlight w:val="none"/>
          <w:lang w:val="en-US" w:eastAsia="zh-CN"/>
        </w:rPr>
        <w:t>承包方</w:t>
      </w:r>
      <w:r>
        <w:rPr>
          <w:rFonts w:hint="eastAsia" w:ascii="宋体" w:hAnsi="宋体"/>
          <w:color w:val="auto"/>
          <w:szCs w:val="21"/>
          <w:highlight w:val="none"/>
        </w:rPr>
        <w:t>的结算款中扣除或由</w:t>
      </w:r>
      <w:r>
        <w:rPr>
          <w:rFonts w:hint="eastAsia" w:ascii="宋体" w:hAnsi="宋体"/>
          <w:color w:val="auto"/>
          <w:szCs w:val="21"/>
          <w:highlight w:val="none"/>
          <w:lang w:val="en-US" w:eastAsia="zh-CN"/>
        </w:rPr>
        <w:t>承包方</w:t>
      </w:r>
      <w:r>
        <w:rPr>
          <w:rFonts w:hint="eastAsia" w:ascii="宋体" w:hAnsi="宋体"/>
          <w:color w:val="auto"/>
          <w:szCs w:val="21"/>
          <w:highlight w:val="none"/>
        </w:rPr>
        <w:t>自行补足，</w:t>
      </w:r>
      <w:r>
        <w:rPr>
          <w:rFonts w:hint="eastAsia" w:ascii="宋体" w:hAnsi="宋体"/>
          <w:color w:val="auto"/>
          <w:szCs w:val="21"/>
          <w:highlight w:val="none"/>
          <w:lang w:val="en-US" w:eastAsia="zh-CN"/>
        </w:rPr>
        <w:t>发包方</w:t>
      </w:r>
      <w:r>
        <w:rPr>
          <w:rFonts w:hint="eastAsia" w:ascii="宋体" w:hAnsi="宋体"/>
          <w:color w:val="auto"/>
          <w:szCs w:val="21"/>
          <w:highlight w:val="none"/>
        </w:rPr>
        <w:t>在扣除该笔违约赔偿费用前书面通知</w:t>
      </w:r>
      <w:r>
        <w:rPr>
          <w:rFonts w:hint="eastAsia" w:ascii="宋体" w:hAnsi="宋体"/>
          <w:color w:val="auto"/>
          <w:szCs w:val="21"/>
          <w:highlight w:val="none"/>
          <w:lang w:val="en-US" w:eastAsia="zh-CN"/>
        </w:rPr>
        <w:t>承包方</w:t>
      </w:r>
      <w:r>
        <w:rPr>
          <w:rFonts w:hint="eastAsia" w:ascii="宋体" w:hAnsi="宋体"/>
          <w:color w:val="auto"/>
          <w:szCs w:val="21"/>
          <w:highlight w:val="none"/>
        </w:rPr>
        <w:t>。</w:t>
      </w:r>
    </w:p>
    <w:p w14:paraId="062DE70D">
      <w:pPr>
        <w:ind w:firstLine="422" w:firstLineChars="200"/>
        <w:rPr>
          <w:rFonts w:ascii="宋体" w:hAnsi="宋体"/>
          <w:bCs/>
          <w:color w:val="auto"/>
          <w:szCs w:val="21"/>
          <w:highlight w:val="none"/>
          <w:u w:val="single"/>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四</w:t>
      </w:r>
      <w:r>
        <w:rPr>
          <w:rFonts w:hint="eastAsia" w:ascii="宋体" w:hAnsi="宋体"/>
          <w:b/>
          <w:bCs/>
          <w:color w:val="auto"/>
          <w:szCs w:val="21"/>
          <w:highlight w:val="none"/>
        </w:rPr>
        <w:t xml:space="preserve">条  </w:t>
      </w:r>
      <w:r>
        <w:rPr>
          <w:rFonts w:hint="eastAsia" w:ascii="宋体" w:hAnsi="宋体"/>
          <w:b/>
          <w:bCs/>
          <w:color w:val="auto"/>
          <w:spacing w:val="10"/>
          <w:szCs w:val="21"/>
          <w:highlight w:val="none"/>
        </w:rPr>
        <w:t>其他事宜</w:t>
      </w:r>
    </w:p>
    <w:p w14:paraId="3CA75167">
      <w:pPr>
        <w:pStyle w:val="65"/>
        <w:spacing w:before="0" w:after="0"/>
        <w:ind w:left="359" w:leftChars="171" w:right="45" w:firstLine="105" w:firstLineChars="50"/>
        <w:rPr>
          <w:rFonts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.1发包方向承包方提供的有关现场的资料和数据，是发包方现有的能使承包方利用的资料，发包方对承包方由此而作出的推论、理解和结论概不负责。</w:t>
      </w:r>
    </w:p>
    <w:p w14:paraId="56448BE1">
      <w:pPr>
        <w:pStyle w:val="65"/>
        <w:spacing w:before="0" w:after="0"/>
        <w:ind w:left="359" w:leftChars="171" w:right="45" w:firstLine="105" w:firstLineChars="50"/>
        <w:rPr>
          <w:rFonts w:ascii="宋体" w:hAnsi="宋体" w:eastAsiaTheme="minorEastAsia"/>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.2</w:t>
      </w:r>
      <w:r>
        <w:rPr>
          <w:rFonts w:hint="eastAsia" w:asciiTheme="minorEastAsia" w:hAnsiTheme="minorEastAsia" w:eastAsiaTheme="minorEastAsia"/>
          <w:color w:val="auto"/>
          <w:sz w:val="21"/>
          <w:szCs w:val="21"/>
          <w:highlight w:val="none"/>
        </w:rPr>
        <w:t>承包方应在踏勘工程现场时，熟悉施工现场及周围交通道路等情况，仔细检查现有的建筑物以及可作为储存和施工用途的空间，以获得一切可能影响投标报价的直接资料。成交后，不得以不完全了解现场情况为理由而提出额外付款或延长竣工日期等索赔的要求。对此类要求，发包方将不作任何答复与考虑。</w:t>
      </w:r>
    </w:p>
    <w:p w14:paraId="1F88A6A1">
      <w:pPr>
        <w:pStyle w:val="65"/>
        <w:spacing w:before="0" w:after="0"/>
        <w:ind w:left="359" w:leftChars="171" w:right="45" w:firstLine="105" w:firstLineChars="50"/>
        <w:rPr>
          <w:rFonts w:ascii="宋体" w:hAnsi="宋体"/>
          <w:i/>
          <w:color w:val="auto"/>
          <w:spacing w:val="10"/>
          <w:sz w:val="24"/>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.3本合同自双方签字盖章后生效。</w:t>
      </w:r>
      <w:r>
        <w:rPr>
          <w:rFonts w:hint="eastAsia" w:ascii="宋体" w:hAnsi="宋体"/>
          <w:color w:val="auto"/>
          <w:sz w:val="21"/>
          <w:szCs w:val="21"/>
          <w:highlight w:val="none"/>
        </w:rPr>
        <w:t>本合同一式</w:t>
      </w:r>
      <w:r>
        <w:rPr>
          <w:rFonts w:hint="eastAsia" w:ascii="宋体" w:hAnsi="宋体"/>
          <w:color w:val="auto"/>
          <w:sz w:val="21"/>
          <w:szCs w:val="21"/>
          <w:highlight w:val="none"/>
          <w:u w:val="single"/>
        </w:rPr>
        <w:t>四</w:t>
      </w:r>
      <w:r>
        <w:rPr>
          <w:rFonts w:hint="eastAsia" w:ascii="宋体" w:hAnsi="宋体"/>
          <w:color w:val="auto"/>
          <w:sz w:val="21"/>
          <w:szCs w:val="21"/>
          <w:highlight w:val="none"/>
        </w:rPr>
        <w:t>份，双方各执</w:t>
      </w:r>
      <w:r>
        <w:rPr>
          <w:rFonts w:hint="eastAsia" w:ascii="宋体" w:hAnsi="宋体"/>
          <w:color w:val="auto"/>
          <w:sz w:val="21"/>
          <w:szCs w:val="21"/>
          <w:highlight w:val="none"/>
          <w:u w:val="single"/>
        </w:rPr>
        <w:t>两</w:t>
      </w:r>
      <w:r>
        <w:rPr>
          <w:rFonts w:hint="eastAsia" w:ascii="宋体" w:hAnsi="宋体"/>
          <w:color w:val="auto"/>
          <w:sz w:val="21"/>
          <w:szCs w:val="21"/>
          <w:highlight w:val="none"/>
        </w:rPr>
        <w:t>份</w:t>
      </w:r>
      <w:r>
        <w:rPr>
          <w:rFonts w:hint="eastAsia" w:ascii="宋体" w:hAnsi="宋体"/>
          <w:color w:val="auto"/>
          <w:spacing w:val="10"/>
          <w:sz w:val="21"/>
          <w:szCs w:val="21"/>
          <w:highlight w:val="none"/>
        </w:rPr>
        <w:t>。</w:t>
      </w:r>
      <w:r>
        <w:rPr>
          <w:rFonts w:ascii="宋体" w:hAnsi="宋体"/>
          <w:color w:val="auto"/>
          <w:spacing w:val="10"/>
          <w:sz w:val="21"/>
          <w:szCs w:val="21"/>
          <w:highlight w:val="none"/>
        </w:rPr>
        <w:t>  </w:t>
      </w:r>
      <w:r>
        <w:rPr>
          <w:rFonts w:ascii="宋体" w:hAnsi="宋体"/>
          <w:color w:val="auto"/>
          <w:spacing w:val="10"/>
          <w:highlight w:val="none"/>
        </w:rPr>
        <w:t xml:space="preserve"> </w:t>
      </w:r>
    </w:p>
    <w:p w14:paraId="69F075A2">
      <w:pPr>
        <w:spacing w:line="360" w:lineRule="auto"/>
        <w:ind w:firstLine="520" w:firstLineChars="200"/>
        <w:rPr>
          <w:rFonts w:hint="eastAsia" w:ascii="宋体" w:hAnsi="宋体"/>
          <w:i/>
          <w:color w:val="auto"/>
          <w:spacing w:val="10"/>
          <w:sz w:val="24"/>
          <w:highlight w:val="none"/>
        </w:rPr>
      </w:pPr>
    </w:p>
    <w:p w14:paraId="25D61850">
      <w:pPr>
        <w:spacing w:line="360" w:lineRule="auto"/>
        <w:ind w:firstLine="520" w:firstLineChars="200"/>
        <w:rPr>
          <w:rFonts w:hint="eastAsia" w:ascii="宋体" w:hAnsi="宋体"/>
          <w:i/>
          <w:color w:val="auto"/>
          <w:spacing w:val="10"/>
          <w:sz w:val="24"/>
          <w:highlight w:val="none"/>
        </w:rPr>
      </w:pPr>
    </w:p>
    <w:p w14:paraId="2E627410">
      <w:pPr>
        <w:spacing w:line="360" w:lineRule="auto"/>
        <w:ind w:firstLine="520" w:firstLineChars="200"/>
        <w:rPr>
          <w:rFonts w:hint="eastAsia" w:ascii="宋体" w:hAnsi="宋体"/>
          <w:i/>
          <w:color w:val="auto"/>
          <w:spacing w:val="10"/>
          <w:sz w:val="24"/>
          <w:highlight w:val="none"/>
        </w:rPr>
      </w:pPr>
    </w:p>
    <w:p w14:paraId="3E6EBBFF">
      <w:pPr>
        <w:spacing w:line="360" w:lineRule="auto"/>
        <w:ind w:firstLine="520" w:firstLineChars="200"/>
        <w:rPr>
          <w:rFonts w:hint="eastAsia" w:ascii="宋体" w:hAnsi="宋体"/>
          <w:i/>
          <w:color w:val="auto"/>
          <w:spacing w:val="10"/>
          <w:sz w:val="24"/>
          <w:highlight w:val="none"/>
        </w:rPr>
      </w:pPr>
    </w:p>
    <w:p w14:paraId="5C6FB5BE">
      <w:pPr>
        <w:pStyle w:val="9"/>
        <w:rPr>
          <w:rFonts w:hint="eastAsia"/>
          <w:color w:val="auto"/>
          <w:highlight w:val="none"/>
        </w:rPr>
      </w:pPr>
    </w:p>
    <w:p w14:paraId="62D29868">
      <w:pPr>
        <w:spacing w:line="360" w:lineRule="auto"/>
        <w:ind w:firstLine="520" w:firstLineChars="200"/>
        <w:rPr>
          <w:rFonts w:hint="eastAsia" w:ascii="宋体" w:hAnsi="宋体"/>
          <w:i/>
          <w:color w:val="auto"/>
          <w:spacing w:val="10"/>
          <w:sz w:val="24"/>
          <w:highlight w:val="none"/>
        </w:rPr>
      </w:pPr>
    </w:p>
    <w:p w14:paraId="4E71DBAB">
      <w:pPr>
        <w:spacing w:line="360" w:lineRule="auto"/>
        <w:ind w:firstLine="520" w:firstLineChars="200"/>
        <w:rPr>
          <w:rFonts w:hint="eastAsia" w:ascii="宋体" w:hAnsi="宋体"/>
          <w:i/>
          <w:color w:val="auto"/>
          <w:spacing w:val="10"/>
          <w:sz w:val="24"/>
          <w:highlight w:val="none"/>
        </w:rPr>
      </w:pPr>
    </w:p>
    <w:p w14:paraId="6F0FA461">
      <w:pPr>
        <w:spacing w:line="360" w:lineRule="auto"/>
        <w:ind w:firstLine="520" w:firstLineChars="200"/>
        <w:rPr>
          <w:rFonts w:ascii="宋体" w:hAnsi="宋体"/>
          <w:i/>
          <w:color w:val="auto"/>
          <w:spacing w:val="10"/>
          <w:sz w:val="24"/>
          <w:highlight w:val="none"/>
        </w:rPr>
      </w:pPr>
      <w:r>
        <w:rPr>
          <w:rFonts w:hint="eastAsia" w:ascii="宋体" w:hAnsi="宋体"/>
          <w:i/>
          <w:color w:val="auto"/>
          <w:spacing w:val="10"/>
          <w:sz w:val="24"/>
          <w:highlight w:val="none"/>
        </w:rPr>
        <w:t>（本页为签字页无正文）</w:t>
      </w:r>
    </w:p>
    <w:p w14:paraId="111B4888">
      <w:pPr>
        <w:spacing w:line="360" w:lineRule="auto"/>
        <w:rPr>
          <w:rFonts w:ascii="宋体" w:hAnsi="宋体"/>
          <w:color w:val="auto"/>
          <w:spacing w:val="10"/>
          <w:sz w:val="24"/>
          <w:highlight w:val="none"/>
        </w:rPr>
      </w:pPr>
    </w:p>
    <w:p w14:paraId="1973FCA5">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3664181">
      <w:pPr>
        <w:snapToGrid w:val="0"/>
        <w:spacing w:after="314" w:afterLines="100"/>
        <w:ind w:left="4965" w:leftChars="208" w:hanging="4528" w:hangingChars="2050"/>
        <w:rPr>
          <w:rFonts w:ascii="宋体" w:hAnsi="宋体"/>
          <w:b/>
          <w:color w:val="auto"/>
          <w:sz w:val="22"/>
          <w:szCs w:val="22"/>
          <w:highlight w:val="none"/>
        </w:rPr>
      </w:pPr>
      <w:r>
        <w:rPr>
          <w:rFonts w:hint="eastAsia" w:ascii="宋体" w:hAnsi="宋体"/>
          <w:b/>
          <w:color w:val="auto"/>
          <w:sz w:val="22"/>
          <w:szCs w:val="22"/>
          <w:highlight w:val="none"/>
        </w:rPr>
        <w:t>地址：阳江高新区港口工业园海港二横路1号 地址：</w:t>
      </w:r>
    </w:p>
    <w:p w14:paraId="19D9F441">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4DFC196">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委托代表人：                           委托代表人：</w:t>
      </w:r>
    </w:p>
    <w:p w14:paraId="79B1AE49">
      <w:pPr>
        <w:pStyle w:val="9"/>
        <w:rPr>
          <w:rFonts w:ascii="宋体" w:hAnsi="宋体"/>
          <w:b/>
          <w:color w:val="auto"/>
          <w:sz w:val="22"/>
          <w:szCs w:val="22"/>
          <w:highlight w:val="none"/>
        </w:rPr>
      </w:pPr>
    </w:p>
    <w:p w14:paraId="4D5E7C17">
      <w:pPr>
        <w:pStyle w:val="10"/>
        <w:ind w:firstLine="221"/>
        <w:rPr>
          <w:rFonts w:hint="eastAsia" w:ascii="宋体" w:hAnsi="宋体"/>
          <w:b/>
          <w:color w:val="auto"/>
          <w:sz w:val="22"/>
          <w:highlight w:val="none"/>
        </w:rPr>
      </w:pPr>
      <w:r>
        <w:rPr>
          <w:rFonts w:hint="eastAsia" w:ascii="宋体" w:hAnsi="宋体"/>
          <w:b/>
          <w:color w:val="auto"/>
          <w:sz w:val="22"/>
          <w:highlight w:val="none"/>
        </w:rPr>
        <w:t xml:space="preserve">签订日期：    年     月      日         签订日期：     年     月      日 </w:t>
      </w:r>
    </w:p>
    <w:p w14:paraId="43748ECA">
      <w:pPr>
        <w:pStyle w:val="11"/>
        <w:rPr>
          <w:rFonts w:hint="eastAsia" w:ascii="宋体" w:hAnsi="宋体"/>
          <w:b/>
          <w:color w:val="auto"/>
          <w:sz w:val="22"/>
          <w:highlight w:val="none"/>
        </w:rPr>
      </w:pPr>
    </w:p>
    <w:p w14:paraId="27FB239A">
      <w:pPr>
        <w:rPr>
          <w:rFonts w:hint="eastAsia" w:ascii="宋体" w:hAnsi="宋体"/>
          <w:b/>
          <w:color w:val="auto"/>
          <w:sz w:val="22"/>
          <w:highlight w:val="none"/>
        </w:rPr>
      </w:pPr>
    </w:p>
    <w:p w14:paraId="15C446CC">
      <w:pPr>
        <w:pStyle w:val="9"/>
        <w:rPr>
          <w:rFonts w:hint="eastAsia" w:ascii="宋体" w:hAnsi="宋体"/>
          <w:b/>
          <w:color w:val="auto"/>
          <w:sz w:val="22"/>
          <w:highlight w:val="none"/>
        </w:rPr>
      </w:pPr>
    </w:p>
    <w:p w14:paraId="79EA7AE2">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1</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报价清单（与询价文件保持一致附件二）</w:t>
      </w:r>
    </w:p>
    <w:p w14:paraId="3A22A5CB">
      <w:pPr>
        <w:pStyle w:val="11"/>
        <w:ind w:left="0" w:leftChars="0" w:firstLine="0" w:firstLineChars="0"/>
        <w:rPr>
          <w:color w:val="auto"/>
          <w:highlight w:val="none"/>
        </w:rPr>
      </w:pPr>
    </w:p>
    <w:p w14:paraId="1BCE42CA">
      <w:pPr>
        <w:rPr>
          <w:color w:val="auto"/>
          <w:highlight w:val="none"/>
        </w:rPr>
        <w:sectPr>
          <w:headerReference r:id="rId7" w:type="default"/>
          <w:footerReference r:id="rId8" w:type="default"/>
          <w:pgSz w:w="11906" w:h="16838"/>
          <w:pgMar w:top="1134" w:right="709" w:bottom="1134" w:left="1134" w:header="851" w:footer="850" w:gutter="0"/>
          <w:pgNumType w:start="30"/>
          <w:cols w:space="720" w:num="1"/>
          <w:docGrid w:type="lines" w:linePitch="314" w:charSpace="0"/>
        </w:sectPr>
      </w:pPr>
    </w:p>
    <w:p w14:paraId="0AEF0915">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2</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技术规范书（与询价文件附件六一致）</w:t>
      </w:r>
    </w:p>
    <w:p w14:paraId="56A33E22">
      <w:pPr>
        <w:widowControl/>
        <w:overflowPunct w:val="0"/>
        <w:autoSpaceDE w:val="0"/>
        <w:autoSpaceDN w:val="0"/>
        <w:adjustRightInd w:val="0"/>
        <w:spacing w:line="360" w:lineRule="auto"/>
        <w:jc w:val="left"/>
        <w:textAlignment w:val="baseline"/>
        <w:outlineLvl w:val="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八、其他</w:t>
      </w:r>
    </w:p>
    <w:p w14:paraId="5B48D8C2">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 本协议作为合同附件，与经济合同具有同等法律效力。 </w:t>
      </w:r>
    </w:p>
    <w:p w14:paraId="7EACE1AC">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 其它工作执行阳江开能环保能源有限公司相关管理规定。 </w:t>
      </w:r>
    </w:p>
    <w:p w14:paraId="7EFFD606">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3. 未尽事宜双方协商解决。</w:t>
      </w:r>
    </w:p>
    <w:p w14:paraId="53331E14">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4. 本协议一式四份，双方各执二份。</w:t>
      </w:r>
    </w:p>
    <w:p w14:paraId="667E86A6">
      <w:pPr>
        <w:rPr>
          <w:color w:val="auto"/>
          <w:highlight w:val="none"/>
        </w:rPr>
      </w:pPr>
    </w:p>
    <w:p w14:paraId="5BCADE5C">
      <w:pPr>
        <w:pStyle w:val="9"/>
        <w:rPr>
          <w:color w:val="auto"/>
          <w:highlight w:val="none"/>
        </w:rPr>
      </w:pPr>
    </w:p>
    <w:p w14:paraId="6FEAB164">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8A5826B">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F02DCFB">
      <w:pPr>
        <w:snapToGrid w:val="0"/>
        <w:spacing w:after="314" w:afterLines="100"/>
        <w:ind w:firstLine="331" w:firstLineChars="150"/>
        <w:rPr>
          <w:rFonts w:ascii="宋体" w:hAnsi="宋体"/>
          <w:b/>
          <w:color w:val="auto"/>
          <w:sz w:val="28"/>
          <w:szCs w:val="28"/>
          <w:highlight w:val="none"/>
        </w:rPr>
        <w:sectPr>
          <w:headerReference r:id="rId9" w:type="default"/>
          <w:footerReference r:id="rId10" w:type="default"/>
          <w:pgSz w:w="11906" w:h="16838"/>
          <w:pgMar w:top="1134" w:right="709" w:bottom="1134" w:left="1134" w:header="851" w:footer="850" w:gutter="0"/>
          <w:pgNumType w:start="37"/>
          <w:cols w:space="720" w:num="1"/>
          <w:docGrid w:type="lines" w:linePitch="314" w:charSpace="0"/>
        </w:sectPr>
      </w:pPr>
      <w:r>
        <w:rPr>
          <w:rFonts w:hint="eastAsia" w:ascii="宋体" w:hAnsi="宋体"/>
          <w:b/>
          <w:color w:val="auto"/>
          <w:sz w:val="22"/>
          <w:szCs w:val="22"/>
          <w:highlight w:val="none"/>
        </w:rPr>
        <w:t>委托代表人：                           委托代表人：</w:t>
      </w:r>
    </w:p>
    <w:p w14:paraId="20746EEA">
      <w:pPr>
        <w:jc w:val="left"/>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3</w:t>
      </w:r>
    </w:p>
    <w:p w14:paraId="1BAAC2D7">
      <w:pPr>
        <w:pStyle w:val="2"/>
        <w:jc w:val="center"/>
        <w:rPr>
          <w:rFonts w:ascii="宋体" w:hAnsi="宋体"/>
          <w:bCs w:val="0"/>
          <w:color w:val="auto"/>
          <w:szCs w:val="28"/>
          <w:highlight w:val="none"/>
        </w:rPr>
      </w:pPr>
      <w:bookmarkStart w:id="6" w:name="_Toc10050"/>
      <w:bookmarkStart w:id="7" w:name="_Toc25343"/>
      <w:r>
        <w:rPr>
          <w:rFonts w:hint="eastAsia" w:ascii="宋体" w:hAnsi="宋体"/>
          <w:bCs w:val="0"/>
          <w:color w:val="auto"/>
          <w:szCs w:val="28"/>
          <w:highlight w:val="none"/>
        </w:rPr>
        <w:t>安全文明施工协议</w:t>
      </w:r>
      <w:bookmarkEnd w:id="6"/>
      <w:bookmarkEnd w:id="7"/>
    </w:p>
    <w:p w14:paraId="3C1D4164">
      <w:pPr>
        <w:pStyle w:val="65"/>
        <w:spacing w:before="0" w:after="0"/>
        <w:ind w:left="10" w:leftChars="5" w:right="70" w:firstLine="525" w:firstLineChars="250"/>
        <w:rPr>
          <w:rFonts w:ascii="宋体" w:hAnsi="宋体"/>
          <w:b/>
          <w:bCs/>
          <w:color w:val="auto"/>
          <w:sz w:val="21"/>
          <w:szCs w:val="21"/>
          <w:highlight w:val="none"/>
          <w:u w:val="single"/>
        </w:rPr>
      </w:pPr>
      <w:r>
        <w:rPr>
          <w:rFonts w:hint="eastAsia" w:ascii="宋体" w:hAnsi="宋体"/>
          <w:b/>
          <w:bCs/>
          <w:color w:val="auto"/>
          <w:sz w:val="21"/>
          <w:szCs w:val="21"/>
          <w:highlight w:val="none"/>
        </w:rPr>
        <w:t>发包方：</w:t>
      </w:r>
      <w:r>
        <w:rPr>
          <w:rFonts w:hint="eastAsia" w:ascii="宋体" w:hAnsi="宋体"/>
          <w:b/>
          <w:bCs/>
          <w:color w:val="auto"/>
          <w:sz w:val="21"/>
          <w:szCs w:val="21"/>
          <w:highlight w:val="none"/>
          <w:u w:val="single"/>
        </w:rPr>
        <w:t>阳江开能环保能源有限公司</w:t>
      </w:r>
    </w:p>
    <w:p w14:paraId="33878D3C">
      <w:pPr>
        <w:pStyle w:val="65"/>
        <w:spacing w:before="0" w:after="0"/>
        <w:ind w:left="10" w:leftChars="5" w:right="70" w:firstLine="525" w:firstLineChars="250"/>
        <w:rPr>
          <w:rFonts w:ascii="宋体" w:hAnsi="宋体"/>
          <w:b/>
          <w:bCs/>
          <w:color w:val="auto"/>
          <w:sz w:val="21"/>
          <w:szCs w:val="21"/>
          <w:highlight w:val="none"/>
        </w:rPr>
      </w:pPr>
      <w:r>
        <w:rPr>
          <w:rFonts w:hint="eastAsia" w:ascii="宋体" w:hAnsi="宋体"/>
          <w:b/>
          <w:bCs/>
          <w:color w:val="auto"/>
          <w:sz w:val="21"/>
          <w:szCs w:val="21"/>
          <w:highlight w:val="none"/>
        </w:rPr>
        <w:t>承包方：</w:t>
      </w:r>
    </w:p>
    <w:p w14:paraId="3414F2FC">
      <w:pPr>
        <w:pStyle w:val="65"/>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第一条 为保障承包方在履行建设工程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33B27644">
      <w:pPr>
        <w:pStyle w:val="65"/>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第二条 建设工程项目名称及建设工程期限</w:t>
      </w:r>
    </w:p>
    <w:p w14:paraId="32F1BD22">
      <w:pPr>
        <w:spacing w:line="300" w:lineRule="exact"/>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阳江开能余热发电煤气过热炉助燃风机安装及系统设备大修项目</w:t>
      </w:r>
    </w:p>
    <w:p w14:paraId="2D5E7305">
      <w:pPr>
        <w:pStyle w:val="66"/>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 xml:space="preserve">1.2工程地点: </w:t>
      </w:r>
      <w:r>
        <w:rPr>
          <w:rFonts w:hint="eastAsia"/>
          <w:b w:val="0"/>
          <w:bCs w:val="0"/>
          <w:color w:val="auto"/>
          <w:kern w:val="2"/>
          <w:sz w:val="21"/>
          <w:szCs w:val="21"/>
          <w:highlight w:val="none"/>
          <w:u w:val="single"/>
        </w:rPr>
        <w:t xml:space="preserve">广东省阳江市高新区港口工业区海港二横路一号阳江开能环保能源有限公司。   </w:t>
      </w:r>
      <w:r>
        <w:rPr>
          <w:rFonts w:hint="eastAsia"/>
          <w:b w:val="0"/>
          <w:bCs w:val="0"/>
          <w:color w:val="auto"/>
          <w:kern w:val="2"/>
          <w:sz w:val="21"/>
          <w:szCs w:val="21"/>
          <w:highlight w:val="none"/>
        </w:rPr>
        <w:t xml:space="preserve">                         </w:t>
      </w:r>
    </w:p>
    <w:p w14:paraId="4667C4FF">
      <w:pPr>
        <w:pStyle w:val="66"/>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1.3建设工程项目期限：</w:t>
      </w:r>
      <w:r>
        <w:rPr>
          <w:rFonts w:hint="eastAsia"/>
          <w:b w:val="0"/>
          <w:bCs w:val="0"/>
          <w:color w:val="auto"/>
          <w:kern w:val="2"/>
          <w:sz w:val="21"/>
          <w:szCs w:val="21"/>
          <w:highlight w:val="none"/>
          <w:u w:val="single"/>
        </w:rPr>
        <w:t>（详见主合同条款）。</w:t>
      </w:r>
    </w:p>
    <w:p w14:paraId="0279166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第三条 发包方的责任、权利和义务</w:t>
      </w:r>
    </w:p>
    <w:p w14:paraId="2B39AB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一.加强对安全生产工作的指导和监督，督促承包方（施工单位）按照有关安全规定履行安全生产的管理职能和安全生产。</w:t>
      </w:r>
    </w:p>
    <w:p w14:paraId="7370110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二.督促承包方建立、健全安全管理网络、管理制度，承包方成立安全管理小组，设置专职安全员。</w:t>
      </w:r>
    </w:p>
    <w:p w14:paraId="580A7E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三.督促承包方及时进行安全生产教育，检查承包方的安全技术交底工作。</w:t>
      </w:r>
    </w:p>
    <w:p w14:paraId="6CE0A8E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四.不定期对承包方安全、文明生产情况进行监督检查。</w:t>
      </w:r>
    </w:p>
    <w:p w14:paraId="2982820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五.督促承包方对生产中存在的安全隐患进行整改，有权对不能按期整改的承包方进行处罚，有权对现场违章行为实施处罚。</w:t>
      </w:r>
    </w:p>
    <w:p w14:paraId="45E0BC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六.每月末按国家有关标准对承包方进行考核，作为工程竣工验收安全文明施工合格与不合格的依据。</w:t>
      </w:r>
    </w:p>
    <w:p w14:paraId="500AB1E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七.至少每月组织召开一次有承包方项目负责人、专职安全员参加的安全文明生产会议，听取承包方安全工作汇报，纠正施工中存在的安全违章、隐患问题，编写会议记录，并通报各单位。</w:t>
      </w:r>
    </w:p>
    <w:p w14:paraId="106087D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八.安全生产措施不到位、安全生产设施不合格的，承包方必须立即整改，对不能及时整改及整改不到位的，发包方将按本公司</w:t>
      </w:r>
      <w:r>
        <w:rPr>
          <w:rFonts w:hint="eastAsia" w:ascii="宋体" w:hAnsi="宋体"/>
          <w:b/>
          <w:bCs/>
          <w:color w:val="auto"/>
          <w:szCs w:val="21"/>
          <w:highlight w:val="none"/>
        </w:rPr>
        <w:t>《质量安全考核奖惩管理规定》</w:t>
      </w:r>
      <w:r>
        <w:rPr>
          <w:rFonts w:hint="eastAsia" w:ascii="宋体" w:hAnsi="宋体"/>
          <w:bCs/>
          <w:color w:val="auto"/>
          <w:szCs w:val="21"/>
          <w:highlight w:val="none"/>
        </w:rPr>
        <w:t>进行处罚并督促承包方限期整改完成。</w:t>
      </w:r>
    </w:p>
    <w:p w14:paraId="4F44035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九.督促、检查承包方的安全生产执行情况，发现安全隐患，有权责令承包方及时整改，直至排除隐患。</w:t>
      </w:r>
    </w:p>
    <w:p w14:paraId="296A127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十.及时如实向业主及有关职能部门报告安全事故。</w:t>
      </w:r>
    </w:p>
    <w:p w14:paraId="572962E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十一.协助承包方解决发生的紧急问题。</w:t>
      </w:r>
    </w:p>
    <w:p w14:paraId="6E6B4454">
      <w:pPr>
        <w:tabs>
          <w:tab w:val="left" w:pos="426"/>
          <w:tab w:val="left" w:pos="709"/>
        </w:tabs>
        <w:spacing w:line="300" w:lineRule="exact"/>
        <w:ind w:firstLine="371" w:firstLineChars="177"/>
        <w:rPr>
          <w:rFonts w:ascii="宋体" w:hAnsi="宋体"/>
          <w:bCs/>
          <w:color w:val="auto"/>
          <w:szCs w:val="21"/>
          <w:highlight w:val="none"/>
        </w:rPr>
      </w:pPr>
      <w:r>
        <w:rPr>
          <w:rFonts w:hint="eastAsia" w:ascii="宋体" w:hAnsi="宋体"/>
          <w:bCs/>
          <w:color w:val="auto"/>
          <w:szCs w:val="21"/>
          <w:highlight w:val="none"/>
        </w:rPr>
        <w:t>第四条 承包方的责任、权利和义务</w:t>
      </w:r>
    </w:p>
    <w:p w14:paraId="76E2323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3A21090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00CCEA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50310EE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17B4459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6BB03C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六．建立健全安全生产责任制，制定落实安全生产规章制度和操作规程，并制定安全事故应急救援预案，经发包方批准并监督实施。</w:t>
      </w:r>
    </w:p>
    <w:p w14:paraId="6DCD76F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七.保证对具体安全生产条件所必需资金的投入，配备齐全施工人员的劳动保护、安全防护用品，并对由于安全生产所必须的资金投入不足导致的后果承担全部责任。</w:t>
      </w:r>
    </w:p>
    <w:p w14:paraId="4D0E3FE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及危险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20B285A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九.承包方在开工前，应制定详细的安全施工方案，报发包方现场项目经理确认后备案。并根据施工进度情况做好各项安全技术交底工作。</w:t>
      </w:r>
    </w:p>
    <w:p w14:paraId="34E7443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十.每周至少召开一次安全文明生产会议，自查自纠不安全因素及隐患，保证工程顺利进行。</w:t>
      </w:r>
    </w:p>
    <w:p w14:paraId="29AFF09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十一.严格执行国家有关标准，并接受业主方、发包方、监理方及当地建设主管部门的检查考核，为检查考核提供便利条件。</w:t>
      </w:r>
    </w:p>
    <w:p w14:paraId="132DBB6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十二.发包方和各级检查人员进行安全监督检查时，承包方要主动接受检查，并积极配合，不得拒绝、阻挠和拖延，并在检查记录上签字。</w:t>
      </w:r>
    </w:p>
    <w:p w14:paraId="15CF4E3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十三.定期检查和督促本单位的安全生产工作，及时纠正违章作业的行为，及时消除安全事故隐患。</w:t>
      </w:r>
    </w:p>
    <w:p w14:paraId="643316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十四.承包方现场负责人及专职安全员对工程现场实行日常性监督，并建立安全检查记录。</w:t>
      </w:r>
    </w:p>
    <w:p w14:paraId="4858EF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十五.承包方管理人员如出现拒不接受监督改正以及强令冒险作业，发包方有权要求撤换现场施工管理人员，直至解除与承包方的建设工程协议，由此造成的损失全部由承包方承担。</w:t>
      </w:r>
    </w:p>
    <w:p w14:paraId="158E286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六.工程施工期间承包方应严格遵守业主方厂区内各项规章制度。本工程的安监、质监、业主、监理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983320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533AC08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十八.对施工现场周围设立防护栏，有关设施、设备要设置明显的安全警示标志，危险作业过程还需增设专人进行监护。</w:t>
      </w:r>
    </w:p>
    <w:p w14:paraId="6A1FDBB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19C42DB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二十.承包方在交通运输过程中，遵守有关法律法规的规定，保证自身和其他车辆、行人、设施、专业管线及沿途的建筑物、构筑物的安全，防止污染城市，对造成的损害承担全部责任。</w:t>
      </w:r>
    </w:p>
    <w:p w14:paraId="6C4CD77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二十一.遵守当地政府部门对施工场地和施工噪音等管理规定，经发包方同意后办理相关手续，如因承包方责任造成的罚款由承包方承担。</w:t>
      </w:r>
    </w:p>
    <w:p w14:paraId="268326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二十二.发生安全事故，承包方应及时如实向发包方和有关职能部门报告。</w:t>
      </w:r>
    </w:p>
    <w:p w14:paraId="2DCE36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18DE3E8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二十四.违章操作、人身伤害和财产损失</w:t>
      </w:r>
    </w:p>
    <w:p w14:paraId="683E724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1.承包方应按有关规定，采取完善的安全措施。每发生一起“三违”（违章指挥、违章操作、违反劳动纪律）行为，发包方视影响程度，对承包方处壹佰元至贰仟元人民币的罚款。</w:t>
      </w:r>
    </w:p>
    <w:p w14:paraId="3B2702E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2.承包方未按期整改安全隐患，发包方对承包方处贰佰元至叁仟元人民币的罚款。</w:t>
      </w:r>
    </w:p>
    <w:p w14:paraId="040E4C2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31DE94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4.承包方在有毒有害环境中施工，应按照有关规定提供相应的防护措施，违反一次处壹仟元人民币以上的罚款。</w:t>
      </w:r>
    </w:p>
    <w:p w14:paraId="5F79B11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5.因承包方责任给发包方造成工程或声誉影响，发包方视影响程度，另处以伍仟元至伍万元的罚款。</w:t>
      </w:r>
    </w:p>
    <w:p w14:paraId="6A3CB72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53437A9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7．第三条条款中属于承包方职责而未履行到位的，每例罚款500元。对于现场习惯性违章行为，发包方将按本公司《安全奖惩制度》的相关条款实施处罚。</w:t>
      </w:r>
    </w:p>
    <w:p w14:paraId="205DC74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二十五.承包方应按有关规定为本工程工作的所有人员办理工伤保险，从事危险作业的人员办理意外伤害保险。</w:t>
      </w:r>
    </w:p>
    <w:p w14:paraId="080B558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二十六.急救和防火</w:t>
      </w:r>
    </w:p>
    <w:p w14:paraId="43158FE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1.承包方应免费为业主方或业主方任命人员及发包方提供现场急救便利。</w:t>
      </w:r>
    </w:p>
    <w:p w14:paraId="4C8755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2.承包方必须根据项目各阶段的要求，完善消防管理制度和相关防火措施，配足防火设备，直至项目验收移交。</w:t>
      </w:r>
    </w:p>
    <w:p w14:paraId="7EF7937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二十七.劳动安全卫生工作守则</w:t>
      </w:r>
    </w:p>
    <w:p w14:paraId="4333A7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1.总则</w:t>
      </w:r>
    </w:p>
    <w:p w14:paraId="467EDF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（一）承包商承包工程或劳务项目时，应事先查询承包范围之工作场所环境危害因素及应采取之安全措施等事项，如有不明确之处，应与发包方联系。</w:t>
      </w:r>
    </w:p>
    <w:p w14:paraId="386857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40BA89C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1292B24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（四）承包方负责人在工程进行中，须随时注意所属工作人员之安全以防意外，如遇有意外或伤亡事故，应由承包方负责料理善后与发包方无涉、不得向发包方提出任何要求。</w:t>
      </w:r>
    </w:p>
    <w:p w14:paraId="3BFA20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4225B4C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7CC24D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127DF8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（八）承包方须证明其相应安全管理资质和服务人员操作资质,因其提供虚假信息造成的一切后果由其承担。</w:t>
      </w:r>
    </w:p>
    <w:p w14:paraId="089D248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（九）承包方应对工地上防火、防盗工作负责，若造成业主损失由承包方负其全责赔偿损失。</w:t>
      </w:r>
    </w:p>
    <w:p w14:paraId="4960D19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2.工作安全部分</w:t>
      </w:r>
    </w:p>
    <w:p w14:paraId="6E9144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（一）承包方所属工作人员，对于工作场所及工作方法之安全措施有存疑者，应立即向其现场主管或发包方监工询问清楚，再行工作以策安全。</w:t>
      </w:r>
    </w:p>
    <w:p w14:paraId="7D060EC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（二）承包方应在危险工作地区应设围栅及警告标示，夜间工作场所应有足够照明，以防止事故发生。</w:t>
      </w:r>
    </w:p>
    <w:p w14:paraId="16DB68F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（三）承包方之工作人员均须着适当的服装及必要之安全护具，采取适当安全及环保措施。</w:t>
      </w:r>
    </w:p>
    <w:p w14:paraId="6D6D2B5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（四）工作地点必须保持整洁，工具材料、油、钉等材料不可随意乱置地上。</w:t>
      </w:r>
    </w:p>
    <w:p w14:paraId="1CE0C80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（五）塔架、起重、油漆、拆除等危险工作，必须派专人现场监督指导。</w:t>
      </w:r>
    </w:p>
    <w:p w14:paraId="1E6D4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（六）易燃品（汽油、瓦斯、油布等）附近，不得置有引火物，并严禁吸烟及乱掷烟蒂。</w:t>
      </w:r>
    </w:p>
    <w:p w14:paraId="6F6D20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（七）于易燃或易爆场所（如煤房、油槽）工作时需联络现场人员，将煤粉、汽油等易燃物清理干净，必要时应再以水洗或散布生料粉。</w:t>
      </w:r>
    </w:p>
    <w:p w14:paraId="226599D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（八）发包方所有电源开关，承包方工作人员，如未得到监工或监理人员许可，不得擅自接电使用。</w:t>
      </w:r>
    </w:p>
    <w:p w14:paraId="14A3BFB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745ECFA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3.使用临时电力、用水及电焊部分</w:t>
      </w:r>
    </w:p>
    <w:p w14:paraId="6D1D28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（一）承包方凡欲使用任何水电、须事先向发包方提出申请，未经许可前严禁私自接用。</w:t>
      </w:r>
    </w:p>
    <w:p w14:paraId="6AD0AF6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3B9D7F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（三）承包方不得任意将设备接至非发包方指定开关使用，未经发包方同意前，不得任意变更设备或增加容量，否则由承包方负全责。</w:t>
      </w:r>
    </w:p>
    <w:p w14:paraId="0D2408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（四）发包方供应之水源时，承包方必须将使用地点、用水量等送发包方审查，全部供水设备装置完成，并经发包方合格后，始可送水使用。</w:t>
      </w:r>
    </w:p>
    <w:p w14:paraId="08585A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（五）所需之供水器材及施工安装费用全部由承包商自行负责。</w:t>
      </w:r>
    </w:p>
    <w:p w14:paraId="2AF5D57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（六）每一部电动机、电焊机应分别装设开关，以策安全。</w:t>
      </w:r>
    </w:p>
    <w:p w14:paraId="064163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（七）承包方电焊机所有使用之导线，必须合于规定之绝缘电线，不得使用劣品或代用品及电容量不足者，并不可裸露部分或代用品连接。</w:t>
      </w:r>
    </w:p>
    <w:p w14:paraId="277FFEB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（八）承包方电焊机之电焊线路应直接接于工作物上，严禁利用栏杆、楼梯建筑物之钢架，或电力接地系统及管路等或间接供电电焊。</w:t>
      </w:r>
    </w:p>
    <w:p w14:paraId="09B0845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（九）承包方从事半导体机器设备内之狭小空间或高度两公尺以上钢架上作业所用交流电焊机，应使用自动电击防止器。</w:t>
      </w:r>
    </w:p>
    <w:p w14:paraId="266A151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（十）除电源总开关以外，所需之电气器材，全部由承包方自行负责。</w:t>
      </w:r>
    </w:p>
    <w:p w14:paraId="43A600C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（十一）承包方在对生产设备电焊工作前，须告知发包方设备操作人员。</w:t>
      </w:r>
    </w:p>
    <w:p w14:paraId="46BF7D8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2431AC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（十三）承包方应随时留意检查所使用电源器具及导线之绝对安全性，如有发生意外均由承包方负其全责。</w:t>
      </w:r>
    </w:p>
    <w:p w14:paraId="4432032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49D63F2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4.气焊（割）部分</w:t>
      </w:r>
    </w:p>
    <w:p w14:paraId="28C9EC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（一）承包方使用之气焊（割）设备时，应先检查其容器、压力计、焊嘴、输气管等，是否有失气或漏气情况，并需经现场监工人员之认可，方能使用。</w:t>
      </w:r>
    </w:p>
    <w:p w14:paraId="2F028F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（二）承包方每次点燃焊嘴，需使用火柴或打火机，严禁以破布、草绳及香烟引火。</w:t>
      </w:r>
    </w:p>
    <w:p w14:paraId="5F456C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（三）承包方电焊工搬运钢瓶须用手推车，或沿底缘滚动，不得平卧滚进或上拖拉。</w:t>
      </w:r>
    </w:p>
    <w:p w14:paraId="7CB4291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（四）钢瓶不得与任何带电导体接触或作为电流经路之一部分。</w:t>
      </w:r>
    </w:p>
    <w:p w14:paraId="67BC1C1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（五）承包方自备之氧气及乙炔瓶各自集中保管，用毕之空瓶应予集中（定点处），绝对不可随处堆放，影响工作安全。</w:t>
      </w:r>
    </w:p>
    <w:p w14:paraId="41C9F3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（六）乙炔钢瓶须竖立使用，并避免曝晒，以防止爆炸之发生。氧气瓶与乙炔瓶及明火距离应大于5m，乙炔瓶与明火距离应大于10m。</w:t>
      </w:r>
    </w:p>
    <w:p w14:paraId="4881DDA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（七）承包方不得将钢瓶带进密闭之桶、槽、塔使用。</w:t>
      </w:r>
    </w:p>
    <w:p w14:paraId="15E957D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（八）承包方焊工之个人防护用品，应依规定穿戴齐备。</w:t>
      </w:r>
    </w:p>
    <w:p w14:paraId="33FB1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0CFA876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（十）每日停止焊割工作后，焊工应注意巡视焊割场地之四周，有舍余烟未熄之情况以免招致灾害，承包方之监工人员，亦应于最后离开现场前，重加巡视，以策安全。</w:t>
      </w:r>
    </w:p>
    <w:p w14:paraId="7F7B6E9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5.高处施工部分</w:t>
      </w:r>
    </w:p>
    <w:p w14:paraId="6677390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05A7026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（二）施工架搭设及拆除，应派持有上岗证的人员担任。从事高空作业的人员应定期体检。经医生诊断，患高血压、心脏病、贫血病、癫痫病以及其它不适于高空作业的，不得从事高空作业。</w:t>
      </w:r>
    </w:p>
    <w:p w14:paraId="6ED7798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（三）承包方搭建之施工架、工作台、走道、梯子等之强度，应以优良品质材料搭建，使其具足够负荷承受之重量与压力，不得使用有缺陷之材料。</w:t>
      </w:r>
    </w:p>
    <w:p w14:paraId="3B2307D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（四）施工架上物料运送及贮存，负荷重应求平均，并严禁超载，施工人员所使用之各种工具应避免放置架台上，否则应将该工具固定，以免滑落伤及架下方人或物。上下传递物件禁止抛掷。</w:t>
      </w:r>
    </w:p>
    <w:p w14:paraId="276324F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（五）承包方应注意工地照明，其作业区域应设置安全标志。</w:t>
      </w:r>
    </w:p>
    <w:p w14:paraId="0ED1291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（六）施工架使用升降装置时应增加强度，并防止脚踏移动吊负重物与施工架不可撞碰。</w:t>
      </w:r>
    </w:p>
    <w:p w14:paraId="2505EBA2">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3F4325A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54D8628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（九）工作台上四周设置具有适当强度之扶手，护栏下之垂直空间不得超过90公分。</w:t>
      </w:r>
    </w:p>
    <w:p w14:paraId="2799506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（十）架梯应有防止移动之设备，架梯与主机均应有适当强度，并连接牢固，有断缺损裂者不得使用。</w:t>
      </w:r>
    </w:p>
    <w:p w14:paraId="6D22A89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（十一）用作升降井或吊运物料之施工架在建筑物地板或工作台之孔洞缺口处，均应加护栏。</w:t>
      </w:r>
    </w:p>
    <w:p w14:paraId="043440A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（十二）对于施工人员在石棉瓦、铁皮板、瓦、木板、塑等材料横筑屋顶从事作业时为防止踏坠落，应设置适当强度，且宽度在三十公分以下之踏板或装设防护网。</w:t>
      </w:r>
    </w:p>
    <w:p w14:paraId="56E7ACE9">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6.吊重机械设备部分</w:t>
      </w:r>
    </w:p>
    <w:p w14:paraId="12C9EC15">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（一）吊重设备包括起重机、绞车、滑车与一切吊重机悠扬及配件，均应构成良好，具有适当强度，并随时保持可用状态。</w:t>
      </w:r>
    </w:p>
    <w:p w14:paraId="07FA4FA1">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（二）承包方之各种吊重设备，应对安全荷重量及最大重分别予以标明不得超载。</w:t>
      </w:r>
    </w:p>
    <w:p w14:paraId="3F1FA6B3">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（三）承包方吊重工作进行中应防止人员通过或停立于负荷物之下必要时应竖立标志，工作中须派人指挥防止意外，吊重绳索不得妨碍交通。</w:t>
      </w:r>
    </w:p>
    <w:p w14:paraId="68BAD77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（四）承包方操作吊重设备人员及指挥监督人员均应具备相当经验，并持有劳动部门所发的特种作业人员操作证（起重作业）。</w:t>
      </w:r>
    </w:p>
    <w:p w14:paraId="110741DA">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（五）承包方之电动机、传动设备、吊重设备之突出部分应加装有效之安全护罩。</w:t>
      </w:r>
    </w:p>
    <w:p w14:paraId="7CCEEF6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（六）承包方之各种吊重设备应装置有效之刹车及其他必须之安全设备以防吊物之坠落。</w:t>
      </w:r>
    </w:p>
    <w:p w14:paraId="096C2D5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（七）承包方使用发包方吊重设备时，若在使用过程致设备损坏或人员伤害，由承包方负全责，且须赔偿发包方一切损失。</w:t>
      </w:r>
    </w:p>
    <w:p w14:paraId="74BAA59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（八）承包方之起重机吊起被吊物后，操作人员不可任意离开操作位置。</w:t>
      </w:r>
    </w:p>
    <w:p w14:paraId="0A583DD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（九）起重机具不得乘载人员或吊升工作人员。</w:t>
      </w:r>
    </w:p>
    <w:p w14:paraId="278E830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（十）起吊设备如利用屋架、屋柱时必须先征得发包方有关人员之同意，如有损坏承包方应负责修复或赔偿。</w:t>
      </w:r>
    </w:p>
    <w:p w14:paraId="4367BD2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7.承包方应自觉做好以下事项：</w:t>
      </w:r>
    </w:p>
    <w:p w14:paraId="614C2E0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362FF98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（二）承包方之厂内机动车辆驾驶员需由经过训练之技工操作，该技工须持有安全生产管理部门所发的特种作业人员（厂内机动车辆驾驶作业）操作证（持有交通部门所发驾驶证照除外）。</w:t>
      </w:r>
    </w:p>
    <w:p w14:paraId="4797EBD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（三）承包方车辆在发包方道路上行驶时须参照发包方相关安全规定安全行使，如限速行驶等。</w:t>
      </w:r>
    </w:p>
    <w:p w14:paraId="486CEBB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（四）承包方车辆行驶中遇有意外致使发包方财物受损或人员伤害，由承包方负其全责，且须赔偿发包方一切损失。（承包方按照国家相关法律规定对发包方承担相应责任）</w:t>
      </w:r>
    </w:p>
    <w:p w14:paraId="2607CBA8">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（五）承包方人员、物资、车辆出入发包方须办理登记，若因承包方手续不全等原因造成的纠纷或损失由承包方自负。</w:t>
      </w:r>
    </w:p>
    <w:p w14:paraId="27C911FA">
      <w:pPr>
        <w:ind w:left="1050" w:leftChars="200" w:hanging="630" w:hangingChars="300"/>
        <w:jc w:val="left"/>
        <w:rPr>
          <w:rFonts w:ascii="宋体" w:hAnsi="宋体"/>
          <w:b/>
          <w:color w:val="auto"/>
          <w:szCs w:val="21"/>
          <w:highlight w:val="none"/>
        </w:rPr>
      </w:pPr>
    </w:p>
    <w:p w14:paraId="2AAF64BA">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发包方: 阳江开能环保能源有限公司        承包方:</w:t>
      </w:r>
    </w:p>
    <w:p w14:paraId="2B1041F8">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 xml:space="preserve"> 法人或委托代表人：                      法人或委托代表人：  </w:t>
      </w:r>
    </w:p>
    <w:p w14:paraId="38E82D46">
      <w:pPr>
        <w:pStyle w:val="23"/>
        <w:ind w:firstLine="422"/>
        <w:rPr>
          <w:rFonts w:ascii="宋体" w:hAnsi="宋体"/>
          <w:b/>
          <w:color w:val="auto"/>
          <w:szCs w:val="21"/>
          <w:highlight w:val="none"/>
        </w:rPr>
      </w:pPr>
    </w:p>
    <w:p w14:paraId="3DD3A62C">
      <w:pPr>
        <w:pStyle w:val="23"/>
        <w:ind w:firstLine="422"/>
        <w:rPr>
          <w:rFonts w:ascii="宋体" w:hAnsi="宋体"/>
          <w:b/>
          <w:color w:val="auto"/>
          <w:szCs w:val="21"/>
          <w:highlight w:val="none"/>
        </w:rPr>
      </w:pPr>
    </w:p>
    <w:p w14:paraId="7A29B5B4">
      <w:pPr>
        <w:pStyle w:val="23"/>
        <w:ind w:firstLine="422"/>
        <w:rPr>
          <w:rFonts w:ascii="宋体" w:hAnsi="宋体"/>
          <w:b/>
          <w:color w:val="auto"/>
          <w:szCs w:val="21"/>
          <w:highlight w:val="none"/>
        </w:rPr>
      </w:pPr>
    </w:p>
    <w:p w14:paraId="4ECC380E">
      <w:pPr>
        <w:pStyle w:val="23"/>
        <w:ind w:firstLine="422"/>
        <w:rPr>
          <w:rFonts w:ascii="宋体" w:hAnsi="宋体"/>
          <w:b/>
          <w:color w:val="auto"/>
          <w:szCs w:val="21"/>
          <w:highlight w:val="none"/>
        </w:rPr>
      </w:pPr>
    </w:p>
    <w:p w14:paraId="7581303D">
      <w:pPr>
        <w:pStyle w:val="23"/>
        <w:ind w:firstLine="422"/>
        <w:rPr>
          <w:rFonts w:ascii="宋体" w:hAnsi="宋体"/>
          <w:b/>
          <w:color w:val="auto"/>
          <w:szCs w:val="21"/>
          <w:highlight w:val="none"/>
        </w:rPr>
      </w:pPr>
    </w:p>
    <w:p w14:paraId="07BE19BD">
      <w:pPr>
        <w:pStyle w:val="23"/>
        <w:ind w:firstLine="422"/>
        <w:rPr>
          <w:rFonts w:ascii="宋体" w:hAnsi="宋体"/>
          <w:b/>
          <w:color w:val="auto"/>
          <w:szCs w:val="21"/>
          <w:highlight w:val="none"/>
        </w:rPr>
      </w:pPr>
    </w:p>
    <w:p w14:paraId="113A073A">
      <w:pPr>
        <w:spacing w:before="166" w:beforeLines="50" w:after="166" w:afterLines="50" w:line="340" w:lineRule="exact"/>
        <w:jc w:val="left"/>
        <w:rPr>
          <w:rFonts w:ascii="宋体" w:hAnsi="宋体" w:cs="宋体"/>
          <w:b/>
          <w:color w:val="auto"/>
          <w:sz w:val="28"/>
          <w:szCs w:val="28"/>
          <w:highlight w:val="none"/>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4</w:t>
      </w:r>
      <w:r>
        <w:rPr>
          <w:rFonts w:hint="eastAsia" w:ascii="宋体" w:hAnsi="宋体" w:cs="宋体"/>
          <w:b/>
          <w:color w:val="auto"/>
          <w:sz w:val="28"/>
          <w:szCs w:val="28"/>
          <w:highlight w:val="none"/>
        </w:rPr>
        <w:t>：</w:t>
      </w:r>
    </w:p>
    <w:p w14:paraId="1E1A97BE">
      <w:pPr>
        <w:spacing w:before="166" w:beforeLines="50" w:after="166" w:afterLines="50"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农民工工资及管理要求</w:t>
      </w:r>
    </w:p>
    <w:p w14:paraId="28267B5D">
      <w:pPr>
        <w:pStyle w:val="65"/>
        <w:snapToGrid w:val="0"/>
        <w:spacing w:before="0" w:after="0" w:line="360" w:lineRule="auto"/>
        <w:ind w:left="0" w:right="0" w:firstLine="420" w:firstLineChars="200"/>
        <w:rPr>
          <w:rFonts w:ascii="宋体" w:hAnsi="宋体"/>
          <w:b/>
          <w:color w:val="auto"/>
          <w:sz w:val="21"/>
          <w:szCs w:val="21"/>
          <w:highlight w:val="none"/>
        </w:rPr>
      </w:pPr>
      <w:r>
        <w:rPr>
          <w:rFonts w:hint="eastAsia" w:ascii="宋体" w:hAnsi="宋体"/>
          <w:b/>
          <w:color w:val="auto"/>
          <w:sz w:val="21"/>
          <w:szCs w:val="21"/>
          <w:highlight w:val="none"/>
        </w:rPr>
        <w:t>发包方（全称）：</w:t>
      </w:r>
      <w:r>
        <w:rPr>
          <w:rFonts w:hint="eastAsia" w:ascii="宋体" w:hAnsi="宋体"/>
          <w:b/>
          <w:color w:val="auto"/>
          <w:sz w:val="21"/>
          <w:szCs w:val="21"/>
          <w:highlight w:val="none"/>
          <w:u w:val="single"/>
        </w:rPr>
        <w:t xml:space="preserve">阳江开能环保能源有限公司 </w:t>
      </w:r>
    </w:p>
    <w:p w14:paraId="729E0F04">
      <w:pPr>
        <w:pStyle w:val="65"/>
        <w:spacing w:before="0" w:after="0" w:line="360" w:lineRule="auto"/>
        <w:ind w:left="10" w:leftChars="5" w:right="70" w:firstLine="420" w:firstLineChars="200"/>
        <w:rPr>
          <w:rFonts w:ascii="宋体" w:hAnsi="宋体" w:cs="宋体"/>
          <w:b/>
          <w:color w:val="auto"/>
          <w:sz w:val="21"/>
          <w:szCs w:val="21"/>
          <w:highlight w:val="none"/>
          <w:u w:val="single"/>
        </w:rPr>
      </w:pPr>
      <w:r>
        <w:rPr>
          <w:rFonts w:hint="eastAsia" w:ascii="宋体" w:hAnsi="宋体"/>
          <w:b/>
          <w:color w:val="auto"/>
          <w:sz w:val="21"/>
          <w:szCs w:val="21"/>
          <w:highlight w:val="none"/>
        </w:rPr>
        <w:t>承包方（全称）：</w:t>
      </w:r>
    </w:p>
    <w:p w14:paraId="19E7D0F2">
      <w:pPr>
        <w:tabs>
          <w:tab w:val="left" w:pos="-105"/>
        </w:tabs>
        <w:spacing w:before="166" w:beforeLines="50" w:after="166" w:afterLines="50" w:line="340" w:lineRule="exact"/>
        <w:ind w:firstLine="558" w:firstLineChars="266"/>
        <w:jc w:val="left"/>
        <w:rPr>
          <w:rFonts w:ascii="宋体" w:hAnsi="宋体" w:cs="宋体"/>
          <w:bCs/>
          <w:color w:val="auto"/>
          <w:szCs w:val="21"/>
          <w:highlight w:val="none"/>
        </w:rPr>
      </w:pPr>
      <w:r>
        <w:rPr>
          <w:rFonts w:hint="eastAsia" w:ascii="宋体" w:hAnsi="宋体" w:cs="宋体"/>
          <w:bCs/>
          <w:color w:val="auto"/>
          <w:szCs w:val="21"/>
          <w:highlight w:val="none"/>
        </w:rPr>
        <w:t>为进一步加强农民工工资发放管理，加强内部治安管理，维护正常的施工秩序，构建和谐工地氛围，确保阳江开能余热发电煤气过热炉助燃风机安装及系统设备大修项目安全、优质、经济、高效地完工，经双方协商一致如下：</w:t>
      </w:r>
    </w:p>
    <w:p w14:paraId="5CB42A2D">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按照《国务院关于解决农民工若干问题的意见》、《建设领域农民工工资支付管理暂行办法》和建设行政主管部门的相关规定，做好农民工工资发放。承包方承诺配合发包方及政府主管部门开展劳务工实名制和劳务工工资支付分账管理，并承诺按发包方和业主要求做好配合工作。</w:t>
      </w:r>
    </w:p>
    <w:p w14:paraId="39048AE3">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应当配备专职或兼职劳资管理员，建立用工管理台账，真实、准确记录工人名册、劳动合同、工程进度、工时、劳务承包款和工人工资支付情况等信息，并保存两年以上备查。严格用工制度，把好用人关。承包方承诺不聘用未经“三级”教育并未通过实名制管理系统信息采集的劳务工人。未进行培训的劳务工人不得进入安装工地。</w:t>
      </w:r>
    </w:p>
    <w:p w14:paraId="471D302A">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承包方承诺与签订劳务合同</w:t>
      </w:r>
      <w:r>
        <w:rPr>
          <w:rFonts w:hint="eastAsia" w:ascii="宋体" w:hAnsi="宋体" w:cs="宋体"/>
          <w:b/>
          <w:color w:val="auto"/>
          <w:szCs w:val="21"/>
          <w:highlight w:val="none"/>
        </w:rPr>
        <w:t>，</w:t>
      </w:r>
      <w:r>
        <w:rPr>
          <w:rFonts w:hint="eastAsia" w:ascii="宋体" w:hAnsi="宋体" w:cs="宋体"/>
          <w:color w:val="auto"/>
          <w:szCs w:val="21"/>
          <w:highlight w:val="none"/>
        </w:rPr>
        <w:t>若发包方或监理人发现有未签订劳动合同的劳动者在现场施工，承包方应向发包方支付违约金5000元/人次。承包方承诺</w:t>
      </w:r>
      <w:r>
        <w:rPr>
          <w:rFonts w:hint="eastAsia" w:ascii="宋体" w:hAnsi="宋体" w:cs="宋体"/>
          <w:bCs/>
          <w:color w:val="auto"/>
          <w:szCs w:val="21"/>
          <w:highlight w:val="none"/>
        </w:rPr>
        <w:t>从业人员入场前需要采集实名信息，包括身份证电子信息、身份证扫描件、工种、班组、电话、单位、银行帐号、人员类型等。严格按业主要求办理工作卡（出入证），如发生进场人员不及时办理工作卡（出入证）或使用伪造假出入证，一经查出，愿接受业主处罚及项目部（500元/人）的处罚。对于习惯性违章员工，愿意接收业主或项目部的要求，予以清退场处理，相关费用由承包方承担。</w:t>
      </w:r>
    </w:p>
    <w:p w14:paraId="31BA0762">
      <w:pPr>
        <w:numPr>
          <w:ilvl w:val="0"/>
          <w:numId w:val="7"/>
        </w:numPr>
        <w:tabs>
          <w:tab w:val="left" w:pos="-105"/>
          <w:tab w:val="clear" w:pos="342"/>
        </w:tabs>
        <w:spacing w:before="166" w:beforeLines="50" w:after="166" w:afterLines="50" w:line="340" w:lineRule="exact"/>
        <w:ind w:left="0" w:firstLine="567"/>
        <w:jc w:val="left"/>
        <w:rPr>
          <w:color w:val="auto"/>
          <w:highlight w:val="none"/>
        </w:rPr>
      </w:pPr>
      <w:r>
        <w:rPr>
          <w:rFonts w:hint="eastAsia" w:ascii="宋体" w:hAnsi="宋体" w:cs="宋体"/>
          <w:bCs/>
          <w:color w:val="auto"/>
          <w:szCs w:val="21"/>
          <w:highlight w:val="none"/>
        </w:rPr>
        <w:t>对辖下员工加强法制教育，提高守法观念。进一步完善管理制度，按照“做一项工程，保一方平安”的原则，管好自己的人、带好自己的队伍。保证不发生现场打架斗殴。如发生一般斗殴事件或3人以内群殴事件愿接受（1000—5000元/每宗）罚款；发生10人以内群殴事件愿接受（5000—10000元/每宗）罚款；发生10人以上群殴事件愿接受（10000—20000元/每宗）罚款；发生群殴事件致1人重伤愿接受（20000—40000元/每宗）罚款；发生群殴事件致2人以上重伤愿接受（20000元/每宗）罚款；发生阻挠、围攻、殴打现场管理人员的，愿接受（5000—10000元/每宗）罚款；发生围攻、冲击发包方或业主办公楼，员工食堂，员工宿舍等场所的事件愿接受（10000—20000元/每宗）罚款。</w:t>
      </w:r>
    </w:p>
    <w:p w14:paraId="539BC278">
      <w:pPr>
        <w:pStyle w:val="65"/>
        <w:spacing w:before="0" w:after="0" w:line="360" w:lineRule="auto"/>
        <w:ind w:left="0" w:right="43"/>
        <w:rPr>
          <w:rFonts w:ascii="宋体" w:hAnsi="宋体"/>
          <w:b/>
          <w:bCs/>
          <w:color w:val="auto"/>
          <w:highlight w:val="none"/>
        </w:rPr>
      </w:pPr>
    </w:p>
    <w:p w14:paraId="0E7341B2">
      <w:pPr>
        <w:pStyle w:val="65"/>
        <w:spacing w:before="0" w:after="0" w:line="360" w:lineRule="auto"/>
        <w:ind w:left="0" w:right="43"/>
        <w:rPr>
          <w:rFonts w:ascii="宋体" w:hAnsi="宋体"/>
          <w:b/>
          <w:bCs/>
          <w:color w:val="auto"/>
          <w:highlight w:val="none"/>
        </w:rPr>
      </w:pPr>
      <w:r>
        <w:rPr>
          <w:rFonts w:hint="eastAsia" w:ascii="宋体" w:hAnsi="宋体"/>
          <w:b/>
          <w:bCs/>
          <w:color w:val="auto"/>
          <w:highlight w:val="none"/>
        </w:rPr>
        <w:t>发包方: 阳江开能环保能源有限公司       承包方:</w:t>
      </w:r>
      <w:r>
        <w:rPr>
          <w:rFonts w:hint="eastAsia" w:ascii="宋体" w:hAnsi="宋体"/>
          <w:b/>
          <w:bCs/>
          <w:color w:val="auto"/>
          <w:highlight w:val="none"/>
        </w:rPr>
        <w:br w:type="textWrapping"/>
      </w:r>
      <w:r>
        <w:rPr>
          <w:rFonts w:hint="eastAsia" w:ascii="宋体" w:hAnsi="宋体"/>
          <w:b/>
          <w:bCs/>
          <w:color w:val="auto"/>
          <w:highlight w:val="none"/>
        </w:rPr>
        <w:t>法定代表人或                           法定代表人或</w:t>
      </w:r>
    </w:p>
    <w:p w14:paraId="5A5C0002">
      <w:pPr>
        <w:pStyle w:val="65"/>
        <w:spacing w:before="0" w:after="0" w:line="360" w:lineRule="auto"/>
        <w:ind w:left="0" w:right="43"/>
        <w:rPr>
          <w:color w:val="auto"/>
          <w:highlight w:val="none"/>
        </w:rPr>
      </w:pPr>
      <w:r>
        <w:rPr>
          <w:rFonts w:hint="eastAsia" w:ascii="宋体" w:hAnsi="宋体"/>
          <w:b/>
          <w:bCs/>
          <w:color w:val="auto"/>
          <w:highlight w:val="none"/>
        </w:rPr>
        <w:t>委托代表人：                           委托代表人：</w:t>
      </w:r>
    </w:p>
    <w:p w14:paraId="4605BCCE">
      <w:pPr>
        <w:snapToGrid w:val="0"/>
        <w:spacing w:after="332" w:afterLines="100"/>
        <w:ind w:firstLine="450" w:firstLineChars="150"/>
        <w:rPr>
          <w:rFonts w:ascii="宋体" w:hAnsi="宋体"/>
          <w:b/>
          <w:color w:val="auto"/>
          <w:sz w:val="30"/>
          <w:szCs w:val="30"/>
          <w:highlight w:val="none"/>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r>
        <w:rPr>
          <w:rFonts w:hint="eastAsia" w:ascii="宋体" w:hAnsi="宋体"/>
          <w:b/>
          <w:color w:val="auto"/>
          <w:sz w:val="30"/>
          <w:szCs w:val="30"/>
          <w:highlight w:val="none"/>
        </w:rPr>
        <w:t>：</w:t>
      </w:r>
    </w:p>
    <w:p w14:paraId="5E68A356">
      <w:pPr>
        <w:spacing w:line="480" w:lineRule="exact"/>
        <w:jc w:val="center"/>
        <w:textAlignment w:val="baseline"/>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0E488CFC">
      <w:pPr>
        <w:spacing w:line="480" w:lineRule="exact"/>
        <w:jc w:val="center"/>
        <w:textAlignment w:val="baseline"/>
        <w:rPr>
          <w:rFonts w:ascii="宋体"/>
          <w:b/>
          <w:color w:val="auto"/>
          <w:sz w:val="28"/>
          <w:szCs w:val="28"/>
          <w:highlight w:val="none"/>
        </w:rPr>
      </w:pPr>
    </w:p>
    <w:p w14:paraId="4C31185E">
      <w:pPr>
        <w:spacing w:before="156" w:after="156" w:line="480" w:lineRule="exact"/>
        <w:ind w:firstLine="420" w:firstLineChars="200"/>
        <w:textAlignment w:val="baseline"/>
        <w:rPr>
          <w:rFonts w:ascii="宋体"/>
          <w:color w:val="auto"/>
          <w:sz w:val="20"/>
          <w:highlight w:val="none"/>
        </w:rPr>
      </w:pPr>
      <w:r>
        <w:rPr>
          <w:rFonts w:hint="eastAsia" w:ascii="宋体" w:hAnsi="宋体"/>
          <w:color w:val="auto"/>
          <w:highlight w:val="none"/>
        </w:rPr>
        <w:t>甲方（全称）：</w:t>
      </w:r>
      <w:r>
        <w:rPr>
          <w:rFonts w:hint="eastAsia" w:ascii="宋体" w:hAnsi="宋体" w:cs="宋体"/>
          <w:color w:val="auto"/>
          <w:szCs w:val="21"/>
          <w:highlight w:val="none"/>
          <w:u w:val="single"/>
        </w:rPr>
        <w:t>阳江开能环保能源有限公司</w:t>
      </w:r>
    </w:p>
    <w:p w14:paraId="6A2F7BE9">
      <w:pPr>
        <w:spacing w:before="156" w:after="156" w:line="480" w:lineRule="exact"/>
        <w:ind w:firstLine="420" w:firstLineChars="200"/>
        <w:textAlignment w:val="baseline"/>
        <w:rPr>
          <w:rFonts w:ascii="宋体" w:hAnsi="宋体"/>
          <w:color w:val="auto"/>
          <w:sz w:val="20"/>
          <w:highlight w:val="none"/>
          <w:u w:val="single"/>
        </w:rPr>
      </w:pPr>
      <w:r>
        <w:rPr>
          <w:rFonts w:hint="eastAsia" w:ascii="宋体" w:hAnsi="宋体"/>
          <w:color w:val="auto"/>
          <w:highlight w:val="none"/>
        </w:rPr>
        <w:t>乙方（全称）：</w:t>
      </w:r>
    </w:p>
    <w:p w14:paraId="57A3CAB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 甲乙双方于  年   月  日签署了</w:t>
      </w:r>
      <w:r>
        <w:rPr>
          <w:rFonts w:hint="eastAsia" w:ascii="宋体" w:hAnsi="宋体"/>
          <w:color w:val="auto"/>
          <w:highlight w:val="none"/>
          <w:u w:val="single"/>
        </w:rPr>
        <w:t>阳江开能余热发电煤气过热炉助燃风机安装及系统设备大修项目</w:t>
      </w:r>
      <w:r>
        <w:rPr>
          <w:rFonts w:hint="eastAsia" w:ascii="宋体" w:hAnsi="宋体"/>
          <w:color w:val="auto"/>
          <w:highlight w:val="none"/>
          <w:u w:val="single"/>
          <w:lang w:val="en-US" w:eastAsia="zh-CN"/>
        </w:rPr>
        <w:t>施工</w:t>
      </w:r>
      <w:r>
        <w:rPr>
          <w:rFonts w:hint="eastAsia" w:ascii="宋体" w:hAnsi="宋体"/>
          <w:color w:val="auto"/>
          <w:highlight w:val="none"/>
          <w:u w:val="single"/>
        </w:rPr>
        <w:t>合同</w:t>
      </w:r>
      <w:r>
        <w:rPr>
          <w:rFonts w:hint="eastAsia" w:ascii="宋体" w:hAnsi="宋体"/>
          <w:color w:val="auto"/>
          <w:highlight w:val="none"/>
        </w:rPr>
        <w:t>（以下简称原合同），为加强双方阳光合作，保证职员职业安全，甲乙双方经协商签定本协议并作为双方共同遵守的阳光合作行为准则。</w:t>
      </w:r>
    </w:p>
    <w:p w14:paraId="34BD65B1">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甲方责任</w:t>
      </w:r>
    </w:p>
    <w:p w14:paraId="3D5FAAC4">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1.甲方有责任向乙方介绍本单位有关采购管理通用原则和本协议的规定。</w:t>
      </w:r>
    </w:p>
    <w:p w14:paraId="6153DC2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2.甲方有责任对本单位相关人员进行阳光合作教育。</w:t>
      </w:r>
    </w:p>
    <w:p w14:paraId="78165CD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color w:val="auto"/>
          <w:highlight w:val="none"/>
        </w:rPr>
        <w:t xml:space="preserve"> </w:t>
      </w:r>
    </w:p>
    <w:p w14:paraId="52049EA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4.甲方人员如违反阳光合作管理制度及本协议规定，甲方视情节轻重、影响大小给予行政及经济处罚。</w:t>
      </w:r>
    </w:p>
    <w:p w14:paraId="6FA81627">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31E3002C">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64DBC79D">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乙方责任</w:t>
      </w:r>
    </w:p>
    <w:p w14:paraId="7ECAC54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1.乙方应保证乙方人员了解甲方有关采购管理通用原则和及本协议的规定，并遵照执行。</w:t>
      </w:r>
    </w:p>
    <w:p w14:paraId="5468C96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5E6C3E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6FDB308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color w:val="auto"/>
          <w:highlight w:val="none"/>
        </w:rPr>
        <w:t>10%</w:t>
      </w:r>
      <w:r>
        <w:rPr>
          <w:rFonts w:hint="eastAsia" w:ascii="宋体" w:hAnsi="宋体"/>
          <w:color w:val="auto"/>
          <w:highlight w:val="none"/>
        </w:rPr>
        <w:t>的违约金，并对乙方知情不报人员进行相应处罚；连续出现</w:t>
      </w:r>
      <w:r>
        <w:rPr>
          <w:rFonts w:ascii="宋体" w:hAnsi="宋体"/>
          <w:color w:val="auto"/>
          <w:highlight w:val="none"/>
        </w:rPr>
        <w:t>2</w:t>
      </w:r>
      <w:r>
        <w:rPr>
          <w:rFonts w:hint="eastAsia" w:ascii="宋体" w:hAnsi="宋体"/>
          <w:color w:val="auto"/>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0CEEFD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5．甲方接受乙方实名或匿名举报，保证为举报者的信息保密，常设举报部门及电话： </w:t>
      </w:r>
    </w:p>
    <w:p w14:paraId="0690F90F">
      <w:pPr>
        <w:spacing w:before="156" w:after="156" w:line="480" w:lineRule="exact"/>
        <w:ind w:left="105" w:leftChars="50" w:firstLine="420" w:firstLineChars="200"/>
        <w:textAlignment w:val="baseline"/>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w:t>
      </w:r>
    </w:p>
    <w:p w14:paraId="2100A27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东实集团举报邮箱：Sedgy@163.com</w:t>
      </w:r>
    </w:p>
    <w:p w14:paraId="005D4E1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东实集团举报电话：0769-28820703（周一至周五9:00-12:00和14:00-18:00）</w:t>
      </w:r>
    </w:p>
    <w:p w14:paraId="5180C415">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邮寄地址：东莞市东城区八一路东莞市机关二号大院9号楼，东莞实业投资控股集团有限公司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部收，邮编523000。</w:t>
      </w:r>
    </w:p>
    <w:p w14:paraId="46543D35">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其他</w:t>
      </w:r>
    </w:p>
    <w:p w14:paraId="1D928FC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1.本协议是原合同的补充协议，与原合同有同等法律效力。</w:t>
      </w:r>
    </w:p>
    <w:p w14:paraId="060E0706">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2.本协议</w:t>
      </w:r>
      <w:r>
        <w:rPr>
          <w:rFonts w:hint="eastAsia" w:ascii="宋体" w:hAnsi="宋体"/>
          <w:color w:val="auto"/>
          <w:szCs w:val="21"/>
          <w:highlight w:val="none"/>
        </w:rPr>
        <w:t>一式肆份，甲方持有贰份，乙方持贰份，</w:t>
      </w:r>
      <w:r>
        <w:rPr>
          <w:rFonts w:hint="eastAsia" w:ascii="宋体" w:hAnsi="宋体"/>
          <w:color w:val="auto"/>
          <w:highlight w:val="none"/>
        </w:rPr>
        <w:t>具有同等法律效力。</w:t>
      </w:r>
    </w:p>
    <w:p w14:paraId="4C84FD9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3.本协议经双方签署后生效。</w:t>
      </w:r>
    </w:p>
    <w:p w14:paraId="0962147E">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甲方（公章）：</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hAnsi="宋体"/>
          <w:color w:val="auto"/>
          <w:highlight w:val="none"/>
        </w:rPr>
        <w:t xml:space="preserve">         </w:t>
      </w:r>
      <w:r>
        <w:rPr>
          <w:rFonts w:hint="eastAsia" w:ascii="宋体" w:hAnsi="宋体"/>
          <w:color w:val="auto"/>
          <w:highlight w:val="none"/>
        </w:rPr>
        <w:t xml:space="preserve"> 乙方（公章）：</w:t>
      </w:r>
    </w:p>
    <w:p w14:paraId="52735186">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法定代表人（授权代表）：</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hint="eastAsia" w:ascii="宋体"/>
          <w:color w:val="auto"/>
          <w:highlight w:val="none"/>
        </w:rPr>
        <w:t xml:space="preserve">      </w:t>
      </w:r>
      <w:r>
        <w:rPr>
          <w:rFonts w:hint="eastAsia" w:ascii="宋体" w:hAnsi="宋体"/>
          <w:color w:val="auto"/>
          <w:highlight w:val="none"/>
        </w:rPr>
        <w:t>法定代表人（授权代表）：</w:t>
      </w:r>
    </w:p>
    <w:p w14:paraId="41055B93">
      <w:pPr>
        <w:spacing w:line="360" w:lineRule="auto"/>
        <w:ind w:firstLine="315" w:firstLineChars="150"/>
        <w:textAlignment w:val="baseline"/>
        <w:rPr>
          <w:color w:val="auto"/>
          <w:sz w:val="20"/>
          <w:highlight w:val="none"/>
        </w:rPr>
      </w:pPr>
      <w:r>
        <w:rPr>
          <w:rFonts w:hint="eastAsia" w:ascii="宋体" w:hAnsi="宋体"/>
          <w:color w:val="auto"/>
          <w:highlight w:val="none"/>
        </w:rPr>
        <w:t>签约日期：</w:t>
      </w:r>
      <w:bookmarkStart w:id="8" w:name="设计变更通知单"/>
      <w:bookmarkEnd w:id="8"/>
      <w:bookmarkStart w:id="9" w:name="现场签证通知单"/>
      <w:bookmarkEnd w:id="9"/>
      <w:r>
        <w:rPr>
          <w:rFonts w:hint="eastAsia" w:ascii="宋体" w:hAnsi="宋体"/>
          <w:color w:val="auto"/>
          <w:highlight w:val="none"/>
          <w:u w:val="single"/>
        </w:rPr>
        <w:t xml:space="preserve">    年  月  日</w:t>
      </w:r>
      <w:r>
        <w:rPr>
          <w:color w:val="auto"/>
          <w:highlight w:val="none"/>
        </w:rPr>
        <w:tab/>
      </w:r>
      <w:r>
        <w:rPr>
          <w:rFonts w:hint="eastAsia"/>
          <w:color w:val="auto"/>
          <w:highlight w:val="none"/>
        </w:rPr>
        <w:t xml:space="preserve">              </w:t>
      </w:r>
      <w:r>
        <w:rPr>
          <w:rFonts w:hint="eastAsia" w:ascii="宋体" w:hAnsi="宋体"/>
          <w:color w:val="auto"/>
          <w:highlight w:val="none"/>
        </w:rPr>
        <w:t>签约日期：</w:t>
      </w:r>
      <w:r>
        <w:rPr>
          <w:rFonts w:hint="eastAsia" w:ascii="宋体" w:hAnsi="宋体"/>
          <w:color w:val="auto"/>
          <w:highlight w:val="none"/>
          <w:u w:val="single"/>
        </w:rPr>
        <w:t xml:space="preserve">   年  月   日</w:t>
      </w:r>
    </w:p>
    <w:p w14:paraId="387F64A2">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9A06993">
      <w:pPr>
        <w:widowControl/>
        <w:spacing w:line="360" w:lineRule="auto"/>
        <w:jc w:val="center"/>
        <w:rPr>
          <w:rFonts w:ascii="仿宋" w:hAnsi="仿宋" w:eastAsia="仿宋" w:cs="仿宋"/>
          <w:b/>
          <w:bCs/>
          <w:color w:val="auto"/>
          <w:sz w:val="32"/>
          <w:szCs w:val="32"/>
          <w:highlight w:val="none"/>
        </w:rPr>
      </w:pPr>
      <w:bookmarkStart w:id="10" w:name="_Toc5428"/>
      <w:bookmarkStart w:id="11" w:name="_Toc28801"/>
      <w:bookmarkStart w:id="12" w:name="_Toc1367"/>
      <w:bookmarkStart w:id="13" w:name="_Toc12220"/>
      <w:bookmarkStart w:id="14" w:name="_Toc10037"/>
      <w:bookmarkStart w:id="15" w:name="_Toc3118"/>
      <w:bookmarkStart w:id="16" w:name="_Toc32088"/>
      <w:bookmarkStart w:id="17" w:name="_Toc3217"/>
      <w:bookmarkStart w:id="18" w:name="_Toc30346"/>
      <w:bookmarkStart w:id="19" w:name="_Toc30323"/>
      <w:r>
        <w:rPr>
          <w:rFonts w:hint="eastAsia" w:ascii="仿宋" w:hAnsi="仿宋" w:eastAsia="仿宋" w:cs="仿宋"/>
          <w:b/>
          <w:bCs/>
          <w:color w:val="auto"/>
          <w:sz w:val="32"/>
          <w:szCs w:val="32"/>
          <w:highlight w:val="none"/>
        </w:rPr>
        <w:t>报价保证金汇入情况说明</w:t>
      </w:r>
      <w:bookmarkEnd w:id="10"/>
      <w:bookmarkEnd w:id="11"/>
      <w:bookmarkEnd w:id="12"/>
      <w:bookmarkEnd w:id="13"/>
      <w:bookmarkEnd w:id="14"/>
      <w:bookmarkEnd w:id="15"/>
      <w:bookmarkEnd w:id="16"/>
      <w:bookmarkEnd w:id="17"/>
      <w:bookmarkEnd w:id="18"/>
      <w:bookmarkEnd w:id="19"/>
    </w:p>
    <w:p w14:paraId="5FB78BBC">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致：阳江开能环保能源有限公司</w:t>
      </w:r>
    </w:p>
    <w:p w14:paraId="4551477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30E7BB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6E34C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377656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790DD1A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097CE99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435851A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78EE1F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1729056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502F920">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148F5472">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F944E9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6227BB2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7E74460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4B4C0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7D1A387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711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0FCF8240">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4790497D">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39298425">
      <w:pPr>
        <w:pStyle w:val="11"/>
        <w:ind w:firstLine="640"/>
        <w:rPr>
          <w:rFonts w:eastAsia="仿宋_GB2312"/>
          <w:color w:val="auto"/>
          <w:sz w:val="32"/>
          <w:szCs w:val="32"/>
          <w:highlight w:val="none"/>
        </w:rPr>
      </w:pPr>
    </w:p>
    <w:p w14:paraId="2E2008FA">
      <w:pPr>
        <w:rPr>
          <w:color w:val="auto"/>
          <w:highlight w:val="none"/>
        </w:rPr>
      </w:pPr>
    </w:p>
    <w:p w14:paraId="1727A4CB">
      <w:pPr>
        <w:pStyle w:val="9"/>
        <w:rPr>
          <w:color w:val="auto"/>
          <w:highlight w:val="none"/>
        </w:rPr>
      </w:pPr>
    </w:p>
    <w:p w14:paraId="5C0BAB19">
      <w:pPr>
        <w:pStyle w:val="10"/>
        <w:ind w:firstLine="210"/>
        <w:rPr>
          <w:color w:val="auto"/>
          <w:highlight w:val="none"/>
        </w:rPr>
      </w:pPr>
    </w:p>
    <w:p w14:paraId="30287D29">
      <w:pPr>
        <w:pStyle w:val="11"/>
        <w:ind w:firstLine="420"/>
        <w:rPr>
          <w:color w:val="auto"/>
          <w:highlight w:val="none"/>
        </w:rPr>
      </w:pPr>
    </w:p>
    <w:p w14:paraId="296F0967">
      <w:pPr>
        <w:rPr>
          <w:color w:val="auto"/>
          <w:highlight w:val="none"/>
        </w:rPr>
      </w:pPr>
    </w:p>
    <w:p w14:paraId="0D0288CF">
      <w:pPr>
        <w:pStyle w:val="9"/>
        <w:rPr>
          <w:color w:val="auto"/>
          <w:highlight w:val="none"/>
        </w:rPr>
      </w:pPr>
    </w:p>
    <w:p w14:paraId="48DF8558">
      <w:pPr>
        <w:pStyle w:val="10"/>
        <w:ind w:firstLine="210"/>
        <w:rPr>
          <w:color w:val="auto"/>
          <w:highlight w:val="none"/>
        </w:rPr>
      </w:pPr>
    </w:p>
    <w:p w14:paraId="71061BE6">
      <w:pPr>
        <w:pStyle w:val="11"/>
        <w:ind w:firstLine="420"/>
        <w:rPr>
          <w:color w:val="auto"/>
          <w:highlight w:val="none"/>
        </w:rPr>
      </w:pPr>
    </w:p>
    <w:p w14:paraId="70C43626">
      <w:pPr>
        <w:rPr>
          <w:color w:val="auto"/>
          <w:highlight w:val="none"/>
        </w:rPr>
      </w:pPr>
    </w:p>
    <w:p w14:paraId="7B45CF35">
      <w:pPr>
        <w:pStyle w:val="9"/>
        <w:rPr>
          <w:color w:val="auto"/>
          <w:highlight w:val="none"/>
        </w:rPr>
      </w:pPr>
    </w:p>
    <w:p w14:paraId="49413E59">
      <w:pPr>
        <w:pStyle w:val="10"/>
        <w:ind w:firstLine="210"/>
        <w:rPr>
          <w:color w:val="auto"/>
          <w:highlight w:val="none"/>
        </w:rPr>
      </w:pPr>
    </w:p>
    <w:p w14:paraId="585D0B04">
      <w:pPr>
        <w:pStyle w:val="11"/>
        <w:ind w:firstLine="420"/>
        <w:rPr>
          <w:color w:val="auto"/>
          <w:highlight w:val="none"/>
        </w:rPr>
      </w:pPr>
    </w:p>
    <w:p w14:paraId="30310946">
      <w:pPr>
        <w:rPr>
          <w:color w:val="auto"/>
          <w:highlight w:val="none"/>
        </w:rPr>
      </w:pPr>
    </w:p>
    <w:p w14:paraId="3A404039">
      <w:pPr>
        <w:pStyle w:val="9"/>
        <w:rPr>
          <w:color w:val="auto"/>
          <w:highlight w:val="none"/>
        </w:rPr>
      </w:pPr>
    </w:p>
    <w:p w14:paraId="6313139E">
      <w:pPr>
        <w:pStyle w:val="10"/>
        <w:ind w:firstLine="210"/>
        <w:rPr>
          <w:color w:val="auto"/>
          <w:highlight w:val="none"/>
        </w:rPr>
      </w:pPr>
    </w:p>
    <w:p w14:paraId="5C59E7FE">
      <w:pPr>
        <w:pStyle w:val="11"/>
        <w:ind w:firstLine="420"/>
        <w:rPr>
          <w:color w:val="auto"/>
          <w:highlight w:val="none"/>
        </w:rPr>
      </w:pPr>
    </w:p>
    <w:p w14:paraId="5D70162E">
      <w:pPr>
        <w:rPr>
          <w:color w:val="auto"/>
          <w:highlight w:val="none"/>
        </w:rPr>
      </w:pPr>
    </w:p>
    <w:p w14:paraId="3664F4E4">
      <w:pPr>
        <w:pStyle w:val="9"/>
        <w:rPr>
          <w:color w:val="auto"/>
          <w:highlight w:val="none"/>
        </w:rPr>
      </w:pPr>
    </w:p>
    <w:p w14:paraId="495335E4">
      <w:pPr>
        <w:pStyle w:val="10"/>
        <w:ind w:firstLine="210"/>
        <w:rPr>
          <w:color w:val="auto"/>
          <w:highlight w:val="none"/>
        </w:rPr>
      </w:pPr>
    </w:p>
    <w:p w14:paraId="39DD60AC">
      <w:pPr>
        <w:pStyle w:val="11"/>
        <w:ind w:firstLine="420"/>
        <w:rPr>
          <w:color w:val="auto"/>
          <w:highlight w:val="none"/>
        </w:rPr>
      </w:pPr>
    </w:p>
    <w:p w14:paraId="0A155318">
      <w:pPr>
        <w:rPr>
          <w:color w:val="auto"/>
          <w:highlight w:val="none"/>
        </w:rPr>
      </w:pPr>
    </w:p>
    <w:p w14:paraId="79F9D68A">
      <w:pPr>
        <w:pStyle w:val="9"/>
        <w:rPr>
          <w:color w:val="auto"/>
          <w:highlight w:val="none"/>
        </w:rPr>
      </w:pPr>
    </w:p>
    <w:p w14:paraId="710832B2">
      <w:pPr>
        <w:pStyle w:val="10"/>
        <w:ind w:firstLine="210"/>
        <w:rPr>
          <w:color w:val="auto"/>
          <w:highlight w:val="none"/>
        </w:rPr>
      </w:pPr>
    </w:p>
    <w:p w14:paraId="03D911B1">
      <w:pPr>
        <w:pStyle w:val="11"/>
        <w:ind w:firstLine="420"/>
        <w:rPr>
          <w:color w:val="auto"/>
          <w:highlight w:val="none"/>
        </w:rPr>
      </w:pPr>
    </w:p>
    <w:p w14:paraId="558DF698">
      <w:pPr>
        <w:rPr>
          <w:color w:val="auto"/>
          <w:highlight w:val="none"/>
        </w:rPr>
      </w:pPr>
    </w:p>
    <w:p w14:paraId="7F3459E6">
      <w:pPr>
        <w:pStyle w:val="9"/>
        <w:rPr>
          <w:color w:val="auto"/>
          <w:highlight w:val="none"/>
        </w:rPr>
      </w:pPr>
    </w:p>
    <w:p w14:paraId="181AD434">
      <w:pPr>
        <w:pStyle w:val="10"/>
        <w:ind w:firstLine="210"/>
        <w:rPr>
          <w:color w:val="auto"/>
          <w:highlight w:val="none"/>
        </w:rPr>
      </w:pPr>
    </w:p>
    <w:p w14:paraId="58C742CD">
      <w:pPr>
        <w:pStyle w:val="11"/>
        <w:ind w:firstLine="420"/>
        <w:rPr>
          <w:color w:val="auto"/>
          <w:highlight w:val="none"/>
        </w:rPr>
      </w:pPr>
    </w:p>
    <w:p w14:paraId="78C358DA">
      <w:pPr>
        <w:rPr>
          <w:color w:val="auto"/>
          <w:highlight w:val="none"/>
        </w:rPr>
      </w:pPr>
    </w:p>
    <w:p w14:paraId="4FA43156">
      <w:pPr>
        <w:pStyle w:val="9"/>
        <w:rPr>
          <w:color w:val="auto"/>
          <w:highlight w:val="none"/>
        </w:rPr>
      </w:pPr>
    </w:p>
    <w:p w14:paraId="5EC9D5F5">
      <w:pPr>
        <w:pStyle w:val="10"/>
        <w:ind w:firstLine="210"/>
        <w:rPr>
          <w:color w:val="auto"/>
          <w:highlight w:val="none"/>
        </w:rPr>
      </w:pPr>
    </w:p>
    <w:p w14:paraId="55F347C4">
      <w:pPr>
        <w:pStyle w:val="11"/>
        <w:ind w:firstLine="420"/>
        <w:rPr>
          <w:color w:val="auto"/>
          <w:highlight w:val="none"/>
        </w:rPr>
      </w:pPr>
    </w:p>
    <w:p w14:paraId="5C9BBE2F">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76550213">
      <w:pPr>
        <w:pStyle w:val="45"/>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22107F24">
      <w:pPr>
        <w:rPr>
          <w:color w:val="auto"/>
          <w:highlight w:val="none"/>
        </w:rPr>
      </w:pPr>
    </w:p>
    <w:p w14:paraId="54DCDCB3">
      <w:pPr>
        <w:spacing w:line="400" w:lineRule="exact"/>
        <w:rPr>
          <w:rFonts w:hint="eastAsia" w:ascii="仿宋_GB2312" w:hAnsi="仿宋_GB2312" w:eastAsia="仿宋_GB2312" w:cs="仿宋_GB2312"/>
          <w:color w:val="auto"/>
          <w:kern w:val="2"/>
          <w:sz w:val="32"/>
          <w:szCs w:val="32"/>
          <w:highlight w:val="none"/>
          <w:lang w:val="en-US" w:eastAsia="zh-CN" w:bidi="ar-SA"/>
        </w:rPr>
      </w:pPr>
    </w:p>
    <w:p w14:paraId="12570A4F">
      <w:pPr>
        <w:pStyle w:val="9"/>
        <w:rPr>
          <w:color w:val="auto"/>
          <w:highlight w:val="none"/>
        </w:rPr>
      </w:pPr>
    </w:p>
    <w:p w14:paraId="09444211">
      <w:pPr>
        <w:pStyle w:val="10"/>
        <w:ind w:firstLine="210"/>
        <w:rPr>
          <w:color w:val="auto"/>
          <w:highlight w:val="none"/>
        </w:rPr>
      </w:pPr>
    </w:p>
    <w:p w14:paraId="0B6A254A">
      <w:pPr>
        <w:pStyle w:val="11"/>
        <w:ind w:firstLine="420"/>
        <w:rPr>
          <w:color w:val="auto"/>
          <w:highlight w:val="none"/>
        </w:rPr>
      </w:pPr>
    </w:p>
    <w:p w14:paraId="7E37F997">
      <w:pPr>
        <w:rPr>
          <w:color w:val="auto"/>
          <w:highlight w:val="none"/>
        </w:rPr>
      </w:pPr>
    </w:p>
    <w:p w14:paraId="74337A1A">
      <w:pPr>
        <w:pStyle w:val="9"/>
        <w:rPr>
          <w:color w:val="auto"/>
          <w:highlight w:val="none"/>
        </w:rPr>
      </w:pPr>
    </w:p>
    <w:p w14:paraId="28039C92">
      <w:pPr>
        <w:pStyle w:val="10"/>
        <w:ind w:firstLine="210"/>
        <w:rPr>
          <w:color w:val="auto"/>
          <w:highlight w:val="none"/>
        </w:rPr>
      </w:pPr>
    </w:p>
    <w:p w14:paraId="0CF5D48E">
      <w:pPr>
        <w:pStyle w:val="11"/>
        <w:ind w:firstLine="420"/>
        <w:rPr>
          <w:color w:val="auto"/>
          <w:highlight w:val="none"/>
        </w:rPr>
      </w:pPr>
    </w:p>
    <w:p w14:paraId="6BB6F695">
      <w:pPr>
        <w:rPr>
          <w:color w:val="auto"/>
          <w:highlight w:val="none"/>
        </w:rPr>
      </w:pPr>
    </w:p>
    <w:p w14:paraId="754019EB">
      <w:pPr>
        <w:pStyle w:val="9"/>
        <w:rPr>
          <w:color w:val="auto"/>
          <w:highlight w:val="none"/>
        </w:rPr>
      </w:pPr>
    </w:p>
    <w:p w14:paraId="2D0BC3E3">
      <w:pPr>
        <w:pStyle w:val="10"/>
        <w:ind w:firstLine="210"/>
        <w:rPr>
          <w:color w:val="auto"/>
          <w:highlight w:val="none"/>
        </w:rPr>
      </w:pPr>
    </w:p>
    <w:p w14:paraId="415CA72D">
      <w:pPr>
        <w:pStyle w:val="11"/>
        <w:ind w:firstLine="420"/>
        <w:rPr>
          <w:color w:val="auto"/>
          <w:highlight w:val="none"/>
        </w:rPr>
      </w:pPr>
    </w:p>
    <w:p w14:paraId="13F6E040">
      <w:pPr>
        <w:rPr>
          <w:color w:val="auto"/>
          <w:highlight w:val="none"/>
        </w:rPr>
      </w:pPr>
    </w:p>
    <w:p w14:paraId="47422229">
      <w:pPr>
        <w:pStyle w:val="9"/>
        <w:rPr>
          <w:color w:val="auto"/>
          <w:highlight w:val="none"/>
        </w:rPr>
      </w:pPr>
    </w:p>
    <w:p w14:paraId="5392111C">
      <w:pPr>
        <w:pStyle w:val="10"/>
        <w:ind w:firstLine="210"/>
        <w:rPr>
          <w:color w:val="auto"/>
          <w:highlight w:val="none"/>
        </w:rPr>
      </w:pPr>
    </w:p>
    <w:p w14:paraId="008EED66">
      <w:pPr>
        <w:pStyle w:val="11"/>
        <w:ind w:firstLine="420"/>
        <w:rPr>
          <w:color w:val="auto"/>
          <w:highlight w:val="none"/>
        </w:rPr>
      </w:pPr>
    </w:p>
    <w:p w14:paraId="2950199C">
      <w:pPr>
        <w:rPr>
          <w:color w:val="auto"/>
          <w:highlight w:val="none"/>
        </w:rPr>
      </w:pPr>
    </w:p>
    <w:p w14:paraId="60EFDEC0">
      <w:pPr>
        <w:pStyle w:val="9"/>
        <w:rPr>
          <w:color w:val="auto"/>
          <w:highlight w:val="none"/>
        </w:rPr>
      </w:pPr>
    </w:p>
    <w:p w14:paraId="4CF1E3A1">
      <w:pPr>
        <w:pStyle w:val="10"/>
        <w:ind w:firstLine="210"/>
        <w:rPr>
          <w:color w:val="auto"/>
          <w:highlight w:val="none"/>
        </w:rPr>
      </w:pPr>
    </w:p>
    <w:p w14:paraId="473707A2">
      <w:pPr>
        <w:pStyle w:val="11"/>
        <w:ind w:firstLine="420"/>
        <w:rPr>
          <w:color w:val="auto"/>
          <w:highlight w:val="none"/>
        </w:rPr>
      </w:pPr>
    </w:p>
    <w:p w14:paraId="61D590EB">
      <w:pPr>
        <w:rPr>
          <w:color w:val="auto"/>
          <w:highlight w:val="none"/>
        </w:rPr>
      </w:pPr>
    </w:p>
    <w:p w14:paraId="1D4988DD">
      <w:pPr>
        <w:pStyle w:val="9"/>
        <w:rPr>
          <w:color w:val="auto"/>
          <w:highlight w:val="none"/>
        </w:rPr>
      </w:pPr>
    </w:p>
    <w:p w14:paraId="75E1322C">
      <w:pPr>
        <w:pStyle w:val="10"/>
        <w:ind w:firstLine="210"/>
        <w:rPr>
          <w:color w:val="auto"/>
          <w:highlight w:val="none"/>
        </w:rPr>
      </w:pPr>
    </w:p>
    <w:p w14:paraId="1F38165F">
      <w:pPr>
        <w:pStyle w:val="11"/>
        <w:ind w:firstLine="420"/>
        <w:rPr>
          <w:color w:val="auto"/>
          <w:highlight w:val="none"/>
        </w:rPr>
      </w:pPr>
    </w:p>
    <w:p w14:paraId="43C61B0D">
      <w:pPr>
        <w:rPr>
          <w:color w:val="auto"/>
          <w:highlight w:val="none"/>
        </w:rPr>
      </w:pPr>
    </w:p>
    <w:p w14:paraId="58DE638C">
      <w:pPr>
        <w:pStyle w:val="9"/>
        <w:rPr>
          <w:color w:val="auto"/>
          <w:highlight w:val="none"/>
        </w:rPr>
      </w:pPr>
    </w:p>
    <w:p w14:paraId="7B55BBF8">
      <w:pPr>
        <w:pStyle w:val="10"/>
        <w:ind w:firstLine="210"/>
        <w:rPr>
          <w:color w:val="auto"/>
          <w:highlight w:val="none"/>
        </w:rPr>
      </w:pPr>
    </w:p>
    <w:p w14:paraId="7D3D96B6">
      <w:pPr>
        <w:pStyle w:val="11"/>
        <w:ind w:left="0" w:leftChars="0" w:firstLine="0" w:firstLineChars="0"/>
        <w:rPr>
          <w:color w:val="auto"/>
          <w:highlight w:val="none"/>
        </w:rPr>
      </w:pPr>
    </w:p>
    <w:p w14:paraId="4D69D519">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B78C0A0">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4182FC13">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3DB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970AA">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02803B46">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451B5296">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4D635AC8">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361A0A80">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C93425D">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A02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D7FE74">
            <w:pPr>
              <w:jc w:val="center"/>
              <w:rPr>
                <w:rFonts w:ascii="宋体" w:hAnsi="宋体" w:cs="宋体"/>
                <w:color w:val="auto"/>
                <w:sz w:val="24"/>
                <w:highlight w:val="none"/>
              </w:rPr>
            </w:pPr>
          </w:p>
        </w:tc>
        <w:tc>
          <w:tcPr>
            <w:tcW w:w="2120" w:type="dxa"/>
            <w:vAlign w:val="center"/>
          </w:tcPr>
          <w:p w14:paraId="0AC16AEC">
            <w:pPr>
              <w:jc w:val="center"/>
              <w:rPr>
                <w:rFonts w:ascii="宋体" w:hAnsi="宋体" w:cs="宋体"/>
                <w:color w:val="auto"/>
                <w:sz w:val="24"/>
                <w:highlight w:val="none"/>
              </w:rPr>
            </w:pPr>
          </w:p>
        </w:tc>
        <w:tc>
          <w:tcPr>
            <w:tcW w:w="1958" w:type="dxa"/>
            <w:vAlign w:val="center"/>
          </w:tcPr>
          <w:p w14:paraId="57497EEE">
            <w:pPr>
              <w:jc w:val="center"/>
              <w:rPr>
                <w:rFonts w:ascii="宋体" w:hAnsi="宋体" w:cs="宋体"/>
                <w:color w:val="auto"/>
                <w:sz w:val="24"/>
                <w:highlight w:val="none"/>
              </w:rPr>
            </w:pPr>
          </w:p>
        </w:tc>
        <w:tc>
          <w:tcPr>
            <w:tcW w:w="1955" w:type="dxa"/>
            <w:vAlign w:val="center"/>
          </w:tcPr>
          <w:p w14:paraId="47E2DD1C">
            <w:pPr>
              <w:jc w:val="center"/>
              <w:rPr>
                <w:rFonts w:ascii="宋体" w:hAnsi="宋体" w:cs="宋体"/>
                <w:color w:val="auto"/>
                <w:sz w:val="24"/>
                <w:highlight w:val="none"/>
              </w:rPr>
            </w:pPr>
          </w:p>
        </w:tc>
        <w:tc>
          <w:tcPr>
            <w:tcW w:w="832" w:type="dxa"/>
            <w:vAlign w:val="center"/>
          </w:tcPr>
          <w:p w14:paraId="258D5188">
            <w:pPr>
              <w:jc w:val="center"/>
              <w:rPr>
                <w:rFonts w:ascii="宋体" w:hAnsi="宋体" w:cs="宋体"/>
                <w:color w:val="auto"/>
                <w:sz w:val="24"/>
                <w:highlight w:val="none"/>
              </w:rPr>
            </w:pPr>
          </w:p>
        </w:tc>
        <w:tc>
          <w:tcPr>
            <w:tcW w:w="831" w:type="dxa"/>
            <w:vAlign w:val="center"/>
          </w:tcPr>
          <w:p w14:paraId="709A3C71">
            <w:pPr>
              <w:jc w:val="center"/>
              <w:rPr>
                <w:rFonts w:ascii="宋体" w:hAnsi="宋体" w:cs="宋体"/>
                <w:color w:val="auto"/>
                <w:sz w:val="24"/>
                <w:highlight w:val="none"/>
              </w:rPr>
            </w:pPr>
          </w:p>
        </w:tc>
      </w:tr>
      <w:tr w14:paraId="606B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B48E150">
            <w:pPr>
              <w:jc w:val="center"/>
              <w:rPr>
                <w:rFonts w:ascii="宋体" w:hAnsi="宋体" w:cs="宋体"/>
                <w:color w:val="auto"/>
                <w:sz w:val="24"/>
                <w:highlight w:val="none"/>
              </w:rPr>
            </w:pPr>
          </w:p>
        </w:tc>
        <w:tc>
          <w:tcPr>
            <w:tcW w:w="2120" w:type="dxa"/>
            <w:vAlign w:val="center"/>
          </w:tcPr>
          <w:p w14:paraId="77284226">
            <w:pPr>
              <w:jc w:val="center"/>
              <w:rPr>
                <w:rFonts w:ascii="宋体" w:hAnsi="宋体" w:cs="宋体"/>
                <w:color w:val="auto"/>
                <w:sz w:val="24"/>
                <w:highlight w:val="none"/>
              </w:rPr>
            </w:pPr>
          </w:p>
        </w:tc>
        <w:tc>
          <w:tcPr>
            <w:tcW w:w="1958" w:type="dxa"/>
            <w:vAlign w:val="center"/>
          </w:tcPr>
          <w:p w14:paraId="32BC9A6C">
            <w:pPr>
              <w:jc w:val="center"/>
              <w:rPr>
                <w:rFonts w:ascii="宋体" w:hAnsi="宋体" w:cs="宋体"/>
                <w:color w:val="auto"/>
                <w:sz w:val="24"/>
                <w:highlight w:val="none"/>
              </w:rPr>
            </w:pPr>
          </w:p>
        </w:tc>
        <w:tc>
          <w:tcPr>
            <w:tcW w:w="1955" w:type="dxa"/>
            <w:vAlign w:val="center"/>
          </w:tcPr>
          <w:p w14:paraId="00CD6AEA">
            <w:pPr>
              <w:jc w:val="center"/>
              <w:rPr>
                <w:rFonts w:ascii="宋体" w:hAnsi="宋体" w:cs="宋体"/>
                <w:color w:val="auto"/>
                <w:sz w:val="24"/>
                <w:highlight w:val="none"/>
              </w:rPr>
            </w:pPr>
          </w:p>
        </w:tc>
        <w:tc>
          <w:tcPr>
            <w:tcW w:w="832" w:type="dxa"/>
            <w:vAlign w:val="center"/>
          </w:tcPr>
          <w:p w14:paraId="24FAA107">
            <w:pPr>
              <w:jc w:val="center"/>
              <w:rPr>
                <w:rFonts w:ascii="宋体" w:hAnsi="宋体" w:cs="宋体"/>
                <w:color w:val="auto"/>
                <w:sz w:val="24"/>
                <w:highlight w:val="none"/>
              </w:rPr>
            </w:pPr>
          </w:p>
        </w:tc>
        <w:tc>
          <w:tcPr>
            <w:tcW w:w="831" w:type="dxa"/>
            <w:vAlign w:val="center"/>
          </w:tcPr>
          <w:p w14:paraId="2819D621">
            <w:pPr>
              <w:jc w:val="center"/>
              <w:rPr>
                <w:rFonts w:ascii="宋体" w:hAnsi="宋体" w:cs="宋体"/>
                <w:color w:val="auto"/>
                <w:sz w:val="24"/>
                <w:highlight w:val="none"/>
              </w:rPr>
            </w:pPr>
          </w:p>
        </w:tc>
      </w:tr>
      <w:tr w14:paraId="279C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BA211D">
            <w:pPr>
              <w:jc w:val="center"/>
              <w:rPr>
                <w:rFonts w:ascii="宋体" w:hAnsi="宋体" w:cs="宋体"/>
                <w:color w:val="auto"/>
                <w:sz w:val="24"/>
                <w:highlight w:val="none"/>
              </w:rPr>
            </w:pPr>
          </w:p>
        </w:tc>
        <w:tc>
          <w:tcPr>
            <w:tcW w:w="2120" w:type="dxa"/>
            <w:vAlign w:val="center"/>
          </w:tcPr>
          <w:p w14:paraId="679CC202">
            <w:pPr>
              <w:jc w:val="center"/>
              <w:rPr>
                <w:rFonts w:ascii="宋体" w:hAnsi="宋体" w:cs="宋体"/>
                <w:color w:val="auto"/>
                <w:sz w:val="24"/>
                <w:highlight w:val="none"/>
              </w:rPr>
            </w:pPr>
          </w:p>
        </w:tc>
        <w:tc>
          <w:tcPr>
            <w:tcW w:w="1958" w:type="dxa"/>
            <w:vAlign w:val="center"/>
          </w:tcPr>
          <w:p w14:paraId="787EFA2D">
            <w:pPr>
              <w:jc w:val="center"/>
              <w:rPr>
                <w:rFonts w:ascii="宋体" w:hAnsi="宋体" w:cs="宋体"/>
                <w:color w:val="auto"/>
                <w:sz w:val="24"/>
                <w:highlight w:val="none"/>
              </w:rPr>
            </w:pPr>
          </w:p>
        </w:tc>
        <w:tc>
          <w:tcPr>
            <w:tcW w:w="1955" w:type="dxa"/>
            <w:vAlign w:val="center"/>
          </w:tcPr>
          <w:p w14:paraId="4ED2D76D">
            <w:pPr>
              <w:jc w:val="center"/>
              <w:rPr>
                <w:rFonts w:ascii="宋体" w:hAnsi="宋体" w:cs="宋体"/>
                <w:color w:val="auto"/>
                <w:sz w:val="24"/>
                <w:highlight w:val="none"/>
              </w:rPr>
            </w:pPr>
          </w:p>
        </w:tc>
        <w:tc>
          <w:tcPr>
            <w:tcW w:w="832" w:type="dxa"/>
            <w:vAlign w:val="center"/>
          </w:tcPr>
          <w:p w14:paraId="45D3E1BE">
            <w:pPr>
              <w:jc w:val="center"/>
              <w:rPr>
                <w:rFonts w:ascii="宋体" w:hAnsi="宋体" w:cs="宋体"/>
                <w:color w:val="auto"/>
                <w:sz w:val="24"/>
                <w:highlight w:val="none"/>
              </w:rPr>
            </w:pPr>
          </w:p>
        </w:tc>
        <w:tc>
          <w:tcPr>
            <w:tcW w:w="831" w:type="dxa"/>
            <w:vAlign w:val="center"/>
          </w:tcPr>
          <w:p w14:paraId="7EF79B38">
            <w:pPr>
              <w:jc w:val="center"/>
              <w:rPr>
                <w:rFonts w:ascii="宋体" w:hAnsi="宋体" w:cs="宋体"/>
                <w:color w:val="auto"/>
                <w:sz w:val="24"/>
                <w:highlight w:val="none"/>
              </w:rPr>
            </w:pPr>
          </w:p>
        </w:tc>
      </w:tr>
      <w:tr w14:paraId="2CAD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737DFB">
            <w:pPr>
              <w:jc w:val="center"/>
              <w:rPr>
                <w:rFonts w:ascii="宋体" w:hAnsi="宋体" w:cs="宋体"/>
                <w:color w:val="auto"/>
                <w:sz w:val="24"/>
                <w:highlight w:val="none"/>
              </w:rPr>
            </w:pPr>
          </w:p>
        </w:tc>
        <w:tc>
          <w:tcPr>
            <w:tcW w:w="2120" w:type="dxa"/>
            <w:vAlign w:val="center"/>
          </w:tcPr>
          <w:p w14:paraId="4A4E637F">
            <w:pPr>
              <w:jc w:val="center"/>
              <w:rPr>
                <w:rFonts w:ascii="宋体" w:hAnsi="宋体" w:cs="宋体"/>
                <w:color w:val="auto"/>
                <w:sz w:val="24"/>
                <w:highlight w:val="none"/>
              </w:rPr>
            </w:pPr>
          </w:p>
        </w:tc>
        <w:tc>
          <w:tcPr>
            <w:tcW w:w="1958" w:type="dxa"/>
            <w:vAlign w:val="center"/>
          </w:tcPr>
          <w:p w14:paraId="0F30C0F6">
            <w:pPr>
              <w:jc w:val="center"/>
              <w:rPr>
                <w:rFonts w:ascii="宋体" w:hAnsi="宋体" w:cs="宋体"/>
                <w:color w:val="auto"/>
                <w:sz w:val="24"/>
                <w:highlight w:val="none"/>
              </w:rPr>
            </w:pPr>
          </w:p>
        </w:tc>
        <w:tc>
          <w:tcPr>
            <w:tcW w:w="1955" w:type="dxa"/>
            <w:vAlign w:val="center"/>
          </w:tcPr>
          <w:p w14:paraId="1A844BFC">
            <w:pPr>
              <w:jc w:val="center"/>
              <w:rPr>
                <w:rFonts w:ascii="宋体" w:hAnsi="宋体" w:cs="宋体"/>
                <w:color w:val="auto"/>
                <w:sz w:val="24"/>
                <w:highlight w:val="none"/>
              </w:rPr>
            </w:pPr>
          </w:p>
        </w:tc>
        <w:tc>
          <w:tcPr>
            <w:tcW w:w="832" w:type="dxa"/>
            <w:vAlign w:val="center"/>
          </w:tcPr>
          <w:p w14:paraId="7C02C2C9">
            <w:pPr>
              <w:jc w:val="center"/>
              <w:rPr>
                <w:rFonts w:ascii="宋体" w:hAnsi="宋体" w:cs="宋体"/>
                <w:color w:val="auto"/>
                <w:sz w:val="24"/>
                <w:highlight w:val="none"/>
              </w:rPr>
            </w:pPr>
          </w:p>
        </w:tc>
        <w:tc>
          <w:tcPr>
            <w:tcW w:w="831" w:type="dxa"/>
            <w:vAlign w:val="center"/>
          </w:tcPr>
          <w:p w14:paraId="7D9C5185">
            <w:pPr>
              <w:jc w:val="center"/>
              <w:rPr>
                <w:rFonts w:ascii="宋体" w:hAnsi="宋体" w:cs="宋体"/>
                <w:color w:val="auto"/>
                <w:sz w:val="24"/>
                <w:highlight w:val="none"/>
              </w:rPr>
            </w:pPr>
          </w:p>
        </w:tc>
      </w:tr>
      <w:tr w14:paraId="4DD0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1AA108D">
            <w:pPr>
              <w:jc w:val="center"/>
              <w:rPr>
                <w:rFonts w:ascii="宋体" w:hAnsi="宋体" w:cs="宋体"/>
                <w:color w:val="auto"/>
                <w:sz w:val="24"/>
                <w:highlight w:val="none"/>
              </w:rPr>
            </w:pPr>
          </w:p>
        </w:tc>
        <w:tc>
          <w:tcPr>
            <w:tcW w:w="2120" w:type="dxa"/>
            <w:vAlign w:val="center"/>
          </w:tcPr>
          <w:p w14:paraId="37574FFC">
            <w:pPr>
              <w:jc w:val="center"/>
              <w:rPr>
                <w:rFonts w:ascii="宋体" w:hAnsi="宋体" w:cs="宋体"/>
                <w:color w:val="auto"/>
                <w:sz w:val="24"/>
                <w:highlight w:val="none"/>
              </w:rPr>
            </w:pPr>
          </w:p>
        </w:tc>
        <w:tc>
          <w:tcPr>
            <w:tcW w:w="1958" w:type="dxa"/>
            <w:vAlign w:val="center"/>
          </w:tcPr>
          <w:p w14:paraId="44ABC0F0">
            <w:pPr>
              <w:jc w:val="center"/>
              <w:rPr>
                <w:rFonts w:ascii="宋体" w:hAnsi="宋体" w:cs="宋体"/>
                <w:color w:val="auto"/>
                <w:sz w:val="24"/>
                <w:highlight w:val="none"/>
              </w:rPr>
            </w:pPr>
          </w:p>
        </w:tc>
        <w:tc>
          <w:tcPr>
            <w:tcW w:w="1955" w:type="dxa"/>
            <w:vAlign w:val="center"/>
          </w:tcPr>
          <w:p w14:paraId="2FF2F971">
            <w:pPr>
              <w:jc w:val="center"/>
              <w:rPr>
                <w:rFonts w:ascii="宋体" w:hAnsi="宋体" w:cs="宋体"/>
                <w:color w:val="auto"/>
                <w:sz w:val="24"/>
                <w:highlight w:val="none"/>
              </w:rPr>
            </w:pPr>
          </w:p>
        </w:tc>
        <w:tc>
          <w:tcPr>
            <w:tcW w:w="832" w:type="dxa"/>
            <w:vAlign w:val="center"/>
          </w:tcPr>
          <w:p w14:paraId="0BB5BB59">
            <w:pPr>
              <w:jc w:val="center"/>
              <w:rPr>
                <w:rFonts w:ascii="宋体" w:hAnsi="宋体" w:cs="宋体"/>
                <w:color w:val="auto"/>
                <w:sz w:val="24"/>
                <w:highlight w:val="none"/>
              </w:rPr>
            </w:pPr>
          </w:p>
        </w:tc>
        <w:tc>
          <w:tcPr>
            <w:tcW w:w="831" w:type="dxa"/>
            <w:vAlign w:val="center"/>
          </w:tcPr>
          <w:p w14:paraId="77373A7E">
            <w:pPr>
              <w:jc w:val="center"/>
              <w:rPr>
                <w:rFonts w:ascii="宋体" w:hAnsi="宋体" w:cs="宋体"/>
                <w:color w:val="auto"/>
                <w:sz w:val="24"/>
                <w:highlight w:val="none"/>
              </w:rPr>
            </w:pPr>
          </w:p>
        </w:tc>
      </w:tr>
      <w:tr w14:paraId="3D1E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AAC71">
            <w:pPr>
              <w:jc w:val="center"/>
              <w:rPr>
                <w:rFonts w:ascii="宋体" w:hAnsi="宋体" w:cs="宋体"/>
                <w:color w:val="auto"/>
                <w:sz w:val="24"/>
                <w:highlight w:val="none"/>
              </w:rPr>
            </w:pPr>
          </w:p>
        </w:tc>
        <w:tc>
          <w:tcPr>
            <w:tcW w:w="2120" w:type="dxa"/>
            <w:vAlign w:val="center"/>
          </w:tcPr>
          <w:p w14:paraId="5E0E5325">
            <w:pPr>
              <w:jc w:val="center"/>
              <w:rPr>
                <w:rFonts w:ascii="宋体" w:hAnsi="宋体" w:cs="宋体"/>
                <w:color w:val="auto"/>
                <w:sz w:val="24"/>
                <w:highlight w:val="none"/>
              </w:rPr>
            </w:pPr>
          </w:p>
        </w:tc>
        <w:tc>
          <w:tcPr>
            <w:tcW w:w="1958" w:type="dxa"/>
            <w:vAlign w:val="center"/>
          </w:tcPr>
          <w:p w14:paraId="46108681">
            <w:pPr>
              <w:jc w:val="center"/>
              <w:rPr>
                <w:rFonts w:ascii="宋体" w:hAnsi="宋体" w:cs="宋体"/>
                <w:color w:val="auto"/>
                <w:sz w:val="24"/>
                <w:highlight w:val="none"/>
              </w:rPr>
            </w:pPr>
          </w:p>
        </w:tc>
        <w:tc>
          <w:tcPr>
            <w:tcW w:w="1955" w:type="dxa"/>
            <w:vAlign w:val="center"/>
          </w:tcPr>
          <w:p w14:paraId="62FDCC29">
            <w:pPr>
              <w:jc w:val="center"/>
              <w:rPr>
                <w:rFonts w:ascii="宋体" w:hAnsi="宋体" w:cs="宋体"/>
                <w:color w:val="auto"/>
                <w:sz w:val="24"/>
                <w:highlight w:val="none"/>
              </w:rPr>
            </w:pPr>
          </w:p>
        </w:tc>
        <w:tc>
          <w:tcPr>
            <w:tcW w:w="832" w:type="dxa"/>
            <w:vAlign w:val="center"/>
          </w:tcPr>
          <w:p w14:paraId="6F2D13BE">
            <w:pPr>
              <w:jc w:val="center"/>
              <w:rPr>
                <w:rFonts w:ascii="宋体" w:hAnsi="宋体" w:cs="宋体"/>
                <w:color w:val="auto"/>
                <w:sz w:val="24"/>
                <w:highlight w:val="none"/>
              </w:rPr>
            </w:pPr>
          </w:p>
        </w:tc>
        <w:tc>
          <w:tcPr>
            <w:tcW w:w="831" w:type="dxa"/>
            <w:vAlign w:val="center"/>
          </w:tcPr>
          <w:p w14:paraId="7AE0D3DF">
            <w:pPr>
              <w:jc w:val="center"/>
              <w:rPr>
                <w:rFonts w:ascii="宋体" w:hAnsi="宋体" w:cs="宋体"/>
                <w:color w:val="auto"/>
                <w:sz w:val="24"/>
                <w:highlight w:val="none"/>
              </w:rPr>
            </w:pPr>
          </w:p>
        </w:tc>
      </w:tr>
      <w:tr w14:paraId="7613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069CEA">
            <w:pPr>
              <w:jc w:val="center"/>
              <w:rPr>
                <w:rFonts w:ascii="宋体" w:hAnsi="宋体" w:cs="宋体"/>
                <w:color w:val="auto"/>
                <w:sz w:val="24"/>
                <w:highlight w:val="none"/>
              </w:rPr>
            </w:pPr>
          </w:p>
        </w:tc>
        <w:tc>
          <w:tcPr>
            <w:tcW w:w="2120" w:type="dxa"/>
            <w:vAlign w:val="center"/>
          </w:tcPr>
          <w:p w14:paraId="73EDE1DC">
            <w:pPr>
              <w:jc w:val="center"/>
              <w:rPr>
                <w:rFonts w:ascii="宋体" w:hAnsi="宋体" w:cs="宋体"/>
                <w:color w:val="auto"/>
                <w:sz w:val="24"/>
                <w:highlight w:val="none"/>
              </w:rPr>
            </w:pPr>
          </w:p>
        </w:tc>
        <w:tc>
          <w:tcPr>
            <w:tcW w:w="1958" w:type="dxa"/>
            <w:vAlign w:val="center"/>
          </w:tcPr>
          <w:p w14:paraId="416ADE1D">
            <w:pPr>
              <w:jc w:val="center"/>
              <w:rPr>
                <w:rFonts w:ascii="宋体" w:hAnsi="宋体" w:cs="宋体"/>
                <w:color w:val="auto"/>
                <w:sz w:val="24"/>
                <w:highlight w:val="none"/>
              </w:rPr>
            </w:pPr>
          </w:p>
        </w:tc>
        <w:tc>
          <w:tcPr>
            <w:tcW w:w="1955" w:type="dxa"/>
            <w:vAlign w:val="center"/>
          </w:tcPr>
          <w:p w14:paraId="013175BF">
            <w:pPr>
              <w:jc w:val="center"/>
              <w:rPr>
                <w:rFonts w:ascii="宋体" w:hAnsi="宋体" w:cs="宋体"/>
                <w:color w:val="auto"/>
                <w:sz w:val="24"/>
                <w:highlight w:val="none"/>
              </w:rPr>
            </w:pPr>
          </w:p>
        </w:tc>
        <w:tc>
          <w:tcPr>
            <w:tcW w:w="832" w:type="dxa"/>
            <w:vAlign w:val="center"/>
          </w:tcPr>
          <w:p w14:paraId="27BD93D2">
            <w:pPr>
              <w:jc w:val="center"/>
              <w:rPr>
                <w:rFonts w:ascii="宋体" w:hAnsi="宋体" w:cs="宋体"/>
                <w:color w:val="auto"/>
                <w:sz w:val="24"/>
                <w:highlight w:val="none"/>
              </w:rPr>
            </w:pPr>
          </w:p>
        </w:tc>
        <w:tc>
          <w:tcPr>
            <w:tcW w:w="831" w:type="dxa"/>
            <w:vAlign w:val="center"/>
          </w:tcPr>
          <w:p w14:paraId="12E2C49C">
            <w:pPr>
              <w:jc w:val="center"/>
              <w:rPr>
                <w:rFonts w:ascii="宋体" w:hAnsi="宋体" w:cs="宋体"/>
                <w:color w:val="auto"/>
                <w:sz w:val="24"/>
                <w:highlight w:val="none"/>
              </w:rPr>
            </w:pPr>
          </w:p>
        </w:tc>
      </w:tr>
    </w:tbl>
    <w:p w14:paraId="59E8D907">
      <w:pPr>
        <w:ind w:firstLine="480" w:firstLineChars="200"/>
        <w:jc w:val="left"/>
        <w:rPr>
          <w:rFonts w:ascii="宋体" w:hAnsi="宋体" w:cs="宋体"/>
          <w:color w:val="auto"/>
          <w:sz w:val="24"/>
          <w:highlight w:val="none"/>
        </w:rPr>
      </w:pPr>
    </w:p>
    <w:p w14:paraId="551982D1">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EB75311">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6ADFA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0ECE82B8">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规范书</w:t>
      </w:r>
      <w:r>
        <w:rPr>
          <w:rFonts w:hint="eastAsia" w:ascii="宋体" w:hAnsi="宋体" w:cs="宋体"/>
          <w:color w:val="auto"/>
          <w:sz w:val="24"/>
          <w:highlight w:val="none"/>
        </w:rPr>
        <w:t>》中的各项技术要求。</w:t>
      </w:r>
    </w:p>
    <w:p w14:paraId="5282A94F">
      <w:pPr>
        <w:spacing w:line="360" w:lineRule="exact"/>
        <w:ind w:firstLine="480" w:firstLineChars="200"/>
        <w:jc w:val="left"/>
        <w:rPr>
          <w:rFonts w:ascii="宋体" w:hAnsi="宋体" w:cs="宋体"/>
          <w:color w:val="auto"/>
          <w:sz w:val="24"/>
          <w:highlight w:val="none"/>
        </w:rPr>
      </w:pPr>
    </w:p>
    <w:p w14:paraId="4088BD96">
      <w:pPr>
        <w:spacing w:line="360" w:lineRule="exact"/>
        <w:ind w:firstLine="480" w:firstLineChars="200"/>
        <w:jc w:val="left"/>
        <w:rPr>
          <w:rFonts w:ascii="宋体" w:hAnsi="宋体" w:cs="宋体"/>
          <w:color w:val="auto"/>
          <w:sz w:val="24"/>
          <w:highlight w:val="none"/>
        </w:rPr>
      </w:pPr>
    </w:p>
    <w:p w14:paraId="05FAF39F">
      <w:pPr>
        <w:spacing w:line="360" w:lineRule="exact"/>
        <w:ind w:firstLine="480" w:firstLineChars="200"/>
        <w:jc w:val="left"/>
        <w:rPr>
          <w:rFonts w:ascii="宋体" w:hAnsi="宋体" w:cs="宋体"/>
          <w:color w:val="auto"/>
          <w:sz w:val="24"/>
          <w:highlight w:val="none"/>
        </w:rPr>
      </w:pPr>
    </w:p>
    <w:p w14:paraId="08E8482E">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8842B17">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3D71545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744D2388">
      <w:pPr>
        <w:pStyle w:val="23"/>
        <w:ind w:left="0" w:leftChars="0" w:firstLine="0" w:firstLineChars="0"/>
        <w:rPr>
          <w:rFonts w:hint="eastAsia" w:eastAsia="仿宋_GB2312"/>
          <w:color w:val="auto"/>
          <w:sz w:val="32"/>
          <w:szCs w:val="32"/>
          <w:highlight w:val="none"/>
          <w:lang w:eastAsia="zh-CN"/>
        </w:rPr>
      </w:pPr>
    </w:p>
    <w:p w14:paraId="47CAED44">
      <w:pPr>
        <w:widowControl/>
        <w:jc w:val="left"/>
        <w:rPr>
          <w:rFonts w:eastAsia="黑体"/>
          <w:color w:val="auto"/>
          <w:sz w:val="28"/>
          <w:szCs w:val="44"/>
          <w:highlight w:val="none"/>
        </w:rPr>
      </w:pPr>
    </w:p>
    <w:p w14:paraId="5C1A3C07">
      <w:pPr>
        <w:pStyle w:val="45"/>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阳江开能余热发电煤气过热炉助燃风机安装及系统设备大修项目</w:t>
      </w:r>
      <w:r>
        <w:rPr>
          <w:rFonts w:hint="eastAsia" w:ascii="Times New Roman" w:hAnsi="Times New Roman"/>
          <w:color w:val="auto"/>
          <w:sz w:val="32"/>
          <w:szCs w:val="32"/>
          <w:highlight w:val="none"/>
        </w:rPr>
        <w:t>，作出郑重说明：</w:t>
      </w:r>
    </w:p>
    <w:p w14:paraId="39FB988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4"/>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3"/>
        <w:ind w:left="0" w:leftChars="0" w:firstLine="0" w:firstLineChars="0"/>
        <w:rPr>
          <w:rFonts w:hint="eastAsia" w:eastAsia="仿宋_GB2312"/>
          <w:color w:val="auto"/>
          <w:sz w:val="32"/>
          <w:szCs w:val="32"/>
          <w:highlight w:val="none"/>
          <w:lang w:eastAsia="zh-CN"/>
        </w:rPr>
      </w:pPr>
    </w:p>
    <w:p w14:paraId="7176D2F0">
      <w:pPr>
        <w:pStyle w:val="23"/>
        <w:ind w:left="0" w:leftChars="0" w:firstLine="0" w:firstLineChars="0"/>
        <w:rPr>
          <w:rFonts w:hint="eastAsia" w:eastAsia="仿宋_GB2312"/>
          <w:color w:val="auto"/>
          <w:sz w:val="32"/>
          <w:szCs w:val="32"/>
          <w:highlight w:val="none"/>
          <w:lang w:eastAsia="zh-CN"/>
        </w:rPr>
      </w:pPr>
    </w:p>
    <w:p w14:paraId="263E70D5">
      <w:pPr>
        <w:pStyle w:val="23"/>
        <w:ind w:left="0" w:leftChars="0" w:firstLine="0" w:firstLineChars="0"/>
        <w:rPr>
          <w:rFonts w:hint="eastAsia" w:eastAsia="仿宋_GB2312"/>
          <w:color w:val="auto"/>
          <w:sz w:val="32"/>
          <w:szCs w:val="32"/>
          <w:highlight w:val="none"/>
          <w:lang w:eastAsia="zh-CN"/>
        </w:rPr>
      </w:pPr>
    </w:p>
    <w:p w14:paraId="52C96FF6">
      <w:pPr>
        <w:pStyle w:val="23"/>
        <w:ind w:left="0" w:leftChars="0" w:firstLine="0" w:firstLineChars="0"/>
        <w:rPr>
          <w:rFonts w:hint="eastAsia" w:eastAsia="仿宋_GB2312"/>
          <w:color w:val="auto"/>
          <w:sz w:val="32"/>
          <w:szCs w:val="32"/>
          <w:highlight w:val="none"/>
          <w:lang w:eastAsia="zh-CN"/>
        </w:rPr>
      </w:pPr>
    </w:p>
    <w:p w14:paraId="2A745E06">
      <w:pPr>
        <w:pStyle w:val="45"/>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w:t>
      </w:r>
      <w:r>
        <w:rPr>
          <w:rFonts w:hint="eastAsia" w:eastAsia="黑体"/>
          <w:color w:val="auto"/>
          <w:sz w:val="28"/>
          <w:szCs w:val="44"/>
          <w:highlight w:val="none"/>
          <w:lang w:val="en-US" w:eastAsia="zh-CN"/>
        </w:rPr>
        <w:t>技术实施方案</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由响应人根据采购文件附件六技术规范书要求填写编制</w:t>
      </w:r>
      <w:r>
        <w:rPr>
          <w:rFonts w:hint="eastAsia" w:eastAsia="黑体"/>
          <w:color w:val="auto"/>
          <w:sz w:val="28"/>
          <w:szCs w:val="44"/>
          <w:highlight w:val="none"/>
          <w:lang w:eastAsia="zh-CN"/>
        </w:rPr>
        <w:t>）</w:t>
      </w:r>
    </w:p>
    <w:p w14:paraId="715BA6A6">
      <w:pPr>
        <w:pStyle w:val="23"/>
        <w:ind w:left="0" w:leftChars="0" w:firstLine="0" w:firstLineChars="0"/>
        <w:rPr>
          <w:rFonts w:hint="eastAsia" w:eastAsia="仿宋_GB2312"/>
          <w:color w:val="auto"/>
          <w:sz w:val="32"/>
          <w:szCs w:val="32"/>
          <w:highlight w:val="none"/>
          <w:lang w:eastAsia="zh-CN"/>
        </w:rPr>
      </w:pPr>
    </w:p>
    <w:p w14:paraId="4FBD11B6">
      <w:pPr>
        <w:pStyle w:val="23"/>
        <w:ind w:left="0" w:leftChars="0" w:firstLine="0" w:firstLineChars="0"/>
        <w:rPr>
          <w:rFonts w:hint="eastAsia" w:eastAsia="仿宋_GB2312"/>
          <w:color w:val="auto"/>
          <w:sz w:val="32"/>
          <w:szCs w:val="32"/>
          <w:highlight w:val="none"/>
          <w:lang w:eastAsia="zh-CN"/>
        </w:rPr>
      </w:pPr>
    </w:p>
    <w:sectPr>
      <w:headerReference r:id="rId11" w:type="default"/>
      <w:footerReference r:id="rId12"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BFF6D">
    <w:pPr>
      <w:pStyle w:val="17"/>
    </w:pPr>
    <w:r>
      <w:rPr>
        <w:sz w:val="18"/>
      </w:rPr>
      <w:pict>
        <v:shape id="_x0000_s3088" o:spid="_x0000_s308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82E09C0">
                <w:pPr>
                  <w:pStyle w:val="17"/>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2715F">
    <w:pPr>
      <w:pStyle w:val="17"/>
    </w:pPr>
    <w:r>
      <w:pict>
        <v:shape id="Text Box 1030" o:spid="_x0000_s3091"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4vdRNAAAAACAQAADwAAAAAAAAABACAAAAAiAAAAZHJzL2Rvd25yZXYueG1sUEsB&#10;AhQAFAAAAAgAh07iQDuJ1WL9AQAAAwQAAA4AAAAAAAAAAQAgAAAAHwEAAGRycy9lMm9Eb2MueG1s&#10;UEsFBgAAAAAGAAYAWQEAAI4FAAAAAA==&#10;">
          <v:path/>
          <v:fill on="f" focussize="0,0"/>
          <v:stroke on="f"/>
          <v:imagedata o:title=""/>
          <o:lock v:ext="edit" aspectratio="f"/>
          <v:textbox inset="0mm,0mm,0mm,0mm" style="mso-fit-shape-to-text:t;">
            <w:txbxContent>
              <w:p w14:paraId="401526DC">
                <w:pPr>
                  <w:pStyle w:val="1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DF41">
    <w:pPr>
      <w:pStyle w:val="17"/>
      <w:jc w:val="both"/>
    </w:pPr>
    <w:r>
      <w:pict>
        <v:shape id="Text Box 1031" o:spid="_x0000_s3094"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L3UTQAAAAAgEAAA8AAAAAAAAAAQAgAAAAIgAAAGRycy9kb3ducmV2LnhtbFBLAQIU&#10;ABQAAAAIAIdO4kAwgd0O+wEAAAMEAAAOAAAAAAAAAAEAIAAAAB8BAABkcnMvZTJvRG9jLnhtbFBL&#10;BQYAAAAABgAGAFkBAACMBQAAAAA=&#10;">
          <v:path/>
          <v:fill on="f" focussize="0,0"/>
          <v:stroke on="f"/>
          <v:imagedata o:title=""/>
          <o:lock v:ext="edit" aspectratio="f"/>
          <v:textbox inset="0mm,0mm,0mm,0mm" style="mso-fit-shape-to-text:t;">
            <w:txbxContent>
              <w:p w14:paraId="27E62BB3">
                <w:pPr>
                  <w:pStyle w:val="17"/>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w:r>
    <w:r>
      <w:pict>
        <v:shape id="文本框 7" o:spid="_x0000_s3093"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RBflh0AEAAJUDAAAOAAAAAAAAAAEAIAAAACMB&#10;AABkcnMvZTJvRG9jLnhtbFBLBQYAAAAABgAGAFkBAABlBQAAAAA=&#10;">
          <v:path/>
          <v:fill on="f" focussize="0,0"/>
          <v:stroke on="f" weight="1.25pt"/>
          <v:imagedata o:title=""/>
          <o:lock v:ext="edit" aspectratio="f"/>
          <v:textbox inset="0mm,0mm,0mm,0mm" style="mso-fit-shape-to-text:t;">
            <w:txbxContent>
              <w:p w14:paraId="48B17877">
                <w:pPr>
                  <w:pStyle w:val="17"/>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1EE03">
    <w:pPr>
      <w:pStyle w:val="17"/>
      <w:jc w:val="both"/>
    </w:pPr>
    <w:r>
      <w:pict>
        <v:shape id="Text Box 1032" o:spid="_x0000_s3092"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5X5J0AAAAAMBAAAPAAAAAAAAAAEAIAAAACIAAABkcnMvZG93bnJldi54bWxQSwEC&#10;FAAUAAAACACHTuJAxtO4OfwBAAAEBAAADgAAAAAAAAABACAAAAAfAQAAZHJzL2Uyb0RvYy54bWxQ&#10;SwUGAAAAAAYABgBZAQAAjQUAAAAA&#10;">
          <v:path/>
          <v:fill on="f" focussize="0,0"/>
          <v:stroke on="f"/>
          <v:imagedata o:title=""/>
          <o:lock v:ext="edit" aspectratio="f"/>
          <v:textbox inset="0mm,0mm,0mm,0mm" style="mso-fit-shape-to-text:t;">
            <w:txbxContent>
              <w:p w14:paraId="5B315BCD">
                <w:pPr>
                  <w:pStyle w:val="17"/>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r>
      <w:pict>
        <v:shape id="_x0000_s3095" o:spid="_x0000_s3095"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PH+xt0AEAAJUDAAAOAAAAAAAAAAEAIAAAACMB&#10;AABkcnMvZTJvRG9jLnhtbFBLBQYAAAAABgAGAFkBAABlBQAAAAA=&#10;">
          <v:path/>
          <v:fill on="f" focussize="0,0"/>
          <v:stroke on="f" weight="1.25pt"/>
          <v:imagedata o:title=""/>
          <o:lock v:ext="edit" aspectratio="f"/>
          <v:textbox inset="0mm,0mm,0mm,0mm" style="mso-fit-shape-to-text:t;">
            <w:txbxContent>
              <w:p w14:paraId="7B08C81F">
                <w:pPr>
                  <w:pStyle w:val="17"/>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E9EC9">
    <w:pPr>
      <w:pStyle w:val="17"/>
      <w:jc w:val="both"/>
    </w:pPr>
    <w:r>
      <w:rPr>
        <w:sz w:val="18"/>
      </w:rPr>
      <w:pict>
        <v:shape id="_x0000_s3090" o:spid="_x0000_s309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6C8CC42C">
                <w:pPr>
                  <w:pStyle w:val="17"/>
                </w:pPr>
                <w:r>
                  <w:fldChar w:fldCharType="begin"/>
                </w:r>
                <w:r>
                  <w:instrText xml:space="preserve"> PAGE  \* MERGEFORMAT </w:instrText>
                </w:r>
                <w:r>
                  <w:fldChar w:fldCharType="separate"/>
                </w:r>
                <w:r>
                  <w:t>6</w:t>
                </w:r>
                <w:r>
                  <w:fldChar w:fldCharType="end"/>
                </w:r>
              </w:p>
            </w:txbxContent>
          </v:textbox>
        </v:shape>
      </w:pict>
    </w:r>
    <w:r>
      <w:pict>
        <v:shape id="文本框 6" o:spid="_x0000_s307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BTq7yXtgEAAFUDAAAOAAAAAAAAAAEAIAAAACIBAABkcnMvZTJvRG9jLnhtbFBLBQYAAAAABgAG&#10;AFkBAABKBQAAAAA=&#10;">
          <v:path/>
          <v:fill on="f" focussize="0,0"/>
          <v:stroke on="f" weight="1.25pt" joinstyle="miter"/>
          <v:imagedata o:title=""/>
          <o:lock v:ext="edit"/>
          <v:textbox inset="0mm,0mm,0mm,0mm" style="mso-fit-shape-to-text:t;">
            <w:txbxContent>
              <w:p w14:paraId="32A2D46D">
                <w:pPr>
                  <w:pStyle w:val="17"/>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475F">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944C6">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78B4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6F3B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0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301254"/>
    <w:multiLevelType w:val="singleLevel"/>
    <w:tmpl w:val="D0301254"/>
    <w:lvl w:ilvl="0" w:tentative="0">
      <w:start w:val="10"/>
      <w:numFmt w:val="chineseCounting"/>
      <w:suff w:val="space"/>
      <w:lvlText w:val="第%1条"/>
      <w:lvlJc w:val="left"/>
      <w:rPr>
        <w:rFonts w:hint="eastAsia"/>
      </w:rPr>
    </w:lvl>
  </w:abstractNum>
  <w:abstractNum w:abstractNumId="1">
    <w:nsid w:val="02646106"/>
    <w:multiLevelType w:val="multilevel"/>
    <w:tmpl w:val="02646106"/>
    <w:lvl w:ilvl="0" w:tentative="0">
      <w:start w:val="1"/>
      <w:numFmt w:val="decimal"/>
      <w:lvlText w:val="%1."/>
      <w:lvlJc w:val="left"/>
      <w:pPr>
        <w:ind w:left="900" w:hanging="420"/>
      </w:pPr>
      <w:rPr>
        <w:rFonts w:hint="default"/>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15CF5E91"/>
    <w:multiLevelType w:val="multilevel"/>
    <w:tmpl w:val="15CF5E91"/>
    <w:lvl w:ilvl="0" w:tentative="0">
      <w:start w:val="1"/>
      <w:numFmt w:val="decimal"/>
      <w:lvlText w:val="%1."/>
      <w:lvlJc w:val="left"/>
      <w:pPr>
        <w:tabs>
          <w:tab w:val="left" w:pos="342"/>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2E8C014"/>
    <w:multiLevelType w:val="singleLevel"/>
    <w:tmpl w:val="62E8C014"/>
    <w:lvl w:ilvl="0" w:tentative="0">
      <w:start w:val="2"/>
      <w:numFmt w:val="chineseCounting"/>
      <w:suff w:val="nothing"/>
      <w:lvlText w:val="%1、"/>
      <w:lvlJc w:val="left"/>
      <w:rPr>
        <w:rFonts w:hint="eastAsia"/>
      </w:rPr>
    </w:lvl>
  </w:abstractNum>
  <w:abstractNum w:abstractNumId="7">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7"/>
  </w:num>
  <w:num w:numId="2">
    <w:abstractNumId w:val="2"/>
  </w:num>
  <w:num w:numId="3">
    <w:abstractNumId w:val="5"/>
  </w:num>
  <w:num w:numId="4">
    <w:abstractNumId w:val="6"/>
  </w:num>
  <w:num w:numId="5">
    <w:abstractNumId w:val="1"/>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4502"/>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3C74626"/>
    <w:rsid w:val="03F71CE1"/>
    <w:rsid w:val="04CF6E29"/>
    <w:rsid w:val="05111DAD"/>
    <w:rsid w:val="059366CF"/>
    <w:rsid w:val="05CF1804"/>
    <w:rsid w:val="05D00163"/>
    <w:rsid w:val="064275A1"/>
    <w:rsid w:val="06F15928"/>
    <w:rsid w:val="070721B1"/>
    <w:rsid w:val="077C34B8"/>
    <w:rsid w:val="07A209C4"/>
    <w:rsid w:val="080D26DA"/>
    <w:rsid w:val="08284245"/>
    <w:rsid w:val="0849693B"/>
    <w:rsid w:val="086F1260"/>
    <w:rsid w:val="0880226D"/>
    <w:rsid w:val="089F2BDE"/>
    <w:rsid w:val="08BB2505"/>
    <w:rsid w:val="094B07E2"/>
    <w:rsid w:val="0977637F"/>
    <w:rsid w:val="099A07E1"/>
    <w:rsid w:val="0A9B4FED"/>
    <w:rsid w:val="0AFE33E3"/>
    <w:rsid w:val="0B047CA0"/>
    <w:rsid w:val="0B0C0A79"/>
    <w:rsid w:val="0B451F6A"/>
    <w:rsid w:val="0BA14D3A"/>
    <w:rsid w:val="0BE211F8"/>
    <w:rsid w:val="0C6F4C8D"/>
    <w:rsid w:val="0CAD4E3A"/>
    <w:rsid w:val="0D0E0EB6"/>
    <w:rsid w:val="0D66641E"/>
    <w:rsid w:val="0D6E66F6"/>
    <w:rsid w:val="0D706506"/>
    <w:rsid w:val="0DE142CB"/>
    <w:rsid w:val="0FDC1CDC"/>
    <w:rsid w:val="10223C48"/>
    <w:rsid w:val="11270265"/>
    <w:rsid w:val="11A37455"/>
    <w:rsid w:val="11A97DFC"/>
    <w:rsid w:val="11EB0BC4"/>
    <w:rsid w:val="12475EA9"/>
    <w:rsid w:val="12AB72D9"/>
    <w:rsid w:val="12D1126D"/>
    <w:rsid w:val="13305111"/>
    <w:rsid w:val="133360BD"/>
    <w:rsid w:val="137F7471"/>
    <w:rsid w:val="140D454B"/>
    <w:rsid w:val="146C01BD"/>
    <w:rsid w:val="146E4633"/>
    <w:rsid w:val="150412EA"/>
    <w:rsid w:val="171438BA"/>
    <w:rsid w:val="17230955"/>
    <w:rsid w:val="172309AA"/>
    <w:rsid w:val="17963704"/>
    <w:rsid w:val="180F5427"/>
    <w:rsid w:val="182770BA"/>
    <w:rsid w:val="187E2975"/>
    <w:rsid w:val="18863017"/>
    <w:rsid w:val="18AC6D73"/>
    <w:rsid w:val="19FD7566"/>
    <w:rsid w:val="1B1F4E7E"/>
    <w:rsid w:val="1B4716B4"/>
    <w:rsid w:val="1BEE7E74"/>
    <w:rsid w:val="1C08419D"/>
    <w:rsid w:val="1C467D80"/>
    <w:rsid w:val="1D4D5FFD"/>
    <w:rsid w:val="1D6939F6"/>
    <w:rsid w:val="1D9D7174"/>
    <w:rsid w:val="1EA44627"/>
    <w:rsid w:val="1EB43554"/>
    <w:rsid w:val="1F2025F2"/>
    <w:rsid w:val="1F7A0970"/>
    <w:rsid w:val="209E2C67"/>
    <w:rsid w:val="21581D11"/>
    <w:rsid w:val="216F32CA"/>
    <w:rsid w:val="21E003FB"/>
    <w:rsid w:val="22124112"/>
    <w:rsid w:val="225C19C8"/>
    <w:rsid w:val="22B71BD3"/>
    <w:rsid w:val="23561394"/>
    <w:rsid w:val="23643F6C"/>
    <w:rsid w:val="23C81EED"/>
    <w:rsid w:val="23F57352"/>
    <w:rsid w:val="247160ED"/>
    <w:rsid w:val="249A7996"/>
    <w:rsid w:val="24C62E70"/>
    <w:rsid w:val="25197A84"/>
    <w:rsid w:val="25926017"/>
    <w:rsid w:val="260075B8"/>
    <w:rsid w:val="261C543B"/>
    <w:rsid w:val="267E2359"/>
    <w:rsid w:val="267E2989"/>
    <w:rsid w:val="26BC7CBC"/>
    <w:rsid w:val="26BD437F"/>
    <w:rsid w:val="273642EC"/>
    <w:rsid w:val="27384FB3"/>
    <w:rsid w:val="27447ED5"/>
    <w:rsid w:val="275F3A77"/>
    <w:rsid w:val="2846073B"/>
    <w:rsid w:val="284F0253"/>
    <w:rsid w:val="28644870"/>
    <w:rsid w:val="28941B11"/>
    <w:rsid w:val="28A55CF2"/>
    <w:rsid w:val="28C36138"/>
    <w:rsid w:val="28EC60C1"/>
    <w:rsid w:val="2A592CC5"/>
    <w:rsid w:val="2A891206"/>
    <w:rsid w:val="2AC5216B"/>
    <w:rsid w:val="2AE949DF"/>
    <w:rsid w:val="2B2C3F7A"/>
    <w:rsid w:val="2B3733B5"/>
    <w:rsid w:val="2B3B474B"/>
    <w:rsid w:val="2B8D044E"/>
    <w:rsid w:val="2B8E43CA"/>
    <w:rsid w:val="2C016BB8"/>
    <w:rsid w:val="2D206BBF"/>
    <w:rsid w:val="2D77461B"/>
    <w:rsid w:val="2E015014"/>
    <w:rsid w:val="2E1D1BA2"/>
    <w:rsid w:val="2E3138D0"/>
    <w:rsid w:val="2E400C5F"/>
    <w:rsid w:val="2E5209E3"/>
    <w:rsid w:val="2EB01AFE"/>
    <w:rsid w:val="2EF17081"/>
    <w:rsid w:val="2F02606D"/>
    <w:rsid w:val="2F3B3CD8"/>
    <w:rsid w:val="30592C7B"/>
    <w:rsid w:val="30D1119A"/>
    <w:rsid w:val="30F12F4C"/>
    <w:rsid w:val="3112402E"/>
    <w:rsid w:val="31333B5E"/>
    <w:rsid w:val="313D3E38"/>
    <w:rsid w:val="31DC2E33"/>
    <w:rsid w:val="32326341"/>
    <w:rsid w:val="32611BF0"/>
    <w:rsid w:val="333E3616"/>
    <w:rsid w:val="33A83294"/>
    <w:rsid w:val="34011E26"/>
    <w:rsid w:val="341B4D23"/>
    <w:rsid w:val="345C5D91"/>
    <w:rsid w:val="35613714"/>
    <w:rsid w:val="358C4411"/>
    <w:rsid w:val="364C7713"/>
    <w:rsid w:val="36A81FB2"/>
    <w:rsid w:val="36E721C0"/>
    <w:rsid w:val="3722158D"/>
    <w:rsid w:val="375E09FC"/>
    <w:rsid w:val="37AB582D"/>
    <w:rsid w:val="37CC339A"/>
    <w:rsid w:val="381955E1"/>
    <w:rsid w:val="38525FA9"/>
    <w:rsid w:val="38C51D5F"/>
    <w:rsid w:val="39003F1D"/>
    <w:rsid w:val="39276876"/>
    <w:rsid w:val="392B2930"/>
    <w:rsid w:val="3A5E179F"/>
    <w:rsid w:val="3AB56764"/>
    <w:rsid w:val="3AC853CC"/>
    <w:rsid w:val="3B66136D"/>
    <w:rsid w:val="3C582CD8"/>
    <w:rsid w:val="3DAE32E2"/>
    <w:rsid w:val="3E094E14"/>
    <w:rsid w:val="3E2546CD"/>
    <w:rsid w:val="3E5874B7"/>
    <w:rsid w:val="40531C58"/>
    <w:rsid w:val="405D53B5"/>
    <w:rsid w:val="41192D98"/>
    <w:rsid w:val="413E5CD9"/>
    <w:rsid w:val="41F34A03"/>
    <w:rsid w:val="42085E65"/>
    <w:rsid w:val="42C01F6C"/>
    <w:rsid w:val="43425F9D"/>
    <w:rsid w:val="435B7D84"/>
    <w:rsid w:val="437B3C1A"/>
    <w:rsid w:val="438D54CE"/>
    <w:rsid w:val="439C3AD9"/>
    <w:rsid w:val="43DE49AD"/>
    <w:rsid w:val="43F465D0"/>
    <w:rsid w:val="442A053D"/>
    <w:rsid w:val="44433A7B"/>
    <w:rsid w:val="44440739"/>
    <w:rsid w:val="446F65B8"/>
    <w:rsid w:val="44F057A6"/>
    <w:rsid w:val="45923555"/>
    <w:rsid w:val="45A95346"/>
    <w:rsid w:val="45D415CE"/>
    <w:rsid w:val="46416F41"/>
    <w:rsid w:val="464E299D"/>
    <w:rsid w:val="467D6748"/>
    <w:rsid w:val="46C4203A"/>
    <w:rsid w:val="470E29AE"/>
    <w:rsid w:val="483D34CD"/>
    <w:rsid w:val="48483AB8"/>
    <w:rsid w:val="48BC411A"/>
    <w:rsid w:val="496C09B9"/>
    <w:rsid w:val="49CB0CCD"/>
    <w:rsid w:val="4AA610D6"/>
    <w:rsid w:val="4AD618B2"/>
    <w:rsid w:val="4B0C055A"/>
    <w:rsid w:val="4C1B7A56"/>
    <w:rsid w:val="4C500DB7"/>
    <w:rsid w:val="4C610D2E"/>
    <w:rsid w:val="4C8B4A7C"/>
    <w:rsid w:val="4CFC368B"/>
    <w:rsid w:val="4E7D412D"/>
    <w:rsid w:val="4EBE4481"/>
    <w:rsid w:val="4F086AAF"/>
    <w:rsid w:val="5069668A"/>
    <w:rsid w:val="50764389"/>
    <w:rsid w:val="50A83CB2"/>
    <w:rsid w:val="51147285"/>
    <w:rsid w:val="512B42F2"/>
    <w:rsid w:val="512E1706"/>
    <w:rsid w:val="51737B4A"/>
    <w:rsid w:val="51AA58C4"/>
    <w:rsid w:val="524533A4"/>
    <w:rsid w:val="5247520B"/>
    <w:rsid w:val="538E5DEC"/>
    <w:rsid w:val="55E27D0D"/>
    <w:rsid w:val="56D076DF"/>
    <w:rsid w:val="56E34736"/>
    <w:rsid w:val="56FB15A3"/>
    <w:rsid w:val="572C3C94"/>
    <w:rsid w:val="57783C19"/>
    <w:rsid w:val="57806BBC"/>
    <w:rsid w:val="57F736AC"/>
    <w:rsid w:val="58963DA7"/>
    <w:rsid w:val="592C3305"/>
    <w:rsid w:val="5A2C7551"/>
    <w:rsid w:val="5A400720"/>
    <w:rsid w:val="5B33669F"/>
    <w:rsid w:val="5B712B41"/>
    <w:rsid w:val="5BEE4A0F"/>
    <w:rsid w:val="5C072B21"/>
    <w:rsid w:val="5CF4139A"/>
    <w:rsid w:val="5D693C9C"/>
    <w:rsid w:val="5D9D7735"/>
    <w:rsid w:val="5DA27804"/>
    <w:rsid w:val="5DE973D6"/>
    <w:rsid w:val="5DFB4300"/>
    <w:rsid w:val="5E5E457D"/>
    <w:rsid w:val="5E8D2D21"/>
    <w:rsid w:val="5EBD1212"/>
    <w:rsid w:val="5EFB149B"/>
    <w:rsid w:val="5F1D6CF6"/>
    <w:rsid w:val="5F616FA8"/>
    <w:rsid w:val="5FAD0DCB"/>
    <w:rsid w:val="5FC603F6"/>
    <w:rsid w:val="5FFE4D34"/>
    <w:rsid w:val="60C82A21"/>
    <w:rsid w:val="61785A21"/>
    <w:rsid w:val="61EE5BEB"/>
    <w:rsid w:val="61F66A19"/>
    <w:rsid w:val="623F329A"/>
    <w:rsid w:val="62695E27"/>
    <w:rsid w:val="628242DE"/>
    <w:rsid w:val="62BE7007"/>
    <w:rsid w:val="636127C3"/>
    <w:rsid w:val="637528F4"/>
    <w:rsid w:val="6381342F"/>
    <w:rsid w:val="63A47130"/>
    <w:rsid w:val="63E745E1"/>
    <w:rsid w:val="63F80061"/>
    <w:rsid w:val="650B601A"/>
    <w:rsid w:val="6541100E"/>
    <w:rsid w:val="654C0BA8"/>
    <w:rsid w:val="65BE6A46"/>
    <w:rsid w:val="664352EB"/>
    <w:rsid w:val="672079BD"/>
    <w:rsid w:val="683E7EE4"/>
    <w:rsid w:val="68FF5564"/>
    <w:rsid w:val="69356912"/>
    <w:rsid w:val="695D5F7A"/>
    <w:rsid w:val="696610E4"/>
    <w:rsid w:val="697C3181"/>
    <w:rsid w:val="6A3937F5"/>
    <w:rsid w:val="6A83721D"/>
    <w:rsid w:val="6AE21101"/>
    <w:rsid w:val="6B0A6DF0"/>
    <w:rsid w:val="6B0C558D"/>
    <w:rsid w:val="6B4F3B9E"/>
    <w:rsid w:val="6B5837D2"/>
    <w:rsid w:val="6B59484F"/>
    <w:rsid w:val="6B5B5623"/>
    <w:rsid w:val="6BD63153"/>
    <w:rsid w:val="6BFE0B4D"/>
    <w:rsid w:val="6C124214"/>
    <w:rsid w:val="6C5B55DC"/>
    <w:rsid w:val="6CA565D4"/>
    <w:rsid w:val="6CAE03DD"/>
    <w:rsid w:val="6CE56E6B"/>
    <w:rsid w:val="6D032DAA"/>
    <w:rsid w:val="6DB80F23"/>
    <w:rsid w:val="6E005A26"/>
    <w:rsid w:val="6E6329C5"/>
    <w:rsid w:val="6EB5272B"/>
    <w:rsid w:val="6EFF345A"/>
    <w:rsid w:val="6F0E41D6"/>
    <w:rsid w:val="6F3B56A3"/>
    <w:rsid w:val="6F4F7C8F"/>
    <w:rsid w:val="6FB4540B"/>
    <w:rsid w:val="700F58FF"/>
    <w:rsid w:val="70C73255"/>
    <w:rsid w:val="71126C39"/>
    <w:rsid w:val="71453C3C"/>
    <w:rsid w:val="715F328E"/>
    <w:rsid w:val="71610FBE"/>
    <w:rsid w:val="725008FF"/>
    <w:rsid w:val="72760778"/>
    <w:rsid w:val="743104E3"/>
    <w:rsid w:val="74320C3C"/>
    <w:rsid w:val="74513162"/>
    <w:rsid w:val="74EC2A72"/>
    <w:rsid w:val="75431AF8"/>
    <w:rsid w:val="757B75BC"/>
    <w:rsid w:val="75D41971"/>
    <w:rsid w:val="76A665D3"/>
    <w:rsid w:val="776150BB"/>
    <w:rsid w:val="78035C36"/>
    <w:rsid w:val="78BD1F9D"/>
    <w:rsid w:val="79201CE1"/>
    <w:rsid w:val="79A52EA1"/>
    <w:rsid w:val="79B14724"/>
    <w:rsid w:val="7B3450D7"/>
    <w:rsid w:val="7B3E0A41"/>
    <w:rsid w:val="7C323980"/>
    <w:rsid w:val="7D4607F9"/>
    <w:rsid w:val="7D730629"/>
    <w:rsid w:val="7E01395C"/>
    <w:rsid w:val="7EDB48C1"/>
    <w:rsid w:val="7FA605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qFormat="1" w:uiPriority="39" w:semiHidden="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next w:val="11"/>
    <w:link w:val="42"/>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toc 3"/>
    <w:basedOn w:val="1"/>
    <w:next w:val="1"/>
    <w:unhideWhenUsed/>
    <w:qFormat/>
    <w:locked/>
    <w:uiPriority w:val="39"/>
    <w:pPr>
      <w:tabs>
        <w:tab w:val="right" w:leader="dot" w:pos="8296"/>
      </w:tabs>
      <w:ind w:left="838" w:leftChars="381"/>
    </w:pPr>
    <w:rPr>
      <w:szCs w:val="21"/>
    </w:rPr>
  </w:style>
  <w:style w:type="paragraph" w:styleId="15">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6">
    <w:name w:val="Balloon Text"/>
    <w:basedOn w:val="1"/>
    <w:link w:val="39"/>
    <w:qFormat/>
    <w:uiPriority w:val="99"/>
    <w:rPr>
      <w:sz w:val="18"/>
      <w:szCs w:val="18"/>
    </w:rPr>
  </w:style>
  <w:style w:type="paragraph" w:styleId="17">
    <w:name w:val="footer"/>
    <w:basedOn w:val="1"/>
    <w:link w:val="40"/>
    <w:qFormat/>
    <w:uiPriority w:val="99"/>
    <w:pPr>
      <w:tabs>
        <w:tab w:val="center" w:pos="4153"/>
        <w:tab w:val="right" w:pos="8306"/>
      </w:tabs>
      <w:snapToGrid w:val="0"/>
      <w:jc w:val="left"/>
    </w:pPr>
    <w:rPr>
      <w:sz w:val="18"/>
      <w:szCs w:val="18"/>
    </w:rPr>
  </w:style>
  <w:style w:type="paragraph" w:styleId="18">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Body Text Indent 3"/>
    <w:basedOn w:val="1"/>
    <w:qFormat/>
    <w:uiPriority w:val="0"/>
    <w:pPr>
      <w:spacing w:line="360" w:lineRule="auto"/>
      <w:ind w:firstLine="420" w:firstLineChars="200"/>
    </w:pPr>
    <w:rPr>
      <w:szCs w:val="18"/>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59"/>
    <w:semiHidden/>
    <w:qFormat/>
    <w:uiPriority w:val="99"/>
    <w:rPr>
      <w:b/>
      <w:bCs/>
    </w:rPr>
  </w:style>
  <w:style w:type="paragraph" w:styleId="23">
    <w:name w:val="Body Text First Indent 2"/>
    <w:basedOn w:val="12"/>
    <w:qFormat/>
    <w:uiPriority w:val="99"/>
    <w:pPr>
      <w:ind w:left="567" w:leftChars="270"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22"/>
    <w:rPr>
      <w:b/>
    </w:rPr>
  </w:style>
  <w:style w:type="character" w:styleId="28">
    <w:name w:val="Emphasis"/>
    <w:qFormat/>
    <w:locked/>
    <w:uiPriority w:val="0"/>
    <w:rPr>
      <w:i/>
    </w:rPr>
  </w:style>
  <w:style w:type="character" w:styleId="29">
    <w:name w:val="Hyperlink"/>
    <w:qFormat/>
    <w:uiPriority w:val="99"/>
    <w:rPr>
      <w:rFonts w:cs="Times New Roman"/>
      <w:color w:val="0000FF"/>
      <w:u w:val="single"/>
    </w:rPr>
  </w:style>
  <w:style w:type="character" w:styleId="30">
    <w:name w:val="annotation reference"/>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link w:val="2"/>
    <w:qFormat/>
    <w:locked/>
    <w:uiPriority w:val="99"/>
    <w:rPr>
      <w:rFonts w:ascii="Times New Roman" w:hAnsi="Times New Roman" w:eastAsia="宋体" w:cs="Times New Roman"/>
      <w:b/>
      <w:bCs/>
      <w:kern w:val="44"/>
      <w:sz w:val="44"/>
      <w:szCs w:val="44"/>
    </w:rPr>
  </w:style>
  <w:style w:type="character" w:customStyle="1" w:styleId="33">
    <w:name w:val="标题 2 字符"/>
    <w:link w:val="3"/>
    <w:qFormat/>
    <w:locked/>
    <w:uiPriority w:val="99"/>
    <w:rPr>
      <w:rFonts w:ascii="Cambria" w:hAnsi="Cambria" w:eastAsia="宋体" w:cs="Times New Roman"/>
      <w:b/>
      <w:bCs/>
      <w:kern w:val="2"/>
      <w:sz w:val="32"/>
      <w:szCs w:val="32"/>
    </w:rPr>
  </w:style>
  <w:style w:type="character" w:customStyle="1" w:styleId="34">
    <w:name w:val="标题 3 字符"/>
    <w:link w:val="4"/>
    <w:qFormat/>
    <w:locked/>
    <w:uiPriority w:val="99"/>
    <w:rPr>
      <w:rFonts w:eastAsia="宋体" w:cs="Times New Roman"/>
      <w:b/>
      <w:sz w:val="32"/>
    </w:rPr>
  </w:style>
  <w:style w:type="character" w:customStyle="1" w:styleId="35">
    <w:name w:val="标题 4 字符1"/>
    <w:link w:val="5"/>
    <w:qFormat/>
    <w:locked/>
    <w:uiPriority w:val="99"/>
    <w:rPr>
      <w:rFonts w:ascii="Arial" w:hAnsi="Arial" w:eastAsia="黑体" w:cs="Times New Roman"/>
      <w:b/>
      <w:bCs/>
      <w:kern w:val="2"/>
      <w:sz w:val="28"/>
      <w:szCs w:val="28"/>
    </w:rPr>
  </w:style>
  <w:style w:type="character" w:customStyle="1" w:styleId="36">
    <w:name w:val="文档结构图 字符"/>
    <w:link w:val="7"/>
    <w:qFormat/>
    <w:locked/>
    <w:uiPriority w:val="99"/>
    <w:rPr>
      <w:rFonts w:ascii="宋体" w:hAnsi="Times New Roman" w:eastAsia="宋体" w:cs="Times New Roman"/>
      <w:kern w:val="2"/>
      <w:sz w:val="18"/>
      <w:szCs w:val="18"/>
    </w:rPr>
  </w:style>
  <w:style w:type="character" w:customStyle="1" w:styleId="37">
    <w:name w:val="批注文字 字符"/>
    <w:link w:val="8"/>
    <w:qFormat/>
    <w:locked/>
    <w:uiPriority w:val="99"/>
    <w:rPr>
      <w:rFonts w:ascii="Times New Roman" w:hAnsi="Times New Roman" w:cs="Times New Roman"/>
      <w:kern w:val="2"/>
      <w:sz w:val="21"/>
    </w:rPr>
  </w:style>
  <w:style w:type="character" w:customStyle="1" w:styleId="38">
    <w:name w:val="正文文本 字符"/>
    <w:link w:val="9"/>
    <w:qFormat/>
    <w:locked/>
    <w:uiPriority w:val="99"/>
    <w:rPr>
      <w:rFonts w:ascii="Times New Roman" w:hAnsi="Times New Roman" w:eastAsia="宋体" w:cs="Times New Roman"/>
      <w:sz w:val="20"/>
      <w:szCs w:val="20"/>
    </w:rPr>
  </w:style>
  <w:style w:type="character" w:customStyle="1" w:styleId="39">
    <w:name w:val="批注框文本 字符"/>
    <w:link w:val="16"/>
    <w:qFormat/>
    <w:locked/>
    <w:uiPriority w:val="99"/>
    <w:rPr>
      <w:rFonts w:ascii="Times New Roman" w:hAnsi="Times New Roman" w:eastAsia="宋体" w:cs="Times New Roman"/>
      <w:kern w:val="2"/>
      <w:sz w:val="18"/>
      <w:szCs w:val="18"/>
    </w:rPr>
  </w:style>
  <w:style w:type="character" w:customStyle="1" w:styleId="40">
    <w:name w:val="页脚 字符"/>
    <w:link w:val="17"/>
    <w:qFormat/>
    <w:locked/>
    <w:uiPriority w:val="99"/>
    <w:rPr>
      <w:rFonts w:ascii="Times New Roman" w:hAnsi="Times New Roman" w:eastAsia="宋体" w:cs="Times New Roman"/>
      <w:sz w:val="18"/>
      <w:szCs w:val="18"/>
    </w:rPr>
  </w:style>
  <w:style w:type="character" w:customStyle="1" w:styleId="41">
    <w:name w:val="页眉 字符"/>
    <w:link w:val="18"/>
    <w:qFormat/>
    <w:locked/>
    <w:uiPriority w:val="99"/>
    <w:rPr>
      <w:rFonts w:ascii="Times New Roman" w:hAnsi="Times New Roman" w:eastAsia="宋体" w:cs="Times New Roman"/>
      <w:sz w:val="18"/>
      <w:szCs w:val="18"/>
    </w:rPr>
  </w:style>
  <w:style w:type="character" w:customStyle="1" w:styleId="42">
    <w:name w:val="正文文本首行缩进 字符"/>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next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link w:val="15"/>
    <w:qFormat/>
    <w:locked/>
    <w:uiPriority w:val="99"/>
    <w:rPr>
      <w:rFonts w:ascii="宋体" w:hAnsi="Courier New" w:eastAsia="宋体" w:cs="Times New Roman"/>
      <w:kern w:val="2"/>
      <w:sz w:val="21"/>
      <w:szCs w:val="21"/>
    </w:rPr>
  </w:style>
  <w:style w:type="character" w:customStyle="1" w:styleId="55">
    <w:name w:val="未处理的提及1"/>
    <w:semiHidden/>
    <w:qFormat/>
    <w:uiPriority w:val="99"/>
    <w:rPr>
      <w:rFonts w:cs="Times New Roman"/>
      <w:color w:val="605E5C"/>
      <w:shd w:val="clear" w:color="auto" w:fill="E1DFDD"/>
    </w:rPr>
  </w:style>
  <w:style w:type="paragraph" w:customStyle="1" w:styleId="56">
    <w:name w:val="样式"/>
    <w:basedOn w:val="1"/>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link w:val="22"/>
    <w:semiHidden/>
    <w:qFormat/>
    <w:locked/>
    <w:uiPriority w:val="99"/>
    <w:rPr>
      <w:rFonts w:ascii="Times New Roman" w:hAnsi="Times New Roman" w:eastAsia="宋体" w:cs="Times New Roman"/>
      <w:b/>
      <w:bCs/>
      <w:kern w:val="2"/>
      <w:sz w:val="21"/>
    </w:rPr>
  </w:style>
  <w:style w:type="character" w:customStyle="1" w:styleId="60">
    <w:name w:val="标题 4 字符"/>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paragraph" w:customStyle="1" w:styleId="65">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6">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 w:type="character" w:customStyle="1" w:styleId="67">
    <w:name w:val="font21"/>
    <w:basedOn w:val="26"/>
    <w:qFormat/>
    <w:uiPriority w:val="0"/>
    <w:rPr>
      <w:rFonts w:hint="eastAsia" w:ascii="等线" w:hAnsi="等线" w:eastAsia="等线" w:cs="等线"/>
      <w:color w:val="000000"/>
      <w:sz w:val="18"/>
      <w:szCs w:val="18"/>
      <w:u w:val="none"/>
    </w:rPr>
  </w:style>
  <w:style w:type="character" w:customStyle="1" w:styleId="68">
    <w:name w:val="font11"/>
    <w:basedOn w:val="26"/>
    <w:qFormat/>
    <w:uiPriority w:val="0"/>
    <w:rPr>
      <w:rFonts w:hint="eastAsia" w:ascii="宋体" w:hAnsi="宋体" w:eastAsia="宋体" w:cs="宋体"/>
      <w:color w:val="000000"/>
      <w:sz w:val="18"/>
      <w:szCs w:val="18"/>
      <w:u w:val="none"/>
    </w:rPr>
  </w:style>
  <w:style w:type="character" w:customStyle="1" w:styleId="69">
    <w:name w:val="font01"/>
    <w:basedOn w:val="26"/>
    <w:qFormat/>
    <w:uiPriority w:val="0"/>
    <w:rPr>
      <w:rFonts w:hint="eastAsia" w:ascii="宋体" w:hAnsi="宋体" w:eastAsia="宋体" w:cs="宋体"/>
      <w:color w:val="000000"/>
      <w:sz w:val="24"/>
      <w:szCs w:val="24"/>
      <w:u w:val="none"/>
    </w:rPr>
  </w:style>
  <w:style w:type="paragraph" w:customStyle="1" w:styleId="70">
    <w:name w:val="+正文"/>
    <w:basedOn w:val="1"/>
    <w:qFormat/>
    <w:uiPriority w:val="0"/>
    <w:rPr>
      <w:rFonts w:ascii="Calibri" w:hAnsi="Calibri"/>
      <w:szCs w:val="28"/>
    </w:rPr>
  </w:style>
  <w:style w:type="character" w:customStyle="1" w:styleId="71">
    <w:name w:val="font51"/>
    <w:basedOn w:val="26"/>
    <w:qFormat/>
    <w:uiPriority w:val="0"/>
    <w:rPr>
      <w:rFonts w:ascii="Calibri" w:hAnsi="Calibri" w:cs="Calibri"/>
      <w:color w:val="000000"/>
      <w:sz w:val="20"/>
      <w:szCs w:val="20"/>
      <w:u w:val="none"/>
    </w:rPr>
  </w:style>
  <w:style w:type="character" w:customStyle="1" w:styleId="72">
    <w:name w:val="font31"/>
    <w:basedOn w:val="26"/>
    <w:qFormat/>
    <w:uiPriority w:val="0"/>
    <w:rPr>
      <w:rFonts w:hint="eastAsia" w:ascii="宋体" w:hAnsi="宋体" w:eastAsia="宋体" w:cs="宋体"/>
      <w:color w:val="000000"/>
      <w:sz w:val="20"/>
      <w:szCs w:val="20"/>
      <w:u w:val="none"/>
    </w:rPr>
  </w:style>
  <w:style w:type="character" w:customStyle="1" w:styleId="73">
    <w:name w:val="font71"/>
    <w:basedOn w:val="26"/>
    <w:qFormat/>
    <w:uiPriority w:val="0"/>
    <w:rPr>
      <w:rFonts w:ascii="Calibri" w:hAnsi="Calibri" w:cs="Calibri"/>
      <w:color w:val="000000"/>
      <w:sz w:val="20"/>
      <w:szCs w:val="20"/>
      <w:u w:val="none"/>
    </w:rPr>
  </w:style>
  <w:style w:type="paragraph" w:customStyle="1" w:styleId="74">
    <w:name w:val="Char"/>
    <w:basedOn w:val="1"/>
    <w:next w:val="14"/>
    <w:autoRedefine/>
    <w:qFormat/>
    <w:uiPriority w:val="0"/>
    <w:pPr>
      <w:ind w:firstLine="480"/>
      <w:jc w:val="both"/>
      <w:pPrChange w:id="0" w:author="China" w:date="2025-12-04T14:02:00Z">
        <w:pPr>
          <w:snapToGrid w:val="0"/>
          <w:spacing w:line="400" w:lineRule="exact"/>
          <w:jc w:val="center"/>
        </w:pPr>
      </w:pPrChange>
    </w:pPr>
    <w:rPr>
      <w:rFonts w:ascii="Times New Roman"/>
      <w:szCs w:val="20"/>
      <w:rPrChange w:id="1" w:author="China" w:date="2025-12-04T14:02:00Z">
        <w:rPr>
          <w:rFonts w:hAnsi="Tahoma" w:eastAsia="宋体" w:cstheme="minorBidi"/>
          <w:sz w:val="21"/>
          <w:lang w:val="en-US" w:eastAsia="zh-CN" w:bidi="ar-SA"/>
        </w:rPr>
      </w:rPrChang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8" textRotate="1"/>
    <customShpInfo spid="_x0000_s3091"/>
    <customShpInfo spid="_x0000_s3094"/>
    <customShpInfo spid="_x0000_s3093"/>
    <customShpInfo spid="_x0000_s3092"/>
    <customShpInfo spid="_x0000_s3095"/>
    <customShpInfo spid="_x0000_s3090" textRotate="1"/>
    <customShpInfo spid="_x0000_s3075"/>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45</Pages>
  <Words>4495</Words>
  <Characters>4673</Characters>
  <Lines>247</Lines>
  <Paragraphs>69</Paragraphs>
  <TotalTime>9</TotalTime>
  <ScaleCrop>false</ScaleCrop>
  <LinksUpToDate>false</LinksUpToDate>
  <CharactersWithSpaces>4800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2025-12-24T01:54:13Z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