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5C7204">
      <w:pPr>
        <w:keepNext w:val="0"/>
        <w:keepLines w:val="0"/>
        <w:pageBreakBefore w:val="0"/>
        <w:overflowPunct/>
        <w:topLinePunct w:val="0"/>
        <w:bidi w:val="0"/>
        <w:adjustRightInd w:val="0"/>
        <w:snapToGrid w:val="0"/>
        <w:spacing w:before="120" w:after="120" w:line="560" w:lineRule="exact"/>
        <w:jc w:val="center"/>
        <w:rPr>
          <w:rFonts w:hint="eastAsia" w:eastAsia="华文中宋"/>
          <w:color w:val="auto"/>
          <w:sz w:val="36"/>
          <w:szCs w:val="36"/>
          <w:highlight w:val="none"/>
        </w:rPr>
      </w:pPr>
      <w:r>
        <w:rPr>
          <w:rFonts w:hint="eastAsia" w:eastAsia="华文中宋"/>
          <w:color w:val="auto"/>
          <w:sz w:val="36"/>
          <w:szCs w:val="36"/>
          <w:highlight w:val="none"/>
        </w:rPr>
        <w:t>竞争性谈判文件</w:t>
      </w:r>
    </w:p>
    <w:p w14:paraId="3B2FB291">
      <w:pPr>
        <w:pStyle w:val="2"/>
        <w:rPr>
          <w:rFonts w:hint="default" w:eastAsia="宋体"/>
          <w:color w:val="auto"/>
          <w:sz w:val="24"/>
          <w:szCs w:val="24"/>
          <w:highlight w:val="none"/>
        </w:rPr>
      </w:pPr>
    </w:p>
    <w:p w14:paraId="1ED49E07">
      <w:pPr>
        <w:pStyle w:val="10"/>
        <w:keepNext w:val="0"/>
        <w:keepLines w:val="0"/>
        <w:pageBreakBefore w:val="0"/>
        <w:overflowPunct/>
        <w:topLinePunct w:val="0"/>
        <w:bidi w:val="0"/>
        <w:spacing w:line="560" w:lineRule="exact"/>
        <w:jc w:val="center"/>
        <w:rPr>
          <w:rFonts w:hint="eastAsia"/>
          <w:color w:val="auto"/>
          <w:sz w:val="28"/>
          <w:szCs w:val="28"/>
          <w:highlight w:val="none"/>
        </w:rPr>
      </w:pPr>
      <w:r>
        <w:rPr>
          <w:rFonts w:hint="eastAsia"/>
          <w:color w:val="auto"/>
          <w:sz w:val="28"/>
          <w:szCs w:val="28"/>
          <w:highlight w:val="none"/>
        </w:rPr>
        <w:t>编号：GYBG-CQ-03-01-018（2025）</w:t>
      </w:r>
    </w:p>
    <w:p w14:paraId="7AEDD460">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u w:val="none"/>
          <w:lang w:val="en-US" w:eastAsia="zh-CN"/>
        </w:rPr>
        <w:t>为办理</w:t>
      </w:r>
      <w:r>
        <w:rPr>
          <w:rFonts w:hint="eastAsia" w:eastAsia="仿宋_GB2312"/>
          <w:color w:val="auto"/>
          <w:sz w:val="28"/>
          <w:szCs w:val="28"/>
          <w:highlight w:val="none"/>
          <w:u w:val="none"/>
        </w:rPr>
        <w:t>酒</w:t>
      </w:r>
      <w:r>
        <w:rPr>
          <w:rFonts w:hint="eastAsia" w:eastAsia="仿宋_GB2312"/>
          <w:color w:val="auto"/>
          <w:sz w:val="28"/>
          <w:szCs w:val="28"/>
          <w:highlight w:val="none"/>
        </w:rPr>
        <w:t>店</w:t>
      </w:r>
      <w:r>
        <w:rPr>
          <w:rFonts w:hint="eastAsia" w:eastAsia="仿宋_GB2312"/>
          <w:color w:val="auto"/>
          <w:sz w:val="28"/>
          <w:szCs w:val="28"/>
          <w:highlight w:val="none"/>
          <w:lang w:val="en-US" w:eastAsia="zh-CN"/>
        </w:rPr>
        <w:t>一期建筑不动产权证，需开展房屋结构安全鉴定</w:t>
      </w:r>
      <w:r>
        <w:rPr>
          <w:rFonts w:hint="eastAsia" w:eastAsia="仿宋_GB2312"/>
          <w:color w:val="auto"/>
          <w:sz w:val="28"/>
          <w:szCs w:val="28"/>
          <w:highlight w:val="none"/>
        </w:rPr>
        <w:t>，</w:t>
      </w:r>
      <w:r>
        <w:rPr>
          <w:rFonts w:hint="eastAsia" w:eastAsia="仿宋_GB2312"/>
          <w:color w:val="auto"/>
          <w:sz w:val="28"/>
          <w:szCs w:val="28"/>
          <w:highlight w:val="none"/>
          <w:lang w:val="en-US" w:eastAsia="zh-CN"/>
        </w:rPr>
        <w:t>现将采购项目情况</w:t>
      </w:r>
      <w:r>
        <w:rPr>
          <w:rFonts w:hint="eastAsia" w:eastAsia="仿宋_GB2312"/>
          <w:color w:val="auto"/>
          <w:sz w:val="28"/>
          <w:szCs w:val="28"/>
          <w:highlight w:val="none"/>
        </w:rPr>
        <w:t>介绍如下：</w:t>
      </w:r>
    </w:p>
    <w:p w14:paraId="36A65F9C">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一、项目名称及内容</w:t>
      </w:r>
    </w:p>
    <w:p w14:paraId="20181835">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u w:val="single"/>
          <w:lang w:val="en-US" w:eastAsia="zh-CN"/>
        </w:rPr>
      </w:pPr>
      <w:r>
        <w:rPr>
          <w:rFonts w:eastAsia="仿宋_GB2312"/>
          <w:color w:val="auto"/>
          <w:sz w:val="28"/>
          <w:szCs w:val="28"/>
          <w:highlight w:val="none"/>
        </w:rPr>
        <w:t>1</w:t>
      </w:r>
      <w:r>
        <w:rPr>
          <w:rFonts w:hint="eastAsia" w:eastAsia="仿宋_GB2312"/>
          <w:color w:val="auto"/>
          <w:sz w:val="28"/>
          <w:szCs w:val="28"/>
          <w:highlight w:val="none"/>
        </w:rPr>
        <w:t>、项目名称：</w:t>
      </w:r>
      <w:r>
        <w:rPr>
          <w:rFonts w:hint="eastAsia" w:eastAsia="仿宋_GB2312"/>
          <w:color w:val="auto"/>
          <w:sz w:val="28"/>
          <w:szCs w:val="28"/>
          <w:highlight w:val="none"/>
          <w:u w:val="single"/>
          <w:lang w:val="en-US" w:eastAsia="zh-CN"/>
        </w:rPr>
        <w:t>东莞迎宾馆一期建筑房屋结构安全鉴定项目（重新采购）；</w:t>
      </w:r>
    </w:p>
    <w:p w14:paraId="1B49CBFA">
      <w:pPr>
        <w:keepNext w:val="0"/>
        <w:keepLines w:val="0"/>
        <w:pageBreakBefore w:val="0"/>
        <w:overflowPunct/>
        <w:topLinePunct w:val="0"/>
        <w:bidi w:val="0"/>
        <w:adjustRightInd w:val="0"/>
        <w:snapToGrid w:val="0"/>
        <w:spacing w:line="560" w:lineRule="exact"/>
        <w:ind w:firstLine="560" w:firstLineChars="200"/>
        <w:rPr>
          <w:rFonts w:eastAsia="仿宋_GB2312"/>
          <w:color w:val="auto"/>
          <w:sz w:val="28"/>
          <w:szCs w:val="28"/>
          <w:highlight w:val="none"/>
          <w:u w:val="none"/>
        </w:rPr>
      </w:pPr>
      <w:r>
        <w:rPr>
          <w:rFonts w:eastAsia="仿宋_GB2312"/>
          <w:color w:val="auto"/>
          <w:sz w:val="28"/>
          <w:szCs w:val="28"/>
          <w:highlight w:val="none"/>
          <w:u w:val="none"/>
        </w:rPr>
        <w:t>2</w:t>
      </w:r>
      <w:r>
        <w:rPr>
          <w:rFonts w:hint="eastAsia" w:eastAsia="仿宋_GB2312"/>
          <w:color w:val="auto"/>
          <w:sz w:val="28"/>
          <w:szCs w:val="28"/>
          <w:highlight w:val="none"/>
          <w:u w:val="none"/>
        </w:rPr>
        <w:t>、采购范围：详见谈判文件《用户需求</w:t>
      </w:r>
      <w:r>
        <w:rPr>
          <w:rFonts w:hint="eastAsia" w:eastAsia="仿宋_GB2312"/>
          <w:color w:val="auto"/>
          <w:sz w:val="28"/>
          <w:szCs w:val="28"/>
          <w:highlight w:val="none"/>
          <w:u w:val="none"/>
          <w:lang w:val="en-US" w:eastAsia="zh-CN"/>
        </w:rPr>
        <w:t>及技术规范要求书</w:t>
      </w:r>
      <w:r>
        <w:rPr>
          <w:rFonts w:hint="eastAsia" w:eastAsia="仿宋_GB2312"/>
          <w:color w:val="auto"/>
          <w:sz w:val="28"/>
          <w:szCs w:val="28"/>
          <w:highlight w:val="none"/>
          <w:u w:val="none"/>
        </w:rPr>
        <w:t>》；</w:t>
      </w:r>
    </w:p>
    <w:p w14:paraId="4636AABC">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u w:val="none"/>
          <w:lang w:eastAsia="zh-CN"/>
        </w:rPr>
      </w:pPr>
      <w:r>
        <w:rPr>
          <w:rFonts w:eastAsia="仿宋_GB2312"/>
          <w:color w:val="auto"/>
          <w:sz w:val="28"/>
          <w:szCs w:val="28"/>
          <w:highlight w:val="none"/>
        </w:rPr>
        <w:t>3</w:t>
      </w:r>
      <w:r>
        <w:rPr>
          <w:rFonts w:hint="eastAsia" w:eastAsia="仿宋_GB2312"/>
          <w:color w:val="auto"/>
          <w:sz w:val="28"/>
          <w:szCs w:val="28"/>
          <w:highlight w:val="none"/>
        </w:rPr>
        <w:t>、项目地点：</w:t>
      </w:r>
      <w:r>
        <w:rPr>
          <w:rFonts w:hint="eastAsia" w:eastAsia="仿宋_GB2312"/>
          <w:color w:val="auto"/>
          <w:sz w:val="28"/>
          <w:szCs w:val="28"/>
          <w:highlight w:val="none"/>
          <w:u w:val="none"/>
        </w:rPr>
        <w:t>东莞迎宾馆</w:t>
      </w:r>
      <w:r>
        <w:rPr>
          <w:rFonts w:hint="eastAsia" w:eastAsia="仿宋_GB2312"/>
          <w:color w:val="auto"/>
          <w:sz w:val="28"/>
          <w:szCs w:val="28"/>
          <w:highlight w:val="none"/>
          <w:u w:val="none"/>
          <w:lang w:eastAsia="zh-CN"/>
        </w:rPr>
        <w:t>；</w:t>
      </w:r>
    </w:p>
    <w:p w14:paraId="2B94C44C">
      <w:pPr>
        <w:pStyle w:val="29"/>
        <w:keepNext w:val="0"/>
        <w:keepLines w:val="0"/>
        <w:pageBreakBefore w:val="0"/>
        <w:wordWrap/>
        <w:overflowPunct/>
        <w:topLinePunct w:val="0"/>
        <w:bidi w:val="0"/>
        <w:spacing w:line="560" w:lineRule="exact"/>
        <w:ind w:left="0" w:leftChars="0" w:firstLine="560" w:firstLineChars="200"/>
        <w:rPr>
          <w:rFonts w:hint="eastAsia" w:ascii="Times New Roman" w:hAnsi="Times New Roman" w:eastAsia="仿宋_GB2312" w:cs="Times New Roman"/>
          <w:b w:val="0"/>
          <w:bCs w:val="0"/>
          <w:color w:val="auto"/>
          <w:kern w:val="2"/>
          <w:sz w:val="28"/>
          <w:szCs w:val="28"/>
          <w:highlight w:val="none"/>
          <w:u w:val="none"/>
          <w:lang w:val="en-US" w:eastAsia="zh-CN" w:bidi="ar-SA"/>
        </w:rPr>
      </w:pPr>
      <w:r>
        <w:rPr>
          <w:rFonts w:hint="eastAsia" w:eastAsia="仿宋_GB2312"/>
          <w:color w:val="auto"/>
          <w:sz w:val="28"/>
          <w:szCs w:val="28"/>
          <w:highlight w:val="none"/>
          <w:u w:val="none"/>
          <w:lang w:val="en-US" w:eastAsia="zh-CN"/>
        </w:rPr>
        <w:t>4、项目面积：酒店一期建筑共16栋，总面积采购人自测约46722㎡，</w:t>
      </w:r>
      <w:r>
        <w:rPr>
          <w:rFonts w:hint="eastAsia" w:ascii="Times New Roman" w:hAnsi="Times New Roman" w:eastAsia="仿宋_GB2312" w:cs="Times New Roman"/>
          <w:b w:val="0"/>
          <w:bCs w:val="0"/>
          <w:color w:val="auto"/>
          <w:kern w:val="2"/>
          <w:sz w:val="28"/>
          <w:szCs w:val="28"/>
          <w:highlight w:val="none"/>
          <w:u w:val="none"/>
          <w:lang w:val="en-US" w:eastAsia="zh-CN" w:bidi="ar-SA"/>
        </w:rPr>
        <w:t>总面积供响应人参考，建议响应人自行现场踏勘并综合考虑报价，项目实施过程中若非出现实质性变更，最终结算金额不作变更。</w:t>
      </w:r>
    </w:p>
    <w:p w14:paraId="309ACB21">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二、项目发布</w:t>
      </w:r>
    </w:p>
    <w:p w14:paraId="6DA2F653">
      <w:pPr>
        <w:keepNext w:val="0"/>
        <w:keepLines w:val="0"/>
        <w:pageBreakBefore w:val="0"/>
        <w:overflowPunct/>
        <w:topLinePunct w:val="0"/>
        <w:bidi w:val="0"/>
        <w:adjustRightInd w:val="0"/>
        <w:snapToGrid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本采购项目信息在东莞实业投资控股集团有限公司网站（</w:t>
      </w:r>
      <w:r>
        <w:rPr>
          <w:rFonts w:eastAsia="仿宋_GB2312"/>
          <w:color w:val="auto"/>
          <w:sz w:val="28"/>
          <w:szCs w:val="28"/>
          <w:highlight w:val="none"/>
        </w:rPr>
        <w:t>http://www.dgsy.com.cn/</w:t>
      </w:r>
      <w:r>
        <w:rPr>
          <w:rFonts w:hint="eastAsia" w:eastAsia="仿宋_GB2312"/>
          <w:color w:val="auto"/>
          <w:sz w:val="28"/>
          <w:szCs w:val="28"/>
          <w:highlight w:val="none"/>
        </w:rPr>
        <w:t>）发布（参照《东实集团招标采购管理办法》、《工程招标实施细则》、《采购实施细则》要求执行）。</w:t>
      </w:r>
    </w:p>
    <w:p w14:paraId="3AA963C9">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eastAsia="黑体"/>
          <w:color w:val="auto"/>
          <w:sz w:val="28"/>
          <w:szCs w:val="28"/>
          <w:highlight w:val="none"/>
        </w:rPr>
        <w:sym w:font="Wingdings" w:char="F0AB"/>
      </w:r>
      <w:r>
        <w:rPr>
          <w:rFonts w:hint="eastAsia" w:eastAsia="黑体"/>
          <w:color w:val="auto"/>
          <w:sz w:val="28"/>
          <w:szCs w:val="28"/>
          <w:highlight w:val="none"/>
        </w:rPr>
        <w:t>三、响应人资格要求</w:t>
      </w:r>
    </w:p>
    <w:p w14:paraId="4DFB406C">
      <w:pPr>
        <w:keepNext w:val="0"/>
        <w:keepLines w:val="0"/>
        <w:pageBreakBefore w:val="0"/>
        <w:overflowPunct/>
        <w:topLinePunct w:val="0"/>
        <w:bidi w:val="0"/>
        <w:spacing w:line="560" w:lineRule="exact"/>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1、响应人须为在中华人民共和国境内登记注册的具有独立承担民事责任能力的法人或其他组织。【提供《营业执照》复印件（加盖公章）或《事业单位法人证书》复印件（加盖公章）或其他主体证书复印件（加盖公章）】</w:t>
      </w:r>
    </w:p>
    <w:p w14:paraId="6BFB3806">
      <w:pPr>
        <w:keepNext w:val="0"/>
        <w:keepLines w:val="0"/>
        <w:pageBreakBefore w:val="0"/>
        <w:overflowPunct/>
        <w:topLinePunct w:val="0"/>
        <w:bidi w:val="0"/>
        <w:spacing w:line="560" w:lineRule="exact"/>
        <w:ind w:firstLine="560" w:firstLineChars="200"/>
        <w:rPr>
          <w:rFonts w:hint="default" w:ascii="仿宋" w:hAnsi="仿宋" w:eastAsia="仿宋"/>
          <w:color w:val="auto"/>
          <w:sz w:val="28"/>
          <w:szCs w:val="28"/>
          <w:highlight w:val="none"/>
        </w:rPr>
      </w:pPr>
      <w:r>
        <w:rPr>
          <w:rFonts w:hint="default" w:ascii="仿宋" w:hAnsi="仿宋" w:eastAsia="仿宋"/>
          <w:color w:val="auto"/>
          <w:sz w:val="28"/>
          <w:szCs w:val="28"/>
          <w:highlight w:val="none"/>
        </w:rPr>
        <w:t>2、资质要求：</w:t>
      </w:r>
    </w:p>
    <w:p w14:paraId="120FC860">
      <w:pPr>
        <w:keepNext w:val="0"/>
        <w:keepLines w:val="0"/>
        <w:pageBreakBefore w:val="0"/>
        <w:overflowPunct/>
        <w:topLinePunct w:val="0"/>
        <w:bidi w:val="0"/>
        <w:spacing w:line="560" w:lineRule="exact"/>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(1)响应人须在东莞市住房与城乡建设局取得东莞市鉴定机构信用手册，信用手册为可用状态;</w:t>
      </w:r>
    </w:p>
    <w:p w14:paraId="59242914">
      <w:pPr>
        <w:keepNext w:val="0"/>
        <w:keepLines w:val="0"/>
        <w:pageBreakBefore w:val="0"/>
        <w:overflowPunct/>
        <w:topLinePunct w:val="0"/>
        <w:bidi w:val="0"/>
        <w:spacing w:line="560" w:lineRule="exact"/>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(2)响应人须具建筑工程乙级及以上资质的设计院或设计公司。</w:t>
      </w:r>
      <w:r>
        <w:rPr>
          <w:rFonts w:hint="default" w:ascii="仿宋" w:hAnsi="仿宋" w:eastAsia="仿宋"/>
          <w:color w:val="auto"/>
          <w:sz w:val="28"/>
          <w:szCs w:val="28"/>
          <w:highlight w:val="none"/>
        </w:rPr>
        <w:t>【提供</w:t>
      </w:r>
      <w:r>
        <w:rPr>
          <w:rFonts w:hint="eastAsia" w:ascii="仿宋" w:hAnsi="仿宋" w:eastAsia="仿宋"/>
          <w:color w:val="auto"/>
          <w:sz w:val="28"/>
          <w:szCs w:val="28"/>
          <w:highlight w:val="none"/>
          <w:lang w:val="en-US" w:eastAsia="zh-CN"/>
        </w:rPr>
        <w:t>公司营业范围</w:t>
      </w:r>
      <w:r>
        <w:rPr>
          <w:rFonts w:hint="default" w:ascii="仿宋" w:hAnsi="仿宋" w:eastAsia="仿宋"/>
          <w:color w:val="auto"/>
          <w:sz w:val="28"/>
          <w:szCs w:val="28"/>
          <w:highlight w:val="none"/>
        </w:rPr>
        <w:t>材料复印件（加盖公章）】</w:t>
      </w:r>
    </w:p>
    <w:p w14:paraId="4EF8BCF1">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ascii="仿宋" w:hAnsi="仿宋" w:eastAsia="仿宋"/>
          <w:color w:val="auto"/>
          <w:sz w:val="28"/>
          <w:szCs w:val="28"/>
          <w:highlight w:val="none"/>
          <w:lang w:val="en-US" w:eastAsia="zh-CN"/>
        </w:rPr>
        <w:t>(3)</w:t>
      </w:r>
      <w:r>
        <w:rPr>
          <w:rFonts w:hint="eastAsia" w:eastAsia="仿宋_GB2312"/>
          <w:color w:val="auto"/>
          <w:sz w:val="28"/>
          <w:szCs w:val="28"/>
          <w:highlight w:val="none"/>
        </w:rPr>
        <w:t>未被列入东实集团及下属企业</w:t>
      </w:r>
      <w:r>
        <w:rPr>
          <w:rFonts w:hint="eastAsia" w:eastAsia="仿宋_GB2312"/>
          <w:color w:val="auto"/>
          <w:sz w:val="28"/>
          <w:szCs w:val="28"/>
          <w:highlight w:val="none"/>
          <w:lang w:val="en-US" w:eastAsia="zh-CN"/>
        </w:rPr>
        <w:t>招采</w:t>
      </w:r>
      <w:r>
        <w:rPr>
          <w:rFonts w:hint="eastAsia" w:eastAsia="仿宋_GB2312"/>
          <w:color w:val="auto"/>
          <w:sz w:val="28"/>
          <w:szCs w:val="28"/>
          <w:highlight w:val="none"/>
        </w:rPr>
        <w:t>黑名单。【以东莞实业投资控股集团有限公司发文（东实通〔2021〕44号）、（东实通〔2021〕98号）为准】</w:t>
      </w:r>
    </w:p>
    <w:p w14:paraId="14218DF1">
      <w:pPr>
        <w:keepNext w:val="0"/>
        <w:keepLines w:val="0"/>
        <w:pageBreakBefore w:val="0"/>
        <w:overflowPunct/>
        <w:topLinePunct w:val="0"/>
        <w:bidi w:val="0"/>
        <w:spacing w:line="560" w:lineRule="exact"/>
        <w:ind w:firstLine="560" w:firstLineChars="200"/>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四、采购内容及要求</w:t>
      </w:r>
    </w:p>
    <w:p w14:paraId="2AA0DB11">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u w:val="single"/>
        </w:rPr>
        <w:t>具体要求详见本竞争性谈判文件《技术规范书》</w:t>
      </w:r>
      <w:r>
        <w:rPr>
          <w:rFonts w:hint="eastAsia" w:eastAsia="仿宋_GB2312"/>
          <w:color w:val="auto"/>
          <w:sz w:val="28"/>
          <w:szCs w:val="28"/>
          <w:highlight w:val="none"/>
        </w:rPr>
        <w:t>。响应人须仔细阅读本技术规范书，因未详细了解本技术规范书造成报价项目遗漏，由响应人自行负责。</w:t>
      </w:r>
    </w:p>
    <w:p w14:paraId="5BE32507">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五、完成时间</w:t>
      </w:r>
    </w:p>
    <w:p w14:paraId="0D6B2512">
      <w:pPr>
        <w:keepNext w:val="0"/>
        <w:keepLines w:val="0"/>
        <w:pageBreakBefore w:val="0"/>
        <w:overflowPunct/>
        <w:topLinePunct w:val="0"/>
        <w:bidi w:val="0"/>
        <w:adjustRightInd w:val="0"/>
        <w:snapToGrid w:val="0"/>
        <w:spacing w:line="560" w:lineRule="exact"/>
        <w:ind w:firstLine="560" w:firstLineChars="200"/>
        <w:rPr>
          <w:rFonts w:hint="eastAsia" w:eastAsia="仿宋_GB2312"/>
          <w:color w:val="auto"/>
          <w:sz w:val="28"/>
          <w:szCs w:val="28"/>
          <w:highlight w:val="none"/>
          <w:u w:val="single"/>
          <w:lang w:val="en-US" w:eastAsia="zh-CN"/>
        </w:rPr>
      </w:pPr>
      <w:bookmarkStart w:id="0" w:name="_Hlk38897553"/>
      <w:r>
        <w:rPr>
          <w:rFonts w:hint="eastAsia" w:eastAsia="仿宋_GB2312"/>
          <w:color w:val="auto"/>
          <w:sz w:val="28"/>
          <w:szCs w:val="28"/>
          <w:highlight w:val="none"/>
        </w:rPr>
        <w:t>完工期：</w:t>
      </w:r>
      <w:bookmarkEnd w:id="0"/>
      <w:r>
        <w:rPr>
          <w:rFonts w:hint="eastAsia" w:eastAsia="仿宋_GB2312"/>
          <w:color w:val="auto"/>
          <w:sz w:val="28"/>
          <w:szCs w:val="28"/>
          <w:highlight w:val="none"/>
          <w:u w:val="single"/>
          <w:lang w:val="en-US" w:eastAsia="zh-CN"/>
        </w:rPr>
        <w:t>鉴定合同签订后7</w:t>
      </w:r>
      <w:r>
        <w:rPr>
          <w:rFonts w:hint="eastAsia" w:eastAsia="仿宋_GB2312"/>
          <w:color w:val="auto"/>
          <w:sz w:val="28"/>
          <w:szCs w:val="28"/>
          <w:highlight w:val="none"/>
          <w:u w:val="single"/>
        </w:rPr>
        <w:t>天内</w:t>
      </w:r>
      <w:r>
        <w:rPr>
          <w:rFonts w:hint="eastAsia" w:eastAsia="仿宋_GB2312"/>
          <w:color w:val="auto"/>
          <w:sz w:val="28"/>
          <w:szCs w:val="28"/>
          <w:highlight w:val="none"/>
          <w:u w:val="single"/>
          <w:lang w:eastAsia="zh-CN"/>
        </w:rPr>
        <w:t>，</w:t>
      </w:r>
      <w:r>
        <w:rPr>
          <w:rFonts w:hint="eastAsia" w:eastAsia="仿宋_GB2312"/>
          <w:color w:val="auto"/>
          <w:sz w:val="28"/>
          <w:szCs w:val="28"/>
          <w:highlight w:val="none"/>
          <w:u w:val="single"/>
          <w:lang w:val="en-US" w:eastAsia="zh-CN"/>
        </w:rPr>
        <w:t xml:space="preserve">提交初步检测鉴定成果。需在合同签订后3个月内提交经采购人验收合格的最终成果，并协助采购人取得不动产权证。 </w:t>
      </w:r>
    </w:p>
    <w:p w14:paraId="7C3C1EAD">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六、支付方式</w:t>
      </w:r>
    </w:p>
    <w:p w14:paraId="2B07B837">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1、提交</w:t>
      </w:r>
      <w:r>
        <w:rPr>
          <w:rFonts w:hint="eastAsia" w:eastAsia="仿宋_GB2312"/>
          <w:color w:val="auto"/>
          <w:sz w:val="28"/>
          <w:szCs w:val="28"/>
          <w:highlight w:val="none"/>
          <w:u w:val="single"/>
          <w:lang w:val="en-US" w:eastAsia="zh-CN"/>
        </w:rPr>
        <w:t>初步检测鉴定成果</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经采购人提交政府部门初核确认后</w:t>
      </w:r>
      <w:r>
        <w:rPr>
          <w:rFonts w:hint="eastAsia" w:eastAsia="仿宋_GB2312"/>
          <w:color w:val="auto"/>
          <w:sz w:val="28"/>
          <w:szCs w:val="28"/>
          <w:highlight w:val="none"/>
        </w:rPr>
        <w:t>，支付</w:t>
      </w:r>
      <w:r>
        <w:rPr>
          <w:rFonts w:hint="eastAsia" w:eastAsia="仿宋_GB2312"/>
          <w:color w:val="auto"/>
          <w:sz w:val="28"/>
          <w:szCs w:val="28"/>
          <w:highlight w:val="none"/>
          <w:lang w:val="en-US" w:eastAsia="zh-CN"/>
        </w:rPr>
        <w:t>项目总价的</w:t>
      </w:r>
      <w:r>
        <w:rPr>
          <w:rFonts w:hint="eastAsia" w:eastAsia="仿宋_GB2312"/>
          <w:color w:val="auto"/>
          <w:sz w:val="28"/>
          <w:szCs w:val="28"/>
          <w:highlight w:val="none"/>
        </w:rPr>
        <w:t>30%；</w:t>
      </w:r>
    </w:p>
    <w:p w14:paraId="1A0E41E5">
      <w:pPr>
        <w:keepNext w:val="0"/>
        <w:keepLines w:val="0"/>
        <w:pageBreakBefore w:val="0"/>
        <w:overflowPunct/>
        <w:topLinePunct w:val="0"/>
        <w:bidi w:val="0"/>
        <w:adjustRightInd w:val="0"/>
        <w:snapToGrid w:val="0"/>
        <w:spacing w:line="560" w:lineRule="exact"/>
        <w:ind w:firstLine="420" w:firstLineChars="200"/>
        <w:rPr>
          <w:rFonts w:hint="default" w:eastAsia="仿宋_GB2312"/>
          <w:color w:val="auto"/>
          <w:sz w:val="28"/>
          <w:szCs w:val="28"/>
          <w:highlight w:val="none"/>
          <w:lang w:val="en-US" w:eastAsia="zh-CN"/>
        </w:rPr>
      </w:pPr>
      <w:r>
        <w:rPr>
          <w:rFonts w:hint="eastAsia" w:ascii="宋体" w:hAnsi="宋体" w:eastAsia="宋体" w:cs="宋体"/>
          <w:color w:val="auto"/>
          <w:szCs w:val="21"/>
          <w:highlight w:val="none"/>
        </w:rPr>
        <w:t>★</w:t>
      </w:r>
      <w:r>
        <w:rPr>
          <w:rFonts w:hint="eastAsia" w:eastAsia="仿宋_GB2312"/>
          <w:color w:val="auto"/>
          <w:sz w:val="28"/>
          <w:szCs w:val="28"/>
          <w:highlight w:val="none"/>
          <w:lang w:val="en-US" w:eastAsia="zh-CN"/>
        </w:rPr>
        <w:t>合同签订后30天内，中标人提交的成果仍无法通过政府部门成果初核的，采购人有权解除合同，不予支付合同款。</w:t>
      </w:r>
    </w:p>
    <w:p w14:paraId="45567C67">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2、协助</w:t>
      </w:r>
      <w:r>
        <w:rPr>
          <w:rFonts w:hint="eastAsia" w:eastAsia="仿宋_GB2312"/>
          <w:color w:val="auto"/>
          <w:sz w:val="28"/>
          <w:szCs w:val="28"/>
          <w:highlight w:val="none"/>
          <w:lang w:val="en-US" w:eastAsia="zh-CN"/>
        </w:rPr>
        <w:t>采购人根据法律法规、《广东省自然资源厅关于加快解决国有建设用地上不动产登记若干历史遗留问题的指导意见》（粤自然资规字〔2025〕2 号）等政策文件理顺不动产登记问题并提出相应解决方案，协助采购人处理竣工验收备案问题。采购人</w:t>
      </w:r>
      <w:r>
        <w:rPr>
          <w:rFonts w:hint="eastAsia" w:eastAsia="仿宋_GB2312"/>
          <w:color w:val="auto"/>
          <w:sz w:val="28"/>
          <w:szCs w:val="28"/>
          <w:highlight w:val="none"/>
        </w:rPr>
        <w:t>取得本项目不动产权证后，支付</w:t>
      </w:r>
      <w:r>
        <w:rPr>
          <w:rFonts w:hint="eastAsia" w:eastAsia="仿宋_GB2312"/>
          <w:color w:val="auto"/>
          <w:sz w:val="28"/>
          <w:szCs w:val="28"/>
          <w:highlight w:val="none"/>
          <w:lang w:val="en-US" w:eastAsia="zh-CN"/>
        </w:rPr>
        <w:t>剩余项目总价的</w:t>
      </w:r>
      <w:r>
        <w:rPr>
          <w:rFonts w:hint="eastAsia" w:eastAsia="仿宋_GB2312"/>
          <w:color w:val="auto"/>
          <w:sz w:val="28"/>
          <w:szCs w:val="28"/>
          <w:highlight w:val="none"/>
        </w:rPr>
        <w:t>70%。</w:t>
      </w:r>
    </w:p>
    <w:p w14:paraId="09AAE8A8">
      <w:pPr>
        <w:keepNext w:val="0"/>
        <w:keepLines w:val="0"/>
        <w:pageBreakBefore w:val="0"/>
        <w:overflowPunct/>
        <w:topLinePunct w:val="0"/>
        <w:bidi w:val="0"/>
        <w:spacing w:line="560" w:lineRule="exact"/>
        <w:ind w:firstLine="420" w:firstLineChars="200"/>
        <w:rPr>
          <w:rFonts w:hint="default"/>
          <w:color w:val="auto"/>
          <w:highlight w:val="none"/>
          <w:lang w:val="en-US" w:eastAsia="zh-CN"/>
        </w:rPr>
      </w:pPr>
      <w:r>
        <w:rPr>
          <w:rFonts w:hint="eastAsia" w:ascii="宋体" w:hAnsi="宋体" w:eastAsia="宋体" w:cs="宋体"/>
          <w:color w:val="auto"/>
          <w:szCs w:val="21"/>
          <w:highlight w:val="none"/>
        </w:rPr>
        <w:t>★</w:t>
      </w:r>
      <w:r>
        <w:rPr>
          <w:rFonts w:hint="eastAsia" w:eastAsia="仿宋_GB2312"/>
          <w:color w:val="auto"/>
          <w:sz w:val="28"/>
          <w:szCs w:val="28"/>
          <w:highlight w:val="none"/>
          <w:lang w:val="en-US" w:eastAsia="zh-CN"/>
        </w:rPr>
        <w:t>若中标人无法协助采购人取得不动产权证的，剩余项目总价的70%不予支付。</w:t>
      </w:r>
    </w:p>
    <w:p w14:paraId="2CC8AF44">
      <w:pPr>
        <w:keepNext w:val="0"/>
        <w:keepLines w:val="0"/>
        <w:pageBreakBefore w:val="0"/>
        <w:overflowPunct/>
        <w:topLinePunct w:val="0"/>
        <w:bidi w:val="0"/>
        <w:adjustRightInd w:val="0"/>
        <w:snapToGrid w:val="0"/>
        <w:spacing w:line="560" w:lineRule="exact"/>
        <w:ind w:firstLine="560" w:firstLineChars="200"/>
        <w:outlineLvl w:val="1"/>
        <w:rPr>
          <w:rFonts w:hint="eastAsia" w:eastAsia="仿宋_GB2312"/>
          <w:color w:val="auto"/>
          <w:sz w:val="28"/>
          <w:szCs w:val="28"/>
          <w:highlight w:val="none"/>
        </w:rPr>
      </w:pPr>
      <w:r>
        <w:rPr>
          <w:rFonts w:hint="eastAsia" w:eastAsia="仿宋_GB2312"/>
          <w:color w:val="auto"/>
          <w:sz w:val="28"/>
          <w:szCs w:val="28"/>
          <w:highlight w:val="none"/>
        </w:rPr>
        <w:t>注：</w:t>
      </w:r>
      <w:r>
        <w:rPr>
          <w:rFonts w:hint="eastAsia" w:eastAsia="仿宋_GB2312"/>
          <w:color w:val="auto"/>
          <w:sz w:val="28"/>
          <w:szCs w:val="28"/>
          <w:highlight w:val="none"/>
          <w:lang w:val="en-US" w:eastAsia="zh-CN"/>
        </w:rPr>
        <w:t>每次</w:t>
      </w:r>
      <w:r>
        <w:rPr>
          <w:rFonts w:hint="eastAsia" w:eastAsia="仿宋_GB2312"/>
          <w:color w:val="auto"/>
          <w:sz w:val="28"/>
          <w:szCs w:val="28"/>
          <w:highlight w:val="none"/>
        </w:rPr>
        <w:t>付款前</w:t>
      </w:r>
      <w:r>
        <w:rPr>
          <w:rFonts w:hint="eastAsia" w:eastAsia="仿宋_GB2312"/>
          <w:color w:val="auto"/>
          <w:sz w:val="28"/>
          <w:szCs w:val="28"/>
          <w:highlight w:val="none"/>
          <w:lang w:eastAsia="zh-CN"/>
        </w:rPr>
        <w:t>，</w:t>
      </w:r>
      <w:r>
        <w:rPr>
          <w:rFonts w:hint="eastAsia" w:eastAsia="仿宋_GB2312"/>
          <w:color w:val="auto"/>
          <w:sz w:val="28"/>
          <w:szCs w:val="28"/>
          <w:highlight w:val="none"/>
        </w:rPr>
        <w:t>乙方应向甲方提供请款申请</w:t>
      </w:r>
      <w:r>
        <w:rPr>
          <w:rFonts w:hint="eastAsia" w:eastAsia="仿宋_GB2312"/>
          <w:color w:val="auto"/>
          <w:sz w:val="28"/>
          <w:szCs w:val="28"/>
          <w:highlight w:val="none"/>
          <w:lang w:eastAsia="zh-CN"/>
        </w:rPr>
        <w:t>、</w:t>
      </w:r>
      <w:r>
        <w:rPr>
          <w:rFonts w:hint="eastAsia" w:eastAsia="仿宋_GB2312"/>
          <w:color w:val="auto"/>
          <w:sz w:val="28"/>
          <w:szCs w:val="28"/>
          <w:highlight w:val="none"/>
          <w:lang w:val="en-US" w:eastAsia="zh-CN"/>
        </w:rPr>
        <w:t>符合付款条件的</w:t>
      </w:r>
      <w:r>
        <w:rPr>
          <w:rFonts w:hint="eastAsia" w:eastAsia="仿宋_GB2312"/>
          <w:color w:val="auto"/>
          <w:sz w:val="28"/>
          <w:szCs w:val="28"/>
          <w:highlight w:val="none"/>
        </w:rPr>
        <w:t>材料和合格的</w:t>
      </w:r>
      <w:r>
        <w:rPr>
          <w:rFonts w:hint="eastAsia" w:eastAsia="仿宋_GB2312"/>
          <w:color w:val="auto"/>
          <w:sz w:val="28"/>
          <w:szCs w:val="28"/>
          <w:highlight w:val="none"/>
          <w:lang w:val="en-US" w:eastAsia="zh-CN"/>
        </w:rPr>
        <w:t>增值税专用</w:t>
      </w:r>
      <w:r>
        <w:rPr>
          <w:rFonts w:hint="eastAsia" w:eastAsia="仿宋_GB2312"/>
          <w:color w:val="auto"/>
          <w:sz w:val="28"/>
          <w:szCs w:val="28"/>
          <w:highlight w:val="none"/>
        </w:rPr>
        <w:t>发票</w:t>
      </w:r>
      <w:r>
        <w:rPr>
          <w:rFonts w:hint="eastAsia" w:eastAsia="仿宋_GB2312"/>
          <w:color w:val="auto"/>
          <w:sz w:val="28"/>
          <w:szCs w:val="28"/>
          <w:highlight w:val="none"/>
          <w:lang w:eastAsia="zh-CN"/>
        </w:rPr>
        <w:t>，</w:t>
      </w:r>
      <w:r>
        <w:rPr>
          <w:rFonts w:hint="eastAsia" w:eastAsia="仿宋_GB2312"/>
          <w:color w:val="auto"/>
          <w:sz w:val="28"/>
          <w:szCs w:val="28"/>
          <w:highlight w:val="none"/>
        </w:rPr>
        <w:t>否则采购人有权拒绝付款。</w:t>
      </w:r>
    </w:p>
    <w:p w14:paraId="164CD9B2">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七、报价</w:t>
      </w:r>
    </w:p>
    <w:p w14:paraId="7D17AF6D">
      <w:pPr>
        <w:keepNext w:val="0"/>
        <w:keepLines w:val="0"/>
        <w:pageBreakBefore w:val="0"/>
        <w:overflowPunct/>
        <w:topLinePunct w:val="0"/>
        <w:bidi w:val="0"/>
        <w:spacing w:line="560" w:lineRule="exact"/>
        <w:ind w:firstLine="560" w:firstLineChars="200"/>
        <w:rPr>
          <w:rFonts w:hint="eastAsia" w:eastAsia="仿宋_GB2312"/>
          <w:color w:val="auto"/>
          <w:sz w:val="28"/>
          <w:szCs w:val="28"/>
          <w:highlight w:val="none"/>
        </w:rPr>
      </w:pPr>
      <w:r>
        <w:rPr>
          <w:rFonts w:hint="eastAsia" w:eastAsia="仿宋_GB2312"/>
          <w:color w:val="auto"/>
          <w:sz w:val="28"/>
          <w:szCs w:val="28"/>
          <w:highlight w:val="none"/>
          <w:lang w:val="en-US" w:eastAsia="zh-CN"/>
        </w:rPr>
        <w:t>1、</w:t>
      </w:r>
      <w:r>
        <w:rPr>
          <w:rFonts w:hint="eastAsia" w:ascii="Times New Roman" w:hAnsi="Times New Roman" w:eastAsia="仿宋_GB2312" w:cs="Times New Roman"/>
          <w:color w:val="auto"/>
          <w:kern w:val="2"/>
          <w:sz w:val="28"/>
          <w:szCs w:val="28"/>
          <w:highlight w:val="none"/>
          <w:lang w:val="en-US" w:eastAsia="zh-CN" w:bidi="ar-SA"/>
        </w:rPr>
        <w:t>房屋结构安全鉴定项目采购限价：¥3036</w:t>
      </w:r>
      <w:r>
        <w:rPr>
          <w:rFonts w:hint="eastAsia" w:eastAsia="仿宋_GB2312" w:cs="Times New Roman"/>
          <w:color w:val="auto"/>
          <w:kern w:val="2"/>
          <w:sz w:val="28"/>
          <w:szCs w:val="28"/>
          <w:highlight w:val="none"/>
          <w:lang w:val="en-US" w:eastAsia="zh-CN" w:bidi="ar-SA"/>
        </w:rPr>
        <w:t>00</w:t>
      </w:r>
      <w:r>
        <w:rPr>
          <w:rFonts w:hint="eastAsia" w:ascii="Times New Roman" w:hAnsi="Times New Roman" w:eastAsia="仿宋_GB2312" w:cs="Times New Roman"/>
          <w:color w:val="auto"/>
          <w:kern w:val="2"/>
          <w:sz w:val="28"/>
          <w:szCs w:val="28"/>
          <w:highlight w:val="none"/>
          <w:lang w:val="en-US" w:eastAsia="zh-CN" w:bidi="ar-SA"/>
        </w:rPr>
        <w:t>.00元</w:t>
      </w:r>
      <w:r>
        <w:rPr>
          <w:rFonts w:hint="eastAsia" w:eastAsia="仿宋_GB2312"/>
          <w:color w:val="auto"/>
          <w:sz w:val="28"/>
          <w:szCs w:val="28"/>
          <w:highlight w:val="none"/>
        </w:rPr>
        <w:t>（含税）。</w:t>
      </w:r>
    </w:p>
    <w:p w14:paraId="012AAA48">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lang w:val="en-US" w:eastAsia="zh-CN"/>
        </w:rPr>
        <w:t>2、</w:t>
      </w:r>
      <w:r>
        <w:rPr>
          <w:rFonts w:hint="eastAsia" w:eastAsia="仿宋_GB2312"/>
          <w:color w:val="auto"/>
          <w:sz w:val="28"/>
          <w:szCs w:val="28"/>
          <w:highlight w:val="none"/>
        </w:rPr>
        <w:t>本项目</w:t>
      </w:r>
      <w:r>
        <w:rPr>
          <w:rFonts w:hint="eastAsia" w:eastAsia="仿宋_GB2312"/>
          <w:color w:val="auto"/>
          <w:sz w:val="28"/>
          <w:szCs w:val="28"/>
          <w:highlight w:val="none"/>
          <w:lang w:val="en-US" w:eastAsia="zh-CN"/>
        </w:rPr>
        <w:t>价格</w:t>
      </w:r>
      <w:r>
        <w:rPr>
          <w:rFonts w:hint="eastAsia" w:eastAsia="仿宋_GB2312"/>
          <w:color w:val="auto"/>
          <w:sz w:val="28"/>
          <w:szCs w:val="28"/>
          <w:highlight w:val="none"/>
        </w:rPr>
        <w:t>方式为</w:t>
      </w:r>
      <w:r>
        <w:rPr>
          <w:rFonts w:hint="eastAsia" w:eastAsia="仿宋_GB2312"/>
          <w:color w:val="auto"/>
          <w:sz w:val="28"/>
          <w:szCs w:val="28"/>
          <w:highlight w:val="none"/>
          <w:u w:val="single"/>
        </w:rPr>
        <w:t>固定总价包干，实行固定价格报价，包括但不限于：完成本项目的成本、利润、税金等在项目</w:t>
      </w:r>
      <w:r>
        <w:rPr>
          <w:rFonts w:hint="eastAsia" w:eastAsia="仿宋_GB2312"/>
          <w:color w:val="auto"/>
          <w:sz w:val="28"/>
          <w:szCs w:val="28"/>
          <w:highlight w:val="none"/>
          <w:u w:val="single"/>
          <w:lang w:val="en-US" w:eastAsia="zh-CN"/>
        </w:rPr>
        <w:t>实施</w:t>
      </w:r>
      <w:r>
        <w:rPr>
          <w:rFonts w:hint="eastAsia" w:eastAsia="仿宋_GB2312"/>
          <w:color w:val="auto"/>
          <w:sz w:val="28"/>
          <w:szCs w:val="28"/>
          <w:highlight w:val="none"/>
          <w:u w:val="single"/>
        </w:rPr>
        <w:t>过程中可能产生的一切费用。响应人已充分考虑了本项目服务内容及要求描述工作量可能与最终实际工作量存在差距的风险</w:t>
      </w:r>
      <w:r>
        <w:rPr>
          <w:rFonts w:hint="eastAsia" w:eastAsia="仿宋_GB2312"/>
          <w:color w:val="auto"/>
          <w:sz w:val="28"/>
          <w:szCs w:val="28"/>
          <w:highlight w:val="none"/>
          <w:u w:val="single"/>
          <w:lang w:eastAsia="zh-CN"/>
        </w:rPr>
        <w:t>，</w:t>
      </w:r>
      <w:r>
        <w:rPr>
          <w:rFonts w:hint="eastAsia" w:eastAsia="仿宋_GB2312"/>
          <w:color w:val="auto"/>
          <w:sz w:val="28"/>
          <w:szCs w:val="28"/>
          <w:highlight w:val="none"/>
          <w:u w:val="single"/>
          <w:lang w:val="en-US" w:eastAsia="zh-CN"/>
        </w:rPr>
        <w:t>充分考虑了采购人</w:t>
      </w:r>
      <w:r>
        <w:rPr>
          <w:rFonts w:hint="eastAsia" w:eastAsia="仿宋_GB2312"/>
          <w:color w:val="auto"/>
          <w:sz w:val="28"/>
          <w:szCs w:val="28"/>
          <w:highlight w:val="none"/>
          <w:lang w:val="en-US" w:eastAsia="zh-CN"/>
        </w:rPr>
        <w:t>办理不动产权证可能面临的法律、政策等风险。</w:t>
      </w:r>
    </w:p>
    <w:p w14:paraId="0AB744A2">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八、定标</w:t>
      </w:r>
    </w:p>
    <w:p w14:paraId="07E16161">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谈判小组所有成员集中与各供应商分别进行两轮谈判（含唱标报价），所有参加最后一轮谈判的供应商在规定的统一截止时间前提交最终密封报价。</w:t>
      </w:r>
    </w:p>
    <w:p w14:paraId="41585D4A">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谈判文件有实质性变动的，谈判小组应以书面形式通知所有参加谈判的供应商。供应商应当按照采购文件的变动情况和谈判小组的要求重新提交响应文件（或补充书面材料），并由其法定代表人或授权代表签字或者加盖公章。</w:t>
      </w:r>
    </w:p>
    <w:p w14:paraId="31129F4A">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经谈判确定最终采购需求和提交最后报价的供应商后，谈判小组根据符合采购需求、质量和服务均能满足采购文件实质性响应要求且最终</w:t>
      </w:r>
      <w:r>
        <w:rPr>
          <w:rFonts w:hint="eastAsia" w:eastAsia="仿宋_GB2312"/>
          <w:color w:val="auto"/>
          <w:sz w:val="28"/>
          <w:szCs w:val="28"/>
          <w:highlight w:val="none"/>
          <w:lang w:val="en-US" w:eastAsia="zh-CN"/>
        </w:rPr>
        <w:t>不含税</w:t>
      </w:r>
      <w:r>
        <w:rPr>
          <w:rFonts w:hint="eastAsia" w:eastAsia="仿宋_GB2312"/>
          <w:color w:val="auto"/>
          <w:sz w:val="28"/>
          <w:szCs w:val="28"/>
          <w:highlight w:val="none"/>
        </w:rPr>
        <w:t>报价最低的原则按顺序排列推荐候选供应商。</w:t>
      </w:r>
    </w:p>
    <w:p w14:paraId="0AF0B686">
      <w:pPr>
        <w:keepNext w:val="0"/>
        <w:keepLines w:val="0"/>
        <w:pageBreakBefore w:val="0"/>
        <w:overflowPunct/>
        <w:topLinePunct w:val="0"/>
        <w:bidi w:val="0"/>
        <w:spacing w:line="560" w:lineRule="exact"/>
        <w:ind w:firstLine="560" w:firstLineChars="200"/>
        <w:rPr>
          <w:rFonts w:hint="eastAsia" w:eastAsia="仿宋_GB2312"/>
          <w:color w:val="auto"/>
          <w:sz w:val="28"/>
          <w:szCs w:val="28"/>
          <w:highlight w:val="none"/>
        </w:rPr>
      </w:pPr>
      <w:r>
        <w:rPr>
          <w:rFonts w:hint="eastAsia" w:eastAsia="仿宋_GB2312"/>
          <w:color w:val="auto"/>
          <w:sz w:val="28"/>
          <w:szCs w:val="28"/>
          <w:highlight w:val="none"/>
        </w:rPr>
        <w:t>谈判结束后，招标采购工作小组将相关谈判情况按程序审批并确定成交人。</w:t>
      </w:r>
    </w:p>
    <w:p w14:paraId="76CCE986">
      <w:pPr>
        <w:pStyle w:val="2"/>
        <w:ind w:firstLine="480" w:firstLineChars="200"/>
        <w:jc w:val="both"/>
        <w:rPr>
          <w:rFonts w:hint="eastAsia" w:ascii="Times New Roman" w:hAnsi="Times New Roman" w:eastAsia="仿宋_GB2312" w:cs="Times New Roman"/>
          <w:color w:val="auto"/>
          <w:kern w:val="2"/>
          <w:sz w:val="28"/>
          <w:szCs w:val="28"/>
          <w:highlight w:val="none"/>
          <w:lang w:val="en-US" w:eastAsia="zh-CN" w:bidi="ar-SA"/>
        </w:rPr>
      </w:pPr>
      <w:r>
        <w:rPr>
          <w:rFonts w:hint="eastAsia" w:ascii="宋体" w:hAnsi="宋体" w:eastAsia="宋体" w:cs="宋体"/>
          <w:color w:val="auto"/>
          <w:szCs w:val="21"/>
          <w:highlight w:val="none"/>
        </w:rPr>
        <w:t>★</w:t>
      </w:r>
      <w:r>
        <w:rPr>
          <w:rFonts w:hint="default" w:ascii="Times New Roman" w:hAnsi="Times New Roman" w:eastAsia="仿宋_GB2312" w:cs="Times New Roman"/>
          <w:color w:val="auto"/>
          <w:kern w:val="2"/>
          <w:sz w:val="28"/>
          <w:szCs w:val="28"/>
          <w:highlight w:val="none"/>
          <w:lang w:val="en-US" w:eastAsia="zh-CN" w:bidi="ar-SA"/>
        </w:rPr>
        <w:t>本项目根据</w:t>
      </w:r>
      <w:r>
        <w:rPr>
          <w:rFonts w:hint="eastAsia" w:ascii="Times New Roman" w:hAnsi="Times New Roman" w:eastAsia="仿宋_GB2312" w:cs="Times New Roman"/>
          <w:color w:val="auto"/>
          <w:kern w:val="2"/>
          <w:sz w:val="28"/>
          <w:szCs w:val="28"/>
          <w:highlight w:val="none"/>
          <w:lang w:val="en-US" w:eastAsia="zh-CN" w:bidi="ar-SA"/>
        </w:rPr>
        <w:t>以下情况可以现场转换采购方式继续采购:当有效供应商不足3家时，经采购人和作出实质性响应的供应商代表同意后，采购人有权现场更改为与作出实质性响应的供应商定向谈判。</w:t>
      </w:r>
    </w:p>
    <w:p w14:paraId="2C09135B">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九、采取的合同文本</w:t>
      </w:r>
    </w:p>
    <w:p w14:paraId="27DFDFFE">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合同签订的依据为竞争性谈判文件、报价文件及补充说明等。确定成交单位后，成交单位在</w:t>
      </w:r>
      <w:r>
        <w:rPr>
          <w:rFonts w:eastAsia="仿宋_GB2312"/>
          <w:color w:val="auto"/>
          <w:sz w:val="28"/>
          <w:szCs w:val="28"/>
          <w:highlight w:val="none"/>
          <w:u w:val="single"/>
        </w:rPr>
        <w:t>10</w:t>
      </w:r>
      <w:r>
        <w:rPr>
          <w:rFonts w:hint="eastAsia" w:eastAsia="仿宋_GB2312"/>
          <w:color w:val="auto"/>
          <w:sz w:val="28"/>
          <w:szCs w:val="28"/>
          <w:highlight w:val="none"/>
        </w:rPr>
        <w:t>天内与采购人签订合同。</w:t>
      </w:r>
    </w:p>
    <w:p w14:paraId="0F878767">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eastAsia="黑体"/>
          <w:color w:val="auto"/>
          <w:sz w:val="28"/>
          <w:szCs w:val="28"/>
          <w:highlight w:val="none"/>
        </w:rPr>
        <w:sym w:font="Wingdings" w:char="F0AB"/>
      </w:r>
      <w:r>
        <w:rPr>
          <w:rFonts w:hint="eastAsia" w:eastAsia="黑体"/>
          <w:color w:val="auto"/>
          <w:sz w:val="28"/>
          <w:szCs w:val="28"/>
          <w:highlight w:val="none"/>
        </w:rPr>
        <w:t>十、响应文件的组成部分（响应文件本项资料如有不全，则作无效报价处理）</w:t>
      </w:r>
    </w:p>
    <w:p w14:paraId="5133EE0A">
      <w:pPr>
        <w:keepNext w:val="0"/>
        <w:keepLines w:val="0"/>
        <w:pageBreakBefore w:val="0"/>
        <w:numPr>
          <w:ilvl w:val="0"/>
          <w:numId w:val="3"/>
        </w:numPr>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报价函（模板）及报价清单（清单自拟）；</w:t>
      </w:r>
    </w:p>
    <w:p w14:paraId="5276C5B4">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2</w:t>
      </w:r>
      <w:r>
        <w:rPr>
          <w:rFonts w:hint="eastAsia" w:eastAsia="仿宋_GB2312"/>
          <w:color w:val="auto"/>
          <w:sz w:val="28"/>
          <w:szCs w:val="28"/>
          <w:highlight w:val="none"/>
        </w:rPr>
        <w:t>、法</w:t>
      </w:r>
      <w:r>
        <w:rPr>
          <w:rFonts w:hint="eastAsia" w:eastAsia="仿宋_GB2312"/>
          <w:color w:val="auto"/>
          <w:sz w:val="28"/>
          <w:szCs w:val="28"/>
          <w:highlight w:val="none"/>
          <w:lang w:val="en-US" w:eastAsia="zh-CN"/>
        </w:rPr>
        <w:t>定代表</w:t>
      </w:r>
      <w:r>
        <w:rPr>
          <w:rFonts w:hint="eastAsia" w:eastAsia="仿宋_GB2312"/>
          <w:color w:val="auto"/>
          <w:sz w:val="28"/>
          <w:szCs w:val="28"/>
          <w:highlight w:val="none"/>
        </w:rPr>
        <w:t>人</w:t>
      </w:r>
      <w:r>
        <w:rPr>
          <w:rFonts w:hint="eastAsia" w:eastAsia="仿宋_GB2312"/>
          <w:color w:val="auto"/>
          <w:sz w:val="28"/>
          <w:szCs w:val="28"/>
          <w:highlight w:val="none"/>
          <w:lang w:val="en-US" w:eastAsia="zh-CN"/>
        </w:rPr>
        <w:t>身份</w:t>
      </w:r>
      <w:r>
        <w:rPr>
          <w:rFonts w:hint="eastAsia" w:eastAsia="仿宋_GB2312"/>
          <w:color w:val="auto"/>
          <w:sz w:val="28"/>
          <w:szCs w:val="28"/>
          <w:highlight w:val="none"/>
        </w:rPr>
        <w:t>证明（模板）以及法</w:t>
      </w:r>
      <w:r>
        <w:rPr>
          <w:rFonts w:hint="eastAsia" w:eastAsia="仿宋_GB2312"/>
          <w:color w:val="auto"/>
          <w:sz w:val="28"/>
          <w:szCs w:val="28"/>
          <w:highlight w:val="none"/>
          <w:lang w:val="en-US" w:eastAsia="zh-CN"/>
        </w:rPr>
        <w:t>定代表</w:t>
      </w:r>
      <w:r>
        <w:rPr>
          <w:rFonts w:hint="eastAsia" w:eastAsia="仿宋_GB2312"/>
          <w:color w:val="auto"/>
          <w:sz w:val="28"/>
          <w:szCs w:val="28"/>
          <w:highlight w:val="none"/>
        </w:rPr>
        <w:t>人身份证复印件；</w:t>
      </w:r>
    </w:p>
    <w:p w14:paraId="316E9948">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3</w:t>
      </w:r>
      <w:r>
        <w:rPr>
          <w:rFonts w:hint="eastAsia" w:eastAsia="仿宋_GB2312"/>
          <w:color w:val="auto"/>
          <w:sz w:val="28"/>
          <w:szCs w:val="28"/>
          <w:highlight w:val="none"/>
        </w:rPr>
        <w:t>、法人授权书（模板）及被委托人身份证复印件；</w:t>
      </w:r>
    </w:p>
    <w:p w14:paraId="2274B035">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4</w:t>
      </w:r>
      <w:r>
        <w:rPr>
          <w:rFonts w:hint="eastAsia" w:eastAsia="仿宋_GB2312"/>
          <w:color w:val="auto"/>
          <w:sz w:val="28"/>
          <w:szCs w:val="28"/>
          <w:highlight w:val="none"/>
        </w:rPr>
        <w:t>、承诺函（模板）；</w:t>
      </w:r>
    </w:p>
    <w:p w14:paraId="4437F969">
      <w:pPr>
        <w:keepNext w:val="0"/>
        <w:keepLines w:val="0"/>
        <w:pageBreakBefore w:val="0"/>
        <w:overflowPunct/>
        <w:topLinePunct w:val="0"/>
        <w:bidi w:val="0"/>
        <w:spacing w:line="560" w:lineRule="exact"/>
        <w:ind w:firstLine="560" w:firstLineChars="200"/>
        <w:rPr>
          <w:rFonts w:eastAsia="仿宋_GB2312"/>
          <w:b/>
          <w:color w:val="auto"/>
          <w:sz w:val="28"/>
          <w:szCs w:val="28"/>
          <w:highlight w:val="none"/>
        </w:rPr>
      </w:pPr>
      <w:r>
        <w:rPr>
          <w:rFonts w:eastAsia="仿宋_GB2312"/>
          <w:color w:val="auto"/>
          <w:sz w:val="28"/>
          <w:szCs w:val="28"/>
          <w:highlight w:val="none"/>
        </w:rPr>
        <w:t>5</w:t>
      </w:r>
      <w:r>
        <w:rPr>
          <w:rFonts w:hint="eastAsia" w:eastAsia="仿宋_GB2312"/>
          <w:color w:val="auto"/>
          <w:sz w:val="28"/>
          <w:szCs w:val="28"/>
          <w:highlight w:val="none"/>
        </w:rPr>
        <w:t>、响应人认为需要提供的其他资料。</w:t>
      </w:r>
    </w:p>
    <w:p w14:paraId="7A0CBBEF">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响应人须严格按照采购人提供的表单格式报价，响应文件必须装订完整，于骑缝处加盖投标单位企业公章。装有响应文件的文件袋须贴有密封条，于骑缝处加盖企业公章。</w:t>
      </w:r>
    </w:p>
    <w:p w14:paraId="5CC52821">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十一、响应文件份数</w:t>
      </w:r>
    </w:p>
    <w:p w14:paraId="1AAE4861">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正本一份。</w:t>
      </w:r>
    </w:p>
    <w:p w14:paraId="3B42C317">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十二、开标时间及地址</w:t>
      </w:r>
    </w:p>
    <w:p w14:paraId="258BFF0A">
      <w:pPr>
        <w:keepNext w:val="0"/>
        <w:keepLines w:val="0"/>
        <w:pageBreakBefore w:val="0"/>
        <w:overflowPunct/>
        <w:topLinePunct w:val="0"/>
        <w:bidi w:val="0"/>
        <w:spacing w:line="560" w:lineRule="exact"/>
        <w:ind w:firstLine="562" w:firstLineChars="200"/>
        <w:rPr>
          <w:rFonts w:eastAsia="仿宋_GB2312"/>
          <w:b/>
          <w:color w:val="auto"/>
          <w:sz w:val="28"/>
          <w:szCs w:val="28"/>
          <w:highlight w:val="none"/>
        </w:rPr>
      </w:pPr>
      <w:r>
        <w:rPr>
          <w:rFonts w:eastAsia="仿宋_GB2312"/>
          <w:b/>
          <w:color w:val="auto"/>
          <w:sz w:val="28"/>
          <w:szCs w:val="28"/>
          <w:highlight w:val="none"/>
        </w:rPr>
        <w:t>1</w:t>
      </w:r>
      <w:r>
        <w:rPr>
          <w:rFonts w:hint="eastAsia" w:eastAsia="仿宋_GB2312"/>
          <w:b/>
          <w:color w:val="auto"/>
          <w:sz w:val="28"/>
          <w:szCs w:val="28"/>
          <w:highlight w:val="none"/>
        </w:rPr>
        <w:t>、开标时间：</w:t>
      </w:r>
      <w:r>
        <w:rPr>
          <w:rFonts w:eastAsia="仿宋_GB2312"/>
          <w:b/>
          <w:color w:val="auto"/>
          <w:sz w:val="28"/>
          <w:szCs w:val="28"/>
          <w:highlight w:val="none"/>
          <w:u w:val="single"/>
        </w:rPr>
        <w:t>20</w:t>
      </w:r>
      <w:r>
        <w:rPr>
          <w:rFonts w:hint="eastAsia" w:eastAsia="仿宋_GB2312"/>
          <w:b/>
          <w:color w:val="auto"/>
          <w:sz w:val="28"/>
          <w:szCs w:val="28"/>
          <w:highlight w:val="none"/>
          <w:u w:val="single"/>
        </w:rPr>
        <w:t>2</w:t>
      </w:r>
      <w:r>
        <w:rPr>
          <w:rFonts w:hint="eastAsia" w:eastAsia="仿宋_GB2312"/>
          <w:b/>
          <w:color w:val="auto"/>
          <w:sz w:val="28"/>
          <w:szCs w:val="28"/>
          <w:highlight w:val="none"/>
          <w:u w:val="single"/>
          <w:lang w:val="en-US" w:eastAsia="zh-CN"/>
        </w:rPr>
        <w:t>5</w:t>
      </w:r>
      <w:r>
        <w:rPr>
          <w:rFonts w:hint="eastAsia" w:eastAsia="仿宋_GB2312"/>
          <w:b/>
          <w:color w:val="auto"/>
          <w:sz w:val="28"/>
          <w:szCs w:val="28"/>
          <w:highlight w:val="none"/>
        </w:rPr>
        <w:t>年</w:t>
      </w:r>
      <w:r>
        <w:rPr>
          <w:rFonts w:hint="eastAsia" w:eastAsia="仿宋_GB2312"/>
          <w:b/>
          <w:color w:val="auto"/>
          <w:sz w:val="28"/>
          <w:szCs w:val="28"/>
          <w:highlight w:val="none"/>
          <w:u w:val="single"/>
          <w:lang w:val="en-US" w:eastAsia="zh-CN"/>
        </w:rPr>
        <w:t xml:space="preserve"> 12 </w:t>
      </w:r>
      <w:r>
        <w:rPr>
          <w:rFonts w:hint="eastAsia" w:eastAsia="仿宋_GB2312"/>
          <w:b/>
          <w:color w:val="auto"/>
          <w:sz w:val="28"/>
          <w:szCs w:val="28"/>
          <w:highlight w:val="none"/>
        </w:rPr>
        <w:t>月</w:t>
      </w:r>
      <w:r>
        <w:rPr>
          <w:rFonts w:hint="eastAsia" w:eastAsia="仿宋_GB2312"/>
          <w:b/>
          <w:color w:val="auto"/>
          <w:sz w:val="28"/>
          <w:szCs w:val="28"/>
          <w:highlight w:val="none"/>
          <w:u w:val="single"/>
          <w:lang w:val="en-US" w:eastAsia="zh-CN"/>
        </w:rPr>
        <w:t xml:space="preserve"> 25 </w:t>
      </w:r>
      <w:r>
        <w:rPr>
          <w:rFonts w:hint="eastAsia" w:eastAsia="仿宋_GB2312"/>
          <w:b/>
          <w:color w:val="auto"/>
          <w:sz w:val="28"/>
          <w:szCs w:val="28"/>
          <w:highlight w:val="none"/>
        </w:rPr>
        <w:t>日（星期</w:t>
      </w:r>
      <w:r>
        <w:rPr>
          <w:rFonts w:hint="eastAsia" w:eastAsia="仿宋_GB2312"/>
          <w:b/>
          <w:color w:val="auto"/>
          <w:sz w:val="28"/>
          <w:szCs w:val="28"/>
          <w:highlight w:val="none"/>
          <w:u w:val="single"/>
          <w:lang w:val="en-US" w:eastAsia="zh-CN"/>
        </w:rPr>
        <w:t xml:space="preserve"> 四 </w:t>
      </w:r>
      <w:r>
        <w:rPr>
          <w:rFonts w:hint="eastAsia" w:eastAsia="仿宋_GB2312"/>
          <w:b/>
          <w:color w:val="auto"/>
          <w:sz w:val="28"/>
          <w:szCs w:val="28"/>
          <w:highlight w:val="none"/>
        </w:rPr>
        <w:t>）</w:t>
      </w:r>
      <w:r>
        <w:rPr>
          <w:rFonts w:hint="eastAsia" w:eastAsia="仿宋_GB2312"/>
          <w:b/>
          <w:color w:val="auto"/>
          <w:sz w:val="28"/>
          <w:szCs w:val="28"/>
          <w:highlight w:val="none"/>
          <w:u w:val="single"/>
        </w:rPr>
        <w:t>上</w:t>
      </w:r>
      <w:r>
        <w:rPr>
          <w:rFonts w:hint="eastAsia" w:eastAsia="仿宋_GB2312"/>
          <w:b/>
          <w:color w:val="auto"/>
          <w:sz w:val="28"/>
          <w:szCs w:val="28"/>
          <w:highlight w:val="none"/>
        </w:rPr>
        <w:t>午</w:t>
      </w:r>
      <w:r>
        <w:rPr>
          <w:rFonts w:hint="eastAsia" w:eastAsia="仿宋_GB2312"/>
          <w:b/>
          <w:color w:val="auto"/>
          <w:sz w:val="28"/>
          <w:szCs w:val="28"/>
          <w:highlight w:val="none"/>
          <w:u w:val="single"/>
        </w:rPr>
        <w:t>9：30分</w:t>
      </w:r>
      <w:r>
        <w:rPr>
          <w:rFonts w:hint="eastAsia" w:eastAsia="仿宋_GB2312"/>
          <w:b/>
          <w:color w:val="auto"/>
          <w:sz w:val="28"/>
          <w:szCs w:val="28"/>
          <w:highlight w:val="none"/>
        </w:rPr>
        <w:t>。</w:t>
      </w:r>
    </w:p>
    <w:p w14:paraId="5240CC09">
      <w:pPr>
        <w:keepNext w:val="0"/>
        <w:keepLines w:val="0"/>
        <w:pageBreakBefore w:val="0"/>
        <w:overflowPunct/>
        <w:topLinePunct w:val="0"/>
        <w:bidi w:val="0"/>
        <w:spacing w:line="560" w:lineRule="exact"/>
        <w:ind w:firstLine="562" w:firstLineChars="200"/>
        <w:rPr>
          <w:rFonts w:eastAsia="仿宋_GB2312"/>
          <w:b/>
          <w:color w:val="auto"/>
          <w:sz w:val="28"/>
          <w:szCs w:val="28"/>
          <w:highlight w:val="none"/>
        </w:rPr>
      </w:pPr>
      <w:r>
        <w:rPr>
          <w:rFonts w:eastAsia="仿宋_GB2312"/>
          <w:b/>
          <w:color w:val="auto"/>
          <w:sz w:val="28"/>
          <w:szCs w:val="28"/>
          <w:highlight w:val="none"/>
        </w:rPr>
        <w:t>2</w:t>
      </w:r>
      <w:r>
        <w:rPr>
          <w:rFonts w:hint="eastAsia" w:eastAsia="仿宋_GB2312"/>
          <w:b/>
          <w:color w:val="auto"/>
          <w:sz w:val="28"/>
          <w:szCs w:val="28"/>
          <w:highlight w:val="none"/>
        </w:rPr>
        <w:t>、开标地址：</w:t>
      </w:r>
      <w:r>
        <w:rPr>
          <w:rFonts w:hint="eastAsia" w:eastAsia="仿宋_GB2312"/>
          <w:b/>
          <w:color w:val="auto"/>
          <w:sz w:val="28"/>
          <w:szCs w:val="28"/>
          <w:highlight w:val="none"/>
          <w:u w:val="single"/>
        </w:rPr>
        <w:t>东莞迎宾馆行政楼会议室</w:t>
      </w:r>
    </w:p>
    <w:p w14:paraId="325C4ED5">
      <w:pPr>
        <w:keepNext w:val="0"/>
        <w:keepLines w:val="0"/>
        <w:pageBreakBefore w:val="0"/>
        <w:overflowPunct/>
        <w:topLinePunct w:val="0"/>
        <w:bidi w:val="0"/>
        <w:spacing w:line="560" w:lineRule="exact"/>
        <w:ind w:firstLine="562" w:firstLineChars="200"/>
        <w:rPr>
          <w:rFonts w:eastAsia="仿宋_GB2312"/>
          <w:b/>
          <w:bCs/>
          <w:color w:val="auto"/>
          <w:sz w:val="28"/>
          <w:szCs w:val="28"/>
          <w:highlight w:val="none"/>
        </w:rPr>
      </w:pPr>
      <w:r>
        <w:rPr>
          <w:rFonts w:hint="eastAsia" w:eastAsia="仿宋_GB2312"/>
          <w:b/>
          <w:bCs/>
          <w:color w:val="auto"/>
          <w:sz w:val="28"/>
          <w:szCs w:val="28"/>
          <w:highlight w:val="none"/>
        </w:rPr>
        <w:t>联系人：</w:t>
      </w:r>
      <w:r>
        <w:rPr>
          <w:rFonts w:eastAsia="仿宋_GB2312"/>
          <w:b/>
          <w:bCs/>
          <w:color w:val="auto"/>
          <w:sz w:val="28"/>
          <w:szCs w:val="28"/>
          <w:highlight w:val="none"/>
          <w:u w:val="single"/>
        </w:rPr>
        <w:t xml:space="preserve"> </w:t>
      </w:r>
      <w:r>
        <w:rPr>
          <w:rFonts w:hint="eastAsia" w:eastAsia="仿宋_GB2312"/>
          <w:b/>
          <w:bCs/>
          <w:color w:val="auto"/>
          <w:sz w:val="28"/>
          <w:szCs w:val="28"/>
          <w:highlight w:val="none"/>
          <w:u w:val="single"/>
          <w:lang w:val="en-US" w:eastAsia="zh-CN"/>
        </w:rPr>
        <w:t>黄</w:t>
      </w:r>
      <w:r>
        <w:rPr>
          <w:rFonts w:hint="eastAsia" w:eastAsia="仿宋_GB2312"/>
          <w:b/>
          <w:bCs/>
          <w:color w:val="auto"/>
          <w:sz w:val="28"/>
          <w:szCs w:val="28"/>
          <w:highlight w:val="none"/>
          <w:u w:val="single"/>
          <w:lang w:eastAsia="zh-CN"/>
        </w:rPr>
        <w:t>先生</w:t>
      </w:r>
      <w:r>
        <w:rPr>
          <w:rFonts w:eastAsia="仿宋_GB2312"/>
          <w:b/>
          <w:bCs/>
          <w:color w:val="auto"/>
          <w:sz w:val="28"/>
          <w:szCs w:val="28"/>
          <w:highlight w:val="none"/>
          <w:u w:val="single"/>
        </w:rPr>
        <w:t xml:space="preserve">  </w:t>
      </w:r>
    </w:p>
    <w:p w14:paraId="62A7E517">
      <w:pPr>
        <w:keepNext w:val="0"/>
        <w:keepLines w:val="0"/>
        <w:pageBreakBefore w:val="0"/>
        <w:overflowPunct/>
        <w:topLinePunct w:val="0"/>
        <w:bidi w:val="0"/>
        <w:spacing w:line="560" w:lineRule="exact"/>
        <w:ind w:firstLine="562" w:firstLineChars="200"/>
        <w:rPr>
          <w:rFonts w:eastAsia="仿宋_GB2312"/>
          <w:b/>
          <w:bCs/>
          <w:color w:val="auto"/>
          <w:sz w:val="28"/>
          <w:szCs w:val="28"/>
          <w:highlight w:val="none"/>
        </w:rPr>
      </w:pPr>
      <w:r>
        <w:rPr>
          <w:rFonts w:hint="eastAsia" w:eastAsia="仿宋_GB2312"/>
          <w:b/>
          <w:bCs/>
          <w:color w:val="auto"/>
          <w:sz w:val="28"/>
          <w:szCs w:val="28"/>
          <w:highlight w:val="none"/>
        </w:rPr>
        <w:t>联系电话：</w:t>
      </w:r>
      <w:r>
        <w:rPr>
          <w:rFonts w:eastAsia="仿宋_GB2312"/>
          <w:b/>
          <w:bCs/>
          <w:color w:val="auto"/>
          <w:sz w:val="28"/>
          <w:szCs w:val="28"/>
          <w:highlight w:val="none"/>
          <w:u w:val="single"/>
        </w:rPr>
        <w:t xml:space="preserve"> </w:t>
      </w:r>
      <w:r>
        <w:rPr>
          <w:rFonts w:hint="eastAsia" w:eastAsia="仿宋_GB2312"/>
          <w:b/>
          <w:bCs/>
          <w:color w:val="auto"/>
          <w:sz w:val="28"/>
          <w:szCs w:val="28"/>
          <w:highlight w:val="none"/>
          <w:u w:val="single"/>
        </w:rPr>
        <w:t>0769-38883999</w:t>
      </w:r>
      <w:r>
        <w:rPr>
          <w:rFonts w:eastAsia="仿宋_GB2312"/>
          <w:b/>
          <w:bCs/>
          <w:color w:val="auto"/>
          <w:sz w:val="28"/>
          <w:szCs w:val="28"/>
          <w:highlight w:val="none"/>
          <w:u w:val="single"/>
        </w:rPr>
        <w:t xml:space="preserve"> </w:t>
      </w:r>
    </w:p>
    <w:p w14:paraId="018647AD">
      <w:pPr>
        <w:keepNext w:val="0"/>
        <w:keepLines w:val="0"/>
        <w:pageBreakBefore w:val="0"/>
        <w:overflowPunct/>
        <w:topLinePunct w:val="0"/>
        <w:bidi w:val="0"/>
        <w:adjustRightInd w:val="0"/>
        <w:snapToGrid w:val="0"/>
        <w:spacing w:line="560" w:lineRule="exact"/>
        <w:ind w:firstLine="560" w:firstLineChars="200"/>
        <w:outlineLvl w:val="1"/>
        <w:rPr>
          <w:rFonts w:eastAsia="黑体"/>
          <w:color w:val="auto"/>
          <w:sz w:val="28"/>
          <w:szCs w:val="28"/>
          <w:highlight w:val="none"/>
        </w:rPr>
      </w:pPr>
      <w:r>
        <w:rPr>
          <w:rFonts w:hint="eastAsia" w:eastAsia="黑体"/>
          <w:color w:val="auto"/>
          <w:sz w:val="28"/>
          <w:szCs w:val="28"/>
          <w:highlight w:val="none"/>
        </w:rPr>
        <w:t>十三、注意事项</w:t>
      </w:r>
    </w:p>
    <w:p w14:paraId="46557B62">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bookmarkStart w:id="1" w:name="_Hlk517879660"/>
      <w:r>
        <w:rPr>
          <w:rFonts w:eastAsia="仿宋_GB2312"/>
          <w:color w:val="auto"/>
          <w:sz w:val="28"/>
          <w:szCs w:val="28"/>
          <w:highlight w:val="none"/>
        </w:rPr>
        <w:t>1</w:t>
      </w:r>
      <w:r>
        <w:rPr>
          <w:rFonts w:hint="eastAsia" w:eastAsia="仿宋_GB2312"/>
          <w:color w:val="auto"/>
          <w:sz w:val="28"/>
          <w:szCs w:val="28"/>
          <w:highlight w:val="none"/>
        </w:rPr>
        <w:t>、若响应人未按规定时间将文件送达现场，视为放弃投标资格。</w:t>
      </w:r>
    </w:p>
    <w:p w14:paraId="252B221B">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2</w:t>
      </w:r>
      <w:r>
        <w:rPr>
          <w:rFonts w:hint="eastAsia" w:eastAsia="仿宋_GB2312"/>
          <w:color w:val="auto"/>
          <w:sz w:val="28"/>
          <w:szCs w:val="28"/>
          <w:highlight w:val="none"/>
        </w:rPr>
        <w:t>、采购人向响应人提供的有关资料和数据，是采购人现有的能使响应人利用的资料，采购人对响应人由此而做出的推论、理解和结论概不负责。</w:t>
      </w:r>
    </w:p>
    <w:p w14:paraId="1E25F118">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eastAsia="仿宋_GB2312"/>
          <w:color w:val="auto"/>
          <w:sz w:val="28"/>
          <w:szCs w:val="28"/>
          <w:highlight w:val="none"/>
        </w:rPr>
        <w:t>3</w:t>
      </w:r>
      <w:r>
        <w:rPr>
          <w:rFonts w:hint="eastAsia" w:eastAsia="仿宋_GB2312"/>
          <w:color w:val="auto"/>
          <w:sz w:val="28"/>
          <w:szCs w:val="28"/>
          <w:highlight w:val="none"/>
        </w:rPr>
        <w:t>、本项目执行过程中将遵循国家、省、市有关法律、法规、标准、技术规范和规范性文件的最新规定。</w:t>
      </w:r>
      <w:bookmarkEnd w:id="1"/>
    </w:p>
    <w:p w14:paraId="22A34646">
      <w:pPr>
        <w:keepNext w:val="0"/>
        <w:keepLines w:val="0"/>
        <w:pageBreakBefore w:val="0"/>
        <w:widowControl/>
        <w:overflowPunct/>
        <w:topLinePunct w:val="0"/>
        <w:bidi w:val="0"/>
        <w:spacing w:line="560" w:lineRule="exact"/>
        <w:ind w:firstLine="560" w:firstLineChars="200"/>
        <w:jc w:val="left"/>
        <w:rPr>
          <w:rFonts w:eastAsia="仿宋_GB2312"/>
          <w:color w:val="auto"/>
          <w:sz w:val="28"/>
          <w:szCs w:val="28"/>
          <w:highlight w:val="none"/>
        </w:rPr>
      </w:pPr>
      <w:r>
        <w:rPr>
          <w:rFonts w:eastAsia="仿宋_GB2312"/>
          <w:color w:val="auto"/>
          <w:sz w:val="28"/>
          <w:szCs w:val="28"/>
          <w:highlight w:val="none"/>
        </w:rPr>
        <w:t>4</w:t>
      </w:r>
      <w:r>
        <w:rPr>
          <w:rFonts w:hint="eastAsia" w:eastAsia="仿宋_GB2312"/>
          <w:color w:val="auto"/>
          <w:sz w:val="28"/>
          <w:szCs w:val="28"/>
          <w:highlight w:val="none"/>
        </w:rPr>
        <w:t>、成交单位对采购文件中技术条款作出的负偏离，采购人如不接受，可要求成交单位以采购文件的要求为准，如成交单位拒绝的，采购人有权取消其成交资格或取消合同。采购人不作任何补偿。</w:t>
      </w:r>
    </w:p>
    <w:p w14:paraId="147B3A76">
      <w:pPr>
        <w:keepNext w:val="0"/>
        <w:keepLines w:val="0"/>
        <w:pageBreakBefore w:val="0"/>
        <w:widowControl/>
        <w:overflowPunct/>
        <w:topLinePunct w:val="0"/>
        <w:bidi w:val="0"/>
        <w:spacing w:line="560" w:lineRule="exact"/>
        <w:jc w:val="left"/>
        <w:rPr>
          <w:rFonts w:eastAsia="仿宋_GB2312"/>
          <w:color w:val="auto"/>
          <w:sz w:val="28"/>
          <w:szCs w:val="28"/>
          <w:highlight w:val="none"/>
        </w:rPr>
      </w:pPr>
    </w:p>
    <w:p w14:paraId="66693ECE">
      <w:pPr>
        <w:pStyle w:val="2"/>
        <w:rPr>
          <w:color w:val="auto"/>
          <w:highlight w:val="none"/>
        </w:rPr>
      </w:pPr>
    </w:p>
    <w:p w14:paraId="0D3BD036">
      <w:pPr>
        <w:keepNext w:val="0"/>
        <w:keepLines w:val="0"/>
        <w:pageBreakBefore w:val="0"/>
        <w:overflowPunct/>
        <w:topLinePunct w:val="0"/>
        <w:bidi w:val="0"/>
        <w:spacing w:line="560" w:lineRule="exact"/>
        <w:ind w:firstLine="560" w:firstLineChars="200"/>
        <w:jc w:val="right"/>
        <w:rPr>
          <w:rFonts w:eastAsia="仿宋_GB2312"/>
          <w:color w:val="auto"/>
          <w:sz w:val="28"/>
          <w:szCs w:val="28"/>
          <w:highlight w:val="none"/>
        </w:rPr>
      </w:pPr>
      <w:r>
        <w:rPr>
          <w:rFonts w:hint="eastAsia" w:eastAsia="仿宋_GB2312"/>
          <w:color w:val="auto"/>
          <w:sz w:val="28"/>
          <w:szCs w:val="28"/>
          <w:highlight w:val="none"/>
        </w:rPr>
        <w:t>东莞迎宾馆酒店有限公司</w:t>
      </w:r>
    </w:p>
    <w:p w14:paraId="3360C16D">
      <w:pPr>
        <w:keepNext w:val="0"/>
        <w:keepLines w:val="0"/>
        <w:pageBreakBefore w:val="0"/>
        <w:wordWrap w:val="0"/>
        <w:overflowPunct/>
        <w:topLinePunct w:val="0"/>
        <w:bidi w:val="0"/>
        <w:spacing w:line="560" w:lineRule="exact"/>
        <w:ind w:firstLine="560" w:firstLineChars="200"/>
        <w:jc w:val="right"/>
        <w:rPr>
          <w:rFonts w:eastAsia="仿宋_GB2312"/>
          <w:color w:val="auto"/>
          <w:sz w:val="28"/>
          <w:szCs w:val="28"/>
          <w:highlight w:val="none"/>
        </w:rPr>
      </w:pPr>
      <w:r>
        <w:rPr>
          <w:rFonts w:eastAsia="仿宋_GB2312"/>
          <w:color w:val="auto"/>
          <w:sz w:val="28"/>
          <w:szCs w:val="28"/>
          <w:highlight w:val="none"/>
        </w:rPr>
        <w:t>20</w:t>
      </w:r>
      <w:r>
        <w:rPr>
          <w:rFonts w:hint="eastAsia" w:eastAsia="仿宋_GB2312"/>
          <w:color w:val="auto"/>
          <w:sz w:val="28"/>
          <w:szCs w:val="28"/>
          <w:highlight w:val="none"/>
        </w:rPr>
        <w:t>2</w:t>
      </w:r>
      <w:r>
        <w:rPr>
          <w:rFonts w:hint="eastAsia" w:eastAsia="仿宋_GB2312"/>
          <w:color w:val="auto"/>
          <w:sz w:val="28"/>
          <w:szCs w:val="28"/>
          <w:highlight w:val="none"/>
          <w:lang w:val="en-US" w:eastAsia="zh-CN"/>
        </w:rPr>
        <w:t>5</w:t>
      </w:r>
      <w:r>
        <w:rPr>
          <w:rFonts w:hint="eastAsia" w:eastAsia="仿宋_GB2312"/>
          <w:color w:val="auto"/>
          <w:sz w:val="28"/>
          <w:szCs w:val="28"/>
          <w:highlight w:val="none"/>
        </w:rPr>
        <w:t>年</w:t>
      </w:r>
      <w:r>
        <w:rPr>
          <w:rFonts w:hint="eastAsia" w:eastAsia="仿宋_GB2312"/>
          <w:color w:val="auto"/>
          <w:sz w:val="28"/>
          <w:szCs w:val="28"/>
          <w:highlight w:val="none"/>
          <w:lang w:val="en-US" w:eastAsia="zh-CN"/>
        </w:rPr>
        <w:t>12</w:t>
      </w:r>
      <w:r>
        <w:rPr>
          <w:rFonts w:hint="eastAsia" w:eastAsia="仿宋_GB2312"/>
          <w:color w:val="auto"/>
          <w:sz w:val="28"/>
          <w:szCs w:val="28"/>
          <w:highlight w:val="none"/>
        </w:rPr>
        <w:t>月</w:t>
      </w:r>
      <w:r>
        <w:rPr>
          <w:rFonts w:hint="eastAsia" w:eastAsia="仿宋_GB2312"/>
          <w:color w:val="auto"/>
          <w:sz w:val="28"/>
          <w:szCs w:val="28"/>
          <w:highlight w:val="none"/>
          <w:lang w:val="en-US" w:eastAsia="zh-CN"/>
        </w:rPr>
        <w:t>21</w:t>
      </w:r>
      <w:r>
        <w:rPr>
          <w:rFonts w:hint="eastAsia" w:eastAsia="仿宋_GB2312"/>
          <w:color w:val="auto"/>
          <w:sz w:val="28"/>
          <w:szCs w:val="28"/>
          <w:highlight w:val="none"/>
        </w:rPr>
        <w:t>日</w:t>
      </w:r>
    </w:p>
    <w:p w14:paraId="61B7A85B">
      <w:pPr>
        <w:keepNext w:val="0"/>
        <w:keepLines w:val="0"/>
        <w:pageBreakBefore w:val="0"/>
        <w:widowControl/>
        <w:overflowPunct/>
        <w:topLinePunct w:val="0"/>
        <w:bidi w:val="0"/>
        <w:spacing w:line="560" w:lineRule="exact"/>
        <w:ind w:firstLine="560" w:firstLineChars="200"/>
        <w:jc w:val="left"/>
        <w:rPr>
          <w:rFonts w:eastAsia="仿宋_GB2312"/>
          <w:color w:val="auto"/>
          <w:sz w:val="28"/>
          <w:szCs w:val="28"/>
          <w:highlight w:val="none"/>
        </w:rPr>
        <w:sectPr>
          <w:headerReference r:id="rId3" w:type="default"/>
          <w:pgSz w:w="11906" w:h="16838"/>
          <w:pgMar w:top="1440" w:right="1800" w:bottom="1440" w:left="1800" w:header="851" w:footer="992" w:gutter="0"/>
          <w:cols w:space="720" w:num="1"/>
          <w:docGrid w:type="lines" w:linePitch="312" w:charSpace="0"/>
        </w:sectPr>
      </w:pPr>
    </w:p>
    <w:p w14:paraId="37C55081">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r>
        <w:rPr>
          <w:rFonts w:hint="eastAsia" w:eastAsia="黑体"/>
          <w:color w:val="auto"/>
          <w:sz w:val="28"/>
          <w:szCs w:val="28"/>
          <w:highlight w:val="none"/>
        </w:rPr>
        <w:t>附件一投标须知</w:t>
      </w:r>
    </w:p>
    <w:p w14:paraId="70FF9F0F">
      <w:pPr>
        <w:keepNext w:val="0"/>
        <w:keepLines w:val="0"/>
        <w:pageBreakBefore w:val="0"/>
        <w:overflowPunct/>
        <w:topLinePunct w:val="0"/>
        <w:bidi w:val="0"/>
        <w:spacing w:line="560" w:lineRule="exact"/>
        <w:jc w:val="center"/>
        <w:rPr>
          <w:rFonts w:eastAsia="华文中宋"/>
          <w:color w:val="auto"/>
          <w:sz w:val="28"/>
          <w:szCs w:val="28"/>
          <w:highlight w:val="none"/>
        </w:rPr>
      </w:pPr>
      <w:r>
        <w:rPr>
          <w:rFonts w:hint="eastAsia" w:eastAsia="华文中宋"/>
          <w:color w:val="auto"/>
          <w:sz w:val="28"/>
          <w:szCs w:val="28"/>
          <w:highlight w:val="none"/>
        </w:rPr>
        <w:t>投标须知</w:t>
      </w:r>
    </w:p>
    <w:tbl>
      <w:tblPr>
        <w:tblStyle w:val="23"/>
        <w:tblW w:w="9087"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0"/>
        <w:gridCol w:w="2275"/>
        <w:gridCol w:w="5942"/>
      </w:tblGrid>
      <w:tr w14:paraId="7B9F992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tblHeader/>
          <w:jc w:val="center"/>
        </w:trPr>
        <w:tc>
          <w:tcPr>
            <w:tcW w:w="870" w:type="dxa"/>
            <w:tcBorders>
              <w:top w:val="double" w:color="auto" w:sz="4" w:space="0"/>
            </w:tcBorders>
            <w:vAlign w:val="center"/>
          </w:tcPr>
          <w:p w14:paraId="79A9E34B">
            <w:pPr>
              <w:pStyle w:val="21"/>
              <w:keepNext w:val="0"/>
              <w:keepLines w:val="0"/>
              <w:pageBreakBefore w:val="0"/>
              <w:overflowPunct/>
              <w:topLinePunct w:val="0"/>
              <w:bidi w:val="0"/>
              <w:spacing w:after="0" w:line="560" w:lineRule="exact"/>
              <w:ind w:firstLine="0" w:firstLineChars="0"/>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项号</w:t>
            </w:r>
          </w:p>
        </w:tc>
        <w:tc>
          <w:tcPr>
            <w:tcW w:w="2275" w:type="dxa"/>
            <w:tcBorders>
              <w:top w:val="double" w:color="auto" w:sz="4" w:space="0"/>
            </w:tcBorders>
            <w:vAlign w:val="center"/>
          </w:tcPr>
          <w:p w14:paraId="522A4E91">
            <w:pPr>
              <w:pStyle w:val="21"/>
              <w:keepNext w:val="0"/>
              <w:keepLines w:val="0"/>
              <w:pageBreakBefore w:val="0"/>
              <w:overflowPunct/>
              <w:topLinePunct w:val="0"/>
              <w:bidi w:val="0"/>
              <w:spacing w:after="0" w:line="560" w:lineRule="exact"/>
              <w:ind w:firstLine="320"/>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内容</w:t>
            </w:r>
          </w:p>
        </w:tc>
        <w:tc>
          <w:tcPr>
            <w:tcW w:w="5942" w:type="dxa"/>
            <w:tcBorders>
              <w:top w:val="double" w:color="auto" w:sz="4" w:space="0"/>
            </w:tcBorders>
            <w:vAlign w:val="center"/>
          </w:tcPr>
          <w:p w14:paraId="5A3AB905">
            <w:pPr>
              <w:pStyle w:val="21"/>
              <w:keepNext w:val="0"/>
              <w:keepLines w:val="0"/>
              <w:pageBreakBefore w:val="0"/>
              <w:overflowPunct/>
              <w:topLinePunct w:val="0"/>
              <w:bidi w:val="0"/>
              <w:spacing w:after="0" w:line="560" w:lineRule="exact"/>
              <w:ind w:firstLine="320"/>
              <w:jc w:val="center"/>
              <w:rPr>
                <w:rFonts w:ascii="Times New Roman" w:hAnsi="Times New Roman" w:eastAsia="仿宋_GB2312" w:cs="Times New Roman"/>
                <w:color w:val="auto"/>
                <w:sz w:val="28"/>
                <w:szCs w:val="28"/>
                <w:highlight w:val="none"/>
              </w:rPr>
            </w:pPr>
            <w:r>
              <w:rPr>
                <w:rFonts w:hint="eastAsia" w:ascii="Times New Roman" w:hAnsi="Times New Roman" w:eastAsia="仿宋_GB2312" w:cs="Times New Roman"/>
                <w:color w:val="auto"/>
                <w:sz w:val="28"/>
                <w:szCs w:val="28"/>
                <w:highlight w:val="none"/>
              </w:rPr>
              <w:t>说明与要求</w:t>
            </w:r>
          </w:p>
        </w:tc>
      </w:tr>
      <w:tr w14:paraId="147DA66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C6A807C">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1</w:t>
            </w:r>
          </w:p>
        </w:tc>
        <w:tc>
          <w:tcPr>
            <w:tcW w:w="2275" w:type="dxa"/>
            <w:vAlign w:val="center"/>
          </w:tcPr>
          <w:p w14:paraId="6E0B0F5F">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项目名称</w:t>
            </w:r>
          </w:p>
        </w:tc>
        <w:tc>
          <w:tcPr>
            <w:tcW w:w="5942" w:type="dxa"/>
            <w:vAlign w:val="center"/>
          </w:tcPr>
          <w:p w14:paraId="1C4C35CA">
            <w:pPr>
              <w:keepNext w:val="0"/>
              <w:keepLines w:val="0"/>
              <w:pageBreakBefore w:val="0"/>
              <w:overflowPunct/>
              <w:topLinePunct w:val="0"/>
              <w:bidi w:val="0"/>
              <w:adjustRightInd w:val="0"/>
              <w:snapToGrid w:val="0"/>
              <w:spacing w:line="560" w:lineRule="exact"/>
              <w:rPr>
                <w:rFonts w:hint="default" w:eastAsia="仿宋_GB2312"/>
                <w:color w:val="auto"/>
                <w:sz w:val="28"/>
                <w:szCs w:val="28"/>
                <w:highlight w:val="none"/>
                <w:lang w:val="en-US" w:eastAsia="zh-CN"/>
              </w:rPr>
            </w:pPr>
            <w:r>
              <w:rPr>
                <w:rFonts w:hint="eastAsia" w:eastAsia="仿宋_GB2312"/>
                <w:color w:val="auto"/>
                <w:sz w:val="28"/>
                <w:szCs w:val="28"/>
                <w:highlight w:val="none"/>
                <w:u w:val="single"/>
              </w:rPr>
              <w:t>东莞迎宾馆一期建筑</w:t>
            </w:r>
            <w:r>
              <w:rPr>
                <w:rFonts w:hint="eastAsia" w:eastAsia="仿宋_GB2312"/>
                <w:color w:val="auto"/>
                <w:sz w:val="28"/>
                <w:szCs w:val="28"/>
                <w:highlight w:val="none"/>
                <w:u w:val="single"/>
                <w:lang w:val="en-US" w:eastAsia="zh-CN"/>
              </w:rPr>
              <w:t>房屋结构安全鉴定项目</w:t>
            </w:r>
          </w:p>
        </w:tc>
      </w:tr>
      <w:tr w14:paraId="0D86358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26770500">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2</w:t>
            </w:r>
          </w:p>
        </w:tc>
        <w:tc>
          <w:tcPr>
            <w:tcW w:w="2275" w:type="dxa"/>
            <w:vAlign w:val="center"/>
          </w:tcPr>
          <w:p w14:paraId="056DFEED">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lang w:val="en-US" w:eastAsia="zh-CN"/>
              </w:rPr>
              <w:t>项目实施</w:t>
            </w:r>
            <w:r>
              <w:rPr>
                <w:rFonts w:hint="eastAsia" w:eastAsia="仿宋_GB2312"/>
                <w:color w:val="auto"/>
                <w:sz w:val="28"/>
                <w:szCs w:val="28"/>
                <w:highlight w:val="none"/>
              </w:rPr>
              <w:t>地点</w:t>
            </w:r>
          </w:p>
        </w:tc>
        <w:tc>
          <w:tcPr>
            <w:tcW w:w="5942" w:type="dxa"/>
            <w:vAlign w:val="center"/>
          </w:tcPr>
          <w:p w14:paraId="4C447E04">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东莞迎宾馆</w:t>
            </w:r>
          </w:p>
        </w:tc>
      </w:tr>
      <w:tr w14:paraId="6C0D7B2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5FBE58A">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3</w:t>
            </w:r>
          </w:p>
        </w:tc>
        <w:tc>
          <w:tcPr>
            <w:tcW w:w="2275" w:type="dxa"/>
            <w:vAlign w:val="center"/>
          </w:tcPr>
          <w:p w14:paraId="561DF1CD">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项目性质</w:t>
            </w:r>
          </w:p>
        </w:tc>
        <w:tc>
          <w:tcPr>
            <w:tcW w:w="5942" w:type="dxa"/>
            <w:vAlign w:val="center"/>
          </w:tcPr>
          <w:p w14:paraId="1FDA90A0">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1ED0028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70B39A24">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4</w:t>
            </w:r>
          </w:p>
        </w:tc>
        <w:tc>
          <w:tcPr>
            <w:tcW w:w="2275" w:type="dxa"/>
            <w:vAlign w:val="center"/>
          </w:tcPr>
          <w:p w14:paraId="73BF120D">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发包要求</w:t>
            </w:r>
          </w:p>
        </w:tc>
        <w:tc>
          <w:tcPr>
            <w:tcW w:w="5942" w:type="dxa"/>
            <w:vAlign w:val="center"/>
          </w:tcPr>
          <w:p w14:paraId="00A4D8A5">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79BCA54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6FBDFC5">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5</w:t>
            </w:r>
          </w:p>
        </w:tc>
        <w:tc>
          <w:tcPr>
            <w:tcW w:w="2275" w:type="dxa"/>
            <w:vAlign w:val="center"/>
          </w:tcPr>
          <w:p w14:paraId="669587CE">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质量标准</w:t>
            </w:r>
          </w:p>
        </w:tc>
        <w:tc>
          <w:tcPr>
            <w:tcW w:w="5942" w:type="dxa"/>
            <w:vAlign w:val="center"/>
          </w:tcPr>
          <w:p w14:paraId="36B309F0">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7C8FA6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1475F726">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6</w:t>
            </w:r>
          </w:p>
        </w:tc>
        <w:tc>
          <w:tcPr>
            <w:tcW w:w="2275" w:type="dxa"/>
            <w:vAlign w:val="center"/>
          </w:tcPr>
          <w:p w14:paraId="4A33E118">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工期要求</w:t>
            </w:r>
          </w:p>
        </w:tc>
        <w:tc>
          <w:tcPr>
            <w:tcW w:w="5942" w:type="dxa"/>
            <w:vAlign w:val="center"/>
          </w:tcPr>
          <w:p w14:paraId="49B411BC">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44BCB24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33041CF1">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7</w:t>
            </w:r>
          </w:p>
        </w:tc>
        <w:tc>
          <w:tcPr>
            <w:tcW w:w="2275" w:type="dxa"/>
            <w:vAlign w:val="center"/>
          </w:tcPr>
          <w:p w14:paraId="1544165E">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单位资质要求</w:t>
            </w:r>
          </w:p>
        </w:tc>
        <w:tc>
          <w:tcPr>
            <w:tcW w:w="5942" w:type="dxa"/>
            <w:vAlign w:val="center"/>
          </w:tcPr>
          <w:p w14:paraId="2C98B18C">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rPr>
              <w:t>详见谈判文件《用户需求书》</w:t>
            </w:r>
          </w:p>
        </w:tc>
      </w:tr>
      <w:tr w14:paraId="22DCBCF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3BE023">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8</w:t>
            </w:r>
          </w:p>
        </w:tc>
        <w:tc>
          <w:tcPr>
            <w:tcW w:w="2275" w:type="dxa"/>
          </w:tcPr>
          <w:p w14:paraId="286C0427">
            <w:pPr>
              <w:keepNext w:val="0"/>
              <w:keepLines w:val="0"/>
              <w:pageBreakBefore w:val="0"/>
              <w:overflowPunct/>
              <w:topLinePunct w:val="0"/>
              <w:bidi w:val="0"/>
              <w:spacing w:line="560" w:lineRule="exact"/>
              <w:jc w:val="both"/>
              <w:rPr>
                <w:rFonts w:eastAsia="仿宋_GB2312"/>
                <w:color w:val="auto"/>
                <w:sz w:val="28"/>
                <w:szCs w:val="28"/>
                <w:highlight w:val="none"/>
              </w:rPr>
            </w:pPr>
            <w:r>
              <w:rPr>
                <w:rFonts w:hint="eastAsia" w:eastAsia="仿宋_GB2312"/>
                <w:color w:val="auto"/>
                <w:sz w:val="28"/>
                <w:szCs w:val="28"/>
                <w:highlight w:val="none"/>
              </w:rPr>
              <w:t>谈判保证金金额及缴纳方式</w:t>
            </w:r>
          </w:p>
        </w:tc>
        <w:tc>
          <w:tcPr>
            <w:tcW w:w="5942" w:type="dxa"/>
            <w:vAlign w:val="center"/>
          </w:tcPr>
          <w:p w14:paraId="354DAA1B">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谈判保证金金额：</w:t>
            </w:r>
            <w:r>
              <w:rPr>
                <w:rFonts w:hint="eastAsia" w:eastAsia="仿宋_GB2312"/>
                <w:color w:val="auto"/>
                <w:sz w:val="28"/>
                <w:szCs w:val="28"/>
                <w:highlight w:val="none"/>
                <w:lang w:val="en-US" w:eastAsia="zh-CN"/>
              </w:rPr>
              <w:t>¥2000.00</w:t>
            </w:r>
            <w:r>
              <w:rPr>
                <w:rFonts w:hint="eastAsia" w:eastAsia="仿宋_GB2312"/>
                <w:color w:val="auto"/>
                <w:sz w:val="28"/>
                <w:szCs w:val="28"/>
                <w:highlight w:val="none"/>
              </w:rPr>
              <w:t>元</w:t>
            </w:r>
          </w:p>
          <w:p w14:paraId="16760E1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1.谈判保证金的形式：银行转账或电汇。</w:t>
            </w:r>
          </w:p>
          <w:p w14:paraId="5D740CD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2.响应文件中须提供谈判保证金缴纳凭证复印件。唱标同时将公开展示谈判保证金凭证。</w:t>
            </w:r>
          </w:p>
          <w:p w14:paraId="4CBF982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3.谈判保证金有效期与谈判有效期一致。</w:t>
            </w:r>
          </w:p>
          <w:p w14:paraId="01185D31">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rPr>
            </w:pPr>
            <w:r>
              <w:rPr>
                <w:rFonts w:hint="eastAsia" w:eastAsia="仿宋_GB2312"/>
                <w:color w:val="auto"/>
                <w:sz w:val="28"/>
                <w:szCs w:val="28"/>
                <w:highlight w:val="none"/>
              </w:rPr>
              <w:t>4.提交谈判保证金帐户信息：</w:t>
            </w:r>
          </w:p>
          <w:p w14:paraId="476C312E">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val="zh-CN"/>
              </w:rPr>
            </w:pPr>
            <w:r>
              <w:rPr>
                <w:rFonts w:hint="eastAsia" w:eastAsia="仿宋_GB2312"/>
                <w:color w:val="auto"/>
                <w:sz w:val="28"/>
                <w:szCs w:val="28"/>
                <w:highlight w:val="none"/>
                <w:lang w:val="zh-CN"/>
              </w:rPr>
              <w:t xml:space="preserve">帐户名称： </w:t>
            </w:r>
            <w:r>
              <w:rPr>
                <w:rFonts w:hint="eastAsia" w:eastAsia="仿宋_GB2312"/>
                <w:color w:val="auto"/>
                <w:sz w:val="28"/>
                <w:szCs w:val="28"/>
                <w:highlight w:val="none"/>
              </w:rPr>
              <w:t>东莞迎宾馆酒店有限公司</w:t>
            </w:r>
            <w:r>
              <w:rPr>
                <w:rFonts w:hint="eastAsia" w:eastAsia="仿宋_GB2312"/>
                <w:color w:val="auto"/>
                <w:sz w:val="28"/>
                <w:szCs w:val="28"/>
                <w:highlight w:val="none"/>
                <w:lang w:val="zh-CN"/>
              </w:rPr>
              <w:t>；</w:t>
            </w:r>
          </w:p>
          <w:p w14:paraId="28FD6A98">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val="zh-CN"/>
              </w:rPr>
            </w:pPr>
            <w:r>
              <w:rPr>
                <w:rFonts w:hint="eastAsia" w:eastAsia="仿宋_GB2312"/>
                <w:color w:val="auto"/>
                <w:sz w:val="28"/>
                <w:szCs w:val="28"/>
                <w:highlight w:val="none"/>
                <w:lang w:val="zh-CN"/>
              </w:rPr>
              <w:t xml:space="preserve">开户银行： </w:t>
            </w:r>
            <w:r>
              <w:rPr>
                <w:rFonts w:hint="eastAsia" w:eastAsia="仿宋_GB2312"/>
                <w:color w:val="auto"/>
                <w:sz w:val="28"/>
                <w:szCs w:val="28"/>
                <w:highlight w:val="none"/>
              </w:rPr>
              <w:t>东莞银行东莞分行营业部</w:t>
            </w:r>
            <w:r>
              <w:rPr>
                <w:rFonts w:hint="eastAsia" w:eastAsia="仿宋_GB2312"/>
                <w:color w:val="auto"/>
                <w:sz w:val="28"/>
                <w:szCs w:val="28"/>
                <w:highlight w:val="none"/>
                <w:lang w:val="zh-CN"/>
              </w:rPr>
              <w:t>；</w:t>
            </w:r>
          </w:p>
          <w:p w14:paraId="5F7946FD">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val="zh-CN"/>
              </w:rPr>
            </w:pPr>
            <w:r>
              <w:rPr>
                <w:rFonts w:hint="eastAsia" w:eastAsia="仿宋_GB2312"/>
                <w:color w:val="auto"/>
                <w:sz w:val="28"/>
                <w:szCs w:val="28"/>
                <w:highlight w:val="none"/>
                <w:lang w:val="zh-CN"/>
              </w:rPr>
              <w:t>银行帐号：</w:t>
            </w:r>
            <w:r>
              <w:rPr>
                <w:rFonts w:hint="eastAsia" w:eastAsia="仿宋_GB2312"/>
                <w:color w:val="auto"/>
                <w:sz w:val="28"/>
                <w:szCs w:val="28"/>
                <w:highlight w:val="none"/>
                <w:lang w:val="en-US" w:eastAsia="zh-CN"/>
              </w:rPr>
              <w:t xml:space="preserve"> </w:t>
            </w:r>
            <w:r>
              <w:rPr>
                <w:rFonts w:hint="eastAsia" w:eastAsia="仿宋_GB2312"/>
                <w:color w:val="auto"/>
                <w:sz w:val="28"/>
                <w:szCs w:val="28"/>
                <w:highlight w:val="none"/>
              </w:rPr>
              <w:t>540008801001488</w:t>
            </w:r>
            <w:r>
              <w:rPr>
                <w:rFonts w:hint="eastAsia" w:eastAsia="仿宋_GB2312"/>
                <w:color w:val="auto"/>
                <w:sz w:val="28"/>
                <w:szCs w:val="28"/>
                <w:highlight w:val="none"/>
                <w:lang w:val="zh-CN"/>
              </w:rPr>
              <w:t>；</w:t>
            </w:r>
          </w:p>
          <w:p w14:paraId="51F51286">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eastAsia="仿宋_GB2312"/>
                <w:color w:val="auto"/>
                <w:sz w:val="28"/>
                <w:szCs w:val="28"/>
                <w:highlight w:val="none"/>
                <w:lang w:eastAsia="zh-CN"/>
              </w:rPr>
            </w:pPr>
            <w:r>
              <w:rPr>
                <w:rFonts w:hint="eastAsia" w:eastAsia="仿宋_GB2312"/>
                <w:color w:val="auto"/>
                <w:sz w:val="28"/>
                <w:szCs w:val="28"/>
                <w:highlight w:val="none"/>
              </w:rPr>
              <w:t>（注：各响应人在转</w:t>
            </w:r>
            <w:r>
              <w:rPr>
                <w:rFonts w:hint="eastAsia" w:eastAsia="仿宋_GB2312"/>
                <w:color w:val="auto"/>
                <w:sz w:val="28"/>
                <w:szCs w:val="28"/>
                <w:highlight w:val="none"/>
                <w:lang w:val="en-US" w:eastAsia="zh-CN"/>
              </w:rPr>
              <w:t>账</w:t>
            </w:r>
            <w:r>
              <w:rPr>
                <w:rFonts w:hint="eastAsia" w:eastAsia="仿宋_GB2312"/>
                <w:color w:val="auto"/>
                <w:sz w:val="28"/>
                <w:szCs w:val="28"/>
                <w:highlight w:val="none"/>
              </w:rPr>
              <w:t>或电汇时须在用途栏上备注项目编号，及项目名称，如有字数限制项目名称可简写。）</w:t>
            </w:r>
          </w:p>
        </w:tc>
      </w:tr>
      <w:tr w14:paraId="257D888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41B82688">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t>9</w:t>
            </w:r>
          </w:p>
        </w:tc>
        <w:tc>
          <w:tcPr>
            <w:tcW w:w="2275" w:type="dxa"/>
          </w:tcPr>
          <w:p w14:paraId="6D4344DC">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谈判有效期</w:t>
            </w:r>
          </w:p>
        </w:tc>
        <w:tc>
          <w:tcPr>
            <w:tcW w:w="5942" w:type="dxa"/>
            <w:vAlign w:val="center"/>
          </w:tcPr>
          <w:p w14:paraId="7FA4E9A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90</w:t>
            </w:r>
            <w:r>
              <w:rPr>
                <w:rFonts w:hint="eastAsia" w:eastAsia="仿宋_GB2312"/>
                <w:color w:val="auto"/>
                <w:sz w:val="28"/>
                <w:szCs w:val="28"/>
                <w:highlight w:val="none"/>
              </w:rPr>
              <w:t>天</w:t>
            </w:r>
          </w:p>
        </w:tc>
      </w:tr>
      <w:tr w14:paraId="4C5368A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870" w:type="dxa"/>
            <w:vAlign w:val="center"/>
          </w:tcPr>
          <w:p w14:paraId="6219761E">
            <w:pPr>
              <w:keepNext w:val="0"/>
              <w:keepLines w:val="0"/>
              <w:pageBreakBefore w:val="0"/>
              <w:overflowPunct/>
              <w:topLinePunct w:val="0"/>
              <w:bidi w:val="0"/>
              <w:spacing w:line="560" w:lineRule="exact"/>
              <w:jc w:val="center"/>
              <w:rPr>
                <w:rFonts w:eastAsia="仿宋_GB2312"/>
                <w:color w:val="auto"/>
                <w:sz w:val="28"/>
                <w:szCs w:val="28"/>
                <w:highlight w:val="none"/>
              </w:rPr>
            </w:pPr>
          </w:p>
        </w:tc>
        <w:tc>
          <w:tcPr>
            <w:tcW w:w="2275" w:type="dxa"/>
            <w:vAlign w:val="center"/>
          </w:tcPr>
          <w:p w14:paraId="6EF0E756">
            <w:pPr>
              <w:keepNext w:val="0"/>
              <w:keepLines w:val="0"/>
              <w:pageBreakBefore w:val="0"/>
              <w:overflowPunct/>
              <w:topLinePunct w:val="0"/>
              <w:bidi w:val="0"/>
              <w:spacing w:line="560" w:lineRule="exact"/>
              <w:jc w:val="center"/>
              <w:rPr>
                <w:rFonts w:eastAsia="仿宋_GB2312"/>
                <w:color w:val="auto"/>
                <w:sz w:val="28"/>
                <w:szCs w:val="28"/>
                <w:highlight w:val="none"/>
              </w:rPr>
            </w:pPr>
            <w:r>
              <w:rPr>
                <w:rFonts w:hint="eastAsia" w:eastAsia="仿宋_GB2312"/>
                <w:color w:val="auto"/>
                <w:sz w:val="28"/>
                <w:szCs w:val="28"/>
                <w:highlight w:val="none"/>
              </w:rPr>
              <w:t>响应人不得存在的情形</w:t>
            </w:r>
          </w:p>
        </w:tc>
        <w:tc>
          <w:tcPr>
            <w:tcW w:w="5942" w:type="dxa"/>
            <w:vAlign w:val="center"/>
          </w:tcPr>
          <w:p w14:paraId="0042EC8D">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1</w:t>
            </w:r>
            <w:r>
              <w:rPr>
                <w:rFonts w:hint="eastAsia" w:eastAsia="仿宋_GB2312"/>
                <w:color w:val="auto"/>
                <w:sz w:val="28"/>
                <w:szCs w:val="28"/>
                <w:highlight w:val="none"/>
              </w:rPr>
              <w:t>、响应人不得存在下列情形之一，否则采购人有权取消其参与响应资格或成交资格：</w:t>
            </w:r>
          </w:p>
          <w:p w14:paraId="36DA7153">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）为采购人不具有独立法人资格的附属机构（单位）；</w:t>
            </w:r>
          </w:p>
          <w:p w14:paraId="54A6F3AE">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）被责令停业的；</w:t>
            </w:r>
            <w:r>
              <w:rPr>
                <w:rFonts w:eastAsia="仿宋_GB2312"/>
                <w:color w:val="auto"/>
                <w:sz w:val="28"/>
                <w:szCs w:val="28"/>
                <w:highlight w:val="none"/>
              </w:rPr>
              <w:t xml:space="preserve"> </w:t>
            </w:r>
          </w:p>
          <w:p w14:paraId="50226EF3">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）被暂停或取消投标资格的；</w:t>
            </w:r>
            <w:r>
              <w:rPr>
                <w:rFonts w:eastAsia="仿宋_GB2312"/>
                <w:color w:val="auto"/>
                <w:sz w:val="28"/>
                <w:szCs w:val="28"/>
                <w:highlight w:val="none"/>
              </w:rPr>
              <w:t xml:space="preserve"> </w:t>
            </w:r>
          </w:p>
          <w:p w14:paraId="6039649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）财产被接管或冻结的；</w:t>
            </w:r>
          </w:p>
          <w:p w14:paraId="76B5C82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）在最近三年内有骗取中标、严重违约、重大质量或安全问题的；</w:t>
            </w:r>
          </w:p>
          <w:p w14:paraId="44C8C8A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6</w:t>
            </w:r>
            <w:r>
              <w:rPr>
                <w:rFonts w:hint="eastAsia" w:eastAsia="仿宋_GB2312"/>
                <w:color w:val="auto"/>
                <w:sz w:val="28"/>
                <w:szCs w:val="28"/>
                <w:highlight w:val="none"/>
              </w:rPr>
              <w:t>）法律法规规定的其他情形；</w:t>
            </w:r>
          </w:p>
          <w:p w14:paraId="3E512F7E">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7</w:t>
            </w:r>
            <w:r>
              <w:rPr>
                <w:rFonts w:hint="eastAsia" w:eastAsia="仿宋_GB2312"/>
                <w:color w:val="auto"/>
                <w:sz w:val="28"/>
                <w:szCs w:val="28"/>
                <w:highlight w:val="none"/>
              </w:rPr>
              <w:t>）竞争性谈判文件规定的其他情形：见竞争性谈判公告或竞争性谈判响应须知前附表。</w:t>
            </w:r>
          </w:p>
          <w:p w14:paraId="712B233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2</w:t>
            </w:r>
            <w:r>
              <w:rPr>
                <w:rFonts w:hint="eastAsia" w:eastAsia="仿宋_GB2312"/>
                <w:color w:val="auto"/>
                <w:sz w:val="28"/>
                <w:szCs w:val="28"/>
                <w:highlight w:val="none"/>
              </w:rPr>
              <w:t>、响应人在竞争性谈判活动中有下列行为之一的，应视情节轻重，暂停或取消其参与采购人及东实集团旗下采购项目的资格：</w:t>
            </w:r>
          </w:p>
          <w:p w14:paraId="1A31687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）响应人之间相互串通、或与采购人、代理机构、评审委员会成员串通谈判，损害采购人或者其他响应人的合法权益的；</w:t>
            </w:r>
            <w:r>
              <w:rPr>
                <w:rFonts w:eastAsia="仿宋_GB2312"/>
                <w:color w:val="auto"/>
                <w:sz w:val="28"/>
                <w:szCs w:val="28"/>
                <w:highlight w:val="none"/>
              </w:rPr>
              <w:t xml:space="preserve"> </w:t>
            </w:r>
          </w:p>
          <w:p w14:paraId="72B65D79">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）向采购人、代理机构、评审委会成员或其他相关工作人员行贿的；</w:t>
            </w:r>
            <w:r>
              <w:rPr>
                <w:rFonts w:eastAsia="仿宋_GB2312"/>
                <w:color w:val="auto"/>
                <w:sz w:val="28"/>
                <w:szCs w:val="28"/>
                <w:highlight w:val="none"/>
              </w:rPr>
              <w:t xml:space="preserve"> </w:t>
            </w:r>
          </w:p>
          <w:p w14:paraId="1B2E15D1">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）以他人名义谈判或以其他方式弄虚作假，骗取成交的；</w:t>
            </w:r>
            <w:r>
              <w:rPr>
                <w:rFonts w:eastAsia="仿宋_GB2312"/>
                <w:color w:val="auto"/>
                <w:sz w:val="28"/>
                <w:szCs w:val="28"/>
                <w:highlight w:val="none"/>
              </w:rPr>
              <w:t xml:space="preserve"> </w:t>
            </w:r>
          </w:p>
          <w:p w14:paraId="4796AC1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）成交人私自将成交项目转让给他人的，将成交项目肢解后分别转让给他人的；</w:t>
            </w:r>
            <w:r>
              <w:rPr>
                <w:rFonts w:eastAsia="仿宋_GB2312"/>
                <w:color w:val="auto"/>
                <w:sz w:val="28"/>
                <w:szCs w:val="28"/>
                <w:highlight w:val="none"/>
              </w:rPr>
              <w:t xml:space="preserve"> </w:t>
            </w:r>
          </w:p>
          <w:p w14:paraId="05B90A3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）成交人无正当理由不与采购人订立合同，在签订合同时向采购人提出附加条件，或者不按照竞争性谈判文件要求提交履约担保的；</w:t>
            </w:r>
          </w:p>
          <w:p w14:paraId="6E86E89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6</w:t>
            </w:r>
            <w:r>
              <w:rPr>
                <w:rFonts w:hint="eastAsia" w:eastAsia="仿宋_GB2312"/>
                <w:color w:val="auto"/>
                <w:sz w:val="28"/>
                <w:szCs w:val="28"/>
                <w:highlight w:val="none"/>
              </w:rPr>
              <w:t>）响应人捏造事实、伪造材料或者以非法手段取得证明材料进行投诉，给他人造成损失的；</w:t>
            </w:r>
            <w:r>
              <w:rPr>
                <w:rFonts w:eastAsia="仿宋_GB2312"/>
                <w:color w:val="auto"/>
                <w:sz w:val="28"/>
                <w:szCs w:val="28"/>
                <w:highlight w:val="none"/>
              </w:rPr>
              <w:t xml:space="preserve"> </w:t>
            </w:r>
          </w:p>
          <w:p w14:paraId="259F08D7">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7</w:t>
            </w:r>
            <w:r>
              <w:rPr>
                <w:rFonts w:hint="eastAsia" w:eastAsia="仿宋_GB2312"/>
                <w:color w:val="auto"/>
                <w:sz w:val="28"/>
                <w:szCs w:val="28"/>
                <w:highlight w:val="none"/>
              </w:rPr>
              <w:t>）相关工作人员应当回避而不回避的；</w:t>
            </w:r>
            <w:r>
              <w:rPr>
                <w:rFonts w:eastAsia="仿宋_GB2312"/>
                <w:color w:val="auto"/>
                <w:sz w:val="28"/>
                <w:szCs w:val="28"/>
                <w:highlight w:val="none"/>
              </w:rPr>
              <w:t xml:space="preserve"> </w:t>
            </w:r>
          </w:p>
          <w:p w14:paraId="72A3C204">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8</w:t>
            </w:r>
            <w:r>
              <w:rPr>
                <w:rFonts w:hint="eastAsia" w:eastAsia="仿宋_GB2312"/>
                <w:color w:val="auto"/>
                <w:sz w:val="28"/>
                <w:szCs w:val="28"/>
                <w:highlight w:val="none"/>
              </w:rPr>
              <w:t>）其他违法违规的行为。</w:t>
            </w:r>
          </w:p>
          <w:p w14:paraId="38D1C0C3">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3</w:t>
            </w:r>
            <w:r>
              <w:rPr>
                <w:rFonts w:hint="eastAsia" w:eastAsia="仿宋_GB2312"/>
                <w:color w:val="auto"/>
                <w:sz w:val="28"/>
                <w:szCs w:val="28"/>
                <w:highlight w:val="none"/>
              </w:rPr>
              <w:t>、有下列情形之一的，视为响应人串通谈判，其响应无效：</w:t>
            </w:r>
          </w:p>
          <w:p w14:paraId="72EC61BF">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）不同响应人的响应文件由同一单位或者个人编制；</w:t>
            </w:r>
          </w:p>
          <w:p w14:paraId="39A43A65">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）不同响应人委托同一单位或者个人办理响应事宜；</w:t>
            </w:r>
          </w:p>
          <w:p w14:paraId="7264F5BF">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）不同响应人的响应文件载明的项目管理成员或者联系人员为同一人；</w:t>
            </w:r>
          </w:p>
          <w:p w14:paraId="4CD8F6A5">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）不同响应人的响应文件异常一致或者响应报价呈规律性差异；</w:t>
            </w:r>
          </w:p>
          <w:p w14:paraId="35CEFF89">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）不同响应人的响应文件相互混装；</w:t>
            </w:r>
          </w:p>
          <w:p w14:paraId="2BEAD73A">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6</w:t>
            </w:r>
            <w:r>
              <w:rPr>
                <w:rFonts w:hint="eastAsia" w:eastAsia="仿宋_GB2312"/>
                <w:color w:val="auto"/>
                <w:sz w:val="28"/>
                <w:szCs w:val="28"/>
                <w:highlight w:val="none"/>
              </w:rPr>
              <w:t>）不同响应人的响应保证金从同一单位或者个人的账户转出。</w:t>
            </w:r>
          </w:p>
          <w:p w14:paraId="3A6F6854">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4</w:t>
            </w:r>
            <w:r>
              <w:rPr>
                <w:rFonts w:hint="eastAsia" w:eastAsia="仿宋_GB2312"/>
                <w:color w:val="auto"/>
                <w:sz w:val="28"/>
                <w:szCs w:val="28"/>
                <w:highlight w:val="none"/>
              </w:rPr>
              <w:t>、使用通过受让或者租借等方式获取的资格、资质证书响应的，属于以他人名义谈判，其响应无效：</w:t>
            </w:r>
          </w:p>
          <w:p w14:paraId="6C19CF3B">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5</w:t>
            </w:r>
            <w:r>
              <w:rPr>
                <w:rFonts w:hint="eastAsia" w:eastAsia="仿宋_GB2312"/>
                <w:color w:val="auto"/>
                <w:sz w:val="28"/>
                <w:szCs w:val="28"/>
                <w:highlight w:val="none"/>
              </w:rPr>
              <w:t>、有下列情形之一的，属于以其他方式弄虚作假的行为，其响应无效：</w:t>
            </w:r>
          </w:p>
          <w:p w14:paraId="725F6A48">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1</w:t>
            </w:r>
            <w:r>
              <w:rPr>
                <w:rFonts w:hint="eastAsia" w:eastAsia="仿宋_GB2312"/>
                <w:color w:val="auto"/>
                <w:sz w:val="28"/>
                <w:szCs w:val="28"/>
                <w:highlight w:val="none"/>
              </w:rPr>
              <w:t>）使用伪造、变造的许可证件；</w:t>
            </w:r>
          </w:p>
          <w:p w14:paraId="093F0A31">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2</w:t>
            </w:r>
            <w:r>
              <w:rPr>
                <w:rFonts w:hint="eastAsia" w:eastAsia="仿宋_GB2312"/>
                <w:color w:val="auto"/>
                <w:sz w:val="28"/>
                <w:szCs w:val="28"/>
                <w:highlight w:val="none"/>
              </w:rPr>
              <w:t>）提供虚假的财务状况或者业绩；</w:t>
            </w:r>
            <w:r>
              <w:rPr>
                <w:rFonts w:eastAsia="仿宋_GB2312"/>
                <w:color w:val="auto"/>
                <w:sz w:val="28"/>
                <w:szCs w:val="28"/>
                <w:highlight w:val="none"/>
              </w:rPr>
              <w:t xml:space="preserve"> </w:t>
            </w:r>
          </w:p>
          <w:p w14:paraId="7D6DDA3F">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3</w:t>
            </w:r>
            <w:r>
              <w:rPr>
                <w:rFonts w:hint="eastAsia" w:eastAsia="仿宋_GB2312"/>
                <w:color w:val="auto"/>
                <w:sz w:val="28"/>
                <w:szCs w:val="28"/>
                <w:highlight w:val="none"/>
              </w:rPr>
              <w:t>）提供虚假的项目负责人或者主要技术人员简历、劳动关系证明；</w:t>
            </w:r>
            <w:r>
              <w:rPr>
                <w:rFonts w:eastAsia="仿宋_GB2312"/>
                <w:color w:val="auto"/>
                <w:sz w:val="28"/>
                <w:szCs w:val="28"/>
                <w:highlight w:val="none"/>
              </w:rPr>
              <w:t xml:space="preserve"> </w:t>
            </w:r>
          </w:p>
          <w:p w14:paraId="009C04FD">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4</w:t>
            </w:r>
            <w:r>
              <w:rPr>
                <w:rFonts w:hint="eastAsia" w:eastAsia="仿宋_GB2312"/>
                <w:color w:val="auto"/>
                <w:sz w:val="28"/>
                <w:szCs w:val="28"/>
                <w:highlight w:val="none"/>
              </w:rPr>
              <w:t>）提供虚假的信用状况；</w:t>
            </w:r>
          </w:p>
          <w:p w14:paraId="17A50460">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w:t>
            </w:r>
            <w:r>
              <w:rPr>
                <w:rFonts w:eastAsia="仿宋_GB2312"/>
                <w:color w:val="auto"/>
                <w:sz w:val="28"/>
                <w:szCs w:val="28"/>
                <w:highlight w:val="none"/>
              </w:rPr>
              <w:t>5</w:t>
            </w:r>
            <w:r>
              <w:rPr>
                <w:rFonts w:hint="eastAsia" w:eastAsia="仿宋_GB2312"/>
                <w:color w:val="auto"/>
                <w:sz w:val="28"/>
                <w:szCs w:val="28"/>
                <w:highlight w:val="none"/>
              </w:rPr>
              <w:t>）其他弄虚作假的行为。</w:t>
            </w:r>
          </w:p>
          <w:p w14:paraId="443E81E0">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eastAsia="仿宋_GB2312"/>
                <w:color w:val="auto"/>
                <w:sz w:val="28"/>
                <w:szCs w:val="28"/>
                <w:highlight w:val="none"/>
              </w:rPr>
              <w:t>6</w:t>
            </w:r>
            <w:r>
              <w:rPr>
                <w:rFonts w:hint="eastAsia" w:eastAsia="仿宋_GB2312"/>
                <w:color w:val="auto"/>
                <w:sz w:val="28"/>
                <w:szCs w:val="28"/>
                <w:highlight w:val="none"/>
              </w:rPr>
              <w:t>、响应人相关工作人员与采购人或采购代理机构有以下利害关系之一的，应当回避：</w:t>
            </w:r>
            <w:r>
              <w:rPr>
                <w:rFonts w:eastAsia="仿宋_GB2312"/>
                <w:color w:val="auto"/>
                <w:sz w:val="28"/>
                <w:szCs w:val="28"/>
                <w:highlight w:val="none"/>
              </w:rPr>
              <w:t xml:space="preserve"> </w:t>
            </w:r>
          </w:p>
          <w:p w14:paraId="44828A01">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（一）是其主要负责人的近亲属的；</w:t>
            </w:r>
          </w:p>
          <w:p w14:paraId="46D262F9">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（二）竞争性谈判活动前</w:t>
            </w:r>
            <w:r>
              <w:rPr>
                <w:rFonts w:eastAsia="仿宋_GB2312"/>
                <w:color w:val="auto"/>
                <w:sz w:val="28"/>
                <w:szCs w:val="28"/>
                <w:highlight w:val="none"/>
              </w:rPr>
              <w:t>3</w:t>
            </w:r>
            <w:r>
              <w:rPr>
                <w:rFonts w:hint="eastAsia" w:eastAsia="仿宋_GB2312"/>
                <w:color w:val="auto"/>
                <w:sz w:val="28"/>
                <w:szCs w:val="28"/>
                <w:highlight w:val="none"/>
              </w:rPr>
              <w:t>年内与其存在劳动关系，担任其董事、监事，是其控股股东或实际控制人，或存在其他经济利益关系，可能影响竞争性谈判活动公平公正的；</w:t>
            </w:r>
          </w:p>
          <w:p w14:paraId="38979397">
            <w:pPr>
              <w:keepNext w:val="0"/>
              <w:keepLines w:val="0"/>
              <w:pageBreakBefore w:val="0"/>
              <w:overflowPunct/>
              <w:topLinePunct w:val="0"/>
              <w:bidi w:val="0"/>
              <w:adjustRightInd w:val="0"/>
              <w:snapToGrid w:val="0"/>
              <w:spacing w:line="560" w:lineRule="exact"/>
              <w:rPr>
                <w:rFonts w:eastAsia="仿宋_GB2312"/>
                <w:color w:val="auto"/>
                <w:sz w:val="28"/>
                <w:szCs w:val="28"/>
                <w:highlight w:val="none"/>
              </w:rPr>
            </w:pPr>
            <w:r>
              <w:rPr>
                <w:rFonts w:hint="eastAsia" w:eastAsia="仿宋_GB2312"/>
                <w:color w:val="auto"/>
                <w:sz w:val="28"/>
                <w:szCs w:val="28"/>
                <w:highlight w:val="none"/>
              </w:rPr>
              <w:t>（三）其他可能影响竞争性谈判活动公平、公正进行的关系。</w:t>
            </w:r>
          </w:p>
        </w:tc>
      </w:tr>
    </w:tbl>
    <w:p w14:paraId="29AD012F">
      <w:pPr>
        <w:keepNext w:val="0"/>
        <w:keepLines w:val="0"/>
        <w:pageBreakBefore w:val="0"/>
        <w:overflowPunct/>
        <w:topLinePunct w:val="0"/>
        <w:bidi w:val="0"/>
        <w:spacing w:line="560" w:lineRule="exact"/>
        <w:rPr>
          <w:rFonts w:eastAsia="仿宋_GB2312"/>
          <w:color w:val="auto"/>
          <w:sz w:val="28"/>
          <w:szCs w:val="28"/>
          <w:highlight w:val="none"/>
        </w:rPr>
      </w:pPr>
    </w:p>
    <w:p w14:paraId="33072B7E">
      <w:pPr>
        <w:keepNext w:val="0"/>
        <w:keepLines w:val="0"/>
        <w:pageBreakBefore w:val="0"/>
        <w:overflowPunct/>
        <w:topLinePunct w:val="0"/>
        <w:bidi w:val="0"/>
        <w:spacing w:line="560" w:lineRule="exact"/>
        <w:rPr>
          <w:rFonts w:eastAsia="仿宋_GB2312"/>
          <w:color w:val="auto"/>
          <w:sz w:val="28"/>
          <w:szCs w:val="28"/>
          <w:highlight w:val="none"/>
        </w:rPr>
      </w:pPr>
    </w:p>
    <w:p w14:paraId="5F7FF628">
      <w:pPr>
        <w:keepNext w:val="0"/>
        <w:keepLines w:val="0"/>
        <w:pageBreakBefore w:val="0"/>
        <w:overflowPunct/>
        <w:topLinePunct w:val="0"/>
        <w:bidi w:val="0"/>
        <w:spacing w:line="560" w:lineRule="exact"/>
        <w:rPr>
          <w:rFonts w:eastAsia="仿宋_GB2312"/>
          <w:color w:val="auto"/>
          <w:sz w:val="28"/>
          <w:szCs w:val="28"/>
          <w:highlight w:val="none"/>
        </w:rPr>
      </w:pPr>
    </w:p>
    <w:p w14:paraId="5D537352">
      <w:pPr>
        <w:keepNext w:val="0"/>
        <w:keepLines w:val="0"/>
        <w:pageBreakBefore w:val="0"/>
        <w:overflowPunct/>
        <w:topLinePunct w:val="0"/>
        <w:bidi w:val="0"/>
        <w:spacing w:line="560" w:lineRule="exact"/>
        <w:rPr>
          <w:rFonts w:eastAsia="仿宋_GB2312"/>
          <w:color w:val="auto"/>
          <w:sz w:val="28"/>
          <w:szCs w:val="28"/>
          <w:highlight w:val="none"/>
        </w:rPr>
      </w:pPr>
    </w:p>
    <w:p w14:paraId="455FEB3C">
      <w:pPr>
        <w:pStyle w:val="2"/>
        <w:rPr>
          <w:rFonts w:eastAsia="仿宋_GB2312"/>
          <w:color w:val="auto"/>
          <w:sz w:val="28"/>
          <w:szCs w:val="28"/>
          <w:highlight w:val="none"/>
        </w:rPr>
      </w:pPr>
    </w:p>
    <w:p w14:paraId="2D0F8E0C">
      <w:pPr>
        <w:pStyle w:val="2"/>
        <w:rPr>
          <w:rFonts w:eastAsia="仿宋_GB2312"/>
          <w:color w:val="auto"/>
          <w:sz w:val="28"/>
          <w:szCs w:val="28"/>
          <w:highlight w:val="none"/>
        </w:rPr>
      </w:pPr>
    </w:p>
    <w:p w14:paraId="523D1B61">
      <w:pPr>
        <w:pStyle w:val="2"/>
        <w:rPr>
          <w:rFonts w:eastAsia="仿宋_GB2312"/>
          <w:color w:val="auto"/>
          <w:sz w:val="28"/>
          <w:szCs w:val="28"/>
          <w:highlight w:val="none"/>
        </w:rPr>
      </w:pPr>
    </w:p>
    <w:p w14:paraId="494D31F5">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bookmarkStart w:id="2" w:name="_Hlk524442005"/>
      <w:r>
        <w:rPr>
          <w:rFonts w:hint="eastAsia" w:eastAsia="黑体"/>
          <w:color w:val="auto"/>
          <w:sz w:val="28"/>
          <w:szCs w:val="28"/>
          <w:highlight w:val="none"/>
        </w:rPr>
        <w:t>附件二</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报价函</w:t>
      </w:r>
    </w:p>
    <w:p w14:paraId="47631D88">
      <w:pPr>
        <w:keepNext w:val="0"/>
        <w:keepLines w:val="0"/>
        <w:pageBreakBefore w:val="0"/>
        <w:overflowPunct/>
        <w:topLinePunct w:val="0"/>
        <w:bidi w:val="0"/>
        <w:spacing w:line="560" w:lineRule="exact"/>
        <w:jc w:val="center"/>
        <w:rPr>
          <w:rFonts w:eastAsia="华文中宋"/>
          <w:color w:val="auto"/>
          <w:sz w:val="28"/>
          <w:szCs w:val="28"/>
          <w:highlight w:val="none"/>
        </w:rPr>
      </w:pPr>
      <w:r>
        <w:rPr>
          <w:rFonts w:hint="eastAsia" w:eastAsia="华文中宋"/>
          <w:color w:val="auto"/>
          <w:sz w:val="28"/>
          <w:szCs w:val="28"/>
          <w:highlight w:val="none"/>
        </w:rPr>
        <w:t>报价函</w:t>
      </w:r>
    </w:p>
    <w:p w14:paraId="6A2B81F5">
      <w:pPr>
        <w:keepNext w:val="0"/>
        <w:keepLines w:val="0"/>
        <w:pageBreakBefore w:val="0"/>
        <w:overflowPunct/>
        <w:topLinePunct w:val="0"/>
        <w:bidi w:val="0"/>
        <w:spacing w:line="560" w:lineRule="exact"/>
        <w:ind w:firstLine="560"/>
        <w:jc w:val="center"/>
        <w:rPr>
          <w:rFonts w:eastAsia="仿宋_GB2312"/>
          <w:color w:val="auto"/>
          <w:sz w:val="28"/>
          <w:szCs w:val="28"/>
          <w:highlight w:val="none"/>
        </w:rPr>
      </w:pPr>
    </w:p>
    <w:p w14:paraId="0271A1B1">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2BB1283C">
      <w:pPr>
        <w:keepNext w:val="0"/>
        <w:keepLines w:val="0"/>
        <w:pageBreakBefore w:val="0"/>
        <w:overflowPunct/>
        <w:topLinePunct w:val="0"/>
        <w:bidi w:val="0"/>
        <w:spacing w:line="560" w:lineRule="exact"/>
        <w:ind w:firstLine="560" w:firstLineChars="200"/>
        <w:rPr>
          <w:rFonts w:eastAsia="仿宋_GB2312"/>
          <w:color w:val="auto"/>
          <w:sz w:val="28"/>
          <w:szCs w:val="28"/>
          <w:highlight w:val="none"/>
        </w:rPr>
      </w:pPr>
      <w:r>
        <w:rPr>
          <w:rFonts w:hint="eastAsia" w:eastAsia="仿宋_GB2312"/>
          <w:color w:val="auto"/>
          <w:sz w:val="28"/>
          <w:szCs w:val="28"/>
          <w:highlight w:val="none"/>
        </w:rPr>
        <w:t>针对贵司</w:t>
      </w:r>
      <w:r>
        <w:rPr>
          <w:rFonts w:hint="eastAsia" w:eastAsia="仿宋_GB2312"/>
          <w:color w:val="auto"/>
          <w:sz w:val="28"/>
          <w:szCs w:val="28"/>
          <w:highlight w:val="none"/>
          <w:u w:val="single"/>
          <w:lang w:val="en-US" w:eastAsia="zh-CN"/>
        </w:rPr>
        <w:t>东莞迎宾馆一期建筑房屋结构安全鉴定项目（重新采购）</w:t>
      </w:r>
      <w:r>
        <w:rPr>
          <w:rFonts w:hint="eastAsia" w:eastAsia="仿宋_GB2312"/>
          <w:color w:val="auto"/>
          <w:sz w:val="28"/>
          <w:szCs w:val="28"/>
          <w:highlight w:val="none"/>
        </w:rPr>
        <w:t>，我司愿意以含税价合计人民币</w:t>
      </w:r>
      <w:r>
        <w:rPr>
          <w:rFonts w:eastAsia="仿宋_GB2312"/>
          <w:color w:val="auto"/>
          <w:sz w:val="28"/>
          <w:szCs w:val="28"/>
          <w:highlight w:val="none"/>
          <w:u w:val="single"/>
        </w:rPr>
        <w:t>xxxx</w:t>
      </w:r>
      <w:r>
        <w:rPr>
          <w:rFonts w:hint="eastAsia" w:eastAsia="仿宋_GB2312"/>
          <w:color w:val="auto"/>
          <w:sz w:val="28"/>
          <w:szCs w:val="28"/>
          <w:highlight w:val="none"/>
          <w:u w:val="single"/>
        </w:rPr>
        <w:t>元（大写），</w:t>
      </w:r>
      <w:r>
        <w:rPr>
          <w:rFonts w:eastAsia="仿宋_GB2312"/>
          <w:color w:val="auto"/>
          <w:sz w:val="28"/>
          <w:szCs w:val="28"/>
          <w:highlight w:val="none"/>
          <w:u w:val="single"/>
        </w:rPr>
        <w:t>¥xxx.00</w:t>
      </w:r>
      <w:r>
        <w:rPr>
          <w:rFonts w:hint="eastAsia" w:eastAsia="仿宋_GB2312"/>
          <w:color w:val="auto"/>
          <w:sz w:val="28"/>
          <w:szCs w:val="28"/>
          <w:highlight w:val="none"/>
          <w:u w:val="single"/>
        </w:rPr>
        <w:t>（小写）</w:t>
      </w:r>
      <w:r>
        <w:rPr>
          <w:rFonts w:hint="eastAsia" w:eastAsia="仿宋_GB2312"/>
          <w:color w:val="auto"/>
          <w:sz w:val="28"/>
          <w:szCs w:val="28"/>
          <w:highlight w:val="none"/>
        </w:rPr>
        <w:t>承接此项目，报价含</w:t>
      </w:r>
      <w:r>
        <w:rPr>
          <w:rFonts w:hint="eastAsia" w:eastAsia="仿宋_GB2312"/>
          <w:color w:val="auto"/>
          <w:sz w:val="28"/>
          <w:szCs w:val="28"/>
          <w:highlight w:val="none"/>
          <w:u w:val="single"/>
        </w:rPr>
        <w:t xml:space="preserve">   </w:t>
      </w:r>
      <w:r>
        <w:rPr>
          <w:rFonts w:hint="eastAsia" w:eastAsia="仿宋_GB2312"/>
          <w:color w:val="auto"/>
          <w:sz w:val="28"/>
          <w:szCs w:val="28"/>
          <w:highlight w:val="none"/>
        </w:rPr>
        <w:t>%的增值税专用发票。</w:t>
      </w:r>
    </w:p>
    <w:p w14:paraId="7D3D15D2">
      <w:pPr>
        <w:keepNext w:val="0"/>
        <w:keepLines w:val="0"/>
        <w:pageBreakBefore w:val="0"/>
        <w:overflowPunct/>
        <w:topLinePunct w:val="0"/>
        <w:bidi w:val="0"/>
        <w:spacing w:line="560" w:lineRule="exact"/>
        <w:rPr>
          <w:rFonts w:eastAsia="仿宋_GB2312"/>
          <w:color w:val="auto"/>
          <w:sz w:val="28"/>
          <w:szCs w:val="28"/>
          <w:highlight w:val="none"/>
        </w:rPr>
      </w:pPr>
    </w:p>
    <w:p w14:paraId="65ABCD56">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响应人名称（加盖公章）：</w:t>
      </w:r>
    </w:p>
    <w:p w14:paraId="299EC2C1">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法定代表人（签名或盖章）：</w:t>
      </w:r>
    </w:p>
    <w:p w14:paraId="5F94CAC9">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联系人：</w:t>
      </w:r>
    </w:p>
    <w:p w14:paraId="65DA8DFC">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联系电话：</w:t>
      </w:r>
    </w:p>
    <w:p w14:paraId="27ABACD0">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日期：</w:t>
      </w:r>
    </w:p>
    <w:p w14:paraId="76B01CCA">
      <w:pPr>
        <w:keepNext w:val="0"/>
        <w:keepLines w:val="0"/>
        <w:pageBreakBefore w:val="0"/>
        <w:overflowPunct/>
        <w:topLinePunct w:val="0"/>
        <w:bidi w:val="0"/>
        <w:spacing w:line="560" w:lineRule="exact"/>
        <w:jc w:val="center"/>
        <w:rPr>
          <w:rFonts w:eastAsia="仿宋_GB2312"/>
          <w:color w:val="auto"/>
          <w:sz w:val="28"/>
          <w:szCs w:val="28"/>
          <w:highlight w:val="none"/>
        </w:rPr>
      </w:pPr>
    </w:p>
    <w:p w14:paraId="78E42C3A">
      <w:pPr>
        <w:pStyle w:val="2"/>
        <w:rPr>
          <w:rFonts w:eastAsia="仿宋_GB2312"/>
          <w:color w:val="auto"/>
          <w:sz w:val="28"/>
          <w:szCs w:val="28"/>
          <w:highlight w:val="none"/>
        </w:rPr>
      </w:pPr>
    </w:p>
    <w:p w14:paraId="5541357C">
      <w:pPr>
        <w:pStyle w:val="2"/>
        <w:rPr>
          <w:rFonts w:eastAsia="仿宋_GB2312"/>
          <w:color w:val="auto"/>
          <w:sz w:val="28"/>
          <w:szCs w:val="28"/>
          <w:highlight w:val="none"/>
        </w:rPr>
      </w:pPr>
    </w:p>
    <w:p w14:paraId="5DE62615">
      <w:pPr>
        <w:keepNext w:val="0"/>
        <w:keepLines w:val="0"/>
        <w:pageBreakBefore w:val="0"/>
        <w:widowControl/>
        <w:overflowPunct/>
        <w:topLinePunct w:val="0"/>
        <w:bidi w:val="0"/>
        <w:spacing w:line="560" w:lineRule="exact"/>
        <w:jc w:val="left"/>
        <w:rPr>
          <w:rFonts w:ascii="仿宋_GB2312" w:eastAsia="仿宋_GB2312"/>
          <w:color w:val="auto"/>
          <w:sz w:val="28"/>
          <w:szCs w:val="28"/>
          <w:highlight w:val="none"/>
        </w:rPr>
      </w:pPr>
    </w:p>
    <w:p w14:paraId="66ABF3C9">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6F24E42">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42760A8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F0C274E">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86961AC">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4CD3F3AD">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4B2DDB0A">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218D5B7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04CB48A3">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3DBD8EA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r>
        <w:rPr>
          <w:rFonts w:hint="eastAsia" w:ascii="仿宋_GB2312" w:eastAsia="仿宋_GB2312"/>
          <w:b/>
          <w:bCs/>
          <w:color w:val="auto"/>
          <w:sz w:val="28"/>
          <w:szCs w:val="28"/>
          <w:highlight w:val="none"/>
        </w:rPr>
        <w:t>注：《报价函（最终报价）》在谈判后由法定代表人或授权委托人填报或签署并递交，不须与报价文件一同装订。</w:t>
      </w:r>
    </w:p>
    <w:p w14:paraId="3914F61F">
      <w:pPr>
        <w:keepNext w:val="0"/>
        <w:keepLines w:val="0"/>
        <w:pageBreakBefore w:val="0"/>
        <w:overflowPunct/>
        <w:topLinePunct w:val="0"/>
        <w:bidi w:val="0"/>
        <w:spacing w:line="560" w:lineRule="exact"/>
        <w:rPr>
          <w:rFonts w:hint="eastAsia" w:ascii="仿宋_GB2312" w:eastAsia="仿宋_GB2312"/>
          <w:b/>
          <w:bCs/>
          <w:color w:val="auto"/>
          <w:sz w:val="28"/>
          <w:szCs w:val="28"/>
          <w:highlight w:val="none"/>
        </w:rPr>
      </w:pPr>
    </w:p>
    <w:p w14:paraId="62C97016">
      <w:pPr>
        <w:keepNext w:val="0"/>
        <w:keepLines w:val="0"/>
        <w:pageBreakBefore w:val="0"/>
        <w:overflowPunct/>
        <w:topLinePunct w:val="0"/>
        <w:bidi w:val="0"/>
        <w:spacing w:line="560" w:lineRule="exact"/>
        <w:ind w:firstLine="2800" w:firstLineChars="1000"/>
        <w:rPr>
          <w:rFonts w:ascii="仿宋_GB2312" w:eastAsia="仿宋_GB2312"/>
          <w:color w:val="auto"/>
          <w:sz w:val="28"/>
          <w:szCs w:val="28"/>
          <w:highlight w:val="none"/>
        </w:rPr>
      </w:pPr>
      <w:r>
        <w:rPr>
          <w:rFonts w:hint="eastAsia" w:ascii="仿宋_GB2312" w:eastAsia="仿宋_GB2312"/>
          <w:color w:val="auto"/>
          <w:sz w:val="28"/>
          <w:szCs w:val="28"/>
          <w:highlight w:val="none"/>
        </w:rPr>
        <w:t>报</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价</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函（最终报价）</w:t>
      </w:r>
    </w:p>
    <w:p w14:paraId="7747CE74">
      <w:pPr>
        <w:keepNext w:val="0"/>
        <w:keepLines w:val="0"/>
        <w:pageBreakBefore w:val="0"/>
        <w:overflowPunct/>
        <w:topLinePunct w:val="0"/>
        <w:bidi w:val="0"/>
        <w:spacing w:line="560" w:lineRule="exact"/>
        <w:ind w:firstLine="560"/>
        <w:jc w:val="center"/>
        <w:rPr>
          <w:rFonts w:ascii="仿宋_GB2312" w:eastAsia="仿宋_GB2312"/>
          <w:color w:val="auto"/>
          <w:sz w:val="28"/>
          <w:szCs w:val="28"/>
          <w:highlight w:val="none"/>
        </w:rPr>
      </w:pPr>
    </w:p>
    <w:p w14:paraId="6B861464">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71ADE2D1">
      <w:pPr>
        <w:keepNext w:val="0"/>
        <w:keepLines w:val="0"/>
        <w:pageBreakBefore w:val="0"/>
        <w:overflowPunct/>
        <w:topLinePunct w:val="0"/>
        <w:bidi w:val="0"/>
        <w:spacing w:line="560" w:lineRule="exact"/>
        <w:ind w:firstLine="560" w:firstLineChars="200"/>
        <w:jc w:val="left"/>
        <w:rPr>
          <w:rFonts w:ascii="仿宋_GB2312" w:eastAsia="仿宋_GB2312"/>
          <w:color w:val="auto"/>
          <w:sz w:val="28"/>
          <w:szCs w:val="28"/>
          <w:highlight w:val="none"/>
        </w:rPr>
      </w:pPr>
      <w:r>
        <w:rPr>
          <w:rFonts w:hint="eastAsia" w:ascii="仿宋_GB2312" w:eastAsia="仿宋_GB2312"/>
          <w:color w:val="auto"/>
          <w:sz w:val="28"/>
          <w:szCs w:val="28"/>
          <w:highlight w:val="none"/>
        </w:rPr>
        <w:t>根据贵司</w:t>
      </w:r>
      <w:r>
        <w:rPr>
          <w:rFonts w:hint="eastAsia" w:eastAsia="仿宋_GB2312"/>
          <w:color w:val="auto"/>
          <w:sz w:val="28"/>
          <w:szCs w:val="28"/>
          <w:highlight w:val="none"/>
          <w:u w:val="single"/>
          <w:lang w:val="en-US" w:eastAsia="zh-CN"/>
        </w:rPr>
        <w:t>东莞迎宾馆一期建筑房屋结构安全鉴定项目（重新采购）</w:t>
      </w:r>
      <w:r>
        <w:rPr>
          <w:rFonts w:hint="eastAsia" w:eastAsia="仿宋_GB2312"/>
          <w:color w:val="auto"/>
          <w:sz w:val="28"/>
          <w:szCs w:val="28"/>
          <w:highlight w:val="none"/>
        </w:rPr>
        <w:t>，</w:t>
      </w:r>
      <w:r>
        <w:rPr>
          <w:rFonts w:hint="eastAsia" w:ascii="仿宋_GB2312" w:eastAsia="仿宋_GB2312"/>
          <w:color w:val="auto"/>
          <w:sz w:val="28"/>
          <w:szCs w:val="28"/>
          <w:highlight w:val="none"/>
        </w:rPr>
        <w:t>的竞争性谈判文件，经澄清，我司已清楚采购文件及采购人的全部需求，我司愿以人民币</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（小写</w:t>
      </w:r>
      <w:r>
        <w:rPr>
          <w:rFonts w:ascii="仿宋_GB2312" w:eastAsia="仿宋_GB2312"/>
          <w:color w:val="auto"/>
          <w:sz w:val="28"/>
          <w:szCs w:val="28"/>
          <w:highlight w:val="none"/>
        </w:rPr>
        <w:t>¥</w:t>
      </w:r>
      <w:r>
        <w:rPr>
          <w:rFonts w:ascii="仿宋_GB2312" w:eastAsia="仿宋_GB2312"/>
          <w:color w:val="auto"/>
          <w:sz w:val="28"/>
          <w:szCs w:val="28"/>
          <w:highlight w:val="none"/>
          <w:u w:val="single"/>
        </w:rPr>
        <w:t xml:space="preserve">         </w:t>
      </w:r>
      <w:r>
        <w:rPr>
          <w:rFonts w:hint="eastAsia" w:ascii="仿宋_GB2312" w:eastAsia="仿宋_GB2312"/>
          <w:color w:val="auto"/>
          <w:sz w:val="28"/>
          <w:szCs w:val="28"/>
          <w:highlight w:val="none"/>
        </w:rPr>
        <w:t>元）的总报价承接本项目，</w:t>
      </w:r>
      <w:r>
        <w:rPr>
          <w:rFonts w:hint="eastAsia" w:eastAsia="仿宋_GB2312"/>
          <w:color w:val="auto"/>
          <w:sz w:val="28"/>
          <w:szCs w:val="28"/>
          <w:highlight w:val="none"/>
        </w:rPr>
        <w:t>报价含</w:t>
      </w:r>
      <w:r>
        <w:rPr>
          <w:rFonts w:hint="eastAsia" w:eastAsia="仿宋_GB2312"/>
          <w:color w:val="auto"/>
          <w:sz w:val="28"/>
          <w:szCs w:val="28"/>
          <w:highlight w:val="none"/>
          <w:u w:val="single"/>
        </w:rPr>
        <w:t xml:space="preserve">   </w:t>
      </w:r>
      <w:r>
        <w:rPr>
          <w:rFonts w:hint="eastAsia" w:eastAsia="仿宋_GB2312"/>
          <w:color w:val="auto"/>
          <w:sz w:val="28"/>
          <w:szCs w:val="28"/>
          <w:highlight w:val="none"/>
        </w:rPr>
        <w:t>%的增值税</w:t>
      </w:r>
      <w:r>
        <w:rPr>
          <w:rFonts w:hint="eastAsia" w:eastAsia="仿宋_GB2312"/>
          <w:color w:val="auto"/>
          <w:sz w:val="28"/>
          <w:szCs w:val="28"/>
          <w:highlight w:val="none"/>
          <w:lang w:eastAsia="zh-CN"/>
        </w:rPr>
        <w:t>专用</w:t>
      </w:r>
      <w:r>
        <w:rPr>
          <w:rFonts w:hint="eastAsia" w:eastAsia="仿宋_GB2312"/>
          <w:color w:val="auto"/>
          <w:sz w:val="28"/>
          <w:szCs w:val="28"/>
          <w:highlight w:val="none"/>
        </w:rPr>
        <w:t>发票</w:t>
      </w:r>
      <w:r>
        <w:rPr>
          <w:rFonts w:hint="eastAsia" w:ascii="仿宋_GB2312" w:eastAsia="仿宋_GB2312"/>
          <w:color w:val="auto"/>
          <w:sz w:val="28"/>
          <w:szCs w:val="28"/>
          <w:highlight w:val="none"/>
        </w:rPr>
        <w:t>。</w:t>
      </w:r>
    </w:p>
    <w:p w14:paraId="63C7BB4F">
      <w:pPr>
        <w:keepNext w:val="0"/>
        <w:keepLines w:val="0"/>
        <w:pageBreakBefore w:val="0"/>
        <w:overflowPunct/>
        <w:topLinePunct w:val="0"/>
        <w:bidi w:val="0"/>
        <w:spacing w:line="560" w:lineRule="exact"/>
        <w:ind w:firstLine="570"/>
        <w:jc w:val="left"/>
        <w:rPr>
          <w:rFonts w:ascii="仿宋_GB2312" w:eastAsia="仿宋_GB2312"/>
          <w:color w:val="auto"/>
          <w:sz w:val="28"/>
          <w:szCs w:val="28"/>
          <w:highlight w:val="none"/>
        </w:rPr>
      </w:pPr>
    </w:p>
    <w:p w14:paraId="2D8EF64B">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1EF9E68B">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428F65BC">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6B334B45">
      <w:pPr>
        <w:keepNext w:val="0"/>
        <w:keepLines w:val="0"/>
        <w:pageBreakBefore w:val="0"/>
        <w:overflowPunct/>
        <w:topLinePunct w:val="0"/>
        <w:bidi w:val="0"/>
        <w:spacing w:line="560" w:lineRule="exact"/>
        <w:rPr>
          <w:rFonts w:ascii="仿宋_GB2312" w:eastAsia="仿宋_GB2312"/>
          <w:color w:val="auto"/>
          <w:sz w:val="28"/>
          <w:szCs w:val="28"/>
          <w:highlight w:val="none"/>
        </w:rPr>
      </w:pPr>
    </w:p>
    <w:p w14:paraId="028C8C17">
      <w:pPr>
        <w:keepNext w:val="0"/>
        <w:keepLines w:val="0"/>
        <w:pageBreakBefore w:val="0"/>
        <w:widowControl/>
        <w:shd w:val="clear" w:color="auto" w:fill="FFFFFF"/>
        <w:overflowPunct/>
        <w:topLinePunct w:val="0"/>
        <w:bidi w:val="0"/>
        <w:adjustRightInd w:val="0"/>
        <w:snapToGrid w:val="0"/>
        <w:spacing w:line="560" w:lineRule="exact"/>
        <w:ind w:right="-89" w:firstLine="3360" w:firstLineChars="1200"/>
        <w:rPr>
          <w:rFonts w:ascii="仿宋_GB2312" w:eastAsia="仿宋_GB2312"/>
          <w:color w:val="auto"/>
          <w:sz w:val="28"/>
          <w:szCs w:val="28"/>
          <w:highlight w:val="none"/>
        </w:rPr>
      </w:pPr>
      <w:r>
        <w:rPr>
          <w:rFonts w:hint="eastAsia" w:ascii="仿宋_GB2312" w:eastAsia="仿宋_GB2312"/>
          <w:color w:val="auto"/>
          <w:sz w:val="28"/>
          <w:szCs w:val="28"/>
          <w:highlight w:val="none"/>
        </w:rPr>
        <w:t>响应人：</w:t>
      </w:r>
    </w:p>
    <w:p w14:paraId="07F92E44">
      <w:pPr>
        <w:keepNext w:val="0"/>
        <w:keepLines w:val="0"/>
        <w:pageBreakBefore w:val="0"/>
        <w:widowControl/>
        <w:shd w:val="clear" w:color="auto" w:fill="FFFFFF"/>
        <w:overflowPunct/>
        <w:topLinePunct w:val="0"/>
        <w:bidi w:val="0"/>
        <w:adjustRightInd w:val="0"/>
        <w:snapToGrid w:val="0"/>
        <w:spacing w:before="100" w:beforeAutospacing="1" w:after="100" w:afterAutospacing="1" w:line="560" w:lineRule="exact"/>
        <w:ind w:firstLine="3360" w:firstLineChars="1200"/>
        <w:rPr>
          <w:rFonts w:ascii="仿宋_GB2312" w:eastAsia="仿宋_GB2312"/>
          <w:color w:val="auto"/>
          <w:sz w:val="28"/>
          <w:szCs w:val="28"/>
          <w:highlight w:val="none"/>
        </w:rPr>
      </w:pPr>
      <w:r>
        <w:rPr>
          <w:rFonts w:hint="eastAsia" w:ascii="仿宋_GB2312" w:eastAsia="仿宋_GB2312"/>
          <w:color w:val="auto"/>
          <w:sz w:val="28"/>
          <w:szCs w:val="28"/>
          <w:highlight w:val="none"/>
        </w:rPr>
        <w:t>法</w:t>
      </w:r>
      <w:r>
        <w:rPr>
          <w:rFonts w:hint="eastAsia" w:ascii="仿宋_GB2312" w:eastAsia="仿宋_GB2312"/>
          <w:color w:val="auto"/>
          <w:sz w:val="28"/>
          <w:szCs w:val="28"/>
          <w:highlight w:val="none"/>
          <w:lang w:val="en-US" w:eastAsia="zh-CN"/>
        </w:rPr>
        <w:t>定</w:t>
      </w:r>
      <w:r>
        <w:rPr>
          <w:rFonts w:hint="eastAsia" w:ascii="仿宋_GB2312" w:eastAsia="仿宋_GB2312"/>
          <w:color w:val="auto"/>
          <w:sz w:val="28"/>
          <w:szCs w:val="28"/>
          <w:highlight w:val="none"/>
        </w:rPr>
        <w:t>代表人或</w:t>
      </w:r>
    </w:p>
    <w:p w14:paraId="63B83427">
      <w:pPr>
        <w:keepNext w:val="0"/>
        <w:keepLines w:val="0"/>
        <w:pageBreakBefore w:val="0"/>
        <w:widowControl/>
        <w:shd w:val="clear" w:color="auto" w:fill="FFFFFF"/>
        <w:overflowPunct/>
        <w:topLinePunct w:val="0"/>
        <w:bidi w:val="0"/>
        <w:adjustRightInd w:val="0"/>
        <w:snapToGrid w:val="0"/>
        <w:spacing w:before="100" w:beforeAutospacing="1" w:after="100" w:afterAutospacing="1" w:line="560" w:lineRule="exact"/>
        <w:ind w:firstLine="3360" w:firstLineChars="1200"/>
        <w:rPr>
          <w:rFonts w:ascii="仿宋_GB2312" w:eastAsia="仿宋_GB2312"/>
          <w:color w:val="auto"/>
          <w:sz w:val="28"/>
          <w:szCs w:val="28"/>
          <w:highlight w:val="none"/>
        </w:rPr>
      </w:pPr>
      <w:r>
        <w:rPr>
          <w:rFonts w:hint="eastAsia" w:ascii="仿宋_GB2312" w:eastAsia="仿宋_GB2312"/>
          <w:color w:val="auto"/>
          <w:sz w:val="28"/>
          <w:szCs w:val="28"/>
          <w:highlight w:val="none"/>
        </w:rPr>
        <w:t>被授权委托人（签名）：</w:t>
      </w:r>
    </w:p>
    <w:p w14:paraId="5D7F16E8">
      <w:pPr>
        <w:keepNext w:val="0"/>
        <w:keepLines w:val="0"/>
        <w:pageBreakBefore w:val="0"/>
        <w:overflowPunct/>
        <w:topLinePunct w:val="0"/>
        <w:bidi w:val="0"/>
        <w:spacing w:line="560" w:lineRule="exact"/>
        <w:ind w:right="960" w:firstLine="3220" w:firstLineChars="1150"/>
        <w:rPr>
          <w:rFonts w:ascii="仿宋_GB2312" w:eastAsia="仿宋_GB2312"/>
          <w:color w:val="auto"/>
          <w:sz w:val="28"/>
          <w:szCs w:val="28"/>
          <w:highlight w:val="none"/>
        </w:rPr>
      </w:pP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日期：</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年</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月</w:t>
      </w:r>
      <w:r>
        <w:rPr>
          <w:rFonts w:ascii="仿宋_GB2312" w:eastAsia="仿宋_GB2312"/>
          <w:color w:val="auto"/>
          <w:sz w:val="28"/>
          <w:szCs w:val="28"/>
          <w:highlight w:val="none"/>
        </w:rPr>
        <w:t xml:space="preserve">   </w:t>
      </w:r>
      <w:r>
        <w:rPr>
          <w:rFonts w:hint="eastAsia" w:ascii="仿宋_GB2312" w:eastAsia="仿宋_GB2312"/>
          <w:color w:val="auto"/>
          <w:sz w:val="28"/>
          <w:szCs w:val="28"/>
          <w:highlight w:val="none"/>
        </w:rPr>
        <w:t>日</w:t>
      </w:r>
    </w:p>
    <w:p w14:paraId="0FCAF48C">
      <w:pPr>
        <w:keepNext w:val="0"/>
        <w:keepLines w:val="0"/>
        <w:pageBreakBefore w:val="0"/>
        <w:overflowPunct/>
        <w:topLinePunct w:val="0"/>
        <w:bidi w:val="0"/>
        <w:spacing w:line="560" w:lineRule="exact"/>
        <w:jc w:val="center"/>
        <w:rPr>
          <w:rFonts w:eastAsia="仿宋_GB2312"/>
          <w:color w:val="auto"/>
          <w:sz w:val="28"/>
          <w:szCs w:val="28"/>
          <w:highlight w:val="none"/>
        </w:rPr>
      </w:pPr>
    </w:p>
    <w:p w14:paraId="08A82243">
      <w:pPr>
        <w:keepNext w:val="0"/>
        <w:keepLines w:val="0"/>
        <w:pageBreakBefore w:val="0"/>
        <w:widowControl/>
        <w:overflowPunct/>
        <w:topLinePunct w:val="0"/>
        <w:bidi w:val="0"/>
        <w:spacing w:line="560" w:lineRule="exact"/>
        <w:jc w:val="left"/>
        <w:rPr>
          <w:rFonts w:eastAsia="黑体"/>
          <w:color w:val="auto"/>
          <w:sz w:val="28"/>
          <w:szCs w:val="28"/>
          <w:highlight w:val="none"/>
        </w:rPr>
      </w:pPr>
      <w:r>
        <w:rPr>
          <w:rFonts w:eastAsia="黑体"/>
          <w:color w:val="auto"/>
          <w:sz w:val="28"/>
          <w:szCs w:val="28"/>
          <w:highlight w:val="none"/>
        </w:rPr>
        <w:br w:type="page"/>
      </w:r>
    </w:p>
    <w:p w14:paraId="7ECAC692">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r>
        <w:rPr>
          <w:rFonts w:hint="eastAsia" w:eastAsia="黑体"/>
          <w:color w:val="auto"/>
          <w:sz w:val="28"/>
          <w:szCs w:val="28"/>
          <w:highlight w:val="none"/>
        </w:rPr>
        <w:t>附件三</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法人证明</w:t>
      </w:r>
    </w:p>
    <w:p w14:paraId="244E4CD1">
      <w:pPr>
        <w:pStyle w:val="43"/>
        <w:keepNext w:val="0"/>
        <w:keepLines w:val="0"/>
        <w:pageBreakBefore w:val="0"/>
        <w:overflowPunct/>
        <w:topLinePunct w:val="0"/>
        <w:bidi w:val="0"/>
        <w:spacing w:line="560" w:lineRule="exact"/>
        <w:ind w:firstLine="0" w:firstLineChars="0"/>
        <w:jc w:val="left"/>
        <w:rPr>
          <w:rFonts w:eastAsia="黑体"/>
          <w:color w:val="auto"/>
          <w:sz w:val="28"/>
          <w:szCs w:val="28"/>
          <w:highlight w:val="none"/>
        </w:rPr>
      </w:pPr>
    </w:p>
    <w:p w14:paraId="3FA4458A">
      <w:pPr>
        <w:keepNext w:val="0"/>
        <w:keepLines w:val="0"/>
        <w:pageBreakBefore w:val="0"/>
        <w:overflowPunct/>
        <w:topLinePunct w:val="0"/>
        <w:bidi w:val="0"/>
        <w:spacing w:line="560" w:lineRule="exact"/>
        <w:jc w:val="center"/>
        <w:rPr>
          <w:rFonts w:eastAsia="仿宋_GB2312"/>
          <w:b/>
          <w:bCs/>
          <w:color w:val="auto"/>
          <w:sz w:val="28"/>
          <w:szCs w:val="28"/>
          <w:highlight w:val="none"/>
        </w:rPr>
      </w:pPr>
      <w:r>
        <w:rPr>
          <w:rFonts w:hint="eastAsia" w:eastAsia="仿宋_GB2312"/>
          <w:b/>
          <w:bCs/>
          <w:color w:val="auto"/>
          <w:sz w:val="28"/>
          <w:szCs w:val="28"/>
          <w:highlight w:val="none"/>
        </w:rPr>
        <w:t>法定代表人身份证明书及法定代表人身份证复印件</w:t>
      </w:r>
    </w:p>
    <w:p w14:paraId="658C02F0">
      <w:pPr>
        <w:keepNext w:val="0"/>
        <w:keepLines w:val="0"/>
        <w:pageBreakBefore w:val="0"/>
        <w:overflowPunct/>
        <w:topLinePunct w:val="0"/>
        <w:bidi w:val="0"/>
        <w:spacing w:line="560" w:lineRule="exact"/>
        <w:rPr>
          <w:rFonts w:eastAsia="仿宋_GB2312"/>
          <w:color w:val="auto"/>
          <w:sz w:val="28"/>
          <w:szCs w:val="28"/>
          <w:highlight w:val="none"/>
        </w:rPr>
      </w:pPr>
    </w:p>
    <w:p w14:paraId="54C94B55">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4B9D9980">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本证明书声明：注册于（国家名称）的</w:t>
      </w:r>
      <w:r>
        <w:rPr>
          <w:rFonts w:hint="eastAsia" w:ascii="Times New Roman" w:hAnsi="Times New Roman"/>
          <w:color w:val="auto"/>
          <w:sz w:val="28"/>
          <w:szCs w:val="28"/>
          <w:highlight w:val="none"/>
          <w:u w:val="single"/>
        </w:rPr>
        <w:t>　　</w:t>
      </w:r>
      <w:r>
        <w:rPr>
          <w:rFonts w:hint="eastAsia" w:ascii="Times New Roman" w:hAnsi="Times New Roman"/>
          <w:color w:val="auto"/>
          <w:sz w:val="28"/>
          <w:szCs w:val="28"/>
          <w:highlight w:val="none"/>
        </w:rPr>
        <w:t>（响应人名称）在下面签字的</w:t>
      </w:r>
      <w:r>
        <w:rPr>
          <w:rFonts w:hint="eastAsia" w:ascii="Times New Roman" w:hAnsi="Times New Roman"/>
          <w:color w:val="auto"/>
          <w:sz w:val="28"/>
          <w:szCs w:val="28"/>
          <w:highlight w:val="none"/>
          <w:u w:val="single"/>
        </w:rPr>
        <w:t>　　　　　</w:t>
      </w:r>
      <w:r>
        <w:rPr>
          <w:rFonts w:hint="eastAsia" w:ascii="Times New Roman" w:hAnsi="Times New Roman"/>
          <w:color w:val="auto"/>
          <w:sz w:val="28"/>
          <w:szCs w:val="28"/>
          <w:highlight w:val="none"/>
        </w:rPr>
        <w:t>（法定代表人姓名、职务）为本公司的合法代表人（</w:t>
      </w:r>
      <w:r>
        <w:rPr>
          <w:rFonts w:hint="eastAsia" w:ascii="Times New Roman" w:hAnsi="Times New Roman"/>
          <w:b/>
          <w:bCs/>
          <w:color w:val="auto"/>
          <w:sz w:val="28"/>
          <w:szCs w:val="28"/>
          <w:highlight w:val="none"/>
        </w:rPr>
        <w:t>须附法定代表人身份证复印件</w:t>
      </w:r>
      <w:r>
        <w:rPr>
          <w:rFonts w:hint="eastAsia" w:ascii="Times New Roman" w:hAnsi="Times New Roman"/>
          <w:color w:val="auto"/>
          <w:sz w:val="28"/>
          <w:szCs w:val="28"/>
          <w:highlight w:val="none"/>
        </w:rPr>
        <w:t>）。</w:t>
      </w:r>
    </w:p>
    <w:p w14:paraId="744B76D7">
      <w:pPr>
        <w:keepNext w:val="0"/>
        <w:keepLines w:val="0"/>
        <w:pageBreakBefore w:val="0"/>
        <w:overflowPunct/>
        <w:topLinePunct w:val="0"/>
        <w:bidi w:val="0"/>
        <w:spacing w:line="560" w:lineRule="exact"/>
        <w:ind w:firstLine="420" w:firstLineChars="150"/>
        <w:rPr>
          <w:rFonts w:eastAsia="仿宋_GB2312"/>
          <w:color w:val="auto"/>
          <w:sz w:val="28"/>
          <w:szCs w:val="28"/>
          <w:highlight w:val="none"/>
        </w:rPr>
      </w:pPr>
      <w:r>
        <w:rPr>
          <w:rFonts w:hint="eastAsia" w:eastAsia="仿宋_GB2312"/>
          <w:color w:val="auto"/>
          <w:sz w:val="28"/>
          <w:szCs w:val="28"/>
          <w:highlight w:val="none"/>
        </w:rPr>
        <w:t>特此证明</w:t>
      </w:r>
    </w:p>
    <w:p w14:paraId="241CA152">
      <w:pPr>
        <w:keepNext w:val="0"/>
        <w:keepLines w:val="0"/>
        <w:pageBreakBefore w:val="0"/>
        <w:overflowPunct/>
        <w:topLinePunct w:val="0"/>
        <w:bidi w:val="0"/>
        <w:spacing w:line="560" w:lineRule="exact"/>
        <w:rPr>
          <w:rFonts w:eastAsia="仿宋_GB2312"/>
          <w:color w:val="auto"/>
          <w:sz w:val="28"/>
          <w:szCs w:val="28"/>
          <w:highlight w:val="none"/>
        </w:rPr>
      </w:pPr>
    </w:p>
    <w:p w14:paraId="16A3B9BA">
      <w:pPr>
        <w:keepNext w:val="0"/>
        <w:keepLines w:val="0"/>
        <w:pageBreakBefore w:val="0"/>
        <w:overflowPunct/>
        <w:topLinePunct w:val="0"/>
        <w:bidi w:val="0"/>
        <w:spacing w:line="560" w:lineRule="exact"/>
        <w:rPr>
          <w:rFonts w:eastAsia="仿宋_GB2312"/>
          <w:color w:val="auto"/>
          <w:sz w:val="28"/>
          <w:szCs w:val="28"/>
          <w:highlight w:val="none"/>
        </w:rPr>
      </w:pPr>
    </w:p>
    <w:p w14:paraId="2CF8A7F6">
      <w:pPr>
        <w:keepNext w:val="0"/>
        <w:keepLines w:val="0"/>
        <w:pageBreakBefore w:val="0"/>
        <w:overflowPunct/>
        <w:topLinePunct w:val="0"/>
        <w:bidi w:val="0"/>
        <w:spacing w:line="560" w:lineRule="exact"/>
        <w:rPr>
          <w:rFonts w:eastAsia="仿宋_GB2312"/>
          <w:color w:val="auto"/>
          <w:sz w:val="28"/>
          <w:szCs w:val="28"/>
          <w:highlight w:val="none"/>
        </w:rPr>
      </w:pPr>
    </w:p>
    <w:p w14:paraId="321980C6">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响应人名称（加盖公章）：</w:t>
      </w:r>
    </w:p>
    <w:p w14:paraId="747FB345">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响应人地址：</w:t>
      </w:r>
    </w:p>
    <w:p w14:paraId="73E2C234">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法定代表人（签名或盖私章）：</w:t>
      </w:r>
    </w:p>
    <w:p w14:paraId="7C2ECCD3">
      <w:pPr>
        <w:keepNext w:val="0"/>
        <w:keepLines w:val="0"/>
        <w:pageBreakBefore w:val="0"/>
        <w:overflowPunct/>
        <w:topLinePunct w:val="0"/>
        <w:bidi w:val="0"/>
        <w:spacing w:line="560" w:lineRule="exact"/>
        <w:jc w:val="left"/>
        <w:rPr>
          <w:rFonts w:eastAsia="仿宋_GB2312"/>
          <w:color w:val="auto"/>
          <w:sz w:val="28"/>
          <w:szCs w:val="28"/>
          <w:highlight w:val="none"/>
        </w:rPr>
      </w:pPr>
      <w:r>
        <w:rPr>
          <w:rFonts w:hint="eastAsia" w:eastAsia="仿宋_GB2312"/>
          <w:color w:val="auto"/>
          <w:sz w:val="28"/>
          <w:szCs w:val="28"/>
          <w:highlight w:val="none"/>
        </w:rPr>
        <w:t>职务：</w:t>
      </w:r>
    </w:p>
    <w:p w14:paraId="7491839D">
      <w:pPr>
        <w:keepNext w:val="0"/>
        <w:keepLines w:val="0"/>
        <w:pageBreakBefore w:val="0"/>
        <w:overflowPunct/>
        <w:topLinePunct w:val="0"/>
        <w:bidi w:val="0"/>
        <w:spacing w:line="560" w:lineRule="exact"/>
        <w:rPr>
          <w:rFonts w:eastAsia="仿宋_GB2312"/>
          <w:color w:val="auto"/>
          <w:sz w:val="28"/>
          <w:szCs w:val="28"/>
          <w:highlight w:val="none"/>
        </w:rPr>
      </w:pPr>
    </w:p>
    <w:p w14:paraId="26A21C2D">
      <w:pPr>
        <w:keepNext w:val="0"/>
        <w:keepLines w:val="0"/>
        <w:pageBreakBefore w:val="0"/>
        <w:widowControl/>
        <w:overflowPunct/>
        <w:topLinePunct w:val="0"/>
        <w:bidi w:val="0"/>
        <w:spacing w:line="560" w:lineRule="exact"/>
        <w:jc w:val="center"/>
        <w:rPr>
          <w:rFonts w:eastAsia="仿宋_GB2312"/>
          <w:color w:val="auto"/>
          <w:sz w:val="28"/>
          <w:szCs w:val="28"/>
          <w:highlight w:val="none"/>
        </w:rPr>
      </w:pPr>
      <w:r>
        <w:rPr>
          <w:rFonts w:eastAsia="仿宋_GB2312"/>
          <w:color w:val="auto"/>
          <w:sz w:val="28"/>
          <w:szCs w:val="28"/>
          <w:highlight w:val="none"/>
        </w:rPr>
        <w:br w:type="page"/>
      </w:r>
      <w:bookmarkStart w:id="3" w:name="_Toc384752807"/>
    </w:p>
    <w:p w14:paraId="746BA2E4">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bookmarkStart w:id="4" w:name="_Hlk40704362"/>
      <w:r>
        <w:rPr>
          <w:rFonts w:hint="eastAsia" w:eastAsia="黑体"/>
          <w:color w:val="auto"/>
          <w:sz w:val="28"/>
          <w:szCs w:val="28"/>
          <w:highlight w:val="none"/>
        </w:rPr>
        <w:t>附件四</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法人授权书</w:t>
      </w:r>
    </w:p>
    <w:p w14:paraId="13D2D5B1">
      <w:pPr>
        <w:keepNext w:val="0"/>
        <w:keepLines w:val="0"/>
        <w:pageBreakBefore w:val="0"/>
        <w:widowControl/>
        <w:overflowPunct/>
        <w:topLinePunct w:val="0"/>
        <w:bidi w:val="0"/>
        <w:spacing w:line="560" w:lineRule="exact"/>
        <w:jc w:val="center"/>
        <w:rPr>
          <w:rFonts w:eastAsia="仿宋_GB2312"/>
          <w:b/>
          <w:color w:val="auto"/>
          <w:sz w:val="28"/>
          <w:szCs w:val="28"/>
          <w:highlight w:val="none"/>
        </w:rPr>
      </w:pPr>
    </w:p>
    <w:p w14:paraId="321DE1C7">
      <w:pPr>
        <w:keepNext w:val="0"/>
        <w:keepLines w:val="0"/>
        <w:pageBreakBefore w:val="0"/>
        <w:widowControl/>
        <w:overflowPunct/>
        <w:topLinePunct w:val="0"/>
        <w:bidi w:val="0"/>
        <w:spacing w:line="560" w:lineRule="exact"/>
        <w:jc w:val="center"/>
        <w:rPr>
          <w:rFonts w:eastAsia="仿宋_GB2312"/>
          <w:color w:val="auto"/>
          <w:sz w:val="28"/>
          <w:szCs w:val="28"/>
          <w:highlight w:val="none"/>
        </w:rPr>
      </w:pPr>
      <w:r>
        <w:rPr>
          <w:rFonts w:hint="eastAsia" w:eastAsia="仿宋_GB2312"/>
          <w:b/>
          <w:color w:val="auto"/>
          <w:sz w:val="28"/>
          <w:szCs w:val="28"/>
          <w:highlight w:val="none"/>
        </w:rPr>
        <w:t>授权委托书</w:t>
      </w:r>
      <w:bookmarkEnd w:id="3"/>
    </w:p>
    <w:p w14:paraId="52341A33">
      <w:pPr>
        <w:pStyle w:val="42"/>
        <w:keepNext w:val="0"/>
        <w:keepLines w:val="0"/>
        <w:pageBreakBefore w:val="0"/>
        <w:overflowPunct/>
        <w:topLinePunct w:val="0"/>
        <w:bidi w:val="0"/>
        <w:spacing w:line="560" w:lineRule="exact"/>
        <w:ind w:firstLine="0" w:firstLineChars="0"/>
        <w:rPr>
          <w:rFonts w:ascii="Times New Roman" w:hAnsi="Times New Roman"/>
          <w:color w:val="auto"/>
          <w:sz w:val="28"/>
          <w:szCs w:val="28"/>
          <w:highlight w:val="none"/>
        </w:rPr>
      </w:pPr>
    </w:p>
    <w:p w14:paraId="20FCBDE5">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11E79671">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本委托书声明：在下面签字的</w:t>
      </w:r>
      <w:r>
        <w:rPr>
          <w:rFonts w:hint="eastAsia" w:ascii="Times New Roman" w:hAnsi="Times New Roman"/>
          <w:color w:val="auto"/>
          <w:sz w:val="28"/>
          <w:szCs w:val="28"/>
          <w:highlight w:val="none"/>
          <w:u w:val="single"/>
        </w:rPr>
        <w:t>（填写法定代表人姓名、职务）</w:t>
      </w:r>
      <w:r>
        <w:rPr>
          <w:rFonts w:hint="eastAsia" w:ascii="Times New Roman" w:hAnsi="Times New Roman"/>
          <w:color w:val="auto"/>
          <w:sz w:val="28"/>
          <w:szCs w:val="28"/>
          <w:highlight w:val="none"/>
        </w:rPr>
        <w:t>代表</w:t>
      </w:r>
      <w:r>
        <w:rPr>
          <w:rFonts w:hint="eastAsia" w:ascii="Times New Roman" w:hAnsi="Times New Roman"/>
          <w:color w:val="auto"/>
          <w:sz w:val="28"/>
          <w:szCs w:val="28"/>
          <w:highlight w:val="none"/>
          <w:u w:val="single"/>
        </w:rPr>
        <w:t>（填写响应人名称）</w:t>
      </w:r>
      <w:r>
        <w:rPr>
          <w:rFonts w:hint="eastAsia" w:ascii="Times New Roman" w:hAnsi="Times New Roman"/>
          <w:color w:val="auto"/>
          <w:sz w:val="28"/>
          <w:szCs w:val="28"/>
          <w:highlight w:val="none"/>
        </w:rPr>
        <w:t>委托在下面签字的</w:t>
      </w:r>
      <w:r>
        <w:rPr>
          <w:rFonts w:hint="eastAsia" w:ascii="Times New Roman" w:hAnsi="Times New Roman"/>
          <w:color w:val="auto"/>
          <w:sz w:val="28"/>
          <w:szCs w:val="28"/>
          <w:highlight w:val="none"/>
          <w:u w:val="single"/>
        </w:rPr>
        <w:t>（填写受委托人的姓名、职务）</w:t>
      </w:r>
      <w:r>
        <w:rPr>
          <w:rFonts w:hint="eastAsia" w:ascii="Times New Roman" w:hAnsi="Times New Roman"/>
          <w:color w:val="auto"/>
          <w:sz w:val="28"/>
          <w:szCs w:val="28"/>
          <w:highlight w:val="none"/>
        </w:rPr>
        <w:t>为本公司的合法代表人，就</w:t>
      </w:r>
      <w:r>
        <w:rPr>
          <w:rFonts w:hint="eastAsia" w:ascii="Times New Roman" w:hAnsi="Times New Roman"/>
          <w:color w:val="auto"/>
          <w:sz w:val="28"/>
          <w:szCs w:val="28"/>
          <w:highlight w:val="none"/>
          <w:lang w:val="en-US" w:eastAsia="zh-CN"/>
        </w:rPr>
        <w:t xml:space="preserve"> </w:t>
      </w:r>
      <w:r>
        <w:rPr>
          <w:rFonts w:hint="eastAsia"/>
          <w:color w:val="auto"/>
          <w:sz w:val="28"/>
          <w:szCs w:val="28"/>
          <w:highlight w:val="none"/>
          <w:u w:val="single"/>
          <w:lang w:val="en-US" w:eastAsia="zh-CN"/>
        </w:rPr>
        <w:t xml:space="preserve">  </w:t>
      </w:r>
      <w:r>
        <w:rPr>
          <w:rFonts w:hint="eastAsia" w:eastAsia="仿宋_GB2312"/>
          <w:color w:val="auto"/>
          <w:sz w:val="28"/>
          <w:szCs w:val="28"/>
          <w:highlight w:val="none"/>
          <w:u w:val="single"/>
          <w:lang w:val="en-US" w:eastAsia="zh-CN"/>
        </w:rPr>
        <w:t>东莞迎宾馆一期建筑房屋结构安全鉴定项目（重新采购）</w:t>
      </w:r>
      <w:r>
        <w:rPr>
          <w:rFonts w:hint="eastAsia"/>
          <w:color w:val="auto"/>
          <w:sz w:val="28"/>
          <w:szCs w:val="28"/>
          <w:highlight w:val="none"/>
        </w:rPr>
        <w:t>项目</w:t>
      </w:r>
      <w:r>
        <w:rPr>
          <w:rFonts w:hint="eastAsia" w:ascii="Times New Roman" w:hAnsi="Times New Roman"/>
          <w:color w:val="auto"/>
          <w:sz w:val="28"/>
          <w:szCs w:val="28"/>
          <w:highlight w:val="none"/>
        </w:rPr>
        <w:t>等相关服务的谈判和合同的执行，以我方的名义处理一切与之有关的事宜（相关身份证复印件须附后）。</w:t>
      </w:r>
    </w:p>
    <w:p w14:paraId="242BCE17">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p>
    <w:p w14:paraId="47796069">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本委托书于   年   月   日至   年   月   日签字生效，有效期与竞争性谈判有效期一致，特此声明。</w:t>
      </w:r>
    </w:p>
    <w:p w14:paraId="2B677EBA">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p>
    <w:p w14:paraId="53824A18">
      <w:pPr>
        <w:pStyle w:val="42"/>
        <w:keepNext w:val="0"/>
        <w:keepLines w:val="0"/>
        <w:pageBreakBefore w:val="0"/>
        <w:overflowPunct/>
        <w:topLinePunct w:val="0"/>
        <w:bidi w:val="0"/>
        <w:spacing w:line="560" w:lineRule="exact"/>
        <w:ind w:right="160"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响应人名称（加盖公章）：</w:t>
      </w:r>
    </w:p>
    <w:p w14:paraId="732C16E1">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响应人地址：</w:t>
      </w:r>
    </w:p>
    <w:p w14:paraId="2678D035">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法定代表人（签字或盖章）：</w:t>
      </w:r>
    </w:p>
    <w:p w14:paraId="0AD78F0B">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职务：</w:t>
      </w:r>
    </w:p>
    <w:p w14:paraId="6EB6BCEB">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受委托人（签字或盖章）：</w:t>
      </w:r>
    </w:p>
    <w:p w14:paraId="052AB144">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职务：</w:t>
      </w:r>
    </w:p>
    <w:p w14:paraId="3433EBC8">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日期：</w:t>
      </w:r>
    </w:p>
    <w:bookmarkEnd w:id="4"/>
    <w:p w14:paraId="256F02EB">
      <w:pPr>
        <w:pStyle w:val="43"/>
        <w:keepNext w:val="0"/>
        <w:keepLines w:val="0"/>
        <w:pageBreakBefore w:val="0"/>
        <w:overflowPunct/>
        <w:topLinePunct w:val="0"/>
        <w:bidi w:val="0"/>
        <w:spacing w:line="560" w:lineRule="exact"/>
        <w:ind w:firstLine="0" w:firstLineChars="0"/>
        <w:jc w:val="left"/>
        <w:outlineLvl w:val="1"/>
        <w:rPr>
          <w:rFonts w:eastAsia="黑体"/>
          <w:color w:val="auto"/>
          <w:sz w:val="28"/>
          <w:szCs w:val="28"/>
          <w:highlight w:val="none"/>
        </w:rPr>
      </w:pPr>
      <w:r>
        <w:rPr>
          <w:color w:val="auto"/>
          <w:sz w:val="28"/>
          <w:szCs w:val="28"/>
          <w:highlight w:val="none"/>
        </w:rPr>
        <w:br w:type="page"/>
      </w:r>
      <w:r>
        <w:rPr>
          <w:rFonts w:hint="eastAsia" w:eastAsia="黑体"/>
          <w:color w:val="auto"/>
          <w:sz w:val="28"/>
          <w:szCs w:val="28"/>
          <w:highlight w:val="none"/>
        </w:rPr>
        <w:t>附件</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五承诺函</w:t>
      </w:r>
    </w:p>
    <w:p w14:paraId="53598601">
      <w:pPr>
        <w:pStyle w:val="43"/>
        <w:keepNext w:val="0"/>
        <w:keepLines w:val="0"/>
        <w:pageBreakBefore w:val="0"/>
        <w:overflowPunct/>
        <w:topLinePunct w:val="0"/>
        <w:bidi w:val="0"/>
        <w:spacing w:line="560" w:lineRule="exact"/>
        <w:ind w:firstLine="0" w:firstLineChars="0"/>
        <w:jc w:val="center"/>
        <w:rPr>
          <w:rFonts w:eastAsia="仿宋_GB2312"/>
          <w:b/>
          <w:color w:val="auto"/>
          <w:sz w:val="28"/>
          <w:szCs w:val="28"/>
          <w:highlight w:val="none"/>
        </w:rPr>
      </w:pPr>
      <w:r>
        <w:rPr>
          <w:rFonts w:hint="eastAsia" w:eastAsia="仿宋_GB2312"/>
          <w:b/>
          <w:color w:val="auto"/>
          <w:sz w:val="28"/>
          <w:szCs w:val="28"/>
          <w:highlight w:val="none"/>
        </w:rPr>
        <w:t>承诺函</w:t>
      </w:r>
    </w:p>
    <w:p w14:paraId="30A657E0">
      <w:pPr>
        <w:keepNext w:val="0"/>
        <w:keepLines w:val="0"/>
        <w:pageBreakBefore w:val="0"/>
        <w:overflowPunct/>
        <w:topLinePunct w:val="0"/>
        <w:bidi w:val="0"/>
        <w:spacing w:line="560" w:lineRule="exact"/>
        <w:rPr>
          <w:rFonts w:eastAsia="仿宋_GB2312"/>
          <w:color w:val="auto"/>
          <w:sz w:val="28"/>
          <w:szCs w:val="28"/>
          <w:highlight w:val="none"/>
        </w:rPr>
      </w:pPr>
      <w:r>
        <w:rPr>
          <w:rFonts w:hint="eastAsia" w:eastAsia="仿宋_GB2312"/>
          <w:color w:val="auto"/>
          <w:sz w:val="28"/>
          <w:szCs w:val="28"/>
          <w:highlight w:val="none"/>
          <w:u w:val="single"/>
        </w:rPr>
        <w:t>东莞迎宾馆酒店有限公司</w:t>
      </w:r>
      <w:r>
        <w:rPr>
          <w:rFonts w:hint="eastAsia" w:eastAsia="仿宋_GB2312"/>
          <w:color w:val="auto"/>
          <w:sz w:val="28"/>
          <w:szCs w:val="28"/>
          <w:highlight w:val="none"/>
        </w:rPr>
        <w:t>：</w:t>
      </w:r>
    </w:p>
    <w:p w14:paraId="6A88E334">
      <w:pPr>
        <w:pStyle w:val="42"/>
        <w:keepNext w:val="0"/>
        <w:keepLines w:val="0"/>
        <w:pageBreakBefore w:val="0"/>
        <w:overflowPunct/>
        <w:topLinePunct w:val="0"/>
        <w:bidi w:val="0"/>
        <w:spacing w:line="560" w:lineRule="exact"/>
        <w:ind w:firstLine="640" w:firstLineChars="0"/>
        <w:rPr>
          <w:rFonts w:ascii="Times New Roman" w:hAnsi="Times New Roman"/>
          <w:color w:val="auto"/>
          <w:sz w:val="28"/>
          <w:szCs w:val="28"/>
          <w:highlight w:val="none"/>
        </w:rPr>
      </w:pPr>
      <w:r>
        <w:rPr>
          <w:rFonts w:hint="eastAsia" w:ascii="Times New Roman" w:hAnsi="Times New Roman"/>
          <w:color w:val="auto"/>
          <w:sz w:val="28"/>
          <w:szCs w:val="28"/>
          <w:highlight w:val="none"/>
        </w:rPr>
        <w:t>我司就参加</w:t>
      </w:r>
      <w:r>
        <w:rPr>
          <w:rFonts w:hint="eastAsia" w:eastAsia="仿宋_GB2312"/>
          <w:color w:val="auto"/>
          <w:sz w:val="28"/>
          <w:szCs w:val="28"/>
          <w:highlight w:val="none"/>
          <w:u w:val="single"/>
          <w:lang w:val="en-US" w:eastAsia="zh-CN"/>
        </w:rPr>
        <w:t>东莞迎宾馆一期建筑房屋结构安全鉴定项目（重新采购）</w:t>
      </w:r>
      <w:r>
        <w:rPr>
          <w:rFonts w:hint="eastAsia"/>
          <w:color w:val="auto"/>
          <w:sz w:val="28"/>
          <w:szCs w:val="28"/>
          <w:highlight w:val="none"/>
          <w:u w:val="single"/>
          <w:lang w:val="en-US" w:eastAsia="zh-CN"/>
        </w:rPr>
        <w:t xml:space="preserve"> </w:t>
      </w:r>
      <w:r>
        <w:rPr>
          <w:rFonts w:hint="eastAsia" w:eastAsia="仿宋_GB2312"/>
          <w:color w:val="auto"/>
          <w:sz w:val="28"/>
          <w:szCs w:val="28"/>
          <w:highlight w:val="none"/>
        </w:rPr>
        <w:t>，</w:t>
      </w:r>
      <w:r>
        <w:rPr>
          <w:rFonts w:hint="eastAsia" w:ascii="Times New Roman" w:hAnsi="Times New Roman"/>
          <w:color w:val="auto"/>
          <w:sz w:val="28"/>
          <w:szCs w:val="28"/>
          <w:highlight w:val="none"/>
        </w:rPr>
        <w:t>投标工作，作出以下承诺：</w:t>
      </w:r>
    </w:p>
    <w:p w14:paraId="7B799B6F">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r>
        <w:rPr>
          <w:rFonts w:hint="eastAsia" w:ascii="Times New Roman" w:hAnsi="Times New Roman"/>
          <w:color w:val="auto"/>
          <w:sz w:val="28"/>
          <w:szCs w:val="28"/>
          <w:highlight w:val="none"/>
        </w:rPr>
        <w:t>我公司已充分了解采购项目情况，本次报价完全响应竞争性谈判文件的要求，我公司所提供的</w:t>
      </w:r>
      <w:r>
        <w:rPr>
          <w:color w:val="auto"/>
          <w:sz w:val="28"/>
          <w:szCs w:val="28"/>
          <w:highlight w:val="none"/>
          <w:u w:val="single"/>
        </w:rPr>
        <w:t xml:space="preserve">      </w:t>
      </w:r>
      <w:r>
        <w:rPr>
          <w:rFonts w:hint="eastAsia"/>
          <w:color w:val="auto"/>
          <w:sz w:val="28"/>
          <w:szCs w:val="28"/>
          <w:highlight w:val="none"/>
          <w:u w:val="single"/>
        </w:rPr>
        <w:t>（服务内容）</w:t>
      </w:r>
      <w:r>
        <w:rPr>
          <w:rFonts w:hint="eastAsia" w:ascii="Times New Roman" w:hAnsi="Times New Roman"/>
          <w:color w:val="auto"/>
          <w:sz w:val="28"/>
          <w:szCs w:val="28"/>
          <w:highlight w:val="none"/>
        </w:rPr>
        <w:t>等于或优于采购人需求，并承诺如不满足采购人需求，采购人有权取消合同并进行违约处罚。</w:t>
      </w:r>
    </w:p>
    <w:p w14:paraId="0973FCB9">
      <w:pPr>
        <w:pStyle w:val="42"/>
        <w:keepNext w:val="0"/>
        <w:keepLines w:val="0"/>
        <w:pageBreakBefore w:val="0"/>
        <w:overflowPunct/>
        <w:topLinePunct w:val="0"/>
        <w:bidi w:val="0"/>
        <w:spacing w:line="560" w:lineRule="exact"/>
        <w:ind w:firstLine="659"/>
        <w:rPr>
          <w:rFonts w:ascii="Times New Roman" w:hAnsi="Times New Roman"/>
          <w:color w:val="auto"/>
          <w:sz w:val="28"/>
          <w:szCs w:val="28"/>
          <w:highlight w:val="none"/>
        </w:rPr>
      </w:pPr>
    </w:p>
    <w:p w14:paraId="0BD363B0">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0BD4D3B7">
      <w:pPr>
        <w:keepNext w:val="0"/>
        <w:keepLines w:val="0"/>
        <w:pageBreakBefore w:val="0"/>
        <w:overflowPunct/>
        <w:topLinePunct w:val="0"/>
        <w:bidi w:val="0"/>
        <w:spacing w:line="560" w:lineRule="exact"/>
        <w:jc w:val="left"/>
        <w:rPr>
          <w:rFonts w:eastAsia="仿宋"/>
          <w:color w:val="auto"/>
          <w:sz w:val="28"/>
          <w:szCs w:val="28"/>
          <w:highlight w:val="none"/>
        </w:rPr>
      </w:pPr>
    </w:p>
    <w:p w14:paraId="5630368C">
      <w:pPr>
        <w:keepNext w:val="0"/>
        <w:keepLines w:val="0"/>
        <w:pageBreakBefore w:val="0"/>
        <w:overflowPunct/>
        <w:topLinePunct w:val="0"/>
        <w:bidi w:val="0"/>
        <w:spacing w:line="560" w:lineRule="exact"/>
        <w:jc w:val="left"/>
        <w:rPr>
          <w:rFonts w:eastAsia="仿宋"/>
          <w:color w:val="auto"/>
          <w:sz w:val="28"/>
          <w:szCs w:val="28"/>
          <w:highlight w:val="none"/>
        </w:rPr>
      </w:pPr>
    </w:p>
    <w:p w14:paraId="280DEA82">
      <w:pPr>
        <w:keepNext w:val="0"/>
        <w:keepLines w:val="0"/>
        <w:pageBreakBefore w:val="0"/>
        <w:overflowPunct/>
        <w:topLinePunct w:val="0"/>
        <w:bidi w:val="0"/>
        <w:spacing w:line="560" w:lineRule="exact"/>
        <w:jc w:val="left"/>
        <w:rPr>
          <w:rFonts w:eastAsia="仿宋"/>
          <w:color w:val="auto"/>
          <w:sz w:val="28"/>
          <w:szCs w:val="28"/>
          <w:highlight w:val="none"/>
        </w:rPr>
      </w:pPr>
    </w:p>
    <w:p w14:paraId="395A21E7">
      <w:pPr>
        <w:pStyle w:val="42"/>
        <w:keepNext w:val="0"/>
        <w:keepLines w:val="0"/>
        <w:pageBreakBefore w:val="0"/>
        <w:overflowPunct/>
        <w:topLinePunct w:val="0"/>
        <w:bidi w:val="0"/>
        <w:spacing w:line="560" w:lineRule="exact"/>
        <w:ind w:right="160"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响应人名称（加盖公章）：</w:t>
      </w:r>
    </w:p>
    <w:p w14:paraId="4E98481E">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响应人地址：</w:t>
      </w:r>
    </w:p>
    <w:p w14:paraId="6047361D">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法定代表人（签字或盖章）：</w:t>
      </w:r>
    </w:p>
    <w:p w14:paraId="484512B8">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职务：</w:t>
      </w:r>
    </w:p>
    <w:p w14:paraId="2169B0D7">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r>
        <w:rPr>
          <w:rFonts w:hint="eastAsia" w:ascii="Times New Roman" w:hAnsi="Times New Roman"/>
          <w:color w:val="auto"/>
          <w:sz w:val="28"/>
          <w:szCs w:val="28"/>
          <w:highlight w:val="none"/>
        </w:rPr>
        <w:t>日期：</w:t>
      </w:r>
    </w:p>
    <w:p w14:paraId="0D711CB7">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2CD922D5">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47DF0661">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55B23B0B">
      <w:pPr>
        <w:pStyle w:val="42"/>
        <w:keepNext w:val="0"/>
        <w:keepLines w:val="0"/>
        <w:pageBreakBefore w:val="0"/>
        <w:overflowPunct/>
        <w:topLinePunct w:val="0"/>
        <w:bidi w:val="0"/>
        <w:spacing w:line="560" w:lineRule="exact"/>
        <w:ind w:firstLine="0" w:firstLineChars="0"/>
        <w:jc w:val="left"/>
        <w:rPr>
          <w:rFonts w:ascii="Times New Roman" w:hAnsi="Times New Roman"/>
          <w:color w:val="auto"/>
          <w:sz w:val="28"/>
          <w:szCs w:val="28"/>
          <w:highlight w:val="none"/>
        </w:rPr>
      </w:pPr>
    </w:p>
    <w:p w14:paraId="7DF6C6E1">
      <w:pPr>
        <w:keepNext w:val="0"/>
        <w:keepLines w:val="0"/>
        <w:pageBreakBefore w:val="0"/>
        <w:overflowPunct/>
        <w:topLinePunct w:val="0"/>
        <w:bidi w:val="0"/>
        <w:spacing w:line="560" w:lineRule="exact"/>
        <w:rPr>
          <w:color w:val="auto"/>
          <w:sz w:val="28"/>
          <w:szCs w:val="28"/>
          <w:highlight w:val="none"/>
        </w:rPr>
      </w:pPr>
    </w:p>
    <w:p w14:paraId="303C9F34">
      <w:pPr>
        <w:keepNext w:val="0"/>
        <w:keepLines w:val="0"/>
        <w:pageBreakBefore w:val="0"/>
        <w:widowControl/>
        <w:overflowPunct/>
        <w:topLinePunct w:val="0"/>
        <w:bidi w:val="0"/>
        <w:spacing w:line="560" w:lineRule="exact"/>
        <w:jc w:val="left"/>
        <w:rPr>
          <w:rFonts w:eastAsia="黑体"/>
          <w:color w:val="auto"/>
          <w:sz w:val="28"/>
          <w:szCs w:val="28"/>
          <w:highlight w:val="none"/>
        </w:rPr>
      </w:pPr>
    </w:p>
    <w:p w14:paraId="7B9B3243">
      <w:pPr>
        <w:pStyle w:val="43"/>
        <w:keepNext w:val="0"/>
        <w:keepLines w:val="0"/>
        <w:pageBreakBefore w:val="0"/>
        <w:overflowPunct/>
        <w:topLinePunct w:val="0"/>
        <w:bidi w:val="0"/>
        <w:spacing w:line="560" w:lineRule="exact"/>
        <w:ind w:firstLine="0" w:firstLineChars="0"/>
        <w:jc w:val="left"/>
        <w:outlineLvl w:val="1"/>
        <w:rPr>
          <w:rFonts w:hint="eastAsia" w:eastAsia="黑体"/>
          <w:color w:val="auto"/>
          <w:sz w:val="28"/>
          <w:szCs w:val="28"/>
          <w:highlight w:val="none"/>
        </w:rPr>
      </w:pPr>
      <w:bookmarkStart w:id="5" w:name="_Hlk40704598"/>
      <w:r>
        <w:rPr>
          <w:rFonts w:hint="eastAsia" w:eastAsia="黑体"/>
          <w:color w:val="auto"/>
          <w:sz w:val="28"/>
          <w:szCs w:val="28"/>
          <w:highlight w:val="none"/>
        </w:rPr>
        <w:t>附件六</w:t>
      </w:r>
      <w:r>
        <w:rPr>
          <w:rFonts w:hint="eastAsia" w:eastAsia="黑体"/>
          <w:color w:val="auto"/>
          <w:sz w:val="28"/>
          <w:szCs w:val="28"/>
          <w:highlight w:val="none"/>
          <w:lang w:val="en-US" w:eastAsia="zh-CN"/>
        </w:rPr>
        <w:t xml:space="preserve">  </w:t>
      </w:r>
      <w:r>
        <w:rPr>
          <w:rFonts w:hint="eastAsia" w:eastAsia="黑体"/>
          <w:color w:val="auto"/>
          <w:sz w:val="28"/>
          <w:szCs w:val="28"/>
          <w:highlight w:val="none"/>
        </w:rPr>
        <w:t>用户需求</w:t>
      </w:r>
      <w:r>
        <w:rPr>
          <w:rFonts w:hint="eastAsia" w:eastAsia="黑体"/>
          <w:color w:val="auto"/>
          <w:sz w:val="28"/>
          <w:szCs w:val="28"/>
          <w:highlight w:val="none"/>
          <w:lang w:val="en-US" w:eastAsia="zh-CN"/>
        </w:rPr>
        <w:t>及</w:t>
      </w:r>
      <w:r>
        <w:rPr>
          <w:rFonts w:hint="eastAsia" w:eastAsia="黑体"/>
          <w:color w:val="auto"/>
          <w:sz w:val="28"/>
          <w:szCs w:val="28"/>
          <w:highlight w:val="none"/>
        </w:rPr>
        <w:t>技术规范书</w:t>
      </w:r>
    </w:p>
    <w:p w14:paraId="76DF930F">
      <w:pPr>
        <w:pStyle w:val="43"/>
        <w:keepNext w:val="0"/>
        <w:keepLines w:val="0"/>
        <w:pageBreakBefore w:val="0"/>
        <w:overflowPunct/>
        <w:topLinePunct w:val="0"/>
        <w:bidi w:val="0"/>
        <w:spacing w:line="560" w:lineRule="exact"/>
        <w:ind w:firstLine="0" w:firstLineChars="0"/>
        <w:jc w:val="left"/>
        <w:outlineLvl w:val="1"/>
        <w:rPr>
          <w:rFonts w:hint="eastAsia" w:eastAsia="黑体"/>
          <w:color w:val="auto"/>
          <w:sz w:val="28"/>
          <w:szCs w:val="28"/>
          <w:highlight w:val="none"/>
        </w:rPr>
      </w:pPr>
    </w:p>
    <w:p w14:paraId="272A3EBB">
      <w:pPr>
        <w:pStyle w:val="43"/>
        <w:keepNext w:val="0"/>
        <w:keepLines w:val="0"/>
        <w:pageBreakBefore w:val="0"/>
        <w:overflowPunct/>
        <w:topLinePunct w:val="0"/>
        <w:bidi w:val="0"/>
        <w:spacing w:line="560" w:lineRule="exact"/>
        <w:ind w:firstLine="0" w:firstLineChars="0"/>
        <w:jc w:val="center"/>
        <w:rPr>
          <w:rFonts w:eastAsia="仿宋_GB2312"/>
          <w:b/>
          <w:color w:val="auto"/>
          <w:sz w:val="28"/>
          <w:szCs w:val="28"/>
          <w:highlight w:val="none"/>
        </w:rPr>
      </w:pPr>
      <w:r>
        <w:rPr>
          <w:rFonts w:hint="eastAsia" w:eastAsia="仿宋_GB2312"/>
          <w:b/>
          <w:color w:val="auto"/>
          <w:sz w:val="28"/>
          <w:szCs w:val="28"/>
          <w:highlight w:val="none"/>
        </w:rPr>
        <w:t>用户需求</w:t>
      </w:r>
      <w:r>
        <w:rPr>
          <w:rFonts w:hint="eastAsia" w:eastAsia="仿宋_GB2312"/>
          <w:b/>
          <w:color w:val="auto"/>
          <w:sz w:val="28"/>
          <w:szCs w:val="28"/>
          <w:highlight w:val="none"/>
          <w:lang w:val="en-US" w:eastAsia="zh-CN"/>
        </w:rPr>
        <w:t>及</w:t>
      </w:r>
      <w:r>
        <w:rPr>
          <w:rFonts w:hint="eastAsia" w:eastAsia="仿宋_GB2312"/>
          <w:b/>
          <w:color w:val="auto"/>
          <w:sz w:val="28"/>
          <w:szCs w:val="28"/>
          <w:highlight w:val="none"/>
        </w:rPr>
        <w:t>技术规范书</w:t>
      </w:r>
    </w:p>
    <w:p w14:paraId="7A2042F2">
      <w:pPr>
        <w:keepNext w:val="0"/>
        <w:keepLines w:val="0"/>
        <w:pageBreakBefore w:val="0"/>
        <w:overflowPunct/>
        <w:topLinePunct w:val="0"/>
        <w:bidi w:val="0"/>
        <w:spacing w:line="560" w:lineRule="exact"/>
        <w:ind w:firstLine="560" w:firstLineChars="200"/>
        <w:rPr>
          <w:rFonts w:hAnsi="宋体" w:cs="宋体"/>
          <w:b/>
          <w:bCs/>
          <w:color w:val="auto"/>
          <w:sz w:val="28"/>
          <w:szCs w:val="28"/>
          <w:highlight w:val="none"/>
        </w:rPr>
      </w:pPr>
      <w:r>
        <w:rPr>
          <w:rFonts w:hint="eastAsia" w:hAnsi="宋体" w:cs="宋体"/>
          <w:b/>
          <w:bCs/>
          <w:color w:val="auto"/>
          <w:sz w:val="28"/>
          <w:szCs w:val="28"/>
          <w:highlight w:val="none"/>
        </w:rPr>
        <w:t>一、项目概况</w:t>
      </w:r>
    </w:p>
    <w:p w14:paraId="4BCB825F">
      <w:pPr>
        <w:keepNext w:val="0"/>
        <w:keepLines w:val="0"/>
        <w:pageBreakBefore w:val="0"/>
        <w:kinsoku w:val="0"/>
        <w:wordWrap/>
        <w:overflowPunct/>
        <w:topLinePunct w:val="0"/>
        <w:autoSpaceDE w:val="0"/>
        <w:autoSpaceDN w:val="0"/>
        <w:bidi w:val="0"/>
        <w:adjustRightInd w:val="0"/>
        <w:snapToGrid w:val="0"/>
        <w:spacing w:line="560" w:lineRule="exact"/>
        <w:ind w:firstLine="560" w:firstLineChars="200"/>
        <w:textAlignment w:val="baseline"/>
        <w:outlineLvl w:val="2"/>
        <w:rPr>
          <w:rFonts w:hint="eastAsia" w:ascii="方正仿宋_GB2312" w:hAnsi="方正仿宋_GB2312" w:eastAsia="方正仿宋_GB2312" w:cs="方正仿宋_GB2312"/>
          <w:color w:val="auto"/>
          <w:sz w:val="28"/>
          <w:szCs w:val="28"/>
          <w:highlight w:val="none"/>
        </w:rPr>
      </w:pPr>
      <w:bookmarkStart w:id="6" w:name="_Toc1818"/>
      <w:bookmarkStart w:id="7" w:name="_Toc24083"/>
      <w:bookmarkStart w:id="8" w:name="_Toc26317"/>
      <w:bookmarkStart w:id="9" w:name="_Toc30469"/>
      <w:r>
        <w:rPr>
          <w:rFonts w:hint="eastAsia" w:ascii="方正仿宋_GB2312" w:hAnsi="方正仿宋_GB2312" w:eastAsia="方正仿宋_GB2312" w:cs="方正仿宋_GB2312"/>
          <w:color w:val="auto"/>
          <w:sz w:val="28"/>
          <w:szCs w:val="28"/>
          <w:highlight w:val="none"/>
        </w:rPr>
        <w:t>1</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rPr>
        <w:t>名称与编号</w:t>
      </w:r>
      <w:bookmarkEnd w:id="6"/>
      <w:bookmarkEnd w:id="7"/>
      <w:bookmarkEnd w:id="8"/>
      <w:bookmarkEnd w:id="9"/>
    </w:p>
    <w:p w14:paraId="5B0FEBA4">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eastAsia="仿宋_GB2312"/>
          <w:color w:val="auto"/>
          <w:sz w:val="28"/>
          <w:szCs w:val="28"/>
          <w:highlight w:val="none"/>
          <w:u w:val="single"/>
          <w:lang w:val="en-US" w:eastAsia="zh-CN"/>
        </w:rPr>
      </w:pPr>
      <w:r>
        <w:rPr>
          <w:rFonts w:hint="eastAsia" w:ascii="方正仿宋_GB2312" w:hAnsi="方正仿宋_GB2312" w:eastAsia="方正仿宋_GB2312" w:cs="方正仿宋_GB2312"/>
          <w:color w:val="auto"/>
          <w:sz w:val="28"/>
          <w:szCs w:val="28"/>
          <w:highlight w:val="none"/>
        </w:rPr>
        <w:t>项目名称：</w:t>
      </w:r>
      <w:r>
        <w:rPr>
          <w:rFonts w:hint="eastAsia" w:eastAsia="仿宋_GB2312"/>
          <w:color w:val="auto"/>
          <w:sz w:val="28"/>
          <w:szCs w:val="28"/>
          <w:highlight w:val="none"/>
          <w:u w:val="single"/>
          <w:lang w:val="en-US" w:eastAsia="zh-CN"/>
        </w:rPr>
        <w:t>东莞迎宾馆一期建筑房屋结构安全鉴定项目（重新采购）</w:t>
      </w:r>
    </w:p>
    <w:p w14:paraId="61705A09">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采购项目编号：编号：GYBG-CQ-03-01-018（2025）</w:t>
      </w:r>
    </w:p>
    <w:p w14:paraId="5D13E7E3">
      <w:pPr>
        <w:keepNext w:val="0"/>
        <w:keepLines w:val="0"/>
        <w:pageBreakBefore w:val="0"/>
        <w:kinsoku w:val="0"/>
        <w:wordWrap/>
        <w:overflowPunct/>
        <w:topLinePunct w:val="0"/>
        <w:autoSpaceDE w:val="0"/>
        <w:autoSpaceDN w:val="0"/>
        <w:bidi w:val="0"/>
        <w:adjustRightInd w:val="0"/>
        <w:snapToGrid w:val="0"/>
        <w:spacing w:line="560" w:lineRule="exact"/>
        <w:ind w:firstLine="1120" w:firstLineChars="400"/>
        <w:textAlignment w:val="baseline"/>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rPr>
        <w:t>采购方式：竞争性谈判</w:t>
      </w:r>
    </w:p>
    <w:p w14:paraId="5CB490D6">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方正仿宋_GB2312" w:hAnsi="方正仿宋_GB2312" w:eastAsia="方正仿宋_GB2312" w:cs="方正仿宋_GB2312"/>
          <w:color w:val="auto"/>
          <w:sz w:val="28"/>
          <w:szCs w:val="28"/>
          <w:highlight w:val="none"/>
        </w:rPr>
      </w:pPr>
      <w:r>
        <w:rPr>
          <w:rFonts w:hint="eastAsia" w:ascii="方正仿宋_GB2312" w:hAnsi="方正仿宋_GB2312" w:eastAsia="方正仿宋_GB2312" w:cs="方正仿宋_GB2312"/>
          <w:color w:val="auto"/>
          <w:sz w:val="28"/>
          <w:szCs w:val="28"/>
          <w:highlight w:val="none"/>
          <w:lang w:val="en-US" w:eastAsia="zh-CN"/>
        </w:rPr>
        <w:t>2、</w:t>
      </w:r>
      <w:r>
        <w:rPr>
          <w:rFonts w:hint="eastAsia" w:ascii="方正仿宋_GB2312" w:hAnsi="方正仿宋_GB2312" w:eastAsia="方正仿宋_GB2312" w:cs="方正仿宋_GB2312"/>
          <w:color w:val="auto"/>
          <w:sz w:val="28"/>
          <w:szCs w:val="28"/>
          <w:highlight w:val="none"/>
        </w:rPr>
        <w:t>预算金额：</w:t>
      </w:r>
    </w:p>
    <w:p w14:paraId="044D9C31">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280" w:firstLineChars="100"/>
        <w:textAlignment w:val="baseline"/>
        <w:rPr>
          <w:rFonts w:hint="eastAsia" w:ascii="方正仿宋_GB2312" w:hAnsi="方正仿宋_GB2312" w:eastAsia="方正仿宋_GB2312" w:cs="方正仿宋_GB2312"/>
          <w:color w:val="auto"/>
          <w:sz w:val="28"/>
          <w:szCs w:val="28"/>
          <w:highlight w:val="none"/>
          <w:lang w:val="en-US" w:eastAsia="zh-CN"/>
        </w:rPr>
      </w:pP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1</w:t>
      </w:r>
      <w:r>
        <w:rPr>
          <w:rFonts w:hint="eastAsia" w:ascii="方正仿宋_GB2312" w:hAnsi="方正仿宋_GB2312" w:eastAsia="方正仿宋_GB2312" w:cs="方正仿宋_GB2312"/>
          <w:color w:val="auto"/>
          <w:sz w:val="28"/>
          <w:szCs w:val="28"/>
          <w:highlight w:val="none"/>
          <w:lang w:eastAsia="zh-CN"/>
        </w:rPr>
        <w:t>）</w:t>
      </w:r>
      <w:r>
        <w:rPr>
          <w:rFonts w:hint="eastAsia" w:ascii="方正仿宋_GB2312" w:hAnsi="方正仿宋_GB2312" w:eastAsia="方正仿宋_GB2312" w:cs="方正仿宋_GB2312"/>
          <w:color w:val="auto"/>
          <w:sz w:val="28"/>
          <w:szCs w:val="28"/>
          <w:highlight w:val="none"/>
          <w:lang w:val="en-US" w:eastAsia="zh-CN"/>
        </w:rPr>
        <w:t>房屋结构安全鉴定项目采购限价：</w:t>
      </w:r>
      <w:r>
        <w:rPr>
          <w:rFonts w:hint="eastAsia" w:ascii="方正仿宋_GB2312" w:hAnsi="方正仿宋_GB2312" w:eastAsia="方正仿宋_GB2312" w:cs="方正仿宋_GB2312"/>
          <w:color w:val="auto"/>
          <w:sz w:val="28"/>
          <w:szCs w:val="28"/>
          <w:highlight w:val="none"/>
        </w:rPr>
        <w:t>¥</w:t>
      </w:r>
      <w:r>
        <w:rPr>
          <w:rFonts w:hint="eastAsia" w:ascii="方正仿宋_GB2312" w:hAnsi="方正仿宋_GB2312" w:eastAsia="方正仿宋_GB2312" w:cs="方正仿宋_GB2312"/>
          <w:color w:val="auto"/>
          <w:sz w:val="28"/>
          <w:szCs w:val="28"/>
          <w:highlight w:val="none"/>
          <w:lang w:val="en-US" w:eastAsia="zh-CN"/>
        </w:rPr>
        <w:t>303600.00</w:t>
      </w:r>
      <w:r>
        <w:rPr>
          <w:rFonts w:hint="eastAsia" w:ascii="方正仿宋_GB2312" w:hAnsi="方正仿宋_GB2312" w:eastAsia="方正仿宋_GB2312" w:cs="方正仿宋_GB2312"/>
          <w:color w:val="auto"/>
          <w:sz w:val="28"/>
          <w:szCs w:val="28"/>
          <w:highlight w:val="none"/>
        </w:rPr>
        <w:t>元</w:t>
      </w:r>
      <w:r>
        <w:rPr>
          <w:rFonts w:hint="eastAsia" w:ascii="方正仿宋_GB2312" w:hAnsi="方正仿宋_GB2312" w:eastAsia="方正仿宋_GB2312" w:cs="方正仿宋_GB2312"/>
          <w:color w:val="auto"/>
          <w:sz w:val="28"/>
          <w:szCs w:val="28"/>
          <w:highlight w:val="none"/>
          <w:lang w:val="en-US" w:eastAsia="zh-CN"/>
        </w:rPr>
        <w:t>(含税)</w:t>
      </w:r>
    </w:p>
    <w:p w14:paraId="4F5AC413">
      <w:pPr>
        <w:keepNext w:val="0"/>
        <w:keepLines w:val="0"/>
        <w:pageBreakBefore w:val="0"/>
        <w:widowControl w:val="0"/>
        <w:kinsoku w:val="0"/>
        <w:wordWrap/>
        <w:overflowPunct/>
        <w:topLinePunct w:val="0"/>
        <w:autoSpaceDE w:val="0"/>
        <w:autoSpaceDN w:val="0"/>
        <w:bidi w:val="0"/>
        <w:adjustRightInd w:val="0"/>
        <w:snapToGrid w:val="0"/>
        <w:spacing w:line="560" w:lineRule="exact"/>
        <w:ind w:firstLine="560" w:firstLineChars="200"/>
        <w:textAlignment w:val="baseline"/>
        <w:rPr>
          <w:rFonts w:hint="eastAsia" w:ascii="方正仿宋_GB2312" w:hAnsi="方正仿宋_GB2312" w:eastAsia="方正仿宋_GB2312" w:cs="方正仿宋_GB2312"/>
          <w:color w:val="auto"/>
          <w:sz w:val="28"/>
          <w:szCs w:val="28"/>
          <w:highlight w:val="none"/>
        </w:rPr>
      </w:pPr>
      <w:bookmarkStart w:id="10" w:name="_Toc28829"/>
      <w:bookmarkStart w:id="11" w:name="_Toc29276"/>
      <w:bookmarkStart w:id="12" w:name="_Toc23449"/>
      <w:bookmarkStart w:id="13" w:name="_Toc21844"/>
      <w:r>
        <w:rPr>
          <w:rFonts w:hint="eastAsia" w:ascii="方正仿宋_GB2312" w:hAnsi="方正仿宋_GB2312" w:eastAsia="方正仿宋_GB2312" w:cs="方正仿宋_GB2312"/>
          <w:color w:val="auto"/>
          <w:sz w:val="28"/>
          <w:szCs w:val="28"/>
          <w:highlight w:val="none"/>
          <w:lang w:val="en-US" w:eastAsia="zh-CN"/>
        </w:rPr>
        <w:t>3、</w:t>
      </w:r>
      <w:r>
        <w:rPr>
          <w:rFonts w:hint="eastAsia" w:ascii="方正仿宋_GB2312" w:hAnsi="方正仿宋_GB2312" w:eastAsia="方正仿宋_GB2312" w:cs="方正仿宋_GB2312"/>
          <w:color w:val="auto"/>
          <w:sz w:val="28"/>
          <w:szCs w:val="28"/>
          <w:highlight w:val="none"/>
        </w:rPr>
        <w:t>项目内容及需求情况（采购项目技术规格、参数及要求）</w:t>
      </w:r>
      <w:bookmarkEnd w:id="10"/>
      <w:bookmarkEnd w:id="11"/>
      <w:bookmarkEnd w:id="12"/>
      <w:bookmarkEnd w:id="13"/>
    </w:p>
    <w:tbl>
      <w:tblPr>
        <w:tblStyle w:val="23"/>
        <w:tblW w:w="87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3"/>
        <w:gridCol w:w="3116"/>
        <w:gridCol w:w="1727"/>
        <w:gridCol w:w="3122"/>
      </w:tblGrid>
      <w:tr w14:paraId="67059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3" w:hRule="atLeast"/>
          <w:jc w:val="center"/>
        </w:trPr>
        <w:tc>
          <w:tcPr>
            <w:tcW w:w="833" w:type="dxa"/>
            <w:shd w:val="clear" w:color="auto" w:fill="F5F5F5"/>
            <w:vAlign w:val="center"/>
          </w:tcPr>
          <w:p w14:paraId="3D6C7760">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序号</w:t>
            </w:r>
          </w:p>
        </w:tc>
        <w:tc>
          <w:tcPr>
            <w:tcW w:w="3116" w:type="dxa"/>
            <w:tcBorders>
              <w:left w:val="single" w:color="auto" w:sz="4" w:space="0"/>
            </w:tcBorders>
            <w:shd w:val="clear" w:color="auto" w:fill="F5F5F5"/>
            <w:vAlign w:val="center"/>
          </w:tcPr>
          <w:p w14:paraId="19848361">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采购标的</w:t>
            </w:r>
          </w:p>
        </w:tc>
        <w:tc>
          <w:tcPr>
            <w:tcW w:w="1727" w:type="dxa"/>
            <w:shd w:val="clear" w:color="auto" w:fill="F5F5F5"/>
            <w:vAlign w:val="center"/>
          </w:tcPr>
          <w:p w14:paraId="51C3AB1B">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数量（单位）</w:t>
            </w:r>
          </w:p>
        </w:tc>
        <w:tc>
          <w:tcPr>
            <w:tcW w:w="3122" w:type="dxa"/>
            <w:shd w:val="clear" w:color="auto" w:fill="F5F5F5"/>
            <w:vAlign w:val="center"/>
          </w:tcPr>
          <w:p w14:paraId="140EB1FF">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技术规格、参数及要求</w:t>
            </w:r>
          </w:p>
        </w:tc>
      </w:tr>
      <w:tr w14:paraId="2F505E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5" w:hRule="atLeast"/>
          <w:jc w:val="center"/>
        </w:trPr>
        <w:tc>
          <w:tcPr>
            <w:tcW w:w="833" w:type="dxa"/>
            <w:shd w:val="clear" w:color="auto" w:fill="auto"/>
            <w:vAlign w:val="center"/>
          </w:tcPr>
          <w:p w14:paraId="697A897E">
            <w:pPr>
              <w:jc w:val="center"/>
              <w:rPr>
                <w:rFonts w:hint="eastAsia" w:ascii="方正仿宋_GB2312" w:hAnsi="方正仿宋_GB2312" w:eastAsia="方正仿宋_GB2312" w:cs="方正仿宋_GB2312"/>
                <w:color w:val="auto"/>
                <w:kern w:val="2"/>
                <w:sz w:val="24"/>
                <w:szCs w:val="24"/>
                <w:highlight w:val="none"/>
                <w:lang w:val="en-US" w:eastAsia="zh-CN" w:bidi="ar-SA"/>
              </w:rPr>
            </w:pPr>
            <w:r>
              <w:rPr>
                <w:rFonts w:hint="eastAsia" w:ascii="方正仿宋_GB2312" w:hAnsi="方正仿宋_GB2312" w:eastAsia="方正仿宋_GB2312" w:cs="方正仿宋_GB2312"/>
                <w:color w:val="auto"/>
                <w:sz w:val="24"/>
                <w:szCs w:val="24"/>
                <w:highlight w:val="none"/>
                <w:lang w:val="en-US" w:eastAsia="zh-CN"/>
              </w:rPr>
              <w:t>1</w:t>
            </w:r>
          </w:p>
        </w:tc>
        <w:tc>
          <w:tcPr>
            <w:tcW w:w="3116" w:type="dxa"/>
            <w:tcBorders>
              <w:left w:val="single" w:color="auto" w:sz="4" w:space="0"/>
            </w:tcBorders>
            <w:shd w:val="clear" w:color="auto" w:fill="auto"/>
            <w:vAlign w:val="center"/>
          </w:tcPr>
          <w:p w14:paraId="44F14A87">
            <w:pPr>
              <w:jc w:val="center"/>
              <w:rPr>
                <w:rFonts w:hint="eastAsia" w:ascii="方正仿宋_GB2312" w:hAnsi="方正仿宋_GB2312" w:eastAsia="方正仿宋_GB2312" w:cs="方正仿宋_GB2312"/>
                <w:color w:val="auto"/>
                <w:kern w:val="2"/>
                <w:sz w:val="24"/>
                <w:szCs w:val="24"/>
                <w:highlight w:val="none"/>
                <w:lang w:val="en-US" w:eastAsia="zh-CN" w:bidi="ar-SA"/>
              </w:rPr>
            </w:pPr>
            <w:r>
              <w:rPr>
                <w:rFonts w:hint="eastAsia" w:ascii="方正仿宋_GB2312" w:hAnsi="方正仿宋_GB2312" w:eastAsia="方正仿宋_GB2312" w:cs="方正仿宋_GB2312"/>
                <w:color w:val="auto"/>
                <w:sz w:val="24"/>
                <w:szCs w:val="24"/>
                <w:highlight w:val="none"/>
              </w:rPr>
              <w:t>东莞迎宾馆酒店一期建筑房屋结构安全鉴定项目</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lang w:val="en-US" w:eastAsia="zh-CN"/>
              </w:rPr>
              <w:t>重新采购</w:t>
            </w:r>
            <w:r>
              <w:rPr>
                <w:rFonts w:hint="eastAsia" w:ascii="方正仿宋_GB2312" w:hAnsi="方正仿宋_GB2312" w:eastAsia="方正仿宋_GB2312" w:cs="方正仿宋_GB2312"/>
                <w:color w:val="auto"/>
                <w:sz w:val="24"/>
                <w:szCs w:val="24"/>
                <w:highlight w:val="none"/>
                <w:lang w:eastAsia="zh-CN"/>
              </w:rPr>
              <w:t>）</w:t>
            </w:r>
          </w:p>
        </w:tc>
        <w:tc>
          <w:tcPr>
            <w:tcW w:w="1727" w:type="dxa"/>
            <w:shd w:val="clear" w:color="auto" w:fill="auto"/>
            <w:vAlign w:val="center"/>
          </w:tcPr>
          <w:p w14:paraId="293BDBF9">
            <w:pPr>
              <w:jc w:val="center"/>
              <w:rPr>
                <w:rFonts w:hint="eastAsia" w:ascii="方正仿宋_GB2312" w:hAnsi="方正仿宋_GB2312" w:eastAsia="方正仿宋_GB2312" w:cs="方正仿宋_GB2312"/>
                <w:color w:val="auto"/>
                <w:kern w:val="2"/>
                <w:sz w:val="24"/>
                <w:szCs w:val="24"/>
                <w:highlight w:val="none"/>
                <w:lang w:val="en-US" w:eastAsia="zh-CN" w:bidi="ar-SA"/>
              </w:rPr>
            </w:pPr>
            <w:r>
              <w:rPr>
                <w:rFonts w:hint="eastAsia" w:ascii="方正仿宋_GB2312" w:hAnsi="方正仿宋_GB2312" w:eastAsia="方正仿宋_GB2312" w:cs="方正仿宋_GB2312"/>
                <w:color w:val="auto"/>
                <w:sz w:val="24"/>
                <w:szCs w:val="24"/>
                <w:highlight w:val="none"/>
              </w:rPr>
              <w:t>1.00(项)</w:t>
            </w:r>
          </w:p>
        </w:tc>
        <w:tc>
          <w:tcPr>
            <w:tcW w:w="3122" w:type="dxa"/>
            <w:shd w:val="clear" w:color="auto" w:fill="auto"/>
            <w:vAlign w:val="center"/>
          </w:tcPr>
          <w:p w14:paraId="3BDB3B9F">
            <w:pPr>
              <w:jc w:val="center"/>
              <w:rPr>
                <w:rFonts w:hint="eastAsia" w:ascii="方正仿宋_GB2312" w:hAnsi="方正仿宋_GB2312" w:eastAsia="方正仿宋_GB2312" w:cs="方正仿宋_GB2312"/>
                <w:color w:val="auto"/>
                <w:kern w:val="2"/>
                <w:sz w:val="24"/>
                <w:szCs w:val="24"/>
                <w:highlight w:val="none"/>
                <w:lang w:val="en-US" w:eastAsia="zh-CN" w:bidi="ar-SA"/>
              </w:rPr>
            </w:pPr>
            <w:r>
              <w:rPr>
                <w:rFonts w:hint="eastAsia" w:ascii="方正仿宋_GB2312" w:hAnsi="方正仿宋_GB2312" w:eastAsia="方正仿宋_GB2312" w:cs="方正仿宋_GB2312"/>
                <w:color w:val="auto"/>
                <w:sz w:val="24"/>
                <w:szCs w:val="24"/>
                <w:highlight w:val="none"/>
              </w:rPr>
              <w:t>详见</w:t>
            </w:r>
            <w:r>
              <w:rPr>
                <w:rFonts w:hint="eastAsia" w:ascii="方正仿宋_GB2312" w:hAnsi="方正仿宋_GB2312" w:eastAsia="方正仿宋_GB2312" w:cs="方正仿宋_GB2312"/>
                <w:color w:val="auto"/>
                <w:sz w:val="24"/>
                <w:szCs w:val="24"/>
                <w:highlight w:val="none"/>
                <w:lang w:val="en-US" w:eastAsia="zh-CN"/>
              </w:rPr>
              <w:t>后文第三部分</w:t>
            </w:r>
          </w:p>
        </w:tc>
      </w:tr>
    </w:tbl>
    <w:p w14:paraId="6173549E">
      <w:pPr>
        <w:keepNext w:val="0"/>
        <w:keepLines w:val="0"/>
        <w:pageBreakBefore w:val="0"/>
        <w:numPr>
          <w:ilvl w:val="0"/>
          <w:numId w:val="0"/>
        </w:numPr>
        <w:kinsoku w:val="0"/>
        <w:wordWrap/>
        <w:overflowPunct/>
        <w:topLinePunct w:val="0"/>
        <w:autoSpaceDE w:val="0"/>
        <w:autoSpaceDN w:val="0"/>
        <w:bidi w:val="0"/>
        <w:adjustRightInd w:val="0"/>
        <w:snapToGrid w:val="0"/>
        <w:spacing w:line="560" w:lineRule="exact"/>
        <w:ind w:leftChars="200"/>
        <w:textAlignment w:val="baseline"/>
        <w:rPr>
          <w:rFonts w:hint="eastAsia" w:ascii="方正仿宋_GB2312" w:hAnsi="方正仿宋_GB2312" w:eastAsia="方正仿宋_GB2312" w:cs="方正仿宋_GB2312"/>
          <w:color w:val="auto"/>
          <w:sz w:val="28"/>
          <w:szCs w:val="28"/>
          <w:highlight w:val="none"/>
          <w:lang w:eastAsia="zh-CN"/>
        </w:rPr>
      </w:pPr>
      <w:r>
        <w:rPr>
          <w:rFonts w:hint="eastAsia" w:ascii="方正仿宋_GB2312" w:hAnsi="方正仿宋_GB2312" w:eastAsia="方正仿宋_GB2312" w:cs="方正仿宋_GB2312"/>
          <w:color w:val="auto"/>
          <w:sz w:val="28"/>
          <w:szCs w:val="28"/>
          <w:highlight w:val="none"/>
          <w:lang w:val="en-US" w:eastAsia="zh-CN"/>
        </w:rPr>
        <w:t>4、</w:t>
      </w:r>
      <w:r>
        <w:rPr>
          <w:rFonts w:hint="eastAsia" w:ascii="方正仿宋_GB2312" w:hAnsi="方正仿宋_GB2312" w:eastAsia="方正仿宋_GB2312" w:cs="方正仿宋_GB2312"/>
          <w:color w:val="auto"/>
          <w:sz w:val="28"/>
          <w:szCs w:val="28"/>
          <w:highlight w:val="none"/>
        </w:rPr>
        <w:t>本采购包不接受联合体响应</w:t>
      </w:r>
      <w:r>
        <w:rPr>
          <w:rFonts w:hint="eastAsia" w:ascii="方正仿宋_GB2312" w:hAnsi="方正仿宋_GB2312" w:eastAsia="方正仿宋_GB2312" w:cs="方正仿宋_GB2312"/>
          <w:color w:val="auto"/>
          <w:sz w:val="28"/>
          <w:szCs w:val="28"/>
          <w:highlight w:val="none"/>
          <w:lang w:eastAsia="zh-CN"/>
        </w:rPr>
        <w:t>。</w:t>
      </w:r>
    </w:p>
    <w:p w14:paraId="66B3C02C">
      <w:pPr>
        <w:pStyle w:val="2"/>
        <w:widowControl w:val="0"/>
        <w:numPr>
          <w:ilvl w:val="0"/>
          <w:numId w:val="0"/>
        </w:numPr>
        <w:autoSpaceDE w:val="0"/>
        <w:autoSpaceDN w:val="0"/>
        <w:adjustRightInd w:val="0"/>
        <w:rPr>
          <w:rFonts w:hint="eastAsia"/>
          <w:color w:val="auto"/>
          <w:highlight w:val="none"/>
        </w:rPr>
      </w:pPr>
    </w:p>
    <w:p w14:paraId="097A6D7A">
      <w:pPr>
        <w:keepNext w:val="0"/>
        <w:keepLines w:val="0"/>
        <w:pageBreakBefore w:val="0"/>
        <w:wordWrap/>
        <w:overflowPunct/>
        <w:topLinePunct w:val="0"/>
        <w:bidi w:val="0"/>
        <w:spacing w:line="560" w:lineRule="exact"/>
        <w:ind w:firstLine="560" w:firstLineChars="200"/>
        <w:rPr>
          <w:rFonts w:hint="eastAsia" w:ascii="方正仿宋_GB2312" w:hAnsi="方正仿宋_GB2312" w:eastAsia="方正仿宋_GB2312" w:cs="方正仿宋_GB2312"/>
          <w:b/>
          <w:bCs/>
          <w:color w:val="auto"/>
          <w:sz w:val="28"/>
          <w:szCs w:val="28"/>
          <w:highlight w:val="none"/>
        </w:rPr>
      </w:pPr>
      <w:r>
        <w:rPr>
          <w:rFonts w:hint="eastAsia" w:ascii="方正仿宋_GB2312" w:hAnsi="方正仿宋_GB2312" w:eastAsia="方正仿宋_GB2312" w:cs="方正仿宋_GB2312"/>
          <w:b/>
          <w:bCs/>
          <w:color w:val="auto"/>
          <w:sz w:val="28"/>
          <w:szCs w:val="28"/>
          <w:highlight w:val="none"/>
          <w:lang w:val="en-US" w:eastAsia="zh-CN"/>
        </w:rPr>
        <w:t>二、</w:t>
      </w:r>
      <w:r>
        <w:rPr>
          <w:rFonts w:hint="eastAsia" w:ascii="方正仿宋_GB2312" w:hAnsi="方正仿宋_GB2312" w:eastAsia="方正仿宋_GB2312" w:cs="方正仿宋_GB2312"/>
          <w:b/>
          <w:bCs/>
          <w:color w:val="auto"/>
          <w:sz w:val="28"/>
          <w:szCs w:val="28"/>
          <w:highlight w:val="none"/>
        </w:rPr>
        <w:t>主要商务要求</w:t>
      </w:r>
    </w:p>
    <w:tbl>
      <w:tblPr>
        <w:tblStyle w:val="23"/>
        <w:tblW w:w="919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71"/>
        <w:gridCol w:w="7328"/>
      </w:tblGrid>
      <w:tr w14:paraId="359841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48" w:hRule="atLeast"/>
        </w:trPr>
        <w:tc>
          <w:tcPr>
            <w:tcW w:w="1871" w:type="dxa"/>
            <w:vAlign w:val="center"/>
          </w:tcPr>
          <w:p w14:paraId="1A43A800">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标的提供的</w:t>
            </w:r>
          </w:p>
          <w:p w14:paraId="68DDA13F">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时间</w:t>
            </w:r>
          </w:p>
        </w:tc>
        <w:tc>
          <w:tcPr>
            <w:tcW w:w="7328" w:type="dxa"/>
            <w:vAlign w:val="center"/>
          </w:tcPr>
          <w:p w14:paraId="26CAEFEA">
            <w:pPr>
              <w:keepNext w:val="0"/>
              <w:keepLines w:val="0"/>
              <w:pageBreakBefore w:val="0"/>
              <w:wordWrap/>
              <w:overflowPunct/>
              <w:topLinePunct w:val="0"/>
              <w:bidi w:val="0"/>
              <w:spacing w:line="560" w:lineRule="exact"/>
              <w:rPr>
                <w:rFonts w:hint="eastAsia" w:eastAsia="仿宋_GB2312"/>
                <w:color w:val="auto"/>
                <w:sz w:val="24"/>
                <w:szCs w:val="24"/>
                <w:highlight w:val="none"/>
                <w:u w:val="single"/>
                <w:lang w:val="en-US" w:eastAsia="zh-CN"/>
              </w:rPr>
            </w:pPr>
            <w:r>
              <w:rPr>
                <w:rFonts w:hint="eastAsia" w:eastAsia="仿宋_GB2312"/>
                <w:color w:val="auto"/>
                <w:sz w:val="24"/>
                <w:szCs w:val="24"/>
                <w:highlight w:val="none"/>
                <w:u w:val="single"/>
                <w:lang w:val="en-US" w:eastAsia="zh-CN"/>
              </w:rPr>
              <w:t>鉴定合同签订后7</w:t>
            </w:r>
            <w:r>
              <w:rPr>
                <w:rFonts w:hint="eastAsia" w:eastAsia="仿宋_GB2312"/>
                <w:color w:val="auto"/>
                <w:sz w:val="24"/>
                <w:szCs w:val="24"/>
                <w:highlight w:val="none"/>
                <w:u w:val="single"/>
              </w:rPr>
              <w:t>天内</w:t>
            </w:r>
            <w:r>
              <w:rPr>
                <w:rFonts w:hint="eastAsia" w:eastAsia="仿宋_GB2312"/>
                <w:color w:val="auto"/>
                <w:sz w:val="24"/>
                <w:szCs w:val="24"/>
                <w:highlight w:val="none"/>
                <w:u w:val="single"/>
                <w:lang w:eastAsia="zh-CN"/>
              </w:rPr>
              <w:t>，</w:t>
            </w:r>
            <w:r>
              <w:rPr>
                <w:rFonts w:hint="eastAsia" w:eastAsia="仿宋_GB2312"/>
                <w:color w:val="auto"/>
                <w:sz w:val="24"/>
                <w:szCs w:val="24"/>
                <w:highlight w:val="none"/>
                <w:u w:val="single"/>
                <w:lang w:val="en-US" w:eastAsia="zh-CN"/>
              </w:rPr>
              <w:t>提交初步检测鉴定成果。需在合同签订后3个月内提交经采购人验收合格的最终成果，并协助采购人取得不动产权证。</w:t>
            </w:r>
          </w:p>
          <w:p w14:paraId="35FBE9A8">
            <w:pPr>
              <w:pStyle w:val="2"/>
              <w:rPr>
                <w:rFonts w:hint="eastAsia"/>
                <w:color w:val="auto"/>
                <w:sz w:val="22"/>
                <w:szCs w:val="22"/>
                <w:highlight w:val="none"/>
              </w:rPr>
            </w:pPr>
          </w:p>
        </w:tc>
      </w:tr>
      <w:tr w14:paraId="38D258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1871" w:type="dxa"/>
            <w:vAlign w:val="center"/>
          </w:tcPr>
          <w:p w14:paraId="0E72DDBB">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标的提供的地点</w:t>
            </w:r>
          </w:p>
        </w:tc>
        <w:tc>
          <w:tcPr>
            <w:tcW w:w="7328" w:type="dxa"/>
            <w:vAlign w:val="center"/>
          </w:tcPr>
          <w:p w14:paraId="76D0D9CA">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东莞迎宾馆酒店</w:t>
            </w:r>
          </w:p>
        </w:tc>
      </w:tr>
      <w:tr w14:paraId="1F33C4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5" w:hRule="atLeast"/>
        </w:trPr>
        <w:tc>
          <w:tcPr>
            <w:tcW w:w="1871" w:type="dxa"/>
            <w:vAlign w:val="center"/>
          </w:tcPr>
          <w:p w14:paraId="5383E766">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投标有效期</w:t>
            </w:r>
          </w:p>
        </w:tc>
        <w:tc>
          <w:tcPr>
            <w:tcW w:w="7328" w:type="dxa"/>
            <w:vAlign w:val="center"/>
          </w:tcPr>
          <w:p w14:paraId="7C957BD8">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从提交投标（响应） 文件的截止之日起90日历天</w:t>
            </w:r>
          </w:p>
        </w:tc>
      </w:tr>
      <w:tr w14:paraId="773610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3" w:hRule="atLeast"/>
        </w:trPr>
        <w:tc>
          <w:tcPr>
            <w:tcW w:w="1871" w:type="dxa"/>
            <w:vAlign w:val="center"/>
          </w:tcPr>
          <w:p w14:paraId="2AA5D66E">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现场踏勘</w:t>
            </w:r>
          </w:p>
        </w:tc>
        <w:tc>
          <w:tcPr>
            <w:tcW w:w="7328" w:type="dxa"/>
            <w:vAlign w:val="center"/>
          </w:tcPr>
          <w:p w14:paraId="7B98F94D">
            <w:pPr>
              <w:pStyle w:val="10"/>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自行踏勘</w:t>
            </w:r>
          </w:p>
        </w:tc>
      </w:tr>
      <w:tr w14:paraId="4D0CBD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62" w:hRule="atLeast"/>
        </w:trPr>
        <w:tc>
          <w:tcPr>
            <w:tcW w:w="1871" w:type="dxa"/>
            <w:vAlign w:val="center"/>
          </w:tcPr>
          <w:p w14:paraId="4B35F6B3">
            <w:pPr>
              <w:keepNext w:val="0"/>
              <w:keepLines w:val="0"/>
              <w:pageBreakBefore w:val="0"/>
              <w:wordWrap/>
              <w:overflowPunct/>
              <w:topLinePunct w:val="0"/>
              <w:bidi w:val="0"/>
              <w:spacing w:line="560" w:lineRule="exact"/>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验收要求</w:t>
            </w:r>
          </w:p>
        </w:tc>
        <w:tc>
          <w:tcPr>
            <w:tcW w:w="7328" w:type="dxa"/>
            <w:vAlign w:val="center"/>
          </w:tcPr>
          <w:p w14:paraId="20A1440B">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lang w:val="en-US" w:eastAsia="zh-CN"/>
              </w:rPr>
              <w:t>1</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本</w:t>
            </w:r>
            <w:r>
              <w:rPr>
                <w:rFonts w:hint="eastAsia" w:ascii="方正仿宋_GB2312" w:hAnsi="方正仿宋_GB2312" w:eastAsia="方正仿宋_GB2312" w:cs="方正仿宋_GB2312"/>
                <w:color w:val="auto"/>
                <w:sz w:val="24"/>
                <w:szCs w:val="24"/>
                <w:highlight w:val="none"/>
                <w:lang w:val="en-US" w:eastAsia="zh-CN"/>
              </w:rPr>
              <w:t>项目</w:t>
            </w:r>
            <w:r>
              <w:rPr>
                <w:rFonts w:hint="eastAsia" w:ascii="方正仿宋_GB2312" w:hAnsi="方正仿宋_GB2312" w:eastAsia="方正仿宋_GB2312" w:cs="方正仿宋_GB2312"/>
                <w:color w:val="auto"/>
                <w:sz w:val="24"/>
                <w:szCs w:val="24"/>
                <w:highlight w:val="none"/>
              </w:rPr>
              <w:t>验收应达到国家或行业质量检验评定的合格标准</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lang w:val="en-US" w:eastAsia="zh-CN"/>
              </w:rPr>
              <w:t>以及符合政府部门出具不动产权证的相关要求。</w:t>
            </w:r>
          </w:p>
          <w:p w14:paraId="079D4092">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lang w:val="en-US" w:eastAsia="zh-CN"/>
              </w:rPr>
              <w:t>2</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lang w:val="en-US" w:eastAsia="zh-CN"/>
              </w:rPr>
              <w:t>本项目的中标方需结合本项目实际情况，向采购人提供办理不动产权证相应节点（环节）的有效方案，并协助采购人取得不动产权证书。</w:t>
            </w:r>
          </w:p>
          <w:p w14:paraId="41F8F7A5">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lang w:val="en-US" w:eastAsia="zh-CN"/>
              </w:rPr>
              <w:t>3</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项目具备完工验收条件的，供应商按完工验收有关规定，向采购人提供完整完工资料和完工验收申请报告。采购人收到完工验收申请报告后组织有关单位验收，并在验收后14天内给予认可或提出修改意见。供应商按要求修改，并承担由自身原因造成修改的费用。</w:t>
            </w:r>
          </w:p>
          <w:p w14:paraId="449F8EA9">
            <w:pPr>
              <w:keepNext w:val="0"/>
              <w:keepLines w:val="0"/>
              <w:pageBreakBefore w:val="0"/>
              <w:numPr>
                <w:ilvl w:val="-1"/>
                <w:numId w:val="0"/>
              </w:numPr>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rPr>
              <w:t>（</w:t>
            </w:r>
            <w:r>
              <w:rPr>
                <w:rFonts w:hint="eastAsia" w:ascii="方正仿宋_GB2312" w:hAnsi="方正仿宋_GB2312" w:eastAsia="方正仿宋_GB2312" w:cs="方正仿宋_GB2312"/>
                <w:color w:val="auto"/>
                <w:sz w:val="24"/>
                <w:szCs w:val="24"/>
                <w:highlight w:val="none"/>
                <w:lang w:val="en-US" w:eastAsia="zh-CN"/>
              </w:rPr>
              <w:t>4</w:t>
            </w:r>
            <w:r>
              <w:rPr>
                <w:rFonts w:hint="eastAsia" w:ascii="方正仿宋_GB2312" w:hAnsi="方正仿宋_GB2312" w:eastAsia="方正仿宋_GB2312" w:cs="方正仿宋_GB2312"/>
                <w:color w:val="auto"/>
                <w:sz w:val="24"/>
                <w:szCs w:val="24"/>
                <w:highlight w:val="none"/>
              </w:rPr>
              <w:t>）供应商在执行现场生产、生活临时设施，应在完工后7天内全部撤离，做到工完场清。</w:t>
            </w:r>
          </w:p>
        </w:tc>
      </w:tr>
      <w:tr w14:paraId="17B45F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3" w:hRule="atLeast"/>
        </w:trPr>
        <w:tc>
          <w:tcPr>
            <w:tcW w:w="1871" w:type="dxa"/>
            <w:vAlign w:val="center"/>
          </w:tcPr>
          <w:p w14:paraId="0D586D6F">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付款方式</w:t>
            </w:r>
          </w:p>
        </w:tc>
        <w:tc>
          <w:tcPr>
            <w:tcW w:w="7328" w:type="dxa"/>
            <w:vAlign w:val="center"/>
          </w:tcPr>
          <w:p w14:paraId="71EB2F99">
            <w:pPr>
              <w:keepNext w:val="0"/>
              <w:keepLines w:val="0"/>
              <w:pageBreakBefore w:val="0"/>
              <w:overflowPunct/>
              <w:topLinePunct w:val="0"/>
              <w:bidi w:val="0"/>
              <w:adjustRightInd w:val="0"/>
              <w:snapToGrid w:val="0"/>
              <w:spacing w:line="560" w:lineRule="exact"/>
              <w:ind w:firstLine="480" w:firstLineChars="200"/>
              <w:outlineLvl w:val="1"/>
              <w:rPr>
                <w:rFonts w:hint="eastAsia" w:eastAsia="仿宋_GB2312"/>
                <w:color w:val="auto"/>
                <w:sz w:val="24"/>
                <w:szCs w:val="24"/>
                <w:highlight w:val="none"/>
              </w:rPr>
            </w:pPr>
            <w:r>
              <w:rPr>
                <w:rFonts w:hint="eastAsia" w:eastAsia="仿宋_GB2312"/>
                <w:color w:val="auto"/>
                <w:sz w:val="24"/>
                <w:szCs w:val="24"/>
                <w:highlight w:val="none"/>
              </w:rPr>
              <w:t>1、提交</w:t>
            </w:r>
            <w:r>
              <w:rPr>
                <w:rFonts w:hint="eastAsia" w:eastAsia="仿宋_GB2312"/>
                <w:color w:val="auto"/>
                <w:sz w:val="24"/>
                <w:szCs w:val="24"/>
                <w:highlight w:val="none"/>
                <w:u w:val="single"/>
                <w:lang w:val="en-US" w:eastAsia="zh-CN"/>
              </w:rPr>
              <w:t>初步检测鉴定成果</w:t>
            </w:r>
            <w:r>
              <w:rPr>
                <w:rFonts w:hint="eastAsia" w:eastAsia="仿宋_GB2312"/>
                <w:color w:val="auto"/>
                <w:sz w:val="24"/>
                <w:szCs w:val="24"/>
                <w:highlight w:val="none"/>
                <w:lang w:eastAsia="zh-CN"/>
              </w:rPr>
              <w:t>，</w:t>
            </w:r>
            <w:r>
              <w:rPr>
                <w:rFonts w:hint="eastAsia" w:eastAsia="仿宋_GB2312"/>
                <w:color w:val="auto"/>
                <w:sz w:val="24"/>
                <w:szCs w:val="24"/>
                <w:highlight w:val="none"/>
                <w:lang w:val="en-US" w:eastAsia="zh-CN"/>
              </w:rPr>
              <w:t>经采购人提交政府部门初核确认后</w:t>
            </w:r>
            <w:r>
              <w:rPr>
                <w:rFonts w:hint="eastAsia" w:eastAsia="仿宋_GB2312"/>
                <w:color w:val="auto"/>
                <w:sz w:val="24"/>
                <w:szCs w:val="24"/>
                <w:highlight w:val="none"/>
              </w:rPr>
              <w:t>，支付</w:t>
            </w:r>
            <w:r>
              <w:rPr>
                <w:rFonts w:hint="eastAsia" w:eastAsia="仿宋_GB2312"/>
                <w:color w:val="auto"/>
                <w:sz w:val="24"/>
                <w:szCs w:val="24"/>
                <w:highlight w:val="none"/>
                <w:lang w:val="en-US" w:eastAsia="zh-CN"/>
              </w:rPr>
              <w:t>项目总价的</w:t>
            </w:r>
            <w:r>
              <w:rPr>
                <w:rFonts w:hint="eastAsia" w:eastAsia="仿宋_GB2312"/>
                <w:color w:val="auto"/>
                <w:sz w:val="24"/>
                <w:szCs w:val="24"/>
                <w:highlight w:val="none"/>
              </w:rPr>
              <w:t>30%；</w:t>
            </w:r>
          </w:p>
          <w:p w14:paraId="6D32BB04">
            <w:pPr>
              <w:keepNext w:val="0"/>
              <w:keepLines w:val="0"/>
              <w:pageBreakBefore w:val="0"/>
              <w:overflowPunct/>
              <w:topLinePunct w:val="0"/>
              <w:bidi w:val="0"/>
              <w:adjustRightInd w:val="0"/>
              <w:snapToGrid w:val="0"/>
              <w:spacing w:line="560" w:lineRule="exact"/>
              <w:ind w:firstLine="480" w:firstLineChars="200"/>
              <w:rPr>
                <w:rFonts w:hint="default" w:eastAsia="仿宋_GB2312"/>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eastAsia="仿宋_GB2312"/>
                <w:color w:val="auto"/>
                <w:sz w:val="24"/>
                <w:szCs w:val="24"/>
                <w:highlight w:val="none"/>
                <w:lang w:val="en-US" w:eastAsia="zh-CN"/>
              </w:rPr>
              <w:t>合同签订后30天内，中标人提交的成果仍无法通过政府部门成果初核的，采购人有权解除合同，不予支付合同款。</w:t>
            </w:r>
          </w:p>
          <w:p w14:paraId="3296B5DD">
            <w:pPr>
              <w:keepNext w:val="0"/>
              <w:keepLines w:val="0"/>
              <w:pageBreakBefore w:val="0"/>
              <w:overflowPunct/>
              <w:topLinePunct w:val="0"/>
              <w:bidi w:val="0"/>
              <w:adjustRightInd w:val="0"/>
              <w:snapToGrid w:val="0"/>
              <w:spacing w:line="560" w:lineRule="exact"/>
              <w:ind w:firstLine="480" w:firstLineChars="200"/>
              <w:outlineLvl w:val="1"/>
              <w:rPr>
                <w:rFonts w:hint="eastAsia" w:eastAsia="仿宋_GB2312"/>
                <w:color w:val="auto"/>
                <w:sz w:val="24"/>
                <w:szCs w:val="24"/>
                <w:highlight w:val="none"/>
              </w:rPr>
            </w:pPr>
            <w:r>
              <w:rPr>
                <w:rFonts w:hint="eastAsia" w:eastAsia="仿宋_GB2312"/>
                <w:color w:val="auto"/>
                <w:sz w:val="24"/>
                <w:szCs w:val="24"/>
                <w:highlight w:val="none"/>
              </w:rPr>
              <w:t>2、协助</w:t>
            </w:r>
            <w:r>
              <w:rPr>
                <w:rFonts w:hint="eastAsia" w:eastAsia="仿宋_GB2312"/>
                <w:color w:val="auto"/>
                <w:sz w:val="24"/>
                <w:szCs w:val="24"/>
                <w:highlight w:val="none"/>
                <w:lang w:val="en-US" w:eastAsia="zh-CN"/>
              </w:rPr>
              <w:t>采购人根据法律法规、《广东省自然资源厅关于加快解决国有建设用地上不动产登记若干历史遗留问题的指导意见》（粤自然资规字〔2025〕2 号）等政策文件理顺不动产登记问题并提出相应解决方案，协助采购人处理竣工验收备案问题。采购人</w:t>
            </w:r>
            <w:r>
              <w:rPr>
                <w:rFonts w:hint="eastAsia" w:eastAsia="仿宋_GB2312"/>
                <w:color w:val="auto"/>
                <w:sz w:val="24"/>
                <w:szCs w:val="24"/>
                <w:highlight w:val="none"/>
              </w:rPr>
              <w:t>取得本项目不动产权证后，支付</w:t>
            </w:r>
            <w:r>
              <w:rPr>
                <w:rFonts w:hint="eastAsia" w:eastAsia="仿宋_GB2312"/>
                <w:color w:val="auto"/>
                <w:sz w:val="24"/>
                <w:szCs w:val="24"/>
                <w:highlight w:val="none"/>
                <w:lang w:val="en-US" w:eastAsia="zh-CN"/>
              </w:rPr>
              <w:t>剩余项目总价的</w:t>
            </w:r>
            <w:r>
              <w:rPr>
                <w:rFonts w:hint="eastAsia" w:eastAsia="仿宋_GB2312"/>
                <w:color w:val="auto"/>
                <w:sz w:val="24"/>
                <w:szCs w:val="24"/>
                <w:highlight w:val="none"/>
              </w:rPr>
              <w:t>70%。</w:t>
            </w:r>
          </w:p>
          <w:p w14:paraId="739C6EF4">
            <w:pPr>
              <w:keepNext w:val="0"/>
              <w:keepLines w:val="0"/>
              <w:pageBreakBefore w:val="0"/>
              <w:overflowPunct/>
              <w:topLinePunct w:val="0"/>
              <w:bidi w:val="0"/>
              <w:spacing w:line="560" w:lineRule="exact"/>
              <w:ind w:firstLine="480" w:firstLineChars="200"/>
              <w:rPr>
                <w:rFonts w:hint="default"/>
                <w:color w:val="auto"/>
                <w:sz w:val="24"/>
                <w:szCs w:val="24"/>
                <w:highlight w:val="none"/>
                <w:lang w:val="en-US" w:eastAsia="zh-CN"/>
              </w:rPr>
            </w:pPr>
            <w:r>
              <w:rPr>
                <w:rFonts w:hint="eastAsia" w:ascii="宋体" w:hAnsi="宋体" w:eastAsia="宋体" w:cs="宋体"/>
                <w:color w:val="auto"/>
                <w:sz w:val="24"/>
                <w:szCs w:val="24"/>
                <w:highlight w:val="none"/>
              </w:rPr>
              <w:t>★</w:t>
            </w:r>
            <w:r>
              <w:rPr>
                <w:rFonts w:hint="eastAsia" w:eastAsia="仿宋_GB2312"/>
                <w:color w:val="auto"/>
                <w:sz w:val="24"/>
                <w:szCs w:val="24"/>
                <w:highlight w:val="none"/>
                <w:lang w:val="en-US" w:eastAsia="zh-CN"/>
              </w:rPr>
              <w:t>若中标人无法协助采购人取得不动产权证的，剩余项目总价的70%不予支付。</w:t>
            </w:r>
          </w:p>
          <w:p w14:paraId="4CF91644">
            <w:pPr>
              <w:pStyle w:val="11"/>
              <w:rPr>
                <w:rFonts w:hint="eastAsia"/>
                <w:color w:val="auto"/>
                <w:sz w:val="24"/>
                <w:szCs w:val="24"/>
                <w:highlight w:val="none"/>
              </w:rPr>
            </w:pPr>
          </w:p>
        </w:tc>
      </w:tr>
      <w:tr w14:paraId="4B88B3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24" w:hRule="atLeast"/>
        </w:trPr>
        <w:tc>
          <w:tcPr>
            <w:tcW w:w="1871" w:type="dxa"/>
            <w:vAlign w:val="center"/>
          </w:tcPr>
          <w:p w14:paraId="798917E9">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报价内容及要求</w:t>
            </w:r>
          </w:p>
        </w:tc>
        <w:tc>
          <w:tcPr>
            <w:tcW w:w="7328" w:type="dxa"/>
            <w:vAlign w:val="center"/>
          </w:tcPr>
          <w:p w14:paraId="65062210">
            <w:pPr>
              <w:keepNext w:val="0"/>
              <w:keepLines w:val="0"/>
              <w:pageBreakBefore w:val="0"/>
              <w:numPr>
                <w:ilvl w:val="0"/>
                <w:numId w:val="4"/>
              </w:numPr>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投标报价应包含工程施工费、运输费、人工费、保险费、各种税费、资料费、验收费、包括开挖及恢复</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lang w:val="en-US" w:eastAsia="zh-CN"/>
              </w:rPr>
              <w:t>简易泥土填补、墙面修补刷白</w:t>
            </w:r>
            <w:r>
              <w:rPr>
                <w:rFonts w:hint="eastAsia" w:ascii="方正仿宋_GB2312" w:hAnsi="方正仿宋_GB2312" w:eastAsia="方正仿宋_GB2312" w:cs="方正仿宋_GB2312"/>
                <w:color w:val="auto"/>
                <w:sz w:val="24"/>
                <w:szCs w:val="24"/>
                <w:highlight w:val="none"/>
                <w:lang w:eastAsia="zh-CN"/>
              </w:rPr>
              <w:t>）</w:t>
            </w:r>
            <w:r>
              <w:rPr>
                <w:rFonts w:hint="eastAsia" w:ascii="方正仿宋_GB2312" w:hAnsi="方正仿宋_GB2312" w:eastAsia="方正仿宋_GB2312" w:cs="方正仿宋_GB2312"/>
                <w:color w:val="auto"/>
                <w:sz w:val="24"/>
                <w:szCs w:val="24"/>
                <w:highlight w:val="none"/>
              </w:rPr>
              <w:t>费用、售后服务费及履行本项目所需的一切费用等, 响应人应充分考虑了本项目服务内容及要求描述工作量可能与最终实际工作量存在差距的风险，</w:t>
            </w:r>
            <w:r>
              <w:rPr>
                <w:rFonts w:hint="eastAsia" w:eastAsia="仿宋_GB2312"/>
                <w:color w:val="auto"/>
                <w:sz w:val="24"/>
                <w:szCs w:val="24"/>
                <w:highlight w:val="none"/>
                <w:u w:val="single"/>
                <w:lang w:eastAsia="zh-CN"/>
              </w:rPr>
              <w:t>，</w:t>
            </w:r>
            <w:r>
              <w:rPr>
                <w:rFonts w:hint="eastAsia" w:eastAsia="仿宋_GB2312"/>
                <w:color w:val="auto"/>
                <w:sz w:val="24"/>
                <w:szCs w:val="24"/>
                <w:highlight w:val="none"/>
                <w:u w:val="single"/>
                <w:lang w:val="en-US" w:eastAsia="zh-CN"/>
              </w:rPr>
              <w:t>充分考虑了采购人</w:t>
            </w:r>
            <w:r>
              <w:rPr>
                <w:rFonts w:hint="eastAsia" w:eastAsia="仿宋_GB2312"/>
                <w:color w:val="auto"/>
                <w:sz w:val="24"/>
                <w:szCs w:val="24"/>
                <w:highlight w:val="none"/>
                <w:lang w:val="en-US" w:eastAsia="zh-CN"/>
              </w:rPr>
              <w:t>办理不动产权证可能面临的法律、政策等风险，</w:t>
            </w:r>
            <w:r>
              <w:rPr>
                <w:rFonts w:hint="eastAsia" w:ascii="方正仿宋_GB2312" w:hAnsi="方正仿宋_GB2312" w:eastAsia="方正仿宋_GB2312" w:cs="方正仿宋_GB2312"/>
                <w:color w:val="auto"/>
                <w:sz w:val="24"/>
                <w:szCs w:val="24"/>
                <w:highlight w:val="none"/>
                <w:lang w:val="en-US" w:eastAsia="zh-CN"/>
              </w:rPr>
              <w:t>实施</w:t>
            </w:r>
            <w:r>
              <w:rPr>
                <w:rFonts w:hint="eastAsia" w:ascii="方正仿宋_GB2312" w:hAnsi="方正仿宋_GB2312" w:eastAsia="方正仿宋_GB2312" w:cs="方正仿宋_GB2312"/>
                <w:color w:val="auto"/>
                <w:sz w:val="24"/>
                <w:szCs w:val="24"/>
                <w:highlight w:val="none"/>
              </w:rPr>
              <w:t>过程中若非出现实质性变更，最终结算金额不作变更</w:t>
            </w:r>
            <w:r>
              <w:rPr>
                <w:rFonts w:hint="eastAsia" w:ascii="方正仿宋_GB2312" w:hAnsi="方正仿宋_GB2312" w:eastAsia="方正仿宋_GB2312" w:cs="方正仿宋_GB2312"/>
                <w:color w:val="auto"/>
                <w:sz w:val="24"/>
                <w:szCs w:val="24"/>
                <w:highlight w:val="none"/>
                <w:lang w:eastAsia="zh-CN"/>
              </w:rPr>
              <w:t>；</w:t>
            </w:r>
          </w:p>
          <w:p w14:paraId="1C0601D5">
            <w:pPr>
              <w:keepNext w:val="0"/>
              <w:keepLines w:val="0"/>
              <w:pageBreakBefore w:val="0"/>
              <w:numPr>
                <w:ilvl w:val="0"/>
                <w:numId w:val="0"/>
              </w:numPr>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w:t>
            </w:r>
            <w:r>
              <w:rPr>
                <w:rFonts w:hint="eastAsia" w:ascii="方正仿宋_GB2312" w:hAnsi="方正仿宋_GB2312" w:eastAsia="方正仿宋_GB2312" w:cs="方正仿宋_GB2312"/>
                <w:color w:val="auto"/>
                <w:sz w:val="24"/>
                <w:szCs w:val="24"/>
                <w:highlight w:val="none"/>
                <w:lang w:val="en-US" w:eastAsia="zh-CN"/>
              </w:rPr>
              <w:t>2、投标报价低于最高限价的50%需提供相关价格来源证明材料，格式自拟，若无相关价格证明材料报价做无效处理。</w:t>
            </w:r>
          </w:p>
        </w:tc>
      </w:tr>
      <w:tr w14:paraId="0D45C9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70" w:hRule="atLeast"/>
        </w:trPr>
        <w:tc>
          <w:tcPr>
            <w:tcW w:w="1871" w:type="dxa"/>
            <w:vAlign w:val="center"/>
          </w:tcPr>
          <w:p w14:paraId="46D9FAEE">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履约保证金</w:t>
            </w:r>
          </w:p>
        </w:tc>
        <w:tc>
          <w:tcPr>
            <w:tcW w:w="7328" w:type="dxa"/>
            <w:vAlign w:val="center"/>
          </w:tcPr>
          <w:p w14:paraId="6992F522">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谈判保证金金额：</w:t>
            </w:r>
            <w:r>
              <w:rPr>
                <w:rFonts w:hint="eastAsia" w:ascii="方正仿宋_GB2312" w:hAnsi="方正仿宋_GB2312" w:eastAsia="方正仿宋_GB2312" w:cs="方正仿宋_GB2312"/>
                <w:color w:val="auto"/>
                <w:sz w:val="24"/>
                <w:szCs w:val="24"/>
                <w:highlight w:val="none"/>
                <w:u w:val="single"/>
                <w:lang w:val="en-US" w:eastAsia="zh-CN"/>
              </w:rPr>
              <w:t>¥2000.00</w:t>
            </w:r>
            <w:r>
              <w:rPr>
                <w:rFonts w:hint="eastAsia" w:ascii="方正仿宋_GB2312" w:hAnsi="方正仿宋_GB2312" w:eastAsia="方正仿宋_GB2312" w:cs="方正仿宋_GB2312"/>
                <w:color w:val="auto"/>
                <w:sz w:val="24"/>
                <w:szCs w:val="24"/>
                <w:highlight w:val="none"/>
              </w:rPr>
              <w:t>元</w:t>
            </w:r>
          </w:p>
          <w:p w14:paraId="3617216A">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1.谈判保证金的形式：银行转账或电汇。</w:t>
            </w:r>
          </w:p>
          <w:p w14:paraId="08BD53AC">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2.响应文件中须提供谈判保证金缴纳凭证复印件。唱标同时将公开展示谈判保证金凭证。</w:t>
            </w:r>
          </w:p>
          <w:p w14:paraId="22F5354E">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3.谈判保证金有效期与谈判有效期一致。</w:t>
            </w:r>
          </w:p>
          <w:p w14:paraId="6BB1E949">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4.提交谈判保证金帐户信息：</w:t>
            </w:r>
          </w:p>
          <w:p w14:paraId="31199918">
            <w:pPr>
              <w:keepNext w:val="0"/>
              <w:keepLines w:val="0"/>
              <w:pageBreakBefore w:val="0"/>
              <w:tabs>
                <w:tab w:val="left" w:pos="567"/>
              </w:tabs>
              <w:wordWrap/>
              <w:overflowPunct/>
              <w:topLinePunct w:val="0"/>
              <w:bidi w:val="0"/>
              <w:spacing w:line="560" w:lineRule="exact"/>
              <w:jc w:val="both"/>
              <w:rPr>
                <w:rFonts w:hint="eastAsia" w:ascii="方正仿宋_GB2312" w:hAnsi="方正仿宋_GB2312" w:eastAsia="方正仿宋_GB2312" w:cs="方正仿宋_GB2312"/>
                <w:color w:val="auto"/>
                <w:kern w:val="2"/>
                <w:sz w:val="24"/>
                <w:szCs w:val="24"/>
                <w:highlight w:val="none"/>
                <w:lang w:val="zh-CN"/>
              </w:rPr>
            </w:pPr>
            <w:r>
              <w:rPr>
                <w:rFonts w:hint="eastAsia" w:ascii="方正仿宋_GB2312" w:hAnsi="方正仿宋_GB2312" w:eastAsia="方正仿宋_GB2312" w:cs="方正仿宋_GB2312"/>
                <w:color w:val="auto"/>
                <w:kern w:val="2"/>
                <w:sz w:val="24"/>
                <w:szCs w:val="24"/>
                <w:highlight w:val="none"/>
                <w:lang w:val="zh-CN"/>
              </w:rPr>
              <w:t xml:space="preserve">帐户名称： </w:t>
            </w:r>
            <w:r>
              <w:rPr>
                <w:rFonts w:hint="eastAsia" w:ascii="方正仿宋_GB2312" w:hAnsi="方正仿宋_GB2312" w:eastAsia="方正仿宋_GB2312" w:cs="方正仿宋_GB2312"/>
                <w:color w:val="auto"/>
                <w:kern w:val="2"/>
                <w:sz w:val="24"/>
                <w:szCs w:val="24"/>
                <w:highlight w:val="none"/>
                <w:u w:val="single"/>
              </w:rPr>
              <w:t>东莞迎宾馆酒店有限公司</w:t>
            </w:r>
            <w:r>
              <w:rPr>
                <w:rFonts w:hint="eastAsia" w:ascii="方正仿宋_GB2312" w:hAnsi="方正仿宋_GB2312" w:eastAsia="方正仿宋_GB2312" w:cs="方正仿宋_GB2312"/>
                <w:color w:val="auto"/>
                <w:kern w:val="2"/>
                <w:sz w:val="24"/>
                <w:szCs w:val="24"/>
                <w:highlight w:val="none"/>
                <w:lang w:val="zh-CN"/>
              </w:rPr>
              <w:t>；</w:t>
            </w:r>
          </w:p>
          <w:p w14:paraId="7381370E">
            <w:pPr>
              <w:keepNext w:val="0"/>
              <w:keepLines w:val="0"/>
              <w:pageBreakBefore w:val="0"/>
              <w:tabs>
                <w:tab w:val="left" w:pos="567"/>
              </w:tabs>
              <w:wordWrap/>
              <w:overflowPunct/>
              <w:topLinePunct w:val="0"/>
              <w:bidi w:val="0"/>
              <w:spacing w:line="560" w:lineRule="exact"/>
              <w:jc w:val="both"/>
              <w:rPr>
                <w:rFonts w:hint="eastAsia" w:ascii="方正仿宋_GB2312" w:hAnsi="方正仿宋_GB2312" w:eastAsia="方正仿宋_GB2312" w:cs="方正仿宋_GB2312"/>
                <w:color w:val="auto"/>
                <w:kern w:val="2"/>
                <w:sz w:val="24"/>
                <w:szCs w:val="24"/>
                <w:highlight w:val="none"/>
                <w:lang w:val="zh-CN"/>
              </w:rPr>
            </w:pPr>
            <w:r>
              <w:rPr>
                <w:rFonts w:hint="eastAsia" w:ascii="方正仿宋_GB2312" w:hAnsi="方正仿宋_GB2312" w:eastAsia="方正仿宋_GB2312" w:cs="方正仿宋_GB2312"/>
                <w:color w:val="auto"/>
                <w:kern w:val="2"/>
                <w:sz w:val="24"/>
                <w:szCs w:val="24"/>
                <w:highlight w:val="none"/>
                <w:lang w:val="zh-CN"/>
              </w:rPr>
              <w:t xml:space="preserve">开户银行： </w:t>
            </w:r>
            <w:r>
              <w:rPr>
                <w:rFonts w:hint="eastAsia" w:ascii="方正仿宋_GB2312" w:hAnsi="方正仿宋_GB2312" w:eastAsia="方正仿宋_GB2312" w:cs="方正仿宋_GB2312"/>
                <w:color w:val="auto"/>
                <w:kern w:val="2"/>
                <w:sz w:val="24"/>
                <w:szCs w:val="24"/>
                <w:highlight w:val="none"/>
                <w:u w:val="single"/>
              </w:rPr>
              <w:t>东莞银行东莞分行营业部</w:t>
            </w:r>
            <w:r>
              <w:rPr>
                <w:rFonts w:hint="eastAsia" w:ascii="方正仿宋_GB2312" w:hAnsi="方正仿宋_GB2312" w:eastAsia="方正仿宋_GB2312" w:cs="方正仿宋_GB2312"/>
                <w:color w:val="auto"/>
                <w:kern w:val="2"/>
                <w:sz w:val="24"/>
                <w:szCs w:val="24"/>
                <w:highlight w:val="none"/>
                <w:lang w:val="zh-CN"/>
              </w:rPr>
              <w:t>；</w:t>
            </w:r>
          </w:p>
          <w:p w14:paraId="73A1188F">
            <w:pPr>
              <w:keepNext w:val="0"/>
              <w:keepLines w:val="0"/>
              <w:pageBreakBefore w:val="0"/>
              <w:tabs>
                <w:tab w:val="left" w:pos="567"/>
              </w:tabs>
              <w:wordWrap/>
              <w:overflowPunct/>
              <w:topLinePunct w:val="0"/>
              <w:bidi w:val="0"/>
              <w:spacing w:line="560" w:lineRule="exact"/>
              <w:jc w:val="both"/>
              <w:rPr>
                <w:rFonts w:hint="eastAsia" w:ascii="方正仿宋_GB2312" w:hAnsi="方正仿宋_GB2312" w:eastAsia="方正仿宋_GB2312" w:cs="方正仿宋_GB2312"/>
                <w:color w:val="auto"/>
                <w:kern w:val="2"/>
                <w:sz w:val="24"/>
                <w:szCs w:val="24"/>
                <w:highlight w:val="none"/>
                <w:lang w:val="zh-CN"/>
              </w:rPr>
            </w:pPr>
            <w:r>
              <w:rPr>
                <w:rFonts w:hint="eastAsia" w:ascii="方正仿宋_GB2312" w:hAnsi="方正仿宋_GB2312" w:eastAsia="方正仿宋_GB2312" w:cs="方正仿宋_GB2312"/>
                <w:color w:val="auto"/>
                <w:kern w:val="2"/>
                <w:sz w:val="24"/>
                <w:szCs w:val="24"/>
                <w:highlight w:val="none"/>
                <w:lang w:val="zh-CN"/>
              </w:rPr>
              <w:t>银行帐号：</w:t>
            </w:r>
            <w:r>
              <w:rPr>
                <w:rFonts w:hint="eastAsia" w:ascii="方正仿宋_GB2312" w:hAnsi="方正仿宋_GB2312" w:eastAsia="方正仿宋_GB2312" w:cs="方正仿宋_GB2312"/>
                <w:color w:val="auto"/>
                <w:kern w:val="2"/>
                <w:sz w:val="24"/>
                <w:szCs w:val="24"/>
                <w:highlight w:val="none"/>
                <w:lang w:val="en-US" w:eastAsia="zh-CN"/>
              </w:rPr>
              <w:t xml:space="preserve"> </w:t>
            </w:r>
            <w:r>
              <w:rPr>
                <w:rFonts w:hint="eastAsia" w:ascii="方正仿宋_GB2312" w:hAnsi="方正仿宋_GB2312" w:eastAsia="方正仿宋_GB2312" w:cs="方正仿宋_GB2312"/>
                <w:color w:val="auto"/>
                <w:kern w:val="2"/>
                <w:sz w:val="24"/>
                <w:szCs w:val="24"/>
                <w:highlight w:val="none"/>
                <w:u w:val="single"/>
              </w:rPr>
              <w:t>540008801001488</w:t>
            </w:r>
            <w:r>
              <w:rPr>
                <w:rFonts w:hint="eastAsia" w:ascii="方正仿宋_GB2312" w:hAnsi="方正仿宋_GB2312" w:eastAsia="方正仿宋_GB2312" w:cs="方正仿宋_GB2312"/>
                <w:color w:val="auto"/>
                <w:kern w:val="2"/>
                <w:sz w:val="24"/>
                <w:szCs w:val="24"/>
                <w:highlight w:val="none"/>
                <w:lang w:val="zh-CN"/>
              </w:rPr>
              <w:t>；</w:t>
            </w:r>
          </w:p>
          <w:p w14:paraId="0D713DE6">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lang w:eastAsia="zh-CN"/>
              </w:rPr>
            </w:pPr>
            <w:r>
              <w:rPr>
                <w:rFonts w:hint="eastAsia" w:ascii="方正仿宋_GB2312" w:hAnsi="方正仿宋_GB2312" w:eastAsia="方正仿宋_GB2312" w:cs="方正仿宋_GB2312"/>
                <w:b/>
                <w:color w:val="auto"/>
                <w:sz w:val="24"/>
                <w:szCs w:val="24"/>
                <w:highlight w:val="none"/>
              </w:rPr>
              <w:t>（注：各响应人在转</w:t>
            </w:r>
            <w:r>
              <w:rPr>
                <w:rFonts w:hint="eastAsia" w:ascii="方正仿宋_GB2312" w:hAnsi="方正仿宋_GB2312" w:eastAsia="方正仿宋_GB2312" w:cs="方正仿宋_GB2312"/>
                <w:b/>
                <w:color w:val="auto"/>
                <w:sz w:val="24"/>
                <w:szCs w:val="24"/>
                <w:highlight w:val="none"/>
                <w:lang w:val="en-US" w:eastAsia="zh-CN"/>
              </w:rPr>
              <w:t>账</w:t>
            </w:r>
            <w:r>
              <w:rPr>
                <w:rFonts w:hint="eastAsia" w:ascii="方正仿宋_GB2312" w:hAnsi="方正仿宋_GB2312" w:eastAsia="方正仿宋_GB2312" w:cs="方正仿宋_GB2312"/>
                <w:b/>
                <w:color w:val="auto"/>
                <w:sz w:val="24"/>
                <w:szCs w:val="24"/>
                <w:highlight w:val="none"/>
              </w:rPr>
              <w:t>或电汇时须在用途栏上备注项目编号，及项目名称，如有字数限制项目名称可简写。）</w:t>
            </w:r>
          </w:p>
        </w:tc>
      </w:tr>
      <w:tr w14:paraId="09190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42" w:hRule="atLeast"/>
        </w:trPr>
        <w:tc>
          <w:tcPr>
            <w:tcW w:w="1871" w:type="dxa"/>
            <w:vAlign w:val="center"/>
          </w:tcPr>
          <w:p w14:paraId="07A1EEE9">
            <w:pPr>
              <w:pStyle w:val="63"/>
              <w:keepNext w:val="0"/>
              <w:keepLines w:val="0"/>
              <w:pageBreakBefore w:val="0"/>
              <w:wordWrap/>
              <w:overflowPunct/>
              <w:topLinePunct w:val="0"/>
              <w:bidi w:val="0"/>
              <w:spacing w:line="560" w:lineRule="exact"/>
              <w:ind w:left="0" w:firstLine="0" w:firstLineChars="0"/>
              <w:jc w:val="center"/>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其他</w:t>
            </w:r>
          </w:p>
        </w:tc>
        <w:tc>
          <w:tcPr>
            <w:tcW w:w="7328" w:type="dxa"/>
            <w:vAlign w:val="center"/>
          </w:tcPr>
          <w:p w14:paraId="701B5937">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eastAsia="仿宋_GB2312"/>
                <w:color w:val="auto"/>
                <w:sz w:val="24"/>
                <w:szCs w:val="24"/>
                <w:highlight w:val="none"/>
                <w:lang w:val="en-US" w:eastAsia="zh-CN"/>
              </w:rPr>
              <w:t>采购人开展本次采购活动的目的是办理不动产权证，若因中标人</w:t>
            </w:r>
            <w:r>
              <w:rPr>
                <w:rFonts w:hint="eastAsia" w:eastAsia="仿宋_GB2312"/>
                <w:color w:val="auto"/>
                <w:sz w:val="24"/>
                <w:szCs w:val="24"/>
                <w:highlight w:val="none"/>
              </w:rPr>
              <w:t>提交的</w:t>
            </w:r>
            <w:r>
              <w:rPr>
                <w:rFonts w:hint="eastAsia" w:eastAsia="仿宋_GB2312"/>
                <w:color w:val="auto"/>
                <w:sz w:val="24"/>
                <w:szCs w:val="24"/>
                <w:highlight w:val="none"/>
                <w:lang w:val="en-US" w:eastAsia="zh-CN"/>
              </w:rPr>
              <w:t>工作</w:t>
            </w:r>
            <w:r>
              <w:rPr>
                <w:rFonts w:hint="eastAsia" w:eastAsia="仿宋_GB2312"/>
                <w:color w:val="auto"/>
                <w:sz w:val="24"/>
                <w:szCs w:val="24"/>
                <w:highlight w:val="none"/>
              </w:rPr>
              <w:t>成果存在质量问题（包括但不限于数据错误、格式不符、不符合相关政策法规等）导致政府主管部门不予受理、要求补正或无法通过审核，</w:t>
            </w:r>
            <w:r>
              <w:rPr>
                <w:rFonts w:hint="eastAsia" w:eastAsia="仿宋_GB2312"/>
                <w:color w:val="auto"/>
                <w:sz w:val="24"/>
                <w:szCs w:val="24"/>
                <w:highlight w:val="none"/>
                <w:lang w:val="en-US" w:eastAsia="zh-CN"/>
              </w:rPr>
              <w:t>中标人</w:t>
            </w:r>
            <w:r>
              <w:rPr>
                <w:rFonts w:hint="eastAsia" w:eastAsia="仿宋_GB2312"/>
                <w:color w:val="auto"/>
                <w:sz w:val="24"/>
                <w:szCs w:val="24"/>
                <w:highlight w:val="none"/>
              </w:rPr>
              <w:t>应在采购人通知后5日内无偿完成修改并重新提交</w:t>
            </w:r>
            <w:r>
              <w:rPr>
                <w:rFonts w:hint="eastAsia" w:eastAsia="仿宋_GB2312"/>
                <w:color w:val="auto"/>
                <w:sz w:val="24"/>
                <w:szCs w:val="24"/>
                <w:highlight w:val="none"/>
                <w:lang w:val="en-US" w:eastAsia="zh-CN"/>
              </w:rPr>
              <w:t>。若某中标人无法按招采文件要求向采购人提交相应问题的有效解决方案，则剩余项目总价的</w:t>
            </w:r>
            <w:r>
              <w:rPr>
                <w:rFonts w:hint="eastAsia" w:eastAsia="仿宋_GB2312"/>
                <w:color w:val="auto"/>
                <w:sz w:val="24"/>
                <w:szCs w:val="24"/>
                <w:highlight w:val="none"/>
              </w:rPr>
              <w:t>70%</w:t>
            </w:r>
            <w:r>
              <w:rPr>
                <w:rFonts w:hint="eastAsia" w:eastAsia="仿宋_GB2312"/>
                <w:color w:val="auto"/>
                <w:sz w:val="24"/>
                <w:szCs w:val="24"/>
                <w:highlight w:val="none"/>
                <w:lang w:val="en-US" w:eastAsia="zh-CN"/>
              </w:rPr>
              <w:t>不再支付。</w:t>
            </w:r>
          </w:p>
        </w:tc>
      </w:tr>
    </w:tbl>
    <w:p w14:paraId="0DFA70AB">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b/>
          <w:bCs/>
          <w:color w:val="auto"/>
          <w:sz w:val="24"/>
          <w:szCs w:val="24"/>
          <w:highlight w:val="none"/>
        </w:rPr>
      </w:pPr>
      <w:r>
        <w:rPr>
          <w:rFonts w:hint="eastAsia" w:ascii="方正仿宋_GB2312" w:hAnsi="方正仿宋_GB2312" w:eastAsia="方正仿宋_GB2312" w:cs="方正仿宋_GB2312"/>
          <w:b/>
          <w:bCs/>
          <w:color w:val="auto"/>
          <w:sz w:val="24"/>
          <w:szCs w:val="24"/>
          <w:highlight w:val="none"/>
          <w:lang w:val="en-US" w:eastAsia="zh-CN"/>
        </w:rPr>
        <w:t>三、</w:t>
      </w:r>
      <w:r>
        <w:rPr>
          <w:rFonts w:hint="eastAsia" w:ascii="方正仿宋_GB2312" w:hAnsi="方正仿宋_GB2312" w:eastAsia="方正仿宋_GB2312" w:cs="方正仿宋_GB2312"/>
          <w:b/>
          <w:bCs/>
          <w:color w:val="auto"/>
          <w:sz w:val="24"/>
          <w:szCs w:val="24"/>
          <w:highlight w:val="none"/>
        </w:rPr>
        <w:t>技术标准与要求</w:t>
      </w:r>
    </w:p>
    <w:tbl>
      <w:tblPr>
        <w:tblStyle w:val="23"/>
        <w:tblW w:w="9371" w:type="dxa"/>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fixed"/>
        <w:tblCellMar>
          <w:top w:w="0" w:type="dxa"/>
          <w:left w:w="108" w:type="dxa"/>
          <w:bottom w:w="0" w:type="dxa"/>
          <w:right w:w="108" w:type="dxa"/>
        </w:tblCellMar>
      </w:tblPr>
      <w:tblGrid>
        <w:gridCol w:w="1111"/>
        <w:gridCol w:w="923"/>
        <w:gridCol w:w="7337"/>
      </w:tblGrid>
      <w:tr w14:paraId="2E297C1A">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14:paraId="02421D83">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参数性质</w:t>
            </w:r>
          </w:p>
        </w:tc>
        <w:tc>
          <w:tcPr>
            <w:tcW w:w="923" w:type="dxa"/>
          </w:tcPr>
          <w:p w14:paraId="0633475D">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序号</w:t>
            </w:r>
          </w:p>
        </w:tc>
        <w:tc>
          <w:tcPr>
            <w:tcW w:w="7337" w:type="dxa"/>
          </w:tcPr>
          <w:p w14:paraId="52B3B7FB">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具体技术(参数)要求</w:t>
            </w:r>
          </w:p>
        </w:tc>
      </w:tr>
      <w:tr w14:paraId="2756152C">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rPr>
          <w:trHeight w:val="1400" w:hRule="atLeast"/>
        </w:trPr>
        <w:tc>
          <w:tcPr>
            <w:tcW w:w="1111" w:type="dxa"/>
          </w:tcPr>
          <w:p w14:paraId="1490CC9D">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p>
        </w:tc>
        <w:tc>
          <w:tcPr>
            <w:tcW w:w="923" w:type="dxa"/>
          </w:tcPr>
          <w:p w14:paraId="7826C1C1">
            <w:pPr>
              <w:keepNext w:val="0"/>
              <w:keepLines w:val="0"/>
              <w:pageBreakBefore w:val="0"/>
              <w:wordWrap/>
              <w:overflowPunct/>
              <w:topLinePunct w:val="0"/>
              <w:bidi w:val="0"/>
              <w:spacing w:line="560" w:lineRule="exact"/>
              <w:rPr>
                <w:rFonts w:hint="default"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房屋结构安全鉴定项目</w:t>
            </w:r>
          </w:p>
        </w:tc>
        <w:tc>
          <w:tcPr>
            <w:tcW w:w="7337" w:type="dxa"/>
          </w:tcPr>
          <w:p w14:paraId="0A289232">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房屋安全鉴定执行标准（主要技术规程规范</w:t>
            </w:r>
            <w:r>
              <w:rPr>
                <w:rFonts w:hint="eastAsia" w:ascii="方正仿宋_GB2312" w:hAnsi="方正仿宋_GB2312" w:eastAsia="方正仿宋_GB2312" w:cs="方正仿宋_GB2312"/>
                <w:color w:val="auto"/>
                <w:kern w:val="2"/>
                <w:sz w:val="24"/>
                <w:szCs w:val="24"/>
                <w:highlight w:val="none"/>
                <w:lang w:val="en-US" w:eastAsia="zh-CN" w:bidi="ar-SA"/>
              </w:rPr>
              <w:t>，</w:t>
            </w:r>
            <w:r>
              <w:rPr>
                <w:rFonts w:hint="default" w:ascii="方正仿宋_GB2312" w:hAnsi="方正仿宋_GB2312" w:eastAsia="方正仿宋_GB2312" w:cs="方正仿宋_GB2312"/>
                <w:color w:val="auto"/>
                <w:kern w:val="2"/>
                <w:sz w:val="24"/>
                <w:szCs w:val="24"/>
                <w:highlight w:val="none"/>
                <w:lang w:val="en-US" w:eastAsia="zh-CN" w:bidi="ar-SA"/>
              </w:rPr>
              <w:t>包括但不限于）</w:t>
            </w:r>
            <w:r>
              <w:rPr>
                <w:rFonts w:hint="eastAsia" w:ascii="方正仿宋_GB2312" w:hAnsi="方正仿宋_GB2312" w:eastAsia="方正仿宋_GB2312" w:cs="方正仿宋_GB2312"/>
                <w:color w:val="auto"/>
                <w:kern w:val="2"/>
                <w:sz w:val="24"/>
                <w:szCs w:val="24"/>
                <w:highlight w:val="none"/>
                <w:lang w:val="en-US" w:eastAsia="zh-CN" w:bidi="ar-SA"/>
              </w:rPr>
              <w:t>：</w:t>
            </w:r>
          </w:p>
          <w:p w14:paraId="20D5781A">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2.1《民用建筑可靠性鉴定标准》GB50292－2015</w:t>
            </w:r>
          </w:p>
          <w:p w14:paraId="7C5A9387">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2.2《房屋完损等级评定标准》（城住字[84]第678号）</w:t>
            </w:r>
          </w:p>
          <w:p w14:paraId="5F5E2349">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2.3《危险房屋鉴定标准》JGJ 125－2016</w:t>
            </w:r>
          </w:p>
          <w:p w14:paraId="2F18C515">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2.4《混凝土结构设计规范》GB 50010－2010</w:t>
            </w:r>
          </w:p>
          <w:p w14:paraId="6E7FF43E">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2.5《既有建筑鉴定与加固通用规范》GB55021-2021</w:t>
            </w:r>
          </w:p>
          <w:p w14:paraId="42A4D8EE">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2.6《建筑结构检测技术标准》GB/T50344-2019</w:t>
            </w:r>
          </w:p>
          <w:p w14:paraId="18CBF094">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2.7《混凝土中钢筋检测技术标准》JGJ/T 152-2019</w:t>
            </w:r>
          </w:p>
          <w:p w14:paraId="4AB1FB9F">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2.8《钻芯法检测混凝土强度技术规程》JGJ/T384—2016</w:t>
            </w:r>
          </w:p>
          <w:p w14:paraId="06B647C3">
            <w:pPr>
              <w:pStyle w:val="2"/>
              <w:rPr>
                <w:rFonts w:hint="default" w:ascii="方正仿宋_GB2312" w:hAnsi="方正仿宋_GB2312" w:eastAsia="方正仿宋_GB2312" w:cs="方正仿宋_GB2312"/>
                <w:color w:val="auto"/>
                <w:kern w:val="2"/>
                <w:sz w:val="24"/>
                <w:szCs w:val="24"/>
                <w:highlight w:val="none"/>
                <w:lang w:val="en-US" w:eastAsia="zh-CN" w:bidi="ar-SA"/>
              </w:rPr>
            </w:pPr>
            <w:r>
              <w:rPr>
                <w:rFonts w:hint="default" w:ascii="方正仿宋_GB2312" w:hAnsi="方正仿宋_GB2312" w:eastAsia="方正仿宋_GB2312" w:cs="方正仿宋_GB2312"/>
                <w:color w:val="auto"/>
                <w:kern w:val="2"/>
                <w:sz w:val="24"/>
                <w:szCs w:val="24"/>
                <w:highlight w:val="none"/>
                <w:lang w:val="en-US" w:eastAsia="zh-CN" w:bidi="ar-SA"/>
              </w:rPr>
              <w:t>2.9《建筑抗震鉴定标准》GB 50023－2009</w:t>
            </w:r>
            <w:bookmarkStart w:id="14" w:name="_GoBack"/>
            <w:bookmarkEnd w:id="14"/>
          </w:p>
          <w:p w14:paraId="73FEB344">
            <w:pPr>
              <w:pStyle w:val="2"/>
              <w:rPr>
                <w:rFonts w:hint="default"/>
                <w:color w:val="auto"/>
                <w:sz w:val="24"/>
                <w:szCs w:val="24"/>
                <w:highlight w:val="none"/>
                <w:lang w:val="en-US" w:eastAsia="zh-CN"/>
              </w:rPr>
            </w:pPr>
            <w:r>
              <w:rPr>
                <w:rFonts w:hint="default" w:ascii="方正仿宋_GB2312" w:hAnsi="方正仿宋_GB2312" w:eastAsia="方正仿宋_GB2312" w:cs="方正仿宋_GB2312"/>
                <w:color w:val="auto"/>
                <w:kern w:val="2"/>
                <w:sz w:val="24"/>
                <w:szCs w:val="24"/>
                <w:highlight w:val="none"/>
                <w:lang w:val="en-US" w:eastAsia="zh-CN" w:bidi="ar-SA"/>
              </w:rPr>
              <w:t>2.10国家2000系列结构设计规范</w:t>
            </w:r>
          </w:p>
        </w:tc>
      </w:tr>
      <w:tr w14:paraId="1F94FBA6">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1111" w:type="dxa"/>
          </w:tcPr>
          <w:p w14:paraId="351D80F3">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说明</w:t>
            </w:r>
          </w:p>
        </w:tc>
        <w:tc>
          <w:tcPr>
            <w:tcW w:w="8260" w:type="dxa"/>
            <w:gridSpan w:val="2"/>
          </w:tcPr>
          <w:p w14:paraId="0E56805C">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打“★”号条款为实质性条款，若有任何一条负偏离或不满足则导致投标（响应）无效。</w:t>
            </w:r>
          </w:p>
          <w:p w14:paraId="6C2CD5E6">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打“▲”号条款为重要技术参数（如有），若有部分“▲”条款未响应或不满足，将根据评审要求影响其得分，但不作为无效投标（响应）条款。</w:t>
            </w:r>
          </w:p>
        </w:tc>
      </w:tr>
      <w:bookmarkEnd w:id="2"/>
      <w:bookmarkEnd w:id="5"/>
    </w:tbl>
    <w:p w14:paraId="73915B8F">
      <w:pPr>
        <w:keepNext w:val="0"/>
        <w:keepLines w:val="0"/>
        <w:pageBreakBefore w:val="0"/>
        <w:numPr>
          <w:ilvl w:val="0"/>
          <w:numId w:val="0"/>
        </w:numPr>
        <w:wordWrap/>
        <w:overflowPunct/>
        <w:topLinePunct w:val="0"/>
        <w:bidi w:val="0"/>
        <w:spacing w:line="560" w:lineRule="exact"/>
        <w:textAlignment w:val="bottom"/>
        <w:rPr>
          <w:rFonts w:hint="eastAsia" w:ascii="方正仿宋_GB2312" w:hAnsi="方正仿宋_GB2312" w:eastAsia="方正仿宋_GB2312" w:cs="方正仿宋_GB2312"/>
          <w:b/>
          <w:bCs/>
          <w:color w:val="auto"/>
          <w:sz w:val="28"/>
          <w:szCs w:val="28"/>
          <w:highlight w:val="none"/>
        </w:rPr>
      </w:pPr>
      <w:r>
        <w:rPr>
          <w:rFonts w:hint="eastAsia" w:ascii="方正仿宋_GB2312" w:hAnsi="方正仿宋_GB2312" w:eastAsia="方正仿宋_GB2312" w:cs="方正仿宋_GB2312"/>
          <w:b/>
          <w:bCs/>
          <w:color w:val="auto"/>
          <w:sz w:val="28"/>
          <w:szCs w:val="28"/>
          <w:highlight w:val="none"/>
          <w:lang w:val="en-US" w:eastAsia="zh-CN"/>
        </w:rPr>
        <w:t>四、需求</w:t>
      </w:r>
      <w:r>
        <w:rPr>
          <w:rFonts w:hint="eastAsia" w:ascii="方正仿宋_GB2312" w:hAnsi="方正仿宋_GB2312" w:eastAsia="方正仿宋_GB2312" w:cs="方正仿宋_GB2312"/>
          <w:b/>
          <w:bCs/>
          <w:color w:val="auto"/>
          <w:sz w:val="28"/>
          <w:szCs w:val="28"/>
          <w:highlight w:val="none"/>
        </w:rPr>
        <w:t>清单</w:t>
      </w:r>
    </w:p>
    <w:p w14:paraId="6E791502">
      <w:pPr>
        <w:keepNext w:val="0"/>
        <w:keepLines w:val="0"/>
        <w:pageBreakBefore w:val="0"/>
        <w:wordWrap/>
        <w:overflowPunct/>
        <w:topLinePunct w:val="0"/>
        <w:bidi w:val="0"/>
        <w:spacing w:line="560" w:lineRule="exact"/>
        <w:rPr>
          <w:rFonts w:hint="eastAsia" w:ascii="方正仿宋_GB2312" w:hAnsi="方正仿宋_GB2312" w:eastAsia="方正仿宋_GB2312" w:cs="方正仿宋_GB2312"/>
          <w:b/>
          <w:bCs/>
          <w:color w:val="auto"/>
          <w:sz w:val="28"/>
          <w:szCs w:val="28"/>
          <w:highlight w:val="none"/>
        </w:rPr>
      </w:pPr>
      <w:r>
        <w:rPr>
          <w:rFonts w:hint="eastAsia" w:ascii="方正仿宋_GB2312" w:hAnsi="方正仿宋_GB2312" w:eastAsia="方正仿宋_GB2312" w:cs="方正仿宋_GB2312"/>
          <w:b/>
          <w:bCs/>
          <w:color w:val="auto"/>
          <w:sz w:val="28"/>
          <w:szCs w:val="28"/>
          <w:highlight w:val="none"/>
        </w:rPr>
        <w:t>注：响应人应在《投标分明细报价表》中清晰列明“</w:t>
      </w:r>
      <w:r>
        <w:rPr>
          <w:rFonts w:hint="eastAsia" w:ascii="方正仿宋_GB2312" w:hAnsi="方正仿宋_GB2312" w:eastAsia="方正仿宋_GB2312" w:cs="方正仿宋_GB2312"/>
          <w:b/>
          <w:bCs/>
          <w:color w:val="auto"/>
          <w:sz w:val="28"/>
          <w:szCs w:val="28"/>
          <w:highlight w:val="none"/>
          <w:lang w:val="en-US" w:eastAsia="zh-CN"/>
        </w:rPr>
        <w:t>服务类型</w:t>
      </w:r>
      <w:r>
        <w:rPr>
          <w:rFonts w:hint="eastAsia" w:ascii="方正仿宋_GB2312" w:hAnsi="方正仿宋_GB2312" w:eastAsia="方正仿宋_GB2312" w:cs="方正仿宋_GB2312"/>
          <w:b/>
          <w:bCs/>
          <w:color w:val="auto"/>
          <w:sz w:val="28"/>
          <w:szCs w:val="28"/>
          <w:highlight w:val="none"/>
        </w:rPr>
        <w:t>、</w:t>
      </w:r>
      <w:r>
        <w:rPr>
          <w:rFonts w:hint="eastAsia" w:ascii="方正仿宋_GB2312" w:hAnsi="方正仿宋_GB2312" w:eastAsia="方正仿宋_GB2312" w:cs="方正仿宋_GB2312"/>
          <w:b/>
          <w:bCs/>
          <w:color w:val="auto"/>
          <w:sz w:val="28"/>
          <w:szCs w:val="28"/>
          <w:highlight w:val="none"/>
          <w:lang w:val="en-US" w:eastAsia="zh-CN"/>
        </w:rPr>
        <w:t>面积</w:t>
      </w:r>
      <w:r>
        <w:rPr>
          <w:rFonts w:hint="eastAsia" w:ascii="方正仿宋_GB2312" w:hAnsi="方正仿宋_GB2312" w:eastAsia="方正仿宋_GB2312" w:cs="方正仿宋_GB2312"/>
          <w:b/>
          <w:bCs/>
          <w:color w:val="auto"/>
          <w:sz w:val="28"/>
          <w:szCs w:val="28"/>
          <w:highlight w:val="none"/>
        </w:rPr>
        <w:t>、单价</w:t>
      </w:r>
      <w:r>
        <w:rPr>
          <w:rFonts w:hint="eastAsia" w:ascii="方正仿宋_GB2312" w:hAnsi="方正仿宋_GB2312" w:eastAsia="方正仿宋_GB2312" w:cs="方正仿宋_GB2312"/>
          <w:b/>
          <w:bCs/>
          <w:color w:val="auto"/>
          <w:sz w:val="28"/>
          <w:szCs w:val="28"/>
          <w:highlight w:val="none"/>
          <w:lang w:eastAsia="zh-CN"/>
        </w:rPr>
        <w:t>、</w:t>
      </w:r>
      <w:r>
        <w:rPr>
          <w:rFonts w:hint="eastAsia" w:ascii="方正仿宋_GB2312" w:hAnsi="方正仿宋_GB2312" w:eastAsia="方正仿宋_GB2312" w:cs="方正仿宋_GB2312"/>
          <w:b/>
          <w:bCs/>
          <w:color w:val="auto"/>
          <w:sz w:val="28"/>
          <w:szCs w:val="28"/>
          <w:highlight w:val="none"/>
          <w:lang w:val="en-US" w:eastAsia="zh-CN"/>
        </w:rPr>
        <w:t>总价</w:t>
      </w:r>
      <w:r>
        <w:rPr>
          <w:rFonts w:hint="eastAsia" w:ascii="方正仿宋_GB2312" w:hAnsi="方正仿宋_GB2312" w:eastAsia="方正仿宋_GB2312" w:cs="方正仿宋_GB2312"/>
          <w:b/>
          <w:bCs/>
          <w:color w:val="auto"/>
          <w:sz w:val="28"/>
          <w:szCs w:val="28"/>
          <w:highlight w:val="none"/>
        </w:rPr>
        <w:t>”</w:t>
      </w:r>
      <w:r>
        <w:rPr>
          <w:rFonts w:hint="eastAsia" w:ascii="方正仿宋_GB2312" w:hAnsi="方正仿宋_GB2312" w:eastAsia="方正仿宋_GB2312" w:cs="方正仿宋_GB2312"/>
          <w:b/>
          <w:bCs/>
          <w:color w:val="auto"/>
          <w:sz w:val="28"/>
          <w:szCs w:val="28"/>
          <w:highlight w:val="none"/>
          <w:lang w:val="en-US" w:eastAsia="zh-CN"/>
        </w:rPr>
        <w:t>等</w:t>
      </w:r>
      <w:r>
        <w:rPr>
          <w:rFonts w:hint="eastAsia" w:ascii="方正仿宋_GB2312" w:hAnsi="方正仿宋_GB2312" w:eastAsia="方正仿宋_GB2312" w:cs="方正仿宋_GB2312"/>
          <w:b/>
          <w:bCs/>
          <w:color w:val="auto"/>
          <w:sz w:val="28"/>
          <w:szCs w:val="28"/>
          <w:highlight w:val="none"/>
        </w:rPr>
        <w:t>。</w:t>
      </w:r>
    </w:p>
    <w:tbl>
      <w:tblPr>
        <w:tblStyle w:val="23"/>
        <w:tblW w:w="9241" w:type="dxa"/>
        <w:tblInd w:w="113" w:type="dxa"/>
        <w:tblLayout w:type="fixed"/>
        <w:tblCellMar>
          <w:top w:w="0" w:type="dxa"/>
          <w:left w:w="108" w:type="dxa"/>
          <w:bottom w:w="0" w:type="dxa"/>
          <w:right w:w="108" w:type="dxa"/>
        </w:tblCellMar>
      </w:tblPr>
      <w:tblGrid>
        <w:gridCol w:w="663"/>
        <w:gridCol w:w="1478"/>
        <w:gridCol w:w="3755"/>
        <w:gridCol w:w="1185"/>
        <w:gridCol w:w="1200"/>
        <w:gridCol w:w="960"/>
      </w:tblGrid>
      <w:tr w14:paraId="61A05BBF">
        <w:tblPrEx>
          <w:tblCellMar>
            <w:top w:w="0" w:type="dxa"/>
            <w:left w:w="108" w:type="dxa"/>
            <w:bottom w:w="0" w:type="dxa"/>
            <w:right w:w="108" w:type="dxa"/>
          </w:tblCellMar>
        </w:tblPrEx>
        <w:trPr>
          <w:trHeight w:val="750" w:hRule="atLeast"/>
        </w:trPr>
        <w:tc>
          <w:tcPr>
            <w:tcW w:w="663" w:type="dxa"/>
            <w:tcBorders>
              <w:top w:val="single" w:color="auto" w:sz="4" w:space="0"/>
              <w:left w:val="single" w:color="auto" w:sz="4" w:space="0"/>
              <w:bottom w:val="single" w:color="auto" w:sz="4" w:space="0"/>
              <w:right w:val="single" w:color="auto" w:sz="4" w:space="0"/>
            </w:tcBorders>
            <w:noWrap w:val="0"/>
            <w:vAlign w:val="center"/>
          </w:tcPr>
          <w:p w14:paraId="796B14FC">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4"/>
                <w:szCs w:val="24"/>
                <w:highlight w:val="none"/>
              </w:rPr>
            </w:pPr>
            <w:r>
              <w:rPr>
                <w:rFonts w:hint="eastAsia" w:ascii="方正仿宋_GB2312" w:hAnsi="方正仿宋_GB2312" w:eastAsia="方正仿宋_GB2312" w:cs="方正仿宋_GB2312"/>
                <w:b/>
                <w:bCs/>
                <w:color w:val="auto"/>
                <w:kern w:val="0"/>
                <w:sz w:val="24"/>
                <w:szCs w:val="24"/>
                <w:highlight w:val="none"/>
              </w:rPr>
              <w:t>序号</w:t>
            </w:r>
          </w:p>
        </w:tc>
        <w:tc>
          <w:tcPr>
            <w:tcW w:w="1478" w:type="dxa"/>
            <w:tcBorders>
              <w:top w:val="single" w:color="auto" w:sz="4" w:space="0"/>
              <w:left w:val="nil"/>
              <w:bottom w:val="single" w:color="auto" w:sz="4" w:space="0"/>
              <w:right w:val="single" w:color="auto" w:sz="4" w:space="0"/>
            </w:tcBorders>
            <w:noWrap w:val="0"/>
            <w:vAlign w:val="center"/>
          </w:tcPr>
          <w:p w14:paraId="770AF6E3">
            <w:pPr>
              <w:keepNext w:val="0"/>
              <w:keepLines w:val="0"/>
              <w:pageBreakBefore w:val="0"/>
              <w:widowControl/>
              <w:wordWrap/>
              <w:overflowPunct/>
              <w:topLinePunct w:val="0"/>
              <w:bidi w:val="0"/>
              <w:spacing w:line="560" w:lineRule="exact"/>
              <w:jc w:val="center"/>
              <w:rPr>
                <w:rFonts w:hint="default" w:ascii="方正仿宋_GB2312" w:hAnsi="方正仿宋_GB2312" w:eastAsia="方正仿宋_GB2312" w:cs="方正仿宋_GB2312"/>
                <w:b/>
                <w:bCs/>
                <w:color w:val="auto"/>
                <w:kern w:val="0"/>
                <w:sz w:val="24"/>
                <w:szCs w:val="24"/>
                <w:highlight w:val="none"/>
                <w:lang w:val="en-US"/>
              </w:rPr>
            </w:pPr>
            <w:r>
              <w:rPr>
                <w:rFonts w:hint="eastAsia" w:ascii="方正仿宋_GB2312" w:hAnsi="方正仿宋_GB2312" w:eastAsia="方正仿宋_GB2312" w:cs="方正仿宋_GB2312"/>
                <w:b/>
                <w:bCs/>
                <w:color w:val="auto"/>
                <w:kern w:val="0"/>
                <w:sz w:val="24"/>
                <w:szCs w:val="24"/>
                <w:highlight w:val="none"/>
                <w:lang w:val="en-US" w:eastAsia="zh-CN"/>
              </w:rPr>
              <w:t>服务类型</w:t>
            </w:r>
          </w:p>
        </w:tc>
        <w:tc>
          <w:tcPr>
            <w:tcW w:w="3755" w:type="dxa"/>
            <w:tcBorders>
              <w:top w:val="single" w:color="auto" w:sz="4" w:space="0"/>
              <w:left w:val="nil"/>
              <w:bottom w:val="single" w:color="auto" w:sz="4" w:space="0"/>
              <w:right w:val="single" w:color="auto" w:sz="4" w:space="0"/>
            </w:tcBorders>
            <w:noWrap w:val="0"/>
            <w:vAlign w:val="center"/>
          </w:tcPr>
          <w:p w14:paraId="5606CD77">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4"/>
                <w:szCs w:val="24"/>
                <w:highlight w:val="none"/>
              </w:rPr>
            </w:pPr>
            <w:r>
              <w:rPr>
                <w:rFonts w:hint="eastAsia" w:ascii="方正仿宋_GB2312" w:hAnsi="方正仿宋_GB2312" w:eastAsia="方正仿宋_GB2312" w:cs="方正仿宋_GB2312"/>
                <w:b/>
                <w:bCs/>
                <w:color w:val="auto"/>
                <w:kern w:val="0"/>
                <w:sz w:val="24"/>
                <w:szCs w:val="24"/>
                <w:highlight w:val="none"/>
              </w:rPr>
              <w:t>参数描述</w:t>
            </w:r>
          </w:p>
        </w:tc>
        <w:tc>
          <w:tcPr>
            <w:tcW w:w="1185" w:type="dxa"/>
            <w:tcBorders>
              <w:top w:val="single" w:color="auto" w:sz="4" w:space="0"/>
              <w:left w:val="nil"/>
              <w:bottom w:val="single" w:color="auto" w:sz="4" w:space="0"/>
              <w:right w:val="single" w:color="auto" w:sz="4" w:space="0"/>
            </w:tcBorders>
            <w:noWrap w:val="0"/>
            <w:vAlign w:val="center"/>
          </w:tcPr>
          <w:p w14:paraId="09D65874">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4"/>
                <w:szCs w:val="24"/>
                <w:highlight w:val="none"/>
                <w:lang w:val="en-US" w:eastAsia="zh-CN" w:bidi="ar-SA"/>
              </w:rPr>
            </w:pPr>
            <w:r>
              <w:rPr>
                <w:rFonts w:hint="eastAsia" w:ascii="方正仿宋_GB2312" w:hAnsi="方正仿宋_GB2312" w:eastAsia="方正仿宋_GB2312" w:cs="方正仿宋_GB2312"/>
                <w:b/>
                <w:bCs/>
                <w:color w:val="auto"/>
                <w:kern w:val="0"/>
                <w:sz w:val="24"/>
                <w:szCs w:val="24"/>
                <w:highlight w:val="none"/>
              </w:rPr>
              <w:t>单位</w:t>
            </w:r>
          </w:p>
        </w:tc>
        <w:tc>
          <w:tcPr>
            <w:tcW w:w="1200" w:type="dxa"/>
            <w:tcBorders>
              <w:top w:val="single" w:color="auto" w:sz="4" w:space="0"/>
              <w:left w:val="nil"/>
              <w:bottom w:val="single" w:color="auto" w:sz="4" w:space="0"/>
              <w:right w:val="single" w:color="auto" w:sz="4" w:space="0"/>
            </w:tcBorders>
            <w:noWrap w:val="0"/>
            <w:vAlign w:val="center"/>
          </w:tcPr>
          <w:p w14:paraId="07CC31DB">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4"/>
                <w:szCs w:val="24"/>
                <w:highlight w:val="none"/>
                <w:lang w:eastAsia="zh-CN"/>
              </w:rPr>
            </w:pPr>
            <w:r>
              <w:rPr>
                <w:rFonts w:hint="eastAsia" w:ascii="方正仿宋_GB2312" w:hAnsi="方正仿宋_GB2312" w:eastAsia="方正仿宋_GB2312" w:cs="方正仿宋_GB2312"/>
                <w:b/>
                <w:bCs/>
                <w:color w:val="auto"/>
                <w:kern w:val="0"/>
                <w:sz w:val="24"/>
                <w:szCs w:val="24"/>
                <w:highlight w:val="none"/>
              </w:rPr>
              <w:t>数量</w:t>
            </w:r>
          </w:p>
        </w:tc>
        <w:tc>
          <w:tcPr>
            <w:tcW w:w="960" w:type="dxa"/>
            <w:tcBorders>
              <w:top w:val="single" w:color="auto" w:sz="4" w:space="0"/>
              <w:left w:val="nil"/>
              <w:bottom w:val="single" w:color="auto" w:sz="4" w:space="0"/>
              <w:right w:val="single" w:color="auto" w:sz="4" w:space="0"/>
            </w:tcBorders>
            <w:noWrap w:val="0"/>
            <w:vAlign w:val="center"/>
          </w:tcPr>
          <w:p w14:paraId="365B313B">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b/>
                <w:bCs/>
                <w:color w:val="auto"/>
                <w:kern w:val="0"/>
                <w:sz w:val="24"/>
                <w:szCs w:val="24"/>
                <w:highlight w:val="none"/>
                <w:lang w:val="en-US" w:eastAsia="zh-CN"/>
              </w:rPr>
            </w:pPr>
            <w:r>
              <w:rPr>
                <w:rFonts w:hint="eastAsia" w:ascii="方正仿宋_GB2312" w:hAnsi="方正仿宋_GB2312" w:eastAsia="方正仿宋_GB2312" w:cs="方正仿宋_GB2312"/>
                <w:b/>
                <w:bCs/>
                <w:color w:val="auto"/>
                <w:kern w:val="0"/>
                <w:sz w:val="24"/>
                <w:szCs w:val="24"/>
                <w:highlight w:val="none"/>
                <w:lang w:val="en-US" w:eastAsia="zh-CN"/>
              </w:rPr>
              <w:t>备注</w:t>
            </w:r>
          </w:p>
        </w:tc>
      </w:tr>
      <w:tr w14:paraId="034B2089">
        <w:tblPrEx>
          <w:tblCellMar>
            <w:top w:w="0" w:type="dxa"/>
            <w:left w:w="108" w:type="dxa"/>
            <w:bottom w:w="0" w:type="dxa"/>
            <w:right w:w="108" w:type="dxa"/>
          </w:tblCellMar>
        </w:tblPrEx>
        <w:trPr>
          <w:trHeight w:val="1050" w:hRule="atLeast"/>
        </w:trPr>
        <w:tc>
          <w:tcPr>
            <w:tcW w:w="663" w:type="dxa"/>
            <w:tcBorders>
              <w:top w:val="nil"/>
              <w:left w:val="single" w:color="auto" w:sz="4" w:space="0"/>
              <w:bottom w:val="nil"/>
              <w:right w:val="single" w:color="auto" w:sz="4" w:space="0"/>
            </w:tcBorders>
            <w:shd w:val="clear" w:color="000000" w:fill="F8F8F8"/>
            <w:noWrap w:val="0"/>
            <w:vAlign w:val="center"/>
          </w:tcPr>
          <w:p w14:paraId="792CB401">
            <w:pPr>
              <w:keepNext w:val="0"/>
              <w:keepLines w:val="0"/>
              <w:pageBreakBefore w:val="0"/>
              <w:widowControl/>
              <w:wordWrap/>
              <w:overflowPunct/>
              <w:topLinePunct w:val="0"/>
              <w:bidi w:val="0"/>
              <w:spacing w:line="560" w:lineRule="exact"/>
              <w:jc w:val="center"/>
              <w:rPr>
                <w:rFonts w:hint="default" w:ascii="方正仿宋_GB2312" w:hAnsi="方正仿宋_GB2312" w:eastAsia="方正仿宋_GB2312" w:cs="方正仿宋_GB2312"/>
                <w:color w:val="auto"/>
                <w:kern w:val="0"/>
                <w:sz w:val="24"/>
                <w:szCs w:val="24"/>
                <w:highlight w:val="none"/>
                <w:lang w:val="en-US" w:eastAsia="zh-CN"/>
              </w:rPr>
            </w:pPr>
            <w:r>
              <w:rPr>
                <w:rFonts w:hint="eastAsia" w:ascii="方正仿宋_GB2312" w:hAnsi="方正仿宋_GB2312" w:eastAsia="方正仿宋_GB2312" w:cs="方正仿宋_GB2312"/>
                <w:color w:val="auto"/>
                <w:kern w:val="0"/>
                <w:sz w:val="24"/>
                <w:szCs w:val="24"/>
                <w:highlight w:val="none"/>
                <w:lang w:val="en-US" w:eastAsia="zh-CN"/>
              </w:rPr>
              <w:t>1</w:t>
            </w:r>
          </w:p>
        </w:tc>
        <w:tc>
          <w:tcPr>
            <w:tcW w:w="1478" w:type="dxa"/>
            <w:tcBorders>
              <w:top w:val="nil"/>
              <w:left w:val="nil"/>
              <w:bottom w:val="nil"/>
              <w:right w:val="single" w:color="auto" w:sz="4" w:space="0"/>
            </w:tcBorders>
            <w:shd w:val="clear" w:color="000000" w:fill="F8F8F8"/>
            <w:noWrap w:val="0"/>
            <w:vAlign w:val="center"/>
          </w:tcPr>
          <w:p w14:paraId="374FDBBA">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房屋安全</w:t>
            </w:r>
          </w:p>
          <w:p w14:paraId="14102EBF">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鉴定</w:t>
            </w:r>
          </w:p>
        </w:tc>
        <w:tc>
          <w:tcPr>
            <w:tcW w:w="3755" w:type="dxa"/>
            <w:tcBorders>
              <w:top w:val="nil"/>
              <w:left w:val="nil"/>
              <w:bottom w:val="nil"/>
              <w:right w:val="single" w:color="auto" w:sz="4" w:space="0"/>
            </w:tcBorders>
            <w:shd w:val="clear" w:color="auto" w:fill="auto"/>
            <w:noWrap w:val="0"/>
            <w:vAlign w:val="center"/>
          </w:tcPr>
          <w:p w14:paraId="0605EDA9">
            <w:pPr>
              <w:keepNext w:val="0"/>
              <w:keepLines w:val="0"/>
              <w:pageBreakBefore w:val="0"/>
              <w:widowControl/>
              <w:numPr>
                <w:ilvl w:val="0"/>
                <w:numId w:val="5"/>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房屋安全鉴定的现场检测工作。</w:t>
            </w:r>
          </w:p>
          <w:p w14:paraId="1D365072">
            <w:pPr>
              <w:keepNext w:val="0"/>
              <w:keepLines w:val="0"/>
              <w:pageBreakBefore w:val="0"/>
              <w:widowControl/>
              <w:numPr>
                <w:ilvl w:val="0"/>
                <w:numId w:val="5"/>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编制《房屋安全鉴定报告》。</w:t>
            </w:r>
          </w:p>
        </w:tc>
        <w:tc>
          <w:tcPr>
            <w:tcW w:w="1185" w:type="dxa"/>
            <w:tcBorders>
              <w:top w:val="nil"/>
              <w:left w:val="nil"/>
              <w:bottom w:val="nil"/>
              <w:right w:val="single" w:color="auto" w:sz="4" w:space="0"/>
            </w:tcBorders>
            <w:shd w:val="clear" w:color="auto" w:fill="auto"/>
            <w:noWrap w:val="0"/>
            <w:vAlign w:val="center"/>
          </w:tcPr>
          <w:p w14:paraId="3DE16EBD">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平方米</w:t>
            </w:r>
          </w:p>
        </w:tc>
        <w:tc>
          <w:tcPr>
            <w:tcW w:w="1200" w:type="dxa"/>
            <w:tcBorders>
              <w:top w:val="nil"/>
              <w:left w:val="nil"/>
              <w:bottom w:val="nil"/>
              <w:right w:val="single" w:color="auto" w:sz="4" w:space="0"/>
            </w:tcBorders>
            <w:shd w:val="clear" w:color="auto" w:fill="auto"/>
            <w:noWrap w:val="0"/>
            <w:vAlign w:val="center"/>
          </w:tcPr>
          <w:p w14:paraId="1785798B">
            <w:pPr>
              <w:keepNext w:val="0"/>
              <w:keepLines w:val="0"/>
              <w:pageBreakBefore w:val="0"/>
              <w:widowControl/>
              <w:numPr>
                <w:ilvl w:val="0"/>
                <w:numId w:val="0"/>
              </w:numPr>
              <w:wordWrap/>
              <w:overflowPunct/>
              <w:topLinePunct w:val="0"/>
              <w:bidi w:val="0"/>
              <w:spacing w:line="560" w:lineRule="exact"/>
              <w:ind w:leftChars="0"/>
              <w:jc w:val="left"/>
              <w:textAlignment w:val="center"/>
              <w:rPr>
                <w:rFonts w:hint="eastAsia"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lang w:val="en-US" w:eastAsia="zh-CN"/>
              </w:rPr>
              <w:t>46722</w:t>
            </w:r>
          </w:p>
        </w:tc>
        <w:tc>
          <w:tcPr>
            <w:tcW w:w="960" w:type="dxa"/>
            <w:tcBorders>
              <w:top w:val="nil"/>
              <w:left w:val="nil"/>
              <w:bottom w:val="nil"/>
              <w:right w:val="single" w:color="auto" w:sz="4" w:space="0"/>
            </w:tcBorders>
            <w:noWrap/>
            <w:vAlign w:val="center"/>
          </w:tcPr>
          <w:p w14:paraId="19CAA2A2">
            <w:pPr>
              <w:keepNext w:val="0"/>
              <w:keepLines w:val="0"/>
              <w:pageBreakBefore w:val="0"/>
              <w:widowControl/>
              <w:wordWrap/>
              <w:overflowPunct/>
              <w:topLinePunct w:val="0"/>
              <w:bidi w:val="0"/>
              <w:spacing w:line="560" w:lineRule="exact"/>
              <w:jc w:val="center"/>
              <w:rPr>
                <w:rFonts w:hint="eastAsia" w:ascii="方正仿宋_GB2312" w:hAnsi="方正仿宋_GB2312" w:eastAsia="方正仿宋_GB2312" w:cs="方正仿宋_GB2312"/>
                <w:color w:val="auto"/>
                <w:kern w:val="0"/>
                <w:sz w:val="24"/>
                <w:szCs w:val="24"/>
                <w:highlight w:val="none"/>
                <w:lang w:val="en-US" w:eastAsia="zh-CN"/>
              </w:rPr>
            </w:pPr>
          </w:p>
        </w:tc>
      </w:tr>
    </w:tbl>
    <w:p w14:paraId="54F531E8">
      <w:pPr>
        <w:pStyle w:val="29"/>
        <w:keepNext w:val="0"/>
        <w:keepLines w:val="0"/>
        <w:pageBreakBefore w:val="0"/>
        <w:wordWrap/>
        <w:overflowPunct/>
        <w:topLinePunct w:val="0"/>
        <w:bidi w:val="0"/>
        <w:spacing w:line="560" w:lineRule="exact"/>
        <w:ind w:left="0" w:leftChars="0" w:firstLine="0" w:firstLineChars="0"/>
        <w:rPr>
          <w:rFonts w:hint="eastAsia" w:ascii="方正仿宋_GB2312" w:hAnsi="方正仿宋_GB2312" w:eastAsia="方正仿宋_GB2312" w:cs="方正仿宋_GB2312"/>
          <w:b/>
          <w:bCs/>
          <w:color w:val="auto"/>
          <w:sz w:val="28"/>
          <w:szCs w:val="28"/>
          <w:highlight w:val="none"/>
          <w:lang w:val="en-US" w:eastAsia="zh-CN"/>
        </w:rPr>
      </w:pPr>
      <w:r>
        <w:rPr>
          <w:rFonts w:hint="eastAsia" w:ascii="方正仿宋_GB2312" w:hAnsi="方正仿宋_GB2312" w:eastAsia="方正仿宋_GB2312" w:cs="方正仿宋_GB2312"/>
          <w:b/>
          <w:bCs/>
          <w:color w:val="auto"/>
          <w:sz w:val="28"/>
          <w:szCs w:val="28"/>
          <w:highlight w:val="none"/>
          <w:lang w:val="en-US" w:eastAsia="zh-CN"/>
        </w:rPr>
        <w:t>注：以上数量为采购人测量数据，供响应人参考，建议响应人自行现场踏勘并综合考虑报价，</w:t>
      </w:r>
      <w:r>
        <w:rPr>
          <w:rFonts w:hint="eastAsia" w:ascii="方正仿宋_GB2312" w:hAnsi="方正仿宋_GB2312" w:eastAsia="方正仿宋_GB2312" w:cs="方正仿宋_GB2312"/>
          <w:b/>
          <w:bCs/>
          <w:color w:val="auto"/>
          <w:sz w:val="28"/>
          <w:szCs w:val="28"/>
          <w:highlight w:val="none"/>
        </w:rPr>
        <w:t>施工过程中若非出现实质性变更，最终结算金额不作变更</w:t>
      </w:r>
      <w:r>
        <w:rPr>
          <w:rFonts w:hint="eastAsia" w:ascii="方正仿宋_GB2312" w:hAnsi="方正仿宋_GB2312" w:eastAsia="方正仿宋_GB2312" w:cs="方正仿宋_GB2312"/>
          <w:b/>
          <w:bCs/>
          <w:color w:val="auto"/>
          <w:sz w:val="28"/>
          <w:szCs w:val="28"/>
          <w:highlight w:val="none"/>
          <w:lang w:val="en-US" w:eastAsia="zh-CN"/>
        </w:rPr>
        <w:t>。</w:t>
      </w:r>
    </w:p>
    <w:sectPr>
      <w:pgSz w:w="11907" w:h="16840"/>
      <w:pgMar w:top="1531" w:right="1588" w:bottom="1418" w:left="1418" w:header="851" w:footer="1191" w:gutter="0"/>
      <w:cols w:space="720" w:num="1"/>
      <w:docGrid w:type="linesAndChars" w:linePitch="33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8BE1466-C29F-4E8E-A418-D1CC02160A5B}"/>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61AC61D2-B197-4840-BB89-D4CA8A4020D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MetaPlusLF">
    <w:altName w:val="Times New Roman"/>
    <w:panose1 w:val="00000000000000000000"/>
    <w:charset w:val="00"/>
    <w:family w:val="auto"/>
    <w:pitch w:val="default"/>
    <w:sig w:usb0="00000000" w:usb1="00000000" w:usb2="00000000" w:usb3="00000000" w:csb0="00000097"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3" w:fontKey="{7054574E-E26D-402E-8F71-2D01D5801F7D}"/>
  </w:font>
  <w:font w:name="仿宋">
    <w:panose1 w:val="02010609060101010101"/>
    <w:charset w:val="86"/>
    <w:family w:val="modern"/>
    <w:pitch w:val="default"/>
    <w:sig w:usb0="800002BF" w:usb1="38CF7CFA" w:usb2="00000016" w:usb3="00000000" w:csb0="00040001" w:csb1="00000000"/>
    <w:embedRegular r:id="rId4" w:fontKey="{C1E8D12B-16AD-4DCD-9F28-A32C8A43EC35}"/>
  </w:font>
  <w:font w:name="ˎ̥">
    <w:altName w:val="Times New Roman"/>
    <w:panose1 w:val="00000000000000000000"/>
    <w:charset w:val="00"/>
    <w:family w:val="roman"/>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embedRegular r:id="rId5" w:fontKey="{5D43B9F3-944C-4497-BE69-49A9F59CC6F6}"/>
  </w:font>
  <w:font w:name="方正仿宋_GB2312">
    <w:panose1 w:val="02000000000000000000"/>
    <w:charset w:val="86"/>
    <w:family w:val="auto"/>
    <w:pitch w:val="default"/>
    <w:sig w:usb0="A00002BF" w:usb1="184F6CFA" w:usb2="00000012" w:usb3="00000000" w:csb0="00040001" w:csb1="00000000"/>
    <w:embedRegular r:id="rId6" w:fontKey="{59587EB3-DF23-498E-9C54-4D0BCAD181CC}"/>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095719">
    <w:pPr>
      <w:pStyle w:val="1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3C52FD"/>
    <w:multiLevelType w:val="singleLevel"/>
    <w:tmpl w:val="8D3C52FD"/>
    <w:lvl w:ilvl="0" w:tentative="0">
      <w:start w:val="1"/>
      <w:numFmt w:val="decimal"/>
      <w:lvlText w:val="%1."/>
      <w:lvlJc w:val="left"/>
      <w:pPr>
        <w:tabs>
          <w:tab w:val="left" w:pos="312"/>
        </w:tabs>
      </w:pPr>
    </w:lvl>
  </w:abstractNum>
  <w:abstractNum w:abstractNumId="1">
    <w:nsid w:val="02BA4E6F"/>
    <w:multiLevelType w:val="multilevel"/>
    <w:tmpl w:val="02BA4E6F"/>
    <w:lvl w:ilvl="0" w:tentative="0">
      <w:start w:val="1"/>
      <w:numFmt w:val="bullet"/>
      <w:pStyle w:val="60"/>
      <w:lvlText w:val=""/>
      <w:lvlJc w:val="left"/>
      <w:pPr>
        <w:ind w:left="960" w:hanging="480"/>
      </w:pPr>
      <w:rPr>
        <w:rFonts w:hint="default" w:ascii="Symbol" w:hAnsi="Symbol"/>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2">
    <w:nsid w:val="2418463F"/>
    <w:multiLevelType w:val="singleLevel"/>
    <w:tmpl w:val="2418463F"/>
    <w:lvl w:ilvl="0" w:tentative="0">
      <w:start w:val="1"/>
      <w:numFmt w:val="decimal"/>
      <w:suff w:val="nothing"/>
      <w:lvlText w:val="%1、"/>
      <w:lvlJc w:val="left"/>
    </w:lvl>
  </w:abstractNum>
  <w:abstractNum w:abstractNumId="3">
    <w:nsid w:val="6099A159"/>
    <w:multiLevelType w:val="singleLevel"/>
    <w:tmpl w:val="6099A159"/>
    <w:lvl w:ilvl="0" w:tentative="0">
      <w:start w:val="1"/>
      <w:numFmt w:val="decimal"/>
      <w:suff w:val="nothing"/>
      <w:lvlText w:val="%1、"/>
      <w:lvlJc w:val="left"/>
      <w:rPr>
        <w:rFonts w:cs="Times New Roman"/>
      </w:rPr>
    </w:lvl>
  </w:abstractNum>
  <w:abstractNum w:abstractNumId="4">
    <w:nsid w:val="68B40337"/>
    <w:multiLevelType w:val="multilevel"/>
    <w:tmpl w:val="68B40337"/>
    <w:lvl w:ilvl="0" w:tentative="0">
      <w:start w:val="1"/>
      <w:numFmt w:val="japaneseCounting"/>
      <w:pStyle w:val="51"/>
      <w:lvlText w:val="%1．"/>
      <w:lvlJc w:val="left"/>
      <w:pPr>
        <w:tabs>
          <w:tab w:val="left" w:pos="510"/>
        </w:tabs>
        <w:ind w:left="510" w:hanging="510"/>
      </w:pPr>
      <w:rPr>
        <w:rFonts w:hint="default" w:cs="Times New Roman"/>
        <w:b/>
        <w:sz w:val="21"/>
        <w:szCs w:val="21"/>
      </w:rPr>
    </w:lvl>
    <w:lvl w:ilvl="1" w:tentative="0">
      <w:start w:val="1"/>
      <w:numFmt w:val="decimal"/>
      <w:lvlText w:val="%2."/>
      <w:lvlJc w:val="left"/>
      <w:pPr>
        <w:tabs>
          <w:tab w:val="left" w:pos="840"/>
        </w:tabs>
        <w:ind w:left="840" w:hanging="420"/>
      </w:pPr>
      <w:rPr>
        <w:rFonts w:hint="default" w:cs="Times New Roman"/>
        <w:b w:val="0"/>
        <w:sz w:val="21"/>
        <w:szCs w:val="21"/>
      </w:rPr>
    </w:lvl>
    <w:lvl w:ilvl="2" w:tentative="0">
      <w:start w:val="3"/>
      <w:numFmt w:val="decimal"/>
      <w:lvlText w:val="%3）"/>
      <w:lvlJc w:val="left"/>
      <w:pPr>
        <w:tabs>
          <w:tab w:val="left" w:pos="1200"/>
        </w:tabs>
        <w:ind w:left="1200" w:hanging="360"/>
      </w:pPr>
      <w:rPr>
        <w:rFonts w:hint="default"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embedTrueTypeFonts/>
  <w:saveSubsetFonts/>
  <w:bordersDoNotSurroundHeader w:val="0"/>
  <w:bordersDoNotSurroundFooter w:val="0"/>
  <w:documentProtection w:edit="readOnly" w:formatting="1" w:enforcement="0"/>
  <w:defaultTabStop w:val="420"/>
  <w:drawingGridVerticalSpacing w:val="159"/>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4MDE5MGFmMzViNjkyNzQ3ZWViOGQ5Y2MxNjliMTMifQ=="/>
  </w:docVars>
  <w:rsids>
    <w:rsidRoot w:val="00BD5ED0"/>
    <w:rsid w:val="00005B73"/>
    <w:rsid w:val="00012BFA"/>
    <w:rsid w:val="000164E6"/>
    <w:rsid w:val="00035F8F"/>
    <w:rsid w:val="00045122"/>
    <w:rsid w:val="000503CE"/>
    <w:rsid w:val="000535B8"/>
    <w:rsid w:val="00055419"/>
    <w:rsid w:val="000616CD"/>
    <w:rsid w:val="00063F50"/>
    <w:rsid w:val="000679B7"/>
    <w:rsid w:val="00074383"/>
    <w:rsid w:val="00077653"/>
    <w:rsid w:val="000930FE"/>
    <w:rsid w:val="000941B8"/>
    <w:rsid w:val="0009582E"/>
    <w:rsid w:val="000A0257"/>
    <w:rsid w:val="000A0DFB"/>
    <w:rsid w:val="000B1C2B"/>
    <w:rsid w:val="000B72CC"/>
    <w:rsid w:val="000B7B60"/>
    <w:rsid w:val="000B7FE4"/>
    <w:rsid w:val="000C0834"/>
    <w:rsid w:val="000C2B30"/>
    <w:rsid w:val="000C2D95"/>
    <w:rsid w:val="000C327D"/>
    <w:rsid w:val="000C4264"/>
    <w:rsid w:val="000D2A43"/>
    <w:rsid w:val="000D2D57"/>
    <w:rsid w:val="000D4735"/>
    <w:rsid w:val="000D6353"/>
    <w:rsid w:val="000E7D7C"/>
    <w:rsid w:val="000F2427"/>
    <w:rsid w:val="000F2FC6"/>
    <w:rsid w:val="000F4060"/>
    <w:rsid w:val="000F575A"/>
    <w:rsid w:val="0010706E"/>
    <w:rsid w:val="00115B17"/>
    <w:rsid w:val="0012090D"/>
    <w:rsid w:val="00124D32"/>
    <w:rsid w:val="001264A1"/>
    <w:rsid w:val="00131E92"/>
    <w:rsid w:val="00136549"/>
    <w:rsid w:val="00137A41"/>
    <w:rsid w:val="00143273"/>
    <w:rsid w:val="0014433E"/>
    <w:rsid w:val="0014722B"/>
    <w:rsid w:val="0014729E"/>
    <w:rsid w:val="00152F22"/>
    <w:rsid w:val="00153F65"/>
    <w:rsid w:val="00156EF1"/>
    <w:rsid w:val="00157353"/>
    <w:rsid w:val="0016352B"/>
    <w:rsid w:val="0016665E"/>
    <w:rsid w:val="00170C97"/>
    <w:rsid w:val="0017142D"/>
    <w:rsid w:val="00175372"/>
    <w:rsid w:val="00180C54"/>
    <w:rsid w:val="00182942"/>
    <w:rsid w:val="001844CB"/>
    <w:rsid w:val="00191009"/>
    <w:rsid w:val="001925E5"/>
    <w:rsid w:val="00193F95"/>
    <w:rsid w:val="00196FE0"/>
    <w:rsid w:val="001A2C93"/>
    <w:rsid w:val="001A45EA"/>
    <w:rsid w:val="001A5210"/>
    <w:rsid w:val="001A5AE5"/>
    <w:rsid w:val="001B09E7"/>
    <w:rsid w:val="001B6B51"/>
    <w:rsid w:val="001C22FD"/>
    <w:rsid w:val="001C279B"/>
    <w:rsid w:val="001C6622"/>
    <w:rsid w:val="001D0EAA"/>
    <w:rsid w:val="001D0FE8"/>
    <w:rsid w:val="001D6AB7"/>
    <w:rsid w:val="001E5549"/>
    <w:rsid w:val="001E7603"/>
    <w:rsid w:val="001F7CAF"/>
    <w:rsid w:val="002000CE"/>
    <w:rsid w:val="002008CC"/>
    <w:rsid w:val="00204419"/>
    <w:rsid w:val="00205F12"/>
    <w:rsid w:val="00210BCF"/>
    <w:rsid w:val="00215784"/>
    <w:rsid w:val="00215DF7"/>
    <w:rsid w:val="0021728F"/>
    <w:rsid w:val="00220762"/>
    <w:rsid w:val="0022330A"/>
    <w:rsid w:val="00227F02"/>
    <w:rsid w:val="00231A8A"/>
    <w:rsid w:val="002355B4"/>
    <w:rsid w:val="00235976"/>
    <w:rsid w:val="002368CE"/>
    <w:rsid w:val="00236E54"/>
    <w:rsid w:val="00237233"/>
    <w:rsid w:val="00243458"/>
    <w:rsid w:val="00244C63"/>
    <w:rsid w:val="002502B9"/>
    <w:rsid w:val="0025172C"/>
    <w:rsid w:val="00251A1B"/>
    <w:rsid w:val="00254815"/>
    <w:rsid w:val="00254E0E"/>
    <w:rsid w:val="002660E2"/>
    <w:rsid w:val="0026670C"/>
    <w:rsid w:val="00272C17"/>
    <w:rsid w:val="0027714D"/>
    <w:rsid w:val="002905F7"/>
    <w:rsid w:val="002941DB"/>
    <w:rsid w:val="002A05DD"/>
    <w:rsid w:val="002A1D9A"/>
    <w:rsid w:val="002A32EA"/>
    <w:rsid w:val="002A4476"/>
    <w:rsid w:val="002A5A03"/>
    <w:rsid w:val="002A6766"/>
    <w:rsid w:val="002B7214"/>
    <w:rsid w:val="002C357D"/>
    <w:rsid w:val="002C3587"/>
    <w:rsid w:val="002C772D"/>
    <w:rsid w:val="002E2198"/>
    <w:rsid w:val="002E2C71"/>
    <w:rsid w:val="002E59B0"/>
    <w:rsid w:val="002E6516"/>
    <w:rsid w:val="002F109A"/>
    <w:rsid w:val="002F1157"/>
    <w:rsid w:val="002F3749"/>
    <w:rsid w:val="002F3DE0"/>
    <w:rsid w:val="003039A2"/>
    <w:rsid w:val="0031424A"/>
    <w:rsid w:val="00314845"/>
    <w:rsid w:val="00327FC7"/>
    <w:rsid w:val="00331421"/>
    <w:rsid w:val="00337E51"/>
    <w:rsid w:val="003432FF"/>
    <w:rsid w:val="003440B1"/>
    <w:rsid w:val="003467AD"/>
    <w:rsid w:val="00352F0E"/>
    <w:rsid w:val="003542F4"/>
    <w:rsid w:val="00354C22"/>
    <w:rsid w:val="00356D07"/>
    <w:rsid w:val="00363811"/>
    <w:rsid w:val="003776A2"/>
    <w:rsid w:val="00393456"/>
    <w:rsid w:val="00393F27"/>
    <w:rsid w:val="00396DB6"/>
    <w:rsid w:val="003A7705"/>
    <w:rsid w:val="003B6841"/>
    <w:rsid w:val="003C2315"/>
    <w:rsid w:val="003C349E"/>
    <w:rsid w:val="003C371F"/>
    <w:rsid w:val="003C5F72"/>
    <w:rsid w:val="003E06C5"/>
    <w:rsid w:val="003E3EEF"/>
    <w:rsid w:val="003E4DE6"/>
    <w:rsid w:val="003F4157"/>
    <w:rsid w:val="003F7A36"/>
    <w:rsid w:val="00404AF8"/>
    <w:rsid w:val="00407262"/>
    <w:rsid w:val="004113A9"/>
    <w:rsid w:val="00412BC5"/>
    <w:rsid w:val="00414102"/>
    <w:rsid w:val="0042773C"/>
    <w:rsid w:val="004321F7"/>
    <w:rsid w:val="004333CD"/>
    <w:rsid w:val="004407A6"/>
    <w:rsid w:val="00445796"/>
    <w:rsid w:val="004504C6"/>
    <w:rsid w:val="00454378"/>
    <w:rsid w:val="00455511"/>
    <w:rsid w:val="00460621"/>
    <w:rsid w:val="00476704"/>
    <w:rsid w:val="0048157A"/>
    <w:rsid w:val="0048198F"/>
    <w:rsid w:val="00481EBF"/>
    <w:rsid w:val="00484829"/>
    <w:rsid w:val="00484B15"/>
    <w:rsid w:val="00485FBD"/>
    <w:rsid w:val="00486C6C"/>
    <w:rsid w:val="00490A12"/>
    <w:rsid w:val="00491E00"/>
    <w:rsid w:val="00496744"/>
    <w:rsid w:val="00497C31"/>
    <w:rsid w:val="004A699E"/>
    <w:rsid w:val="004B145E"/>
    <w:rsid w:val="004B66ED"/>
    <w:rsid w:val="004B7C4E"/>
    <w:rsid w:val="004C3A44"/>
    <w:rsid w:val="004D17EB"/>
    <w:rsid w:val="004D1C1A"/>
    <w:rsid w:val="004E611C"/>
    <w:rsid w:val="004E7081"/>
    <w:rsid w:val="004F2DA5"/>
    <w:rsid w:val="004F3897"/>
    <w:rsid w:val="004F5933"/>
    <w:rsid w:val="004F7D4C"/>
    <w:rsid w:val="0050381E"/>
    <w:rsid w:val="00507325"/>
    <w:rsid w:val="00513E78"/>
    <w:rsid w:val="0052004C"/>
    <w:rsid w:val="00520138"/>
    <w:rsid w:val="005210A5"/>
    <w:rsid w:val="005371FF"/>
    <w:rsid w:val="005461F1"/>
    <w:rsid w:val="005470E4"/>
    <w:rsid w:val="00554AD8"/>
    <w:rsid w:val="00560A5A"/>
    <w:rsid w:val="00561B95"/>
    <w:rsid w:val="00565B17"/>
    <w:rsid w:val="0058123D"/>
    <w:rsid w:val="00590112"/>
    <w:rsid w:val="005968DF"/>
    <w:rsid w:val="005A4E94"/>
    <w:rsid w:val="005A74C6"/>
    <w:rsid w:val="005B3EF9"/>
    <w:rsid w:val="005B48FC"/>
    <w:rsid w:val="005B7F8E"/>
    <w:rsid w:val="005C161C"/>
    <w:rsid w:val="005C320D"/>
    <w:rsid w:val="005C6227"/>
    <w:rsid w:val="005E2D48"/>
    <w:rsid w:val="005E3228"/>
    <w:rsid w:val="005E7F82"/>
    <w:rsid w:val="005F1911"/>
    <w:rsid w:val="005F3328"/>
    <w:rsid w:val="005F55FA"/>
    <w:rsid w:val="00604A1A"/>
    <w:rsid w:val="00605737"/>
    <w:rsid w:val="00610E99"/>
    <w:rsid w:val="00611986"/>
    <w:rsid w:val="006155F4"/>
    <w:rsid w:val="0063300F"/>
    <w:rsid w:val="00633DF9"/>
    <w:rsid w:val="00635B18"/>
    <w:rsid w:val="00640CD1"/>
    <w:rsid w:val="0064381D"/>
    <w:rsid w:val="0065355D"/>
    <w:rsid w:val="00654E74"/>
    <w:rsid w:val="006778F7"/>
    <w:rsid w:val="00677B79"/>
    <w:rsid w:val="00681EC9"/>
    <w:rsid w:val="006942F8"/>
    <w:rsid w:val="0069444D"/>
    <w:rsid w:val="006A260A"/>
    <w:rsid w:val="006A33C7"/>
    <w:rsid w:val="006A736D"/>
    <w:rsid w:val="006B507A"/>
    <w:rsid w:val="006C19C7"/>
    <w:rsid w:val="006C1DD0"/>
    <w:rsid w:val="006C65B6"/>
    <w:rsid w:val="006D2C51"/>
    <w:rsid w:val="006D2E24"/>
    <w:rsid w:val="006D3754"/>
    <w:rsid w:val="006D4357"/>
    <w:rsid w:val="006D7153"/>
    <w:rsid w:val="006E0C5E"/>
    <w:rsid w:val="006E6A3C"/>
    <w:rsid w:val="006E6C16"/>
    <w:rsid w:val="006E7E05"/>
    <w:rsid w:val="006F014E"/>
    <w:rsid w:val="006F2FE4"/>
    <w:rsid w:val="0070054D"/>
    <w:rsid w:val="007021A2"/>
    <w:rsid w:val="00705A9F"/>
    <w:rsid w:val="00707673"/>
    <w:rsid w:val="00707BD7"/>
    <w:rsid w:val="00711644"/>
    <w:rsid w:val="0071376E"/>
    <w:rsid w:val="00715C2F"/>
    <w:rsid w:val="00715CF6"/>
    <w:rsid w:val="00721328"/>
    <w:rsid w:val="007214BF"/>
    <w:rsid w:val="00725404"/>
    <w:rsid w:val="00725833"/>
    <w:rsid w:val="00727DFA"/>
    <w:rsid w:val="00732A88"/>
    <w:rsid w:val="00733FC8"/>
    <w:rsid w:val="0074147C"/>
    <w:rsid w:val="00742F97"/>
    <w:rsid w:val="00743B54"/>
    <w:rsid w:val="0074619F"/>
    <w:rsid w:val="007469CE"/>
    <w:rsid w:val="00750139"/>
    <w:rsid w:val="007564D3"/>
    <w:rsid w:val="00757900"/>
    <w:rsid w:val="00762CB4"/>
    <w:rsid w:val="00770201"/>
    <w:rsid w:val="007722DD"/>
    <w:rsid w:val="00782C1C"/>
    <w:rsid w:val="00786D41"/>
    <w:rsid w:val="00794F11"/>
    <w:rsid w:val="007953EE"/>
    <w:rsid w:val="00797AC3"/>
    <w:rsid w:val="007A5BEF"/>
    <w:rsid w:val="007A6E42"/>
    <w:rsid w:val="007A6F56"/>
    <w:rsid w:val="007B3FFC"/>
    <w:rsid w:val="007C0745"/>
    <w:rsid w:val="007C258B"/>
    <w:rsid w:val="007C518E"/>
    <w:rsid w:val="007D10A1"/>
    <w:rsid w:val="007E0968"/>
    <w:rsid w:val="007E314C"/>
    <w:rsid w:val="007E31BF"/>
    <w:rsid w:val="007E751A"/>
    <w:rsid w:val="007E7F57"/>
    <w:rsid w:val="007F6003"/>
    <w:rsid w:val="007F6810"/>
    <w:rsid w:val="007F74D9"/>
    <w:rsid w:val="008028C3"/>
    <w:rsid w:val="00803F4C"/>
    <w:rsid w:val="00806D35"/>
    <w:rsid w:val="008107BC"/>
    <w:rsid w:val="008139B0"/>
    <w:rsid w:val="00816D3B"/>
    <w:rsid w:val="00833C18"/>
    <w:rsid w:val="0083445B"/>
    <w:rsid w:val="0083540F"/>
    <w:rsid w:val="00837F4F"/>
    <w:rsid w:val="00846B12"/>
    <w:rsid w:val="00847E4A"/>
    <w:rsid w:val="00852823"/>
    <w:rsid w:val="00854E40"/>
    <w:rsid w:val="008558E9"/>
    <w:rsid w:val="0085632D"/>
    <w:rsid w:val="00864EBB"/>
    <w:rsid w:val="00865807"/>
    <w:rsid w:val="0087416D"/>
    <w:rsid w:val="00880ADA"/>
    <w:rsid w:val="00880D0D"/>
    <w:rsid w:val="0088194E"/>
    <w:rsid w:val="00883D24"/>
    <w:rsid w:val="00886C0D"/>
    <w:rsid w:val="008908B3"/>
    <w:rsid w:val="00890C1B"/>
    <w:rsid w:val="008922C7"/>
    <w:rsid w:val="008924EB"/>
    <w:rsid w:val="008A17BF"/>
    <w:rsid w:val="008A2C80"/>
    <w:rsid w:val="008A5E76"/>
    <w:rsid w:val="008B0C71"/>
    <w:rsid w:val="008B368D"/>
    <w:rsid w:val="008C2811"/>
    <w:rsid w:val="008C6743"/>
    <w:rsid w:val="008D0DC7"/>
    <w:rsid w:val="008D19F7"/>
    <w:rsid w:val="008D2EAB"/>
    <w:rsid w:val="008D4710"/>
    <w:rsid w:val="008D517E"/>
    <w:rsid w:val="008D6B16"/>
    <w:rsid w:val="008E4625"/>
    <w:rsid w:val="008E718F"/>
    <w:rsid w:val="008E71DF"/>
    <w:rsid w:val="008F00D0"/>
    <w:rsid w:val="008F36EF"/>
    <w:rsid w:val="008F44F8"/>
    <w:rsid w:val="008F5E1F"/>
    <w:rsid w:val="008F63E9"/>
    <w:rsid w:val="009009AA"/>
    <w:rsid w:val="00902E6B"/>
    <w:rsid w:val="0090741A"/>
    <w:rsid w:val="00911170"/>
    <w:rsid w:val="009137D0"/>
    <w:rsid w:val="009160E2"/>
    <w:rsid w:val="00921906"/>
    <w:rsid w:val="00925020"/>
    <w:rsid w:val="00926ED4"/>
    <w:rsid w:val="00927186"/>
    <w:rsid w:val="0093182D"/>
    <w:rsid w:val="00932531"/>
    <w:rsid w:val="00932C9F"/>
    <w:rsid w:val="00932F10"/>
    <w:rsid w:val="009437E8"/>
    <w:rsid w:val="00943A2D"/>
    <w:rsid w:val="00951AD3"/>
    <w:rsid w:val="00964A4B"/>
    <w:rsid w:val="0096611E"/>
    <w:rsid w:val="009673AF"/>
    <w:rsid w:val="009772B9"/>
    <w:rsid w:val="00977901"/>
    <w:rsid w:val="00984E18"/>
    <w:rsid w:val="00985E72"/>
    <w:rsid w:val="0099786D"/>
    <w:rsid w:val="009B38A1"/>
    <w:rsid w:val="009B3D46"/>
    <w:rsid w:val="009C67B7"/>
    <w:rsid w:val="009C6F7D"/>
    <w:rsid w:val="009D2A2D"/>
    <w:rsid w:val="009F03D0"/>
    <w:rsid w:val="009F34D1"/>
    <w:rsid w:val="009F67E6"/>
    <w:rsid w:val="009F7302"/>
    <w:rsid w:val="00A11CF1"/>
    <w:rsid w:val="00A20D53"/>
    <w:rsid w:val="00A2111B"/>
    <w:rsid w:val="00A25FAB"/>
    <w:rsid w:val="00A31649"/>
    <w:rsid w:val="00A34A4A"/>
    <w:rsid w:val="00A36417"/>
    <w:rsid w:val="00A40F11"/>
    <w:rsid w:val="00A43898"/>
    <w:rsid w:val="00A450CE"/>
    <w:rsid w:val="00A46C5D"/>
    <w:rsid w:val="00A5612B"/>
    <w:rsid w:val="00A6082D"/>
    <w:rsid w:val="00A63294"/>
    <w:rsid w:val="00A71EF2"/>
    <w:rsid w:val="00A72D1C"/>
    <w:rsid w:val="00A74EE0"/>
    <w:rsid w:val="00A76643"/>
    <w:rsid w:val="00A7749C"/>
    <w:rsid w:val="00A7786F"/>
    <w:rsid w:val="00A820BE"/>
    <w:rsid w:val="00A861CA"/>
    <w:rsid w:val="00A87C81"/>
    <w:rsid w:val="00A95B2F"/>
    <w:rsid w:val="00A96A59"/>
    <w:rsid w:val="00AB24A2"/>
    <w:rsid w:val="00AB4398"/>
    <w:rsid w:val="00AB7DBB"/>
    <w:rsid w:val="00AC1ADC"/>
    <w:rsid w:val="00AC2E6F"/>
    <w:rsid w:val="00AC3A72"/>
    <w:rsid w:val="00AD016B"/>
    <w:rsid w:val="00AD0A3F"/>
    <w:rsid w:val="00AD0D60"/>
    <w:rsid w:val="00AD2C6E"/>
    <w:rsid w:val="00AF04F6"/>
    <w:rsid w:val="00AF089C"/>
    <w:rsid w:val="00AF20AC"/>
    <w:rsid w:val="00B01550"/>
    <w:rsid w:val="00B02242"/>
    <w:rsid w:val="00B04A3E"/>
    <w:rsid w:val="00B07B72"/>
    <w:rsid w:val="00B12A96"/>
    <w:rsid w:val="00B132E4"/>
    <w:rsid w:val="00B148F2"/>
    <w:rsid w:val="00B14C6E"/>
    <w:rsid w:val="00B16EE8"/>
    <w:rsid w:val="00B20140"/>
    <w:rsid w:val="00B218FE"/>
    <w:rsid w:val="00B21C59"/>
    <w:rsid w:val="00B3448D"/>
    <w:rsid w:val="00B41A9A"/>
    <w:rsid w:val="00B43AE8"/>
    <w:rsid w:val="00B44107"/>
    <w:rsid w:val="00B44693"/>
    <w:rsid w:val="00B54259"/>
    <w:rsid w:val="00B54CE6"/>
    <w:rsid w:val="00B54F0B"/>
    <w:rsid w:val="00B64CDD"/>
    <w:rsid w:val="00B67CEE"/>
    <w:rsid w:val="00B72957"/>
    <w:rsid w:val="00B73956"/>
    <w:rsid w:val="00B75E79"/>
    <w:rsid w:val="00B8143C"/>
    <w:rsid w:val="00B87690"/>
    <w:rsid w:val="00B87F6F"/>
    <w:rsid w:val="00B9040F"/>
    <w:rsid w:val="00B92C68"/>
    <w:rsid w:val="00B95683"/>
    <w:rsid w:val="00B979FB"/>
    <w:rsid w:val="00BB21E0"/>
    <w:rsid w:val="00BB526C"/>
    <w:rsid w:val="00BC18B3"/>
    <w:rsid w:val="00BC1A2B"/>
    <w:rsid w:val="00BC1BB2"/>
    <w:rsid w:val="00BD5ED0"/>
    <w:rsid w:val="00BE5655"/>
    <w:rsid w:val="00BE62B0"/>
    <w:rsid w:val="00BF2792"/>
    <w:rsid w:val="00BF4097"/>
    <w:rsid w:val="00BF4AA9"/>
    <w:rsid w:val="00C11DC8"/>
    <w:rsid w:val="00C139AD"/>
    <w:rsid w:val="00C1766C"/>
    <w:rsid w:val="00C26BEC"/>
    <w:rsid w:val="00C33174"/>
    <w:rsid w:val="00C36E31"/>
    <w:rsid w:val="00C4146E"/>
    <w:rsid w:val="00C446A4"/>
    <w:rsid w:val="00C54610"/>
    <w:rsid w:val="00C607E8"/>
    <w:rsid w:val="00C60F7D"/>
    <w:rsid w:val="00C77966"/>
    <w:rsid w:val="00C802A7"/>
    <w:rsid w:val="00C84880"/>
    <w:rsid w:val="00C85381"/>
    <w:rsid w:val="00C85EFB"/>
    <w:rsid w:val="00C85FDF"/>
    <w:rsid w:val="00C86EDD"/>
    <w:rsid w:val="00C87974"/>
    <w:rsid w:val="00C91C90"/>
    <w:rsid w:val="00C9344C"/>
    <w:rsid w:val="00C94273"/>
    <w:rsid w:val="00CA3ADD"/>
    <w:rsid w:val="00CB1476"/>
    <w:rsid w:val="00CB169A"/>
    <w:rsid w:val="00CC5F7C"/>
    <w:rsid w:val="00CD057C"/>
    <w:rsid w:val="00CD1128"/>
    <w:rsid w:val="00CD2C7B"/>
    <w:rsid w:val="00CE2BC2"/>
    <w:rsid w:val="00CE36C4"/>
    <w:rsid w:val="00CE48DB"/>
    <w:rsid w:val="00CE533B"/>
    <w:rsid w:val="00CF0841"/>
    <w:rsid w:val="00D22FB3"/>
    <w:rsid w:val="00D2717E"/>
    <w:rsid w:val="00D30C0B"/>
    <w:rsid w:val="00D320E7"/>
    <w:rsid w:val="00D3269F"/>
    <w:rsid w:val="00D36416"/>
    <w:rsid w:val="00D418BC"/>
    <w:rsid w:val="00D45A27"/>
    <w:rsid w:val="00D46E62"/>
    <w:rsid w:val="00D52541"/>
    <w:rsid w:val="00D54BA0"/>
    <w:rsid w:val="00D608D9"/>
    <w:rsid w:val="00D634C8"/>
    <w:rsid w:val="00D64B79"/>
    <w:rsid w:val="00D66E24"/>
    <w:rsid w:val="00D76D4E"/>
    <w:rsid w:val="00D806A3"/>
    <w:rsid w:val="00D814B6"/>
    <w:rsid w:val="00D8399F"/>
    <w:rsid w:val="00D84FE2"/>
    <w:rsid w:val="00D92409"/>
    <w:rsid w:val="00D95914"/>
    <w:rsid w:val="00DA1560"/>
    <w:rsid w:val="00DA3184"/>
    <w:rsid w:val="00DA5E27"/>
    <w:rsid w:val="00DA65EE"/>
    <w:rsid w:val="00DA7E5B"/>
    <w:rsid w:val="00DB0309"/>
    <w:rsid w:val="00DB6E4E"/>
    <w:rsid w:val="00DC17D0"/>
    <w:rsid w:val="00DC5744"/>
    <w:rsid w:val="00DC619A"/>
    <w:rsid w:val="00DC7FC2"/>
    <w:rsid w:val="00DD2DB5"/>
    <w:rsid w:val="00DD2E0C"/>
    <w:rsid w:val="00DD3DB6"/>
    <w:rsid w:val="00DD4ED1"/>
    <w:rsid w:val="00DD686B"/>
    <w:rsid w:val="00DE3373"/>
    <w:rsid w:val="00DE654E"/>
    <w:rsid w:val="00DE6B3D"/>
    <w:rsid w:val="00DE72B9"/>
    <w:rsid w:val="00DF11FD"/>
    <w:rsid w:val="00DF4ECA"/>
    <w:rsid w:val="00DF5183"/>
    <w:rsid w:val="00DF6697"/>
    <w:rsid w:val="00DF7AB5"/>
    <w:rsid w:val="00DF7F0A"/>
    <w:rsid w:val="00E11376"/>
    <w:rsid w:val="00E21013"/>
    <w:rsid w:val="00E21941"/>
    <w:rsid w:val="00E30D18"/>
    <w:rsid w:val="00E444B2"/>
    <w:rsid w:val="00E50267"/>
    <w:rsid w:val="00E55C56"/>
    <w:rsid w:val="00E570B0"/>
    <w:rsid w:val="00E604F7"/>
    <w:rsid w:val="00E64BB0"/>
    <w:rsid w:val="00E65448"/>
    <w:rsid w:val="00E678F0"/>
    <w:rsid w:val="00E71C8B"/>
    <w:rsid w:val="00E762DB"/>
    <w:rsid w:val="00E76DF9"/>
    <w:rsid w:val="00E76EA8"/>
    <w:rsid w:val="00E82677"/>
    <w:rsid w:val="00E85FE3"/>
    <w:rsid w:val="00E87D58"/>
    <w:rsid w:val="00E91BC8"/>
    <w:rsid w:val="00E961B9"/>
    <w:rsid w:val="00EA6B31"/>
    <w:rsid w:val="00EC0694"/>
    <w:rsid w:val="00EC1E4F"/>
    <w:rsid w:val="00EC5723"/>
    <w:rsid w:val="00EC5DF0"/>
    <w:rsid w:val="00ED43D8"/>
    <w:rsid w:val="00EE1FB9"/>
    <w:rsid w:val="00EE2A12"/>
    <w:rsid w:val="00EE3F96"/>
    <w:rsid w:val="00EE5B35"/>
    <w:rsid w:val="00EE7FAE"/>
    <w:rsid w:val="00EF409F"/>
    <w:rsid w:val="00EF491C"/>
    <w:rsid w:val="00EF6DB2"/>
    <w:rsid w:val="00F059EF"/>
    <w:rsid w:val="00F06DF3"/>
    <w:rsid w:val="00F10281"/>
    <w:rsid w:val="00F12122"/>
    <w:rsid w:val="00F13805"/>
    <w:rsid w:val="00F15584"/>
    <w:rsid w:val="00F163D7"/>
    <w:rsid w:val="00F236A2"/>
    <w:rsid w:val="00F25AA0"/>
    <w:rsid w:val="00F27EC3"/>
    <w:rsid w:val="00F301A1"/>
    <w:rsid w:val="00F35D52"/>
    <w:rsid w:val="00F363B7"/>
    <w:rsid w:val="00F37CA6"/>
    <w:rsid w:val="00F46A70"/>
    <w:rsid w:val="00F51913"/>
    <w:rsid w:val="00F55724"/>
    <w:rsid w:val="00F608BD"/>
    <w:rsid w:val="00F67143"/>
    <w:rsid w:val="00F81417"/>
    <w:rsid w:val="00F854B9"/>
    <w:rsid w:val="00F938F5"/>
    <w:rsid w:val="00F94850"/>
    <w:rsid w:val="00F97E28"/>
    <w:rsid w:val="00FA6653"/>
    <w:rsid w:val="00FB1DFB"/>
    <w:rsid w:val="00FB50A2"/>
    <w:rsid w:val="00FB5E05"/>
    <w:rsid w:val="00FB74E0"/>
    <w:rsid w:val="00FC7D84"/>
    <w:rsid w:val="00FD22B3"/>
    <w:rsid w:val="00FD24E2"/>
    <w:rsid w:val="00FD50D4"/>
    <w:rsid w:val="00FD6E74"/>
    <w:rsid w:val="00FE0424"/>
    <w:rsid w:val="00FE3D58"/>
    <w:rsid w:val="00FF2CE6"/>
    <w:rsid w:val="00FF40A5"/>
    <w:rsid w:val="00FF64ED"/>
    <w:rsid w:val="02B2285A"/>
    <w:rsid w:val="035D4211"/>
    <w:rsid w:val="037D5EE3"/>
    <w:rsid w:val="03AF0255"/>
    <w:rsid w:val="04CF6E29"/>
    <w:rsid w:val="04DA4568"/>
    <w:rsid w:val="059366CF"/>
    <w:rsid w:val="05D00163"/>
    <w:rsid w:val="06572FF5"/>
    <w:rsid w:val="07613623"/>
    <w:rsid w:val="077C34B8"/>
    <w:rsid w:val="07A209C4"/>
    <w:rsid w:val="080D26DA"/>
    <w:rsid w:val="08284245"/>
    <w:rsid w:val="086F1260"/>
    <w:rsid w:val="0880226D"/>
    <w:rsid w:val="089F2BDE"/>
    <w:rsid w:val="08BB2505"/>
    <w:rsid w:val="099A07E1"/>
    <w:rsid w:val="09AC7EB3"/>
    <w:rsid w:val="0A9B4FED"/>
    <w:rsid w:val="0B0C0A79"/>
    <w:rsid w:val="0B451F6A"/>
    <w:rsid w:val="0C6F4C8D"/>
    <w:rsid w:val="0CB97065"/>
    <w:rsid w:val="0D0E0EB6"/>
    <w:rsid w:val="0DC769BA"/>
    <w:rsid w:val="0DE142CB"/>
    <w:rsid w:val="0EE04DA0"/>
    <w:rsid w:val="0F0A7DAB"/>
    <w:rsid w:val="0FDC1CDC"/>
    <w:rsid w:val="10223C48"/>
    <w:rsid w:val="109C5A6E"/>
    <w:rsid w:val="12475EA9"/>
    <w:rsid w:val="124B7969"/>
    <w:rsid w:val="12CC7E13"/>
    <w:rsid w:val="133360BD"/>
    <w:rsid w:val="141241FB"/>
    <w:rsid w:val="146E4633"/>
    <w:rsid w:val="149E726C"/>
    <w:rsid w:val="14F54F8B"/>
    <w:rsid w:val="150412EA"/>
    <w:rsid w:val="16050B04"/>
    <w:rsid w:val="165D4254"/>
    <w:rsid w:val="16F45869"/>
    <w:rsid w:val="171438BA"/>
    <w:rsid w:val="17230955"/>
    <w:rsid w:val="182770BA"/>
    <w:rsid w:val="18561C0B"/>
    <w:rsid w:val="18863017"/>
    <w:rsid w:val="189F0D93"/>
    <w:rsid w:val="18AC6D73"/>
    <w:rsid w:val="19344ED1"/>
    <w:rsid w:val="19A05834"/>
    <w:rsid w:val="19E84FB7"/>
    <w:rsid w:val="1B4716B4"/>
    <w:rsid w:val="1C006A5E"/>
    <w:rsid w:val="1C08419D"/>
    <w:rsid w:val="1D4D5FFD"/>
    <w:rsid w:val="1D6E4925"/>
    <w:rsid w:val="1DEB5469"/>
    <w:rsid w:val="1F6F64FB"/>
    <w:rsid w:val="1F7A0970"/>
    <w:rsid w:val="201A37CB"/>
    <w:rsid w:val="209E2C67"/>
    <w:rsid w:val="216F32CA"/>
    <w:rsid w:val="22124112"/>
    <w:rsid w:val="231E732C"/>
    <w:rsid w:val="23DC56BB"/>
    <w:rsid w:val="23F57352"/>
    <w:rsid w:val="249A7996"/>
    <w:rsid w:val="267E2359"/>
    <w:rsid w:val="26BC7CBC"/>
    <w:rsid w:val="27447ED5"/>
    <w:rsid w:val="27483FC8"/>
    <w:rsid w:val="275F3A77"/>
    <w:rsid w:val="27F966F1"/>
    <w:rsid w:val="2809378D"/>
    <w:rsid w:val="284F0253"/>
    <w:rsid w:val="28644870"/>
    <w:rsid w:val="28DE1ED5"/>
    <w:rsid w:val="28ED036A"/>
    <w:rsid w:val="29713987"/>
    <w:rsid w:val="29D654BD"/>
    <w:rsid w:val="2A545918"/>
    <w:rsid w:val="2AE949DF"/>
    <w:rsid w:val="2B3B474B"/>
    <w:rsid w:val="2B8D044E"/>
    <w:rsid w:val="2C016BB8"/>
    <w:rsid w:val="2D77461B"/>
    <w:rsid w:val="2DD00B6E"/>
    <w:rsid w:val="2E3C4CA7"/>
    <w:rsid w:val="2E400C5F"/>
    <w:rsid w:val="2E5209E3"/>
    <w:rsid w:val="2EB01AFE"/>
    <w:rsid w:val="30592C7B"/>
    <w:rsid w:val="30D1119A"/>
    <w:rsid w:val="30F12F4C"/>
    <w:rsid w:val="3112402E"/>
    <w:rsid w:val="313D3E38"/>
    <w:rsid w:val="32611BF0"/>
    <w:rsid w:val="329A1FD6"/>
    <w:rsid w:val="330E183A"/>
    <w:rsid w:val="33A83294"/>
    <w:rsid w:val="34011E26"/>
    <w:rsid w:val="341B4D23"/>
    <w:rsid w:val="34592C81"/>
    <w:rsid w:val="34E231F8"/>
    <w:rsid w:val="35AA23DD"/>
    <w:rsid w:val="36355398"/>
    <w:rsid w:val="36A81FB2"/>
    <w:rsid w:val="3722158D"/>
    <w:rsid w:val="375E09FC"/>
    <w:rsid w:val="38286CC9"/>
    <w:rsid w:val="38525FA9"/>
    <w:rsid w:val="39003F1D"/>
    <w:rsid w:val="39276876"/>
    <w:rsid w:val="392B2930"/>
    <w:rsid w:val="3AC853CC"/>
    <w:rsid w:val="3BA9033A"/>
    <w:rsid w:val="3BCA1543"/>
    <w:rsid w:val="3BD13A5B"/>
    <w:rsid w:val="3C582CD8"/>
    <w:rsid w:val="3DAA1B3A"/>
    <w:rsid w:val="3E094E14"/>
    <w:rsid w:val="3E2546CD"/>
    <w:rsid w:val="3F742D35"/>
    <w:rsid w:val="40531C58"/>
    <w:rsid w:val="40666BFC"/>
    <w:rsid w:val="40793BF0"/>
    <w:rsid w:val="40DB2BE5"/>
    <w:rsid w:val="40EE2EA9"/>
    <w:rsid w:val="41192D98"/>
    <w:rsid w:val="413E5CD9"/>
    <w:rsid w:val="41FF4F3E"/>
    <w:rsid w:val="426E79CE"/>
    <w:rsid w:val="42D812EB"/>
    <w:rsid w:val="43425F9D"/>
    <w:rsid w:val="43F465D0"/>
    <w:rsid w:val="442A053D"/>
    <w:rsid w:val="44440739"/>
    <w:rsid w:val="446F65B8"/>
    <w:rsid w:val="44F057A6"/>
    <w:rsid w:val="45A95346"/>
    <w:rsid w:val="46206C05"/>
    <w:rsid w:val="46416F41"/>
    <w:rsid w:val="46C4203A"/>
    <w:rsid w:val="470E29AE"/>
    <w:rsid w:val="47AA258B"/>
    <w:rsid w:val="49CB0CCD"/>
    <w:rsid w:val="4AA54993"/>
    <w:rsid w:val="4AA610D6"/>
    <w:rsid w:val="4B0C055A"/>
    <w:rsid w:val="4B6923BF"/>
    <w:rsid w:val="4C234E4D"/>
    <w:rsid w:val="4C6562E6"/>
    <w:rsid w:val="4C8B4A7C"/>
    <w:rsid w:val="4CBB0530"/>
    <w:rsid w:val="4CC65E47"/>
    <w:rsid w:val="4CFC368B"/>
    <w:rsid w:val="4E7D412D"/>
    <w:rsid w:val="4EE43120"/>
    <w:rsid w:val="4F086AAF"/>
    <w:rsid w:val="4F8922EB"/>
    <w:rsid w:val="5069668A"/>
    <w:rsid w:val="50A83CB2"/>
    <w:rsid w:val="512B42F2"/>
    <w:rsid w:val="52AD37AD"/>
    <w:rsid w:val="538E5DEC"/>
    <w:rsid w:val="53BD6539"/>
    <w:rsid w:val="56D076DF"/>
    <w:rsid w:val="56E34736"/>
    <w:rsid w:val="56FB15A3"/>
    <w:rsid w:val="571B310E"/>
    <w:rsid w:val="572C3C94"/>
    <w:rsid w:val="574F6FB0"/>
    <w:rsid w:val="57806BBC"/>
    <w:rsid w:val="57E427B4"/>
    <w:rsid w:val="58963DA7"/>
    <w:rsid w:val="592C3305"/>
    <w:rsid w:val="59F71EE8"/>
    <w:rsid w:val="5A2C7551"/>
    <w:rsid w:val="5A400720"/>
    <w:rsid w:val="5CF4139A"/>
    <w:rsid w:val="5D053A28"/>
    <w:rsid w:val="5D4A58E5"/>
    <w:rsid w:val="5D693C9C"/>
    <w:rsid w:val="5DE973D6"/>
    <w:rsid w:val="5E3400F7"/>
    <w:rsid w:val="5E8D2D21"/>
    <w:rsid w:val="5EBD1212"/>
    <w:rsid w:val="5F4A355A"/>
    <w:rsid w:val="5FB66778"/>
    <w:rsid w:val="62300F45"/>
    <w:rsid w:val="623F329A"/>
    <w:rsid w:val="624A557C"/>
    <w:rsid w:val="6253190F"/>
    <w:rsid w:val="62695E27"/>
    <w:rsid w:val="628242DE"/>
    <w:rsid w:val="636127C3"/>
    <w:rsid w:val="63D00B75"/>
    <w:rsid w:val="643B6B3E"/>
    <w:rsid w:val="6541100E"/>
    <w:rsid w:val="654C0BA8"/>
    <w:rsid w:val="664352EB"/>
    <w:rsid w:val="672079BD"/>
    <w:rsid w:val="673B2EA1"/>
    <w:rsid w:val="68391120"/>
    <w:rsid w:val="683C7AA3"/>
    <w:rsid w:val="683E7EE4"/>
    <w:rsid w:val="696610E4"/>
    <w:rsid w:val="69FB4103"/>
    <w:rsid w:val="6A676190"/>
    <w:rsid w:val="6A83721D"/>
    <w:rsid w:val="6AE21101"/>
    <w:rsid w:val="6B4F3B9E"/>
    <w:rsid w:val="6BD63153"/>
    <w:rsid w:val="6BD83F86"/>
    <w:rsid w:val="6C5B55DC"/>
    <w:rsid w:val="6CAE03DD"/>
    <w:rsid w:val="6CE56E6B"/>
    <w:rsid w:val="6D032DAA"/>
    <w:rsid w:val="6D5C745A"/>
    <w:rsid w:val="6DD06D7C"/>
    <w:rsid w:val="6E005A26"/>
    <w:rsid w:val="6E6329C5"/>
    <w:rsid w:val="6EF46A1B"/>
    <w:rsid w:val="6EFF345A"/>
    <w:rsid w:val="6F0E41D6"/>
    <w:rsid w:val="6FB4540B"/>
    <w:rsid w:val="70C73255"/>
    <w:rsid w:val="71610FBE"/>
    <w:rsid w:val="72220189"/>
    <w:rsid w:val="725008FF"/>
    <w:rsid w:val="72760778"/>
    <w:rsid w:val="72B76EAF"/>
    <w:rsid w:val="73205968"/>
    <w:rsid w:val="743104E3"/>
    <w:rsid w:val="74320C3C"/>
    <w:rsid w:val="74513162"/>
    <w:rsid w:val="74EE4A4A"/>
    <w:rsid w:val="75431AF8"/>
    <w:rsid w:val="757B75BC"/>
    <w:rsid w:val="75E4239E"/>
    <w:rsid w:val="76A665D3"/>
    <w:rsid w:val="76C23869"/>
    <w:rsid w:val="78BD1F9D"/>
    <w:rsid w:val="79201CE1"/>
    <w:rsid w:val="792720A9"/>
    <w:rsid w:val="79B14724"/>
    <w:rsid w:val="7A150D17"/>
    <w:rsid w:val="7A226A81"/>
    <w:rsid w:val="7B337300"/>
    <w:rsid w:val="7B3E0A41"/>
    <w:rsid w:val="7C323980"/>
    <w:rsid w:val="7FB13F24"/>
    <w:rsid w:val="7FD75F4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semiHidden="0" w:name="toc 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qFormat="1" w:unhideWhenUsed="0" w:uiPriority="99"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qFormat="1" w:unhideWhenUsed="0" w:uiPriority="99" w:semiHidden="0" w:name="Document Map"/>
    <w:lsdException w:qFormat="1" w:unhideWhenUsed="0" w:uiPriority="99" w:semiHidden="0"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30"/>
    <w:qFormat/>
    <w:uiPriority w:val="99"/>
    <w:pPr>
      <w:keepNext/>
      <w:keepLines/>
      <w:spacing w:before="340" w:after="330" w:line="578" w:lineRule="auto"/>
      <w:outlineLvl w:val="0"/>
    </w:pPr>
    <w:rPr>
      <w:b/>
      <w:bCs/>
      <w:kern w:val="44"/>
      <w:sz w:val="44"/>
      <w:szCs w:val="44"/>
    </w:rPr>
  </w:style>
  <w:style w:type="paragraph" w:styleId="4">
    <w:name w:val="heading 2"/>
    <w:basedOn w:val="1"/>
    <w:next w:val="1"/>
    <w:link w:val="31"/>
    <w:qFormat/>
    <w:uiPriority w:val="99"/>
    <w:pPr>
      <w:keepNext/>
      <w:keepLines/>
      <w:spacing w:before="260" w:after="260" w:line="416" w:lineRule="auto"/>
      <w:outlineLvl w:val="1"/>
    </w:pPr>
    <w:rPr>
      <w:rFonts w:ascii="Cambria" w:hAnsi="Cambria"/>
      <w:b/>
      <w:bCs/>
      <w:sz w:val="32"/>
      <w:szCs w:val="32"/>
    </w:rPr>
  </w:style>
  <w:style w:type="paragraph" w:styleId="5">
    <w:name w:val="heading 3"/>
    <w:basedOn w:val="1"/>
    <w:next w:val="1"/>
    <w:link w:val="32"/>
    <w:autoRedefine/>
    <w:qFormat/>
    <w:uiPriority w:val="99"/>
    <w:pPr>
      <w:keepNext/>
      <w:keepLines/>
      <w:widowControl/>
      <w:spacing w:before="260" w:after="260" w:line="413" w:lineRule="auto"/>
      <w:outlineLvl w:val="2"/>
    </w:pPr>
    <w:rPr>
      <w:rFonts w:ascii="Calibri" w:hAnsi="Calibri" w:cs="宋体"/>
      <w:b/>
      <w:sz w:val="32"/>
      <w:szCs w:val="22"/>
    </w:rPr>
  </w:style>
  <w:style w:type="paragraph" w:styleId="6">
    <w:name w:val="heading 4"/>
    <w:basedOn w:val="1"/>
    <w:next w:val="1"/>
    <w:link w:val="33"/>
    <w:qFormat/>
    <w:uiPriority w:val="99"/>
    <w:pPr>
      <w:keepNext/>
      <w:keepLines/>
      <w:spacing w:before="280" w:after="290" w:line="376" w:lineRule="auto"/>
      <w:outlineLvl w:val="3"/>
    </w:pPr>
    <w:rPr>
      <w:rFonts w:ascii="Arial" w:hAnsi="Arial" w:eastAsia="黑体"/>
      <w:b/>
      <w:bCs/>
      <w:sz w:val="28"/>
      <w:szCs w:val="28"/>
    </w:rPr>
  </w:style>
  <w:style w:type="character" w:default="1" w:styleId="25">
    <w:name w:val="Default Paragraph Font"/>
    <w:semiHidden/>
    <w:unhideWhenUsed/>
    <w:qFormat/>
    <w:uiPriority w:val="1"/>
  </w:style>
  <w:style w:type="table" w:default="1" w:styleId="23">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MetaPlusLF" w:hAnsi="MetaPlusLF" w:eastAsia="宋体" w:cs="MetaPlusLF"/>
      <w:color w:val="000000"/>
      <w:sz w:val="24"/>
      <w:szCs w:val="24"/>
      <w:lang w:val="en-US" w:eastAsia="zh-CN" w:bidi="ar-SA"/>
    </w:rPr>
  </w:style>
  <w:style w:type="paragraph" w:styleId="7">
    <w:name w:val="Normal Indent"/>
    <w:basedOn w:val="1"/>
    <w:link w:val="50"/>
    <w:autoRedefine/>
    <w:qFormat/>
    <w:uiPriority w:val="99"/>
    <w:pPr>
      <w:widowControl/>
      <w:adjustRightInd w:val="0"/>
      <w:spacing w:line="360" w:lineRule="atLeast"/>
      <w:ind w:firstLine="482"/>
      <w:jc w:val="left"/>
      <w:textAlignment w:val="baseline"/>
    </w:pPr>
    <w:rPr>
      <w:rFonts w:ascii="Calibri" w:hAnsi="Calibri" w:eastAsia="等线"/>
      <w:kern w:val="0"/>
      <w:sz w:val="24"/>
    </w:rPr>
  </w:style>
  <w:style w:type="paragraph" w:styleId="8">
    <w:name w:val="Document Map"/>
    <w:basedOn w:val="1"/>
    <w:link w:val="34"/>
    <w:autoRedefine/>
    <w:qFormat/>
    <w:uiPriority w:val="99"/>
    <w:rPr>
      <w:rFonts w:ascii="宋体"/>
      <w:sz w:val="18"/>
      <w:szCs w:val="18"/>
    </w:rPr>
  </w:style>
  <w:style w:type="paragraph" w:styleId="9">
    <w:name w:val="annotation text"/>
    <w:basedOn w:val="1"/>
    <w:link w:val="35"/>
    <w:qFormat/>
    <w:uiPriority w:val="99"/>
    <w:pPr>
      <w:jc w:val="left"/>
    </w:pPr>
  </w:style>
  <w:style w:type="paragraph" w:styleId="10">
    <w:name w:val="Body Text"/>
    <w:basedOn w:val="1"/>
    <w:next w:val="11"/>
    <w:link w:val="36"/>
    <w:autoRedefine/>
    <w:qFormat/>
    <w:uiPriority w:val="99"/>
    <w:pPr>
      <w:spacing w:after="120"/>
    </w:pPr>
  </w:style>
  <w:style w:type="paragraph" w:styleId="11">
    <w:name w:val="Body Text Indent"/>
    <w:basedOn w:val="1"/>
    <w:next w:val="12"/>
    <w:autoRedefine/>
    <w:unhideWhenUsed/>
    <w:qFormat/>
    <w:uiPriority w:val="0"/>
    <w:pPr>
      <w:ind w:firstLine="489" w:firstLineChars="178"/>
    </w:pPr>
    <w:rPr>
      <w:sz w:val="28"/>
      <w:szCs w:val="28"/>
    </w:rPr>
  </w:style>
  <w:style w:type="paragraph" w:styleId="12">
    <w:name w:val="envelope return"/>
    <w:basedOn w:val="1"/>
    <w:qFormat/>
    <w:uiPriority w:val="0"/>
    <w:pPr>
      <w:widowControl w:val="0"/>
      <w:jc w:val="both"/>
    </w:pPr>
    <w:rPr>
      <w:rFonts w:ascii="Calibri" w:hAnsi="Calibri" w:cs="Times New Roman"/>
      <w:kern w:val="2"/>
      <w:szCs w:val="24"/>
    </w:rPr>
  </w:style>
  <w:style w:type="paragraph" w:styleId="13">
    <w:name w:val="Plain Text"/>
    <w:basedOn w:val="1"/>
    <w:link w:val="52"/>
    <w:autoRedefine/>
    <w:qFormat/>
    <w:uiPriority w:val="99"/>
    <w:pPr>
      <w:tabs>
        <w:tab w:val="left" w:pos="-105"/>
      </w:tabs>
      <w:spacing w:line="440" w:lineRule="exact"/>
      <w:ind w:right="-147" w:rightChars="-70"/>
      <w:outlineLvl w:val="2"/>
    </w:pPr>
    <w:rPr>
      <w:rFonts w:ascii="宋体" w:hAnsi="Courier New"/>
      <w:sz w:val="24"/>
      <w:szCs w:val="21"/>
    </w:rPr>
  </w:style>
  <w:style w:type="paragraph" w:styleId="14">
    <w:name w:val="Balloon Text"/>
    <w:basedOn w:val="1"/>
    <w:link w:val="37"/>
    <w:qFormat/>
    <w:uiPriority w:val="99"/>
    <w:rPr>
      <w:sz w:val="18"/>
      <w:szCs w:val="18"/>
    </w:rPr>
  </w:style>
  <w:style w:type="paragraph" w:styleId="15">
    <w:name w:val="footer"/>
    <w:basedOn w:val="1"/>
    <w:link w:val="38"/>
    <w:autoRedefine/>
    <w:qFormat/>
    <w:uiPriority w:val="99"/>
    <w:pPr>
      <w:tabs>
        <w:tab w:val="center" w:pos="4153"/>
        <w:tab w:val="right" w:pos="8306"/>
      </w:tabs>
      <w:snapToGrid w:val="0"/>
      <w:jc w:val="left"/>
    </w:pPr>
    <w:rPr>
      <w:sz w:val="18"/>
      <w:szCs w:val="18"/>
    </w:rPr>
  </w:style>
  <w:style w:type="paragraph" w:styleId="16">
    <w:name w:val="header"/>
    <w:basedOn w:val="1"/>
    <w:link w:val="39"/>
    <w:autoRedefine/>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qFormat/>
    <w:uiPriority w:val="99"/>
    <w:pPr>
      <w:widowControl/>
      <w:tabs>
        <w:tab w:val="left" w:pos="780"/>
        <w:tab w:val="right" w:leader="dot" w:pos="9400"/>
      </w:tabs>
      <w:jc w:val="left"/>
    </w:pPr>
    <w:rPr>
      <w:rFonts w:ascii="Calibri" w:hAnsi="Calibri"/>
      <w:kern w:val="0"/>
      <w:sz w:val="24"/>
      <w:szCs w:val="24"/>
    </w:rPr>
  </w:style>
  <w:style w:type="paragraph" w:styleId="18">
    <w:name w:val="HTML Preformatted"/>
    <w:basedOn w:val="1"/>
    <w:semiHidden/>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9">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paragraph" w:styleId="20">
    <w:name w:val="annotation subject"/>
    <w:basedOn w:val="9"/>
    <w:next w:val="9"/>
    <w:link w:val="57"/>
    <w:autoRedefine/>
    <w:semiHidden/>
    <w:qFormat/>
    <w:uiPriority w:val="99"/>
    <w:rPr>
      <w:b/>
      <w:bCs/>
    </w:rPr>
  </w:style>
  <w:style w:type="paragraph" w:styleId="21">
    <w:name w:val="Body Text First Indent"/>
    <w:basedOn w:val="10"/>
    <w:next w:val="22"/>
    <w:link w:val="40"/>
    <w:autoRedefine/>
    <w:qFormat/>
    <w:uiPriority w:val="99"/>
    <w:pPr>
      <w:widowControl/>
      <w:ind w:firstLine="420" w:firstLineChars="100"/>
    </w:pPr>
    <w:rPr>
      <w:rFonts w:ascii="Calibri" w:hAnsi="Calibri" w:cs="宋体"/>
      <w:szCs w:val="22"/>
    </w:rPr>
  </w:style>
  <w:style w:type="paragraph" w:customStyle="1" w:styleId="22">
    <w:name w:val="样式 正文首行缩进 + 首行缩进:  1 字符"/>
    <w:basedOn w:val="1"/>
    <w:next w:val="1"/>
    <w:autoRedefine/>
    <w:qFormat/>
    <w:uiPriority w:val="0"/>
    <w:pPr>
      <w:adjustRightInd w:val="0"/>
      <w:snapToGrid w:val="0"/>
      <w:spacing w:line="360" w:lineRule="auto"/>
      <w:ind w:firstLine="200" w:firstLineChars="200"/>
    </w:pPr>
    <w:rPr>
      <w:rFonts w:cs="宋体"/>
      <w:sz w:val="24"/>
    </w:rPr>
  </w:style>
  <w:style w:type="table" w:styleId="24">
    <w:name w:val="Table Grid"/>
    <w:basedOn w:val="23"/>
    <w:autoRedefine/>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6">
    <w:name w:val="Strong"/>
    <w:basedOn w:val="25"/>
    <w:autoRedefine/>
    <w:qFormat/>
    <w:locked/>
    <w:uiPriority w:val="0"/>
    <w:rPr>
      <w:b/>
    </w:rPr>
  </w:style>
  <w:style w:type="character" w:styleId="27">
    <w:name w:val="Hyperlink"/>
    <w:basedOn w:val="25"/>
    <w:qFormat/>
    <w:uiPriority w:val="99"/>
    <w:rPr>
      <w:rFonts w:cs="Times New Roman"/>
      <w:color w:val="0000FF"/>
      <w:u w:val="single"/>
    </w:rPr>
  </w:style>
  <w:style w:type="character" w:styleId="28">
    <w:name w:val="annotation reference"/>
    <w:basedOn w:val="25"/>
    <w:autoRedefine/>
    <w:qFormat/>
    <w:uiPriority w:val="99"/>
    <w:rPr>
      <w:rFonts w:cs="Times New Roman"/>
      <w:sz w:val="21"/>
      <w:szCs w:val="21"/>
    </w:rPr>
  </w:style>
  <w:style w:type="paragraph" w:customStyle="1" w:styleId="29">
    <w:name w:val="首行缩进"/>
    <w:basedOn w:val="1"/>
    <w:autoRedefine/>
    <w:qFormat/>
    <w:uiPriority w:val="0"/>
    <w:pPr>
      <w:ind w:firstLine="480" w:firstLineChars="200"/>
    </w:pPr>
    <w:rPr>
      <w:rFonts w:ascii="Tahoma" w:hAnsi="Tahoma"/>
      <w:sz w:val="24"/>
      <w:szCs w:val="24"/>
      <w:lang w:val="zh-CN"/>
    </w:rPr>
  </w:style>
  <w:style w:type="character" w:customStyle="1" w:styleId="30">
    <w:name w:val="标题 1 Char"/>
    <w:basedOn w:val="25"/>
    <w:link w:val="3"/>
    <w:autoRedefine/>
    <w:qFormat/>
    <w:locked/>
    <w:uiPriority w:val="99"/>
    <w:rPr>
      <w:rFonts w:ascii="Times New Roman" w:hAnsi="Times New Roman" w:eastAsia="宋体" w:cs="Times New Roman"/>
      <w:b/>
      <w:bCs/>
      <w:kern w:val="44"/>
      <w:sz w:val="44"/>
      <w:szCs w:val="44"/>
    </w:rPr>
  </w:style>
  <w:style w:type="character" w:customStyle="1" w:styleId="31">
    <w:name w:val="标题 2 Char"/>
    <w:basedOn w:val="25"/>
    <w:link w:val="4"/>
    <w:autoRedefine/>
    <w:qFormat/>
    <w:locked/>
    <w:uiPriority w:val="99"/>
    <w:rPr>
      <w:rFonts w:ascii="Cambria" w:hAnsi="Cambria" w:eastAsia="宋体" w:cs="Times New Roman"/>
      <w:b/>
      <w:bCs/>
      <w:kern w:val="2"/>
      <w:sz w:val="32"/>
      <w:szCs w:val="32"/>
    </w:rPr>
  </w:style>
  <w:style w:type="character" w:customStyle="1" w:styleId="32">
    <w:name w:val="标题 3 Char"/>
    <w:basedOn w:val="25"/>
    <w:link w:val="5"/>
    <w:autoRedefine/>
    <w:qFormat/>
    <w:locked/>
    <w:uiPriority w:val="99"/>
    <w:rPr>
      <w:rFonts w:eastAsia="宋体" w:cs="Times New Roman"/>
      <w:b/>
      <w:sz w:val="32"/>
    </w:rPr>
  </w:style>
  <w:style w:type="character" w:customStyle="1" w:styleId="33">
    <w:name w:val="标题 4 Char"/>
    <w:basedOn w:val="25"/>
    <w:link w:val="6"/>
    <w:autoRedefine/>
    <w:qFormat/>
    <w:locked/>
    <w:uiPriority w:val="99"/>
    <w:rPr>
      <w:rFonts w:ascii="Arial" w:hAnsi="Arial" w:eastAsia="黑体" w:cs="Times New Roman"/>
      <w:b/>
      <w:bCs/>
      <w:kern w:val="2"/>
      <w:sz w:val="28"/>
      <w:szCs w:val="28"/>
    </w:rPr>
  </w:style>
  <w:style w:type="character" w:customStyle="1" w:styleId="34">
    <w:name w:val="文档结构图 Char"/>
    <w:basedOn w:val="25"/>
    <w:link w:val="8"/>
    <w:autoRedefine/>
    <w:qFormat/>
    <w:locked/>
    <w:uiPriority w:val="99"/>
    <w:rPr>
      <w:rFonts w:ascii="宋体" w:hAnsi="Times New Roman" w:eastAsia="宋体" w:cs="Times New Roman"/>
      <w:kern w:val="2"/>
      <w:sz w:val="18"/>
      <w:szCs w:val="18"/>
    </w:rPr>
  </w:style>
  <w:style w:type="character" w:customStyle="1" w:styleId="35">
    <w:name w:val="批注文字 Char"/>
    <w:basedOn w:val="25"/>
    <w:link w:val="9"/>
    <w:autoRedefine/>
    <w:qFormat/>
    <w:locked/>
    <w:uiPriority w:val="99"/>
    <w:rPr>
      <w:rFonts w:ascii="Times New Roman" w:hAnsi="Times New Roman" w:cs="Times New Roman"/>
      <w:kern w:val="2"/>
      <w:sz w:val="21"/>
    </w:rPr>
  </w:style>
  <w:style w:type="character" w:customStyle="1" w:styleId="36">
    <w:name w:val="正文文本 Char"/>
    <w:basedOn w:val="25"/>
    <w:link w:val="10"/>
    <w:qFormat/>
    <w:locked/>
    <w:uiPriority w:val="99"/>
    <w:rPr>
      <w:rFonts w:ascii="Times New Roman" w:hAnsi="Times New Roman" w:eastAsia="宋体" w:cs="Times New Roman"/>
      <w:sz w:val="20"/>
      <w:szCs w:val="20"/>
    </w:rPr>
  </w:style>
  <w:style w:type="character" w:customStyle="1" w:styleId="37">
    <w:name w:val="批注框文本 Char"/>
    <w:basedOn w:val="25"/>
    <w:link w:val="14"/>
    <w:autoRedefine/>
    <w:qFormat/>
    <w:locked/>
    <w:uiPriority w:val="99"/>
    <w:rPr>
      <w:rFonts w:ascii="Times New Roman" w:hAnsi="Times New Roman" w:eastAsia="宋体" w:cs="Times New Roman"/>
      <w:kern w:val="2"/>
      <w:sz w:val="18"/>
      <w:szCs w:val="18"/>
    </w:rPr>
  </w:style>
  <w:style w:type="character" w:customStyle="1" w:styleId="38">
    <w:name w:val="页脚 Char"/>
    <w:basedOn w:val="25"/>
    <w:link w:val="15"/>
    <w:autoRedefine/>
    <w:qFormat/>
    <w:locked/>
    <w:uiPriority w:val="99"/>
    <w:rPr>
      <w:rFonts w:ascii="Times New Roman" w:hAnsi="Times New Roman" w:eastAsia="宋体" w:cs="Times New Roman"/>
      <w:sz w:val="18"/>
      <w:szCs w:val="18"/>
    </w:rPr>
  </w:style>
  <w:style w:type="character" w:customStyle="1" w:styleId="39">
    <w:name w:val="页眉 Char"/>
    <w:basedOn w:val="25"/>
    <w:link w:val="16"/>
    <w:qFormat/>
    <w:locked/>
    <w:uiPriority w:val="99"/>
    <w:rPr>
      <w:rFonts w:ascii="Times New Roman" w:hAnsi="Times New Roman" w:eastAsia="宋体" w:cs="Times New Roman"/>
      <w:sz w:val="18"/>
      <w:szCs w:val="18"/>
    </w:rPr>
  </w:style>
  <w:style w:type="character" w:customStyle="1" w:styleId="40">
    <w:name w:val="正文首行缩进 Char"/>
    <w:basedOn w:val="36"/>
    <w:link w:val="21"/>
    <w:autoRedefine/>
    <w:qFormat/>
    <w:locked/>
    <w:uiPriority w:val="99"/>
    <w:rPr>
      <w:rFonts w:ascii="Times New Roman" w:hAnsi="Times New Roman" w:eastAsia="宋体" w:cs="Times New Roman"/>
      <w:sz w:val="20"/>
      <w:szCs w:val="20"/>
    </w:rPr>
  </w:style>
  <w:style w:type="character" w:customStyle="1" w:styleId="41">
    <w:name w:val="正文缩进2格 Char"/>
    <w:link w:val="42"/>
    <w:autoRedefine/>
    <w:qFormat/>
    <w:locked/>
    <w:uiPriority w:val="99"/>
    <w:rPr>
      <w:rFonts w:ascii="仿宋_GB2312" w:hAnsi="宋体" w:eastAsia="仿宋_GB2312"/>
      <w:sz w:val="31"/>
    </w:rPr>
  </w:style>
  <w:style w:type="paragraph" w:customStyle="1" w:styleId="42">
    <w:name w:val="正文缩进2格"/>
    <w:basedOn w:val="1"/>
    <w:link w:val="41"/>
    <w:autoRedefine/>
    <w:qFormat/>
    <w:uiPriority w:val="99"/>
    <w:pPr>
      <w:spacing w:line="600" w:lineRule="exact"/>
      <w:ind w:firstLine="639" w:firstLineChars="206"/>
    </w:pPr>
    <w:rPr>
      <w:rFonts w:ascii="仿宋_GB2312" w:hAnsi="宋体" w:eastAsia="仿宋_GB2312"/>
      <w:kern w:val="0"/>
      <w:sz w:val="31"/>
      <w:szCs w:val="31"/>
    </w:rPr>
  </w:style>
  <w:style w:type="paragraph" w:customStyle="1" w:styleId="43">
    <w:name w:val="列出段落1"/>
    <w:basedOn w:val="1"/>
    <w:autoRedefine/>
    <w:qFormat/>
    <w:uiPriority w:val="99"/>
    <w:pPr>
      <w:ind w:firstLine="420" w:firstLineChars="200"/>
    </w:pPr>
  </w:style>
  <w:style w:type="paragraph" w:customStyle="1" w:styleId="44">
    <w:name w:val="列出段落2"/>
    <w:basedOn w:val="1"/>
    <w:autoRedefine/>
    <w:qFormat/>
    <w:uiPriority w:val="99"/>
    <w:pPr>
      <w:ind w:firstLine="420" w:firstLineChars="200"/>
    </w:pPr>
  </w:style>
  <w:style w:type="paragraph" w:styleId="45">
    <w:name w:val="List Paragraph"/>
    <w:basedOn w:val="1"/>
    <w:autoRedefine/>
    <w:qFormat/>
    <w:uiPriority w:val="99"/>
    <w:pPr>
      <w:ind w:firstLine="420" w:firstLineChars="200"/>
    </w:pPr>
  </w:style>
  <w:style w:type="character" w:customStyle="1" w:styleId="46">
    <w:name w:val="fontstyle01"/>
    <w:basedOn w:val="25"/>
    <w:autoRedefine/>
    <w:qFormat/>
    <w:uiPriority w:val="99"/>
    <w:rPr>
      <w:rFonts w:ascii="仿宋" w:hAnsi="仿宋" w:eastAsia="仿宋" w:cs="Times New Roman"/>
      <w:color w:val="000000"/>
      <w:sz w:val="28"/>
      <w:szCs w:val="28"/>
    </w:rPr>
  </w:style>
  <w:style w:type="character" w:customStyle="1" w:styleId="47">
    <w:name w:val="！正文 Char"/>
    <w:link w:val="48"/>
    <w:autoRedefine/>
    <w:qFormat/>
    <w:locked/>
    <w:uiPriority w:val="99"/>
    <w:rPr>
      <w:rFonts w:ascii="Arial" w:hAnsi="Arial"/>
      <w:sz w:val="24"/>
    </w:rPr>
  </w:style>
  <w:style w:type="paragraph" w:customStyle="1" w:styleId="48">
    <w:name w:val="！正文"/>
    <w:basedOn w:val="1"/>
    <w:link w:val="47"/>
    <w:autoRedefine/>
    <w:qFormat/>
    <w:uiPriority w:val="99"/>
    <w:pPr>
      <w:spacing w:line="360" w:lineRule="auto"/>
      <w:ind w:firstLine="200" w:firstLineChars="200"/>
    </w:pPr>
    <w:rPr>
      <w:rFonts w:ascii="Arial" w:hAnsi="Arial" w:eastAsia="等线"/>
      <w:kern w:val="0"/>
      <w:sz w:val="24"/>
      <w:szCs w:val="24"/>
    </w:rPr>
  </w:style>
  <w:style w:type="paragraph" w:customStyle="1" w:styleId="49">
    <w:name w:val="！标题1 Alt+1"/>
    <w:basedOn w:val="1"/>
    <w:next w:val="1"/>
    <w:autoRedefine/>
    <w:qFormat/>
    <w:uiPriority w:val="99"/>
    <w:pPr>
      <w:tabs>
        <w:tab w:val="left" w:pos="3261"/>
      </w:tabs>
      <w:spacing w:beforeLines="100"/>
      <w:jc w:val="left"/>
      <w:outlineLvl w:val="0"/>
    </w:pPr>
    <w:rPr>
      <w:rFonts w:eastAsia="黑体"/>
      <w:b/>
      <w:spacing w:val="20"/>
      <w:w w:val="110"/>
      <w:sz w:val="32"/>
      <w:szCs w:val="32"/>
    </w:rPr>
  </w:style>
  <w:style w:type="character" w:customStyle="1" w:styleId="50">
    <w:name w:val="正文缩进 Char"/>
    <w:link w:val="7"/>
    <w:autoRedefine/>
    <w:qFormat/>
    <w:locked/>
    <w:uiPriority w:val="99"/>
    <w:rPr>
      <w:sz w:val="24"/>
    </w:rPr>
  </w:style>
  <w:style w:type="paragraph" w:customStyle="1" w:styleId="51">
    <w:name w:val="标准书脚_奇数页"/>
    <w:qFormat/>
    <w:uiPriority w:val="99"/>
    <w:pPr>
      <w:numPr>
        <w:ilvl w:val="0"/>
        <w:numId w:val="1"/>
      </w:numPr>
      <w:spacing w:before="120"/>
      <w:ind w:left="0" w:firstLine="0"/>
      <w:jc w:val="right"/>
    </w:pPr>
    <w:rPr>
      <w:rFonts w:ascii="Times New Roman" w:hAnsi="Times New Roman" w:eastAsia="宋体" w:cs="Times New Roman"/>
      <w:sz w:val="18"/>
      <w:lang w:val="en-US" w:eastAsia="zh-CN" w:bidi="ar-SA"/>
    </w:rPr>
  </w:style>
  <w:style w:type="character" w:customStyle="1" w:styleId="52">
    <w:name w:val="纯文本 Char"/>
    <w:basedOn w:val="25"/>
    <w:link w:val="13"/>
    <w:autoRedefine/>
    <w:qFormat/>
    <w:locked/>
    <w:uiPriority w:val="99"/>
    <w:rPr>
      <w:rFonts w:ascii="宋体" w:hAnsi="Courier New" w:eastAsia="宋体" w:cs="Times New Roman"/>
      <w:kern w:val="2"/>
      <w:sz w:val="21"/>
      <w:szCs w:val="21"/>
    </w:rPr>
  </w:style>
  <w:style w:type="character" w:customStyle="1" w:styleId="53">
    <w:name w:val="未处理的提及1"/>
    <w:basedOn w:val="25"/>
    <w:autoRedefine/>
    <w:semiHidden/>
    <w:qFormat/>
    <w:uiPriority w:val="99"/>
    <w:rPr>
      <w:rFonts w:cs="Times New Roman"/>
      <w:color w:val="605E5C"/>
      <w:shd w:val="clear" w:color="auto" w:fill="E1DFDD"/>
    </w:rPr>
  </w:style>
  <w:style w:type="paragraph" w:customStyle="1" w:styleId="54">
    <w:name w:val="样式"/>
    <w:basedOn w:val="1"/>
    <w:next w:val="45"/>
    <w:autoRedefine/>
    <w:qFormat/>
    <w:uiPriority w:val="99"/>
    <w:pPr>
      <w:ind w:firstLine="420" w:firstLineChars="200"/>
    </w:pPr>
    <w:rPr>
      <w:rFonts w:ascii="Calibri" w:hAnsi="Calibri"/>
      <w:szCs w:val="22"/>
    </w:rPr>
  </w:style>
  <w:style w:type="character" w:customStyle="1" w:styleId="55">
    <w:name w:val="Body Text Indent 2 Char Char"/>
    <w:link w:val="56"/>
    <w:autoRedefine/>
    <w:qFormat/>
    <w:locked/>
    <w:uiPriority w:val="99"/>
  </w:style>
  <w:style w:type="paragraph" w:customStyle="1" w:styleId="56">
    <w:name w:val="正文文本缩进 21"/>
    <w:basedOn w:val="1"/>
    <w:link w:val="55"/>
    <w:qFormat/>
    <w:uiPriority w:val="99"/>
    <w:pPr>
      <w:adjustRightInd w:val="0"/>
      <w:spacing w:line="480" w:lineRule="auto"/>
      <w:ind w:firstLine="540"/>
    </w:pPr>
    <w:rPr>
      <w:rFonts w:ascii="Calibri" w:hAnsi="Calibri" w:eastAsia="等线"/>
      <w:kern w:val="0"/>
      <w:sz w:val="20"/>
    </w:rPr>
  </w:style>
  <w:style w:type="character" w:customStyle="1" w:styleId="57">
    <w:name w:val="批注主题 Char"/>
    <w:basedOn w:val="35"/>
    <w:link w:val="20"/>
    <w:autoRedefine/>
    <w:semiHidden/>
    <w:qFormat/>
    <w:locked/>
    <w:uiPriority w:val="99"/>
    <w:rPr>
      <w:rFonts w:ascii="Times New Roman" w:hAnsi="Times New Roman" w:eastAsia="宋体" w:cs="Times New Roman"/>
      <w:b/>
      <w:bCs/>
      <w:kern w:val="2"/>
      <w:sz w:val="21"/>
    </w:rPr>
  </w:style>
  <w:style w:type="character" w:customStyle="1" w:styleId="58">
    <w:name w:val="标题 4 字符"/>
    <w:basedOn w:val="25"/>
    <w:semiHidden/>
    <w:qFormat/>
    <w:uiPriority w:val="99"/>
    <w:rPr>
      <w:rFonts w:ascii="Cambria" w:hAnsi="Cambria" w:eastAsia="宋体" w:cs="Times New Roman"/>
      <w:b/>
      <w:bCs/>
      <w:kern w:val="2"/>
      <w:sz w:val="28"/>
      <w:szCs w:val="28"/>
    </w:rPr>
  </w:style>
  <w:style w:type="paragraph" w:customStyle="1" w:styleId="59">
    <w:name w:val="正文_0"/>
    <w:autoRedefine/>
    <w:qFormat/>
    <w:uiPriority w:val="99"/>
    <w:pPr>
      <w:widowControl w:val="0"/>
      <w:spacing w:line="360" w:lineRule="auto"/>
      <w:jc w:val="both"/>
    </w:pPr>
    <w:rPr>
      <w:rFonts w:ascii="宋体" w:hAnsi="宋体" w:eastAsia="宋体" w:cs="Times New Roman"/>
      <w:kern w:val="2"/>
      <w:sz w:val="24"/>
      <w:szCs w:val="24"/>
      <w:lang w:val="en-US" w:eastAsia="zh-CN" w:bidi="ar-SA"/>
    </w:rPr>
  </w:style>
  <w:style w:type="paragraph" w:customStyle="1" w:styleId="60">
    <w:name w:val="致远要点"/>
    <w:basedOn w:val="45"/>
    <w:link w:val="61"/>
    <w:autoRedefine/>
    <w:qFormat/>
    <w:uiPriority w:val="99"/>
    <w:pPr>
      <w:numPr>
        <w:ilvl w:val="0"/>
        <w:numId w:val="2"/>
      </w:numPr>
      <w:spacing w:before="120" w:after="120" w:line="360" w:lineRule="auto"/>
      <w:ind w:firstLine="0" w:firstLineChars="0"/>
    </w:pPr>
    <w:rPr>
      <w:rFonts w:ascii="黑体" w:hAnsi="黑体" w:eastAsia="黑体" w:cs="宋体"/>
      <w:sz w:val="24"/>
      <w:szCs w:val="22"/>
    </w:rPr>
  </w:style>
  <w:style w:type="character" w:customStyle="1" w:styleId="61">
    <w:name w:val="致远要点 字符"/>
    <w:basedOn w:val="25"/>
    <w:link w:val="60"/>
    <w:autoRedefine/>
    <w:qFormat/>
    <w:locked/>
    <w:uiPriority w:val="99"/>
    <w:rPr>
      <w:rFonts w:ascii="黑体" w:hAnsi="黑体" w:eastAsia="黑体" w:cs="宋体"/>
      <w:kern w:val="2"/>
      <w:sz w:val="22"/>
      <w:szCs w:val="22"/>
    </w:rPr>
  </w:style>
  <w:style w:type="paragraph" w:customStyle="1" w:styleId="62">
    <w:name w:val="SANGFOR_6_正文"/>
    <w:basedOn w:val="1"/>
    <w:qFormat/>
    <w:uiPriority w:val="99"/>
    <w:pPr>
      <w:spacing w:line="360" w:lineRule="auto"/>
    </w:pPr>
    <w:rPr>
      <w:szCs w:val="24"/>
    </w:rPr>
  </w:style>
  <w:style w:type="paragraph" w:customStyle="1" w:styleId="63">
    <w:name w:val="表格文字"/>
    <w:basedOn w:val="64"/>
    <w:autoRedefine/>
    <w:qFormat/>
    <w:uiPriority w:val="0"/>
    <w:pPr>
      <w:tabs>
        <w:tab w:val="left" w:pos="360"/>
        <w:tab w:val="left" w:pos="720"/>
      </w:tabs>
      <w:spacing w:before="25" w:after="25"/>
    </w:pPr>
    <w:rPr>
      <w:rFonts w:ascii="Times New Roman"/>
      <w:bCs/>
      <w:spacing w:val="10"/>
    </w:rPr>
  </w:style>
  <w:style w:type="paragraph" w:customStyle="1" w:styleId="64">
    <w:name w:val="项目符号"/>
    <w:basedOn w:val="1"/>
    <w:autoRedefine/>
    <w:qFormat/>
    <w:uiPriority w:val="0"/>
    <w:pPr>
      <w:tabs>
        <w:tab w:val="left" w:pos="360"/>
        <w:tab w:val="left" w:pos="720"/>
      </w:tabs>
      <w:spacing w:line="360" w:lineRule="auto"/>
      <w:ind w:left="200" w:hanging="200" w:hangingChars="200"/>
    </w:pPr>
    <w:rPr>
      <w:rFonts w:ascii="宋体" w:hAnsi="ˎ̥" w:cs="宋体"/>
      <w:color w:val="00000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kesin.Com</Company>
  <Pages>19</Pages>
  <Words>6490</Words>
  <Characters>6810</Characters>
  <Lines>51</Lines>
  <Paragraphs>14</Paragraphs>
  <TotalTime>122</TotalTime>
  <ScaleCrop>false</ScaleCrop>
  <LinksUpToDate>false</LinksUpToDate>
  <CharactersWithSpaces>6934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2024-03-22T09:20:00Z</dcterms:created>
  <dc:creator>Administrator</dc:creator>
  <cp:lastModifiedBy>严锡辉</cp:lastModifiedBy>
  <cp:lastPrinted>2025-12-20T08:34:29Z</cp:lastPrinted>
  <dcterms:modified xsi:type="dcterms:W3CDTF">2025-12-20T08:42:49Z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C52AE8F2DAA8457589A707AD6E91B808_13</vt:lpwstr>
  </property>
  <property fmtid="{D5CDD505-2E9C-101B-9397-08002B2CF9AE}" pid="4" name="KSOTemplateDocerSaveRecord">
    <vt:lpwstr>eyJoZGlkIjoiNDJjN2Q1M2RlNmNlNjY5YzRiZjQxM2U3YzlhNDlhN2UiLCJ1c2VySWQiOiIxNTgxOTc5MzkwIn0=</vt:lpwstr>
  </property>
</Properties>
</file>