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E466">
      <w:pPr>
        <w:adjustRightInd w:val="0"/>
        <w:snapToGrid w:val="0"/>
        <w:spacing w:before="120" w:after="120" w:line="276" w:lineRule="auto"/>
        <w:jc w:val="center"/>
        <w:rPr>
          <w:rFonts w:eastAsia="华文中宋"/>
          <w:color w:val="auto"/>
          <w:sz w:val="44"/>
          <w:szCs w:val="44"/>
          <w:highlight w:val="none"/>
        </w:rPr>
      </w:pPr>
      <w:bookmarkStart w:id="20" w:name="_GoBack"/>
      <w:r>
        <w:rPr>
          <w:rFonts w:hint="eastAsia" w:eastAsia="华文中宋"/>
          <w:color w:val="auto"/>
          <w:sz w:val="44"/>
          <w:szCs w:val="44"/>
          <w:highlight w:val="none"/>
        </w:rPr>
        <w:t>询价文件</w:t>
      </w:r>
    </w:p>
    <w:p w14:paraId="15D4891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eastAsia="仿宋_GB2312"/>
          <w:color w:val="auto"/>
          <w:sz w:val="32"/>
          <w:szCs w:val="32"/>
          <w:highlight w:val="none"/>
          <w:u w:val="single"/>
        </w:rPr>
        <w:t>开能环保能源有限公司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变压器高压配电柜更换拆装施工及电气传动试验</w:t>
      </w:r>
      <w:r>
        <w:rPr>
          <w:rFonts w:hint="eastAsia" w:eastAsia="仿宋_GB2312"/>
          <w:color w:val="auto"/>
          <w:sz w:val="32"/>
          <w:szCs w:val="32"/>
          <w:highlight w:val="none"/>
          <w:u w:val="single"/>
          <w:lang w:val="en-US" w:eastAsia="zh-CN"/>
        </w:rPr>
        <w:t>施工</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52FAED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ED44260">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阳江开能环保能源有限公司余热发电项目35KV变压器高压配电柜更换拆装施工及电气传动试验项目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（采购项目编号：</w:t>
      </w:r>
      <w:r>
        <w:rPr>
          <w:rFonts w:hint="eastAsia" w:eastAsia="仿宋_GB2312"/>
          <w:color w:val="auto"/>
          <w:sz w:val="32"/>
          <w:szCs w:val="32"/>
          <w:highlight w:val="none"/>
          <w:u w:val="single"/>
          <w:lang w:val="en-US" w:eastAsia="zh-CN"/>
        </w:rPr>
        <w:t>YJ</w:t>
      </w:r>
      <w:r>
        <w:rPr>
          <w:rFonts w:hint="eastAsia" w:eastAsia="仿宋_GB2312"/>
          <w:color w:val="auto"/>
          <w:sz w:val="32"/>
          <w:szCs w:val="32"/>
          <w:highlight w:val="none"/>
          <w:u w:val="single"/>
        </w:rPr>
        <w:t>KN（202</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）-GC-00</w:t>
      </w:r>
      <w:r>
        <w:rPr>
          <w:rFonts w:hint="eastAsia" w:eastAsia="仿宋_GB2312"/>
          <w:color w:val="auto"/>
          <w:sz w:val="32"/>
          <w:szCs w:val="32"/>
          <w:highlight w:val="none"/>
          <w:u w:val="single"/>
          <w:lang w:val="en-US" w:eastAsia="zh-CN"/>
        </w:rPr>
        <w:t>9-1</w:t>
      </w:r>
      <w:r>
        <w:rPr>
          <w:rFonts w:hint="eastAsia" w:eastAsia="仿宋_GB2312"/>
          <w:color w:val="auto"/>
          <w:sz w:val="32"/>
          <w:szCs w:val="32"/>
          <w:highlight w:val="none"/>
          <w:u w:val="single"/>
        </w:rPr>
        <w:t>）；</w:t>
      </w:r>
    </w:p>
    <w:p w14:paraId="6D406A48">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使用采购人新购的两个配电柜及一个PT柜对原有配电柜进行拆装更换，分别为PT柜AH2、35KV变压器柜AH3、35KV母线进线柜AH4及配套综保装置，其中配套综合保护器放置于中控室电子间，单根电缆长度距离约为80M，综保控制线需安装一段约30M电缆桥架（电缆桥架由采购人提供）；另同步对采购人10KV母线及开关柜G1、G2、G3、G7、G8、G9共6个高压开关及综保、互感器、一台35KV主变压器（20000KVA）、两台10KV干式变压器（2000KVA）等电气设备进行预防性试验。</w:t>
      </w:r>
    </w:p>
    <w:p w14:paraId="63B7A262">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rPr>
        <w:t> 广东省阳江市高新区港口工业区海港二横路一号阳江开能环保能源有限公司</w:t>
      </w:r>
      <w:r>
        <w:rPr>
          <w:rFonts w:hint="eastAsia" w:eastAsia="仿宋_GB2312"/>
          <w:color w:val="auto"/>
          <w:sz w:val="32"/>
          <w:szCs w:val="32"/>
          <w:highlight w:val="none"/>
          <w:u w:val="single"/>
        </w:rPr>
        <w:t>；</w:t>
      </w:r>
    </w:p>
    <w:p w14:paraId="612F200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、工期</w:t>
      </w:r>
      <w:r>
        <w:rPr>
          <w:rFonts w:hint="eastAsia" w:eastAsia="仿宋_GB2312"/>
          <w:color w:val="auto"/>
          <w:sz w:val="32"/>
          <w:szCs w:val="32"/>
          <w:highlight w:val="none"/>
          <w:lang w:val="en-US" w:eastAsia="zh-CN"/>
        </w:rPr>
        <w:t>要求</w:t>
      </w:r>
      <w:r>
        <w:rPr>
          <w:rFonts w:hint="eastAsia" w:eastAsia="仿宋_GB2312"/>
          <w:color w:val="auto"/>
          <w:sz w:val="32"/>
          <w:szCs w:val="32"/>
          <w:highlight w:val="none"/>
        </w:rPr>
        <w:t>：</w:t>
      </w:r>
      <w:r>
        <w:rPr>
          <w:rFonts w:hint="eastAsia" w:eastAsia="仿宋_GB2312"/>
          <w:color w:val="auto"/>
          <w:sz w:val="32"/>
          <w:szCs w:val="32"/>
          <w:highlight w:val="none"/>
          <w:u w:val="single"/>
        </w:rPr>
        <w:t>本项目总工期为8天，开工时间为自采购人新采购的开关柜到货后，由采购人根据检修工作安排出具开工通知书</w:t>
      </w:r>
      <w:r>
        <w:rPr>
          <w:rFonts w:hint="eastAsia" w:eastAsia="仿宋_GB2312"/>
          <w:color w:val="auto"/>
          <w:sz w:val="32"/>
          <w:szCs w:val="32"/>
          <w:highlight w:val="none"/>
          <w:u w:val="single"/>
          <w:lang w:val="en-US" w:eastAsia="zh-CN"/>
        </w:rPr>
        <w:t>。</w:t>
      </w:r>
    </w:p>
    <w:p w14:paraId="01F21C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B6EE2E9">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56665BAC">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00DAC442">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20E5553">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35KV及以上高压柜安装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11</w:t>
      </w:r>
      <w:r>
        <w:rPr>
          <w:rFonts w:hint="eastAsia" w:ascii="仿宋" w:hAnsi="仿宋" w:eastAsia="仿宋"/>
          <w:color w:val="auto"/>
          <w:sz w:val="32"/>
          <w:szCs w:val="32"/>
          <w:highlight w:val="none"/>
        </w:rPr>
        <w:t>月</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3</w:t>
      </w:r>
      <w:r>
        <w:rPr>
          <w:rFonts w:hint="eastAsia" w:ascii="仿宋" w:hAnsi="仿宋" w:eastAsia="仿宋"/>
          <w:color w:val="auto"/>
          <w:sz w:val="32"/>
          <w:szCs w:val="32"/>
          <w:highlight w:val="none"/>
          <w:u w:val="single"/>
          <w:lang w:val="en-US" w:eastAsia="zh-CN"/>
        </w:rPr>
        <w:t>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u w:val="single"/>
          <w:lang w:val="en-US" w:eastAsia="zh-CN"/>
        </w:rPr>
        <w:t> 35KV及以上高压柜安装的业绩（整体施工项目中含有或单独施工项目的均可）</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1A8A83C6">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资质要求：响应人须具备电力工程施工总承包三级或电力承装（修、试）三级及以上资质证书，且在有效期内。【提供资质证书复印件（加盖公章）】</w:t>
      </w:r>
    </w:p>
    <w:p w14:paraId="2BF9F8F2">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rPr>
        <w:t>相关</w:t>
      </w:r>
      <w:r>
        <w:rPr>
          <w:rFonts w:hint="eastAsia" w:eastAsia="仿宋_GB2312"/>
          <w:color w:val="auto"/>
          <w:sz w:val="32"/>
          <w:szCs w:val="32"/>
          <w:highlight w:val="none"/>
        </w:rPr>
        <w:t>领域黑名单。</w:t>
      </w:r>
    </w:p>
    <w:p w14:paraId="34A30AD7">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、本项目不接受联合体报价。</w:t>
      </w:r>
    </w:p>
    <w:p w14:paraId="7243BAE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48B72B9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具体要求详见本询价文件附件</w:t>
      </w:r>
      <w:r>
        <w:rPr>
          <w:rFonts w:hint="eastAsia" w:eastAsia="仿宋_GB2312"/>
          <w:color w:val="auto"/>
          <w:sz w:val="32"/>
          <w:szCs w:val="32"/>
          <w:highlight w:val="none"/>
          <w:u w:val="single"/>
          <w:lang w:val="en-US" w:eastAsia="zh-CN"/>
        </w:rPr>
        <w:t>二《报价函及清单》以及附件六《阳江开能环保能源有限公司余热发电项目35KV变压器高压配电柜更换拆装施工及电气传动试验项目技术协议》</w:t>
      </w:r>
      <w:r>
        <w:rPr>
          <w:rFonts w:hint="eastAsia" w:eastAsia="仿宋_GB2312"/>
          <w:color w:val="auto"/>
          <w:sz w:val="32"/>
          <w:szCs w:val="32"/>
          <w:highlight w:val="none"/>
        </w:rPr>
        <w:t>。响应人须仔细</w:t>
      </w:r>
      <w:r>
        <w:rPr>
          <w:rFonts w:hint="eastAsia" w:eastAsia="仿宋_GB2312"/>
          <w:color w:val="auto"/>
          <w:sz w:val="32"/>
          <w:szCs w:val="32"/>
          <w:highlight w:val="none"/>
          <w:lang w:val="en-US" w:eastAsia="zh-CN"/>
        </w:rPr>
        <w:t>了解清单及技术规范所列内容</w:t>
      </w:r>
      <w:r>
        <w:rPr>
          <w:rFonts w:hint="eastAsia" w:eastAsia="仿宋_GB2312"/>
          <w:color w:val="auto"/>
          <w:sz w:val="32"/>
          <w:szCs w:val="32"/>
          <w:highlight w:val="none"/>
        </w:rPr>
        <w:t>，因未详细了解造成报价项目遗漏，由响应人自行负责。</w:t>
      </w:r>
    </w:p>
    <w:p w14:paraId="77F916D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A696641">
      <w:pPr>
        <w:adjustRightInd w:val="0"/>
        <w:snapToGrid w:val="0"/>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工期</w:t>
      </w:r>
      <w:r>
        <w:rPr>
          <w:rFonts w:hint="eastAsia" w:eastAsia="仿宋_GB2312"/>
          <w:color w:val="auto"/>
          <w:sz w:val="32"/>
          <w:szCs w:val="32"/>
          <w:highlight w:val="none"/>
          <w:u w:val="single"/>
          <w:lang w:val="en-US" w:eastAsia="zh-CN"/>
        </w:rPr>
        <w:t>要求</w:t>
      </w:r>
      <w:r>
        <w:rPr>
          <w:rFonts w:hint="eastAsia" w:eastAsia="仿宋_GB2312"/>
          <w:color w:val="auto"/>
          <w:sz w:val="32"/>
          <w:szCs w:val="32"/>
          <w:highlight w:val="none"/>
          <w:u w:val="single"/>
        </w:rPr>
        <w:t>：本项目总工期为8天，开工时间为自采购人新采购的开关柜到货后，由采购人根据检修工作安排出具开工通知书</w:t>
      </w:r>
      <w:r>
        <w:rPr>
          <w:rFonts w:hint="eastAsia" w:eastAsia="仿宋_GB2312"/>
          <w:color w:val="auto"/>
          <w:sz w:val="32"/>
          <w:szCs w:val="32"/>
          <w:highlight w:val="none"/>
          <w:u w:val="single"/>
          <w:lang w:val="en-US" w:eastAsia="zh-CN"/>
        </w:rPr>
        <w:t>。</w:t>
      </w:r>
    </w:p>
    <w:p w14:paraId="20D82FF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 xml:space="preserve">六、支付方式 </w:t>
      </w:r>
    </w:p>
    <w:p w14:paraId="58E08638">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预付款：合同签定生效后，成交人开出预付款等额发票，支付合同总额的20%预付款。</w:t>
      </w:r>
    </w:p>
    <w:p w14:paraId="6F4DE7C5">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2、</w:t>
      </w:r>
      <w:r>
        <w:rPr>
          <w:rFonts w:hint="eastAsia" w:eastAsia="仿宋_GB2312"/>
          <w:color w:val="auto"/>
          <w:sz w:val="32"/>
          <w:szCs w:val="32"/>
          <w:highlight w:val="none"/>
        </w:rPr>
        <w:t>完工</w:t>
      </w:r>
      <w:r>
        <w:rPr>
          <w:rFonts w:hint="eastAsia" w:eastAsia="仿宋_GB2312"/>
          <w:color w:val="auto"/>
          <w:sz w:val="32"/>
          <w:szCs w:val="32"/>
          <w:highlight w:val="none"/>
          <w:lang w:val="en-US" w:eastAsia="zh-CN"/>
        </w:rPr>
        <w:t>验收</w:t>
      </w:r>
      <w:r>
        <w:rPr>
          <w:rFonts w:hint="eastAsia" w:eastAsia="仿宋_GB2312"/>
          <w:color w:val="auto"/>
          <w:sz w:val="32"/>
          <w:szCs w:val="32"/>
          <w:highlight w:val="none"/>
        </w:rPr>
        <w:t>款：</w:t>
      </w:r>
      <w:r>
        <w:rPr>
          <w:rFonts w:hint="eastAsia" w:eastAsia="仿宋_GB2312"/>
          <w:color w:val="auto"/>
          <w:sz w:val="32"/>
          <w:szCs w:val="32"/>
          <w:highlight w:val="none"/>
          <w:lang w:val="en-US" w:eastAsia="zh-CN"/>
        </w:rPr>
        <w:t>项目完工验收合格，采购人收到成交人提供合同剩余金额发票后，支付至合同结算总价的97%</w:t>
      </w:r>
      <w:r>
        <w:rPr>
          <w:rFonts w:hint="eastAsia" w:eastAsia="仿宋_GB2312"/>
          <w:color w:val="auto"/>
          <w:sz w:val="32"/>
          <w:szCs w:val="32"/>
          <w:highlight w:val="none"/>
        </w:rPr>
        <w:t>。</w:t>
      </w:r>
    </w:p>
    <w:p w14:paraId="2829C07D">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质保金</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本项目质量保证金为最终结算价款的3%，报价单位对施工内容予以质保期质量担保，质保期为自项目验收合格后满一年</w:t>
      </w:r>
      <w:r>
        <w:rPr>
          <w:rFonts w:hint="eastAsia" w:eastAsia="仿宋_GB2312"/>
          <w:color w:val="auto"/>
          <w:sz w:val="32"/>
          <w:szCs w:val="32"/>
          <w:highlight w:val="none"/>
        </w:rPr>
        <w:t>。质保期到期后的一个月内，成交人向采购人申请支付相应质保金。</w:t>
      </w:r>
    </w:p>
    <w:p w14:paraId="5A1CE5F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6EF26A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u w:val="none"/>
        </w:rPr>
        <w:t>人民币</w:t>
      </w:r>
      <w:r>
        <w:rPr>
          <w:rFonts w:eastAsia="仿宋_GB2312"/>
          <w:color w:val="auto"/>
          <w:sz w:val="32"/>
          <w:szCs w:val="32"/>
          <w:highlight w:val="none"/>
          <w:u w:val="single"/>
        </w:rPr>
        <w:t>¥</w:t>
      </w:r>
      <w:r>
        <w:rPr>
          <w:rFonts w:hint="eastAsia" w:eastAsia="仿宋_GB2312"/>
          <w:color w:val="auto"/>
          <w:sz w:val="32"/>
          <w:szCs w:val="32"/>
          <w:highlight w:val="none"/>
          <w:u w:val="single"/>
          <w:lang w:val="en-US" w:eastAsia="zh-CN"/>
        </w:rPr>
        <w:t>120000.00元</w:t>
      </w:r>
      <w:r>
        <w:rPr>
          <w:rFonts w:hint="eastAsia" w:eastAsia="仿宋_GB2312"/>
          <w:color w:val="auto"/>
          <w:sz w:val="32"/>
          <w:szCs w:val="32"/>
          <w:highlight w:val="none"/>
          <w:u w:val="single"/>
        </w:rPr>
        <w:t>整（大写：</w:t>
      </w:r>
      <w:r>
        <w:rPr>
          <w:rFonts w:hint="eastAsia" w:eastAsia="仿宋_GB2312"/>
          <w:color w:val="auto"/>
          <w:sz w:val="32"/>
          <w:szCs w:val="32"/>
          <w:highlight w:val="none"/>
          <w:u w:val="single"/>
          <w:lang w:val="en-US" w:eastAsia="zh-CN"/>
        </w:rPr>
        <w:t>壹拾贰万</w:t>
      </w:r>
      <w:r>
        <w:rPr>
          <w:rFonts w:hint="eastAsia" w:eastAsia="仿宋_GB2312"/>
          <w:color w:val="auto"/>
          <w:sz w:val="32"/>
          <w:szCs w:val="32"/>
          <w:highlight w:val="none"/>
          <w:u w:val="single"/>
        </w:rPr>
        <w:t>元整）</w:t>
      </w:r>
      <w:r>
        <w:rPr>
          <w:rFonts w:hint="eastAsia" w:eastAsia="仿宋_GB2312"/>
          <w:color w:val="auto"/>
          <w:sz w:val="32"/>
          <w:szCs w:val="32"/>
          <w:highlight w:val="none"/>
        </w:rPr>
        <w:t>（含税）。</w:t>
      </w:r>
    </w:p>
    <w:p w14:paraId="41F904C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固定单价暂定总价的形式，承包内容为</w:t>
      </w:r>
      <w:r>
        <w:rPr>
          <w:rFonts w:hint="eastAsia" w:eastAsia="仿宋_GB2312"/>
          <w:color w:val="auto"/>
          <w:sz w:val="32"/>
          <w:szCs w:val="32"/>
          <w:highlight w:val="none"/>
          <w:u w:val="single"/>
        </w:rPr>
        <w:t>附件</w:t>
      </w:r>
      <w:r>
        <w:rPr>
          <w:rFonts w:hint="eastAsia" w:eastAsia="仿宋_GB2312"/>
          <w:color w:val="auto"/>
          <w:sz w:val="32"/>
          <w:szCs w:val="32"/>
          <w:highlight w:val="none"/>
          <w:u w:val="single"/>
          <w:lang w:val="en-US" w:eastAsia="zh-CN"/>
        </w:rPr>
        <w:t>二《报价函及清单》以及附件六《阳江开能环保能源有限公司余热发电项目35KV变压器高压配电柜更换拆装施工及电气传动试验项目技术协议》的全部内容</w:t>
      </w:r>
      <w:r>
        <w:rPr>
          <w:rFonts w:hint="eastAsia" w:eastAsia="仿宋_GB2312"/>
          <w:color w:val="auto"/>
          <w:sz w:val="32"/>
          <w:szCs w:val="32"/>
          <w:highlight w:val="none"/>
        </w:rPr>
        <w:t>。</w:t>
      </w:r>
    </w:p>
    <w:p w14:paraId="4EE5010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3B2175C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w:t>
      </w:r>
      <w:r>
        <w:rPr>
          <w:rFonts w:hint="eastAsia" w:eastAsia="仿宋_GB2312"/>
          <w:color w:val="auto"/>
          <w:sz w:val="32"/>
          <w:szCs w:val="32"/>
          <w:highlight w:val="none"/>
          <w:u w:val="single"/>
          <w:lang w:val="en-US" w:eastAsia="zh-CN"/>
        </w:rPr>
        <w:t>不含税</w:t>
      </w:r>
      <w:r>
        <w:rPr>
          <w:rFonts w:hint="eastAsia" w:eastAsia="仿宋_GB2312"/>
          <w:color w:val="auto"/>
          <w:sz w:val="32"/>
          <w:szCs w:val="32"/>
          <w:highlight w:val="none"/>
          <w:u w:val="single"/>
        </w:rPr>
        <w:t>报价最低的原则，推荐成交候选供应商。</w:t>
      </w:r>
    </w:p>
    <w:p w14:paraId="28D038EB">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3771E67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050C8E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合同签订的依据为附件七合同模板询价函、响应文件及补充说明等。确定成交单位后，成交单位在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4F58883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0B5B28E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7FF7CB99">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60528BF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05844CC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63C4EE96">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59F34015">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5、投标人未到场证明（如需）</w:t>
      </w:r>
    </w:p>
    <w:p w14:paraId="14536C5E">
      <w:pPr>
        <w:pStyle w:val="6"/>
        <w:ind w:left="0" w:leftChars="0" w:firstLine="640" w:firstLineChars="200"/>
        <w:rPr>
          <w:color w:val="auto"/>
          <w:highlight w:val="none"/>
        </w:rPr>
      </w:pPr>
      <w:r>
        <w:rPr>
          <w:rFonts w:hint="eastAsia" w:ascii="Times New Roman" w:hAnsi="Times New Roman" w:eastAsia="仿宋_GB2312" w:cs="Times New Roman"/>
          <w:color w:val="auto"/>
          <w:kern w:val="2"/>
          <w:sz w:val="32"/>
          <w:szCs w:val="32"/>
          <w:highlight w:val="none"/>
          <w:lang w:val="en-US" w:eastAsia="zh-CN" w:bidi="ar-SA"/>
        </w:rPr>
        <w:t>6、</w:t>
      </w:r>
      <w:r>
        <w:rPr>
          <w:rFonts w:hint="eastAsia" w:eastAsia="仿宋_GB2312"/>
          <w:color w:val="auto"/>
          <w:sz w:val="32"/>
          <w:szCs w:val="32"/>
          <w:highlight w:val="none"/>
        </w:rPr>
        <w:t>商务技术偏离表（模板）</w:t>
      </w:r>
    </w:p>
    <w:p w14:paraId="6146C36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、符合“响应人资格要求”对应的证明资料；</w:t>
      </w:r>
    </w:p>
    <w:p w14:paraId="079058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8</w:t>
      </w:r>
      <w:r>
        <w:rPr>
          <w:rFonts w:hint="eastAsia" w:eastAsia="仿宋_GB2312"/>
          <w:color w:val="auto"/>
          <w:sz w:val="32"/>
          <w:szCs w:val="32"/>
          <w:highlight w:val="none"/>
        </w:rPr>
        <w:t>、响应人认为需要提供的其他资料。</w:t>
      </w:r>
    </w:p>
    <w:p w14:paraId="448FB00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2BEACE7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54F960D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37AC3950">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48D4D8E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1、开标前，响应人应在项目开标前缴纳人民币</w:t>
      </w:r>
      <w:r>
        <w:rPr>
          <w:rFonts w:hint="eastAsia" w:eastAsia="仿宋_GB2312"/>
          <w:color w:val="auto"/>
          <w:sz w:val="32"/>
          <w:szCs w:val="32"/>
          <w:highlight w:val="none"/>
          <w:u w:val="single"/>
          <w:lang w:val="en-US" w:eastAsia="zh-CN"/>
        </w:rPr>
        <w:t>贰仟肆佰元</w:t>
      </w:r>
      <w:r>
        <w:rPr>
          <w:rFonts w:hint="eastAsia" w:eastAsia="仿宋_GB2312"/>
          <w:color w:val="auto"/>
          <w:sz w:val="32"/>
          <w:szCs w:val="32"/>
          <w:highlight w:val="none"/>
          <w:u w:val="single"/>
        </w:rPr>
        <w:t>整（小写￥</w:t>
      </w:r>
      <w:r>
        <w:rPr>
          <w:rFonts w:hint="eastAsia" w:eastAsia="仿宋_GB2312"/>
          <w:color w:val="auto"/>
          <w:sz w:val="32"/>
          <w:szCs w:val="32"/>
          <w:highlight w:val="none"/>
          <w:u w:val="single"/>
          <w:lang w:val="en-US" w:eastAsia="zh-CN"/>
        </w:rPr>
        <w:t>240</w:t>
      </w:r>
      <w:r>
        <w:rPr>
          <w:rFonts w:hint="eastAsia" w:eastAsia="仿宋_GB2312"/>
          <w:color w:val="auto"/>
          <w:sz w:val="32"/>
          <w:szCs w:val="32"/>
          <w:highlight w:val="none"/>
          <w:u w:val="single"/>
        </w:rPr>
        <w:t>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4EAF5FD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报价保证金收款账户信息：</w:t>
      </w:r>
    </w:p>
    <w:p w14:paraId="17A09DE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p>
    <w:p w14:paraId="2396C65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49766B2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2ABE4BF9">
      <w:pPr>
        <w:spacing w:line="600" w:lineRule="exact"/>
        <w:ind w:firstLine="640" w:firstLineChars="200"/>
        <w:rPr>
          <w:color w:val="auto"/>
          <w:highlight w:val="none"/>
        </w:rPr>
      </w:pPr>
      <w:r>
        <w:rPr>
          <w:rFonts w:hint="eastAsia" w:eastAsia="仿宋_GB2312"/>
          <w:color w:val="auto"/>
          <w:sz w:val="32"/>
          <w:szCs w:val="32"/>
          <w:highlight w:val="none"/>
          <w:u w:val="single"/>
        </w:rPr>
        <w:t>2、成交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的报价保证金在本项目合同签订后自动转为履约保证金，作为成交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在履约过程中违约金或罚款的扣罚来源之一，履约保证金申请返还时间为采购人</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最终验收合格后，成交单位没有任何违约的情况下由成交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提交退款申请，收到成交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申请后30个日历日内，采购人一次性无息退回。</w:t>
      </w:r>
    </w:p>
    <w:p w14:paraId="1C31280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52B0E06F">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1、接收响应文件截止及开标时间：</w:t>
      </w:r>
      <w:r>
        <w:rPr>
          <w:rFonts w:hint="eastAsia" w:eastAsia="仿宋_GB2312"/>
          <w:b/>
          <w:color w:val="auto"/>
          <w:sz w:val="32"/>
          <w:szCs w:val="32"/>
          <w:highlight w:val="none"/>
          <w:u w:val="single"/>
        </w:rPr>
        <w:t>202</w:t>
      </w:r>
      <w:r>
        <w:rPr>
          <w:rFonts w:hint="eastAsia" w:eastAsia="仿宋_GB2312"/>
          <w:b/>
          <w:color w:val="auto"/>
          <w:sz w:val="32"/>
          <w:szCs w:val="32"/>
          <w:highlight w:val="none"/>
          <w:u w:val="single"/>
          <w:lang w:val="en-US" w:eastAsia="zh-CN"/>
        </w:rPr>
        <w:t>5</w:t>
      </w:r>
      <w:r>
        <w:rPr>
          <w:rFonts w:hint="eastAsia" w:eastAsia="仿宋_GB2312"/>
          <w:b/>
          <w:color w:val="auto"/>
          <w:sz w:val="32"/>
          <w:szCs w:val="32"/>
          <w:highlight w:val="none"/>
          <w:u w:val="single"/>
        </w:rPr>
        <w:t>  年</w:t>
      </w:r>
      <w:r>
        <w:rPr>
          <w:rFonts w:hint="eastAsia" w:eastAsia="仿宋_GB2312"/>
          <w:b/>
          <w:color w:val="auto"/>
          <w:sz w:val="32"/>
          <w:szCs w:val="32"/>
          <w:highlight w:val="none"/>
          <w:u w:val="single"/>
          <w:lang w:val="en-US" w:eastAsia="zh-CN"/>
        </w:rPr>
        <w:t>12</w:t>
      </w:r>
      <w:r>
        <w:rPr>
          <w:rFonts w:hint="eastAsia" w:eastAsia="仿宋_GB2312"/>
          <w:b/>
          <w:color w:val="auto"/>
          <w:sz w:val="32"/>
          <w:szCs w:val="32"/>
          <w:highlight w:val="none"/>
          <w:u w:val="single"/>
        </w:rPr>
        <w:t>  月</w:t>
      </w:r>
      <w:r>
        <w:rPr>
          <w:rFonts w:hint="eastAsia" w:eastAsia="仿宋_GB2312"/>
          <w:b/>
          <w:color w:val="auto"/>
          <w:sz w:val="32"/>
          <w:szCs w:val="32"/>
          <w:highlight w:val="none"/>
          <w:u w:val="single"/>
          <w:lang w:val="en-US" w:eastAsia="zh-CN"/>
        </w:rPr>
        <w:t>25</w:t>
      </w:r>
      <w:r>
        <w:rPr>
          <w:rFonts w:hint="eastAsia" w:eastAsia="仿宋_GB2312"/>
          <w:b/>
          <w:color w:val="auto"/>
          <w:sz w:val="32"/>
          <w:szCs w:val="32"/>
          <w:highlight w:val="none"/>
          <w:u w:val="single"/>
        </w:rPr>
        <w:t> 日（星期 </w:t>
      </w:r>
      <w:r>
        <w:rPr>
          <w:rFonts w:hint="eastAsia" w:eastAsia="仿宋_GB2312"/>
          <w:b/>
          <w:color w:val="auto"/>
          <w:sz w:val="32"/>
          <w:szCs w:val="32"/>
          <w:highlight w:val="none"/>
          <w:u w:val="single"/>
          <w:lang w:val="en-US" w:eastAsia="zh-CN"/>
        </w:rPr>
        <w:t>四</w:t>
      </w:r>
      <w:r>
        <w:rPr>
          <w:rFonts w:hint="eastAsia" w:eastAsia="仿宋_GB2312"/>
          <w:b/>
          <w:color w:val="auto"/>
          <w:sz w:val="32"/>
          <w:szCs w:val="32"/>
          <w:highlight w:val="none"/>
          <w:u w:val="single"/>
        </w:rPr>
        <w:t>）下午15:00</w:t>
      </w:r>
      <w:r>
        <w:rPr>
          <w:rFonts w:hint="eastAsia" w:eastAsia="仿宋_GB2312"/>
          <w:b/>
          <w:color w:val="auto"/>
          <w:sz w:val="32"/>
          <w:szCs w:val="32"/>
          <w:highlight w:val="none"/>
        </w:rPr>
        <w:t>。</w:t>
      </w:r>
    </w:p>
    <w:p w14:paraId="45C615FB">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2、本项目原则上需要现场递交报价文件，如报价人因自身原因无法到现场开标，可选择邮寄递交报价文件。</w:t>
      </w:r>
    </w:p>
    <w:p w14:paraId="606B6403">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1CE3920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4714CF41">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报价人现场递交报价文件地址：广东省东莞市东城街道八一路1号机关二号大院九号楼102会议室，逾期无效。</w:t>
      </w:r>
    </w:p>
    <w:p w14:paraId="4E4B8EC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504FA0D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3627297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37C97E17">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收件地址：广东省东莞市东城街道八一路1号机关二号大院九号楼102会议室</w:t>
      </w:r>
    </w:p>
    <w:p w14:paraId="7EC510EE">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联系人：吕先生</w:t>
      </w:r>
    </w:p>
    <w:p w14:paraId="3FADAC06">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联系电话：15692019575</w:t>
      </w:r>
    </w:p>
    <w:p w14:paraId="6989FB7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1BDD179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786DE4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949B15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42B39413">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AF7C10C">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59821103">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5D7D8FFA">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2EC64797">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00261092">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48D01ECB">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7551152B">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 xml:space="preserve">   </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开能环保能源有限公司</w:t>
      </w:r>
    </w:p>
    <w:p w14:paraId="5FA7EA2D">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12</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17</w:t>
      </w:r>
      <w:r>
        <w:rPr>
          <w:rFonts w:hint="eastAsia" w:eastAsia="仿宋_GB2312"/>
          <w:color w:val="auto"/>
          <w:sz w:val="32"/>
          <w:szCs w:val="32"/>
          <w:highlight w:val="none"/>
        </w:rPr>
        <w:t>日</w:t>
      </w:r>
    </w:p>
    <w:p w14:paraId="4F8A599E">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4488CD58">
      <w:pPr>
        <w:pStyle w:val="4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DFF64B">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1F50C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2FFFA2E">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34C53F65">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2C860BB">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4B2332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9FAE8F">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7B12B7A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FB643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阳江开能环保能源有限公司余热发电项目35KV变压器高压配电柜更换拆装施工及电气传动试验项目（重新采购）</w:t>
            </w:r>
          </w:p>
        </w:tc>
      </w:tr>
      <w:tr w14:paraId="707C37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769F2C9">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12ACBFF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20B0B6FD">
            <w:pPr>
              <w:spacing w:line="360" w:lineRule="auto"/>
              <w:rPr>
                <w:rFonts w:eastAsia="仿宋_GB2312"/>
                <w:color w:val="auto"/>
                <w:sz w:val="32"/>
                <w:szCs w:val="32"/>
                <w:highlight w:val="none"/>
              </w:rPr>
            </w:pPr>
            <w:r>
              <w:rPr>
                <w:rFonts w:hint="eastAsia" w:eastAsia="仿宋_GB2312"/>
                <w:color w:val="auto"/>
                <w:sz w:val="32"/>
                <w:szCs w:val="32"/>
                <w:highlight w:val="none"/>
                <w:lang w:val="en-US" w:eastAsia="zh-CN"/>
              </w:rPr>
              <w:t>广东省阳江市高新区港口工业区海港二横路一号阳江开能环保能源有限公司</w:t>
            </w:r>
          </w:p>
        </w:tc>
      </w:tr>
      <w:tr w14:paraId="088FA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2956F6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2</w:t>
            </w:r>
          </w:p>
        </w:tc>
        <w:tc>
          <w:tcPr>
            <w:tcW w:w="2275" w:type="dxa"/>
            <w:vAlign w:val="center"/>
          </w:tcPr>
          <w:p w14:paraId="524C810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1B8C4AE3">
            <w:pPr>
              <w:spacing w:line="500" w:lineRule="exact"/>
              <w:jc w:val="left"/>
              <w:rPr>
                <w:rFonts w:hint="default" w:eastAsia="仿宋_GB2312"/>
                <w:color w:val="auto"/>
                <w:sz w:val="32"/>
                <w:szCs w:val="32"/>
                <w:highlight w:val="none"/>
                <w:lang w:val="en-US" w:eastAsia="zh-CN"/>
              </w:rPr>
            </w:pPr>
            <w:r>
              <w:rPr>
                <w:rFonts w:hint="eastAsia" w:eastAsia="仿宋_GB2312"/>
                <w:color w:val="auto"/>
                <w:sz w:val="32"/>
                <w:szCs w:val="32"/>
                <w:highlight w:val="none"/>
                <w:u w:val="none"/>
                <w:lang w:val="en-US" w:eastAsia="zh-CN"/>
              </w:rPr>
              <w:t>本项目总工期为8天，开工时间为自采购人新采购的开关柜到货后，由采购人根据检修工作安排出具开工通知书。</w:t>
            </w:r>
          </w:p>
        </w:tc>
      </w:tr>
      <w:tr w14:paraId="6E06FE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DAE74F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076A5CB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3615E37F">
            <w:pPr>
              <w:adjustRightInd w:val="0"/>
              <w:snapToGrid w:val="0"/>
              <w:spacing w:line="560" w:lineRule="exact"/>
              <w:rPr>
                <w:rFonts w:hint="default" w:eastAsia="仿宋_GB2312"/>
                <w:color w:val="auto"/>
                <w:sz w:val="32"/>
                <w:szCs w:val="32"/>
                <w:highlight w:val="none"/>
                <w:lang w:val="en-US" w:eastAsia="zh-CN"/>
              </w:rPr>
            </w:pPr>
            <w:r>
              <w:rPr>
                <w:rFonts w:hint="eastAsia" w:ascii="仿宋" w:hAnsi="仿宋" w:eastAsia="仿宋"/>
                <w:color w:val="auto"/>
                <w:sz w:val="32"/>
                <w:szCs w:val="32"/>
                <w:highlight w:val="none"/>
              </w:rPr>
              <w:t>响应人须具备电力工程施工总承包三级或电力承装（修、试）三级及以上资质证书，且在有效期内。</w:t>
            </w:r>
          </w:p>
        </w:tc>
      </w:tr>
      <w:tr w14:paraId="1C7D27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A92565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tcPr>
          <w:p w14:paraId="413B9D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204B835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贰仟肆佰</w:t>
            </w:r>
            <w:r>
              <w:rPr>
                <w:rFonts w:hint="eastAsia" w:eastAsia="仿宋_GB2312"/>
                <w:color w:val="auto"/>
                <w:sz w:val="30"/>
                <w:szCs w:val="30"/>
                <w:highlight w:val="none"/>
                <w:u w:val="single"/>
              </w:rPr>
              <w:t>元整（小写￥</w:t>
            </w:r>
            <w:r>
              <w:rPr>
                <w:rFonts w:hint="eastAsia" w:eastAsia="仿宋_GB2312"/>
                <w:color w:val="auto"/>
                <w:sz w:val="30"/>
                <w:szCs w:val="30"/>
                <w:highlight w:val="none"/>
                <w:u w:val="single"/>
                <w:lang w:val="en-US" w:eastAsia="zh-CN"/>
              </w:rPr>
              <w:t>24</w:t>
            </w:r>
            <w:r>
              <w:rPr>
                <w:rFonts w:hint="eastAsia" w:eastAsia="仿宋_GB2312"/>
                <w:color w:val="auto"/>
                <w:sz w:val="30"/>
                <w:szCs w:val="30"/>
                <w:highlight w:val="none"/>
                <w:u w:val="single"/>
              </w:rPr>
              <w:t>00.00元）至以下投标保</w:t>
            </w:r>
            <w:r>
              <w:rPr>
                <w:rFonts w:hint="eastAsia" w:eastAsia="仿宋_GB2312"/>
                <w:color w:val="auto"/>
                <w:sz w:val="32"/>
                <w:szCs w:val="32"/>
                <w:highlight w:val="none"/>
                <w:u w:val="single"/>
              </w:rPr>
              <w:t>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540EF9D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421F7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帐户名称：</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 xml:space="preserve">开能环保能源有限公司；                            </w:t>
            </w:r>
          </w:p>
          <w:p w14:paraId="2F58244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开户银行：广发银行股份有限公司阳江分行；                         </w:t>
            </w:r>
          </w:p>
          <w:p w14:paraId="0127D6C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银行帐号：9550 8802 0063 4500 171。         </w:t>
            </w:r>
          </w:p>
        </w:tc>
      </w:tr>
      <w:tr w14:paraId="5C7999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F6543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tcPr>
          <w:p w14:paraId="60FF24E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4B82D9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671CB5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1F56E3">
            <w:pPr>
              <w:spacing w:line="360" w:lineRule="auto"/>
              <w:jc w:val="center"/>
              <w:rPr>
                <w:rFonts w:eastAsia="仿宋_GB2312"/>
                <w:color w:val="auto"/>
                <w:sz w:val="32"/>
                <w:szCs w:val="32"/>
                <w:highlight w:val="none"/>
              </w:rPr>
            </w:pPr>
          </w:p>
        </w:tc>
        <w:tc>
          <w:tcPr>
            <w:tcW w:w="2275" w:type="dxa"/>
            <w:vAlign w:val="center"/>
          </w:tcPr>
          <w:p w14:paraId="5D5C86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65E8A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F3DE4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CAB09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434302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58257E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04E2160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24BD3B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C478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1BED799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1873FBA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B1A1B8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1D2D1CC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430603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4D746C1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19B00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79E35D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7718D37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E4FECE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17C90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3B04B32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13C9400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0682E52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528C30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CA19F5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8B60A7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8E583C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6A98D1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224363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6A7003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3B993EF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E5E684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A1FAAA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275A3F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DAF6CD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B3502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2DF6A280">
      <w:pPr>
        <w:rPr>
          <w:rFonts w:eastAsia="仿宋_GB2312"/>
          <w:color w:val="auto"/>
          <w:sz w:val="32"/>
          <w:szCs w:val="32"/>
          <w:highlight w:val="none"/>
        </w:rPr>
      </w:pPr>
    </w:p>
    <w:p w14:paraId="1BDB387C">
      <w:pPr>
        <w:rPr>
          <w:rFonts w:eastAsia="仿宋_GB2312"/>
          <w:color w:val="auto"/>
          <w:sz w:val="32"/>
          <w:szCs w:val="32"/>
          <w:highlight w:val="none"/>
        </w:rPr>
      </w:pPr>
    </w:p>
    <w:p w14:paraId="2CAE8442">
      <w:pPr>
        <w:pStyle w:val="22"/>
        <w:ind w:left="0" w:leftChars="0" w:firstLine="0" w:firstLineChars="0"/>
        <w:rPr>
          <w:rFonts w:eastAsia="仿宋_GB2312"/>
          <w:color w:val="auto"/>
          <w:sz w:val="32"/>
          <w:szCs w:val="32"/>
          <w:highlight w:val="none"/>
        </w:rPr>
      </w:pPr>
    </w:p>
    <w:p w14:paraId="5FBE09F9">
      <w:pPr>
        <w:pStyle w:val="22"/>
        <w:ind w:left="0" w:leftChars="0" w:firstLine="0" w:firstLineChars="0"/>
        <w:rPr>
          <w:rFonts w:eastAsia="仿宋_GB2312"/>
          <w:color w:val="auto"/>
          <w:sz w:val="32"/>
          <w:szCs w:val="32"/>
          <w:highlight w:val="none"/>
        </w:rPr>
      </w:pPr>
    </w:p>
    <w:p w14:paraId="4552C879">
      <w:pPr>
        <w:pStyle w:val="44"/>
        <w:ind w:firstLine="0" w:firstLineChars="0"/>
        <w:jc w:val="left"/>
        <w:outlineLvl w:val="1"/>
        <w:rPr>
          <w:rFonts w:eastAsia="黑体"/>
          <w:color w:val="auto"/>
          <w:sz w:val="28"/>
          <w:szCs w:val="44"/>
          <w:highlight w:val="none"/>
        </w:rPr>
      </w:pPr>
      <w:bookmarkStart w:id="1" w:name="_Hlk524442005"/>
      <w:r>
        <w:rPr>
          <w:rFonts w:hint="eastAsia" w:eastAsia="黑体"/>
          <w:color w:val="auto"/>
          <w:sz w:val="28"/>
          <w:szCs w:val="44"/>
          <w:highlight w:val="none"/>
        </w:rPr>
        <w:t>附件二报价函及报价清单</w:t>
      </w:r>
    </w:p>
    <w:p w14:paraId="20CE97E4">
      <w:pPr>
        <w:jc w:val="center"/>
        <w:rPr>
          <w:rFonts w:eastAsia="华文中宋"/>
          <w:color w:val="auto"/>
          <w:sz w:val="44"/>
          <w:szCs w:val="44"/>
          <w:highlight w:val="none"/>
        </w:rPr>
      </w:pPr>
      <w:r>
        <w:rPr>
          <w:rFonts w:hint="eastAsia" w:eastAsia="华文中宋"/>
          <w:color w:val="auto"/>
          <w:sz w:val="44"/>
          <w:szCs w:val="44"/>
          <w:highlight w:val="none"/>
        </w:rPr>
        <w:t>报价函</w:t>
      </w:r>
    </w:p>
    <w:p w14:paraId="528F44A7">
      <w:pPr>
        <w:ind w:firstLine="560"/>
        <w:jc w:val="center"/>
        <w:rPr>
          <w:rFonts w:eastAsia="仿宋_GB2312"/>
          <w:color w:val="auto"/>
          <w:sz w:val="32"/>
          <w:szCs w:val="32"/>
          <w:highlight w:val="none"/>
        </w:rPr>
      </w:pPr>
    </w:p>
    <w:p w14:paraId="29E6CD0B">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1A969A02">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阳江开能环保能源有限公司余热发电项目35KV变压器高压配电柜更换拆装施工及电气传动试验项目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（小写）（含增值税专用发票）</w:t>
      </w:r>
      <w:r>
        <w:rPr>
          <w:rFonts w:hint="eastAsia" w:eastAsia="仿宋_GB2312"/>
          <w:color w:val="auto"/>
          <w:sz w:val="32"/>
          <w:szCs w:val="32"/>
          <w:highlight w:val="none"/>
        </w:rPr>
        <w:t>承接此项目。</w:t>
      </w:r>
    </w:p>
    <w:p w14:paraId="7C960603">
      <w:pPr>
        <w:rPr>
          <w:rFonts w:eastAsia="仿宋_GB2312"/>
          <w:color w:val="auto"/>
          <w:sz w:val="32"/>
          <w:szCs w:val="32"/>
          <w:highlight w:val="none"/>
        </w:rPr>
      </w:pPr>
    </w:p>
    <w:p w14:paraId="26629FEE">
      <w:pPr>
        <w:rPr>
          <w:rFonts w:eastAsia="仿宋_GB2312"/>
          <w:color w:val="auto"/>
          <w:sz w:val="32"/>
          <w:szCs w:val="32"/>
          <w:highlight w:val="none"/>
        </w:rPr>
      </w:pPr>
    </w:p>
    <w:p w14:paraId="4A7AFD3A">
      <w:pPr>
        <w:rPr>
          <w:rFonts w:eastAsia="仿宋_GB2312"/>
          <w:color w:val="auto"/>
          <w:sz w:val="32"/>
          <w:szCs w:val="32"/>
          <w:highlight w:val="none"/>
        </w:rPr>
      </w:pPr>
    </w:p>
    <w:p w14:paraId="2188D3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F2B2E66">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3E63770">
      <w:pPr>
        <w:jc w:val="left"/>
        <w:rPr>
          <w:rFonts w:eastAsia="仿宋_GB2312"/>
          <w:color w:val="auto"/>
          <w:sz w:val="32"/>
          <w:szCs w:val="32"/>
          <w:highlight w:val="none"/>
        </w:rPr>
      </w:pPr>
      <w:r>
        <w:rPr>
          <w:rFonts w:hint="eastAsia" w:eastAsia="仿宋_GB2312"/>
          <w:color w:val="auto"/>
          <w:sz w:val="32"/>
          <w:szCs w:val="32"/>
          <w:highlight w:val="none"/>
        </w:rPr>
        <w:t>联系人：</w:t>
      </w:r>
    </w:p>
    <w:p w14:paraId="654E44AE">
      <w:pPr>
        <w:jc w:val="left"/>
        <w:rPr>
          <w:rFonts w:eastAsia="仿宋_GB2312"/>
          <w:color w:val="auto"/>
          <w:sz w:val="32"/>
          <w:szCs w:val="32"/>
          <w:highlight w:val="none"/>
        </w:rPr>
      </w:pPr>
      <w:r>
        <w:rPr>
          <w:rFonts w:hint="eastAsia" w:eastAsia="仿宋_GB2312"/>
          <w:color w:val="auto"/>
          <w:sz w:val="32"/>
          <w:szCs w:val="32"/>
          <w:highlight w:val="none"/>
        </w:rPr>
        <w:t>联系电话：</w:t>
      </w:r>
    </w:p>
    <w:p w14:paraId="32C33707">
      <w:pPr>
        <w:jc w:val="left"/>
        <w:rPr>
          <w:rFonts w:hint="eastAsia" w:eastAsia="仿宋_GB2312"/>
          <w:color w:val="auto"/>
          <w:sz w:val="32"/>
          <w:szCs w:val="32"/>
          <w:highlight w:val="none"/>
          <w:lang w:eastAsia="zh-CN"/>
        </w:rPr>
      </w:pPr>
      <w:r>
        <w:rPr>
          <w:rFonts w:hint="eastAsia" w:eastAsia="仿宋_GB2312"/>
          <w:color w:val="auto"/>
          <w:sz w:val="32"/>
          <w:szCs w:val="32"/>
          <w:highlight w:val="none"/>
        </w:rPr>
        <w:t>日期</w:t>
      </w:r>
      <w:r>
        <w:rPr>
          <w:rFonts w:hint="eastAsia" w:eastAsia="仿宋_GB2312"/>
          <w:color w:val="auto"/>
          <w:sz w:val="32"/>
          <w:szCs w:val="32"/>
          <w:highlight w:val="none"/>
          <w:lang w:eastAsia="zh-CN"/>
        </w:rPr>
        <w:t>：</w:t>
      </w:r>
    </w:p>
    <w:p w14:paraId="15CCDF3D">
      <w:pPr>
        <w:rPr>
          <w:color w:val="auto"/>
          <w:highlight w:val="none"/>
        </w:rPr>
      </w:pPr>
    </w:p>
    <w:p w14:paraId="14163D9C">
      <w:pPr>
        <w:pStyle w:val="10"/>
        <w:rPr>
          <w:rFonts w:eastAsia="仿宋_GB2312"/>
          <w:color w:val="auto"/>
          <w:sz w:val="32"/>
          <w:szCs w:val="32"/>
          <w:highlight w:val="none"/>
        </w:rPr>
      </w:pPr>
    </w:p>
    <w:p w14:paraId="3D907687">
      <w:pPr>
        <w:ind w:firstLine="3600" w:firstLineChars="1200"/>
        <w:jc w:val="both"/>
        <w:rPr>
          <w:rFonts w:eastAsia="仿宋_GB2312"/>
          <w:color w:val="auto"/>
          <w:sz w:val="30"/>
          <w:szCs w:val="30"/>
          <w:highlight w:val="none"/>
        </w:rPr>
      </w:pPr>
      <w:r>
        <w:rPr>
          <w:rFonts w:hint="eastAsia" w:eastAsia="华文中宋"/>
          <w:color w:val="auto"/>
          <w:sz w:val="30"/>
          <w:szCs w:val="30"/>
          <w:highlight w:val="none"/>
        </w:rPr>
        <w:t>报价清单</w:t>
      </w:r>
    </w:p>
    <w:tbl>
      <w:tblPr>
        <w:tblStyle w:val="23"/>
        <w:tblW w:w="1029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2"/>
        <w:gridCol w:w="2027"/>
        <w:gridCol w:w="2973"/>
        <w:gridCol w:w="942"/>
        <w:gridCol w:w="942"/>
        <w:gridCol w:w="996"/>
        <w:gridCol w:w="996"/>
        <w:gridCol w:w="868"/>
      </w:tblGrid>
      <w:tr w14:paraId="0566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55C6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E7E60">
            <w:pPr>
              <w:keepNext w:val="0"/>
              <w:keepLines w:val="0"/>
              <w:widowControl/>
              <w:suppressLineNumbers w:val="0"/>
              <w:jc w:val="center"/>
              <w:textAlignment w:val="center"/>
              <w:rPr>
                <w:rFonts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设备名称</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64F6E">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工作内容要求（交接试验）</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34FA">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单位</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0DC8">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数量</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C7659">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单价</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0D5A">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总价（元）</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663C">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备注</w:t>
            </w:r>
          </w:p>
        </w:tc>
      </w:tr>
      <w:tr w14:paraId="5E8E8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6E802">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一</w:t>
            </w:r>
          </w:p>
        </w:tc>
        <w:tc>
          <w:tcPr>
            <w:tcW w:w="7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BB78A5">
            <w:pPr>
              <w:keepNext w:val="0"/>
              <w:keepLines w:val="0"/>
              <w:widowControl/>
              <w:suppressLineNumbers w:val="0"/>
              <w:jc w:val="left"/>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开关柜及综保装置拆除及安装</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76BA8">
            <w:pPr>
              <w:jc w:val="center"/>
              <w:rPr>
                <w:rFonts w:hint="eastAsia" w:ascii="微软雅黑" w:hAnsi="微软雅黑" w:eastAsia="微软雅黑" w:cs="微软雅黑"/>
                <w:b/>
                <w:bCs/>
                <w:i w:val="0"/>
                <w:iCs w:val="0"/>
                <w:color w:val="auto"/>
                <w:sz w:val="22"/>
                <w:szCs w:val="22"/>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AEC18">
            <w:pPr>
              <w:jc w:val="center"/>
              <w:rPr>
                <w:rFonts w:hint="eastAsia" w:ascii="微软雅黑" w:hAnsi="微软雅黑" w:eastAsia="微软雅黑" w:cs="微软雅黑"/>
                <w:b/>
                <w:bCs/>
                <w:i w:val="0"/>
                <w:iCs w:val="0"/>
                <w:color w:val="auto"/>
                <w:sz w:val="22"/>
                <w:szCs w:val="22"/>
                <w:highlight w:val="none"/>
                <w:u w:val="none"/>
              </w:rPr>
            </w:pPr>
          </w:p>
        </w:tc>
      </w:tr>
      <w:tr w14:paraId="17B07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C495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A10FF">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35KV高压PT柜AH2</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93345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对原有的四个开关柜及综保进行拆除，将新购回来的三个开关柜和综保进行原位更换安装（包含综保线路重新铺设及一段约30M桥架安装，桥架由采购人提供）</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FBE0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32C2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A947">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D3A43">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308F">
            <w:pPr>
              <w:jc w:val="center"/>
              <w:rPr>
                <w:rFonts w:hint="eastAsia" w:ascii="微软雅黑" w:hAnsi="微软雅黑" w:eastAsia="微软雅黑" w:cs="微软雅黑"/>
                <w:i w:val="0"/>
                <w:iCs w:val="0"/>
                <w:color w:val="auto"/>
                <w:sz w:val="20"/>
                <w:szCs w:val="20"/>
                <w:highlight w:val="none"/>
                <w:u w:val="none"/>
              </w:rPr>
            </w:pPr>
          </w:p>
        </w:tc>
      </w:tr>
      <w:tr w14:paraId="3B701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9E7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1928">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35KV变压器出线柜AH3</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A27282">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C694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B823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F618A">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C7CA">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468CE">
            <w:pPr>
              <w:jc w:val="center"/>
              <w:rPr>
                <w:rFonts w:hint="eastAsia" w:ascii="微软雅黑" w:hAnsi="微软雅黑" w:eastAsia="微软雅黑" w:cs="微软雅黑"/>
                <w:i w:val="0"/>
                <w:iCs w:val="0"/>
                <w:color w:val="auto"/>
                <w:sz w:val="20"/>
                <w:szCs w:val="20"/>
                <w:highlight w:val="none"/>
                <w:u w:val="none"/>
              </w:rPr>
            </w:pPr>
          </w:p>
        </w:tc>
      </w:tr>
      <w:tr w14:paraId="0FAD0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9A5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4729">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35KV进线联络柜AH4</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C7CC81">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B61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8312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1E74C">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E097">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ACCE">
            <w:pPr>
              <w:jc w:val="center"/>
              <w:rPr>
                <w:rFonts w:hint="eastAsia" w:ascii="微软雅黑" w:hAnsi="微软雅黑" w:eastAsia="微软雅黑" w:cs="微软雅黑"/>
                <w:i w:val="0"/>
                <w:iCs w:val="0"/>
                <w:color w:val="auto"/>
                <w:sz w:val="20"/>
                <w:szCs w:val="20"/>
                <w:highlight w:val="none"/>
                <w:u w:val="none"/>
              </w:rPr>
            </w:pPr>
          </w:p>
        </w:tc>
      </w:tr>
      <w:tr w14:paraId="1EEA8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7"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62E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小计：</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A1BF1">
            <w:pPr>
              <w:jc w:val="center"/>
              <w:rPr>
                <w:rFonts w:hint="eastAsia" w:ascii="微软雅黑" w:hAnsi="微软雅黑" w:eastAsia="微软雅黑" w:cs="微软雅黑"/>
                <w:b/>
                <w:bCs/>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13D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价格含9%增值税专票</w:t>
            </w:r>
          </w:p>
        </w:tc>
      </w:tr>
      <w:tr w14:paraId="18352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BC0D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w:t>
            </w:r>
          </w:p>
        </w:tc>
        <w:tc>
          <w:tcPr>
            <w:tcW w:w="7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FB036C">
            <w:pPr>
              <w:keepNext w:val="0"/>
              <w:keepLines w:val="0"/>
              <w:widowControl/>
              <w:suppressLineNumbers w:val="0"/>
              <w:jc w:val="left"/>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开关柜及综保装置电气交接试验</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79662">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FE597">
            <w:pPr>
              <w:jc w:val="center"/>
              <w:rPr>
                <w:rFonts w:hint="eastAsia" w:ascii="微软雅黑" w:hAnsi="微软雅黑" w:eastAsia="微软雅黑" w:cs="微软雅黑"/>
                <w:i w:val="0"/>
                <w:iCs w:val="0"/>
                <w:color w:val="auto"/>
                <w:sz w:val="20"/>
                <w:szCs w:val="20"/>
                <w:highlight w:val="none"/>
                <w:u w:val="none"/>
              </w:rPr>
            </w:pPr>
          </w:p>
        </w:tc>
      </w:tr>
      <w:tr w14:paraId="19C6C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489D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E5BDE">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35KV高压PT柜AH2</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56E5A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对新购的三个开关柜和综保进行进行电气交接试验（含开关柜特性试验及综保校验、传动试验等）</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AF2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1B8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A281">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E1D6A">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46AC">
            <w:pPr>
              <w:jc w:val="center"/>
              <w:rPr>
                <w:rFonts w:hint="eastAsia" w:ascii="微软雅黑" w:hAnsi="微软雅黑" w:eastAsia="微软雅黑" w:cs="微软雅黑"/>
                <w:i w:val="0"/>
                <w:iCs w:val="0"/>
                <w:color w:val="auto"/>
                <w:sz w:val="20"/>
                <w:szCs w:val="20"/>
                <w:highlight w:val="none"/>
                <w:u w:val="none"/>
              </w:rPr>
            </w:pPr>
          </w:p>
        </w:tc>
      </w:tr>
      <w:tr w14:paraId="65B83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CED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B355B">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35KV变压器出线柜AH3</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445EE">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F7E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D7F4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42E1">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38C9">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BEA9">
            <w:pPr>
              <w:jc w:val="center"/>
              <w:rPr>
                <w:rFonts w:hint="eastAsia" w:ascii="微软雅黑" w:hAnsi="微软雅黑" w:eastAsia="微软雅黑" w:cs="微软雅黑"/>
                <w:i w:val="0"/>
                <w:iCs w:val="0"/>
                <w:color w:val="auto"/>
                <w:sz w:val="20"/>
                <w:szCs w:val="20"/>
                <w:highlight w:val="none"/>
                <w:u w:val="none"/>
              </w:rPr>
            </w:pPr>
          </w:p>
        </w:tc>
      </w:tr>
      <w:tr w14:paraId="1B57E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A43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320C2">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35KV进线联络柜AH4</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B47B2">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2850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AF91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F7D48">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8115">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7165E">
            <w:pPr>
              <w:jc w:val="center"/>
              <w:rPr>
                <w:rFonts w:hint="eastAsia" w:ascii="微软雅黑" w:hAnsi="微软雅黑" w:eastAsia="微软雅黑" w:cs="微软雅黑"/>
                <w:i w:val="0"/>
                <w:iCs w:val="0"/>
                <w:color w:val="auto"/>
                <w:sz w:val="20"/>
                <w:szCs w:val="20"/>
                <w:highlight w:val="none"/>
                <w:u w:val="none"/>
              </w:rPr>
            </w:pPr>
          </w:p>
        </w:tc>
      </w:tr>
      <w:tr w14:paraId="5BBC5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AA0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小计：</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4815D">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107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价格含6%增值税专票</w:t>
            </w:r>
          </w:p>
        </w:tc>
      </w:tr>
      <w:tr w14:paraId="05E09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563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三</w:t>
            </w:r>
          </w:p>
        </w:tc>
        <w:tc>
          <w:tcPr>
            <w:tcW w:w="7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CD3DFC">
            <w:pPr>
              <w:keepNext w:val="0"/>
              <w:keepLines w:val="0"/>
              <w:widowControl/>
              <w:suppressLineNumbers w:val="0"/>
              <w:jc w:val="left"/>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电气预防性试验</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412E">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FEBA">
            <w:pPr>
              <w:jc w:val="center"/>
              <w:rPr>
                <w:rFonts w:hint="eastAsia" w:ascii="微软雅黑" w:hAnsi="微软雅黑" w:eastAsia="微软雅黑" w:cs="微软雅黑"/>
                <w:i w:val="0"/>
                <w:iCs w:val="0"/>
                <w:color w:val="auto"/>
                <w:sz w:val="20"/>
                <w:szCs w:val="20"/>
                <w:highlight w:val="none"/>
                <w:u w:val="none"/>
              </w:rPr>
            </w:pPr>
          </w:p>
        </w:tc>
      </w:tr>
      <w:tr w14:paraId="3B4C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08F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9FD05">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钢厂计量柜G1</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FA65A">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外观及接线检查、绝缘检验、软件/动作值测试、综合保护装置校验、整组传动试验、红外测温检测，开关柜局放检测、</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8A5E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DFF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252E3">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BF148">
            <w:pPr>
              <w:jc w:val="left"/>
              <w:rPr>
                <w:rFonts w:hint="eastAsia" w:ascii="微软雅黑" w:hAnsi="微软雅黑" w:eastAsia="微软雅黑" w:cs="微软雅黑"/>
                <w:i w:val="0"/>
                <w:iCs w:val="0"/>
                <w:color w:val="auto"/>
                <w:sz w:val="20"/>
                <w:szCs w:val="20"/>
                <w:highlight w:val="none"/>
                <w:u w:val="none"/>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C585D5">
            <w:pPr>
              <w:jc w:val="center"/>
              <w:rPr>
                <w:rFonts w:hint="eastAsia" w:ascii="微软雅黑" w:hAnsi="微软雅黑" w:eastAsia="微软雅黑" w:cs="微软雅黑"/>
                <w:i w:val="0"/>
                <w:iCs w:val="0"/>
                <w:color w:val="auto"/>
                <w:sz w:val="20"/>
                <w:szCs w:val="20"/>
                <w:highlight w:val="none"/>
                <w:u w:val="none"/>
              </w:rPr>
            </w:pPr>
          </w:p>
        </w:tc>
      </w:tr>
      <w:tr w14:paraId="4442D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987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0FA1">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1号厂用变压器柜G2</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E9326">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F06E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8426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C66BB">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776C">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F73E1">
            <w:pPr>
              <w:jc w:val="center"/>
              <w:rPr>
                <w:rFonts w:hint="eastAsia" w:ascii="微软雅黑" w:hAnsi="微软雅黑" w:eastAsia="微软雅黑" w:cs="微软雅黑"/>
                <w:i w:val="0"/>
                <w:iCs w:val="0"/>
                <w:color w:val="auto"/>
                <w:sz w:val="20"/>
                <w:szCs w:val="20"/>
                <w:highlight w:val="none"/>
                <w:u w:val="none"/>
              </w:rPr>
            </w:pPr>
          </w:p>
        </w:tc>
      </w:tr>
      <w:tr w14:paraId="5BACF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77C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9DDC">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2号厂用变压器柜G3</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6EC66">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9847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1A6A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B1A24">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5286B">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CD011">
            <w:pPr>
              <w:jc w:val="center"/>
              <w:rPr>
                <w:rFonts w:hint="eastAsia" w:ascii="微软雅黑" w:hAnsi="微软雅黑" w:eastAsia="微软雅黑" w:cs="微软雅黑"/>
                <w:i w:val="0"/>
                <w:iCs w:val="0"/>
                <w:color w:val="auto"/>
                <w:sz w:val="20"/>
                <w:szCs w:val="20"/>
                <w:highlight w:val="none"/>
                <w:u w:val="none"/>
              </w:rPr>
            </w:pPr>
          </w:p>
        </w:tc>
      </w:tr>
      <w:tr w14:paraId="0CD4A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B4B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42EB">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10KV出线柜G7</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66CEC">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21D4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B266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35B2F">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FB850">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0B61F">
            <w:pPr>
              <w:jc w:val="center"/>
              <w:rPr>
                <w:rFonts w:hint="eastAsia" w:ascii="微软雅黑" w:hAnsi="微软雅黑" w:eastAsia="微软雅黑" w:cs="微软雅黑"/>
                <w:i w:val="0"/>
                <w:iCs w:val="0"/>
                <w:color w:val="auto"/>
                <w:sz w:val="20"/>
                <w:szCs w:val="20"/>
                <w:highlight w:val="none"/>
                <w:u w:val="none"/>
              </w:rPr>
            </w:pPr>
          </w:p>
        </w:tc>
      </w:tr>
      <w:tr w14:paraId="26A41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2F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7513">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:10KV主变进线柜G8</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84F09">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B225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D684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8E5FA">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88C66">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6B7C7">
            <w:pPr>
              <w:jc w:val="center"/>
              <w:rPr>
                <w:rFonts w:hint="eastAsia" w:ascii="微软雅黑" w:hAnsi="微软雅黑" w:eastAsia="微软雅黑" w:cs="微软雅黑"/>
                <w:i w:val="0"/>
                <w:iCs w:val="0"/>
                <w:color w:val="auto"/>
                <w:sz w:val="20"/>
                <w:szCs w:val="20"/>
                <w:highlight w:val="none"/>
                <w:u w:val="none"/>
              </w:rPr>
            </w:pPr>
          </w:p>
        </w:tc>
      </w:tr>
      <w:tr w14:paraId="03133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4D0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13BF5">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10KV段互感器柜G9</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35B1C">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D2C5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0B2E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0F0C">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6BD57">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EDF8E">
            <w:pPr>
              <w:jc w:val="center"/>
              <w:rPr>
                <w:rFonts w:hint="eastAsia" w:ascii="微软雅黑" w:hAnsi="微软雅黑" w:eastAsia="微软雅黑" w:cs="微软雅黑"/>
                <w:i w:val="0"/>
                <w:iCs w:val="0"/>
                <w:color w:val="auto"/>
                <w:sz w:val="20"/>
                <w:szCs w:val="20"/>
                <w:highlight w:val="none"/>
                <w:u w:val="none"/>
              </w:rPr>
            </w:pPr>
          </w:p>
        </w:tc>
      </w:tr>
      <w:tr w14:paraId="20467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6FF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84E88">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10KV高压母线</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307EA">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耐压试验、绝缘检验、铜排连接点检查</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E86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8683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002A4">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3123">
            <w:pPr>
              <w:jc w:val="left"/>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EA3A3">
            <w:pPr>
              <w:jc w:val="center"/>
              <w:rPr>
                <w:rFonts w:hint="eastAsia" w:ascii="微软雅黑" w:hAnsi="微软雅黑" w:eastAsia="微软雅黑" w:cs="微软雅黑"/>
                <w:i w:val="0"/>
                <w:iCs w:val="0"/>
                <w:color w:val="auto"/>
                <w:sz w:val="20"/>
                <w:szCs w:val="20"/>
                <w:highlight w:val="none"/>
                <w:u w:val="none"/>
              </w:rPr>
            </w:pPr>
          </w:p>
        </w:tc>
      </w:tr>
      <w:tr w14:paraId="727C4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BB2D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04A1">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1号厂用变压器</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FD6F0E">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交流耐压试验、绝缘电阻（高压对低压及地、低压对高压及地、铁芯对地、穿芯螺杆对铁芯及地）、绕组连同套管的直流电阻</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F3B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583C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C1937">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E2C27">
            <w:pPr>
              <w:jc w:val="left"/>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DEC646">
            <w:pPr>
              <w:jc w:val="center"/>
              <w:rPr>
                <w:rFonts w:hint="eastAsia" w:ascii="微软雅黑" w:hAnsi="微软雅黑" w:eastAsia="微软雅黑" w:cs="微软雅黑"/>
                <w:i w:val="0"/>
                <w:iCs w:val="0"/>
                <w:color w:val="auto"/>
                <w:sz w:val="20"/>
                <w:szCs w:val="20"/>
                <w:highlight w:val="none"/>
                <w:u w:val="none"/>
              </w:rPr>
            </w:pPr>
          </w:p>
        </w:tc>
      </w:tr>
      <w:tr w14:paraId="6FF77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1B8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FBB0">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2号厂用变压器</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A4CDB">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7E3E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FA03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A3F1A">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84423">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483AB">
            <w:pPr>
              <w:jc w:val="center"/>
              <w:rPr>
                <w:rFonts w:hint="eastAsia" w:ascii="微软雅黑" w:hAnsi="微软雅黑" w:eastAsia="微软雅黑" w:cs="微软雅黑"/>
                <w:i w:val="0"/>
                <w:iCs w:val="0"/>
                <w:color w:val="auto"/>
                <w:sz w:val="20"/>
                <w:szCs w:val="20"/>
                <w:highlight w:val="none"/>
                <w:u w:val="none"/>
              </w:rPr>
            </w:pPr>
          </w:p>
        </w:tc>
      </w:tr>
      <w:tr w14:paraId="77C16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22F6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6AA1E">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35KV变压器</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28AB">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交流耐压试验、绝缘电阻（高压对低压及地、低压对高压及地、铁芯对地、）、套管检查、绕组连同套管的直流电阻、介质损耗测试、油样油色谱检验、瓦斯继电器、渗漏油检查等</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7E5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9890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91E65">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E9F5">
            <w:pPr>
              <w:jc w:val="left"/>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8515">
            <w:pPr>
              <w:jc w:val="center"/>
              <w:rPr>
                <w:rFonts w:hint="eastAsia" w:ascii="微软雅黑" w:hAnsi="微软雅黑" w:eastAsia="微软雅黑" w:cs="微软雅黑"/>
                <w:i w:val="0"/>
                <w:iCs w:val="0"/>
                <w:color w:val="auto"/>
                <w:sz w:val="20"/>
                <w:szCs w:val="20"/>
                <w:highlight w:val="none"/>
                <w:u w:val="none"/>
              </w:rPr>
            </w:pPr>
          </w:p>
        </w:tc>
      </w:tr>
      <w:tr w14:paraId="7ADBA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31F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小计：</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A56E">
            <w:pPr>
              <w:jc w:val="left"/>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50C0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价格含6%增值税专票</w:t>
            </w:r>
          </w:p>
        </w:tc>
      </w:tr>
      <w:tr w14:paraId="468A2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77BA">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合计（一+二+三）：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1367C">
            <w:pPr>
              <w:rPr>
                <w:rFonts w:hint="eastAsia" w:ascii="宋体" w:hAnsi="宋体" w:eastAsia="宋体" w:cs="宋体"/>
                <w:b/>
                <w:bCs/>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E0731">
            <w:pPr>
              <w:rPr>
                <w:rFonts w:hint="eastAsia" w:ascii="宋体" w:hAnsi="宋体" w:eastAsia="宋体" w:cs="宋体"/>
                <w:b/>
                <w:bCs/>
                <w:i w:val="0"/>
                <w:iCs w:val="0"/>
                <w:color w:val="auto"/>
                <w:sz w:val="22"/>
                <w:szCs w:val="22"/>
                <w:highlight w:val="none"/>
                <w:u w:val="none"/>
              </w:rPr>
            </w:pPr>
          </w:p>
        </w:tc>
      </w:tr>
    </w:tbl>
    <w:p w14:paraId="2F3F2695">
      <w:pPr>
        <w:jc w:val="left"/>
        <w:rPr>
          <w:rFonts w:hint="eastAsia" w:eastAsia="仿宋_GB2312"/>
          <w:color w:val="auto"/>
          <w:sz w:val="32"/>
          <w:szCs w:val="32"/>
          <w:highlight w:val="none"/>
        </w:rPr>
      </w:pPr>
    </w:p>
    <w:p w14:paraId="703369F8">
      <w:pPr>
        <w:jc w:val="left"/>
        <w:rPr>
          <w:rFonts w:hint="eastAsia" w:eastAsia="仿宋_GB2312"/>
          <w:color w:val="auto"/>
          <w:sz w:val="32"/>
          <w:szCs w:val="32"/>
          <w:highlight w:val="none"/>
        </w:rPr>
      </w:pPr>
    </w:p>
    <w:p w14:paraId="06D81E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BE0C40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9F4CEC2">
      <w:pPr>
        <w:jc w:val="left"/>
        <w:rPr>
          <w:rFonts w:eastAsia="仿宋_GB2312"/>
          <w:color w:val="auto"/>
          <w:sz w:val="32"/>
          <w:szCs w:val="32"/>
          <w:highlight w:val="none"/>
        </w:rPr>
      </w:pPr>
      <w:r>
        <w:rPr>
          <w:rFonts w:hint="eastAsia" w:eastAsia="仿宋_GB2312"/>
          <w:color w:val="auto"/>
          <w:sz w:val="32"/>
          <w:szCs w:val="32"/>
          <w:highlight w:val="none"/>
        </w:rPr>
        <w:t>联系人：</w:t>
      </w:r>
    </w:p>
    <w:p w14:paraId="3AEFB6A7">
      <w:pPr>
        <w:jc w:val="left"/>
        <w:rPr>
          <w:rFonts w:eastAsia="仿宋_GB2312"/>
          <w:color w:val="auto"/>
          <w:sz w:val="32"/>
          <w:szCs w:val="32"/>
          <w:highlight w:val="none"/>
        </w:rPr>
      </w:pPr>
      <w:r>
        <w:rPr>
          <w:rFonts w:hint="eastAsia" w:eastAsia="仿宋_GB2312"/>
          <w:color w:val="auto"/>
          <w:sz w:val="32"/>
          <w:szCs w:val="32"/>
          <w:highlight w:val="none"/>
        </w:rPr>
        <w:t>联系电话：</w:t>
      </w:r>
    </w:p>
    <w:p w14:paraId="62F8DBFA">
      <w:pPr>
        <w:jc w:val="left"/>
        <w:rPr>
          <w:rFonts w:eastAsia="仿宋_GB2312"/>
          <w:color w:val="auto"/>
          <w:sz w:val="32"/>
          <w:szCs w:val="32"/>
          <w:highlight w:val="none"/>
        </w:rPr>
      </w:pPr>
      <w:r>
        <w:rPr>
          <w:rFonts w:hint="eastAsia" w:eastAsia="仿宋_GB2312"/>
          <w:color w:val="auto"/>
          <w:sz w:val="32"/>
          <w:szCs w:val="32"/>
          <w:highlight w:val="none"/>
        </w:rPr>
        <w:t>日期：</w:t>
      </w:r>
    </w:p>
    <w:p w14:paraId="783F5655">
      <w:pPr>
        <w:pStyle w:val="22"/>
        <w:ind w:left="0" w:leftChars="0" w:firstLine="0" w:firstLineChars="0"/>
        <w:rPr>
          <w:rFonts w:eastAsia="仿宋_GB2312"/>
          <w:color w:val="auto"/>
          <w:sz w:val="32"/>
          <w:szCs w:val="32"/>
          <w:highlight w:val="none"/>
        </w:rPr>
      </w:pPr>
    </w:p>
    <w:p w14:paraId="07DDE2C8">
      <w:pPr>
        <w:pStyle w:val="22"/>
        <w:ind w:left="0" w:leftChars="0" w:firstLine="0" w:firstLineChars="0"/>
        <w:rPr>
          <w:rFonts w:eastAsia="仿宋_GB2312"/>
          <w:color w:val="auto"/>
          <w:sz w:val="32"/>
          <w:szCs w:val="32"/>
          <w:highlight w:val="none"/>
        </w:rPr>
      </w:pPr>
    </w:p>
    <w:p w14:paraId="09FC4CA0">
      <w:pPr>
        <w:pStyle w:val="22"/>
        <w:ind w:left="0" w:leftChars="0" w:firstLine="0" w:firstLineChars="0"/>
        <w:rPr>
          <w:rFonts w:eastAsia="仿宋_GB2312"/>
          <w:color w:val="auto"/>
          <w:sz w:val="32"/>
          <w:szCs w:val="32"/>
          <w:highlight w:val="none"/>
        </w:rPr>
      </w:pPr>
    </w:p>
    <w:p w14:paraId="5F36F24F">
      <w:pPr>
        <w:pStyle w:val="22"/>
        <w:ind w:left="0" w:leftChars="0" w:firstLine="0" w:firstLineChars="0"/>
        <w:rPr>
          <w:rFonts w:eastAsia="仿宋_GB2312"/>
          <w:color w:val="auto"/>
          <w:sz w:val="32"/>
          <w:szCs w:val="32"/>
          <w:highlight w:val="none"/>
        </w:rPr>
      </w:pPr>
    </w:p>
    <w:p w14:paraId="2793E57D">
      <w:pPr>
        <w:pStyle w:val="22"/>
        <w:ind w:left="0" w:leftChars="0" w:firstLine="0" w:firstLineChars="0"/>
        <w:rPr>
          <w:rFonts w:eastAsia="仿宋_GB2312"/>
          <w:color w:val="auto"/>
          <w:sz w:val="32"/>
          <w:szCs w:val="32"/>
          <w:highlight w:val="none"/>
        </w:rPr>
      </w:pPr>
    </w:p>
    <w:p w14:paraId="266345B3">
      <w:pPr>
        <w:pStyle w:val="22"/>
        <w:ind w:left="0" w:leftChars="0" w:firstLine="0" w:firstLineChars="0"/>
        <w:rPr>
          <w:rFonts w:eastAsia="仿宋_GB2312"/>
          <w:color w:val="auto"/>
          <w:sz w:val="32"/>
          <w:szCs w:val="32"/>
          <w:highlight w:val="none"/>
        </w:rPr>
      </w:pPr>
    </w:p>
    <w:p w14:paraId="38DBF367">
      <w:pPr>
        <w:pStyle w:val="22"/>
        <w:ind w:left="0" w:leftChars="0" w:firstLine="0" w:firstLineChars="0"/>
        <w:rPr>
          <w:rFonts w:eastAsia="仿宋_GB2312"/>
          <w:color w:val="auto"/>
          <w:sz w:val="32"/>
          <w:szCs w:val="32"/>
          <w:highlight w:val="none"/>
        </w:rPr>
      </w:pPr>
    </w:p>
    <w:p w14:paraId="0A086FF4">
      <w:pPr>
        <w:pStyle w:val="22"/>
        <w:ind w:left="0" w:leftChars="0" w:firstLine="0" w:firstLineChars="0"/>
        <w:rPr>
          <w:rFonts w:eastAsia="仿宋_GB2312"/>
          <w:color w:val="auto"/>
          <w:sz w:val="32"/>
          <w:szCs w:val="32"/>
          <w:highlight w:val="none"/>
        </w:rPr>
      </w:pPr>
    </w:p>
    <w:p w14:paraId="4D79EDF2">
      <w:pPr>
        <w:pStyle w:val="22"/>
        <w:ind w:left="0" w:leftChars="0" w:firstLine="0" w:firstLineChars="0"/>
        <w:rPr>
          <w:rFonts w:eastAsia="仿宋_GB2312"/>
          <w:color w:val="auto"/>
          <w:sz w:val="32"/>
          <w:szCs w:val="32"/>
          <w:highlight w:val="none"/>
        </w:rPr>
      </w:pPr>
    </w:p>
    <w:p w14:paraId="7716C026">
      <w:pPr>
        <w:pStyle w:val="22"/>
        <w:ind w:left="0" w:leftChars="0" w:firstLine="0" w:firstLineChars="0"/>
        <w:rPr>
          <w:rFonts w:eastAsia="仿宋_GB2312"/>
          <w:color w:val="auto"/>
          <w:sz w:val="32"/>
          <w:szCs w:val="32"/>
          <w:highlight w:val="none"/>
        </w:rPr>
      </w:pPr>
    </w:p>
    <w:p w14:paraId="2DCD8033">
      <w:pPr>
        <w:pStyle w:val="22"/>
        <w:ind w:left="0" w:leftChars="0" w:firstLine="0" w:firstLineChars="0"/>
        <w:rPr>
          <w:rFonts w:eastAsia="仿宋_GB2312"/>
          <w:color w:val="auto"/>
          <w:sz w:val="32"/>
          <w:szCs w:val="32"/>
          <w:highlight w:val="none"/>
        </w:rPr>
      </w:pPr>
    </w:p>
    <w:p w14:paraId="51B5E2FE">
      <w:pPr>
        <w:pStyle w:val="22"/>
        <w:ind w:left="0" w:leftChars="0" w:firstLine="0" w:firstLineChars="0"/>
        <w:rPr>
          <w:rFonts w:eastAsia="仿宋_GB2312"/>
          <w:color w:val="auto"/>
          <w:sz w:val="32"/>
          <w:szCs w:val="32"/>
          <w:highlight w:val="none"/>
        </w:rPr>
      </w:pPr>
    </w:p>
    <w:p w14:paraId="7E2CAAEF">
      <w:pPr>
        <w:pStyle w:val="22"/>
        <w:ind w:left="0" w:leftChars="0" w:firstLine="0" w:firstLineChars="0"/>
        <w:rPr>
          <w:rFonts w:eastAsia="仿宋_GB2312"/>
          <w:color w:val="auto"/>
          <w:sz w:val="32"/>
          <w:szCs w:val="32"/>
          <w:highlight w:val="none"/>
        </w:rPr>
      </w:pPr>
    </w:p>
    <w:p w14:paraId="413490B1">
      <w:pPr>
        <w:pStyle w:val="22"/>
        <w:ind w:left="0" w:leftChars="0" w:firstLine="0" w:firstLineChars="0"/>
        <w:rPr>
          <w:rFonts w:eastAsia="仿宋_GB2312"/>
          <w:color w:val="auto"/>
          <w:sz w:val="32"/>
          <w:szCs w:val="32"/>
          <w:highlight w:val="none"/>
        </w:rPr>
      </w:pPr>
    </w:p>
    <w:p w14:paraId="2DCE6E95">
      <w:pPr>
        <w:pStyle w:val="22"/>
        <w:ind w:left="0" w:leftChars="0" w:firstLine="0" w:firstLineChars="0"/>
        <w:rPr>
          <w:rFonts w:eastAsia="仿宋_GB2312"/>
          <w:color w:val="auto"/>
          <w:sz w:val="32"/>
          <w:szCs w:val="32"/>
          <w:highlight w:val="none"/>
        </w:rPr>
      </w:pPr>
    </w:p>
    <w:p w14:paraId="0D41631C">
      <w:pPr>
        <w:pStyle w:val="22"/>
        <w:ind w:left="0" w:leftChars="0" w:firstLine="0" w:firstLineChars="0"/>
        <w:rPr>
          <w:rFonts w:eastAsia="仿宋_GB2312"/>
          <w:color w:val="auto"/>
          <w:sz w:val="32"/>
          <w:szCs w:val="32"/>
          <w:highlight w:val="none"/>
        </w:rPr>
      </w:pPr>
    </w:p>
    <w:p w14:paraId="109AD5BB">
      <w:pPr>
        <w:pStyle w:val="22"/>
        <w:ind w:left="0" w:leftChars="0" w:firstLine="0" w:firstLineChars="0"/>
        <w:rPr>
          <w:rFonts w:eastAsia="仿宋_GB2312"/>
          <w:color w:val="auto"/>
          <w:sz w:val="32"/>
          <w:szCs w:val="32"/>
          <w:highlight w:val="none"/>
        </w:rPr>
      </w:pPr>
    </w:p>
    <w:p w14:paraId="73484D73">
      <w:pPr>
        <w:pStyle w:val="22"/>
        <w:ind w:left="0" w:leftChars="0" w:firstLine="0" w:firstLineChars="0"/>
        <w:rPr>
          <w:rFonts w:eastAsia="仿宋_GB2312"/>
          <w:color w:val="auto"/>
          <w:sz w:val="32"/>
          <w:szCs w:val="32"/>
          <w:highlight w:val="none"/>
        </w:rPr>
      </w:pPr>
    </w:p>
    <w:p w14:paraId="7A08C972">
      <w:pPr>
        <w:pStyle w:val="22"/>
        <w:ind w:left="0" w:leftChars="0" w:firstLine="0" w:firstLineChars="0"/>
        <w:rPr>
          <w:rFonts w:eastAsia="仿宋_GB2312"/>
          <w:color w:val="auto"/>
          <w:sz w:val="32"/>
          <w:szCs w:val="32"/>
          <w:highlight w:val="none"/>
        </w:rPr>
      </w:pPr>
    </w:p>
    <w:p w14:paraId="106AE9AA">
      <w:pPr>
        <w:pStyle w:val="22"/>
        <w:ind w:left="0" w:leftChars="0" w:firstLine="0" w:firstLineChars="0"/>
        <w:rPr>
          <w:rFonts w:eastAsia="仿宋_GB2312"/>
          <w:color w:val="auto"/>
          <w:sz w:val="32"/>
          <w:szCs w:val="32"/>
          <w:highlight w:val="none"/>
        </w:rPr>
      </w:pPr>
    </w:p>
    <w:p w14:paraId="7662187D">
      <w:pPr>
        <w:pStyle w:val="22"/>
        <w:ind w:left="0" w:leftChars="0" w:firstLine="0" w:firstLineChars="0"/>
        <w:rPr>
          <w:rFonts w:eastAsia="仿宋_GB2312"/>
          <w:color w:val="auto"/>
          <w:sz w:val="32"/>
          <w:szCs w:val="32"/>
          <w:highlight w:val="none"/>
        </w:rPr>
      </w:pPr>
    </w:p>
    <w:p w14:paraId="76181C7A">
      <w:pPr>
        <w:pStyle w:val="22"/>
        <w:ind w:left="0" w:leftChars="0" w:firstLine="0" w:firstLineChars="0"/>
        <w:rPr>
          <w:rFonts w:eastAsia="仿宋_GB2312"/>
          <w:color w:val="auto"/>
          <w:sz w:val="32"/>
          <w:szCs w:val="32"/>
          <w:highlight w:val="none"/>
        </w:rPr>
      </w:pPr>
    </w:p>
    <w:p w14:paraId="2768FEF3">
      <w:pPr>
        <w:pStyle w:val="22"/>
        <w:ind w:left="0" w:leftChars="0" w:firstLine="0" w:firstLineChars="0"/>
        <w:rPr>
          <w:rFonts w:eastAsia="仿宋_GB2312"/>
          <w:color w:val="auto"/>
          <w:sz w:val="32"/>
          <w:szCs w:val="32"/>
          <w:highlight w:val="none"/>
        </w:rPr>
      </w:pPr>
    </w:p>
    <w:p w14:paraId="6A82A814">
      <w:pPr>
        <w:pStyle w:val="4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76DD88C6">
      <w:pPr>
        <w:pStyle w:val="44"/>
        <w:ind w:firstLine="0" w:firstLineChars="0"/>
        <w:jc w:val="left"/>
        <w:rPr>
          <w:rFonts w:eastAsia="黑体"/>
          <w:color w:val="auto"/>
          <w:sz w:val="28"/>
          <w:szCs w:val="44"/>
          <w:highlight w:val="none"/>
        </w:rPr>
      </w:pPr>
    </w:p>
    <w:p w14:paraId="6F6A7350">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B7B90D7">
      <w:pPr>
        <w:rPr>
          <w:rFonts w:eastAsia="仿宋_GB2312"/>
          <w:color w:val="auto"/>
          <w:sz w:val="32"/>
          <w:szCs w:val="32"/>
          <w:highlight w:val="none"/>
        </w:rPr>
      </w:pPr>
    </w:p>
    <w:p w14:paraId="32B7E38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4E4C4DEC">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422949D0">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1878BD1">
      <w:pPr>
        <w:spacing w:line="600" w:lineRule="exact"/>
        <w:rPr>
          <w:rFonts w:eastAsia="仿宋_GB2312"/>
          <w:color w:val="auto"/>
          <w:sz w:val="32"/>
          <w:szCs w:val="32"/>
          <w:highlight w:val="none"/>
        </w:rPr>
      </w:pPr>
    </w:p>
    <w:p w14:paraId="1461FFD5">
      <w:pPr>
        <w:spacing w:line="600" w:lineRule="exact"/>
        <w:rPr>
          <w:rFonts w:eastAsia="仿宋_GB2312"/>
          <w:color w:val="auto"/>
          <w:sz w:val="32"/>
          <w:szCs w:val="32"/>
          <w:highlight w:val="none"/>
        </w:rPr>
      </w:pPr>
    </w:p>
    <w:p w14:paraId="74F8BF5C">
      <w:pPr>
        <w:spacing w:line="600" w:lineRule="exact"/>
        <w:rPr>
          <w:rFonts w:eastAsia="仿宋_GB2312"/>
          <w:color w:val="auto"/>
          <w:sz w:val="32"/>
          <w:szCs w:val="32"/>
          <w:highlight w:val="none"/>
        </w:rPr>
      </w:pPr>
    </w:p>
    <w:p w14:paraId="36799C4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C82783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098839B9">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8B2CCE">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4AF7F2F">
      <w:pPr>
        <w:rPr>
          <w:rFonts w:eastAsia="仿宋_GB2312"/>
          <w:color w:val="auto"/>
          <w:sz w:val="32"/>
          <w:szCs w:val="32"/>
          <w:highlight w:val="none"/>
        </w:rPr>
      </w:pPr>
    </w:p>
    <w:p w14:paraId="704F1A1C">
      <w:pPr>
        <w:widowControl/>
        <w:rPr>
          <w:rFonts w:eastAsia="仿宋_GB2312"/>
          <w:color w:val="auto"/>
          <w:sz w:val="32"/>
          <w:szCs w:val="32"/>
          <w:highlight w:val="none"/>
        </w:rPr>
      </w:pPr>
      <w:bookmarkStart w:id="2" w:name="_Toc384752807"/>
    </w:p>
    <w:p w14:paraId="1DAB89FB">
      <w:pPr>
        <w:pStyle w:val="22"/>
        <w:rPr>
          <w:color w:val="auto"/>
          <w:highlight w:val="none"/>
        </w:rPr>
      </w:pPr>
    </w:p>
    <w:p w14:paraId="6D51D0F4">
      <w:pPr>
        <w:pStyle w:val="22"/>
        <w:rPr>
          <w:color w:val="auto"/>
          <w:highlight w:val="none"/>
        </w:rPr>
      </w:pPr>
    </w:p>
    <w:p w14:paraId="7222133F">
      <w:pPr>
        <w:pStyle w:val="22"/>
        <w:rPr>
          <w:color w:val="auto"/>
          <w:highlight w:val="none"/>
        </w:rPr>
      </w:pPr>
    </w:p>
    <w:p w14:paraId="0D405FA8">
      <w:pPr>
        <w:pStyle w:val="22"/>
        <w:rPr>
          <w:color w:val="auto"/>
          <w:highlight w:val="none"/>
        </w:rPr>
      </w:pPr>
    </w:p>
    <w:p w14:paraId="2C607804">
      <w:pPr>
        <w:pStyle w:val="22"/>
        <w:rPr>
          <w:color w:val="auto"/>
          <w:highlight w:val="none"/>
        </w:rPr>
      </w:pPr>
    </w:p>
    <w:p w14:paraId="6D9D49FD">
      <w:pPr>
        <w:pStyle w:val="22"/>
        <w:rPr>
          <w:color w:val="auto"/>
          <w:highlight w:val="none"/>
        </w:rPr>
      </w:pPr>
    </w:p>
    <w:p w14:paraId="171AEA8A">
      <w:pPr>
        <w:pStyle w:val="22"/>
        <w:rPr>
          <w:color w:val="auto"/>
          <w:highlight w:val="none"/>
        </w:rPr>
      </w:pPr>
    </w:p>
    <w:p w14:paraId="540BC94A">
      <w:pPr>
        <w:pStyle w:val="22"/>
        <w:rPr>
          <w:color w:val="auto"/>
          <w:highlight w:val="none"/>
        </w:rPr>
      </w:pPr>
    </w:p>
    <w:p w14:paraId="3E144956">
      <w:pPr>
        <w:pStyle w:val="22"/>
        <w:rPr>
          <w:color w:val="auto"/>
          <w:highlight w:val="none"/>
        </w:rPr>
      </w:pPr>
    </w:p>
    <w:p w14:paraId="1E5D1A96">
      <w:pPr>
        <w:pStyle w:val="22"/>
        <w:rPr>
          <w:color w:val="auto"/>
          <w:highlight w:val="none"/>
        </w:rPr>
      </w:pPr>
    </w:p>
    <w:p w14:paraId="34DA71D0">
      <w:pPr>
        <w:pStyle w:val="22"/>
        <w:rPr>
          <w:color w:val="auto"/>
          <w:highlight w:val="none"/>
        </w:rPr>
      </w:pPr>
    </w:p>
    <w:p w14:paraId="60BAA404">
      <w:pPr>
        <w:pStyle w:val="44"/>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347BD80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707C4D09">
      <w:pPr>
        <w:pStyle w:val="43"/>
        <w:ind w:firstLine="0" w:firstLineChars="0"/>
        <w:rPr>
          <w:rFonts w:ascii="Times New Roman" w:hAnsi="Times New Roman"/>
          <w:color w:val="auto"/>
          <w:sz w:val="32"/>
          <w:szCs w:val="32"/>
          <w:highlight w:val="none"/>
        </w:rPr>
      </w:pPr>
    </w:p>
    <w:p w14:paraId="1C6D325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671604DD">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val="en-US" w:eastAsia="zh-CN"/>
        </w:rPr>
        <w:t>阳江开能环保能源有限公司余热发电项目35KV变压器高压配电柜更换拆装施工及电气传动试验项目（重新采购）</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6C60DA59">
      <w:pPr>
        <w:pStyle w:val="43"/>
        <w:ind w:firstLine="659"/>
        <w:rPr>
          <w:rFonts w:ascii="Times New Roman" w:hAnsi="Times New Roman"/>
          <w:color w:val="auto"/>
          <w:sz w:val="32"/>
          <w:szCs w:val="32"/>
          <w:highlight w:val="none"/>
        </w:rPr>
      </w:pPr>
    </w:p>
    <w:p w14:paraId="2E07D065">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   年   月   日至   年   月  日签字生效，有效期与询价有效期一致，特此声明。</w:t>
      </w:r>
    </w:p>
    <w:p w14:paraId="093E43E6">
      <w:pPr>
        <w:pStyle w:val="43"/>
        <w:ind w:firstLine="659"/>
        <w:rPr>
          <w:rFonts w:ascii="Times New Roman" w:hAnsi="Times New Roman"/>
          <w:color w:val="auto"/>
          <w:sz w:val="32"/>
          <w:szCs w:val="32"/>
          <w:highlight w:val="none"/>
        </w:rPr>
      </w:pPr>
    </w:p>
    <w:p w14:paraId="42F6C887">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2A45F47">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2F8BAC5">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D52992F">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A088D7E">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4B44051">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574D78B">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2E56A4F6">
      <w:pPr>
        <w:pStyle w:val="44"/>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0B315A8C">
      <w:pPr>
        <w:pStyle w:val="44"/>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60DC607">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5166D76C">
      <w:pPr>
        <w:pStyle w:val="43"/>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阳江开能环保能源有限公司余热发电项目35KV变压器高压配电柜更换拆装施工及电气传动试验项目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6AF58383">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8193E98">
      <w:pPr>
        <w:pStyle w:val="43"/>
        <w:ind w:firstLine="659"/>
        <w:rPr>
          <w:rFonts w:ascii="Times New Roman" w:hAnsi="Times New Roman"/>
          <w:color w:val="auto"/>
          <w:sz w:val="32"/>
          <w:szCs w:val="32"/>
          <w:highlight w:val="none"/>
        </w:rPr>
      </w:pPr>
    </w:p>
    <w:p w14:paraId="1BC66E08">
      <w:pPr>
        <w:pStyle w:val="43"/>
        <w:ind w:firstLine="0" w:firstLineChars="0"/>
        <w:jc w:val="left"/>
        <w:rPr>
          <w:rFonts w:ascii="Times New Roman" w:hAnsi="Times New Roman"/>
          <w:color w:val="auto"/>
          <w:sz w:val="32"/>
          <w:szCs w:val="32"/>
          <w:highlight w:val="none"/>
        </w:rPr>
      </w:pPr>
    </w:p>
    <w:p w14:paraId="1F585398">
      <w:pPr>
        <w:jc w:val="left"/>
        <w:rPr>
          <w:rFonts w:eastAsia="仿宋"/>
          <w:color w:val="auto"/>
          <w:sz w:val="32"/>
          <w:szCs w:val="32"/>
          <w:highlight w:val="none"/>
        </w:rPr>
      </w:pPr>
    </w:p>
    <w:p w14:paraId="1F30291F">
      <w:pPr>
        <w:jc w:val="left"/>
        <w:rPr>
          <w:rFonts w:eastAsia="仿宋"/>
          <w:color w:val="auto"/>
          <w:sz w:val="32"/>
          <w:szCs w:val="32"/>
          <w:highlight w:val="none"/>
        </w:rPr>
      </w:pPr>
    </w:p>
    <w:p w14:paraId="0B252488">
      <w:pPr>
        <w:jc w:val="left"/>
        <w:rPr>
          <w:rFonts w:eastAsia="仿宋"/>
          <w:color w:val="auto"/>
          <w:sz w:val="32"/>
          <w:szCs w:val="32"/>
          <w:highlight w:val="none"/>
        </w:rPr>
      </w:pPr>
    </w:p>
    <w:p w14:paraId="336DF163">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F3A1562">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2DFC2A1">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46A6949">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4F7C813">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06AEFA6E">
      <w:pPr>
        <w:pStyle w:val="43"/>
        <w:ind w:firstLine="0" w:firstLineChars="0"/>
        <w:jc w:val="left"/>
        <w:rPr>
          <w:rFonts w:ascii="Times New Roman" w:hAnsi="Times New Roman"/>
          <w:color w:val="auto"/>
          <w:sz w:val="32"/>
          <w:szCs w:val="32"/>
          <w:highlight w:val="none"/>
        </w:rPr>
      </w:pPr>
    </w:p>
    <w:p w14:paraId="1A7FB924">
      <w:pPr>
        <w:pStyle w:val="43"/>
        <w:ind w:firstLine="0" w:firstLineChars="0"/>
        <w:jc w:val="left"/>
        <w:rPr>
          <w:rFonts w:ascii="Times New Roman" w:hAnsi="Times New Roman"/>
          <w:color w:val="auto"/>
          <w:sz w:val="32"/>
          <w:szCs w:val="32"/>
          <w:highlight w:val="none"/>
        </w:rPr>
      </w:pPr>
    </w:p>
    <w:p w14:paraId="6BF1EAC7">
      <w:pPr>
        <w:widowControl/>
        <w:jc w:val="left"/>
        <w:rPr>
          <w:rFonts w:eastAsia="黑体"/>
          <w:color w:val="auto"/>
          <w:sz w:val="28"/>
          <w:szCs w:val="44"/>
          <w:highlight w:val="none"/>
        </w:rPr>
      </w:pPr>
    </w:p>
    <w:p w14:paraId="05BB3938">
      <w:pPr>
        <w:pStyle w:val="9"/>
        <w:rPr>
          <w:rFonts w:eastAsia="黑体"/>
          <w:color w:val="auto"/>
          <w:sz w:val="28"/>
          <w:szCs w:val="44"/>
          <w:highlight w:val="none"/>
        </w:rPr>
      </w:pPr>
    </w:p>
    <w:p w14:paraId="4E5A5BE2">
      <w:pPr>
        <w:pStyle w:val="10"/>
        <w:ind w:firstLine="280"/>
        <w:rPr>
          <w:rFonts w:eastAsia="黑体"/>
          <w:color w:val="auto"/>
          <w:sz w:val="28"/>
          <w:szCs w:val="44"/>
          <w:highlight w:val="none"/>
        </w:rPr>
      </w:pPr>
    </w:p>
    <w:p w14:paraId="78F3B21A">
      <w:pPr>
        <w:pStyle w:val="11"/>
        <w:ind w:firstLine="560"/>
        <w:rPr>
          <w:rFonts w:eastAsia="黑体"/>
          <w:color w:val="auto"/>
          <w:sz w:val="28"/>
          <w:szCs w:val="44"/>
          <w:highlight w:val="none"/>
        </w:rPr>
      </w:pPr>
    </w:p>
    <w:p w14:paraId="18D62263">
      <w:pPr>
        <w:rPr>
          <w:rFonts w:eastAsia="黑体"/>
          <w:color w:val="auto"/>
          <w:sz w:val="28"/>
          <w:szCs w:val="44"/>
          <w:highlight w:val="none"/>
        </w:rPr>
      </w:pPr>
    </w:p>
    <w:p w14:paraId="360FC4E6">
      <w:pPr>
        <w:pStyle w:val="9"/>
        <w:rPr>
          <w:color w:val="auto"/>
          <w:highlight w:val="none"/>
        </w:rPr>
      </w:pPr>
    </w:p>
    <w:p w14:paraId="6B61C74F">
      <w:pPr>
        <w:widowControl/>
        <w:jc w:val="left"/>
        <w:rPr>
          <w:rFonts w:eastAsia="黑体"/>
          <w:color w:val="auto"/>
          <w:sz w:val="28"/>
          <w:szCs w:val="44"/>
          <w:highlight w:val="none"/>
        </w:rPr>
      </w:pPr>
    </w:p>
    <w:p w14:paraId="0E637490">
      <w:pPr>
        <w:pStyle w:val="44"/>
        <w:ind w:firstLine="0" w:firstLineChars="0"/>
        <w:jc w:val="left"/>
        <w:outlineLvl w:val="1"/>
        <w:rPr>
          <w:rFonts w:hint="default" w:eastAsia="黑体"/>
          <w:color w:val="auto"/>
          <w:sz w:val="28"/>
          <w:szCs w:val="44"/>
          <w:highlight w:val="none"/>
          <w:lang w:val="en-US" w:eastAsia="zh-CN"/>
        </w:rPr>
      </w:pPr>
      <w:bookmarkStart w:id="4" w:name="_Hlk40704598"/>
      <w:r>
        <w:rPr>
          <w:rFonts w:hint="eastAsia" w:eastAsia="黑体"/>
          <w:color w:val="auto"/>
          <w:sz w:val="28"/>
          <w:szCs w:val="44"/>
          <w:highlight w:val="none"/>
        </w:rPr>
        <w:t xml:space="preserve">附件六 </w:t>
      </w:r>
      <w:r>
        <w:rPr>
          <w:rFonts w:hint="eastAsia" w:eastAsia="黑体"/>
          <w:color w:val="auto"/>
          <w:sz w:val="28"/>
          <w:szCs w:val="44"/>
          <w:highlight w:val="none"/>
          <w:lang w:val="en-US" w:eastAsia="zh-CN"/>
        </w:rPr>
        <w:t>技术协议</w:t>
      </w:r>
    </w:p>
    <w:bookmarkEnd w:id="1"/>
    <w:bookmarkEnd w:id="4"/>
    <w:p w14:paraId="52B0C695">
      <w:pPr>
        <w:spacing w:before="300" w:line="360" w:lineRule="auto"/>
        <w:jc w:val="center"/>
        <w:rPr>
          <w:rFonts w:hint="eastAsia"/>
          <w:color w:val="auto"/>
          <w:sz w:val="32"/>
          <w:szCs w:val="32"/>
          <w:highlight w:val="none"/>
          <w:lang w:val="en-US" w:eastAsia="zh-CN"/>
        </w:rPr>
      </w:pPr>
      <w:r>
        <w:rPr>
          <w:rFonts w:hint="eastAsia"/>
          <w:color w:val="auto"/>
          <w:sz w:val="32"/>
          <w:szCs w:val="32"/>
          <w:highlight w:val="none"/>
          <w:lang w:val="en-US" w:eastAsia="zh-CN"/>
        </w:rPr>
        <w:t>阳江开能环保能源有限公司余热发电项目35KV变压器高压配电柜更换拆装施工及电气传动试验项目技术协议</w:t>
      </w:r>
    </w:p>
    <w:p w14:paraId="695702A8">
      <w:pPr>
        <w:spacing w:before="300" w:line="200" w:lineRule="exact"/>
        <w:jc w:val="center"/>
        <w:rPr>
          <w:rFonts w:hint="eastAsia"/>
          <w:color w:val="auto"/>
          <w:sz w:val="32"/>
          <w:szCs w:val="32"/>
          <w:highlight w:val="none"/>
        </w:rPr>
      </w:pPr>
    </w:p>
    <w:p w14:paraId="5DB1947A">
      <w:pPr>
        <w:rPr>
          <w:rFonts w:hint="eastAsia" w:ascii="宋体" w:hAnsi="宋体"/>
          <w:bCs/>
          <w:color w:val="auto"/>
          <w:sz w:val="48"/>
          <w:szCs w:val="48"/>
          <w:highlight w:val="none"/>
          <w:lang w:val="en-US" w:eastAsia="zh-CN"/>
        </w:rPr>
      </w:pPr>
    </w:p>
    <w:p w14:paraId="72F8C1F1">
      <w:pPr>
        <w:pStyle w:val="9"/>
        <w:rPr>
          <w:rFonts w:hint="eastAsia"/>
          <w:color w:val="auto"/>
          <w:highlight w:val="none"/>
          <w:lang w:val="en-US" w:eastAsia="zh-CN"/>
        </w:rPr>
      </w:pPr>
    </w:p>
    <w:p w14:paraId="2FF9A095">
      <w:pPr>
        <w:ind w:firstLine="4080" w:firstLineChars="850"/>
        <w:rPr>
          <w:rFonts w:hint="eastAsia" w:ascii="宋体" w:hAnsi="宋体"/>
          <w:bCs/>
          <w:color w:val="auto"/>
          <w:sz w:val="48"/>
          <w:szCs w:val="48"/>
          <w:highlight w:val="none"/>
          <w:lang w:val="en-US" w:eastAsia="zh-CN"/>
        </w:rPr>
      </w:pPr>
      <w:r>
        <w:rPr>
          <w:rFonts w:hint="eastAsia" w:ascii="宋体" w:hAnsi="宋体"/>
          <w:bCs/>
          <w:color w:val="auto"/>
          <w:sz w:val="48"/>
          <w:szCs w:val="48"/>
          <w:highlight w:val="none"/>
          <w:lang w:val="en-US" w:eastAsia="zh-CN"/>
        </w:rPr>
        <w:t>技</w:t>
      </w:r>
    </w:p>
    <w:p w14:paraId="26E743DF">
      <w:pPr>
        <w:ind w:firstLine="3600" w:firstLineChars="750"/>
        <w:rPr>
          <w:rFonts w:hint="eastAsia" w:ascii="宋体" w:hAnsi="宋体"/>
          <w:bCs/>
          <w:color w:val="auto"/>
          <w:sz w:val="48"/>
          <w:szCs w:val="48"/>
          <w:highlight w:val="none"/>
          <w:lang w:val="en-US" w:eastAsia="zh-CN"/>
        </w:rPr>
      </w:pPr>
    </w:p>
    <w:p w14:paraId="2A9A0D91">
      <w:pPr>
        <w:ind w:firstLine="4080" w:firstLineChars="850"/>
        <w:rPr>
          <w:rFonts w:hint="eastAsia" w:ascii="宋体" w:hAnsi="宋体"/>
          <w:bCs/>
          <w:color w:val="auto"/>
          <w:sz w:val="48"/>
          <w:szCs w:val="48"/>
          <w:highlight w:val="none"/>
          <w:lang w:val="en-US" w:eastAsia="zh-CN"/>
        </w:rPr>
      </w:pPr>
      <w:r>
        <w:rPr>
          <w:rFonts w:hint="eastAsia" w:ascii="宋体" w:hAnsi="宋体"/>
          <w:bCs/>
          <w:color w:val="auto"/>
          <w:sz w:val="48"/>
          <w:szCs w:val="48"/>
          <w:highlight w:val="none"/>
          <w:lang w:val="en-US" w:eastAsia="zh-CN"/>
        </w:rPr>
        <w:t>术</w:t>
      </w:r>
    </w:p>
    <w:p w14:paraId="5D54C78C">
      <w:pPr>
        <w:ind w:firstLine="3600" w:firstLineChars="750"/>
        <w:rPr>
          <w:rFonts w:hint="eastAsia" w:ascii="宋体" w:hAnsi="宋体"/>
          <w:bCs/>
          <w:color w:val="auto"/>
          <w:sz w:val="48"/>
          <w:szCs w:val="48"/>
          <w:highlight w:val="none"/>
          <w:lang w:val="en-US" w:eastAsia="zh-CN"/>
        </w:rPr>
      </w:pPr>
    </w:p>
    <w:p w14:paraId="22D9AC53">
      <w:pPr>
        <w:ind w:firstLine="4080" w:firstLineChars="850"/>
        <w:rPr>
          <w:rFonts w:hint="eastAsia" w:ascii="宋体" w:hAnsi="宋体"/>
          <w:bCs/>
          <w:color w:val="auto"/>
          <w:sz w:val="48"/>
          <w:szCs w:val="48"/>
          <w:highlight w:val="none"/>
          <w:lang w:val="en-US" w:eastAsia="zh-CN"/>
        </w:rPr>
      </w:pPr>
      <w:r>
        <w:rPr>
          <w:rFonts w:hint="eastAsia" w:ascii="宋体" w:hAnsi="宋体"/>
          <w:bCs/>
          <w:color w:val="auto"/>
          <w:sz w:val="48"/>
          <w:szCs w:val="48"/>
          <w:highlight w:val="none"/>
          <w:lang w:val="en-US" w:eastAsia="zh-CN"/>
        </w:rPr>
        <w:t>协</w:t>
      </w:r>
    </w:p>
    <w:p w14:paraId="6D3C9F73">
      <w:pPr>
        <w:ind w:firstLine="3600" w:firstLineChars="750"/>
        <w:rPr>
          <w:rFonts w:hint="eastAsia" w:ascii="宋体" w:hAnsi="宋体"/>
          <w:bCs/>
          <w:color w:val="auto"/>
          <w:sz w:val="48"/>
          <w:szCs w:val="48"/>
          <w:highlight w:val="none"/>
          <w:lang w:val="en-US" w:eastAsia="zh-CN"/>
        </w:rPr>
      </w:pPr>
    </w:p>
    <w:p w14:paraId="477D61D3">
      <w:pPr>
        <w:ind w:firstLine="4080" w:firstLineChars="850"/>
        <w:rPr>
          <w:rFonts w:hint="default" w:ascii="宋体" w:hAnsi="宋体" w:eastAsia="宋体"/>
          <w:bCs/>
          <w:color w:val="auto"/>
          <w:sz w:val="48"/>
          <w:szCs w:val="48"/>
          <w:highlight w:val="none"/>
          <w:lang w:val="en-US" w:eastAsia="zh-CN"/>
        </w:rPr>
      </w:pPr>
      <w:r>
        <w:rPr>
          <w:rFonts w:hint="eastAsia" w:ascii="宋体" w:hAnsi="宋体"/>
          <w:bCs/>
          <w:color w:val="auto"/>
          <w:sz w:val="48"/>
          <w:szCs w:val="48"/>
          <w:highlight w:val="none"/>
          <w:lang w:val="en-US" w:eastAsia="zh-CN"/>
        </w:rPr>
        <w:t>议</w:t>
      </w:r>
    </w:p>
    <w:p w14:paraId="20CE1F1D">
      <w:pPr>
        <w:ind w:firstLine="3300" w:firstLineChars="750"/>
        <w:rPr>
          <w:rFonts w:hint="eastAsia" w:ascii="宋体" w:hAnsi="宋体"/>
          <w:bCs/>
          <w:color w:val="auto"/>
          <w:sz w:val="44"/>
          <w:szCs w:val="44"/>
          <w:highlight w:val="none"/>
        </w:rPr>
      </w:pPr>
      <w:r>
        <w:rPr>
          <w:rFonts w:hint="eastAsia" w:ascii="宋体" w:hAnsi="宋体"/>
          <w:bCs/>
          <w:color w:val="auto"/>
          <w:sz w:val="44"/>
          <w:szCs w:val="44"/>
          <w:highlight w:val="none"/>
        </w:rPr>
        <w:t xml:space="preserve"> </w:t>
      </w:r>
    </w:p>
    <w:p w14:paraId="0239BE8B">
      <w:pPr>
        <w:ind w:firstLine="3300" w:firstLineChars="750"/>
        <w:rPr>
          <w:rFonts w:hint="eastAsia" w:ascii="宋体" w:hAnsi="宋体"/>
          <w:bCs/>
          <w:color w:val="auto"/>
          <w:sz w:val="44"/>
          <w:szCs w:val="44"/>
          <w:highlight w:val="none"/>
        </w:rPr>
      </w:pPr>
    </w:p>
    <w:p w14:paraId="291AD9E4">
      <w:pPr>
        <w:pStyle w:val="9"/>
        <w:rPr>
          <w:rFonts w:hint="eastAsia" w:ascii="宋体" w:hAnsi="宋体"/>
          <w:bCs/>
          <w:color w:val="auto"/>
          <w:sz w:val="44"/>
          <w:szCs w:val="44"/>
          <w:highlight w:val="none"/>
        </w:rPr>
      </w:pPr>
    </w:p>
    <w:p w14:paraId="30879FEF">
      <w:pPr>
        <w:pStyle w:val="10"/>
        <w:rPr>
          <w:rFonts w:hint="eastAsia"/>
          <w:color w:val="auto"/>
          <w:highlight w:val="none"/>
        </w:rPr>
      </w:pPr>
    </w:p>
    <w:p w14:paraId="75FEF677">
      <w:pPr>
        <w:numPr>
          <w:ilvl w:val="0"/>
          <w:numId w:val="0"/>
        </w:numPr>
        <w:ind w:leftChars="0"/>
        <w:rPr>
          <w:rFonts w:hint="default"/>
          <w:color w:val="auto"/>
          <w:sz w:val="24"/>
          <w:szCs w:val="24"/>
          <w:highlight w:val="none"/>
          <w:lang w:val="en-US" w:eastAsia="zh-CN"/>
        </w:rPr>
      </w:pPr>
    </w:p>
    <w:p w14:paraId="12D8DFF2">
      <w:pPr>
        <w:numPr>
          <w:ilvl w:val="0"/>
          <w:numId w:val="0"/>
        </w:numPr>
        <w:ind w:leftChars="0"/>
        <w:rPr>
          <w:rFonts w:hint="default"/>
          <w:color w:val="auto"/>
          <w:sz w:val="24"/>
          <w:szCs w:val="24"/>
          <w:highlight w:val="none"/>
          <w:lang w:val="en-US" w:eastAsia="zh-CN"/>
        </w:rPr>
      </w:pPr>
    </w:p>
    <w:p w14:paraId="77FC7667">
      <w:pPr>
        <w:pStyle w:val="9"/>
        <w:rPr>
          <w:rFonts w:hint="default"/>
          <w:color w:val="auto"/>
          <w:sz w:val="24"/>
          <w:szCs w:val="24"/>
          <w:highlight w:val="none"/>
          <w:lang w:val="en-US" w:eastAsia="zh-CN"/>
        </w:rPr>
      </w:pPr>
    </w:p>
    <w:p w14:paraId="3FEBE97E">
      <w:pPr>
        <w:pStyle w:val="10"/>
        <w:rPr>
          <w:rFonts w:hint="default"/>
          <w:color w:val="auto"/>
          <w:sz w:val="24"/>
          <w:szCs w:val="24"/>
          <w:highlight w:val="none"/>
          <w:lang w:val="en-US" w:eastAsia="zh-CN"/>
        </w:rPr>
      </w:pPr>
    </w:p>
    <w:p w14:paraId="1E133A2E">
      <w:pPr>
        <w:pStyle w:val="11"/>
        <w:rPr>
          <w:rFonts w:hint="default"/>
          <w:color w:val="auto"/>
          <w:sz w:val="24"/>
          <w:szCs w:val="24"/>
          <w:highlight w:val="none"/>
          <w:lang w:val="en-US" w:eastAsia="zh-CN"/>
        </w:rPr>
      </w:pPr>
    </w:p>
    <w:p w14:paraId="041EFA89">
      <w:pPr>
        <w:rPr>
          <w:rFonts w:hint="default"/>
          <w:color w:val="auto"/>
          <w:highlight w:val="none"/>
          <w:lang w:val="en-US" w:eastAsia="zh-CN"/>
        </w:rPr>
      </w:pPr>
    </w:p>
    <w:p w14:paraId="4FF9A605">
      <w:pPr>
        <w:rPr>
          <w:rFonts w:hint="default"/>
          <w:color w:val="auto"/>
          <w:highlight w:val="none"/>
          <w:lang w:val="en-US" w:eastAsia="zh-CN"/>
        </w:rPr>
      </w:pPr>
    </w:p>
    <w:p w14:paraId="3C7E8136">
      <w:pPr>
        <w:rPr>
          <w:rFonts w:hint="default"/>
          <w:color w:val="auto"/>
          <w:highlight w:val="none"/>
          <w:lang w:val="en-US" w:eastAsia="zh-CN"/>
        </w:rPr>
      </w:pPr>
    </w:p>
    <w:p w14:paraId="186846AA">
      <w:pPr>
        <w:rPr>
          <w:rFonts w:hint="default"/>
          <w:color w:val="auto"/>
          <w:highlight w:val="none"/>
          <w:lang w:val="en-US" w:eastAsia="zh-CN"/>
        </w:rPr>
      </w:pPr>
    </w:p>
    <w:p w14:paraId="4A9E7A87">
      <w:pPr>
        <w:rPr>
          <w:rFonts w:hint="default"/>
          <w:color w:val="auto"/>
          <w:highlight w:val="none"/>
          <w:lang w:val="en-US" w:eastAsia="zh-CN"/>
        </w:rPr>
      </w:pPr>
    </w:p>
    <w:p w14:paraId="12E47E46">
      <w:pPr>
        <w:rPr>
          <w:rFonts w:hint="default"/>
          <w:color w:val="auto"/>
          <w:highlight w:val="none"/>
          <w:lang w:val="en-US" w:eastAsia="zh-CN"/>
        </w:rPr>
      </w:pPr>
    </w:p>
    <w:p w14:paraId="540B8A9B">
      <w:pPr>
        <w:keepNext w:val="0"/>
        <w:keepLines w:val="0"/>
        <w:pageBreakBefore w:val="0"/>
        <w:widowControl w:val="0"/>
        <w:kinsoku/>
        <w:wordWrap/>
        <w:overflowPunct/>
        <w:topLinePunct w:val="0"/>
        <w:autoSpaceDE/>
        <w:autoSpaceDN/>
        <w:bidi w:val="0"/>
        <w:adjustRightInd/>
        <w:snapToGrid w:val="0"/>
        <w:spacing w:line="360" w:lineRule="auto"/>
        <w:ind w:left="2741" w:leftChars="0" w:hanging="2741" w:hangingChars="975"/>
        <w:textAlignment w:val="auto"/>
        <w:rPr>
          <w:rFonts w:hint="eastAsia" w:ascii="宋体" w:hAnsi="宋体" w:eastAsia="宋体" w:cs="宋体"/>
          <w:b/>
          <w:bCs w:val="0"/>
          <w:color w:val="auto"/>
          <w:sz w:val="28"/>
          <w:szCs w:val="28"/>
          <w:highlight w:val="none"/>
        </w:rPr>
      </w:pPr>
      <w:r>
        <w:rPr>
          <w:rFonts w:hint="eastAsia" w:ascii="宋体" w:hAnsi="宋体" w:eastAsia="宋体" w:cs="宋体"/>
          <w:b/>
          <w:bCs w:val="0"/>
          <w:color w:val="auto"/>
          <w:sz w:val="28"/>
          <w:szCs w:val="28"/>
          <w:highlight w:val="none"/>
        </w:rPr>
        <w:t>一、项目概况</w:t>
      </w:r>
    </w:p>
    <w:p w14:paraId="6E500472">
      <w:pPr>
        <w:keepNext w:val="0"/>
        <w:keepLines w:val="0"/>
        <w:pageBreakBefore w:val="0"/>
        <w:widowControl w:val="0"/>
        <w:kinsoku/>
        <w:wordWrap/>
        <w:overflowPunct/>
        <w:topLinePunct w:val="0"/>
        <w:autoSpaceDE/>
        <w:autoSpaceDN/>
        <w:bidi w:val="0"/>
        <w:adjustRightInd/>
        <w:snapToGrid w:val="0"/>
        <w:spacing w:line="360" w:lineRule="auto"/>
        <w:ind w:left="2340" w:leftChars="0" w:hanging="2340" w:hangingChars="975"/>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1、工程名称</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lang w:val="en-US" w:eastAsia="zh-CN"/>
        </w:rPr>
        <w:t>阳江开能环保能源有限公司余热发电项目35KV变压器高压配电柜更换拆装施工及电气传动试验项目</w:t>
      </w:r>
    </w:p>
    <w:p w14:paraId="02F97D93">
      <w:pPr>
        <w:keepNext w:val="0"/>
        <w:keepLines w:val="0"/>
        <w:pageBreakBefore w:val="0"/>
        <w:widowControl w:val="0"/>
        <w:kinsoku/>
        <w:wordWrap/>
        <w:overflowPunct/>
        <w:topLinePunct w:val="0"/>
        <w:autoSpaceDE/>
        <w:autoSpaceDN/>
        <w:bidi w:val="0"/>
        <w:adjustRightInd/>
        <w:snapToGrid w:val="0"/>
        <w:spacing w:line="360" w:lineRule="auto"/>
        <w:ind w:left="2340" w:leftChars="0" w:hanging="2340" w:hangingChars="9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2、工程地点：</w:t>
      </w:r>
    </w:p>
    <w:p w14:paraId="3EF21250">
      <w:pPr>
        <w:keepNext w:val="0"/>
        <w:keepLines w:val="0"/>
        <w:pageBreakBefore w:val="0"/>
        <w:widowControl w:val="0"/>
        <w:kinsoku/>
        <w:wordWrap/>
        <w:overflowPunct/>
        <w:topLinePunct w:val="0"/>
        <w:autoSpaceDE/>
        <w:autoSpaceDN/>
        <w:bidi w:val="0"/>
        <w:adjustRightInd/>
        <w:snapToGrid w:val="0"/>
        <w:spacing w:line="360" w:lineRule="auto"/>
        <w:ind w:left="2340" w:leftChars="0" w:hanging="2340" w:hangingChars="975"/>
        <w:textAlignment w:val="auto"/>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阳江开能环保能源有限公司</w:t>
      </w:r>
      <w:r>
        <w:rPr>
          <w:rFonts w:hint="eastAsia" w:ascii="宋体" w:hAnsi="宋体" w:cs="宋体"/>
          <w:bCs/>
          <w:color w:val="auto"/>
          <w:sz w:val="24"/>
          <w:szCs w:val="24"/>
          <w:highlight w:val="none"/>
          <w:lang w:val="en-US" w:eastAsia="zh-CN"/>
        </w:rPr>
        <w:t>余热发电项目35KV高压配电室</w:t>
      </w:r>
      <w:r>
        <w:rPr>
          <w:rFonts w:hint="eastAsia" w:ascii="宋体" w:hAnsi="宋体" w:eastAsia="宋体" w:cs="宋体"/>
          <w:bCs/>
          <w:color w:val="auto"/>
          <w:sz w:val="24"/>
          <w:szCs w:val="24"/>
          <w:highlight w:val="none"/>
        </w:rPr>
        <w:t>区域</w:t>
      </w:r>
      <w:r>
        <w:rPr>
          <w:rFonts w:hint="eastAsia" w:ascii="宋体" w:hAnsi="宋体" w:cs="宋体"/>
          <w:bCs/>
          <w:color w:val="auto"/>
          <w:sz w:val="24"/>
          <w:szCs w:val="24"/>
          <w:highlight w:val="none"/>
          <w:lang w:val="en-US" w:eastAsia="zh-CN"/>
        </w:rPr>
        <w:t>及10KV配电室区域</w:t>
      </w:r>
    </w:p>
    <w:p w14:paraId="1368F010">
      <w:pPr>
        <w:keepNext w:val="0"/>
        <w:keepLines w:val="0"/>
        <w:pageBreakBefore w:val="0"/>
        <w:widowControl w:val="0"/>
        <w:kinsoku/>
        <w:wordWrap/>
        <w:overflowPunct/>
        <w:topLinePunct w:val="0"/>
        <w:autoSpaceDE/>
        <w:autoSpaceDN/>
        <w:bidi w:val="0"/>
        <w:adjustRightInd/>
        <w:snapToGrid w:val="0"/>
        <w:spacing w:line="360" w:lineRule="auto"/>
        <w:ind w:left="2340" w:leftChars="0" w:hanging="2340" w:hangingChars="9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3、工程范围：</w:t>
      </w:r>
    </w:p>
    <w:p w14:paraId="0050D0B5">
      <w:pPr>
        <w:keepNext w:val="0"/>
        <w:keepLines w:val="0"/>
        <w:pageBreakBefore w:val="0"/>
        <w:widowControl w:val="0"/>
        <w:kinsoku/>
        <w:wordWrap/>
        <w:overflowPunct/>
        <w:topLinePunct w:val="0"/>
        <w:autoSpaceDE/>
        <w:autoSpaceDN/>
        <w:bidi w:val="0"/>
        <w:adjustRightInd/>
        <w:snapToGrid w:val="0"/>
        <w:spacing w:line="360" w:lineRule="auto"/>
        <w:ind w:left="0" w:leftChars="0"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b/>
          <w:bCs/>
          <w:color w:val="auto"/>
          <w:sz w:val="24"/>
          <w:highlight w:val="none"/>
          <w:lang w:val="en-US" w:eastAsia="zh-CN"/>
        </w:rPr>
        <w:t>使用采购人新购的两个配电柜及一个PT柜对原有配电柜进行拆装更换，分别为PT柜AH2、35KV变压器柜AH3、35KV母线进线柜AH4及配套综保装置，其中配套综合保护器放置于中控室电子间，单根电缆长度距离约为80M，综保控制线需安装一段约30M电缆桥架（电缆桥架由采购人提供）；另同步对采购人10KV母线及开关柜G1、G2、G3、G7、G8、G9共6个高压开关及综保、互感器、一台35KV主变压器（20000KVA）、两台10KV干式变压器（2000KVA）等电气设备进行预防性试验。</w:t>
      </w:r>
    </w:p>
    <w:p w14:paraId="015578DC">
      <w:pPr>
        <w:keepNext w:val="0"/>
        <w:keepLines w:val="0"/>
        <w:pageBreakBefore w:val="0"/>
        <w:widowControl w:val="0"/>
        <w:kinsoku/>
        <w:wordWrap/>
        <w:overflowPunct/>
        <w:topLinePunct w:val="0"/>
        <w:autoSpaceDE/>
        <w:autoSpaceDN/>
        <w:bidi w:val="0"/>
        <w:adjustRightInd/>
        <w:snapToGrid w:val="0"/>
        <w:spacing w:line="360" w:lineRule="auto"/>
        <w:ind w:left="2340" w:leftChars="0" w:hanging="2340" w:hangingChars="9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4</w:t>
      </w:r>
      <w:r>
        <w:rPr>
          <w:rFonts w:hint="eastAsia" w:ascii="宋体" w:hAnsi="宋体" w:eastAsia="宋体" w:cs="宋体"/>
          <w:bCs/>
          <w:color w:val="auto"/>
          <w:sz w:val="24"/>
          <w:szCs w:val="24"/>
          <w:highlight w:val="none"/>
        </w:rPr>
        <w:t>、工程概述</w:t>
      </w:r>
    </w:p>
    <w:p w14:paraId="64B73CC8">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为了确保阳江开能环保能源有限公司</w:t>
      </w:r>
      <w:r>
        <w:rPr>
          <w:rFonts w:hint="eastAsia" w:ascii="宋体" w:hAnsi="宋体" w:cs="宋体"/>
          <w:bCs/>
          <w:color w:val="auto"/>
          <w:sz w:val="24"/>
          <w:szCs w:val="24"/>
          <w:highlight w:val="none"/>
          <w:lang w:val="en-US" w:eastAsia="zh-CN"/>
        </w:rPr>
        <w:t>余热发电项目35KV变压器高压配电柜更换拆装施工及电气传动试验工</w:t>
      </w:r>
      <w:r>
        <w:rPr>
          <w:rFonts w:hint="eastAsia" w:ascii="宋体" w:hAnsi="宋体" w:eastAsia="宋体" w:cs="宋体"/>
          <w:bCs/>
          <w:color w:val="auto"/>
          <w:sz w:val="24"/>
          <w:szCs w:val="24"/>
          <w:highlight w:val="none"/>
        </w:rPr>
        <w:t>作</w:t>
      </w:r>
      <w:r>
        <w:rPr>
          <w:rFonts w:hint="eastAsia" w:ascii="宋体" w:hAnsi="宋体" w:cs="宋体"/>
          <w:bCs/>
          <w:color w:val="auto"/>
          <w:sz w:val="24"/>
          <w:szCs w:val="24"/>
          <w:highlight w:val="none"/>
          <w:lang w:val="en-US" w:eastAsia="zh-CN"/>
        </w:rPr>
        <w:t>及10KV开关柜预防性试验</w:t>
      </w:r>
      <w:r>
        <w:rPr>
          <w:rFonts w:hint="eastAsia" w:ascii="宋体" w:hAnsi="宋体" w:eastAsia="宋体" w:cs="宋体"/>
          <w:bCs/>
          <w:color w:val="auto"/>
          <w:sz w:val="24"/>
          <w:szCs w:val="24"/>
          <w:highlight w:val="none"/>
        </w:rPr>
        <w:t>的安全、顺利实施，特制定</w:t>
      </w:r>
      <w:r>
        <w:rPr>
          <w:rFonts w:hint="eastAsia" w:ascii="宋体" w:hAnsi="宋体" w:eastAsia="宋体" w:cs="宋体"/>
          <w:b/>
          <w:bCs w:val="0"/>
          <w:color w:val="auto"/>
          <w:sz w:val="24"/>
          <w:szCs w:val="24"/>
          <w:highlight w:val="none"/>
        </w:rPr>
        <w:t>《</w:t>
      </w:r>
      <w:r>
        <w:rPr>
          <w:rFonts w:hint="eastAsia" w:ascii="宋体" w:hAnsi="宋体" w:eastAsia="宋体" w:cs="宋体"/>
          <w:b/>
          <w:bCs w:val="0"/>
          <w:color w:val="auto"/>
          <w:sz w:val="24"/>
          <w:szCs w:val="24"/>
          <w:highlight w:val="none"/>
          <w:lang w:val="en-US" w:eastAsia="zh-CN"/>
        </w:rPr>
        <w:t>阳江开能环保能源有限公司余热发电项目35KV变压器高压配电柜更换拆装施工及电气传动试验项目技术协议</w:t>
      </w:r>
      <w:r>
        <w:rPr>
          <w:rFonts w:hint="eastAsia" w:ascii="宋体" w:hAnsi="宋体" w:eastAsia="宋体" w:cs="宋体"/>
          <w:b/>
          <w:bCs w:val="0"/>
          <w:color w:val="auto"/>
          <w:sz w:val="24"/>
          <w:szCs w:val="24"/>
          <w:highlight w:val="none"/>
        </w:rPr>
        <w:t>》</w:t>
      </w:r>
      <w:r>
        <w:rPr>
          <w:rFonts w:hint="eastAsia" w:ascii="宋体" w:hAnsi="宋体" w:eastAsia="宋体" w:cs="宋体"/>
          <w:bCs/>
          <w:color w:val="auto"/>
          <w:sz w:val="24"/>
          <w:szCs w:val="24"/>
          <w:highlight w:val="none"/>
        </w:rPr>
        <w:t>请相关的施工单位认真执行。</w:t>
      </w:r>
    </w:p>
    <w:p w14:paraId="055F6D6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Cs/>
          <w:color w:val="auto"/>
          <w:sz w:val="24"/>
          <w:szCs w:val="24"/>
          <w:highlight w:val="none"/>
        </w:rPr>
      </w:pPr>
    </w:p>
    <w:p w14:paraId="3F501B7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bCs w:val="0"/>
          <w:color w:val="auto"/>
          <w:sz w:val="28"/>
          <w:szCs w:val="28"/>
          <w:highlight w:val="none"/>
        </w:rPr>
      </w:pPr>
      <w:r>
        <w:rPr>
          <w:rFonts w:hint="eastAsia" w:ascii="宋体" w:hAnsi="宋体" w:cs="宋体"/>
          <w:b/>
          <w:bCs w:val="0"/>
          <w:color w:val="auto"/>
          <w:kern w:val="2"/>
          <w:sz w:val="28"/>
          <w:szCs w:val="28"/>
          <w:highlight w:val="none"/>
          <w:lang w:val="en-US" w:eastAsia="zh-CN" w:bidi="ar-SA"/>
        </w:rPr>
        <w:t>二</w:t>
      </w:r>
      <w:r>
        <w:rPr>
          <w:rFonts w:hint="eastAsia" w:ascii="宋体" w:hAnsi="宋体" w:eastAsia="宋体" w:cs="宋体"/>
          <w:b/>
          <w:bCs w:val="0"/>
          <w:color w:val="auto"/>
          <w:kern w:val="2"/>
          <w:sz w:val="28"/>
          <w:szCs w:val="28"/>
          <w:highlight w:val="none"/>
          <w:lang w:val="en-US" w:eastAsia="zh-CN" w:bidi="ar-SA"/>
        </w:rPr>
        <w:t>、</w:t>
      </w:r>
      <w:r>
        <w:rPr>
          <w:rFonts w:hint="eastAsia" w:ascii="宋体" w:hAnsi="宋体" w:eastAsia="宋体" w:cs="宋体"/>
          <w:b/>
          <w:bCs w:val="0"/>
          <w:color w:val="auto"/>
          <w:sz w:val="28"/>
          <w:szCs w:val="28"/>
          <w:highlight w:val="none"/>
        </w:rPr>
        <w:t>编制依据</w:t>
      </w:r>
    </w:p>
    <w:p w14:paraId="1E50B85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rPr>
        <w:t>设备制造与性能标准</w:t>
      </w:r>
    </w:p>
    <w:p w14:paraId="2BC0D80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GB/T 11022《高压开关设备和控制设备标准的共用技术要求》： 高压开关柜的通用技术准则。</w:t>
      </w:r>
    </w:p>
    <w:p w14:paraId="5D24F6A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DL/T 404《3.6kV～40.5kV交流金属封闭开关设备和控制设备》： 国内中压开关柜最核心、最直接的产品标准，必须严格遵守。</w:t>
      </w:r>
    </w:p>
    <w:p w14:paraId="272D24F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 3906《3.6 kV～40.5 kV 交流金属封闭开关设备和控制设备》： 与DL/T 404类似，是重要的国家标准。</w:t>
      </w:r>
    </w:p>
    <w:p w14:paraId="3518B66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IEC 62271-200《AC metal-enclosed switchgear and controlgear for rated voltages above 1 kV and up to and including 52 kV》： 国际电工委员会标准，可供参考，尤其对于引进技术或外资项目。</w:t>
      </w:r>
    </w:p>
    <w:p w14:paraId="18FF11B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GB/T 1984《高压交流断路器》： 规范断路器本体的技术要求和试验。</w:t>
      </w:r>
    </w:p>
    <w:p w14:paraId="4FE8C6F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GB/T 1985《高压交流隔离开关和接地开关》： 规范隔离开关和接地开关的技术要求。</w:t>
      </w:r>
    </w:p>
    <w:p w14:paraId="21D3BEE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安装施工与验收标准</w:t>
      </w:r>
    </w:p>
    <w:p w14:paraId="32CB689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 50147《电气装置安装工程 高压电器施工及验收规范》： 高压开关柜安装的权威施工及验收规范。</w:t>
      </w:r>
    </w:p>
    <w:p w14:paraId="67F3704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 50148《电气装置安装工程 电力变压器、油浸电抗器、互感器施工及验收规范》： 涉及柜内互感器的安装。</w:t>
      </w:r>
    </w:p>
    <w:p w14:paraId="2972F90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 50149《电气装置安装工程 母线装置施工及验收规范》： 规范主母线和分支母线的安装。</w:t>
      </w:r>
    </w:p>
    <w:p w14:paraId="0B8405A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 50303《建筑电气工程施工质量验收规范》： 适用于相关的电缆敷设、接地等。</w:t>
      </w:r>
    </w:p>
    <w:p w14:paraId="1CF4EAE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DL/T 5161《电气装置安装工程 质量检验及评定规程》： 系列标准，详细规定了各道工序的质量检验项目和标准。</w:t>
      </w:r>
    </w:p>
    <w:p w14:paraId="4FE9B0E7">
      <w:pPr>
        <w:keepNext w:val="0"/>
        <w:keepLines w:val="0"/>
        <w:pageBreakBefore w:val="0"/>
        <w:widowControl w:val="0"/>
        <w:kinsoku/>
        <w:wordWrap/>
        <w:overflowPunct/>
        <w:topLinePunct w:val="0"/>
        <w:autoSpaceDE/>
        <w:autoSpaceDN/>
        <w:bidi w:val="0"/>
        <w:adjustRightInd/>
        <w:snapToGrid w:val="0"/>
        <w:spacing w:line="360" w:lineRule="auto"/>
        <w:ind w:left="2339" w:leftChars="114" w:hanging="2100" w:hangingChars="8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DL/T 5161.3-2018 电气装置安装工程质量检验及评定规程 第 3 部分：电力变</w:t>
      </w:r>
    </w:p>
    <w:p w14:paraId="6969787E">
      <w:pPr>
        <w:keepNext w:val="0"/>
        <w:keepLines w:val="0"/>
        <w:pageBreakBefore w:val="0"/>
        <w:widowControl w:val="0"/>
        <w:kinsoku/>
        <w:wordWrap/>
        <w:overflowPunct/>
        <w:topLinePunct w:val="0"/>
        <w:autoSpaceDE/>
        <w:autoSpaceDN/>
        <w:bidi w:val="0"/>
        <w:adjustRightInd/>
        <w:snapToGrid w:val="0"/>
        <w:spacing w:line="360" w:lineRule="auto"/>
        <w:ind w:left="2340" w:leftChars="0" w:hanging="2340" w:hangingChars="9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压器、油浸电抗器、互感器施工质量检验</w:t>
      </w:r>
    </w:p>
    <w:p w14:paraId="0B202922">
      <w:pPr>
        <w:keepNext w:val="0"/>
        <w:keepLines w:val="0"/>
        <w:pageBreakBefore w:val="0"/>
        <w:widowControl w:val="0"/>
        <w:kinsoku/>
        <w:wordWrap/>
        <w:overflowPunct/>
        <w:topLinePunct w:val="0"/>
        <w:autoSpaceDE/>
        <w:autoSpaceDN/>
        <w:bidi w:val="0"/>
        <w:adjustRightInd/>
        <w:snapToGrid w:val="0"/>
        <w:spacing w:line="360" w:lineRule="auto"/>
        <w:ind w:left="2339" w:leftChars="114" w:hanging="2100" w:hangingChars="8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GB50150-2016 电力装置安装工程电气设备交接试验标准</w:t>
      </w:r>
    </w:p>
    <w:p w14:paraId="12F99866">
      <w:pPr>
        <w:keepNext w:val="0"/>
        <w:keepLines w:val="0"/>
        <w:pageBreakBefore w:val="0"/>
        <w:widowControl w:val="0"/>
        <w:kinsoku/>
        <w:wordWrap/>
        <w:overflowPunct/>
        <w:topLinePunct w:val="0"/>
        <w:autoSpaceDE/>
        <w:autoSpaceDN/>
        <w:bidi w:val="0"/>
        <w:adjustRightInd/>
        <w:snapToGrid w:val="0"/>
        <w:spacing w:line="360" w:lineRule="auto"/>
        <w:ind w:left="2339" w:leftChars="114" w:hanging="2100" w:hangingChars="8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Q/CSG1205019-2018 南方电网生技〔2018〕20 号附件电力设备交接验收规程现</w:t>
      </w:r>
    </w:p>
    <w:p w14:paraId="16B4DF93">
      <w:pPr>
        <w:keepNext w:val="0"/>
        <w:keepLines w:val="0"/>
        <w:pageBreakBefore w:val="0"/>
        <w:widowControl w:val="0"/>
        <w:kinsoku/>
        <w:wordWrap/>
        <w:overflowPunct/>
        <w:topLinePunct w:val="0"/>
        <w:autoSpaceDE/>
        <w:autoSpaceDN/>
        <w:bidi w:val="0"/>
        <w:adjustRightInd/>
        <w:snapToGrid w:val="0"/>
        <w:spacing w:line="360" w:lineRule="auto"/>
        <w:ind w:left="2340" w:leftChars="0" w:hanging="2340" w:hangingChars="975"/>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行的火力发电厂技术规程和有关技术规定</w:t>
      </w:r>
    </w:p>
    <w:p w14:paraId="68ADC27A">
      <w:pPr>
        <w:keepNext w:val="0"/>
        <w:keepLines w:val="0"/>
        <w:pageBreakBefore w:val="0"/>
        <w:widowControl w:val="0"/>
        <w:kinsoku/>
        <w:wordWrap/>
        <w:overflowPunct/>
        <w:topLinePunct w:val="0"/>
        <w:autoSpaceDE/>
        <w:autoSpaceDN/>
        <w:bidi w:val="0"/>
        <w:adjustRightInd/>
        <w:snapToGrid w:val="0"/>
        <w:spacing w:line="360" w:lineRule="auto"/>
        <w:ind w:left="2339" w:leftChars="114" w:hanging="2100" w:hangingChars="87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GB6067-2014</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起重机械安全规程</w:t>
      </w:r>
    </w:p>
    <w:p w14:paraId="5A6E58FB">
      <w:pPr>
        <w:keepNext w:val="0"/>
        <w:keepLines w:val="0"/>
        <w:pageBreakBefore w:val="0"/>
        <w:widowControl w:val="0"/>
        <w:kinsoku/>
        <w:wordWrap/>
        <w:overflowPunct/>
        <w:topLinePunct w:val="0"/>
        <w:autoSpaceDE/>
        <w:autoSpaceDN/>
        <w:bidi w:val="0"/>
        <w:adjustRightInd/>
        <w:snapToGrid w:val="0"/>
        <w:spacing w:line="360" w:lineRule="auto"/>
        <w:ind w:left="2339" w:leftChars="114" w:hanging="2100" w:hangingChars="87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GB/T5082-2019</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起重吊运指挥信号</w:t>
      </w:r>
    </w:p>
    <w:p w14:paraId="6AAF377C">
      <w:pPr>
        <w:rPr>
          <w:rFonts w:hint="eastAsia"/>
          <w:color w:val="auto"/>
          <w:highlight w:val="none"/>
        </w:rPr>
      </w:pPr>
    </w:p>
    <w:p w14:paraId="08CBE71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jc w:val="both"/>
        <w:textAlignment w:val="auto"/>
        <w:rPr>
          <w:rFonts w:hint="eastAsia" w:ascii="宋体" w:hAnsi="宋体" w:eastAsia="宋体" w:cs="宋体"/>
          <w:bCs/>
          <w:color w:val="auto"/>
          <w:sz w:val="24"/>
          <w:szCs w:val="24"/>
          <w:highlight w:val="none"/>
        </w:rPr>
      </w:pPr>
      <w:r>
        <w:rPr>
          <w:rFonts w:hint="eastAsia" w:ascii="宋体" w:hAnsi="宋体" w:cs="宋体"/>
          <w:bCs/>
          <w:color w:val="auto"/>
          <w:sz w:val="24"/>
          <w:szCs w:val="24"/>
          <w:highlight w:val="none"/>
          <w:lang w:val="en-US" w:eastAsia="zh-CN"/>
        </w:rPr>
        <w:t>3、</w:t>
      </w:r>
      <w:r>
        <w:rPr>
          <w:rFonts w:hint="eastAsia" w:ascii="宋体" w:hAnsi="宋体" w:eastAsia="宋体" w:cs="宋体"/>
          <w:bCs/>
          <w:color w:val="auto"/>
          <w:sz w:val="24"/>
          <w:szCs w:val="24"/>
          <w:highlight w:val="none"/>
        </w:rPr>
        <w:t>试验标准</w:t>
      </w:r>
    </w:p>
    <w:p w14:paraId="7766294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rPr>
      </w:pP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rPr>
        <w:t>GB 50150《电气装置安装工程 电气设备交接试验标准》： 设备安装后必须进行的试验项目和合格标准的最高依据。包括：</w:t>
      </w:r>
    </w:p>
    <w:p w14:paraId="6E2518D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 绝缘电阻测量</w:t>
      </w:r>
    </w:p>
    <w:p w14:paraId="2B3E7BB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 交流耐压试验</w:t>
      </w:r>
    </w:p>
    <w:p w14:paraId="0BBDD18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 断路器机械特性测试</w:t>
      </w:r>
    </w:p>
    <w:p w14:paraId="56735CF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 互感器变比、极性测试</w:t>
      </w:r>
    </w:p>
    <w:p w14:paraId="35A8088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 保护装置及二次回路检验</w:t>
      </w:r>
    </w:p>
    <w:p w14:paraId="60B6B7A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 SF6气体微水含量和泄漏检测</w:t>
      </w:r>
    </w:p>
    <w:p w14:paraId="3D674BF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color w:val="auto"/>
          <w:highlight w:val="none"/>
        </w:rPr>
      </w:pP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rPr>
        <w:t>设备技术条件书中规定的型式试验和出厂试验报告： 新开关柜应提供完整的型式试验报告（如温升、短时耐受和峰值耐受电流、开断关合能力、内部燃弧等），并以此作为现场验收的比对基准。</w:t>
      </w:r>
    </w:p>
    <w:p w14:paraId="7CBEA24B">
      <w:pPr>
        <w:rPr>
          <w:rFonts w:hint="eastAsia"/>
          <w:b/>
          <w:bCs/>
          <w:color w:val="auto"/>
          <w:sz w:val="28"/>
          <w:szCs w:val="28"/>
          <w:highlight w:val="none"/>
          <w:lang w:val="en-US" w:eastAsia="zh-CN"/>
        </w:rPr>
      </w:pPr>
      <w:r>
        <w:rPr>
          <w:rFonts w:hint="eastAsia"/>
          <w:b/>
          <w:bCs/>
          <w:color w:val="auto"/>
          <w:sz w:val="28"/>
          <w:szCs w:val="28"/>
          <w:highlight w:val="none"/>
          <w:lang w:val="en-US" w:eastAsia="zh-CN"/>
        </w:rPr>
        <w:t>三、开关柜</w:t>
      </w:r>
      <w:r>
        <w:rPr>
          <w:rFonts w:hint="eastAsia"/>
          <w:b/>
          <w:bCs/>
          <w:color w:val="auto"/>
          <w:sz w:val="28"/>
          <w:szCs w:val="28"/>
          <w:highlight w:val="none"/>
        </w:rPr>
        <w:t>总体参</w:t>
      </w:r>
      <w:r>
        <w:rPr>
          <w:rFonts w:hint="eastAsia"/>
          <w:b/>
          <w:bCs/>
          <w:color w:val="auto"/>
          <w:sz w:val="28"/>
          <w:szCs w:val="28"/>
          <w:highlight w:val="none"/>
          <w:lang w:val="en-US" w:eastAsia="zh-CN"/>
        </w:rPr>
        <w:t>数</w:t>
      </w:r>
    </w:p>
    <w:p w14:paraId="2848C047">
      <w:pPr>
        <w:rPr>
          <w:rFonts w:hint="eastAsia"/>
          <w:color w:val="auto"/>
          <w:sz w:val="24"/>
          <w:szCs w:val="24"/>
          <w:highlight w:val="none"/>
        </w:rPr>
      </w:pPr>
      <w:r>
        <w:rPr>
          <w:rFonts w:hint="eastAsia"/>
          <w:color w:val="auto"/>
          <w:sz w:val="24"/>
          <w:szCs w:val="24"/>
          <w:highlight w:val="none"/>
        </w:rPr>
        <w:t>系统电压：35kV（变压器高压侧）</w:t>
      </w:r>
    </w:p>
    <w:p w14:paraId="6A43141C">
      <w:pPr>
        <w:rPr>
          <w:rFonts w:hint="eastAsia"/>
          <w:color w:val="auto"/>
          <w:sz w:val="24"/>
          <w:szCs w:val="24"/>
          <w:highlight w:val="none"/>
        </w:rPr>
      </w:pPr>
      <w:r>
        <w:rPr>
          <w:rFonts w:hint="eastAsia"/>
          <w:color w:val="auto"/>
          <w:sz w:val="24"/>
          <w:szCs w:val="24"/>
          <w:highlight w:val="none"/>
        </w:rPr>
        <w:t>变压器容量：20000kVA</w:t>
      </w:r>
    </w:p>
    <w:p w14:paraId="287BE60B">
      <w:pPr>
        <w:rPr>
          <w:rFonts w:hint="eastAsia"/>
          <w:color w:val="auto"/>
          <w:sz w:val="24"/>
          <w:szCs w:val="24"/>
          <w:highlight w:val="none"/>
          <w:lang w:val="en-US" w:eastAsia="zh-CN"/>
        </w:rPr>
      </w:pPr>
      <w:r>
        <w:rPr>
          <w:rFonts w:hint="eastAsia"/>
          <w:color w:val="auto"/>
          <w:sz w:val="24"/>
          <w:szCs w:val="24"/>
          <w:highlight w:val="none"/>
        </w:rPr>
        <w:t>额定电流</w:t>
      </w:r>
      <w:r>
        <w:rPr>
          <w:rFonts w:hint="eastAsia"/>
          <w:color w:val="auto"/>
          <w:sz w:val="24"/>
          <w:szCs w:val="24"/>
          <w:highlight w:val="none"/>
          <w:lang w:eastAsia="zh-CN"/>
        </w:rPr>
        <w:t>：</w:t>
      </w:r>
      <w:r>
        <w:rPr>
          <w:rFonts w:hint="eastAsia"/>
          <w:color w:val="auto"/>
          <w:sz w:val="24"/>
          <w:szCs w:val="24"/>
          <w:highlight w:val="none"/>
          <w:lang w:val="en-US" w:eastAsia="zh-CN"/>
        </w:rPr>
        <w:t>330A</w:t>
      </w:r>
      <w:r>
        <w:rPr>
          <w:rFonts w:hint="eastAsia"/>
          <w:color w:val="auto"/>
          <w:sz w:val="24"/>
          <w:szCs w:val="24"/>
          <w:highlight w:val="none"/>
        </w:rPr>
        <w:t>（实际选型需考虑1.2-1.3倍过载能力，630A断路器满足要求</w:t>
      </w:r>
      <w:r>
        <w:rPr>
          <w:rFonts w:hint="eastAsia"/>
          <w:color w:val="auto"/>
          <w:sz w:val="24"/>
          <w:szCs w:val="24"/>
          <w:highlight w:val="none"/>
          <w:lang w:eastAsia="zh-CN"/>
        </w:rPr>
        <w:t>，</w:t>
      </w:r>
      <w:r>
        <w:rPr>
          <w:rFonts w:hint="eastAsia"/>
          <w:color w:val="auto"/>
          <w:sz w:val="24"/>
          <w:szCs w:val="24"/>
          <w:highlight w:val="none"/>
          <w:lang w:val="en-US" w:eastAsia="zh-CN"/>
        </w:rPr>
        <w:t>考虑到后续增容，断路器额定电流选择1250A容量</w:t>
      </w:r>
      <w:r>
        <w:rPr>
          <w:rFonts w:hint="eastAsia"/>
          <w:color w:val="auto"/>
          <w:sz w:val="24"/>
          <w:szCs w:val="24"/>
          <w:highlight w:val="none"/>
        </w:rPr>
        <w:t>）</w:t>
      </w:r>
      <w:r>
        <w:rPr>
          <w:rFonts w:hint="eastAsia"/>
          <w:color w:val="auto"/>
          <w:sz w:val="24"/>
          <w:szCs w:val="24"/>
          <w:highlight w:val="none"/>
          <w:lang w:eastAsia="zh-CN"/>
        </w:rPr>
        <w:t>。</w:t>
      </w:r>
      <w:r>
        <w:rPr>
          <w:rFonts w:hint="eastAsia"/>
          <w:color w:val="auto"/>
          <w:sz w:val="24"/>
          <w:szCs w:val="24"/>
          <w:highlight w:val="none"/>
          <w:lang w:val="en-US" w:eastAsia="zh-CN"/>
        </w:rPr>
        <w:t>以下为申购的开关柜参数，具体以实物为准。</w:t>
      </w:r>
    </w:p>
    <w:p w14:paraId="2D4815EB">
      <w:pPr>
        <w:numPr>
          <w:ilvl w:val="0"/>
          <w:numId w:val="4"/>
        </w:numPr>
        <w:rPr>
          <w:rFonts w:hint="eastAsia"/>
          <w:color w:val="auto"/>
          <w:sz w:val="28"/>
          <w:szCs w:val="28"/>
          <w:highlight w:val="none"/>
        </w:rPr>
      </w:pPr>
      <w:r>
        <w:rPr>
          <w:rFonts w:hint="eastAsia"/>
          <w:color w:val="auto"/>
          <w:sz w:val="28"/>
          <w:szCs w:val="28"/>
          <w:highlight w:val="none"/>
          <w:lang w:val="en-US" w:eastAsia="zh-CN"/>
        </w:rPr>
        <w:t>AH3变压器</w:t>
      </w:r>
      <w:r>
        <w:rPr>
          <w:rFonts w:hint="eastAsia"/>
          <w:color w:val="auto"/>
          <w:sz w:val="28"/>
          <w:szCs w:val="28"/>
          <w:highlight w:val="none"/>
        </w:rPr>
        <w:t>高压柜</w:t>
      </w:r>
      <w:r>
        <w:rPr>
          <w:rFonts w:hint="eastAsia"/>
          <w:color w:val="auto"/>
          <w:sz w:val="28"/>
          <w:szCs w:val="28"/>
          <w:highlight w:val="none"/>
          <w:lang w:val="en-US" w:eastAsia="zh-CN"/>
        </w:rPr>
        <w:t>参数</w:t>
      </w:r>
      <w:r>
        <w:rPr>
          <w:rFonts w:hint="eastAsia"/>
          <w:color w:val="auto"/>
          <w:sz w:val="28"/>
          <w:szCs w:val="28"/>
          <w:highlight w:val="none"/>
        </w:rPr>
        <w:t>（KYN61-40.5型</w:t>
      </w:r>
      <w:r>
        <w:rPr>
          <w:rFonts w:hint="eastAsia"/>
          <w:color w:val="auto"/>
          <w:sz w:val="28"/>
          <w:szCs w:val="28"/>
          <w:highlight w:val="none"/>
          <w:lang w:val="en-US" w:eastAsia="zh-CN"/>
        </w:rPr>
        <w:t>AH3变压器</w:t>
      </w:r>
      <w:r>
        <w:rPr>
          <w:rFonts w:hint="eastAsia"/>
          <w:color w:val="auto"/>
          <w:sz w:val="28"/>
          <w:szCs w:val="28"/>
          <w:highlight w:val="none"/>
        </w:rPr>
        <w:t>柜）</w:t>
      </w:r>
    </w:p>
    <w:p w14:paraId="3C3507DB">
      <w:pPr>
        <w:numPr>
          <w:ilvl w:val="0"/>
          <w:numId w:val="0"/>
        </w:numPr>
        <w:rPr>
          <w:rFonts w:hint="default" w:eastAsia="宋体"/>
          <w:color w:val="auto"/>
          <w:sz w:val="28"/>
          <w:szCs w:val="28"/>
          <w:highlight w:val="none"/>
          <w:lang w:val="en-US" w:eastAsia="zh-CN"/>
        </w:rPr>
      </w:pPr>
      <w:r>
        <w:rPr>
          <w:rFonts w:hint="eastAsia"/>
          <w:color w:val="auto"/>
          <w:sz w:val="28"/>
          <w:szCs w:val="28"/>
          <w:highlight w:val="none"/>
          <w:lang w:val="en-US" w:eastAsia="zh-CN"/>
        </w:rPr>
        <w:t>附表1：</w:t>
      </w:r>
    </w:p>
    <w:tbl>
      <w:tblPr>
        <w:tblStyle w:val="24"/>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0" w:type="dxa"/>
          <w:left w:w="128" w:type="dxa"/>
          <w:bottom w:w="80" w:type="dxa"/>
          <w:right w:w="128" w:type="dxa"/>
        </w:tblCellMar>
      </w:tblPr>
      <w:tblGrid>
        <w:gridCol w:w="656"/>
        <w:gridCol w:w="1729"/>
        <w:gridCol w:w="3862"/>
        <w:gridCol w:w="1347"/>
        <w:gridCol w:w="740"/>
        <w:gridCol w:w="797"/>
      </w:tblGrid>
      <w:tr w14:paraId="2D99C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569" w:hRule="atLeast"/>
          <w:tblHeader/>
          <w:jc w:val="center"/>
        </w:trPr>
        <w:tc>
          <w:tcPr>
            <w:tcW w:w="656" w:type="dxa"/>
            <w:vAlign w:val="center"/>
          </w:tcPr>
          <w:p w14:paraId="6B86E337">
            <w:pPr>
              <w:jc w:val="center"/>
              <w:rPr>
                <w:rFonts w:hint="default"/>
                <w:color w:val="auto"/>
                <w:highlight w:val="none"/>
                <w:lang w:val="en-US" w:eastAsia="zh-CN"/>
              </w:rPr>
            </w:pPr>
            <w:r>
              <w:rPr>
                <w:rFonts w:hint="eastAsia"/>
                <w:color w:val="auto"/>
                <w:highlight w:val="none"/>
                <w:lang w:val="en-US" w:eastAsia="zh-CN"/>
              </w:rPr>
              <w:t>序号</w:t>
            </w:r>
          </w:p>
        </w:tc>
        <w:tc>
          <w:tcPr>
            <w:tcW w:w="1729" w:type="dxa"/>
            <w:vAlign w:val="center"/>
          </w:tcPr>
          <w:p w14:paraId="35A73B9A">
            <w:pPr>
              <w:ind w:firstLine="210" w:firstLineChars="100"/>
              <w:jc w:val="center"/>
              <w:rPr>
                <w:rFonts w:hint="eastAsia"/>
                <w:color w:val="auto"/>
                <w:highlight w:val="none"/>
                <w:lang w:val="en-US" w:eastAsia="zh-CN"/>
              </w:rPr>
            </w:pPr>
            <w:r>
              <w:rPr>
                <w:rFonts w:hint="eastAsia"/>
                <w:color w:val="auto"/>
                <w:highlight w:val="none"/>
                <w:lang w:val="en-US" w:eastAsia="zh-CN"/>
              </w:rPr>
              <w:t>名称</w:t>
            </w:r>
          </w:p>
        </w:tc>
        <w:tc>
          <w:tcPr>
            <w:tcW w:w="3862" w:type="dxa"/>
            <w:vAlign w:val="center"/>
          </w:tcPr>
          <w:p w14:paraId="65995E74">
            <w:pPr>
              <w:jc w:val="center"/>
              <w:rPr>
                <w:rFonts w:hint="default"/>
                <w:color w:val="auto"/>
                <w:highlight w:val="none"/>
                <w:lang w:val="en-US" w:eastAsia="zh-CN"/>
              </w:rPr>
            </w:pPr>
            <w:r>
              <w:rPr>
                <w:rFonts w:hint="eastAsia"/>
                <w:color w:val="auto"/>
                <w:highlight w:val="none"/>
                <w:lang w:val="en-US" w:eastAsia="zh-CN"/>
              </w:rPr>
              <w:t>型号规格</w:t>
            </w:r>
          </w:p>
        </w:tc>
        <w:tc>
          <w:tcPr>
            <w:tcW w:w="1347" w:type="dxa"/>
            <w:vAlign w:val="center"/>
          </w:tcPr>
          <w:p w14:paraId="3CDFBB38">
            <w:pPr>
              <w:jc w:val="center"/>
              <w:rPr>
                <w:rFonts w:hint="eastAsia"/>
                <w:color w:val="auto"/>
                <w:highlight w:val="none"/>
                <w:lang w:eastAsia="zh-CN"/>
              </w:rPr>
            </w:pPr>
            <w:r>
              <w:rPr>
                <w:rFonts w:hint="eastAsia"/>
                <w:color w:val="auto"/>
                <w:highlight w:val="none"/>
                <w:lang w:val="en-US" w:eastAsia="zh-CN"/>
              </w:rPr>
              <w:t>品牌</w:t>
            </w:r>
          </w:p>
        </w:tc>
        <w:tc>
          <w:tcPr>
            <w:tcW w:w="740" w:type="dxa"/>
            <w:vAlign w:val="center"/>
          </w:tcPr>
          <w:p w14:paraId="71B1D400">
            <w:pPr>
              <w:jc w:val="center"/>
              <w:rPr>
                <w:rFonts w:hint="default"/>
                <w:color w:val="auto"/>
                <w:highlight w:val="none"/>
                <w:lang w:val="en-US" w:eastAsia="zh-CN"/>
              </w:rPr>
            </w:pPr>
            <w:r>
              <w:rPr>
                <w:rFonts w:hint="eastAsia"/>
                <w:color w:val="auto"/>
                <w:highlight w:val="none"/>
                <w:lang w:val="en-US" w:eastAsia="zh-CN"/>
              </w:rPr>
              <w:t>单位</w:t>
            </w:r>
          </w:p>
        </w:tc>
        <w:tc>
          <w:tcPr>
            <w:tcW w:w="797" w:type="dxa"/>
            <w:vAlign w:val="center"/>
          </w:tcPr>
          <w:p w14:paraId="6477D6FE">
            <w:pPr>
              <w:jc w:val="center"/>
              <w:rPr>
                <w:rFonts w:hint="default"/>
                <w:color w:val="auto"/>
                <w:highlight w:val="none"/>
                <w:lang w:val="en-US" w:eastAsia="zh-CN"/>
              </w:rPr>
            </w:pPr>
            <w:r>
              <w:rPr>
                <w:rFonts w:hint="eastAsia"/>
                <w:color w:val="auto"/>
                <w:highlight w:val="none"/>
                <w:lang w:val="en-US" w:eastAsia="zh-CN"/>
              </w:rPr>
              <w:t>数量</w:t>
            </w:r>
          </w:p>
        </w:tc>
      </w:tr>
      <w:tr w14:paraId="348D0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90" w:hRule="atLeast"/>
          <w:jc w:val="center"/>
        </w:trPr>
        <w:tc>
          <w:tcPr>
            <w:tcW w:w="656" w:type="dxa"/>
            <w:vAlign w:val="center"/>
          </w:tcPr>
          <w:p w14:paraId="66E3C248">
            <w:pPr>
              <w:jc w:val="center"/>
              <w:rPr>
                <w:rFonts w:hint="default"/>
                <w:color w:val="auto"/>
                <w:highlight w:val="none"/>
                <w:lang w:val="en-US" w:eastAsia="zh-CN"/>
              </w:rPr>
            </w:pPr>
            <w:r>
              <w:rPr>
                <w:rFonts w:hint="eastAsia"/>
                <w:color w:val="auto"/>
                <w:highlight w:val="none"/>
                <w:lang w:val="en-US" w:eastAsia="zh-CN"/>
              </w:rPr>
              <w:t>1</w:t>
            </w:r>
          </w:p>
        </w:tc>
        <w:tc>
          <w:tcPr>
            <w:tcW w:w="1729" w:type="dxa"/>
            <w:vAlign w:val="center"/>
          </w:tcPr>
          <w:p w14:paraId="4166E517">
            <w:pPr>
              <w:rPr>
                <w:rFonts w:hint="eastAsia"/>
                <w:color w:val="auto"/>
                <w:highlight w:val="none"/>
                <w:lang w:val="en-US" w:eastAsia="zh-CN"/>
              </w:rPr>
            </w:pPr>
            <w:r>
              <w:rPr>
                <w:rFonts w:hint="eastAsia"/>
                <w:color w:val="auto"/>
                <w:highlight w:val="none"/>
                <w:lang w:val="en-US" w:eastAsia="zh-CN"/>
              </w:rPr>
              <w:t>真空</w:t>
            </w:r>
            <w:r>
              <w:rPr>
                <w:rFonts w:hint="eastAsia"/>
                <w:color w:val="auto"/>
                <w:highlight w:val="none"/>
              </w:rPr>
              <w:t>断路器</w:t>
            </w:r>
          </w:p>
        </w:tc>
        <w:tc>
          <w:tcPr>
            <w:tcW w:w="3862" w:type="dxa"/>
            <w:vAlign w:val="center"/>
          </w:tcPr>
          <w:p w14:paraId="0947C63C">
            <w:pPr>
              <w:rPr>
                <w:rFonts w:hint="default"/>
                <w:color w:val="auto"/>
                <w:highlight w:val="none"/>
                <w:lang w:val="en-US" w:eastAsia="zh-CN"/>
              </w:rPr>
            </w:pPr>
            <w:r>
              <w:rPr>
                <w:rFonts w:hint="eastAsia"/>
                <w:color w:val="auto"/>
                <w:highlight w:val="none"/>
                <w:lang w:val="en-US" w:eastAsia="zh-CN"/>
              </w:rPr>
              <w:t>HVX-40.5/1250-31.5</w:t>
            </w:r>
          </w:p>
        </w:tc>
        <w:tc>
          <w:tcPr>
            <w:tcW w:w="1347" w:type="dxa"/>
            <w:vAlign w:val="center"/>
          </w:tcPr>
          <w:p w14:paraId="6A98B50E">
            <w:pPr>
              <w:rPr>
                <w:rFonts w:hint="eastAsia"/>
                <w:color w:val="auto"/>
                <w:highlight w:val="none"/>
                <w:lang w:eastAsia="zh-CN"/>
              </w:rPr>
            </w:pPr>
            <w:r>
              <w:rPr>
                <w:rFonts w:hint="eastAsia"/>
                <w:color w:val="auto"/>
                <w:highlight w:val="none"/>
                <w:lang w:val="en-US" w:eastAsia="zh-CN"/>
              </w:rPr>
              <w:t>施耐德</w:t>
            </w:r>
          </w:p>
        </w:tc>
        <w:tc>
          <w:tcPr>
            <w:tcW w:w="740" w:type="dxa"/>
            <w:vAlign w:val="center"/>
          </w:tcPr>
          <w:p w14:paraId="71912F60">
            <w:pPr>
              <w:rPr>
                <w:rFonts w:hint="default"/>
                <w:color w:val="auto"/>
                <w:highlight w:val="none"/>
                <w:lang w:val="en-US" w:eastAsia="zh-CN"/>
              </w:rPr>
            </w:pPr>
            <w:r>
              <w:rPr>
                <w:rFonts w:hint="eastAsia"/>
                <w:color w:val="auto"/>
                <w:highlight w:val="none"/>
                <w:lang w:val="en-US" w:eastAsia="zh-CN"/>
              </w:rPr>
              <w:t>台</w:t>
            </w:r>
          </w:p>
        </w:tc>
        <w:tc>
          <w:tcPr>
            <w:tcW w:w="797" w:type="dxa"/>
            <w:vAlign w:val="center"/>
          </w:tcPr>
          <w:p w14:paraId="0734B567">
            <w:pPr>
              <w:jc w:val="center"/>
              <w:rPr>
                <w:rFonts w:hint="default"/>
                <w:color w:val="auto"/>
                <w:highlight w:val="none"/>
                <w:lang w:val="en-US" w:eastAsia="zh-CN"/>
              </w:rPr>
            </w:pPr>
            <w:r>
              <w:rPr>
                <w:rFonts w:hint="eastAsia"/>
                <w:color w:val="auto"/>
                <w:highlight w:val="none"/>
                <w:lang w:val="en-US" w:eastAsia="zh-CN"/>
              </w:rPr>
              <w:t>1</w:t>
            </w:r>
          </w:p>
        </w:tc>
      </w:tr>
      <w:tr w14:paraId="57EBE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378" w:hRule="atLeast"/>
          <w:jc w:val="center"/>
        </w:trPr>
        <w:tc>
          <w:tcPr>
            <w:tcW w:w="656" w:type="dxa"/>
            <w:vAlign w:val="center"/>
          </w:tcPr>
          <w:p w14:paraId="50E962EF">
            <w:pPr>
              <w:jc w:val="center"/>
              <w:rPr>
                <w:rFonts w:hint="default"/>
                <w:color w:val="auto"/>
                <w:highlight w:val="none"/>
                <w:lang w:val="en-US" w:eastAsia="zh-CN"/>
              </w:rPr>
            </w:pPr>
            <w:r>
              <w:rPr>
                <w:rFonts w:hint="eastAsia"/>
                <w:color w:val="auto"/>
                <w:highlight w:val="none"/>
                <w:lang w:val="en-US" w:eastAsia="zh-CN"/>
              </w:rPr>
              <w:t>2</w:t>
            </w:r>
          </w:p>
        </w:tc>
        <w:tc>
          <w:tcPr>
            <w:tcW w:w="1729" w:type="dxa"/>
            <w:vAlign w:val="center"/>
          </w:tcPr>
          <w:p w14:paraId="6DB9D063">
            <w:pPr>
              <w:rPr>
                <w:rFonts w:hint="eastAsia"/>
                <w:color w:val="auto"/>
                <w:highlight w:val="none"/>
              </w:rPr>
            </w:pPr>
            <w:r>
              <w:rPr>
                <w:rFonts w:hint="eastAsia"/>
                <w:color w:val="auto"/>
                <w:highlight w:val="none"/>
              </w:rPr>
              <w:t>综合保护装置</w:t>
            </w:r>
          </w:p>
        </w:tc>
        <w:tc>
          <w:tcPr>
            <w:tcW w:w="3862" w:type="dxa"/>
            <w:vAlign w:val="center"/>
          </w:tcPr>
          <w:p w14:paraId="5EFCF334">
            <w:pPr>
              <w:rPr>
                <w:rFonts w:hint="eastAsia"/>
                <w:color w:val="auto"/>
                <w:highlight w:val="none"/>
                <w:lang w:val="en-US" w:eastAsia="zh-CN"/>
              </w:rPr>
            </w:pPr>
            <w:r>
              <w:rPr>
                <w:rFonts w:hint="eastAsia"/>
                <w:color w:val="auto"/>
                <w:highlight w:val="none"/>
                <w:lang w:val="en-US" w:eastAsia="zh-CN"/>
              </w:rPr>
              <w:t>SGT-756</w:t>
            </w:r>
          </w:p>
        </w:tc>
        <w:tc>
          <w:tcPr>
            <w:tcW w:w="1347" w:type="dxa"/>
            <w:vAlign w:val="center"/>
          </w:tcPr>
          <w:p w14:paraId="059D96EB">
            <w:pPr>
              <w:rPr>
                <w:rFonts w:hint="eastAsia"/>
                <w:color w:val="auto"/>
                <w:highlight w:val="none"/>
                <w:lang w:val="en-US" w:eastAsia="zh-CN"/>
              </w:rPr>
            </w:pPr>
            <w:r>
              <w:rPr>
                <w:rFonts w:hint="eastAsia"/>
                <w:color w:val="auto"/>
                <w:highlight w:val="none"/>
                <w:lang w:val="en-US" w:eastAsia="zh-CN"/>
              </w:rPr>
              <w:t>国电南自</w:t>
            </w:r>
          </w:p>
        </w:tc>
        <w:tc>
          <w:tcPr>
            <w:tcW w:w="740" w:type="dxa"/>
            <w:vAlign w:val="center"/>
          </w:tcPr>
          <w:p w14:paraId="254B16F2">
            <w:pPr>
              <w:rPr>
                <w:rFonts w:hint="eastAsia"/>
                <w:color w:val="auto"/>
                <w:highlight w:val="none"/>
                <w:lang w:val="en-US" w:eastAsia="zh-CN"/>
              </w:rPr>
            </w:pPr>
            <w:r>
              <w:rPr>
                <w:rFonts w:hint="eastAsia"/>
                <w:color w:val="auto"/>
                <w:highlight w:val="none"/>
                <w:lang w:val="en-US" w:eastAsia="zh-CN"/>
              </w:rPr>
              <w:t>只</w:t>
            </w:r>
          </w:p>
        </w:tc>
        <w:tc>
          <w:tcPr>
            <w:tcW w:w="797" w:type="dxa"/>
            <w:vAlign w:val="center"/>
          </w:tcPr>
          <w:p w14:paraId="7D259FB5">
            <w:pPr>
              <w:jc w:val="center"/>
              <w:rPr>
                <w:rFonts w:hint="eastAsia"/>
                <w:color w:val="auto"/>
                <w:highlight w:val="none"/>
                <w:lang w:val="en-US" w:eastAsia="zh-CN"/>
              </w:rPr>
            </w:pPr>
            <w:r>
              <w:rPr>
                <w:rFonts w:hint="eastAsia"/>
                <w:color w:val="auto"/>
                <w:highlight w:val="none"/>
                <w:lang w:val="en-US" w:eastAsia="zh-CN"/>
              </w:rPr>
              <w:t>1</w:t>
            </w:r>
          </w:p>
        </w:tc>
      </w:tr>
      <w:tr w14:paraId="6177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598" w:hRule="atLeast"/>
          <w:jc w:val="center"/>
        </w:trPr>
        <w:tc>
          <w:tcPr>
            <w:tcW w:w="656" w:type="dxa"/>
            <w:vAlign w:val="center"/>
          </w:tcPr>
          <w:p w14:paraId="38A8FBB5">
            <w:pPr>
              <w:jc w:val="center"/>
              <w:rPr>
                <w:rFonts w:hint="default"/>
                <w:color w:val="auto"/>
                <w:highlight w:val="none"/>
                <w:lang w:val="en-US" w:eastAsia="zh-CN"/>
              </w:rPr>
            </w:pPr>
            <w:r>
              <w:rPr>
                <w:rFonts w:hint="eastAsia"/>
                <w:color w:val="auto"/>
                <w:highlight w:val="none"/>
                <w:lang w:val="en-US" w:eastAsia="zh-CN"/>
              </w:rPr>
              <w:t>3</w:t>
            </w:r>
          </w:p>
        </w:tc>
        <w:tc>
          <w:tcPr>
            <w:tcW w:w="1729" w:type="dxa"/>
            <w:vAlign w:val="center"/>
          </w:tcPr>
          <w:p w14:paraId="739ECAD0">
            <w:pPr>
              <w:rPr>
                <w:rFonts w:hint="eastAsia"/>
                <w:color w:val="auto"/>
                <w:highlight w:val="none"/>
              </w:rPr>
            </w:pPr>
            <w:r>
              <w:rPr>
                <w:rFonts w:hint="eastAsia"/>
                <w:color w:val="auto"/>
                <w:highlight w:val="none"/>
              </w:rPr>
              <w:t>电流互感器</w:t>
            </w:r>
          </w:p>
        </w:tc>
        <w:tc>
          <w:tcPr>
            <w:tcW w:w="3862" w:type="dxa"/>
            <w:vAlign w:val="center"/>
          </w:tcPr>
          <w:p w14:paraId="5ADB1EA2">
            <w:pPr>
              <w:rPr>
                <w:rFonts w:hint="eastAsia"/>
                <w:color w:val="auto"/>
                <w:highlight w:val="none"/>
                <w:lang w:val="en-US" w:eastAsia="zh-CN"/>
              </w:rPr>
            </w:pPr>
            <w:r>
              <w:rPr>
                <w:rFonts w:hint="eastAsia"/>
                <w:color w:val="auto"/>
                <w:highlight w:val="none"/>
                <w:lang w:val="en-US" w:eastAsia="zh-CN"/>
              </w:rPr>
              <w:t>LZZBJ9-36/250D1GA  400/5</w:t>
            </w:r>
          </w:p>
          <w:p w14:paraId="03AC5581">
            <w:pPr>
              <w:rPr>
                <w:rFonts w:hint="default"/>
                <w:color w:val="auto"/>
                <w:highlight w:val="none"/>
                <w:lang w:val="en-US" w:eastAsia="zh-CN"/>
              </w:rPr>
            </w:pPr>
            <w:r>
              <w:rPr>
                <w:rFonts w:hint="eastAsia"/>
                <w:color w:val="auto"/>
                <w:highlight w:val="none"/>
                <w:lang w:val="en-US" w:eastAsia="zh-CN"/>
              </w:rPr>
              <w:t>0.2S/5P20</w:t>
            </w:r>
          </w:p>
        </w:tc>
        <w:tc>
          <w:tcPr>
            <w:tcW w:w="1347" w:type="dxa"/>
            <w:vAlign w:val="center"/>
          </w:tcPr>
          <w:p w14:paraId="2194302A">
            <w:pPr>
              <w:rPr>
                <w:rFonts w:hint="default"/>
                <w:color w:val="auto"/>
                <w:highlight w:val="none"/>
                <w:lang w:val="en-US" w:eastAsia="zh-CN"/>
              </w:rPr>
            </w:pPr>
            <w:r>
              <w:rPr>
                <w:rFonts w:hint="eastAsia"/>
                <w:color w:val="auto"/>
                <w:highlight w:val="none"/>
                <w:lang w:val="en-US" w:eastAsia="zh-CN"/>
              </w:rPr>
              <w:t>大连一互</w:t>
            </w:r>
          </w:p>
        </w:tc>
        <w:tc>
          <w:tcPr>
            <w:tcW w:w="740" w:type="dxa"/>
            <w:vAlign w:val="center"/>
          </w:tcPr>
          <w:p w14:paraId="07A521A5">
            <w:pPr>
              <w:rPr>
                <w:rFonts w:hint="default"/>
                <w:color w:val="auto"/>
                <w:highlight w:val="none"/>
                <w:lang w:val="en-US" w:eastAsia="zh-CN"/>
              </w:rPr>
            </w:pPr>
            <w:r>
              <w:rPr>
                <w:rFonts w:hint="eastAsia"/>
                <w:color w:val="auto"/>
                <w:highlight w:val="none"/>
                <w:lang w:val="en-US" w:eastAsia="zh-CN"/>
              </w:rPr>
              <w:t>台</w:t>
            </w:r>
          </w:p>
        </w:tc>
        <w:tc>
          <w:tcPr>
            <w:tcW w:w="797" w:type="dxa"/>
            <w:vAlign w:val="center"/>
          </w:tcPr>
          <w:p w14:paraId="4E56368F">
            <w:pPr>
              <w:jc w:val="center"/>
              <w:rPr>
                <w:rFonts w:hint="default"/>
                <w:color w:val="auto"/>
                <w:highlight w:val="none"/>
                <w:lang w:val="en-US" w:eastAsia="zh-CN"/>
              </w:rPr>
            </w:pPr>
            <w:r>
              <w:rPr>
                <w:rFonts w:hint="eastAsia"/>
                <w:color w:val="auto"/>
                <w:highlight w:val="none"/>
                <w:lang w:val="en-US" w:eastAsia="zh-CN"/>
              </w:rPr>
              <w:t>3</w:t>
            </w:r>
          </w:p>
        </w:tc>
      </w:tr>
      <w:tr w14:paraId="1CEB3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523" w:hRule="atLeast"/>
          <w:jc w:val="center"/>
        </w:trPr>
        <w:tc>
          <w:tcPr>
            <w:tcW w:w="656" w:type="dxa"/>
            <w:vAlign w:val="center"/>
          </w:tcPr>
          <w:p w14:paraId="78A31CC1">
            <w:pPr>
              <w:jc w:val="center"/>
              <w:rPr>
                <w:rFonts w:hint="default"/>
                <w:color w:val="auto"/>
                <w:highlight w:val="none"/>
                <w:lang w:val="en-US" w:eastAsia="zh-CN"/>
              </w:rPr>
            </w:pPr>
            <w:r>
              <w:rPr>
                <w:rFonts w:hint="eastAsia"/>
                <w:color w:val="auto"/>
                <w:highlight w:val="none"/>
                <w:lang w:val="en-US" w:eastAsia="zh-CN"/>
              </w:rPr>
              <w:t>4</w:t>
            </w:r>
          </w:p>
        </w:tc>
        <w:tc>
          <w:tcPr>
            <w:tcW w:w="1729" w:type="dxa"/>
            <w:vAlign w:val="center"/>
          </w:tcPr>
          <w:p w14:paraId="2E5C4588">
            <w:pPr>
              <w:rPr>
                <w:rFonts w:hint="eastAsia"/>
                <w:color w:val="auto"/>
                <w:highlight w:val="none"/>
                <w:lang w:val="en-US" w:eastAsia="zh-CN"/>
              </w:rPr>
            </w:pPr>
            <w:r>
              <w:rPr>
                <w:rFonts w:hint="eastAsia"/>
                <w:color w:val="auto"/>
                <w:highlight w:val="none"/>
                <w:lang w:val="en-US" w:eastAsia="zh-CN"/>
              </w:rPr>
              <w:t>零序电流互感器</w:t>
            </w:r>
          </w:p>
        </w:tc>
        <w:tc>
          <w:tcPr>
            <w:tcW w:w="3862" w:type="dxa"/>
            <w:vAlign w:val="center"/>
          </w:tcPr>
          <w:p w14:paraId="2E29AEC7">
            <w:pPr>
              <w:rPr>
                <w:color w:val="auto"/>
                <w:highlight w:val="none"/>
              </w:rPr>
            </w:pPr>
            <w:r>
              <w:rPr>
                <w:rFonts w:hint="eastAsia"/>
                <w:color w:val="auto"/>
                <w:highlight w:val="none"/>
                <w:lang w:val="en-US" w:eastAsia="zh-CN"/>
              </w:rPr>
              <w:t>LJK-Φ180J 150/5  10P10  5VA</w:t>
            </w:r>
          </w:p>
        </w:tc>
        <w:tc>
          <w:tcPr>
            <w:tcW w:w="1347" w:type="dxa"/>
            <w:vAlign w:val="center"/>
          </w:tcPr>
          <w:p w14:paraId="6C50AC81">
            <w:pPr>
              <w:rPr>
                <w:rFonts w:hint="default"/>
                <w:color w:val="auto"/>
                <w:highlight w:val="none"/>
                <w:lang w:val="en-US" w:eastAsia="zh-CN"/>
              </w:rPr>
            </w:pPr>
            <w:r>
              <w:rPr>
                <w:rFonts w:hint="eastAsia"/>
                <w:color w:val="auto"/>
                <w:highlight w:val="none"/>
                <w:lang w:val="en-US" w:eastAsia="zh-CN"/>
              </w:rPr>
              <w:t>大誉诚</w:t>
            </w:r>
          </w:p>
        </w:tc>
        <w:tc>
          <w:tcPr>
            <w:tcW w:w="740" w:type="dxa"/>
            <w:vAlign w:val="center"/>
          </w:tcPr>
          <w:p w14:paraId="4487321A">
            <w:pPr>
              <w:rPr>
                <w:rFonts w:hint="default"/>
                <w:color w:val="auto"/>
                <w:highlight w:val="none"/>
                <w:lang w:val="en-US" w:eastAsia="zh-CN"/>
              </w:rPr>
            </w:pPr>
            <w:r>
              <w:rPr>
                <w:rFonts w:hint="eastAsia"/>
                <w:color w:val="auto"/>
                <w:highlight w:val="none"/>
                <w:lang w:val="en-US" w:eastAsia="zh-CN"/>
              </w:rPr>
              <w:t>只</w:t>
            </w:r>
          </w:p>
        </w:tc>
        <w:tc>
          <w:tcPr>
            <w:tcW w:w="797" w:type="dxa"/>
            <w:vAlign w:val="center"/>
          </w:tcPr>
          <w:p w14:paraId="6018811C">
            <w:pPr>
              <w:jc w:val="center"/>
              <w:rPr>
                <w:rFonts w:hint="eastAsia"/>
                <w:color w:val="auto"/>
                <w:highlight w:val="none"/>
                <w:lang w:val="en-US" w:eastAsia="zh-CN"/>
              </w:rPr>
            </w:pPr>
            <w:r>
              <w:rPr>
                <w:rFonts w:hint="eastAsia"/>
                <w:color w:val="auto"/>
                <w:highlight w:val="none"/>
                <w:lang w:val="en-US" w:eastAsia="zh-CN"/>
              </w:rPr>
              <w:t>1</w:t>
            </w:r>
          </w:p>
        </w:tc>
      </w:tr>
      <w:tr w14:paraId="35DEB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561" w:hRule="atLeast"/>
          <w:jc w:val="center"/>
        </w:trPr>
        <w:tc>
          <w:tcPr>
            <w:tcW w:w="656" w:type="dxa"/>
            <w:vAlign w:val="center"/>
          </w:tcPr>
          <w:p w14:paraId="72A4CB51">
            <w:pPr>
              <w:jc w:val="center"/>
              <w:rPr>
                <w:rFonts w:hint="default"/>
                <w:color w:val="auto"/>
                <w:highlight w:val="none"/>
                <w:lang w:val="en-US" w:eastAsia="zh-CN"/>
              </w:rPr>
            </w:pPr>
            <w:r>
              <w:rPr>
                <w:rFonts w:hint="eastAsia"/>
                <w:color w:val="auto"/>
                <w:highlight w:val="none"/>
                <w:lang w:val="en-US" w:eastAsia="zh-CN"/>
              </w:rPr>
              <w:t>5</w:t>
            </w:r>
          </w:p>
        </w:tc>
        <w:tc>
          <w:tcPr>
            <w:tcW w:w="1729" w:type="dxa"/>
            <w:vAlign w:val="center"/>
          </w:tcPr>
          <w:p w14:paraId="3F63DDEB">
            <w:pPr>
              <w:rPr>
                <w:rFonts w:hint="eastAsia"/>
                <w:color w:val="auto"/>
                <w:highlight w:val="none"/>
              </w:rPr>
            </w:pPr>
            <w:r>
              <w:rPr>
                <w:rFonts w:hint="eastAsia"/>
                <w:color w:val="auto"/>
                <w:highlight w:val="none"/>
              </w:rPr>
              <w:t>避雷器</w:t>
            </w:r>
          </w:p>
        </w:tc>
        <w:tc>
          <w:tcPr>
            <w:tcW w:w="3862" w:type="dxa"/>
            <w:vAlign w:val="center"/>
          </w:tcPr>
          <w:p w14:paraId="2F2EB97B">
            <w:pPr>
              <w:rPr>
                <w:rFonts w:hint="eastAsia"/>
                <w:color w:val="auto"/>
                <w:highlight w:val="none"/>
                <w:lang w:val="en-US" w:eastAsia="zh-CN"/>
              </w:rPr>
            </w:pPr>
            <w:r>
              <w:rPr>
                <w:rFonts w:hint="eastAsia"/>
                <w:color w:val="auto"/>
                <w:highlight w:val="none"/>
              </w:rPr>
              <w:t>型号：HY5WZ-51/134</w:t>
            </w:r>
            <w:r>
              <w:rPr>
                <w:rFonts w:hint="eastAsia"/>
                <w:color w:val="auto"/>
                <w:highlight w:val="none"/>
                <w:lang w:val="en-US" w:eastAsia="zh-CN"/>
              </w:rPr>
              <w:t>Q</w:t>
            </w:r>
          </w:p>
          <w:p w14:paraId="7F95AFB9">
            <w:pPr>
              <w:rPr>
                <w:rFonts w:hint="default"/>
                <w:color w:val="auto"/>
                <w:highlight w:val="none"/>
                <w:lang w:val="en-US" w:eastAsia="zh-CN"/>
              </w:rPr>
            </w:pPr>
          </w:p>
        </w:tc>
        <w:tc>
          <w:tcPr>
            <w:tcW w:w="1347" w:type="dxa"/>
            <w:vAlign w:val="center"/>
          </w:tcPr>
          <w:p w14:paraId="5259F6AE">
            <w:pPr>
              <w:rPr>
                <w:rFonts w:hint="default"/>
                <w:color w:val="auto"/>
                <w:highlight w:val="none"/>
                <w:lang w:val="en-US" w:eastAsia="zh-CN"/>
              </w:rPr>
            </w:pPr>
            <w:r>
              <w:rPr>
                <w:rFonts w:hint="eastAsia"/>
                <w:color w:val="auto"/>
                <w:highlight w:val="none"/>
                <w:lang w:val="en-US" w:eastAsia="zh-CN"/>
              </w:rPr>
              <w:t>西安神电</w:t>
            </w:r>
          </w:p>
        </w:tc>
        <w:tc>
          <w:tcPr>
            <w:tcW w:w="740" w:type="dxa"/>
            <w:vAlign w:val="center"/>
          </w:tcPr>
          <w:p w14:paraId="520BEEF6">
            <w:pPr>
              <w:rPr>
                <w:rFonts w:hint="eastAsia"/>
                <w:color w:val="auto"/>
                <w:highlight w:val="none"/>
                <w:lang w:val="en-US" w:eastAsia="zh-CN"/>
              </w:rPr>
            </w:pPr>
            <w:r>
              <w:rPr>
                <w:rFonts w:hint="eastAsia"/>
                <w:color w:val="auto"/>
                <w:highlight w:val="none"/>
                <w:lang w:val="en-US" w:eastAsia="zh-CN"/>
              </w:rPr>
              <w:t>只</w:t>
            </w:r>
          </w:p>
        </w:tc>
        <w:tc>
          <w:tcPr>
            <w:tcW w:w="797" w:type="dxa"/>
            <w:vAlign w:val="center"/>
          </w:tcPr>
          <w:p w14:paraId="4541E1B1">
            <w:pPr>
              <w:jc w:val="center"/>
              <w:rPr>
                <w:rFonts w:hint="eastAsia"/>
                <w:color w:val="auto"/>
                <w:highlight w:val="none"/>
                <w:lang w:val="en-US" w:eastAsia="zh-CN"/>
              </w:rPr>
            </w:pPr>
            <w:r>
              <w:rPr>
                <w:rFonts w:hint="eastAsia"/>
                <w:color w:val="auto"/>
                <w:highlight w:val="none"/>
                <w:lang w:val="en-US" w:eastAsia="zh-CN"/>
              </w:rPr>
              <w:t>3</w:t>
            </w:r>
          </w:p>
        </w:tc>
      </w:tr>
      <w:tr w14:paraId="78FD5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422" w:hRule="atLeast"/>
          <w:jc w:val="center"/>
        </w:trPr>
        <w:tc>
          <w:tcPr>
            <w:tcW w:w="656" w:type="dxa"/>
            <w:vAlign w:val="center"/>
          </w:tcPr>
          <w:p w14:paraId="36C0D396">
            <w:pPr>
              <w:jc w:val="center"/>
              <w:rPr>
                <w:rFonts w:hint="default"/>
                <w:color w:val="auto"/>
                <w:highlight w:val="none"/>
                <w:lang w:val="en-US" w:eastAsia="zh-CN"/>
              </w:rPr>
            </w:pPr>
            <w:r>
              <w:rPr>
                <w:rFonts w:hint="eastAsia"/>
                <w:color w:val="auto"/>
                <w:highlight w:val="none"/>
                <w:lang w:val="en-US" w:eastAsia="zh-CN"/>
              </w:rPr>
              <w:t>6</w:t>
            </w:r>
          </w:p>
        </w:tc>
        <w:tc>
          <w:tcPr>
            <w:tcW w:w="1729" w:type="dxa"/>
            <w:vAlign w:val="center"/>
          </w:tcPr>
          <w:p w14:paraId="36BF583A">
            <w:pPr>
              <w:rPr>
                <w:rFonts w:hint="eastAsia"/>
                <w:color w:val="auto"/>
                <w:highlight w:val="none"/>
                <w:lang w:val="en-US" w:eastAsia="zh-CN"/>
              </w:rPr>
            </w:pPr>
            <w:r>
              <w:rPr>
                <w:rFonts w:hint="eastAsia"/>
                <w:color w:val="auto"/>
                <w:highlight w:val="none"/>
                <w:lang w:val="en-US" w:eastAsia="zh-CN"/>
              </w:rPr>
              <w:t>无线测温装置</w:t>
            </w:r>
          </w:p>
        </w:tc>
        <w:tc>
          <w:tcPr>
            <w:tcW w:w="3862" w:type="dxa"/>
            <w:vAlign w:val="center"/>
          </w:tcPr>
          <w:p w14:paraId="4936A701">
            <w:pPr>
              <w:rPr>
                <w:rFonts w:hint="default"/>
                <w:color w:val="auto"/>
                <w:highlight w:val="none"/>
                <w:lang w:val="en-US" w:eastAsia="zh-CN"/>
              </w:rPr>
            </w:pPr>
            <w:r>
              <w:rPr>
                <w:rFonts w:hint="eastAsia"/>
                <w:color w:val="auto"/>
                <w:highlight w:val="none"/>
                <w:lang w:val="en-US" w:eastAsia="zh-CN"/>
              </w:rPr>
              <w:t>MCW-300TA-9</w:t>
            </w:r>
          </w:p>
        </w:tc>
        <w:tc>
          <w:tcPr>
            <w:tcW w:w="1347" w:type="dxa"/>
            <w:vAlign w:val="center"/>
          </w:tcPr>
          <w:p w14:paraId="64DDDCC2">
            <w:pPr>
              <w:rPr>
                <w:rFonts w:hint="default"/>
                <w:color w:val="auto"/>
                <w:highlight w:val="none"/>
                <w:lang w:val="en-US" w:eastAsia="zh-CN"/>
              </w:rPr>
            </w:pPr>
            <w:r>
              <w:rPr>
                <w:rFonts w:hint="eastAsia"/>
                <w:color w:val="auto"/>
                <w:highlight w:val="none"/>
                <w:lang w:val="en-US" w:eastAsia="zh-CN"/>
              </w:rPr>
              <w:t>白云电气</w:t>
            </w:r>
          </w:p>
        </w:tc>
        <w:tc>
          <w:tcPr>
            <w:tcW w:w="740" w:type="dxa"/>
            <w:vAlign w:val="center"/>
          </w:tcPr>
          <w:p w14:paraId="3DE89148">
            <w:pPr>
              <w:rPr>
                <w:rFonts w:hint="eastAsia"/>
                <w:color w:val="auto"/>
                <w:highlight w:val="none"/>
                <w:lang w:val="en-US" w:eastAsia="zh-CN"/>
              </w:rPr>
            </w:pPr>
            <w:r>
              <w:rPr>
                <w:rFonts w:hint="eastAsia"/>
                <w:color w:val="auto"/>
                <w:highlight w:val="none"/>
                <w:lang w:val="en-US" w:eastAsia="zh-CN"/>
              </w:rPr>
              <w:t>台</w:t>
            </w:r>
          </w:p>
        </w:tc>
        <w:tc>
          <w:tcPr>
            <w:tcW w:w="797" w:type="dxa"/>
            <w:vAlign w:val="center"/>
          </w:tcPr>
          <w:p w14:paraId="4C4A3772">
            <w:pPr>
              <w:jc w:val="center"/>
              <w:rPr>
                <w:rFonts w:hint="default"/>
                <w:color w:val="auto"/>
                <w:highlight w:val="none"/>
                <w:lang w:val="en-US" w:eastAsia="zh-CN"/>
              </w:rPr>
            </w:pPr>
            <w:r>
              <w:rPr>
                <w:rFonts w:hint="eastAsia"/>
                <w:color w:val="auto"/>
                <w:highlight w:val="none"/>
                <w:lang w:val="en-US" w:eastAsia="zh-CN"/>
              </w:rPr>
              <w:t>1</w:t>
            </w:r>
          </w:p>
        </w:tc>
      </w:tr>
      <w:tr w14:paraId="61EA7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459" w:hRule="atLeast"/>
          <w:jc w:val="center"/>
        </w:trPr>
        <w:tc>
          <w:tcPr>
            <w:tcW w:w="656" w:type="dxa"/>
            <w:vAlign w:val="center"/>
          </w:tcPr>
          <w:p w14:paraId="3F53AC19">
            <w:pPr>
              <w:jc w:val="center"/>
              <w:rPr>
                <w:rFonts w:hint="default"/>
                <w:color w:val="auto"/>
                <w:highlight w:val="none"/>
                <w:lang w:val="en-US" w:eastAsia="zh-CN"/>
              </w:rPr>
            </w:pPr>
            <w:r>
              <w:rPr>
                <w:rFonts w:hint="eastAsia"/>
                <w:color w:val="auto"/>
                <w:highlight w:val="none"/>
                <w:lang w:val="en-US" w:eastAsia="zh-CN"/>
              </w:rPr>
              <w:t>7</w:t>
            </w:r>
          </w:p>
        </w:tc>
        <w:tc>
          <w:tcPr>
            <w:tcW w:w="1729" w:type="dxa"/>
            <w:vAlign w:val="center"/>
          </w:tcPr>
          <w:p w14:paraId="005E3092">
            <w:pPr>
              <w:rPr>
                <w:rFonts w:hint="eastAsia"/>
                <w:color w:val="auto"/>
                <w:highlight w:val="none"/>
                <w:lang w:val="en-US" w:eastAsia="zh-CN"/>
              </w:rPr>
            </w:pPr>
            <w:r>
              <w:rPr>
                <w:rFonts w:hint="eastAsia"/>
                <w:color w:val="auto"/>
                <w:highlight w:val="none"/>
                <w:lang w:val="en-US" w:eastAsia="zh-CN"/>
              </w:rPr>
              <w:t>温湿度控制装置</w:t>
            </w:r>
          </w:p>
        </w:tc>
        <w:tc>
          <w:tcPr>
            <w:tcW w:w="3862" w:type="dxa"/>
            <w:vAlign w:val="center"/>
          </w:tcPr>
          <w:p w14:paraId="7F65C481">
            <w:pPr>
              <w:rPr>
                <w:rFonts w:hint="default"/>
                <w:color w:val="auto"/>
                <w:highlight w:val="none"/>
                <w:lang w:val="en-US" w:eastAsia="zh-CN"/>
              </w:rPr>
            </w:pPr>
            <w:r>
              <w:rPr>
                <w:rFonts w:hint="eastAsia"/>
                <w:color w:val="auto"/>
                <w:highlight w:val="none"/>
                <w:lang w:val="en-US" w:eastAsia="zh-CN"/>
              </w:rPr>
              <w:t>MCD30C-WS1(ND)-J-C</w:t>
            </w:r>
          </w:p>
        </w:tc>
        <w:tc>
          <w:tcPr>
            <w:tcW w:w="1347" w:type="dxa"/>
            <w:vAlign w:val="center"/>
          </w:tcPr>
          <w:p w14:paraId="16E55F73">
            <w:pPr>
              <w:rPr>
                <w:rFonts w:hint="eastAsia"/>
                <w:color w:val="auto"/>
                <w:highlight w:val="none"/>
                <w:lang w:val="en-US" w:eastAsia="zh-CN"/>
              </w:rPr>
            </w:pPr>
            <w:r>
              <w:rPr>
                <w:rFonts w:hint="eastAsia"/>
                <w:color w:val="auto"/>
                <w:highlight w:val="none"/>
                <w:lang w:val="en-US" w:eastAsia="zh-CN"/>
              </w:rPr>
              <w:t>白云电气</w:t>
            </w:r>
          </w:p>
        </w:tc>
        <w:tc>
          <w:tcPr>
            <w:tcW w:w="740" w:type="dxa"/>
            <w:vAlign w:val="center"/>
          </w:tcPr>
          <w:p w14:paraId="052A6921">
            <w:pPr>
              <w:rPr>
                <w:rFonts w:hint="default"/>
                <w:color w:val="auto"/>
                <w:highlight w:val="none"/>
                <w:lang w:val="en-US" w:eastAsia="zh-CN"/>
              </w:rPr>
            </w:pPr>
            <w:r>
              <w:rPr>
                <w:rFonts w:hint="eastAsia"/>
                <w:color w:val="auto"/>
                <w:highlight w:val="none"/>
                <w:lang w:val="en-US" w:eastAsia="zh-CN"/>
              </w:rPr>
              <w:t>台</w:t>
            </w:r>
          </w:p>
        </w:tc>
        <w:tc>
          <w:tcPr>
            <w:tcW w:w="797" w:type="dxa"/>
            <w:vAlign w:val="center"/>
          </w:tcPr>
          <w:p w14:paraId="47DCBD98">
            <w:pPr>
              <w:jc w:val="center"/>
              <w:rPr>
                <w:rFonts w:hint="default"/>
                <w:color w:val="auto"/>
                <w:highlight w:val="none"/>
                <w:lang w:val="en-US" w:eastAsia="zh-CN"/>
              </w:rPr>
            </w:pPr>
            <w:r>
              <w:rPr>
                <w:rFonts w:hint="eastAsia"/>
                <w:color w:val="auto"/>
                <w:highlight w:val="none"/>
                <w:lang w:val="en-US" w:eastAsia="zh-CN"/>
              </w:rPr>
              <w:t>1</w:t>
            </w:r>
          </w:p>
        </w:tc>
      </w:tr>
      <w:tr w14:paraId="79F40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589" w:hRule="atLeast"/>
          <w:jc w:val="center"/>
        </w:trPr>
        <w:tc>
          <w:tcPr>
            <w:tcW w:w="656" w:type="dxa"/>
            <w:vAlign w:val="center"/>
          </w:tcPr>
          <w:p w14:paraId="7C7B8E7F">
            <w:pPr>
              <w:jc w:val="center"/>
              <w:rPr>
                <w:rFonts w:hint="default"/>
                <w:color w:val="auto"/>
                <w:highlight w:val="none"/>
                <w:lang w:val="en-US" w:eastAsia="zh-CN"/>
              </w:rPr>
            </w:pPr>
            <w:r>
              <w:rPr>
                <w:rFonts w:hint="eastAsia"/>
                <w:color w:val="auto"/>
                <w:highlight w:val="none"/>
                <w:lang w:val="en-US" w:eastAsia="zh-CN"/>
              </w:rPr>
              <w:t>8</w:t>
            </w:r>
          </w:p>
        </w:tc>
        <w:tc>
          <w:tcPr>
            <w:tcW w:w="1729" w:type="dxa"/>
            <w:vAlign w:val="center"/>
          </w:tcPr>
          <w:p w14:paraId="51EFE455">
            <w:pPr>
              <w:rPr>
                <w:rFonts w:hint="eastAsia"/>
                <w:color w:val="auto"/>
                <w:highlight w:val="none"/>
                <w:lang w:val="en-US" w:eastAsia="zh-CN"/>
              </w:rPr>
            </w:pPr>
            <w:r>
              <w:rPr>
                <w:rFonts w:hint="eastAsia"/>
                <w:color w:val="auto"/>
                <w:highlight w:val="none"/>
                <w:lang w:val="en-US" w:eastAsia="zh-CN"/>
              </w:rPr>
              <w:t>开关柜智能操控装置</w:t>
            </w:r>
          </w:p>
        </w:tc>
        <w:tc>
          <w:tcPr>
            <w:tcW w:w="3862" w:type="dxa"/>
            <w:vAlign w:val="center"/>
          </w:tcPr>
          <w:p w14:paraId="69C38FEE">
            <w:pPr>
              <w:rPr>
                <w:rFonts w:hint="default"/>
                <w:color w:val="auto"/>
                <w:highlight w:val="none"/>
                <w:lang w:val="en-US" w:eastAsia="zh-CN"/>
              </w:rPr>
            </w:pPr>
            <w:r>
              <w:rPr>
                <w:rFonts w:hint="eastAsia"/>
                <w:color w:val="auto"/>
                <w:highlight w:val="none"/>
                <w:lang w:val="en-US" w:eastAsia="zh-CN"/>
              </w:rPr>
              <w:t>MCK-5000B</w:t>
            </w:r>
          </w:p>
        </w:tc>
        <w:tc>
          <w:tcPr>
            <w:tcW w:w="1347" w:type="dxa"/>
            <w:vAlign w:val="center"/>
          </w:tcPr>
          <w:p w14:paraId="06DC0476">
            <w:pPr>
              <w:rPr>
                <w:rFonts w:hint="eastAsia"/>
                <w:color w:val="auto"/>
                <w:highlight w:val="none"/>
                <w:lang w:val="en-US" w:eastAsia="zh-CN"/>
              </w:rPr>
            </w:pPr>
            <w:r>
              <w:rPr>
                <w:rFonts w:hint="eastAsia"/>
                <w:color w:val="auto"/>
                <w:highlight w:val="none"/>
                <w:lang w:val="en-US" w:eastAsia="zh-CN"/>
              </w:rPr>
              <w:t>白云电气</w:t>
            </w:r>
          </w:p>
        </w:tc>
        <w:tc>
          <w:tcPr>
            <w:tcW w:w="740" w:type="dxa"/>
            <w:vAlign w:val="center"/>
          </w:tcPr>
          <w:p w14:paraId="12BD78C7">
            <w:pPr>
              <w:rPr>
                <w:rFonts w:hint="eastAsia"/>
                <w:color w:val="auto"/>
                <w:highlight w:val="none"/>
                <w:lang w:val="en-US" w:eastAsia="zh-CN"/>
              </w:rPr>
            </w:pPr>
            <w:r>
              <w:rPr>
                <w:rFonts w:hint="eastAsia"/>
                <w:color w:val="auto"/>
                <w:highlight w:val="none"/>
                <w:lang w:val="en-US" w:eastAsia="zh-CN"/>
              </w:rPr>
              <w:t>台</w:t>
            </w:r>
          </w:p>
        </w:tc>
        <w:tc>
          <w:tcPr>
            <w:tcW w:w="797" w:type="dxa"/>
            <w:vAlign w:val="center"/>
          </w:tcPr>
          <w:p w14:paraId="5D78AB5C">
            <w:pPr>
              <w:jc w:val="center"/>
              <w:rPr>
                <w:rFonts w:hint="default"/>
                <w:color w:val="auto"/>
                <w:highlight w:val="none"/>
                <w:lang w:val="en-US" w:eastAsia="zh-CN"/>
              </w:rPr>
            </w:pPr>
            <w:r>
              <w:rPr>
                <w:rFonts w:hint="eastAsia"/>
                <w:color w:val="auto"/>
                <w:highlight w:val="none"/>
                <w:lang w:val="en-US" w:eastAsia="zh-CN"/>
              </w:rPr>
              <w:t>1</w:t>
            </w:r>
          </w:p>
        </w:tc>
      </w:tr>
      <w:tr w14:paraId="53CC2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609" w:hRule="atLeast"/>
          <w:jc w:val="center"/>
        </w:trPr>
        <w:tc>
          <w:tcPr>
            <w:tcW w:w="656" w:type="dxa"/>
            <w:vAlign w:val="center"/>
          </w:tcPr>
          <w:p w14:paraId="3633EF57">
            <w:pPr>
              <w:jc w:val="center"/>
              <w:rPr>
                <w:rFonts w:hint="default"/>
                <w:color w:val="auto"/>
                <w:highlight w:val="none"/>
                <w:lang w:val="en-US" w:eastAsia="zh-CN"/>
              </w:rPr>
            </w:pPr>
            <w:r>
              <w:rPr>
                <w:rFonts w:hint="eastAsia"/>
                <w:color w:val="auto"/>
                <w:highlight w:val="none"/>
                <w:lang w:val="en-US" w:eastAsia="zh-CN"/>
              </w:rPr>
              <w:t>9</w:t>
            </w:r>
          </w:p>
        </w:tc>
        <w:tc>
          <w:tcPr>
            <w:tcW w:w="1729" w:type="dxa"/>
            <w:vAlign w:val="center"/>
          </w:tcPr>
          <w:p w14:paraId="780E93DF">
            <w:pPr>
              <w:rPr>
                <w:rFonts w:hint="eastAsia"/>
                <w:color w:val="auto"/>
                <w:highlight w:val="none"/>
                <w:lang w:val="en-US" w:eastAsia="zh-CN"/>
              </w:rPr>
            </w:pPr>
            <w:r>
              <w:rPr>
                <w:rFonts w:hint="eastAsia"/>
                <w:color w:val="auto"/>
                <w:highlight w:val="none"/>
                <w:lang w:val="en-US" w:eastAsia="zh-CN"/>
              </w:rPr>
              <w:t>高压带电显示装置</w:t>
            </w:r>
          </w:p>
        </w:tc>
        <w:tc>
          <w:tcPr>
            <w:tcW w:w="3862" w:type="dxa"/>
            <w:vAlign w:val="center"/>
          </w:tcPr>
          <w:p w14:paraId="58D8FB97">
            <w:pPr>
              <w:rPr>
                <w:rFonts w:hint="default"/>
                <w:color w:val="auto"/>
                <w:highlight w:val="none"/>
                <w:lang w:val="en-US" w:eastAsia="zh-CN"/>
              </w:rPr>
            </w:pPr>
            <w:r>
              <w:rPr>
                <w:rFonts w:hint="eastAsia"/>
                <w:color w:val="auto"/>
                <w:highlight w:val="none"/>
                <w:lang w:val="en-US" w:eastAsia="zh-CN"/>
              </w:rPr>
              <w:t>GSNE1-40.5/Q2HYZ AC/DC220</w:t>
            </w:r>
          </w:p>
        </w:tc>
        <w:tc>
          <w:tcPr>
            <w:tcW w:w="1347" w:type="dxa"/>
            <w:vAlign w:val="center"/>
          </w:tcPr>
          <w:p w14:paraId="109525DF">
            <w:pPr>
              <w:rPr>
                <w:rFonts w:hint="default"/>
                <w:color w:val="auto"/>
                <w:highlight w:val="none"/>
                <w:lang w:val="en-US" w:eastAsia="zh-CN"/>
              </w:rPr>
            </w:pPr>
            <w:r>
              <w:rPr>
                <w:rFonts w:hint="eastAsia"/>
                <w:color w:val="auto"/>
                <w:highlight w:val="none"/>
                <w:lang w:val="en-US" w:eastAsia="zh-CN"/>
              </w:rPr>
              <w:t>江门玄宇</w:t>
            </w:r>
          </w:p>
        </w:tc>
        <w:tc>
          <w:tcPr>
            <w:tcW w:w="740" w:type="dxa"/>
            <w:vAlign w:val="center"/>
          </w:tcPr>
          <w:p w14:paraId="0AF40BF1">
            <w:pPr>
              <w:rPr>
                <w:rFonts w:hint="eastAsia"/>
                <w:color w:val="auto"/>
                <w:highlight w:val="none"/>
                <w:lang w:val="en-US" w:eastAsia="zh-CN"/>
              </w:rPr>
            </w:pPr>
            <w:r>
              <w:rPr>
                <w:rFonts w:hint="eastAsia"/>
                <w:color w:val="auto"/>
                <w:highlight w:val="none"/>
                <w:lang w:val="en-US" w:eastAsia="zh-CN"/>
              </w:rPr>
              <w:t>套</w:t>
            </w:r>
          </w:p>
        </w:tc>
        <w:tc>
          <w:tcPr>
            <w:tcW w:w="797" w:type="dxa"/>
            <w:vAlign w:val="center"/>
          </w:tcPr>
          <w:p w14:paraId="1FF1E4ED">
            <w:pPr>
              <w:jc w:val="center"/>
              <w:rPr>
                <w:rFonts w:hint="default"/>
                <w:color w:val="auto"/>
                <w:highlight w:val="none"/>
                <w:lang w:val="en-US" w:eastAsia="zh-CN"/>
              </w:rPr>
            </w:pPr>
            <w:r>
              <w:rPr>
                <w:rFonts w:hint="eastAsia"/>
                <w:color w:val="auto"/>
                <w:highlight w:val="none"/>
                <w:lang w:val="en-US" w:eastAsia="zh-CN"/>
              </w:rPr>
              <w:t>1</w:t>
            </w:r>
          </w:p>
        </w:tc>
      </w:tr>
      <w:tr w14:paraId="3F320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411" w:hRule="atLeast"/>
          <w:jc w:val="center"/>
        </w:trPr>
        <w:tc>
          <w:tcPr>
            <w:tcW w:w="656" w:type="dxa"/>
            <w:vAlign w:val="center"/>
          </w:tcPr>
          <w:p w14:paraId="7406BB64">
            <w:pPr>
              <w:jc w:val="center"/>
              <w:rPr>
                <w:rFonts w:hint="default"/>
                <w:color w:val="auto"/>
                <w:highlight w:val="none"/>
                <w:lang w:val="en-US" w:eastAsia="zh-CN"/>
              </w:rPr>
            </w:pPr>
            <w:r>
              <w:rPr>
                <w:rFonts w:hint="eastAsia"/>
                <w:color w:val="auto"/>
                <w:highlight w:val="none"/>
                <w:lang w:val="en-US" w:eastAsia="zh-CN"/>
              </w:rPr>
              <w:t>10</w:t>
            </w:r>
          </w:p>
        </w:tc>
        <w:tc>
          <w:tcPr>
            <w:tcW w:w="1729" w:type="dxa"/>
            <w:vAlign w:val="center"/>
          </w:tcPr>
          <w:p w14:paraId="6BDF3FC3">
            <w:pPr>
              <w:rPr>
                <w:rFonts w:hint="eastAsia"/>
                <w:color w:val="auto"/>
                <w:highlight w:val="none"/>
                <w:lang w:val="en-US" w:eastAsia="zh-CN"/>
              </w:rPr>
            </w:pPr>
            <w:r>
              <w:rPr>
                <w:rFonts w:hint="eastAsia"/>
                <w:color w:val="auto"/>
                <w:highlight w:val="none"/>
                <w:lang w:val="en-US" w:eastAsia="zh-CN"/>
              </w:rPr>
              <w:t>铜母线</w:t>
            </w:r>
          </w:p>
        </w:tc>
        <w:tc>
          <w:tcPr>
            <w:tcW w:w="3862" w:type="dxa"/>
            <w:vAlign w:val="center"/>
          </w:tcPr>
          <w:p w14:paraId="077298A5">
            <w:pPr>
              <w:rPr>
                <w:rFonts w:hint="default"/>
                <w:color w:val="auto"/>
                <w:highlight w:val="none"/>
                <w:lang w:val="en-US" w:eastAsia="zh-CN"/>
              </w:rPr>
            </w:pPr>
            <w:r>
              <w:rPr>
                <w:rFonts w:hint="eastAsia"/>
                <w:color w:val="auto"/>
                <w:highlight w:val="none"/>
                <w:lang w:val="en-US" w:eastAsia="zh-CN"/>
              </w:rPr>
              <w:t>铜母线TMY</w:t>
            </w:r>
          </w:p>
        </w:tc>
        <w:tc>
          <w:tcPr>
            <w:tcW w:w="1347" w:type="dxa"/>
            <w:vAlign w:val="center"/>
          </w:tcPr>
          <w:p w14:paraId="38EBECFB">
            <w:pPr>
              <w:rPr>
                <w:rFonts w:hint="default"/>
                <w:color w:val="auto"/>
                <w:highlight w:val="none"/>
                <w:lang w:val="en-US" w:eastAsia="zh-CN"/>
              </w:rPr>
            </w:pPr>
            <w:r>
              <w:rPr>
                <w:rFonts w:hint="eastAsia"/>
                <w:color w:val="auto"/>
                <w:highlight w:val="none"/>
                <w:lang w:val="en-US" w:eastAsia="zh-CN"/>
              </w:rPr>
              <w:t>韶关明德</w:t>
            </w:r>
          </w:p>
        </w:tc>
        <w:tc>
          <w:tcPr>
            <w:tcW w:w="740" w:type="dxa"/>
            <w:vAlign w:val="center"/>
          </w:tcPr>
          <w:p w14:paraId="3C2CAB6A">
            <w:pPr>
              <w:rPr>
                <w:rFonts w:hint="eastAsia"/>
                <w:color w:val="auto"/>
                <w:highlight w:val="none"/>
                <w:lang w:val="en-US" w:eastAsia="zh-CN"/>
              </w:rPr>
            </w:pPr>
            <w:r>
              <w:rPr>
                <w:rFonts w:hint="eastAsia"/>
                <w:color w:val="auto"/>
                <w:highlight w:val="none"/>
                <w:lang w:val="en-US" w:eastAsia="zh-CN"/>
              </w:rPr>
              <w:t>套</w:t>
            </w:r>
          </w:p>
        </w:tc>
        <w:tc>
          <w:tcPr>
            <w:tcW w:w="797" w:type="dxa"/>
            <w:vAlign w:val="center"/>
          </w:tcPr>
          <w:p w14:paraId="094E9FD8">
            <w:pPr>
              <w:jc w:val="center"/>
              <w:rPr>
                <w:rFonts w:hint="default"/>
                <w:color w:val="auto"/>
                <w:highlight w:val="none"/>
                <w:lang w:val="en-US" w:eastAsia="zh-CN"/>
              </w:rPr>
            </w:pPr>
            <w:r>
              <w:rPr>
                <w:rFonts w:hint="eastAsia"/>
                <w:color w:val="auto"/>
                <w:highlight w:val="none"/>
                <w:lang w:val="en-US" w:eastAsia="zh-CN"/>
              </w:rPr>
              <w:t>1</w:t>
            </w:r>
          </w:p>
        </w:tc>
      </w:tr>
      <w:tr w14:paraId="71B15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656" w:type="dxa"/>
            <w:vAlign w:val="center"/>
          </w:tcPr>
          <w:p w14:paraId="35AEC3ED">
            <w:pPr>
              <w:jc w:val="center"/>
              <w:rPr>
                <w:rFonts w:hint="default" w:eastAsia="宋体"/>
                <w:color w:val="auto"/>
                <w:highlight w:val="none"/>
                <w:lang w:val="en-US" w:eastAsia="zh-CN"/>
              </w:rPr>
            </w:pPr>
            <w:r>
              <w:rPr>
                <w:rFonts w:hint="eastAsia"/>
                <w:color w:val="auto"/>
                <w:highlight w:val="none"/>
                <w:lang w:val="en-US" w:eastAsia="zh-CN"/>
              </w:rPr>
              <w:t>11</w:t>
            </w:r>
          </w:p>
        </w:tc>
        <w:tc>
          <w:tcPr>
            <w:tcW w:w="1729" w:type="dxa"/>
            <w:vAlign w:val="center"/>
          </w:tcPr>
          <w:p w14:paraId="0AD0FD30">
            <w:pPr>
              <w:rPr>
                <w:rFonts w:hint="eastAsia"/>
                <w:color w:val="auto"/>
                <w:highlight w:val="none"/>
              </w:rPr>
            </w:pPr>
            <w:r>
              <w:rPr>
                <w:rFonts w:hint="eastAsia"/>
                <w:color w:val="auto"/>
                <w:highlight w:val="none"/>
              </w:rPr>
              <w:t>柜体</w:t>
            </w:r>
            <w:r>
              <w:rPr>
                <w:rFonts w:hint="eastAsia"/>
                <w:color w:val="auto"/>
                <w:highlight w:val="none"/>
                <w:lang w:val="en-US" w:eastAsia="zh-CN"/>
              </w:rPr>
              <w:t>及附件</w:t>
            </w:r>
          </w:p>
        </w:tc>
        <w:tc>
          <w:tcPr>
            <w:tcW w:w="3862" w:type="dxa"/>
            <w:vAlign w:val="center"/>
          </w:tcPr>
          <w:p w14:paraId="31845314">
            <w:pPr>
              <w:rPr>
                <w:rFonts w:hint="eastAsia"/>
                <w:color w:val="auto"/>
                <w:highlight w:val="none"/>
              </w:rPr>
            </w:pPr>
            <w:r>
              <w:rPr>
                <w:rFonts w:hint="eastAsia"/>
                <w:color w:val="auto"/>
                <w:highlight w:val="none"/>
              </w:rPr>
              <w:t>防护等级：IP4X（柜体）/IP2X（隔室）</w:t>
            </w:r>
          </w:p>
          <w:p w14:paraId="2FB9D0EE">
            <w:pPr>
              <w:rPr>
                <w:rFonts w:hint="eastAsia"/>
                <w:color w:val="auto"/>
                <w:highlight w:val="none"/>
                <w:lang w:eastAsia="zh-CN"/>
              </w:rPr>
            </w:pPr>
            <w:r>
              <w:rPr>
                <w:rFonts w:hint="eastAsia"/>
                <w:color w:val="auto"/>
                <w:highlight w:val="none"/>
                <w:lang w:val="en-US" w:eastAsia="zh-CN"/>
              </w:rPr>
              <w:t>现有柜体</w:t>
            </w:r>
            <w:r>
              <w:rPr>
                <w:rFonts w:hint="eastAsia"/>
                <w:color w:val="auto"/>
                <w:highlight w:val="none"/>
              </w:rPr>
              <w:t>尺寸：1</w:t>
            </w:r>
            <w:r>
              <w:rPr>
                <w:rFonts w:hint="eastAsia"/>
                <w:color w:val="auto"/>
                <w:highlight w:val="none"/>
                <w:lang w:val="en-US" w:eastAsia="zh-CN"/>
              </w:rPr>
              <w:t>4</w:t>
            </w:r>
            <w:r>
              <w:rPr>
                <w:rFonts w:hint="eastAsia"/>
                <w:color w:val="auto"/>
                <w:highlight w:val="none"/>
              </w:rPr>
              <w:t>00×2</w:t>
            </w:r>
            <w:r>
              <w:rPr>
                <w:rFonts w:hint="eastAsia"/>
                <w:color w:val="auto"/>
                <w:highlight w:val="none"/>
                <w:lang w:val="en-US" w:eastAsia="zh-CN"/>
              </w:rPr>
              <w:t>6</w:t>
            </w:r>
            <w:r>
              <w:rPr>
                <w:rFonts w:hint="eastAsia"/>
                <w:color w:val="auto"/>
                <w:highlight w:val="none"/>
              </w:rPr>
              <w:t>00×2</w:t>
            </w:r>
            <w:r>
              <w:rPr>
                <w:rFonts w:hint="eastAsia"/>
                <w:color w:val="auto"/>
                <w:highlight w:val="none"/>
                <w:lang w:val="en-US" w:eastAsia="zh-CN"/>
              </w:rPr>
              <w:t>8</w:t>
            </w:r>
            <w:r>
              <w:rPr>
                <w:rFonts w:hint="eastAsia"/>
                <w:color w:val="auto"/>
                <w:highlight w:val="none"/>
              </w:rPr>
              <w:t>00mm（宽×高×深）</w:t>
            </w:r>
            <w:r>
              <w:rPr>
                <w:rFonts w:hint="eastAsia"/>
                <w:color w:val="auto"/>
                <w:highlight w:val="none"/>
                <w:lang w:eastAsia="zh-CN"/>
              </w:rPr>
              <w:t>（</w:t>
            </w:r>
            <w:r>
              <w:rPr>
                <w:rFonts w:hint="eastAsia"/>
                <w:color w:val="auto"/>
                <w:highlight w:val="none"/>
                <w:lang w:val="en-US" w:eastAsia="zh-CN"/>
              </w:rPr>
              <w:t>除高度外，长跟深不大于此尺寸</w:t>
            </w:r>
            <w:r>
              <w:rPr>
                <w:rFonts w:hint="eastAsia"/>
                <w:color w:val="auto"/>
                <w:highlight w:val="none"/>
                <w:lang w:eastAsia="zh-CN"/>
              </w:rPr>
              <w:t>）</w:t>
            </w:r>
          </w:p>
        </w:tc>
        <w:tc>
          <w:tcPr>
            <w:tcW w:w="1347" w:type="dxa"/>
            <w:vAlign w:val="center"/>
          </w:tcPr>
          <w:p w14:paraId="4CA9514F">
            <w:pPr>
              <w:rPr>
                <w:rFonts w:hint="default" w:eastAsia="宋体"/>
                <w:color w:val="auto"/>
                <w:highlight w:val="none"/>
                <w:lang w:val="en-US" w:eastAsia="zh-CN"/>
              </w:rPr>
            </w:pPr>
            <w:r>
              <w:rPr>
                <w:rFonts w:hint="eastAsia"/>
                <w:color w:val="auto"/>
                <w:highlight w:val="none"/>
                <w:lang w:val="en-US" w:eastAsia="zh-CN"/>
              </w:rPr>
              <w:t>白云电气</w:t>
            </w:r>
          </w:p>
        </w:tc>
        <w:tc>
          <w:tcPr>
            <w:tcW w:w="740" w:type="dxa"/>
            <w:vAlign w:val="center"/>
          </w:tcPr>
          <w:p w14:paraId="1045B487">
            <w:pPr>
              <w:rPr>
                <w:rFonts w:hint="default"/>
                <w:color w:val="auto"/>
                <w:highlight w:val="none"/>
                <w:lang w:val="en-US" w:eastAsia="zh-CN"/>
              </w:rPr>
            </w:pPr>
            <w:r>
              <w:rPr>
                <w:rFonts w:hint="eastAsia"/>
                <w:color w:val="auto"/>
                <w:highlight w:val="none"/>
                <w:lang w:val="en-US" w:eastAsia="zh-CN"/>
              </w:rPr>
              <w:t>批</w:t>
            </w:r>
          </w:p>
        </w:tc>
        <w:tc>
          <w:tcPr>
            <w:tcW w:w="797" w:type="dxa"/>
            <w:vAlign w:val="center"/>
          </w:tcPr>
          <w:p w14:paraId="7D2EB7A6">
            <w:pPr>
              <w:jc w:val="center"/>
              <w:rPr>
                <w:rFonts w:hint="eastAsia" w:eastAsia="宋体"/>
                <w:color w:val="auto"/>
                <w:highlight w:val="none"/>
                <w:lang w:val="en-US" w:eastAsia="zh-CN"/>
              </w:rPr>
            </w:pPr>
            <w:r>
              <w:rPr>
                <w:rFonts w:hint="eastAsia"/>
                <w:color w:val="auto"/>
                <w:highlight w:val="none"/>
                <w:lang w:val="en-US" w:eastAsia="zh-CN"/>
              </w:rPr>
              <w:t>1</w:t>
            </w:r>
          </w:p>
        </w:tc>
      </w:tr>
    </w:tbl>
    <w:p w14:paraId="05B3763F">
      <w:pPr>
        <w:rPr>
          <w:rFonts w:hint="eastAsia"/>
          <w:color w:val="auto"/>
          <w:highlight w:val="none"/>
          <w:lang w:val="en-US" w:eastAsia="zh-CN"/>
        </w:rPr>
      </w:pPr>
    </w:p>
    <w:p w14:paraId="594CE7CB">
      <w:pPr>
        <w:numPr>
          <w:ilvl w:val="0"/>
          <w:numId w:val="5"/>
        </w:numPr>
        <w:rPr>
          <w:rFonts w:hint="eastAsia"/>
          <w:color w:val="auto"/>
          <w:sz w:val="28"/>
          <w:szCs w:val="28"/>
          <w:highlight w:val="none"/>
        </w:rPr>
      </w:pPr>
      <w:r>
        <w:rPr>
          <w:rFonts w:hint="eastAsia"/>
          <w:color w:val="auto"/>
          <w:sz w:val="28"/>
          <w:szCs w:val="28"/>
          <w:highlight w:val="none"/>
          <w:lang w:val="en-US" w:eastAsia="zh-CN"/>
        </w:rPr>
        <w:t>AH4线路</w:t>
      </w:r>
      <w:r>
        <w:rPr>
          <w:rFonts w:hint="eastAsia"/>
          <w:color w:val="auto"/>
          <w:sz w:val="28"/>
          <w:szCs w:val="28"/>
          <w:highlight w:val="none"/>
        </w:rPr>
        <w:t>高压柜</w:t>
      </w:r>
      <w:r>
        <w:rPr>
          <w:rFonts w:hint="eastAsia"/>
          <w:color w:val="auto"/>
          <w:sz w:val="28"/>
          <w:szCs w:val="28"/>
          <w:highlight w:val="none"/>
          <w:lang w:val="en-US" w:eastAsia="zh-CN"/>
        </w:rPr>
        <w:t>参数</w:t>
      </w:r>
      <w:r>
        <w:rPr>
          <w:rFonts w:hint="eastAsia"/>
          <w:color w:val="auto"/>
          <w:sz w:val="28"/>
          <w:szCs w:val="28"/>
          <w:highlight w:val="none"/>
        </w:rPr>
        <w:t>（KYN61-40.5型</w:t>
      </w:r>
      <w:r>
        <w:rPr>
          <w:rFonts w:hint="eastAsia"/>
          <w:color w:val="auto"/>
          <w:sz w:val="28"/>
          <w:szCs w:val="28"/>
          <w:highlight w:val="none"/>
          <w:lang w:val="en-US" w:eastAsia="zh-CN"/>
        </w:rPr>
        <w:t>AH4线路</w:t>
      </w:r>
      <w:r>
        <w:rPr>
          <w:rFonts w:hint="eastAsia"/>
          <w:color w:val="auto"/>
          <w:sz w:val="28"/>
          <w:szCs w:val="28"/>
          <w:highlight w:val="none"/>
        </w:rPr>
        <w:t>柜）</w:t>
      </w:r>
    </w:p>
    <w:p w14:paraId="2A7EC8C6">
      <w:pPr>
        <w:numPr>
          <w:ilvl w:val="0"/>
          <w:numId w:val="0"/>
        </w:numPr>
        <w:rPr>
          <w:rFonts w:hint="default"/>
          <w:color w:val="auto"/>
          <w:sz w:val="28"/>
          <w:szCs w:val="28"/>
          <w:highlight w:val="none"/>
          <w:lang w:val="en-US" w:eastAsia="zh-CN"/>
        </w:rPr>
      </w:pPr>
      <w:r>
        <w:rPr>
          <w:rFonts w:hint="eastAsia"/>
          <w:color w:val="auto"/>
          <w:sz w:val="28"/>
          <w:szCs w:val="28"/>
          <w:highlight w:val="none"/>
          <w:lang w:val="en-US" w:eastAsia="zh-CN"/>
        </w:rPr>
        <w:t>附表2：</w:t>
      </w:r>
    </w:p>
    <w:tbl>
      <w:tblPr>
        <w:tblStyle w:val="24"/>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878"/>
        <w:gridCol w:w="4064"/>
        <w:gridCol w:w="1452"/>
        <w:gridCol w:w="768"/>
        <w:gridCol w:w="837"/>
      </w:tblGrid>
      <w:tr w14:paraId="0F360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558" w:type="dxa"/>
            <w:vAlign w:val="center"/>
          </w:tcPr>
          <w:p w14:paraId="65D34AE6">
            <w:pPr>
              <w:jc w:val="center"/>
              <w:rPr>
                <w:color w:val="auto"/>
                <w:sz w:val="24"/>
                <w:szCs w:val="24"/>
                <w:highlight w:val="none"/>
              </w:rPr>
            </w:pPr>
            <w:r>
              <w:rPr>
                <w:rFonts w:hint="eastAsia"/>
                <w:color w:val="auto"/>
                <w:highlight w:val="none"/>
                <w:lang w:val="en-US" w:eastAsia="zh-CN"/>
              </w:rPr>
              <w:t>序号</w:t>
            </w:r>
          </w:p>
        </w:tc>
        <w:tc>
          <w:tcPr>
            <w:tcW w:w="1788" w:type="dxa"/>
            <w:vAlign w:val="center"/>
          </w:tcPr>
          <w:p w14:paraId="5BD20280">
            <w:pPr>
              <w:ind w:firstLine="210" w:firstLineChars="100"/>
              <w:jc w:val="center"/>
              <w:rPr>
                <w:rFonts w:hint="eastAsia"/>
                <w:color w:val="auto"/>
                <w:highlight w:val="none"/>
                <w:lang w:val="en-US" w:eastAsia="zh-CN"/>
              </w:rPr>
            </w:pPr>
            <w:r>
              <w:rPr>
                <w:rFonts w:hint="eastAsia"/>
                <w:color w:val="auto"/>
                <w:highlight w:val="none"/>
                <w:lang w:val="en-US" w:eastAsia="zh-CN"/>
              </w:rPr>
              <w:t>名称</w:t>
            </w:r>
          </w:p>
        </w:tc>
        <w:tc>
          <w:tcPr>
            <w:tcW w:w="3869" w:type="dxa"/>
            <w:vAlign w:val="center"/>
          </w:tcPr>
          <w:p w14:paraId="595B3C54">
            <w:pPr>
              <w:jc w:val="center"/>
              <w:rPr>
                <w:rFonts w:hint="eastAsia"/>
                <w:color w:val="auto"/>
                <w:sz w:val="24"/>
                <w:szCs w:val="24"/>
                <w:highlight w:val="none"/>
                <w:lang w:eastAsia="zh-CN"/>
              </w:rPr>
            </w:pPr>
            <w:r>
              <w:rPr>
                <w:rFonts w:hint="eastAsia"/>
                <w:color w:val="auto"/>
                <w:highlight w:val="none"/>
                <w:lang w:val="en-US" w:eastAsia="zh-CN"/>
              </w:rPr>
              <w:t>型号规格</w:t>
            </w:r>
          </w:p>
        </w:tc>
        <w:tc>
          <w:tcPr>
            <w:tcW w:w="1382" w:type="dxa"/>
            <w:vAlign w:val="center"/>
          </w:tcPr>
          <w:p w14:paraId="6E502F52">
            <w:pPr>
              <w:jc w:val="center"/>
              <w:rPr>
                <w:rFonts w:hint="eastAsia"/>
                <w:color w:val="auto"/>
                <w:sz w:val="24"/>
                <w:szCs w:val="24"/>
                <w:highlight w:val="none"/>
                <w:lang w:eastAsia="zh-CN"/>
              </w:rPr>
            </w:pPr>
            <w:r>
              <w:rPr>
                <w:rFonts w:hint="eastAsia"/>
                <w:color w:val="auto"/>
                <w:highlight w:val="none"/>
                <w:lang w:val="en-US" w:eastAsia="zh-CN"/>
              </w:rPr>
              <w:t>品牌</w:t>
            </w:r>
          </w:p>
        </w:tc>
        <w:tc>
          <w:tcPr>
            <w:tcW w:w="731" w:type="dxa"/>
            <w:vAlign w:val="center"/>
          </w:tcPr>
          <w:p w14:paraId="7D31D1A0">
            <w:pPr>
              <w:jc w:val="center"/>
              <w:rPr>
                <w:rFonts w:hint="eastAsia"/>
                <w:color w:val="auto"/>
                <w:highlight w:val="none"/>
                <w:lang w:val="en-US" w:eastAsia="zh-CN"/>
              </w:rPr>
            </w:pPr>
            <w:r>
              <w:rPr>
                <w:rFonts w:hint="eastAsia"/>
                <w:color w:val="auto"/>
                <w:highlight w:val="none"/>
                <w:lang w:val="en-US" w:eastAsia="zh-CN"/>
              </w:rPr>
              <w:t>单位</w:t>
            </w:r>
          </w:p>
        </w:tc>
        <w:tc>
          <w:tcPr>
            <w:tcW w:w="797" w:type="dxa"/>
            <w:vAlign w:val="center"/>
          </w:tcPr>
          <w:p w14:paraId="3F26B1F1">
            <w:pPr>
              <w:jc w:val="center"/>
              <w:rPr>
                <w:rFonts w:hint="eastAsia"/>
                <w:color w:val="auto"/>
                <w:highlight w:val="none"/>
                <w:lang w:val="en-US" w:eastAsia="zh-CN"/>
              </w:rPr>
            </w:pPr>
            <w:r>
              <w:rPr>
                <w:rFonts w:hint="eastAsia"/>
                <w:color w:val="auto"/>
                <w:highlight w:val="none"/>
                <w:lang w:val="en-US" w:eastAsia="zh-CN"/>
              </w:rPr>
              <w:t>数量</w:t>
            </w:r>
          </w:p>
        </w:tc>
      </w:tr>
      <w:tr w14:paraId="7983B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58" w:type="dxa"/>
            <w:vAlign w:val="center"/>
          </w:tcPr>
          <w:p w14:paraId="1F0CE549">
            <w:pPr>
              <w:jc w:val="center"/>
              <w:rPr>
                <w:rFonts w:hint="eastAsia"/>
                <w:color w:val="auto"/>
                <w:sz w:val="24"/>
                <w:szCs w:val="24"/>
                <w:highlight w:val="none"/>
                <w:lang w:eastAsia="zh-CN"/>
              </w:rPr>
            </w:pPr>
            <w:r>
              <w:rPr>
                <w:rFonts w:hint="eastAsia"/>
                <w:color w:val="auto"/>
                <w:highlight w:val="none"/>
                <w:lang w:val="en-US" w:eastAsia="zh-CN"/>
              </w:rPr>
              <w:t>1</w:t>
            </w:r>
          </w:p>
        </w:tc>
        <w:tc>
          <w:tcPr>
            <w:tcW w:w="1788" w:type="dxa"/>
            <w:vAlign w:val="center"/>
          </w:tcPr>
          <w:p w14:paraId="48F505D2">
            <w:pPr>
              <w:rPr>
                <w:rFonts w:hint="eastAsia"/>
                <w:color w:val="auto"/>
                <w:highlight w:val="none"/>
                <w:lang w:val="en-US" w:eastAsia="zh-CN"/>
              </w:rPr>
            </w:pPr>
            <w:r>
              <w:rPr>
                <w:rFonts w:hint="eastAsia"/>
                <w:color w:val="auto"/>
                <w:highlight w:val="none"/>
                <w:lang w:val="en-US" w:eastAsia="zh-CN"/>
              </w:rPr>
              <w:t>真空</w:t>
            </w:r>
            <w:r>
              <w:rPr>
                <w:rFonts w:hint="eastAsia"/>
                <w:color w:val="auto"/>
                <w:highlight w:val="none"/>
              </w:rPr>
              <w:t>断路器</w:t>
            </w:r>
          </w:p>
        </w:tc>
        <w:tc>
          <w:tcPr>
            <w:tcW w:w="3869" w:type="dxa"/>
            <w:vAlign w:val="center"/>
          </w:tcPr>
          <w:p w14:paraId="15038ACF">
            <w:pPr>
              <w:rPr>
                <w:color w:val="auto"/>
                <w:sz w:val="24"/>
                <w:szCs w:val="24"/>
                <w:highlight w:val="none"/>
              </w:rPr>
            </w:pPr>
            <w:r>
              <w:rPr>
                <w:rFonts w:hint="eastAsia"/>
                <w:color w:val="auto"/>
                <w:highlight w:val="none"/>
                <w:lang w:val="en-US" w:eastAsia="zh-CN"/>
              </w:rPr>
              <w:t>HVX-40.5/1250-31.5</w:t>
            </w:r>
          </w:p>
        </w:tc>
        <w:tc>
          <w:tcPr>
            <w:tcW w:w="1382" w:type="dxa"/>
            <w:vAlign w:val="center"/>
          </w:tcPr>
          <w:p w14:paraId="2BBA0D7D">
            <w:pPr>
              <w:rPr>
                <w:rFonts w:hint="eastAsia"/>
                <w:color w:val="auto"/>
                <w:sz w:val="24"/>
                <w:szCs w:val="24"/>
                <w:highlight w:val="none"/>
              </w:rPr>
            </w:pPr>
            <w:r>
              <w:rPr>
                <w:rFonts w:hint="eastAsia"/>
                <w:color w:val="auto"/>
                <w:highlight w:val="none"/>
                <w:lang w:val="en-US" w:eastAsia="zh-CN"/>
              </w:rPr>
              <w:t>施耐德</w:t>
            </w:r>
          </w:p>
        </w:tc>
        <w:tc>
          <w:tcPr>
            <w:tcW w:w="731" w:type="dxa"/>
            <w:vAlign w:val="center"/>
          </w:tcPr>
          <w:p w14:paraId="04F9071A">
            <w:pPr>
              <w:jc w:val="center"/>
              <w:rPr>
                <w:rFonts w:hint="eastAsia"/>
                <w:color w:val="auto"/>
                <w:sz w:val="24"/>
                <w:szCs w:val="24"/>
                <w:highlight w:val="none"/>
              </w:rPr>
            </w:pPr>
            <w:r>
              <w:rPr>
                <w:rFonts w:hint="eastAsia"/>
                <w:color w:val="auto"/>
                <w:highlight w:val="none"/>
                <w:lang w:val="en-US" w:eastAsia="zh-CN"/>
              </w:rPr>
              <w:t>台</w:t>
            </w:r>
          </w:p>
        </w:tc>
        <w:tc>
          <w:tcPr>
            <w:tcW w:w="797" w:type="dxa"/>
            <w:vAlign w:val="center"/>
          </w:tcPr>
          <w:p w14:paraId="1056DC48">
            <w:pPr>
              <w:jc w:val="center"/>
              <w:rPr>
                <w:rFonts w:hint="eastAsia"/>
                <w:color w:val="auto"/>
                <w:sz w:val="24"/>
                <w:szCs w:val="24"/>
                <w:highlight w:val="none"/>
              </w:rPr>
            </w:pPr>
            <w:r>
              <w:rPr>
                <w:rFonts w:hint="eastAsia"/>
                <w:color w:val="auto"/>
                <w:highlight w:val="none"/>
                <w:lang w:val="en-US" w:eastAsia="zh-CN"/>
              </w:rPr>
              <w:t>1</w:t>
            </w:r>
          </w:p>
        </w:tc>
      </w:tr>
      <w:tr w14:paraId="4CD49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58" w:type="dxa"/>
            <w:vAlign w:val="center"/>
          </w:tcPr>
          <w:p w14:paraId="7CB1D53B">
            <w:pPr>
              <w:jc w:val="center"/>
              <w:rPr>
                <w:rFonts w:hint="eastAsia"/>
                <w:color w:val="auto"/>
                <w:highlight w:val="none"/>
                <w:lang w:val="en-US" w:eastAsia="zh-CN"/>
              </w:rPr>
            </w:pPr>
            <w:r>
              <w:rPr>
                <w:rFonts w:hint="eastAsia"/>
                <w:color w:val="auto"/>
                <w:highlight w:val="none"/>
                <w:lang w:val="en-US" w:eastAsia="zh-CN"/>
              </w:rPr>
              <w:t>2</w:t>
            </w:r>
          </w:p>
        </w:tc>
        <w:tc>
          <w:tcPr>
            <w:tcW w:w="1788" w:type="dxa"/>
            <w:vAlign w:val="top"/>
          </w:tcPr>
          <w:p w14:paraId="698C5318">
            <w:pPr>
              <w:rPr>
                <w:rFonts w:hint="eastAsia"/>
                <w:color w:val="auto"/>
                <w:sz w:val="21"/>
                <w:szCs w:val="21"/>
                <w:highlight w:val="none"/>
              </w:rPr>
            </w:pPr>
            <w:r>
              <w:rPr>
                <w:rFonts w:hint="eastAsia"/>
                <w:color w:val="auto"/>
                <w:sz w:val="21"/>
                <w:szCs w:val="21"/>
                <w:highlight w:val="none"/>
              </w:rPr>
              <w:t>综合保护装置</w:t>
            </w:r>
          </w:p>
        </w:tc>
        <w:tc>
          <w:tcPr>
            <w:tcW w:w="3869" w:type="dxa"/>
            <w:vAlign w:val="top"/>
          </w:tcPr>
          <w:p w14:paraId="18AA2C53">
            <w:pPr>
              <w:rPr>
                <w:rFonts w:hint="eastAsia"/>
                <w:color w:val="auto"/>
                <w:highlight w:val="none"/>
                <w:lang w:val="en-US" w:eastAsia="zh-CN"/>
              </w:rPr>
            </w:pPr>
            <w:r>
              <w:rPr>
                <w:rFonts w:hint="eastAsia"/>
                <w:color w:val="auto"/>
                <w:sz w:val="21"/>
                <w:szCs w:val="21"/>
                <w:highlight w:val="none"/>
                <w:lang w:val="en-US" w:eastAsia="zh-CN"/>
              </w:rPr>
              <w:t>PSL 641UX</w:t>
            </w:r>
          </w:p>
        </w:tc>
        <w:tc>
          <w:tcPr>
            <w:tcW w:w="1382" w:type="dxa"/>
            <w:vAlign w:val="top"/>
          </w:tcPr>
          <w:p w14:paraId="69763714">
            <w:pPr>
              <w:rPr>
                <w:rFonts w:hint="eastAsia"/>
                <w:color w:val="auto"/>
                <w:highlight w:val="none"/>
                <w:lang w:val="en-US" w:eastAsia="zh-CN"/>
              </w:rPr>
            </w:pPr>
            <w:r>
              <w:rPr>
                <w:rFonts w:hint="eastAsia"/>
                <w:color w:val="auto"/>
                <w:sz w:val="21"/>
                <w:szCs w:val="21"/>
                <w:highlight w:val="none"/>
                <w:lang w:val="en-US" w:eastAsia="zh-CN"/>
              </w:rPr>
              <w:t>国电南自</w:t>
            </w:r>
          </w:p>
        </w:tc>
        <w:tc>
          <w:tcPr>
            <w:tcW w:w="731" w:type="dxa"/>
            <w:vAlign w:val="top"/>
          </w:tcPr>
          <w:p w14:paraId="559DF9C5">
            <w:pPr>
              <w:jc w:val="center"/>
              <w:rPr>
                <w:rFonts w:hint="eastAsia"/>
                <w:color w:val="auto"/>
                <w:highlight w:val="none"/>
                <w:lang w:val="en-US" w:eastAsia="zh-CN"/>
              </w:rPr>
            </w:pPr>
            <w:r>
              <w:rPr>
                <w:rFonts w:hint="eastAsia"/>
                <w:color w:val="auto"/>
                <w:sz w:val="21"/>
                <w:szCs w:val="21"/>
                <w:highlight w:val="none"/>
                <w:lang w:val="en-US" w:eastAsia="zh-CN"/>
              </w:rPr>
              <w:t>台</w:t>
            </w:r>
          </w:p>
        </w:tc>
        <w:tc>
          <w:tcPr>
            <w:tcW w:w="797" w:type="dxa"/>
            <w:vAlign w:val="top"/>
          </w:tcPr>
          <w:p w14:paraId="040E05C4">
            <w:pPr>
              <w:jc w:val="center"/>
              <w:rPr>
                <w:rFonts w:hint="eastAsia"/>
                <w:color w:val="auto"/>
                <w:highlight w:val="none"/>
                <w:lang w:val="en-US" w:eastAsia="zh-CN"/>
              </w:rPr>
            </w:pPr>
            <w:r>
              <w:rPr>
                <w:rFonts w:hint="eastAsia"/>
                <w:color w:val="auto"/>
                <w:sz w:val="21"/>
                <w:szCs w:val="21"/>
                <w:highlight w:val="none"/>
                <w:lang w:val="en-US" w:eastAsia="zh-CN"/>
              </w:rPr>
              <w:t>1</w:t>
            </w:r>
          </w:p>
        </w:tc>
      </w:tr>
      <w:tr w14:paraId="6B8D8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558" w:type="dxa"/>
            <w:vAlign w:val="center"/>
          </w:tcPr>
          <w:p w14:paraId="2338F369">
            <w:pPr>
              <w:jc w:val="center"/>
              <w:rPr>
                <w:rFonts w:hint="eastAsia"/>
                <w:color w:val="auto"/>
                <w:sz w:val="24"/>
                <w:szCs w:val="24"/>
                <w:highlight w:val="none"/>
                <w:lang w:eastAsia="zh-CN"/>
              </w:rPr>
            </w:pPr>
            <w:r>
              <w:rPr>
                <w:rFonts w:hint="eastAsia"/>
                <w:color w:val="auto"/>
                <w:highlight w:val="none"/>
                <w:lang w:val="en-US" w:eastAsia="zh-CN"/>
              </w:rPr>
              <w:t>3</w:t>
            </w:r>
          </w:p>
        </w:tc>
        <w:tc>
          <w:tcPr>
            <w:tcW w:w="1788" w:type="dxa"/>
            <w:vAlign w:val="center"/>
          </w:tcPr>
          <w:p w14:paraId="18C9AFC0">
            <w:pPr>
              <w:rPr>
                <w:rFonts w:hint="eastAsia"/>
                <w:color w:val="auto"/>
                <w:highlight w:val="none"/>
              </w:rPr>
            </w:pPr>
            <w:r>
              <w:rPr>
                <w:rFonts w:hint="eastAsia"/>
                <w:color w:val="auto"/>
                <w:highlight w:val="none"/>
              </w:rPr>
              <w:t>电流互感器</w:t>
            </w:r>
          </w:p>
        </w:tc>
        <w:tc>
          <w:tcPr>
            <w:tcW w:w="3869" w:type="dxa"/>
            <w:vAlign w:val="center"/>
          </w:tcPr>
          <w:p w14:paraId="3A221F04">
            <w:pPr>
              <w:rPr>
                <w:rFonts w:hint="eastAsia"/>
                <w:color w:val="auto"/>
                <w:highlight w:val="none"/>
                <w:lang w:val="en-US" w:eastAsia="zh-CN"/>
              </w:rPr>
            </w:pPr>
            <w:r>
              <w:rPr>
                <w:rFonts w:hint="eastAsia"/>
                <w:color w:val="auto"/>
                <w:highlight w:val="none"/>
                <w:lang w:val="en-US" w:eastAsia="zh-CN"/>
              </w:rPr>
              <w:t>LZZBJ9-36/250D1GA  400/5</w:t>
            </w:r>
          </w:p>
          <w:p w14:paraId="5A4E77FF">
            <w:pPr>
              <w:rPr>
                <w:color w:val="auto"/>
                <w:sz w:val="24"/>
                <w:szCs w:val="24"/>
                <w:highlight w:val="none"/>
              </w:rPr>
            </w:pPr>
            <w:r>
              <w:rPr>
                <w:rFonts w:hint="eastAsia"/>
                <w:color w:val="auto"/>
                <w:highlight w:val="none"/>
                <w:lang w:val="en-US" w:eastAsia="zh-CN"/>
              </w:rPr>
              <w:t>0.2S/5P20</w:t>
            </w:r>
          </w:p>
        </w:tc>
        <w:tc>
          <w:tcPr>
            <w:tcW w:w="1382" w:type="dxa"/>
            <w:vAlign w:val="center"/>
          </w:tcPr>
          <w:p w14:paraId="495B7053">
            <w:pPr>
              <w:rPr>
                <w:rFonts w:hint="eastAsia"/>
                <w:color w:val="auto"/>
                <w:sz w:val="24"/>
                <w:szCs w:val="24"/>
                <w:highlight w:val="none"/>
              </w:rPr>
            </w:pPr>
            <w:r>
              <w:rPr>
                <w:rFonts w:hint="eastAsia"/>
                <w:color w:val="auto"/>
                <w:highlight w:val="none"/>
                <w:lang w:val="en-US" w:eastAsia="zh-CN"/>
              </w:rPr>
              <w:t>大连一互</w:t>
            </w:r>
          </w:p>
        </w:tc>
        <w:tc>
          <w:tcPr>
            <w:tcW w:w="731" w:type="dxa"/>
            <w:vAlign w:val="center"/>
          </w:tcPr>
          <w:p w14:paraId="1B6D04F0">
            <w:pPr>
              <w:jc w:val="center"/>
              <w:rPr>
                <w:rFonts w:hint="eastAsia"/>
                <w:color w:val="auto"/>
                <w:sz w:val="24"/>
                <w:szCs w:val="24"/>
                <w:highlight w:val="none"/>
              </w:rPr>
            </w:pPr>
            <w:r>
              <w:rPr>
                <w:rFonts w:hint="eastAsia"/>
                <w:color w:val="auto"/>
                <w:highlight w:val="none"/>
                <w:lang w:val="en-US" w:eastAsia="zh-CN"/>
              </w:rPr>
              <w:t>台</w:t>
            </w:r>
          </w:p>
        </w:tc>
        <w:tc>
          <w:tcPr>
            <w:tcW w:w="797" w:type="dxa"/>
            <w:vAlign w:val="center"/>
          </w:tcPr>
          <w:p w14:paraId="6FD75AE7">
            <w:pPr>
              <w:jc w:val="center"/>
              <w:rPr>
                <w:rFonts w:hint="eastAsia"/>
                <w:color w:val="auto"/>
                <w:sz w:val="24"/>
                <w:szCs w:val="24"/>
                <w:highlight w:val="none"/>
              </w:rPr>
            </w:pPr>
            <w:r>
              <w:rPr>
                <w:rFonts w:hint="eastAsia"/>
                <w:color w:val="auto"/>
                <w:highlight w:val="none"/>
                <w:lang w:val="en-US" w:eastAsia="zh-CN"/>
              </w:rPr>
              <w:t>3</w:t>
            </w:r>
          </w:p>
        </w:tc>
      </w:tr>
      <w:tr w14:paraId="2E6E4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558" w:type="dxa"/>
            <w:vAlign w:val="center"/>
          </w:tcPr>
          <w:p w14:paraId="36AC3C2A">
            <w:pPr>
              <w:jc w:val="center"/>
              <w:rPr>
                <w:rFonts w:hint="eastAsia"/>
                <w:color w:val="auto"/>
                <w:highlight w:val="none"/>
              </w:rPr>
            </w:pPr>
            <w:r>
              <w:rPr>
                <w:rFonts w:hint="eastAsia"/>
                <w:color w:val="auto"/>
                <w:highlight w:val="none"/>
                <w:lang w:val="en-US" w:eastAsia="zh-CN"/>
              </w:rPr>
              <w:t>4</w:t>
            </w:r>
          </w:p>
        </w:tc>
        <w:tc>
          <w:tcPr>
            <w:tcW w:w="1788" w:type="dxa"/>
            <w:vAlign w:val="center"/>
          </w:tcPr>
          <w:p w14:paraId="74164D40">
            <w:pPr>
              <w:rPr>
                <w:rFonts w:hint="eastAsia"/>
                <w:color w:val="auto"/>
                <w:highlight w:val="none"/>
                <w:lang w:val="en-US" w:eastAsia="zh-CN"/>
              </w:rPr>
            </w:pPr>
            <w:r>
              <w:rPr>
                <w:rFonts w:hint="eastAsia"/>
                <w:color w:val="auto"/>
                <w:highlight w:val="none"/>
                <w:lang w:val="en-US" w:eastAsia="zh-CN"/>
              </w:rPr>
              <w:t>零序电流互感器</w:t>
            </w:r>
          </w:p>
        </w:tc>
        <w:tc>
          <w:tcPr>
            <w:tcW w:w="3869" w:type="dxa"/>
            <w:vAlign w:val="center"/>
          </w:tcPr>
          <w:p w14:paraId="07572D89">
            <w:pPr>
              <w:rPr>
                <w:rFonts w:hint="eastAsia"/>
                <w:color w:val="auto"/>
                <w:highlight w:val="none"/>
                <w:lang w:val="en-US" w:eastAsia="zh-CN"/>
              </w:rPr>
            </w:pPr>
            <w:r>
              <w:rPr>
                <w:rFonts w:hint="eastAsia"/>
                <w:color w:val="auto"/>
                <w:highlight w:val="none"/>
                <w:lang w:val="en-US" w:eastAsia="zh-CN"/>
              </w:rPr>
              <w:t>LJK-Φ180J 150/5  10P10  5VA</w:t>
            </w:r>
          </w:p>
        </w:tc>
        <w:tc>
          <w:tcPr>
            <w:tcW w:w="1382" w:type="dxa"/>
            <w:vAlign w:val="center"/>
          </w:tcPr>
          <w:p w14:paraId="29018C78">
            <w:pPr>
              <w:rPr>
                <w:rFonts w:hint="eastAsia"/>
                <w:color w:val="auto"/>
                <w:highlight w:val="none"/>
                <w:lang w:val="en-US" w:eastAsia="zh-CN"/>
              </w:rPr>
            </w:pPr>
            <w:r>
              <w:rPr>
                <w:rFonts w:hint="eastAsia"/>
                <w:color w:val="auto"/>
                <w:highlight w:val="none"/>
                <w:lang w:val="en-US" w:eastAsia="zh-CN"/>
              </w:rPr>
              <w:t>大誉诚</w:t>
            </w:r>
          </w:p>
        </w:tc>
        <w:tc>
          <w:tcPr>
            <w:tcW w:w="731" w:type="dxa"/>
            <w:vAlign w:val="center"/>
          </w:tcPr>
          <w:p w14:paraId="34A2F8B3">
            <w:pPr>
              <w:jc w:val="center"/>
              <w:rPr>
                <w:rFonts w:hint="eastAsia"/>
                <w:color w:val="auto"/>
                <w:highlight w:val="none"/>
                <w:lang w:val="en-US" w:eastAsia="zh-CN"/>
              </w:rPr>
            </w:pPr>
            <w:r>
              <w:rPr>
                <w:rFonts w:hint="eastAsia"/>
                <w:color w:val="auto"/>
                <w:highlight w:val="none"/>
                <w:lang w:val="en-US" w:eastAsia="zh-CN"/>
              </w:rPr>
              <w:t>只</w:t>
            </w:r>
          </w:p>
        </w:tc>
        <w:tc>
          <w:tcPr>
            <w:tcW w:w="797" w:type="dxa"/>
            <w:vAlign w:val="center"/>
          </w:tcPr>
          <w:p w14:paraId="3F928228">
            <w:pPr>
              <w:jc w:val="center"/>
              <w:rPr>
                <w:rFonts w:hint="eastAsia"/>
                <w:color w:val="auto"/>
                <w:highlight w:val="none"/>
                <w:lang w:val="en-US" w:eastAsia="zh-CN"/>
              </w:rPr>
            </w:pPr>
            <w:r>
              <w:rPr>
                <w:rFonts w:hint="eastAsia"/>
                <w:color w:val="auto"/>
                <w:highlight w:val="none"/>
                <w:lang w:val="en-US" w:eastAsia="zh-CN"/>
              </w:rPr>
              <w:t>1</w:t>
            </w:r>
          </w:p>
        </w:tc>
      </w:tr>
      <w:tr w14:paraId="7F229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558" w:type="dxa"/>
            <w:vAlign w:val="center"/>
          </w:tcPr>
          <w:p w14:paraId="30F58469">
            <w:pPr>
              <w:jc w:val="center"/>
              <w:rPr>
                <w:rFonts w:hint="eastAsia"/>
                <w:color w:val="auto"/>
                <w:sz w:val="24"/>
                <w:szCs w:val="24"/>
                <w:highlight w:val="none"/>
                <w:lang w:eastAsia="zh-CN"/>
              </w:rPr>
            </w:pPr>
            <w:r>
              <w:rPr>
                <w:rFonts w:hint="eastAsia"/>
                <w:color w:val="auto"/>
                <w:highlight w:val="none"/>
                <w:lang w:val="en-US" w:eastAsia="zh-CN"/>
              </w:rPr>
              <w:t>5</w:t>
            </w:r>
          </w:p>
        </w:tc>
        <w:tc>
          <w:tcPr>
            <w:tcW w:w="1788" w:type="dxa"/>
            <w:vAlign w:val="center"/>
          </w:tcPr>
          <w:p w14:paraId="707FBCAF">
            <w:pPr>
              <w:rPr>
                <w:rFonts w:hint="eastAsia"/>
                <w:color w:val="auto"/>
                <w:highlight w:val="none"/>
              </w:rPr>
            </w:pPr>
            <w:r>
              <w:rPr>
                <w:rFonts w:hint="eastAsia"/>
                <w:color w:val="auto"/>
                <w:highlight w:val="none"/>
              </w:rPr>
              <w:t>避雷器</w:t>
            </w:r>
          </w:p>
        </w:tc>
        <w:tc>
          <w:tcPr>
            <w:tcW w:w="3869" w:type="dxa"/>
            <w:vAlign w:val="center"/>
          </w:tcPr>
          <w:p w14:paraId="203482AA">
            <w:pPr>
              <w:jc w:val="both"/>
              <w:rPr>
                <w:rFonts w:hint="eastAsia"/>
                <w:color w:val="auto"/>
                <w:highlight w:val="none"/>
                <w:lang w:val="en-US" w:eastAsia="zh-CN"/>
              </w:rPr>
            </w:pPr>
            <w:r>
              <w:rPr>
                <w:rFonts w:hint="eastAsia"/>
                <w:color w:val="auto"/>
                <w:highlight w:val="none"/>
              </w:rPr>
              <w:t>型号：HY5WZ-51/134</w:t>
            </w:r>
            <w:r>
              <w:rPr>
                <w:rFonts w:hint="eastAsia"/>
                <w:color w:val="auto"/>
                <w:highlight w:val="none"/>
                <w:lang w:val="en-US" w:eastAsia="zh-CN"/>
              </w:rPr>
              <w:t>Q</w:t>
            </w:r>
          </w:p>
          <w:p w14:paraId="360CAAC8">
            <w:pPr>
              <w:jc w:val="both"/>
              <w:rPr>
                <w:color w:val="auto"/>
                <w:sz w:val="24"/>
                <w:szCs w:val="24"/>
                <w:highlight w:val="none"/>
              </w:rPr>
            </w:pPr>
          </w:p>
        </w:tc>
        <w:tc>
          <w:tcPr>
            <w:tcW w:w="1382" w:type="dxa"/>
            <w:vAlign w:val="center"/>
          </w:tcPr>
          <w:p w14:paraId="247FDC66">
            <w:pPr>
              <w:rPr>
                <w:rFonts w:hint="eastAsia"/>
                <w:color w:val="auto"/>
                <w:sz w:val="24"/>
                <w:szCs w:val="24"/>
                <w:highlight w:val="none"/>
              </w:rPr>
            </w:pPr>
            <w:r>
              <w:rPr>
                <w:rFonts w:hint="eastAsia"/>
                <w:color w:val="auto"/>
                <w:highlight w:val="none"/>
                <w:lang w:val="en-US" w:eastAsia="zh-CN"/>
              </w:rPr>
              <w:t>西安神电</w:t>
            </w:r>
          </w:p>
        </w:tc>
        <w:tc>
          <w:tcPr>
            <w:tcW w:w="731" w:type="dxa"/>
            <w:vAlign w:val="center"/>
          </w:tcPr>
          <w:p w14:paraId="15821ACD">
            <w:pPr>
              <w:jc w:val="center"/>
              <w:rPr>
                <w:rFonts w:hint="eastAsia"/>
                <w:color w:val="auto"/>
                <w:sz w:val="24"/>
                <w:szCs w:val="24"/>
                <w:highlight w:val="none"/>
              </w:rPr>
            </w:pPr>
            <w:r>
              <w:rPr>
                <w:rFonts w:hint="eastAsia"/>
                <w:color w:val="auto"/>
                <w:highlight w:val="none"/>
                <w:lang w:val="en-US" w:eastAsia="zh-CN"/>
              </w:rPr>
              <w:t>只</w:t>
            </w:r>
          </w:p>
        </w:tc>
        <w:tc>
          <w:tcPr>
            <w:tcW w:w="797" w:type="dxa"/>
            <w:vAlign w:val="center"/>
          </w:tcPr>
          <w:p w14:paraId="1D15549F">
            <w:pPr>
              <w:jc w:val="center"/>
              <w:rPr>
                <w:rFonts w:hint="eastAsia"/>
                <w:color w:val="auto"/>
                <w:sz w:val="24"/>
                <w:szCs w:val="24"/>
                <w:highlight w:val="none"/>
              </w:rPr>
            </w:pPr>
            <w:r>
              <w:rPr>
                <w:rFonts w:hint="eastAsia"/>
                <w:color w:val="auto"/>
                <w:highlight w:val="none"/>
                <w:lang w:val="en-US" w:eastAsia="zh-CN"/>
              </w:rPr>
              <w:t>3</w:t>
            </w:r>
          </w:p>
        </w:tc>
      </w:tr>
      <w:tr w14:paraId="4BF4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58" w:type="dxa"/>
            <w:vAlign w:val="center"/>
          </w:tcPr>
          <w:p w14:paraId="0A379BAE">
            <w:pPr>
              <w:jc w:val="center"/>
              <w:rPr>
                <w:rFonts w:hint="eastAsia"/>
                <w:color w:val="auto"/>
                <w:highlight w:val="none"/>
              </w:rPr>
            </w:pPr>
            <w:r>
              <w:rPr>
                <w:rFonts w:hint="eastAsia"/>
                <w:color w:val="auto"/>
                <w:highlight w:val="none"/>
                <w:lang w:val="en-US" w:eastAsia="zh-CN"/>
              </w:rPr>
              <w:t>6</w:t>
            </w:r>
          </w:p>
        </w:tc>
        <w:tc>
          <w:tcPr>
            <w:tcW w:w="1788" w:type="dxa"/>
            <w:vAlign w:val="center"/>
          </w:tcPr>
          <w:p w14:paraId="3472DE56">
            <w:pPr>
              <w:rPr>
                <w:rFonts w:hint="eastAsia"/>
                <w:color w:val="auto"/>
                <w:highlight w:val="none"/>
                <w:lang w:val="en-US" w:eastAsia="zh-CN"/>
              </w:rPr>
            </w:pPr>
            <w:r>
              <w:rPr>
                <w:rFonts w:hint="eastAsia"/>
                <w:color w:val="auto"/>
                <w:highlight w:val="none"/>
                <w:lang w:val="en-US" w:eastAsia="zh-CN"/>
              </w:rPr>
              <w:t>无线测温装置</w:t>
            </w:r>
          </w:p>
        </w:tc>
        <w:tc>
          <w:tcPr>
            <w:tcW w:w="3869" w:type="dxa"/>
            <w:vAlign w:val="center"/>
          </w:tcPr>
          <w:p w14:paraId="38E2DD1B">
            <w:pPr>
              <w:jc w:val="both"/>
              <w:rPr>
                <w:color w:val="auto"/>
                <w:sz w:val="24"/>
                <w:szCs w:val="24"/>
                <w:highlight w:val="none"/>
              </w:rPr>
            </w:pPr>
            <w:r>
              <w:rPr>
                <w:rFonts w:hint="eastAsia"/>
                <w:color w:val="auto"/>
                <w:highlight w:val="none"/>
                <w:lang w:val="en-US" w:eastAsia="zh-CN"/>
              </w:rPr>
              <w:t>MCW-300TA-9</w:t>
            </w:r>
          </w:p>
        </w:tc>
        <w:tc>
          <w:tcPr>
            <w:tcW w:w="1382" w:type="dxa"/>
            <w:vAlign w:val="center"/>
          </w:tcPr>
          <w:p w14:paraId="34FEA578">
            <w:pPr>
              <w:rPr>
                <w:rFonts w:hint="eastAsia"/>
                <w:color w:val="auto"/>
                <w:highlight w:val="none"/>
                <w:lang w:val="en-US" w:eastAsia="zh-CN"/>
              </w:rPr>
            </w:pPr>
            <w:r>
              <w:rPr>
                <w:rFonts w:hint="eastAsia"/>
                <w:color w:val="auto"/>
                <w:highlight w:val="none"/>
                <w:lang w:val="en-US" w:eastAsia="zh-CN"/>
              </w:rPr>
              <w:t>白云电气</w:t>
            </w:r>
          </w:p>
        </w:tc>
        <w:tc>
          <w:tcPr>
            <w:tcW w:w="731" w:type="dxa"/>
            <w:vAlign w:val="center"/>
          </w:tcPr>
          <w:p w14:paraId="3FC5B9F7">
            <w:pPr>
              <w:jc w:val="center"/>
              <w:rPr>
                <w:rFonts w:hint="eastAsia"/>
                <w:color w:val="auto"/>
                <w:highlight w:val="none"/>
                <w:lang w:val="en-US" w:eastAsia="zh-CN"/>
              </w:rPr>
            </w:pPr>
            <w:r>
              <w:rPr>
                <w:rFonts w:hint="eastAsia"/>
                <w:color w:val="auto"/>
                <w:highlight w:val="none"/>
                <w:lang w:val="en-US" w:eastAsia="zh-CN"/>
              </w:rPr>
              <w:t>台</w:t>
            </w:r>
          </w:p>
        </w:tc>
        <w:tc>
          <w:tcPr>
            <w:tcW w:w="797" w:type="dxa"/>
            <w:vAlign w:val="center"/>
          </w:tcPr>
          <w:p w14:paraId="6A4AA7E2">
            <w:pPr>
              <w:jc w:val="center"/>
              <w:rPr>
                <w:rFonts w:hint="eastAsia"/>
                <w:color w:val="auto"/>
                <w:highlight w:val="none"/>
                <w:lang w:val="en-US" w:eastAsia="zh-CN"/>
              </w:rPr>
            </w:pPr>
            <w:r>
              <w:rPr>
                <w:rFonts w:hint="eastAsia"/>
                <w:color w:val="auto"/>
                <w:highlight w:val="none"/>
                <w:lang w:val="en-US" w:eastAsia="zh-CN"/>
              </w:rPr>
              <w:t>1</w:t>
            </w:r>
          </w:p>
        </w:tc>
      </w:tr>
      <w:tr w14:paraId="3F3DD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58" w:type="dxa"/>
            <w:vAlign w:val="center"/>
          </w:tcPr>
          <w:p w14:paraId="7D6A3262">
            <w:pPr>
              <w:jc w:val="center"/>
              <w:rPr>
                <w:rFonts w:hint="eastAsia"/>
                <w:color w:val="auto"/>
                <w:highlight w:val="none"/>
              </w:rPr>
            </w:pPr>
            <w:r>
              <w:rPr>
                <w:rFonts w:hint="eastAsia"/>
                <w:color w:val="auto"/>
                <w:highlight w:val="none"/>
                <w:lang w:val="en-US" w:eastAsia="zh-CN"/>
              </w:rPr>
              <w:t>7</w:t>
            </w:r>
          </w:p>
        </w:tc>
        <w:tc>
          <w:tcPr>
            <w:tcW w:w="1788" w:type="dxa"/>
            <w:vAlign w:val="center"/>
          </w:tcPr>
          <w:p w14:paraId="29857DCC">
            <w:pPr>
              <w:rPr>
                <w:rFonts w:hint="eastAsia"/>
                <w:color w:val="auto"/>
                <w:highlight w:val="none"/>
                <w:lang w:val="en-US" w:eastAsia="zh-CN"/>
              </w:rPr>
            </w:pPr>
            <w:r>
              <w:rPr>
                <w:rFonts w:hint="eastAsia"/>
                <w:color w:val="auto"/>
                <w:highlight w:val="none"/>
                <w:lang w:val="en-US" w:eastAsia="zh-CN"/>
              </w:rPr>
              <w:t>温湿度控制装置</w:t>
            </w:r>
          </w:p>
        </w:tc>
        <w:tc>
          <w:tcPr>
            <w:tcW w:w="3869" w:type="dxa"/>
            <w:vAlign w:val="center"/>
          </w:tcPr>
          <w:p w14:paraId="520D5B48">
            <w:pPr>
              <w:rPr>
                <w:color w:val="auto"/>
                <w:sz w:val="24"/>
                <w:szCs w:val="24"/>
                <w:highlight w:val="none"/>
              </w:rPr>
            </w:pPr>
            <w:r>
              <w:rPr>
                <w:rFonts w:hint="eastAsia"/>
                <w:color w:val="auto"/>
                <w:highlight w:val="none"/>
                <w:lang w:val="en-US" w:eastAsia="zh-CN"/>
              </w:rPr>
              <w:t>MCD30C-WS1(ND)-J-C</w:t>
            </w:r>
          </w:p>
        </w:tc>
        <w:tc>
          <w:tcPr>
            <w:tcW w:w="1382" w:type="dxa"/>
            <w:vAlign w:val="center"/>
          </w:tcPr>
          <w:p w14:paraId="2BA814D5">
            <w:pPr>
              <w:rPr>
                <w:rFonts w:hint="eastAsia"/>
                <w:color w:val="auto"/>
                <w:highlight w:val="none"/>
                <w:lang w:val="en-US" w:eastAsia="zh-CN"/>
              </w:rPr>
            </w:pPr>
            <w:r>
              <w:rPr>
                <w:rFonts w:hint="eastAsia"/>
                <w:color w:val="auto"/>
                <w:highlight w:val="none"/>
                <w:lang w:val="en-US" w:eastAsia="zh-CN"/>
              </w:rPr>
              <w:t>白云电气</w:t>
            </w:r>
          </w:p>
        </w:tc>
        <w:tc>
          <w:tcPr>
            <w:tcW w:w="731" w:type="dxa"/>
            <w:vAlign w:val="center"/>
          </w:tcPr>
          <w:p w14:paraId="0D13AB6B">
            <w:pPr>
              <w:jc w:val="center"/>
              <w:rPr>
                <w:rFonts w:hint="eastAsia"/>
                <w:color w:val="auto"/>
                <w:highlight w:val="none"/>
                <w:lang w:val="en-US" w:eastAsia="zh-CN"/>
              </w:rPr>
            </w:pPr>
            <w:r>
              <w:rPr>
                <w:rFonts w:hint="eastAsia"/>
                <w:color w:val="auto"/>
                <w:highlight w:val="none"/>
                <w:lang w:val="en-US" w:eastAsia="zh-CN"/>
              </w:rPr>
              <w:t>台</w:t>
            </w:r>
          </w:p>
        </w:tc>
        <w:tc>
          <w:tcPr>
            <w:tcW w:w="797" w:type="dxa"/>
            <w:vAlign w:val="center"/>
          </w:tcPr>
          <w:p w14:paraId="69F36D14">
            <w:pPr>
              <w:jc w:val="center"/>
              <w:rPr>
                <w:rFonts w:hint="eastAsia"/>
                <w:color w:val="auto"/>
                <w:highlight w:val="none"/>
                <w:lang w:val="en-US" w:eastAsia="zh-CN"/>
              </w:rPr>
            </w:pPr>
            <w:r>
              <w:rPr>
                <w:rFonts w:hint="eastAsia"/>
                <w:color w:val="auto"/>
                <w:highlight w:val="none"/>
                <w:lang w:val="en-US" w:eastAsia="zh-CN"/>
              </w:rPr>
              <w:t>1</w:t>
            </w:r>
          </w:p>
        </w:tc>
      </w:tr>
      <w:tr w14:paraId="11F78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58" w:type="dxa"/>
            <w:vAlign w:val="center"/>
          </w:tcPr>
          <w:p w14:paraId="16D8C9B6">
            <w:pPr>
              <w:jc w:val="center"/>
              <w:rPr>
                <w:rFonts w:hint="eastAsia"/>
                <w:color w:val="auto"/>
                <w:highlight w:val="none"/>
              </w:rPr>
            </w:pPr>
            <w:r>
              <w:rPr>
                <w:rFonts w:hint="eastAsia"/>
                <w:color w:val="auto"/>
                <w:highlight w:val="none"/>
                <w:lang w:val="en-US" w:eastAsia="zh-CN"/>
              </w:rPr>
              <w:t>8</w:t>
            </w:r>
          </w:p>
        </w:tc>
        <w:tc>
          <w:tcPr>
            <w:tcW w:w="1788" w:type="dxa"/>
            <w:vAlign w:val="center"/>
          </w:tcPr>
          <w:p w14:paraId="4F393C20">
            <w:pPr>
              <w:rPr>
                <w:rFonts w:hint="eastAsia"/>
                <w:color w:val="auto"/>
                <w:highlight w:val="none"/>
                <w:lang w:val="en-US" w:eastAsia="zh-CN"/>
              </w:rPr>
            </w:pPr>
            <w:r>
              <w:rPr>
                <w:rFonts w:hint="eastAsia"/>
                <w:color w:val="auto"/>
                <w:highlight w:val="none"/>
                <w:lang w:val="en-US" w:eastAsia="zh-CN"/>
              </w:rPr>
              <w:t>开关柜智能操控装置</w:t>
            </w:r>
          </w:p>
        </w:tc>
        <w:tc>
          <w:tcPr>
            <w:tcW w:w="3869" w:type="dxa"/>
            <w:vAlign w:val="center"/>
          </w:tcPr>
          <w:p w14:paraId="044D5B91">
            <w:pPr>
              <w:rPr>
                <w:color w:val="auto"/>
                <w:sz w:val="24"/>
                <w:szCs w:val="24"/>
                <w:highlight w:val="none"/>
              </w:rPr>
            </w:pPr>
            <w:r>
              <w:rPr>
                <w:rFonts w:hint="eastAsia"/>
                <w:color w:val="auto"/>
                <w:highlight w:val="none"/>
                <w:lang w:val="en-US" w:eastAsia="zh-CN"/>
              </w:rPr>
              <w:t>MCK-5000B</w:t>
            </w:r>
          </w:p>
        </w:tc>
        <w:tc>
          <w:tcPr>
            <w:tcW w:w="1382" w:type="dxa"/>
            <w:vAlign w:val="center"/>
          </w:tcPr>
          <w:p w14:paraId="1BB4926E">
            <w:pPr>
              <w:rPr>
                <w:rFonts w:hint="eastAsia"/>
                <w:color w:val="auto"/>
                <w:highlight w:val="none"/>
                <w:lang w:val="en-US" w:eastAsia="zh-CN"/>
              </w:rPr>
            </w:pPr>
            <w:r>
              <w:rPr>
                <w:rFonts w:hint="eastAsia"/>
                <w:color w:val="auto"/>
                <w:highlight w:val="none"/>
                <w:lang w:val="en-US" w:eastAsia="zh-CN"/>
              </w:rPr>
              <w:t>白云电气</w:t>
            </w:r>
          </w:p>
        </w:tc>
        <w:tc>
          <w:tcPr>
            <w:tcW w:w="731" w:type="dxa"/>
            <w:vAlign w:val="center"/>
          </w:tcPr>
          <w:p w14:paraId="42499AF7">
            <w:pPr>
              <w:jc w:val="center"/>
              <w:rPr>
                <w:rFonts w:hint="eastAsia"/>
                <w:color w:val="auto"/>
                <w:highlight w:val="none"/>
                <w:lang w:val="en-US" w:eastAsia="zh-CN"/>
              </w:rPr>
            </w:pPr>
            <w:r>
              <w:rPr>
                <w:rFonts w:hint="eastAsia"/>
                <w:color w:val="auto"/>
                <w:highlight w:val="none"/>
                <w:lang w:val="en-US" w:eastAsia="zh-CN"/>
              </w:rPr>
              <w:t>台</w:t>
            </w:r>
          </w:p>
        </w:tc>
        <w:tc>
          <w:tcPr>
            <w:tcW w:w="797" w:type="dxa"/>
            <w:vAlign w:val="center"/>
          </w:tcPr>
          <w:p w14:paraId="1BF9E826">
            <w:pPr>
              <w:jc w:val="center"/>
              <w:rPr>
                <w:rFonts w:hint="eastAsia"/>
                <w:color w:val="auto"/>
                <w:highlight w:val="none"/>
                <w:lang w:val="en-US" w:eastAsia="zh-CN"/>
              </w:rPr>
            </w:pPr>
            <w:r>
              <w:rPr>
                <w:rFonts w:hint="eastAsia"/>
                <w:color w:val="auto"/>
                <w:highlight w:val="none"/>
                <w:lang w:val="en-US" w:eastAsia="zh-CN"/>
              </w:rPr>
              <w:t>1</w:t>
            </w:r>
          </w:p>
        </w:tc>
      </w:tr>
      <w:tr w14:paraId="6C0FD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58" w:type="dxa"/>
            <w:vAlign w:val="center"/>
          </w:tcPr>
          <w:p w14:paraId="058E8240">
            <w:pPr>
              <w:jc w:val="center"/>
              <w:rPr>
                <w:rFonts w:hint="eastAsia"/>
                <w:color w:val="auto"/>
                <w:sz w:val="21"/>
                <w:szCs w:val="21"/>
                <w:highlight w:val="none"/>
                <w:lang w:eastAsia="zh-CN"/>
              </w:rPr>
            </w:pPr>
            <w:r>
              <w:rPr>
                <w:rFonts w:hint="eastAsia"/>
                <w:color w:val="auto"/>
                <w:highlight w:val="none"/>
                <w:lang w:val="en-US" w:eastAsia="zh-CN"/>
              </w:rPr>
              <w:t>9</w:t>
            </w:r>
          </w:p>
        </w:tc>
        <w:tc>
          <w:tcPr>
            <w:tcW w:w="1788" w:type="dxa"/>
            <w:vAlign w:val="center"/>
          </w:tcPr>
          <w:p w14:paraId="39815874">
            <w:pPr>
              <w:rPr>
                <w:rFonts w:hint="eastAsia"/>
                <w:color w:val="auto"/>
                <w:highlight w:val="none"/>
                <w:lang w:val="en-US" w:eastAsia="zh-CN"/>
              </w:rPr>
            </w:pPr>
            <w:r>
              <w:rPr>
                <w:rFonts w:hint="eastAsia"/>
                <w:color w:val="auto"/>
                <w:highlight w:val="none"/>
                <w:lang w:val="en-US" w:eastAsia="zh-CN"/>
              </w:rPr>
              <w:t>高压带电显示装置</w:t>
            </w:r>
          </w:p>
        </w:tc>
        <w:tc>
          <w:tcPr>
            <w:tcW w:w="3869" w:type="dxa"/>
            <w:vAlign w:val="center"/>
          </w:tcPr>
          <w:p w14:paraId="09F1736A">
            <w:pPr>
              <w:rPr>
                <w:rFonts w:hint="default"/>
                <w:color w:val="auto"/>
                <w:sz w:val="21"/>
                <w:szCs w:val="21"/>
                <w:highlight w:val="none"/>
                <w:lang w:val="en-US" w:eastAsia="zh-CN"/>
              </w:rPr>
            </w:pPr>
            <w:r>
              <w:rPr>
                <w:rFonts w:hint="eastAsia"/>
                <w:color w:val="auto"/>
                <w:highlight w:val="none"/>
                <w:lang w:val="en-US" w:eastAsia="zh-CN"/>
              </w:rPr>
              <w:t>GSNE1-40.5/Q2HYZ AC/DC220</w:t>
            </w:r>
          </w:p>
        </w:tc>
        <w:tc>
          <w:tcPr>
            <w:tcW w:w="1382" w:type="dxa"/>
            <w:vAlign w:val="center"/>
          </w:tcPr>
          <w:p w14:paraId="2952B5E2">
            <w:pPr>
              <w:rPr>
                <w:rFonts w:hint="eastAsia" w:eastAsia="宋体"/>
                <w:color w:val="auto"/>
                <w:sz w:val="21"/>
                <w:szCs w:val="21"/>
                <w:highlight w:val="none"/>
                <w:lang w:eastAsia="zh-CN"/>
              </w:rPr>
            </w:pPr>
            <w:r>
              <w:rPr>
                <w:rFonts w:hint="eastAsia"/>
                <w:color w:val="auto"/>
                <w:highlight w:val="none"/>
                <w:lang w:val="en-US" w:eastAsia="zh-CN"/>
              </w:rPr>
              <w:t>江门玄宇</w:t>
            </w:r>
          </w:p>
        </w:tc>
        <w:tc>
          <w:tcPr>
            <w:tcW w:w="731" w:type="dxa"/>
            <w:vAlign w:val="center"/>
          </w:tcPr>
          <w:p w14:paraId="5DF9C8E8">
            <w:pPr>
              <w:jc w:val="center"/>
              <w:rPr>
                <w:rFonts w:hint="eastAsia" w:eastAsia="宋体"/>
                <w:color w:val="auto"/>
                <w:sz w:val="21"/>
                <w:szCs w:val="21"/>
                <w:highlight w:val="none"/>
                <w:lang w:val="en-US" w:eastAsia="zh-CN"/>
              </w:rPr>
            </w:pPr>
            <w:r>
              <w:rPr>
                <w:rFonts w:hint="eastAsia"/>
                <w:color w:val="auto"/>
                <w:highlight w:val="none"/>
                <w:lang w:val="en-US" w:eastAsia="zh-CN"/>
              </w:rPr>
              <w:t>套</w:t>
            </w:r>
          </w:p>
        </w:tc>
        <w:tc>
          <w:tcPr>
            <w:tcW w:w="797" w:type="dxa"/>
            <w:vAlign w:val="center"/>
          </w:tcPr>
          <w:p w14:paraId="71CCCE11">
            <w:pPr>
              <w:jc w:val="center"/>
              <w:rPr>
                <w:rFonts w:hint="eastAsia" w:eastAsia="宋体"/>
                <w:color w:val="auto"/>
                <w:sz w:val="21"/>
                <w:szCs w:val="21"/>
                <w:highlight w:val="none"/>
                <w:lang w:val="en-US" w:eastAsia="zh-CN"/>
              </w:rPr>
            </w:pPr>
            <w:r>
              <w:rPr>
                <w:rFonts w:hint="eastAsia"/>
                <w:color w:val="auto"/>
                <w:highlight w:val="none"/>
                <w:lang w:val="en-US" w:eastAsia="zh-CN"/>
              </w:rPr>
              <w:t>1</w:t>
            </w:r>
          </w:p>
        </w:tc>
      </w:tr>
      <w:tr w14:paraId="65D1F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58" w:type="dxa"/>
            <w:vAlign w:val="center"/>
          </w:tcPr>
          <w:p w14:paraId="30568903">
            <w:pPr>
              <w:jc w:val="center"/>
              <w:rPr>
                <w:rFonts w:hint="eastAsia"/>
                <w:color w:val="auto"/>
                <w:highlight w:val="none"/>
                <w:lang w:val="en-US" w:eastAsia="zh-CN"/>
              </w:rPr>
            </w:pPr>
            <w:r>
              <w:rPr>
                <w:rFonts w:hint="eastAsia"/>
                <w:color w:val="auto"/>
                <w:highlight w:val="none"/>
                <w:lang w:val="en-US" w:eastAsia="zh-CN"/>
              </w:rPr>
              <w:t>10</w:t>
            </w:r>
          </w:p>
        </w:tc>
        <w:tc>
          <w:tcPr>
            <w:tcW w:w="1788" w:type="dxa"/>
            <w:vAlign w:val="center"/>
          </w:tcPr>
          <w:p w14:paraId="43E24173">
            <w:pPr>
              <w:rPr>
                <w:rFonts w:hint="eastAsia"/>
                <w:color w:val="auto"/>
                <w:highlight w:val="none"/>
                <w:lang w:val="en-US" w:eastAsia="zh-CN"/>
              </w:rPr>
            </w:pPr>
            <w:r>
              <w:rPr>
                <w:rFonts w:hint="eastAsia"/>
                <w:color w:val="auto"/>
                <w:highlight w:val="none"/>
                <w:lang w:val="en-US" w:eastAsia="zh-CN"/>
              </w:rPr>
              <w:t>铜母线</w:t>
            </w:r>
          </w:p>
        </w:tc>
        <w:tc>
          <w:tcPr>
            <w:tcW w:w="3869" w:type="dxa"/>
            <w:vAlign w:val="center"/>
          </w:tcPr>
          <w:p w14:paraId="20D4DE73">
            <w:pPr>
              <w:rPr>
                <w:rFonts w:hint="eastAsia"/>
                <w:color w:val="auto"/>
                <w:highlight w:val="none"/>
                <w:lang w:val="en-US" w:eastAsia="zh-CN"/>
              </w:rPr>
            </w:pPr>
            <w:r>
              <w:rPr>
                <w:rFonts w:hint="eastAsia"/>
                <w:color w:val="auto"/>
                <w:highlight w:val="none"/>
                <w:lang w:val="en-US" w:eastAsia="zh-CN"/>
              </w:rPr>
              <w:t>铜母线TMY</w:t>
            </w:r>
          </w:p>
        </w:tc>
        <w:tc>
          <w:tcPr>
            <w:tcW w:w="1382" w:type="dxa"/>
            <w:vAlign w:val="center"/>
          </w:tcPr>
          <w:p w14:paraId="2AF3CE69">
            <w:pPr>
              <w:rPr>
                <w:rFonts w:hint="eastAsia"/>
                <w:color w:val="auto"/>
                <w:highlight w:val="none"/>
                <w:lang w:val="en-US" w:eastAsia="zh-CN"/>
              </w:rPr>
            </w:pPr>
            <w:r>
              <w:rPr>
                <w:rFonts w:hint="eastAsia"/>
                <w:color w:val="auto"/>
                <w:highlight w:val="none"/>
                <w:lang w:val="en-US" w:eastAsia="zh-CN"/>
              </w:rPr>
              <w:t>韶关明德</w:t>
            </w:r>
          </w:p>
        </w:tc>
        <w:tc>
          <w:tcPr>
            <w:tcW w:w="731" w:type="dxa"/>
            <w:vAlign w:val="center"/>
          </w:tcPr>
          <w:p w14:paraId="51D88FE6">
            <w:pPr>
              <w:jc w:val="center"/>
              <w:rPr>
                <w:rFonts w:hint="eastAsia"/>
                <w:color w:val="auto"/>
                <w:highlight w:val="none"/>
                <w:lang w:val="en-US" w:eastAsia="zh-CN"/>
              </w:rPr>
            </w:pPr>
            <w:r>
              <w:rPr>
                <w:rFonts w:hint="eastAsia"/>
                <w:color w:val="auto"/>
                <w:highlight w:val="none"/>
                <w:lang w:val="en-US" w:eastAsia="zh-CN"/>
              </w:rPr>
              <w:t>套</w:t>
            </w:r>
          </w:p>
        </w:tc>
        <w:tc>
          <w:tcPr>
            <w:tcW w:w="797" w:type="dxa"/>
            <w:vAlign w:val="center"/>
          </w:tcPr>
          <w:p w14:paraId="74EF6AF8">
            <w:pPr>
              <w:jc w:val="center"/>
              <w:rPr>
                <w:rFonts w:hint="eastAsia"/>
                <w:color w:val="auto"/>
                <w:highlight w:val="none"/>
                <w:lang w:val="en-US" w:eastAsia="zh-CN"/>
              </w:rPr>
            </w:pPr>
            <w:r>
              <w:rPr>
                <w:rFonts w:hint="eastAsia"/>
                <w:color w:val="auto"/>
                <w:highlight w:val="none"/>
                <w:lang w:val="en-US" w:eastAsia="zh-CN"/>
              </w:rPr>
              <w:t>1</w:t>
            </w:r>
          </w:p>
        </w:tc>
      </w:tr>
      <w:tr w14:paraId="5F316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558" w:type="dxa"/>
            <w:vAlign w:val="center"/>
          </w:tcPr>
          <w:p w14:paraId="17505BE8">
            <w:pPr>
              <w:jc w:val="center"/>
              <w:rPr>
                <w:rFonts w:hint="eastAsia"/>
                <w:color w:val="auto"/>
                <w:sz w:val="24"/>
                <w:szCs w:val="24"/>
                <w:highlight w:val="none"/>
                <w:lang w:eastAsia="zh-CN"/>
              </w:rPr>
            </w:pPr>
            <w:r>
              <w:rPr>
                <w:rFonts w:hint="eastAsia"/>
                <w:color w:val="auto"/>
                <w:highlight w:val="none"/>
                <w:lang w:val="en-US" w:eastAsia="zh-CN"/>
              </w:rPr>
              <w:t>11</w:t>
            </w:r>
          </w:p>
        </w:tc>
        <w:tc>
          <w:tcPr>
            <w:tcW w:w="1788" w:type="dxa"/>
            <w:vAlign w:val="center"/>
          </w:tcPr>
          <w:p w14:paraId="28086A7E">
            <w:pPr>
              <w:rPr>
                <w:rFonts w:hint="eastAsia"/>
                <w:color w:val="auto"/>
                <w:highlight w:val="none"/>
              </w:rPr>
            </w:pPr>
            <w:r>
              <w:rPr>
                <w:rFonts w:hint="eastAsia"/>
                <w:color w:val="auto"/>
                <w:highlight w:val="none"/>
              </w:rPr>
              <w:t>柜体</w:t>
            </w:r>
            <w:r>
              <w:rPr>
                <w:rFonts w:hint="eastAsia"/>
                <w:color w:val="auto"/>
                <w:highlight w:val="none"/>
                <w:lang w:val="en-US" w:eastAsia="zh-CN"/>
              </w:rPr>
              <w:t>及附件</w:t>
            </w:r>
          </w:p>
        </w:tc>
        <w:tc>
          <w:tcPr>
            <w:tcW w:w="3869" w:type="dxa"/>
            <w:vAlign w:val="center"/>
          </w:tcPr>
          <w:p w14:paraId="3D0D11A5">
            <w:pPr>
              <w:rPr>
                <w:rFonts w:hint="eastAsia"/>
                <w:color w:val="auto"/>
                <w:highlight w:val="none"/>
              </w:rPr>
            </w:pPr>
            <w:r>
              <w:rPr>
                <w:rFonts w:hint="eastAsia"/>
                <w:color w:val="auto"/>
                <w:highlight w:val="none"/>
              </w:rPr>
              <w:t>防护等级：IP4X（柜体）/IP2X（隔室）</w:t>
            </w:r>
          </w:p>
          <w:p w14:paraId="617DEF81">
            <w:pPr>
              <w:rPr>
                <w:color w:val="auto"/>
                <w:sz w:val="24"/>
                <w:szCs w:val="24"/>
                <w:highlight w:val="none"/>
              </w:rPr>
            </w:pPr>
            <w:r>
              <w:rPr>
                <w:rFonts w:hint="eastAsia"/>
                <w:color w:val="auto"/>
                <w:highlight w:val="none"/>
                <w:lang w:val="en-US" w:eastAsia="zh-CN"/>
              </w:rPr>
              <w:t>现有柜体</w:t>
            </w:r>
            <w:r>
              <w:rPr>
                <w:rFonts w:hint="eastAsia"/>
                <w:color w:val="auto"/>
                <w:highlight w:val="none"/>
              </w:rPr>
              <w:t>尺寸：1</w:t>
            </w:r>
            <w:r>
              <w:rPr>
                <w:rFonts w:hint="eastAsia"/>
                <w:color w:val="auto"/>
                <w:highlight w:val="none"/>
                <w:lang w:val="en-US" w:eastAsia="zh-CN"/>
              </w:rPr>
              <w:t>4</w:t>
            </w:r>
            <w:r>
              <w:rPr>
                <w:rFonts w:hint="eastAsia"/>
                <w:color w:val="auto"/>
                <w:highlight w:val="none"/>
              </w:rPr>
              <w:t>00×2</w:t>
            </w:r>
            <w:r>
              <w:rPr>
                <w:rFonts w:hint="eastAsia"/>
                <w:color w:val="auto"/>
                <w:highlight w:val="none"/>
                <w:lang w:val="en-US" w:eastAsia="zh-CN"/>
              </w:rPr>
              <w:t>6</w:t>
            </w:r>
            <w:r>
              <w:rPr>
                <w:rFonts w:hint="eastAsia"/>
                <w:color w:val="auto"/>
                <w:highlight w:val="none"/>
              </w:rPr>
              <w:t>00×2</w:t>
            </w:r>
            <w:r>
              <w:rPr>
                <w:rFonts w:hint="eastAsia"/>
                <w:color w:val="auto"/>
                <w:highlight w:val="none"/>
                <w:lang w:val="en-US" w:eastAsia="zh-CN"/>
              </w:rPr>
              <w:t>8</w:t>
            </w:r>
            <w:r>
              <w:rPr>
                <w:rFonts w:hint="eastAsia"/>
                <w:color w:val="auto"/>
                <w:highlight w:val="none"/>
              </w:rPr>
              <w:t>00mm（宽×高×深）</w:t>
            </w:r>
            <w:r>
              <w:rPr>
                <w:rFonts w:hint="eastAsia"/>
                <w:color w:val="auto"/>
                <w:highlight w:val="none"/>
                <w:lang w:eastAsia="zh-CN"/>
              </w:rPr>
              <w:t>（</w:t>
            </w:r>
            <w:r>
              <w:rPr>
                <w:rFonts w:hint="eastAsia"/>
                <w:color w:val="auto"/>
                <w:highlight w:val="none"/>
                <w:lang w:val="en-US" w:eastAsia="zh-CN"/>
              </w:rPr>
              <w:t>除高度外，长跟深不大于此尺寸</w:t>
            </w:r>
            <w:r>
              <w:rPr>
                <w:rFonts w:hint="eastAsia"/>
                <w:color w:val="auto"/>
                <w:highlight w:val="none"/>
                <w:lang w:eastAsia="zh-CN"/>
              </w:rPr>
              <w:t>）</w:t>
            </w:r>
          </w:p>
        </w:tc>
        <w:tc>
          <w:tcPr>
            <w:tcW w:w="1382" w:type="dxa"/>
            <w:vAlign w:val="center"/>
          </w:tcPr>
          <w:p w14:paraId="59B43D44">
            <w:pPr>
              <w:rPr>
                <w:rFonts w:hint="eastAsia"/>
                <w:color w:val="auto"/>
                <w:sz w:val="24"/>
                <w:szCs w:val="24"/>
                <w:highlight w:val="none"/>
                <w:lang w:eastAsia="zh-CN"/>
              </w:rPr>
            </w:pPr>
            <w:r>
              <w:rPr>
                <w:rFonts w:hint="eastAsia"/>
                <w:color w:val="auto"/>
                <w:highlight w:val="none"/>
                <w:lang w:val="en-US" w:eastAsia="zh-CN"/>
              </w:rPr>
              <w:t>白云电气</w:t>
            </w:r>
          </w:p>
        </w:tc>
        <w:tc>
          <w:tcPr>
            <w:tcW w:w="731" w:type="dxa"/>
            <w:vAlign w:val="center"/>
          </w:tcPr>
          <w:p w14:paraId="036CCBB4">
            <w:pPr>
              <w:jc w:val="center"/>
              <w:rPr>
                <w:rFonts w:hint="eastAsia"/>
                <w:color w:val="auto"/>
                <w:sz w:val="24"/>
                <w:szCs w:val="24"/>
                <w:highlight w:val="none"/>
              </w:rPr>
            </w:pPr>
            <w:r>
              <w:rPr>
                <w:rFonts w:hint="eastAsia"/>
                <w:color w:val="auto"/>
                <w:highlight w:val="none"/>
                <w:lang w:val="en-US" w:eastAsia="zh-CN"/>
              </w:rPr>
              <w:t>批</w:t>
            </w:r>
          </w:p>
        </w:tc>
        <w:tc>
          <w:tcPr>
            <w:tcW w:w="797" w:type="dxa"/>
            <w:vAlign w:val="center"/>
          </w:tcPr>
          <w:p w14:paraId="2C9AA83E">
            <w:pPr>
              <w:jc w:val="center"/>
              <w:rPr>
                <w:rFonts w:hint="eastAsia"/>
                <w:color w:val="auto"/>
                <w:sz w:val="24"/>
                <w:szCs w:val="24"/>
                <w:highlight w:val="none"/>
              </w:rPr>
            </w:pPr>
            <w:r>
              <w:rPr>
                <w:rFonts w:hint="eastAsia"/>
                <w:color w:val="auto"/>
                <w:highlight w:val="none"/>
                <w:lang w:val="en-US" w:eastAsia="zh-CN"/>
              </w:rPr>
              <w:t>1</w:t>
            </w:r>
          </w:p>
        </w:tc>
      </w:tr>
    </w:tbl>
    <w:p w14:paraId="470090F3">
      <w:pPr>
        <w:rPr>
          <w:rFonts w:hint="eastAsia"/>
          <w:color w:val="auto"/>
          <w:sz w:val="24"/>
          <w:szCs w:val="24"/>
          <w:highlight w:val="none"/>
          <w:lang w:val="en-US" w:eastAsia="zh-CN"/>
        </w:rPr>
      </w:pPr>
    </w:p>
    <w:p w14:paraId="424BE509">
      <w:pPr>
        <w:numPr>
          <w:ilvl w:val="0"/>
          <w:numId w:val="6"/>
        </w:numPr>
        <w:rPr>
          <w:rFonts w:hint="eastAsia"/>
          <w:color w:val="auto"/>
          <w:sz w:val="28"/>
          <w:szCs w:val="28"/>
          <w:highlight w:val="none"/>
          <w:lang w:eastAsia="zh-CN"/>
        </w:rPr>
      </w:pPr>
      <w:r>
        <w:rPr>
          <w:rFonts w:hint="eastAsia"/>
          <w:color w:val="auto"/>
          <w:sz w:val="28"/>
          <w:szCs w:val="28"/>
          <w:highlight w:val="none"/>
          <w:lang w:eastAsia="zh-CN"/>
        </w:rPr>
        <w:t>PT柜核心参数（</w:t>
      </w:r>
      <w:r>
        <w:rPr>
          <w:rFonts w:hint="eastAsia"/>
          <w:color w:val="auto"/>
          <w:sz w:val="28"/>
          <w:szCs w:val="28"/>
          <w:highlight w:val="none"/>
          <w:lang w:val="en-US" w:eastAsia="zh-CN"/>
        </w:rPr>
        <w:t>AH2柜</w:t>
      </w:r>
      <w:r>
        <w:rPr>
          <w:rFonts w:hint="eastAsia"/>
          <w:color w:val="auto"/>
          <w:sz w:val="28"/>
          <w:szCs w:val="28"/>
          <w:highlight w:val="none"/>
          <w:lang w:eastAsia="zh-CN"/>
        </w:rPr>
        <w:t>）</w:t>
      </w:r>
    </w:p>
    <w:p w14:paraId="20B56708">
      <w:pPr>
        <w:numPr>
          <w:ilvl w:val="0"/>
          <w:numId w:val="0"/>
        </w:numPr>
        <w:rPr>
          <w:rFonts w:hint="default"/>
          <w:color w:val="auto"/>
          <w:sz w:val="28"/>
          <w:szCs w:val="28"/>
          <w:highlight w:val="none"/>
          <w:lang w:val="en-US" w:eastAsia="zh-CN"/>
        </w:rPr>
      </w:pPr>
      <w:r>
        <w:rPr>
          <w:rFonts w:hint="eastAsia"/>
          <w:color w:val="auto"/>
          <w:sz w:val="28"/>
          <w:szCs w:val="28"/>
          <w:highlight w:val="none"/>
          <w:lang w:val="en-US" w:eastAsia="zh-CN"/>
        </w:rPr>
        <w:t>附表3：</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862"/>
        <w:gridCol w:w="4075"/>
        <w:gridCol w:w="1461"/>
        <w:gridCol w:w="795"/>
        <w:gridCol w:w="795"/>
      </w:tblGrid>
      <w:tr w14:paraId="1CB47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303" w:type="pct"/>
          </w:tcPr>
          <w:p w14:paraId="6ADE41A0">
            <w:pPr>
              <w:jc w:val="center"/>
              <w:rPr>
                <w:rFonts w:hint="eastAsia"/>
                <w:color w:val="auto"/>
                <w:highlight w:val="none"/>
                <w:lang w:val="en-US" w:eastAsia="zh-CN"/>
              </w:rPr>
            </w:pPr>
            <w:r>
              <w:rPr>
                <w:rFonts w:hint="eastAsia"/>
                <w:color w:val="auto"/>
                <w:highlight w:val="none"/>
                <w:lang w:val="en-US" w:eastAsia="zh-CN"/>
              </w:rPr>
              <w:t>序号</w:t>
            </w:r>
          </w:p>
        </w:tc>
        <w:tc>
          <w:tcPr>
            <w:tcW w:w="972" w:type="pct"/>
          </w:tcPr>
          <w:p w14:paraId="414F92EA">
            <w:pPr>
              <w:jc w:val="center"/>
              <w:rPr>
                <w:rFonts w:hint="eastAsia"/>
                <w:color w:val="auto"/>
                <w:highlight w:val="none"/>
                <w:lang w:eastAsia="zh-CN"/>
              </w:rPr>
            </w:pPr>
            <w:r>
              <w:rPr>
                <w:rFonts w:hint="eastAsia"/>
                <w:color w:val="auto"/>
                <w:highlight w:val="none"/>
                <w:lang w:val="en-US" w:eastAsia="zh-CN"/>
              </w:rPr>
              <w:t>名称</w:t>
            </w:r>
          </w:p>
        </w:tc>
        <w:tc>
          <w:tcPr>
            <w:tcW w:w="2129" w:type="pct"/>
          </w:tcPr>
          <w:p w14:paraId="0886225A">
            <w:pPr>
              <w:jc w:val="center"/>
              <w:rPr>
                <w:rFonts w:hint="eastAsia"/>
                <w:color w:val="auto"/>
                <w:highlight w:val="none"/>
              </w:rPr>
            </w:pPr>
            <w:r>
              <w:rPr>
                <w:rFonts w:hint="eastAsia"/>
                <w:color w:val="auto"/>
                <w:highlight w:val="none"/>
                <w:lang w:eastAsia="zh-CN"/>
              </w:rPr>
              <w:t>选型要求</w:t>
            </w:r>
          </w:p>
        </w:tc>
        <w:tc>
          <w:tcPr>
            <w:tcW w:w="763" w:type="pct"/>
          </w:tcPr>
          <w:p w14:paraId="608C1C74">
            <w:pPr>
              <w:jc w:val="center"/>
              <w:rPr>
                <w:rFonts w:hint="eastAsia"/>
                <w:color w:val="auto"/>
                <w:highlight w:val="none"/>
              </w:rPr>
            </w:pPr>
            <w:r>
              <w:rPr>
                <w:rFonts w:hint="eastAsia"/>
                <w:color w:val="auto"/>
                <w:highlight w:val="none"/>
                <w:lang w:val="en-US" w:eastAsia="zh-CN"/>
              </w:rPr>
              <w:t>品牌</w:t>
            </w:r>
          </w:p>
        </w:tc>
        <w:tc>
          <w:tcPr>
            <w:tcW w:w="415" w:type="pct"/>
          </w:tcPr>
          <w:p w14:paraId="44897E75">
            <w:pPr>
              <w:jc w:val="center"/>
              <w:rPr>
                <w:rFonts w:hint="default"/>
                <w:color w:val="auto"/>
                <w:highlight w:val="none"/>
                <w:lang w:val="en-US" w:eastAsia="zh-CN"/>
              </w:rPr>
            </w:pPr>
            <w:r>
              <w:rPr>
                <w:rFonts w:hint="eastAsia"/>
                <w:color w:val="auto"/>
                <w:highlight w:val="none"/>
                <w:lang w:val="en-US" w:eastAsia="zh-CN"/>
              </w:rPr>
              <w:t>单位</w:t>
            </w:r>
          </w:p>
        </w:tc>
        <w:tc>
          <w:tcPr>
            <w:tcW w:w="415" w:type="pct"/>
          </w:tcPr>
          <w:p w14:paraId="20DB8E8C">
            <w:pPr>
              <w:jc w:val="center"/>
              <w:rPr>
                <w:rFonts w:hint="default"/>
                <w:color w:val="auto"/>
                <w:highlight w:val="none"/>
                <w:lang w:val="en-US" w:eastAsia="zh-CN"/>
              </w:rPr>
            </w:pPr>
            <w:r>
              <w:rPr>
                <w:rFonts w:hint="eastAsia"/>
                <w:color w:val="auto"/>
                <w:highlight w:val="none"/>
                <w:lang w:val="en-US" w:eastAsia="zh-CN"/>
              </w:rPr>
              <w:t>数量</w:t>
            </w:r>
          </w:p>
        </w:tc>
      </w:tr>
      <w:tr w14:paraId="4F411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3" w:type="pct"/>
          </w:tcPr>
          <w:p w14:paraId="19FBE02B">
            <w:pPr>
              <w:jc w:val="center"/>
              <w:rPr>
                <w:rFonts w:hint="eastAsia"/>
                <w:color w:val="auto"/>
                <w:highlight w:val="none"/>
                <w:lang w:val="en-US" w:eastAsia="zh-CN"/>
              </w:rPr>
            </w:pPr>
            <w:r>
              <w:rPr>
                <w:rFonts w:hint="eastAsia"/>
                <w:color w:val="auto"/>
                <w:highlight w:val="none"/>
                <w:lang w:val="en-US" w:eastAsia="zh-CN"/>
              </w:rPr>
              <w:t>1</w:t>
            </w:r>
          </w:p>
        </w:tc>
        <w:tc>
          <w:tcPr>
            <w:tcW w:w="972" w:type="pct"/>
          </w:tcPr>
          <w:p w14:paraId="49DDC175">
            <w:pPr>
              <w:rPr>
                <w:rFonts w:hint="eastAsia"/>
                <w:color w:val="auto"/>
                <w:highlight w:val="none"/>
                <w:lang w:eastAsia="zh-CN"/>
              </w:rPr>
            </w:pPr>
            <w:r>
              <w:rPr>
                <w:rFonts w:hint="eastAsia"/>
                <w:color w:val="auto"/>
                <w:highlight w:val="none"/>
                <w:lang w:eastAsia="zh-CN"/>
              </w:rPr>
              <w:t>柜型</w:t>
            </w:r>
          </w:p>
        </w:tc>
        <w:tc>
          <w:tcPr>
            <w:tcW w:w="2129" w:type="pct"/>
          </w:tcPr>
          <w:p w14:paraId="6474F329">
            <w:pPr>
              <w:rPr>
                <w:rFonts w:hint="default"/>
                <w:color w:val="auto"/>
                <w:highlight w:val="none"/>
                <w:lang w:val="en-US"/>
              </w:rPr>
            </w:pPr>
            <w:r>
              <w:rPr>
                <w:rFonts w:hint="eastAsia"/>
                <w:color w:val="auto"/>
                <w:highlight w:val="none"/>
                <w:lang w:eastAsia="zh-CN"/>
              </w:rPr>
              <w:t>KYN61-40.5（与主柜同系列）（</w:t>
            </w:r>
            <w:r>
              <w:rPr>
                <w:rFonts w:hint="eastAsia"/>
                <w:color w:val="auto"/>
                <w:highlight w:val="none"/>
                <w:lang w:val="en-US" w:eastAsia="zh-CN"/>
              </w:rPr>
              <w:t>固定PT+PT手车隔离</w:t>
            </w:r>
            <w:r>
              <w:rPr>
                <w:rFonts w:hint="eastAsia"/>
                <w:color w:val="auto"/>
                <w:highlight w:val="none"/>
                <w:lang w:eastAsia="zh-CN"/>
              </w:rPr>
              <w:t>）</w:t>
            </w:r>
            <w:r>
              <w:rPr>
                <w:rFonts w:hint="eastAsia"/>
                <w:color w:val="auto"/>
                <w:highlight w:val="none"/>
                <w:lang w:val="en-US" w:eastAsia="zh-CN"/>
              </w:rPr>
              <w:t>模式</w:t>
            </w:r>
          </w:p>
        </w:tc>
        <w:tc>
          <w:tcPr>
            <w:tcW w:w="763" w:type="pct"/>
          </w:tcPr>
          <w:p w14:paraId="4CEF99BC">
            <w:pPr>
              <w:rPr>
                <w:rFonts w:hint="default"/>
                <w:color w:val="auto"/>
                <w:highlight w:val="none"/>
                <w:lang w:val="en-US"/>
              </w:rPr>
            </w:pPr>
            <w:r>
              <w:rPr>
                <w:rFonts w:hint="eastAsia"/>
                <w:color w:val="auto"/>
                <w:highlight w:val="none"/>
                <w:lang w:val="en-US" w:eastAsia="zh-CN"/>
              </w:rPr>
              <w:t>固定PT+ PT手车隔离</w:t>
            </w:r>
          </w:p>
        </w:tc>
        <w:tc>
          <w:tcPr>
            <w:tcW w:w="415" w:type="pct"/>
          </w:tcPr>
          <w:p w14:paraId="6F5BFF1E">
            <w:pPr>
              <w:jc w:val="center"/>
              <w:rPr>
                <w:rFonts w:hint="default"/>
                <w:color w:val="auto"/>
                <w:highlight w:val="none"/>
                <w:lang w:val="en-US" w:eastAsia="zh-CN"/>
              </w:rPr>
            </w:pPr>
            <w:r>
              <w:rPr>
                <w:rFonts w:hint="eastAsia"/>
                <w:color w:val="auto"/>
                <w:highlight w:val="none"/>
                <w:lang w:val="en-US" w:eastAsia="zh-CN"/>
              </w:rPr>
              <w:t>-</w:t>
            </w:r>
          </w:p>
        </w:tc>
        <w:tc>
          <w:tcPr>
            <w:tcW w:w="415" w:type="pct"/>
          </w:tcPr>
          <w:p w14:paraId="1B43DE18">
            <w:pPr>
              <w:jc w:val="center"/>
              <w:rPr>
                <w:rFonts w:hint="default"/>
                <w:color w:val="auto"/>
                <w:highlight w:val="none"/>
                <w:lang w:val="en-US" w:eastAsia="zh-CN"/>
              </w:rPr>
            </w:pPr>
            <w:r>
              <w:rPr>
                <w:rFonts w:hint="eastAsia"/>
                <w:color w:val="auto"/>
                <w:highlight w:val="none"/>
                <w:lang w:val="en-US" w:eastAsia="zh-CN"/>
              </w:rPr>
              <w:t>-</w:t>
            </w:r>
          </w:p>
        </w:tc>
      </w:tr>
      <w:tr w14:paraId="65E5B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303" w:type="pct"/>
          </w:tcPr>
          <w:p w14:paraId="5EF7281F">
            <w:pPr>
              <w:jc w:val="center"/>
              <w:rPr>
                <w:rFonts w:hint="default"/>
                <w:color w:val="auto"/>
                <w:highlight w:val="none"/>
                <w:lang w:val="en-US" w:eastAsia="zh-CN"/>
              </w:rPr>
            </w:pPr>
            <w:r>
              <w:rPr>
                <w:rFonts w:hint="eastAsia"/>
                <w:color w:val="auto"/>
                <w:highlight w:val="none"/>
                <w:lang w:val="en-US" w:eastAsia="zh-CN"/>
              </w:rPr>
              <w:t>2</w:t>
            </w:r>
          </w:p>
        </w:tc>
        <w:tc>
          <w:tcPr>
            <w:tcW w:w="972" w:type="pct"/>
          </w:tcPr>
          <w:p w14:paraId="51350307">
            <w:pPr>
              <w:rPr>
                <w:rFonts w:hint="default"/>
                <w:color w:val="auto"/>
                <w:highlight w:val="none"/>
                <w:lang w:val="en-US" w:eastAsia="zh-CN"/>
              </w:rPr>
            </w:pPr>
            <w:r>
              <w:rPr>
                <w:rFonts w:hint="eastAsia"/>
                <w:color w:val="auto"/>
                <w:highlight w:val="none"/>
                <w:lang w:val="en-US" w:eastAsia="zh-CN"/>
              </w:rPr>
              <w:t>隔离手车</w:t>
            </w:r>
          </w:p>
        </w:tc>
        <w:tc>
          <w:tcPr>
            <w:tcW w:w="2129" w:type="pct"/>
          </w:tcPr>
          <w:p w14:paraId="3FDC575F">
            <w:pPr>
              <w:rPr>
                <w:rFonts w:hint="eastAsia"/>
                <w:color w:val="auto"/>
                <w:highlight w:val="none"/>
              </w:rPr>
            </w:pPr>
            <w:r>
              <w:rPr>
                <w:rFonts w:hint="eastAsia"/>
                <w:color w:val="auto"/>
                <w:highlight w:val="none"/>
                <w:lang w:val="en-US" w:eastAsia="zh-CN"/>
              </w:rPr>
              <w:t>ZN85-40.5/630-GL</w:t>
            </w:r>
          </w:p>
        </w:tc>
        <w:tc>
          <w:tcPr>
            <w:tcW w:w="763" w:type="pct"/>
          </w:tcPr>
          <w:p w14:paraId="1FCC1EAC">
            <w:pPr>
              <w:rPr>
                <w:rFonts w:hint="default"/>
                <w:color w:val="auto"/>
                <w:highlight w:val="none"/>
                <w:lang w:val="en-US" w:eastAsia="zh-CN"/>
              </w:rPr>
            </w:pPr>
            <w:r>
              <w:rPr>
                <w:rFonts w:hint="eastAsia"/>
                <w:color w:val="auto"/>
                <w:highlight w:val="none"/>
                <w:lang w:val="en-US" w:eastAsia="zh-CN"/>
              </w:rPr>
              <w:t>白云电气</w:t>
            </w:r>
          </w:p>
        </w:tc>
        <w:tc>
          <w:tcPr>
            <w:tcW w:w="415" w:type="pct"/>
          </w:tcPr>
          <w:p w14:paraId="026DB918">
            <w:pPr>
              <w:jc w:val="center"/>
              <w:rPr>
                <w:rFonts w:hint="default"/>
                <w:color w:val="auto"/>
                <w:highlight w:val="none"/>
                <w:lang w:val="en-US" w:eastAsia="zh-CN"/>
              </w:rPr>
            </w:pPr>
            <w:r>
              <w:rPr>
                <w:rFonts w:hint="eastAsia"/>
                <w:color w:val="auto"/>
                <w:highlight w:val="none"/>
                <w:lang w:val="en-US" w:eastAsia="zh-CN"/>
              </w:rPr>
              <w:t>个</w:t>
            </w:r>
          </w:p>
        </w:tc>
        <w:tc>
          <w:tcPr>
            <w:tcW w:w="415" w:type="pct"/>
          </w:tcPr>
          <w:p w14:paraId="17D12C22">
            <w:pPr>
              <w:jc w:val="center"/>
              <w:rPr>
                <w:rFonts w:hint="default"/>
                <w:color w:val="auto"/>
                <w:highlight w:val="none"/>
                <w:lang w:val="en-US" w:eastAsia="zh-CN"/>
              </w:rPr>
            </w:pPr>
            <w:r>
              <w:rPr>
                <w:rFonts w:hint="eastAsia"/>
                <w:color w:val="auto"/>
                <w:highlight w:val="none"/>
                <w:lang w:val="en-US" w:eastAsia="zh-CN"/>
              </w:rPr>
              <w:t>1</w:t>
            </w:r>
          </w:p>
        </w:tc>
      </w:tr>
      <w:tr w14:paraId="08979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303" w:type="pct"/>
          </w:tcPr>
          <w:p w14:paraId="27179951">
            <w:pPr>
              <w:jc w:val="center"/>
              <w:rPr>
                <w:rFonts w:hint="eastAsia"/>
                <w:color w:val="auto"/>
                <w:highlight w:val="none"/>
                <w:lang w:val="en-US" w:eastAsia="zh-CN"/>
              </w:rPr>
            </w:pPr>
            <w:r>
              <w:rPr>
                <w:rFonts w:hint="eastAsia"/>
                <w:color w:val="auto"/>
                <w:highlight w:val="none"/>
                <w:lang w:val="en-US" w:eastAsia="zh-CN"/>
              </w:rPr>
              <w:t>3</w:t>
            </w:r>
          </w:p>
        </w:tc>
        <w:tc>
          <w:tcPr>
            <w:tcW w:w="972" w:type="pct"/>
          </w:tcPr>
          <w:p w14:paraId="1D9646F3">
            <w:pPr>
              <w:rPr>
                <w:rFonts w:hint="default"/>
                <w:color w:val="auto"/>
                <w:highlight w:val="none"/>
                <w:lang w:val="en-US" w:eastAsia="zh-CN"/>
              </w:rPr>
            </w:pPr>
            <w:r>
              <w:rPr>
                <w:rFonts w:hint="eastAsia"/>
                <w:color w:val="auto"/>
                <w:highlight w:val="none"/>
                <w:lang w:val="en-US" w:eastAsia="zh-CN"/>
              </w:rPr>
              <w:t>电压互感器</w:t>
            </w:r>
          </w:p>
        </w:tc>
        <w:tc>
          <w:tcPr>
            <w:tcW w:w="2129" w:type="pct"/>
          </w:tcPr>
          <w:p w14:paraId="0EC4D8FE">
            <w:pPr>
              <w:rPr>
                <w:rFonts w:hint="default"/>
                <w:color w:val="auto"/>
                <w:highlight w:val="none"/>
                <w:lang w:val="en-US"/>
              </w:rPr>
            </w:pPr>
            <w:r>
              <w:rPr>
                <w:rFonts w:hint="eastAsia"/>
                <w:color w:val="auto"/>
                <w:highlight w:val="none"/>
                <w:lang w:val="en-US" w:eastAsia="zh-CN"/>
              </w:rPr>
              <w:t>JDZX9-35CG-T 35/√3  0.1/√3 0.1/√3  0.1/3  0.2/0.5/3P</w:t>
            </w:r>
          </w:p>
        </w:tc>
        <w:tc>
          <w:tcPr>
            <w:tcW w:w="763" w:type="pct"/>
          </w:tcPr>
          <w:p w14:paraId="74495C97">
            <w:pPr>
              <w:rPr>
                <w:rFonts w:hint="default"/>
                <w:color w:val="auto"/>
                <w:highlight w:val="none"/>
                <w:lang w:val="en-US" w:eastAsia="zh-CN"/>
              </w:rPr>
            </w:pPr>
            <w:r>
              <w:rPr>
                <w:rFonts w:hint="eastAsia"/>
                <w:color w:val="auto"/>
                <w:highlight w:val="none"/>
                <w:lang w:val="en-US" w:eastAsia="zh-CN"/>
              </w:rPr>
              <w:t>大连一互</w:t>
            </w:r>
          </w:p>
        </w:tc>
        <w:tc>
          <w:tcPr>
            <w:tcW w:w="415" w:type="pct"/>
          </w:tcPr>
          <w:p w14:paraId="44787265">
            <w:pPr>
              <w:jc w:val="center"/>
              <w:rPr>
                <w:rFonts w:hint="default"/>
                <w:color w:val="auto"/>
                <w:highlight w:val="none"/>
                <w:lang w:val="en-US" w:eastAsia="zh-CN"/>
              </w:rPr>
            </w:pPr>
            <w:r>
              <w:rPr>
                <w:rFonts w:hint="eastAsia"/>
                <w:color w:val="auto"/>
                <w:highlight w:val="none"/>
                <w:lang w:val="en-US" w:eastAsia="zh-CN"/>
              </w:rPr>
              <w:t>只</w:t>
            </w:r>
          </w:p>
        </w:tc>
        <w:tc>
          <w:tcPr>
            <w:tcW w:w="415" w:type="pct"/>
          </w:tcPr>
          <w:p w14:paraId="3AA269DB">
            <w:pPr>
              <w:jc w:val="center"/>
              <w:rPr>
                <w:rFonts w:hint="default"/>
                <w:color w:val="auto"/>
                <w:highlight w:val="none"/>
                <w:lang w:val="en-US" w:eastAsia="zh-CN"/>
              </w:rPr>
            </w:pPr>
            <w:r>
              <w:rPr>
                <w:rFonts w:hint="eastAsia"/>
                <w:color w:val="auto"/>
                <w:highlight w:val="none"/>
                <w:lang w:val="en-US" w:eastAsia="zh-CN"/>
              </w:rPr>
              <w:t>3</w:t>
            </w:r>
          </w:p>
        </w:tc>
      </w:tr>
      <w:tr w14:paraId="2C1A3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03" w:type="pct"/>
          </w:tcPr>
          <w:p w14:paraId="74C9A804">
            <w:pPr>
              <w:jc w:val="center"/>
              <w:rPr>
                <w:rFonts w:hint="eastAsia"/>
                <w:color w:val="auto"/>
                <w:highlight w:val="none"/>
                <w:lang w:val="en-US" w:eastAsia="zh-CN"/>
              </w:rPr>
            </w:pPr>
            <w:r>
              <w:rPr>
                <w:rFonts w:hint="eastAsia"/>
                <w:color w:val="auto"/>
                <w:highlight w:val="none"/>
                <w:lang w:val="en-US" w:eastAsia="zh-CN"/>
              </w:rPr>
              <w:t>4</w:t>
            </w:r>
          </w:p>
        </w:tc>
        <w:tc>
          <w:tcPr>
            <w:tcW w:w="972" w:type="pct"/>
          </w:tcPr>
          <w:p w14:paraId="7B7485C2">
            <w:pPr>
              <w:rPr>
                <w:rFonts w:hint="eastAsia"/>
                <w:color w:val="auto"/>
                <w:highlight w:val="none"/>
                <w:lang w:eastAsia="zh-CN"/>
              </w:rPr>
            </w:pPr>
            <w:r>
              <w:rPr>
                <w:rFonts w:hint="eastAsia"/>
                <w:color w:val="auto"/>
                <w:highlight w:val="none"/>
                <w:lang w:eastAsia="zh-CN"/>
              </w:rPr>
              <w:t>熔</w:t>
            </w:r>
            <w:r>
              <w:rPr>
                <w:rFonts w:hint="eastAsia"/>
                <w:color w:val="auto"/>
                <w:highlight w:val="none"/>
                <w:lang w:val="en-US" w:eastAsia="zh-CN"/>
              </w:rPr>
              <w:t>芯</w:t>
            </w:r>
          </w:p>
        </w:tc>
        <w:tc>
          <w:tcPr>
            <w:tcW w:w="2129" w:type="pct"/>
          </w:tcPr>
          <w:p w14:paraId="2224C8F4">
            <w:pPr>
              <w:rPr>
                <w:rFonts w:hint="default"/>
                <w:color w:val="auto"/>
                <w:highlight w:val="none"/>
                <w:lang w:val="en-US"/>
              </w:rPr>
            </w:pPr>
            <w:r>
              <w:rPr>
                <w:rFonts w:hint="eastAsia"/>
                <w:color w:val="auto"/>
                <w:highlight w:val="none"/>
                <w:lang w:val="en-US" w:eastAsia="zh-CN"/>
              </w:rPr>
              <w:t>XRNP1-40.5KV/1A-31.5KA</w:t>
            </w:r>
          </w:p>
        </w:tc>
        <w:tc>
          <w:tcPr>
            <w:tcW w:w="763" w:type="pct"/>
          </w:tcPr>
          <w:p w14:paraId="7418E716">
            <w:pPr>
              <w:rPr>
                <w:rFonts w:hint="default"/>
                <w:color w:val="auto"/>
                <w:highlight w:val="none"/>
                <w:lang w:val="en-US"/>
              </w:rPr>
            </w:pPr>
            <w:r>
              <w:rPr>
                <w:rFonts w:hint="eastAsia"/>
                <w:color w:val="auto"/>
                <w:highlight w:val="none"/>
                <w:lang w:val="en-US" w:eastAsia="zh-CN"/>
              </w:rPr>
              <w:t>西安西电</w:t>
            </w:r>
          </w:p>
        </w:tc>
        <w:tc>
          <w:tcPr>
            <w:tcW w:w="415" w:type="pct"/>
          </w:tcPr>
          <w:p w14:paraId="216EA400">
            <w:pPr>
              <w:jc w:val="center"/>
              <w:rPr>
                <w:rFonts w:hint="default"/>
                <w:color w:val="auto"/>
                <w:highlight w:val="none"/>
                <w:lang w:val="en-US" w:eastAsia="zh-CN"/>
              </w:rPr>
            </w:pPr>
            <w:r>
              <w:rPr>
                <w:rFonts w:hint="eastAsia"/>
                <w:color w:val="auto"/>
                <w:highlight w:val="none"/>
                <w:lang w:val="en-US" w:eastAsia="zh-CN"/>
              </w:rPr>
              <w:t>只</w:t>
            </w:r>
          </w:p>
        </w:tc>
        <w:tc>
          <w:tcPr>
            <w:tcW w:w="415" w:type="pct"/>
          </w:tcPr>
          <w:p w14:paraId="2A356262">
            <w:pPr>
              <w:jc w:val="center"/>
              <w:rPr>
                <w:rFonts w:hint="default"/>
                <w:color w:val="auto"/>
                <w:highlight w:val="none"/>
                <w:lang w:val="en-US" w:eastAsia="zh-CN"/>
              </w:rPr>
            </w:pPr>
            <w:r>
              <w:rPr>
                <w:rFonts w:hint="eastAsia"/>
                <w:color w:val="auto"/>
                <w:highlight w:val="none"/>
                <w:lang w:val="en-US" w:eastAsia="zh-CN"/>
              </w:rPr>
              <w:t>3</w:t>
            </w:r>
          </w:p>
        </w:tc>
      </w:tr>
      <w:tr w14:paraId="573D7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303" w:type="pct"/>
          </w:tcPr>
          <w:p w14:paraId="3E8B41D0">
            <w:pPr>
              <w:jc w:val="center"/>
              <w:rPr>
                <w:rFonts w:hint="eastAsia"/>
                <w:color w:val="auto"/>
                <w:highlight w:val="none"/>
                <w:lang w:val="en-US" w:eastAsia="zh-CN"/>
              </w:rPr>
            </w:pPr>
            <w:r>
              <w:rPr>
                <w:rFonts w:hint="eastAsia"/>
                <w:color w:val="auto"/>
                <w:highlight w:val="none"/>
                <w:lang w:val="en-US" w:eastAsia="zh-CN"/>
              </w:rPr>
              <w:t>5</w:t>
            </w:r>
          </w:p>
        </w:tc>
        <w:tc>
          <w:tcPr>
            <w:tcW w:w="972" w:type="pct"/>
          </w:tcPr>
          <w:p w14:paraId="3592F7D0">
            <w:pPr>
              <w:rPr>
                <w:rFonts w:hint="eastAsia"/>
                <w:color w:val="auto"/>
                <w:highlight w:val="none"/>
                <w:lang w:eastAsia="zh-CN"/>
              </w:rPr>
            </w:pPr>
            <w:r>
              <w:rPr>
                <w:rFonts w:hint="eastAsia"/>
                <w:color w:val="auto"/>
                <w:highlight w:val="none"/>
                <w:lang w:eastAsia="zh-CN"/>
              </w:rPr>
              <w:t>避雷器</w:t>
            </w:r>
          </w:p>
        </w:tc>
        <w:tc>
          <w:tcPr>
            <w:tcW w:w="2129" w:type="pct"/>
          </w:tcPr>
          <w:p w14:paraId="6B95C3CF">
            <w:pPr>
              <w:rPr>
                <w:rFonts w:hint="eastAsia"/>
                <w:color w:val="auto"/>
                <w:highlight w:val="none"/>
              </w:rPr>
            </w:pPr>
            <w:r>
              <w:rPr>
                <w:rFonts w:hint="eastAsia"/>
                <w:color w:val="auto"/>
                <w:highlight w:val="none"/>
                <w:lang w:eastAsia="zh-CN"/>
              </w:rPr>
              <w:t>HY5WZ-51/134</w:t>
            </w:r>
            <w:r>
              <w:rPr>
                <w:rFonts w:hint="eastAsia"/>
                <w:color w:val="auto"/>
                <w:highlight w:val="none"/>
                <w:lang w:val="en-US" w:eastAsia="zh-CN"/>
              </w:rPr>
              <w:t>Q</w:t>
            </w:r>
          </w:p>
        </w:tc>
        <w:tc>
          <w:tcPr>
            <w:tcW w:w="763" w:type="pct"/>
          </w:tcPr>
          <w:p w14:paraId="6A846AB4">
            <w:pPr>
              <w:rPr>
                <w:rFonts w:hint="default"/>
                <w:color w:val="auto"/>
                <w:highlight w:val="none"/>
                <w:lang w:val="en-US"/>
              </w:rPr>
            </w:pPr>
            <w:r>
              <w:rPr>
                <w:rFonts w:hint="eastAsia"/>
                <w:color w:val="auto"/>
                <w:highlight w:val="none"/>
                <w:lang w:val="en-US" w:eastAsia="zh-CN"/>
              </w:rPr>
              <w:t>西安神电</w:t>
            </w:r>
          </w:p>
        </w:tc>
        <w:tc>
          <w:tcPr>
            <w:tcW w:w="415" w:type="pct"/>
          </w:tcPr>
          <w:p w14:paraId="57937CCF">
            <w:pPr>
              <w:jc w:val="center"/>
              <w:rPr>
                <w:rFonts w:hint="default"/>
                <w:color w:val="auto"/>
                <w:highlight w:val="none"/>
                <w:lang w:val="en-US" w:eastAsia="zh-CN"/>
              </w:rPr>
            </w:pPr>
            <w:r>
              <w:rPr>
                <w:rFonts w:hint="eastAsia"/>
                <w:color w:val="auto"/>
                <w:highlight w:val="none"/>
                <w:lang w:val="en-US" w:eastAsia="zh-CN"/>
              </w:rPr>
              <w:t>只</w:t>
            </w:r>
          </w:p>
        </w:tc>
        <w:tc>
          <w:tcPr>
            <w:tcW w:w="415" w:type="pct"/>
          </w:tcPr>
          <w:p w14:paraId="382FB774">
            <w:pPr>
              <w:jc w:val="center"/>
              <w:rPr>
                <w:rFonts w:hint="default"/>
                <w:color w:val="auto"/>
                <w:highlight w:val="none"/>
                <w:lang w:val="en-US" w:eastAsia="zh-CN"/>
              </w:rPr>
            </w:pPr>
            <w:r>
              <w:rPr>
                <w:rFonts w:hint="eastAsia"/>
                <w:color w:val="auto"/>
                <w:highlight w:val="none"/>
                <w:lang w:val="en-US" w:eastAsia="zh-CN"/>
              </w:rPr>
              <w:t>3</w:t>
            </w:r>
          </w:p>
        </w:tc>
      </w:tr>
      <w:tr w14:paraId="7D787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03" w:type="pct"/>
            <w:vAlign w:val="center"/>
          </w:tcPr>
          <w:p w14:paraId="77481F57">
            <w:pPr>
              <w:jc w:val="center"/>
              <w:rPr>
                <w:rFonts w:hint="eastAsia"/>
                <w:color w:val="auto"/>
                <w:highlight w:val="none"/>
                <w:lang w:val="en-US" w:eastAsia="zh-CN"/>
              </w:rPr>
            </w:pPr>
            <w:r>
              <w:rPr>
                <w:rFonts w:hint="eastAsia"/>
                <w:color w:val="auto"/>
                <w:highlight w:val="none"/>
                <w:lang w:val="en-US" w:eastAsia="zh-CN"/>
              </w:rPr>
              <w:t>6</w:t>
            </w:r>
          </w:p>
        </w:tc>
        <w:tc>
          <w:tcPr>
            <w:tcW w:w="972" w:type="pct"/>
            <w:vAlign w:val="center"/>
          </w:tcPr>
          <w:p w14:paraId="79D2A20E">
            <w:pPr>
              <w:rPr>
                <w:rFonts w:hint="eastAsia"/>
                <w:color w:val="auto"/>
                <w:highlight w:val="none"/>
                <w:lang w:eastAsia="zh-CN"/>
              </w:rPr>
            </w:pPr>
            <w:r>
              <w:rPr>
                <w:rFonts w:hint="eastAsia"/>
                <w:color w:val="auto"/>
                <w:highlight w:val="none"/>
                <w:lang w:val="en-US" w:eastAsia="zh-CN"/>
              </w:rPr>
              <w:t>无线测温装置</w:t>
            </w:r>
          </w:p>
        </w:tc>
        <w:tc>
          <w:tcPr>
            <w:tcW w:w="2129" w:type="pct"/>
            <w:vAlign w:val="center"/>
          </w:tcPr>
          <w:p w14:paraId="604D6F26">
            <w:pPr>
              <w:rPr>
                <w:rFonts w:hint="eastAsia"/>
                <w:color w:val="auto"/>
                <w:highlight w:val="none"/>
                <w:lang w:eastAsia="zh-CN"/>
              </w:rPr>
            </w:pPr>
            <w:r>
              <w:rPr>
                <w:rFonts w:hint="eastAsia"/>
                <w:color w:val="auto"/>
                <w:highlight w:val="none"/>
                <w:lang w:val="en-US" w:eastAsia="zh-CN"/>
              </w:rPr>
              <w:t>MCW-300TA-6</w:t>
            </w:r>
          </w:p>
        </w:tc>
        <w:tc>
          <w:tcPr>
            <w:tcW w:w="763" w:type="pct"/>
            <w:vAlign w:val="center"/>
          </w:tcPr>
          <w:p w14:paraId="5CC4B797">
            <w:pPr>
              <w:rPr>
                <w:rFonts w:hint="eastAsia"/>
                <w:color w:val="auto"/>
                <w:highlight w:val="none"/>
                <w:lang w:val="en-US" w:eastAsia="zh-CN"/>
              </w:rPr>
            </w:pPr>
            <w:r>
              <w:rPr>
                <w:rFonts w:hint="eastAsia"/>
                <w:color w:val="auto"/>
                <w:highlight w:val="none"/>
                <w:lang w:val="en-US" w:eastAsia="zh-CN"/>
              </w:rPr>
              <w:t>白云电气</w:t>
            </w:r>
          </w:p>
        </w:tc>
        <w:tc>
          <w:tcPr>
            <w:tcW w:w="415" w:type="pct"/>
            <w:vAlign w:val="center"/>
          </w:tcPr>
          <w:p w14:paraId="7BCEA1BA">
            <w:pPr>
              <w:jc w:val="center"/>
              <w:rPr>
                <w:rFonts w:hint="eastAsia"/>
                <w:color w:val="auto"/>
                <w:highlight w:val="none"/>
                <w:lang w:val="en-US" w:eastAsia="zh-CN"/>
              </w:rPr>
            </w:pPr>
            <w:r>
              <w:rPr>
                <w:rFonts w:hint="eastAsia"/>
                <w:color w:val="auto"/>
                <w:highlight w:val="none"/>
                <w:lang w:val="en-US" w:eastAsia="zh-CN"/>
              </w:rPr>
              <w:t>台</w:t>
            </w:r>
          </w:p>
        </w:tc>
        <w:tc>
          <w:tcPr>
            <w:tcW w:w="415" w:type="pct"/>
            <w:vAlign w:val="center"/>
          </w:tcPr>
          <w:p w14:paraId="54AAE2BD">
            <w:pPr>
              <w:jc w:val="center"/>
              <w:rPr>
                <w:rFonts w:hint="eastAsia"/>
                <w:color w:val="auto"/>
                <w:highlight w:val="none"/>
                <w:lang w:val="en-US" w:eastAsia="zh-CN"/>
              </w:rPr>
            </w:pPr>
            <w:r>
              <w:rPr>
                <w:rFonts w:hint="eastAsia"/>
                <w:color w:val="auto"/>
                <w:highlight w:val="none"/>
                <w:lang w:val="en-US" w:eastAsia="zh-CN"/>
              </w:rPr>
              <w:t>1</w:t>
            </w:r>
          </w:p>
        </w:tc>
      </w:tr>
      <w:tr w14:paraId="5E659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303" w:type="pct"/>
            <w:vAlign w:val="center"/>
          </w:tcPr>
          <w:p w14:paraId="6E5C5C31">
            <w:pPr>
              <w:jc w:val="center"/>
              <w:rPr>
                <w:rFonts w:hint="eastAsia"/>
                <w:color w:val="auto"/>
                <w:highlight w:val="none"/>
                <w:lang w:val="en-US" w:eastAsia="zh-CN"/>
              </w:rPr>
            </w:pPr>
            <w:r>
              <w:rPr>
                <w:rFonts w:hint="eastAsia"/>
                <w:color w:val="auto"/>
                <w:highlight w:val="none"/>
                <w:lang w:val="en-US" w:eastAsia="zh-CN"/>
              </w:rPr>
              <w:t>7</w:t>
            </w:r>
          </w:p>
        </w:tc>
        <w:tc>
          <w:tcPr>
            <w:tcW w:w="972" w:type="pct"/>
            <w:vAlign w:val="center"/>
          </w:tcPr>
          <w:p w14:paraId="172EE47C">
            <w:pPr>
              <w:rPr>
                <w:rFonts w:hint="eastAsia"/>
                <w:color w:val="auto"/>
                <w:highlight w:val="none"/>
                <w:lang w:eastAsia="zh-CN"/>
              </w:rPr>
            </w:pPr>
            <w:r>
              <w:rPr>
                <w:rFonts w:hint="eastAsia"/>
                <w:color w:val="auto"/>
                <w:highlight w:val="none"/>
                <w:lang w:val="en-US" w:eastAsia="zh-CN"/>
              </w:rPr>
              <w:t>温湿度控制装置</w:t>
            </w:r>
          </w:p>
        </w:tc>
        <w:tc>
          <w:tcPr>
            <w:tcW w:w="2129" w:type="pct"/>
            <w:vAlign w:val="center"/>
          </w:tcPr>
          <w:p w14:paraId="4735FC6B">
            <w:pPr>
              <w:rPr>
                <w:rFonts w:hint="eastAsia"/>
                <w:color w:val="auto"/>
                <w:highlight w:val="none"/>
                <w:lang w:eastAsia="zh-CN"/>
              </w:rPr>
            </w:pPr>
            <w:r>
              <w:rPr>
                <w:rFonts w:hint="eastAsia"/>
                <w:color w:val="auto"/>
                <w:highlight w:val="none"/>
                <w:lang w:val="en-US" w:eastAsia="zh-CN"/>
              </w:rPr>
              <w:t>MCD30C-WS1(ND)-J-C</w:t>
            </w:r>
          </w:p>
        </w:tc>
        <w:tc>
          <w:tcPr>
            <w:tcW w:w="763" w:type="pct"/>
            <w:vAlign w:val="center"/>
          </w:tcPr>
          <w:p w14:paraId="30A1D391">
            <w:pPr>
              <w:rPr>
                <w:rFonts w:hint="eastAsia"/>
                <w:color w:val="auto"/>
                <w:highlight w:val="none"/>
                <w:lang w:val="en-US" w:eastAsia="zh-CN"/>
              </w:rPr>
            </w:pPr>
            <w:r>
              <w:rPr>
                <w:rFonts w:hint="eastAsia"/>
                <w:color w:val="auto"/>
                <w:highlight w:val="none"/>
                <w:lang w:val="en-US" w:eastAsia="zh-CN"/>
              </w:rPr>
              <w:t>白云电气</w:t>
            </w:r>
          </w:p>
        </w:tc>
        <w:tc>
          <w:tcPr>
            <w:tcW w:w="415" w:type="pct"/>
            <w:vAlign w:val="center"/>
          </w:tcPr>
          <w:p w14:paraId="227196A6">
            <w:pPr>
              <w:jc w:val="center"/>
              <w:rPr>
                <w:rFonts w:hint="eastAsia"/>
                <w:color w:val="auto"/>
                <w:highlight w:val="none"/>
                <w:lang w:val="en-US" w:eastAsia="zh-CN"/>
              </w:rPr>
            </w:pPr>
            <w:r>
              <w:rPr>
                <w:rFonts w:hint="eastAsia"/>
                <w:color w:val="auto"/>
                <w:highlight w:val="none"/>
                <w:lang w:val="en-US" w:eastAsia="zh-CN"/>
              </w:rPr>
              <w:t>台</w:t>
            </w:r>
          </w:p>
        </w:tc>
        <w:tc>
          <w:tcPr>
            <w:tcW w:w="415" w:type="pct"/>
            <w:vAlign w:val="center"/>
          </w:tcPr>
          <w:p w14:paraId="6F76A010">
            <w:pPr>
              <w:jc w:val="center"/>
              <w:rPr>
                <w:rFonts w:hint="eastAsia"/>
                <w:color w:val="auto"/>
                <w:highlight w:val="none"/>
                <w:lang w:val="en-US" w:eastAsia="zh-CN"/>
              </w:rPr>
            </w:pPr>
            <w:r>
              <w:rPr>
                <w:rFonts w:hint="eastAsia"/>
                <w:color w:val="auto"/>
                <w:highlight w:val="none"/>
                <w:lang w:val="en-US" w:eastAsia="zh-CN"/>
              </w:rPr>
              <w:t>1</w:t>
            </w:r>
          </w:p>
        </w:tc>
      </w:tr>
      <w:tr w14:paraId="1C532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303" w:type="pct"/>
            <w:vAlign w:val="center"/>
          </w:tcPr>
          <w:p w14:paraId="0FC288C1">
            <w:pPr>
              <w:jc w:val="center"/>
              <w:rPr>
                <w:rFonts w:hint="eastAsia"/>
                <w:color w:val="auto"/>
                <w:highlight w:val="none"/>
                <w:lang w:val="en-US" w:eastAsia="zh-CN"/>
              </w:rPr>
            </w:pPr>
            <w:r>
              <w:rPr>
                <w:rFonts w:hint="eastAsia"/>
                <w:color w:val="auto"/>
                <w:highlight w:val="none"/>
                <w:lang w:val="en-US" w:eastAsia="zh-CN"/>
              </w:rPr>
              <w:t>8</w:t>
            </w:r>
          </w:p>
        </w:tc>
        <w:tc>
          <w:tcPr>
            <w:tcW w:w="972" w:type="pct"/>
            <w:vAlign w:val="center"/>
          </w:tcPr>
          <w:p w14:paraId="1B8674C5">
            <w:pPr>
              <w:rPr>
                <w:rFonts w:hint="eastAsia"/>
                <w:color w:val="auto"/>
                <w:highlight w:val="none"/>
                <w:lang w:eastAsia="zh-CN"/>
              </w:rPr>
            </w:pPr>
            <w:r>
              <w:rPr>
                <w:rFonts w:hint="eastAsia"/>
                <w:color w:val="auto"/>
                <w:highlight w:val="none"/>
                <w:lang w:val="en-US" w:eastAsia="zh-CN"/>
              </w:rPr>
              <w:t>开关柜智能操控装置</w:t>
            </w:r>
          </w:p>
        </w:tc>
        <w:tc>
          <w:tcPr>
            <w:tcW w:w="2129" w:type="pct"/>
            <w:vAlign w:val="center"/>
          </w:tcPr>
          <w:p w14:paraId="7DC0DE74">
            <w:pPr>
              <w:rPr>
                <w:rFonts w:hint="eastAsia"/>
                <w:color w:val="auto"/>
                <w:highlight w:val="none"/>
                <w:lang w:eastAsia="zh-CN"/>
              </w:rPr>
            </w:pPr>
            <w:r>
              <w:rPr>
                <w:rFonts w:hint="eastAsia"/>
                <w:color w:val="auto"/>
                <w:highlight w:val="none"/>
                <w:lang w:val="en-US" w:eastAsia="zh-CN"/>
              </w:rPr>
              <w:t>MCK-5000B</w:t>
            </w:r>
          </w:p>
        </w:tc>
        <w:tc>
          <w:tcPr>
            <w:tcW w:w="763" w:type="pct"/>
            <w:vAlign w:val="center"/>
          </w:tcPr>
          <w:p w14:paraId="37051052">
            <w:pPr>
              <w:rPr>
                <w:rFonts w:hint="eastAsia"/>
                <w:color w:val="auto"/>
                <w:highlight w:val="none"/>
                <w:lang w:val="en-US" w:eastAsia="zh-CN"/>
              </w:rPr>
            </w:pPr>
            <w:r>
              <w:rPr>
                <w:rFonts w:hint="eastAsia"/>
                <w:color w:val="auto"/>
                <w:highlight w:val="none"/>
                <w:lang w:val="en-US" w:eastAsia="zh-CN"/>
              </w:rPr>
              <w:t>白云电气</w:t>
            </w:r>
          </w:p>
        </w:tc>
        <w:tc>
          <w:tcPr>
            <w:tcW w:w="415" w:type="pct"/>
            <w:vAlign w:val="center"/>
          </w:tcPr>
          <w:p w14:paraId="76F150DF">
            <w:pPr>
              <w:jc w:val="center"/>
              <w:rPr>
                <w:rFonts w:hint="eastAsia"/>
                <w:color w:val="auto"/>
                <w:highlight w:val="none"/>
                <w:lang w:val="en-US" w:eastAsia="zh-CN"/>
              </w:rPr>
            </w:pPr>
            <w:r>
              <w:rPr>
                <w:rFonts w:hint="eastAsia"/>
                <w:color w:val="auto"/>
                <w:highlight w:val="none"/>
                <w:lang w:val="en-US" w:eastAsia="zh-CN"/>
              </w:rPr>
              <w:t>台</w:t>
            </w:r>
          </w:p>
        </w:tc>
        <w:tc>
          <w:tcPr>
            <w:tcW w:w="415" w:type="pct"/>
            <w:vAlign w:val="center"/>
          </w:tcPr>
          <w:p w14:paraId="3548CB49">
            <w:pPr>
              <w:jc w:val="center"/>
              <w:rPr>
                <w:rFonts w:hint="eastAsia"/>
                <w:color w:val="auto"/>
                <w:highlight w:val="none"/>
                <w:lang w:val="en-US" w:eastAsia="zh-CN"/>
              </w:rPr>
            </w:pPr>
            <w:r>
              <w:rPr>
                <w:rFonts w:hint="eastAsia"/>
                <w:color w:val="auto"/>
                <w:highlight w:val="none"/>
                <w:lang w:val="en-US" w:eastAsia="zh-CN"/>
              </w:rPr>
              <w:t>1</w:t>
            </w:r>
          </w:p>
        </w:tc>
      </w:tr>
      <w:tr w14:paraId="135B8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303" w:type="pct"/>
            <w:vAlign w:val="center"/>
          </w:tcPr>
          <w:p w14:paraId="34E609F7">
            <w:pPr>
              <w:jc w:val="center"/>
              <w:rPr>
                <w:rFonts w:hint="eastAsia"/>
                <w:color w:val="auto"/>
                <w:highlight w:val="none"/>
                <w:lang w:val="en-US" w:eastAsia="zh-CN"/>
              </w:rPr>
            </w:pPr>
            <w:r>
              <w:rPr>
                <w:rFonts w:hint="eastAsia"/>
                <w:color w:val="auto"/>
                <w:highlight w:val="none"/>
                <w:lang w:val="en-US" w:eastAsia="zh-CN"/>
              </w:rPr>
              <w:t>9</w:t>
            </w:r>
          </w:p>
        </w:tc>
        <w:tc>
          <w:tcPr>
            <w:tcW w:w="972" w:type="pct"/>
            <w:vAlign w:val="center"/>
          </w:tcPr>
          <w:p w14:paraId="1E805D0F">
            <w:pPr>
              <w:rPr>
                <w:rFonts w:hint="eastAsia"/>
                <w:color w:val="auto"/>
                <w:highlight w:val="none"/>
                <w:lang w:eastAsia="zh-CN"/>
              </w:rPr>
            </w:pPr>
            <w:r>
              <w:rPr>
                <w:rFonts w:hint="eastAsia"/>
                <w:color w:val="auto"/>
                <w:highlight w:val="none"/>
                <w:lang w:val="en-US" w:eastAsia="zh-CN"/>
              </w:rPr>
              <w:t>高压带电显示装置</w:t>
            </w:r>
          </w:p>
        </w:tc>
        <w:tc>
          <w:tcPr>
            <w:tcW w:w="2129" w:type="pct"/>
            <w:vAlign w:val="center"/>
          </w:tcPr>
          <w:p w14:paraId="26095092">
            <w:pPr>
              <w:rPr>
                <w:rFonts w:hint="eastAsia"/>
                <w:color w:val="auto"/>
                <w:highlight w:val="none"/>
                <w:lang w:eastAsia="zh-CN"/>
              </w:rPr>
            </w:pPr>
            <w:r>
              <w:rPr>
                <w:rFonts w:hint="eastAsia"/>
                <w:color w:val="auto"/>
                <w:highlight w:val="none"/>
                <w:lang w:val="en-US" w:eastAsia="zh-CN"/>
              </w:rPr>
              <w:t>GSNE1-40.5/Q2HYZ AC/DC220</w:t>
            </w:r>
          </w:p>
        </w:tc>
        <w:tc>
          <w:tcPr>
            <w:tcW w:w="763" w:type="pct"/>
            <w:vAlign w:val="center"/>
          </w:tcPr>
          <w:p w14:paraId="56BABBBF">
            <w:pPr>
              <w:rPr>
                <w:rFonts w:hint="eastAsia"/>
                <w:color w:val="auto"/>
                <w:highlight w:val="none"/>
                <w:lang w:val="en-US" w:eastAsia="zh-CN"/>
              </w:rPr>
            </w:pPr>
            <w:r>
              <w:rPr>
                <w:rFonts w:hint="eastAsia"/>
                <w:color w:val="auto"/>
                <w:highlight w:val="none"/>
                <w:lang w:val="en-US" w:eastAsia="zh-CN"/>
              </w:rPr>
              <w:t>江门玄宇</w:t>
            </w:r>
          </w:p>
        </w:tc>
        <w:tc>
          <w:tcPr>
            <w:tcW w:w="415" w:type="pct"/>
            <w:vAlign w:val="center"/>
          </w:tcPr>
          <w:p w14:paraId="323D9383">
            <w:pPr>
              <w:jc w:val="center"/>
              <w:rPr>
                <w:rFonts w:hint="eastAsia"/>
                <w:color w:val="auto"/>
                <w:highlight w:val="none"/>
                <w:lang w:val="en-US" w:eastAsia="zh-CN"/>
              </w:rPr>
            </w:pPr>
            <w:r>
              <w:rPr>
                <w:rFonts w:hint="eastAsia"/>
                <w:color w:val="auto"/>
                <w:highlight w:val="none"/>
                <w:lang w:val="en-US" w:eastAsia="zh-CN"/>
              </w:rPr>
              <w:t>套</w:t>
            </w:r>
          </w:p>
        </w:tc>
        <w:tc>
          <w:tcPr>
            <w:tcW w:w="415" w:type="pct"/>
            <w:vAlign w:val="center"/>
          </w:tcPr>
          <w:p w14:paraId="04C8AF3B">
            <w:pPr>
              <w:jc w:val="center"/>
              <w:rPr>
                <w:rFonts w:hint="eastAsia"/>
                <w:color w:val="auto"/>
                <w:highlight w:val="none"/>
                <w:lang w:val="en-US" w:eastAsia="zh-CN"/>
              </w:rPr>
            </w:pPr>
            <w:r>
              <w:rPr>
                <w:rFonts w:hint="eastAsia"/>
                <w:color w:val="auto"/>
                <w:highlight w:val="none"/>
                <w:lang w:val="en-US" w:eastAsia="zh-CN"/>
              </w:rPr>
              <w:t>1</w:t>
            </w:r>
          </w:p>
        </w:tc>
      </w:tr>
      <w:tr w14:paraId="44326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303" w:type="pct"/>
          </w:tcPr>
          <w:p w14:paraId="23C8D0EC">
            <w:pPr>
              <w:jc w:val="center"/>
              <w:rPr>
                <w:rFonts w:hint="default"/>
                <w:color w:val="auto"/>
                <w:highlight w:val="none"/>
                <w:lang w:val="en-US" w:eastAsia="zh-CN"/>
              </w:rPr>
            </w:pPr>
            <w:r>
              <w:rPr>
                <w:rFonts w:hint="eastAsia"/>
                <w:color w:val="auto"/>
                <w:highlight w:val="none"/>
                <w:lang w:val="en-US" w:eastAsia="zh-CN"/>
              </w:rPr>
              <w:t>10</w:t>
            </w:r>
          </w:p>
        </w:tc>
        <w:tc>
          <w:tcPr>
            <w:tcW w:w="972" w:type="pct"/>
          </w:tcPr>
          <w:p w14:paraId="4EC05BBB">
            <w:pPr>
              <w:rPr>
                <w:rFonts w:hint="default"/>
                <w:color w:val="auto"/>
                <w:highlight w:val="none"/>
                <w:lang w:val="en-US" w:eastAsia="zh-CN"/>
              </w:rPr>
            </w:pPr>
            <w:r>
              <w:rPr>
                <w:rFonts w:hint="eastAsia"/>
                <w:color w:val="auto"/>
                <w:highlight w:val="none"/>
                <w:lang w:val="en-US" w:eastAsia="zh-CN"/>
              </w:rPr>
              <w:t>微机消谐装置</w:t>
            </w:r>
          </w:p>
        </w:tc>
        <w:tc>
          <w:tcPr>
            <w:tcW w:w="2129" w:type="pct"/>
          </w:tcPr>
          <w:p w14:paraId="243091CD">
            <w:pPr>
              <w:rPr>
                <w:rFonts w:hint="default"/>
                <w:color w:val="auto"/>
                <w:highlight w:val="none"/>
                <w:lang w:val="en-US"/>
              </w:rPr>
            </w:pPr>
            <w:r>
              <w:rPr>
                <w:rFonts w:hint="eastAsia"/>
                <w:color w:val="auto"/>
                <w:highlight w:val="none"/>
                <w:lang w:val="en-US" w:eastAsia="zh-CN"/>
              </w:rPr>
              <w:t>HYD-XX-1</w:t>
            </w:r>
          </w:p>
        </w:tc>
        <w:tc>
          <w:tcPr>
            <w:tcW w:w="763" w:type="pct"/>
          </w:tcPr>
          <w:p w14:paraId="2ECD3947">
            <w:pPr>
              <w:rPr>
                <w:rFonts w:hint="default"/>
                <w:color w:val="auto"/>
                <w:highlight w:val="none"/>
                <w:lang w:val="en-US" w:eastAsia="zh-CN"/>
              </w:rPr>
            </w:pPr>
            <w:r>
              <w:rPr>
                <w:rFonts w:hint="eastAsia"/>
                <w:color w:val="auto"/>
                <w:highlight w:val="none"/>
                <w:lang w:val="en-US" w:eastAsia="zh-CN"/>
              </w:rPr>
              <w:t>安徽恒凯</w:t>
            </w:r>
          </w:p>
        </w:tc>
        <w:tc>
          <w:tcPr>
            <w:tcW w:w="415" w:type="pct"/>
          </w:tcPr>
          <w:p w14:paraId="7A97B055">
            <w:pPr>
              <w:jc w:val="center"/>
              <w:rPr>
                <w:rFonts w:hint="default"/>
                <w:color w:val="auto"/>
                <w:highlight w:val="none"/>
                <w:lang w:val="en-US" w:eastAsia="zh-CN"/>
              </w:rPr>
            </w:pPr>
            <w:r>
              <w:rPr>
                <w:rFonts w:hint="eastAsia"/>
                <w:color w:val="auto"/>
                <w:highlight w:val="none"/>
                <w:lang w:val="en-US" w:eastAsia="zh-CN"/>
              </w:rPr>
              <w:t>台</w:t>
            </w:r>
          </w:p>
        </w:tc>
        <w:tc>
          <w:tcPr>
            <w:tcW w:w="415" w:type="pct"/>
          </w:tcPr>
          <w:p w14:paraId="797FD461">
            <w:pPr>
              <w:jc w:val="center"/>
              <w:rPr>
                <w:rFonts w:hint="default"/>
                <w:color w:val="auto"/>
                <w:highlight w:val="none"/>
                <w:lang w:val="en-US" w:eastAsia="zh-CN"/>
              </w:rPr>
            </w:pPr>
            <w:r>
              <w:rPr>
                <w:rFonts w:hint="eastAsia"/>
                <w:color w:val="auto"/>
                <w:highlight w:val="none"/>
                <w:lang w:val="en-US" w:eastAsia="zh-CN"/>
              </w:rPr>
              <w:t>1</w:t>
            </w:r>
          </w:p>
        </w:tc>
      </w:tr>
      <w:tr w14:paraId="3498A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303" w:type="pct"/>
          </w:tcPr>
          <w:p w14:paraId="22521B5F">
            <w:pPr>
              <w:jc w:val="center"/>
              <w:rPr>
                <w:rFonts w:hint="default"/>
                <w:color w:val="auto"/>
                <w:highlight w:val="none"/>
                <w:lang w:val="en-US" w:eastAsia="zh-CN"/>
              </w:rPr>
            </w:pPr>
            <w:r>
              <w:rPr>
                <w:rFonts w:hint="eastAsia"/>
                <w:color w:val="auto"/>
                <w:highlight w:val="none"/>
                <w:lang w:val="en-US" w:eastAsia="zh-CN"/>
              </w:rPr>
              <w:t>11</w:t>
            </w:r>
          </w:p>
        </w:tc>
        <w:tc>
          <w:tcPr>
            <w:tcW w:w="972" w:type="pct"/>
          </w:tcPr>
          <w:p w14:paraId="071EE590">
            <w:pPr>
              <w:rPr>
                <w:rFonts w:hint="default"/>
                <w:color w:val="auto"/>
                <w:highlight w:val="none"/>
                <w:lang w:val="en-US" w:eastAsia="zh-CN"/>
              </w:rPr>
            </w:pPr>
            <w:r>
              <w:rPr>
                <w:rFonts w:hint="eastAsia"/>
                <w:color w:val="auto"/>
                <w:highlight w:val="none"/>
                <w:lang w:val="en-US" w:eastAsia="zh-CN"/>
              </w:rPr>
              <w:t>一次消谐器</w:t>
            </w:r>
          </w:p>
        </w:tc>
        <w:tc>
          <w:tcPr>
            <w:tcW w:w="2129" w:type="pct"/>
          </w:tcPr>
          <w:p w14:paraId="7BCE8956">
            <w:pPr>
              <w:rPr>
                <w:rFonts w:hint="default"/>
                <w:color w:val="auto"/>
                <w:highlight w:val="none"/>
                <w:lang w:val="en-US"/>
              </w:rPr>
            </w:pPr>
            <w:r>
              <w:rPr>
                <w:rFonts w:hint="eastAsia"/>
                <w:color w:val="auto"/>
                <w:highlight w:val="none"/>
                <w:lang w:eastAsia="zh-CN"/>
              </w:rPr>
              <w:t>LXQ</w:t>
            </w:r>
            <w:r>
              <w:rPr>
                <w:rFonts w:hint="eastAsia"/>
                <w:color w:val="auto"/>
                <w:highlight w:val="none"/>
                <w:lang w:val="en-US" w:eastAsia="zh-CN"/>
              </w:rPr>
              <w:t xml:space="preserve"> III-35</w:t>
            </w:r>
          </w:p>
        </w:tc>
        <w:tc>
          <w:tcPr>
            <w:tcW w:w="763" w:type="pct"/>
          </w:tcPr>
          <w:p w14:paraId="6B50FE3F">
            <w:pPr>
              <w:rPr>
                <w:rFonts w:hint="default"/>
                <w:color w:val="auto"/>
                <w:highlight w:val="none"/>
                <w:lang w:val="en-US"/>
              </w:rPr>
            </w:pPr>
            <w:r>
              <w:rPr>
                <w:rFonts w:hint="eastAsia"/>
                <w:color w:val="auto"/>
                <w:highlight w:val="none"/>
                <w:lang w:val="en-US" w:eastAsia="zh-CN"/>
              </w:rPr>
              <w:t>能讯电气</w:t>
            </w:r>
          </w:p>
        </w:tc>
        <w:tc>
          <w:tcPr>
            <w:tcW w:w="415" w:type="pct"/>
          </w:tcPr>
          <w:p w14:paraId="52710DB5">
            <w:pPr>
              <w:jc w:val="center"/>
              <w:rPr>
                <w:rFonts w:hint="default"/>
                <w:color w:val="auto"/>
                <w:highlight w:val="none"/>
                <w:lang w:val="en-US" w:eastAsia="zh-CN"/>
              </w:rPr>
            </w:pPr>
            <w:r>
              <w:rPr>
                <w:rFonts w:hint="eastAsia"/>
                <w:color w:val="auto"/>
                <w:highlight w:val="none"/>
                <w:lang w:val="en-US" w:eastAsia="zh-CN"/>
              </w:rPr>
              <w:t>只</w:t>
            </w:r>
          </w:p>
        </w:tc>
        <w:tc>
          <w:tcPr>
            <w:tcW w:w="415" w:type="pct"/>
          </w:tcPr>
          <w:p w14:paraId="68D3AF33">
            <w:pPr>
              <w:jc w:val="center"/>
              <w:rPr>
                <w:rFonts w:hint="default"/>
                <w:color w:val="auto"/>
                <w:highlight w:val="none"/>
                <w:lang w:val="en-US" w:eastAsia="zh-CN"/>
              </w:rPr>
            </w:pPr>
            <w:r>
              <w:rPr>
                <w:rFonts w:hint="eastAsia"/>
                <w:color w:val="auto"/>
                <w:highlight w:val="none"/>
                <w:lang w:val="en-US" w:eastAsia="zh-CN"/>
              </w:rPr>
              <w:t>1</w:t>
            </w:r>
          </w:p>
        </w:tc>
      </w:tr>
      <w:tr w14:paraId="21E5D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303" w:type="pct"/>
          </w:tcPr>
          <w:p w14:paraId="02413623">
            <w:pPr>
              <w:jc w:val="center"/>
              <w:rPr>
                <w:rFonts w:hint="default"/>
                <w:color w:val="auto"/>
                <w:highlight w:val="none"/>
                <w:lang w:val="en-US" w:eastAsia="zh-CN"/>
              </w:rPr>
            </w:pPr>
            <w:r>
              <w:rPr>
                <w:rFonts w:hint="eastAsia"/>
                <w:color w:val="auto"/>
                <w:highlight w:val="none"/>
                <w:lang w:val="en-US" w:eastAsia="zh-CN"/>
              </w:rPr>
              <w:t>12</w:t>
            </w:r>
          </w:p>
        </w:tc>
        <w:tc>
          <w:tcPr>
            <w:tcW w:w="972" w:type="pct"/>
          </w:tcPr>
          <w:p w14:paraId="10C92620">
            <w:pPr>
              <w:rPr>
                <w:rFonts w:hint="default"/>
                <w:color w:val="auto"/>
                <w:highlight w:val="none"/>
                <w:lang w:val="en-US" w:eastAsia="zh-CN"/>
              </w:rPr>
            </w:pPr>
            <w:r>
              <w:rPr>
                <w:rFonts w:hint="eastAsia"/>
                <w:color w:val="auto"/>
                <w:highlight w:val="none"/>
                <w:lang w:val="en-US" w:eastAsia="zh-CN"/>
              </w:rPr>
              <w:t>铜母线</w:t>
            </w:r>
          </w:p>
        </w:tc>
        <w:tc>
          <w:tcPr>
            <w:tcW w:w="2129" w:type="pct"/>
          </w:tcPr>
          <w:p w14:paraId="0C539607">
            <w:pPr>
              <w:rPr>
                <w:rFonts w:hint="default"/>
                <w:color w:val="auto"/>
                <w:highlight w:val="none"/>
                <w:lang w:val="en-US" w:eastAsia="zh-CN"/>
              </w:rPr>
            </w:pPr>
            <w:r>
              <w:rPr>
                <w:rFonts w:hint="eastAsia"/>
                <w:color w:val="auto"/>
                <w:highlight w:val="none"/>
                <w:lang w:val="en-US" w:eastAsia="zh-CN"/>
              </w:rPr>
              <w:t>铜母线TMY</w:t>
            </w:r>
          </w:p>
        </w:tc>
        <w:tc>
          <w:tcPr>
            <w:tcW w:w="763" w:type="pct"/>
          </w:tcPr>
          <w:p w14:paraId="75528354">
            <w:pPr>
              <w:rPr>
                <w:rFonts w:hint="default"/>
                <w:color w:val="auto"/>
                <w:highlight w:val="none"/>
                <w:lang w:val="en-US" w:eastAsia="zh-CN"/>
              </w:rPr>
            </w:pPr>
            <w:r>
              <w:rPr>
                <w:rFonts w:hint="eastAsia"/>
                <w:color w:val="auto"/>
                <w:highlight w:val="none"/>
                <w:lang w:val="en-US" w:eastAsia="zh-CN"/>
              </w:rPr>
              <w:t>韶关明德</w:t>
            </w:r>
          </w:p>
        </w:tc>
        <w:tc>
          <w:tcPr>
            <w:tcW w:w="415" w:type="pct"/>
          </w:tcPr>
          <w:p w14:paraId="74C25610">
            <w:pPr>
              <w:jc w:val="center"/>
              <w:rPr>
                <w:rFonts w:hint="default"/>
                <w:color w:val="auto"/>
                <w:highlight w:val="none"/>
                <w:lang w:val="en-US" w:eastAsia="zh-CN"/>
              </w:rPr>
            </w:pPr>
            <w:r>
              <w:rPr>
                <w:rFonts w:hint="eastAsia"/>
                <w:color w:val="auto"/>
                <w:highlight w:val="none"/>
                <w:lang w:val="en-US" w:eastAsia="zh-CN"/>
              </w:rPr>
              <w:t>套</w:t>
            </w:r>
          </w:p>
        </w:tc>
        <w:tc>
          <w:tcPr>
            <w:tcW w:w="415" w:type="pct"/>
          </w:tcPr>
          <w:p w14:paraId="7D6BE433">
            <w:pPr>
              <w:jc w:val="center"/>
              <w:rPr>
                <w:rFonts w:hint="default"/>
                <w:color w:val="auto"/>
                <w:highlight w:val="none"/>
                <w:lang w:val="en-US" w:eastAsia="zh-CN"/>
              </w:rPr>
            </w:pPr>
            <w:r>
              <w:rPr>
                <w:rFonts w:hint="eastAsia"/>
                <w:color w:val="auto"/>
                <w:highlight w:val="none"/>
                <w:lang w:val="en-US" w:eastAsia="zh-CN"/>
              </w:rPr>
              <w:t>1</w:t>
            </w:r>
          </w:p>
        </w:tc>
      </w:tr>
      <w:tr w14:paraId="24481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303" w:type="pct"/>
            <w:shd w:val="clear" w:color="auto" w:fill="auto"/>
            <w:vAlign w:val="top"/>
          </w:tcPr>
          <w:p w14:paraId="465EE678">
            <w:pPr>
              <w:jc w:val="center"/>
              <w:rPr>
                <w:rFonts w:hint="default"/>
                <w:color w:val="auto"/>
                <w:highlight w:val="none"/>
                <w:lang w:val="en-US" w:eastAsia="zh-CN"/>
              </w:rPr>
            </w:pPr>
            <w:r>
              <w:rPr>
                <w:rFonts w:hint="eastAsia"/>
                <w:color w:val="auto"/>
                <w:highlight w:val="none"/>
                <w:lang w:val="en-US" w:eastAsia="zh-CN"/>
              </w:rPr>
              <w:t>13</w:t>
            </w:r>
          </w:p>
        </w:tc>
        <w:tc>
          <w:tcPr>
            <w:tcW w:w="972" w:type="pct"/>
            <w:shd w:val="clear" w:color="auto" w:fill="auto"/>
            <w:vAlign w:val="top"/>
          </w:tcPr>
          <w:p w14:paraId="4823429E">
            <w:pPr>
              <w:rPr>
                <w:rFonts w:hint="eastAsia"/>
                <w:color w:val="auto"/>
                <w:highlight w:val="none"/>
              </w:rPr>
            </w:pPr>
            <w:r>
              <w:rPr>
                <w:rFonts w:hint="eastAsia"/>
                <w:color w:val="auto"/>
                <w:highlight w:val="none"/>
              </w:rPr>
              <w:t>柜体要求</w:t>
            </w:r>
          </w:p>
        </w:tc>
        <w:tc>
          <w:tcPr>
            <w:tcW w:w="2129" w:type="pct"/>
            <w:shd w:val="clear" w:color="auto" w:fill="auto"/>
            <w:vAlign w:val="top"/>
          </w:tcPr>
          <w:p w14:paraId="07549453">
            <w:pPr>
              <w:rPr>
                <w:rFonts w:hint="eastAsia"/>
                <w:color w:val="auto"/>
                <w:highlight w:val="none"/>
                <w:lang w:val="en-US" w:eastAsia="zh-CN"/>
              </w:rPr>
            </w:pPr>
            <w:r>
              <w:rPr>
                <w:rFonts w:hint="eastAsia"/>
                <w:color w:val="auto"/>
                <w:highlight w:val="none"/>
              </w:rPr>
              <w:t>防护等级：IP4X（柜体）/IP2X（隔室）尺寸：1</w:t>
            </w:r>
            <w:r>
              <w:rPr>
                <w:rFonts w:hint="eastAsia"/>
                <w:color w:val="auto"/>
                <w:highlight w:val="none"/>
                <w:lang w:val="en-US" w:eastAsia="zh-CN"/>
              </w:rPr>
              <w:t>4</w:t>
            </w:r>
            <w:r>
              <w:rPr>
                <w:rFonts w:hint="eastAsia"/>
                <w:color w:val="auto"/>
                <w:highlight w:val="none"/>
              </w:rPr>
              <w:t>00×2</w:t>
            </w:r>
            <w:r>
              <w:rPr>
                <w:rFonts w:hint="eastAsia"/>
                <w:color w:val="auto"/>
                <w:highlight w:val="none"/>
                <w:lang w:val="en-US" w:eastAsia="zh-CN"/>
              </w:rPr>
              <w:t>6</w:t>
            </w:r>
            <w:r>
              <w:rPr>
                <w:rFonts w:hint="eastAsia"/>
                <w:color w:val="auto"/>
                <w:highlight w:val="none"/>
              </w:rPr>
              <w:t>00×2</w:t>
            </w:r>
            <w:r>
              <w:rPr>
                <w:rFonts w:hint="eastAsia"/>
                <w:color w:val="auto"/>
                <w:highlight w:val="none"/>
                <w:lang w:val="en-US" w:eastAsia="zh-CN"/>
              </w:rPr>
              <w:t>8</w:t>
            </w:r>
            <w:r>
              <w:rPr>
                <w:rFonts w:hint="eastAsia"/>
                <w:color w:val="auto"/>
                <w:highlight w:val="none"/>
              </w:rPr>
              <w:t>00mm（宽×高×深）</w:t>
            </w:r>
            <w:r>
              <w:rPr>
                <w:rFonts w:hint="eastAsia"/>
                <w:color w:val="auto"/>
                <w:highlight w:val="none"/>
                <w:lang w:eastAsia="zh-CN"/>
              </w:rPr>
              <w:t>（</w:t>
            </w:r>
            <w:r>
              <w:rPr>
                <w:rFonts w:hint="eastAsia"/>
                <w:color w:val="auto"/>
                <w:highlight w:val="none"/>
                <w:lang w:val="en-US" w:eastAsia="zh-CN"/>
              </w:rPr>
              <w:t>除高度外，长跟深不大于此尺寸</w:t>
            </w:r>
            <w:r>
              <w:rPr>
                <w:rFonts w:hint="eastAsia"/>
                <w:color w:val="auto"/>
                <w:highlight w:val="none"/>
                <w:lang w:eastAsia="zh-CN"/>
              </w:rPr>
              <w:t>）</w:t>
            </w:r>
          </w:p>
        </w:tc>
        <w:tc>
          <w:tcPr>
            <w:tcW w:w="763" w:type="pct"/>
            <w:shd w:val="clear" w:color="auto" w:fill="auto"/>
            <w:vAlign w:val="top"/>
          </w:tcPr>
          <w:p w14:paraId="0B258126">
            <w:pPr>
              <w:rPr>
                <w:rFonts w:hint="default"/>
                <w:color w:val="auto"/>
                <w:highlight w:val="none"/>
                <w:lang w:val="en-US" w:eastAsia="zh-CN"/>
              </w:rPr>
            </w:pPr>
            <w:r>
              <w:rPr>
                <w:rFonts w:hint="eastAsia"/>
                <w:color w:val="auto"/>
                <w:highlight w:val="none"/>
                <w:lang w:val="en-US" w:eastAsia="zh-CN"/>
              </w:rPr>
              <w:t>白云电气</w:t>
            </w:r>
          </w:p>
        </w:tc>
        <w:tc>
          <w:tcPr>
            <w:tcW w:w="415" w:type="pct"/>
            <w:shd w:val="clear" w:color="auto" w:fill="auto"/>
            <w:vAlign w:val="top"/>
          </w:tcPr>
          <w:p w14:paraId="3DC1586F">
            <w:pPr>
              <w:jc w:val="center"/>
              <w:rPr>
                <w:rFonts w:hint="eastAsia"/>
                <w:color w:val="auto"/>
                <w:highlight w:val="none"/>
                <w:lang w:val="en-US" w:eastAsia="zh-CN"/>
              </w:rPr>
            </w:pPr>
            <w:r>
              <w:rPr>
                <w:rFonts w:hint="eastAsia"/>
                <w:color w:val="auto"/>
                <w:highlight w:val="none"/>
                <w:lang w:val="en-US" w:eastAsia="zh-CN"/>
              </w:rPr>
              <w:t>批</w:t>
            </w:r>
          </w:p>
        </w:tc>
        <w:tc>
          <w:tcPr>
            <w:tcW w:w="415" w:type="pct"/>
            <w:shd w:val="clear" w:color="auto" w:fill="auto"/>
            <w:vAlign w:val="top"/>
          </w:tcPr>
          <w:p w14:paraId="62FF2034">
            <w:pPr>
              <w:jc w:val="center"/>
              <w:rPr>
                <w:rFonts w:hint="eastAsia"/>
                <w:color w:val="auto"/>
                <w:highlight w:val="none"/>
                <w:lang w:val="en-US" w:eastAsia="zh-CN"/>
              </w:rPr>
            </w:pPr>
            <w:r>
              <w:rPr>
                <w:rFonts w:hint="eastAsia"/>
                <w:color w:val="auto"/>
                <w:highlight w:val="none"/>
                <w:lang w:val="en-US" w:eastAsia="zh-CN"/>
              </w:rPr>
              <w:t>1</w:t>
            </w:r>
          </w:p>
        </w:tc>
      </w:tr>
    </w:tbl>
    <w:p w14:paraId="33A8B663">
      <w:pPr>
        <w:rPr>
          <w:rFonts w:hint="eastAsia"/>
          <w:color w:val="auto"/>
          <w:highlight w:val="none"/>
        </w:rPr>
      </w:pPr>
    </w:p>
    <w:p w14:paraId="6A62606E">
      <w:pPr>
        <w:rPr>
          <w:rFonts w:hint="eastAsia"/>
          <w:color w:val="auto"/>
          <w:highlight w:val="none"/>
        </w:rPr>
      </w:pPr>
    </w:p>
    <w:p w14:paraId="4FF5E3AE">
      <w:pPr>
        <w:numPr>
          <w:ilvl w:val="0"/>
          <w:numId w:val="0"/>
        </w:numPr>
        <w:rPr>
          <w:rFonts w:hint="eastAsia"/>
          <w:b/>
          <w:bCs/>
          <w:color w:val="auto"/>
          <w:sz w:val="28"/>
          <w:szCs w:val="28"/>
          <w:highlight w:val="none"/>
        </w:rPr>
      </w:pPr>
      <w:r>
        <w:rPr>
          <w:rFonts w:hint="eastAsia"/>
          <w:b/>
          <w:bCs/>
          <w:color w:val="auto"/>
          <w:sz w:val="28"/>
          <w:szCs w:val="28"/>
          <w:highlight w:val="none"/>
          <w:lang w:val="en-US" w:eastAsia="zh-CN"/>
        </w:rPr>
        <w:t>四、</w:t>
      </w:r>
      <w:r>
        <w:rPr>
          <w:rFonts w:hint="eastAsia"/>
          <w:b/>
          <w:bCs/>
          <w:color w:val="auto"/>
          <w:sz w:val="28"/>
          <w:szCs w:val="28"/>
          <w:highlight w:val="none"/>
        </w:rPr>
        <w:t>关键参数校验</w:t>
      </w:r>
    </w:p>
    <w:p w14:paraId="3E54CE5D">
      <w:pPr>
        <w:numPr>
          <w:ilvl w:val="0"/>
          <w:numId w:val="0"/>
        </w:num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高压柜：</w:t>
      </w:r>
    </w:p>
    <w:p w14:paraId="3AC81C4C">
      <w:pPr>
        <w:rPr>
          <w:rFonts w:hint="eastAsia"/>
          <w:color w:val="auto"/>
          <w:sz w:val="24"/>
          <w:szCs w:val="24"/>
          <w:highlight w:val="none"/>
        </w:rPr>
      </w:pPr>
      <w:r>
        <w:rPr>
          <w:rFonts w:hint="eastAsia"/>
          <w:color w:val="auto"/>
          <w:sz w:val="24"/>
          <w:szCs w:val="24"/>
          <w:highlight w:val="none"/>
        </w:rPr>
        <w:t>1.断路器校验：</w:t>
      </w:r>
    </w:p>
    <w:p w14:paraId="1A92EDC3">
      <w:pPr>
        <w:rPr>
          <w:rFonts w:hint="eastAsia"/>
          <w:color w:val="auto"/>
          <w:sz w:val="24"/>
          <w:szCs w:val="24"/>
          <w:highlight w:val="none"/>
        </w:rPr>
      </w:pPr>
      <w:r>
        <w:rPr>
          <w:rFonts w:hint="eastAsia"/>
          <w:color w:val="auto"/>
          <w:sz w:val="24"/>
          <w:szCs w:val="24"/>
          <w:highlight w:val="none"/>
        </w:rPr>
        <w:t>额定电流</w:t>
      </w:r>
      <w:r>
        <w:rPr>
          <w:rFonts w:hint="eastAsia"/>
          <w:color w:val="auto"/>
          <w:sz w:val="24"/>
          <w:szCs w:val="24"/>
          <w:highlight w:val="none"/>
          <w:lang w:val="en-US" w:eastAsia="zh-CN"/>
        </w:rPr>
        <w:t>1250</w:t>
      </w:r>
      <w:r>
        <w:rPr>
          <w:rFonts w:hint="eastAsia"/>
          <w:color w:val="auto"/>
          <w:sz w:val="24"/>
          <w:szCs w:val="24"/>
          <w:highlight w:val="none"/>
        </w:rPr>
        <w:t>A&gt;330A（实际负载），满足要求。</w:t>
      </w:r>
    </w:p>
    <w:p w14:paraId="5D0A5C9F">
      <w:pPr>
        <w:rPr>
          <w:rFonts w:hint="eastAsia"/>
          <w:color w:val="auto"/>
          <w:sz w:val="24"/>
          <w:szCs w:val="24"/>
          <w:highlight w:val="none"/>
        </w:rPr>
      </w:pPr>
      <w:r>
        <w:rPr>
          <w:rFonts w:hint="eastAsia"/>
          <w:color w:val="auto"/>
          <w:sz w:val="24"/>
          <w:szCs w:val="24"/>
          <w:highlight w:val="none"/>
        </w:rPr>
        <w:t>开断能力31.5kA&gt;系统短路电流（需根据实际短路容量复核，一般35kV系统短路电流≤25kA）。</w:t>
      </w:r>
    </w:p>
    <w:p w14:paraId="5AAD3380">
      <w:pPr>
        <w:rPr>
          <w:rFonts w:hint="eastAsia"/>
          <w:color w:val="auto"/>
          <w:sz w:val="24"/>
          <w:szCs w:val="24"/>
          <w:highlight w:val="none"/>
        </w:rPr>
      </w:pPr>
      <w:r>
        <w:rPr>
          <w:rFonts w:hint="eastAsia"/>
          <w:color w:val="auto"/>
          <w:sz w:val="24"/>
          <w:szCs w:val="24"/>
          <w:highlight w:val="none"/>
        </w:rPr>
        <w:t>2.动/热稳定校验：</w:t>
      </w:r>
    </w:p>
    <w:p w14:paraId="1F2A37C0">
      <w:pPr>
        <w:rPr>
          <w:rFonts w:hint="eastAsia"/>
          <w:color w:val="auto"/>
          <w:sz w:val="24"/>
          <w:szCs w:val="24"/>
          <w:highlight w:val="none"/>
        </w:rPr>
      </w:pPr>
      <w:r>
        <w:rPr>
          <w:rFonts w:hint="eastAsia"/>
          <w:color w:val="auto"/>
          <w:sz w:val="24"/>
          <w:szCs w:val="24"/>
          <w:highlight w:val="none"/>
        </w:rPr>
        <w:t>断路器额定短时耐受电流（4s,31.5kA）需大于系统预期短路电流。</w:t>
      </w:r>
    </w:p>
    <w:p w14:paraId="25730FBD">
      <w:pPr>
        <w:rPr>
          <w:rFonts w:hint="eastAsia"/>
          <w:color w:val="auto"/>
          <w:sz w:val="24"/>
          <w:szCs w:val="24"/>
          <w:highlight w:val="none"/>
        </w:rPr>
      </w:pPr>
      <w:r>
        <w:rPr>
          <w:rFonts w:hint="eastAsia"/>
          <w:color w:val="auto"/>
          <w:sz w:val="24"/>
          <w:szCs w:val="24"/>
          <w:highlight w:val="none"/>
        </w:rPr>
        <w:t>3.绝缘水平：</w:t>
      </w:r>
    </w:p>
    <w:p w14:paraId="3FE1C2BC">
      <w:pPr>
        <w:rPr>
          <w:rFonts w:hint="eastAsia"/>
          <w:color w:val="auto"/>
          <w:sz w:val="24"/>
          <w:szCs w:val="24"/>
          <w:highlight w:val="none"/>
        </w:rPr>
      </w:pPr>
      <w:r>
        <w:rPr>
          <w:rFonts w:hint="eastAsia"/>
          <w:color w:val="auto"/>
          <w:sz w:val="24"/>
          <w:szCs w:val="24"/>
          <w:highlight w:val="none"/>
        </w:rPr>
        <w:t>工频耐压：95kV/1min</w:t>
      </w:r>
    </w:p>
    <w:p w14:paraId="58DEBF1B">
      <w:pPr>
        <w:rPr>
          <w:rFonts w:hint="eastAsia"/>
          <w:color w:val="auto"/>
          <w:sz w:val="24"/>
          <w:szCs w:val="24"/>
          <w:highlight w:val="none"/>
        </w:rPr>
      </w:pPr>
      <w:r>
        <w:rPr>
          <w:rFonts w:hint="eastAsia"/>
          <w:color w:val="auto"/>
          <w:sz w:val="24"/>
          <w:szCs w:val="24"/>
          <w:highlight w:val="none"/>
        </w:rPr>
        <w:t>雷电冲击耐压：185kV（峰值）</w:t>
      </w:r>
    </w:p>
    <w:p w14:paraId="638449DF">
      <w:p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PT柜（含配套PT隔离开关、高压熔断器等）：</w:t>
      </w:r>
    </w:p>
    <w:p w14:paraId="59141A68">
      <w:pPr>
        <w:rPr>
          <w:rFonts w:hint="eastAsia"/>
          <w:color w:val="auto"/>
          <w:sz w:val="24"/>
          <w:szCs w:val="24"/>
          <w:highlight w:val="none"/>
        </w:rPr>
      </w:pPr>
      <w:r>
        <w:rPr>
          <w:rFonts w:hint="eastAsia"/>
          <w:color w:val="auto"/>
          <w:sz w:val="24"/>
          <w:szCs w:val="24"/>
          <w:highlight w:val="none"/>
        </w:rPr>
        <w:t>1</w:t>
      </w:r>
      <w:r>
        <w:rPr>
          <w:rFonts w:hint="eastAsia"/>
          <w:color w:val="auto"/>
          <w:sz w:val="24"/>
          <w:szCs w:val="24"/>
          <w:highlight w:val="none"/>
          <w:lang w:eastAsia="zh-CN"/>
        </w:rPr>
        <w:t>、</w:t>
      </w:r>
      <w:r>
        <w:rPr>
          <w:rFonts w:hint="eastAsia"/>
          <w:color w:val="auto"/>
          <w:sz w:val="24"/>
          <w:szCs w:val="24"/>
          <w:highlight w:val="none"/>
        </w:rPr>
        <w:t>PT容量校验：</w:t>
      </w:r>
    </w:p>
    <w:p w14:paraId="22861D92">
      <w:pPr>
        <w:rPr>
          <w:rFonts w:hint="eastAsia"/>
          <w:color w:val="auto"/>
          <w:sz w:val="24"/>
          <w:szCs w:val="24"/>
          <w:highlight w:val="none"/>
        </w:rPr>
      </w:pPr>
      <w:r>
        <w:rPr>
          <w:rFonts w:hint="eastAsia"/>
          <w:color w:val="auto"/>
          <w:sz w:val="24"/>
          <w:szCs w:val="24"/>
          <w:highlight w:val="none"/>
        </w:rPr>
        <w:t>单台PT额定容量：≥50VA（0.2级）+100VA（3P级）</w:t>
      </w:r>
    </w:p>
    <w:p w14:paraId="3ABF39DE">
      <w:pPr>
        <w:rPr>
          <w:rFonts w:hint="default"/>
          <w:color w:val="auto"/>
          <w:sz w:val="24"/>
          <w:szCs w:val="24"/>
          <w:highlight w:val="none"/>
          <w:lang w:val="en-US" w:eastAsia="zh-CN"/>
        </w:rPr>
      </w:pPr>
      <w:r>
        <w:rPr>
          <w:rFonts w:hint="eastAsia"/>
          <w:color w:val="auto"/>
          <w:sz w:val="24"/>
          <w:szCs w:val="24"/>
          <w:highlight w:val="none"/>
          <w:lang w:val="en-US" w:eastAsia="zh-CN"/>
        </w:rPr>
        <w:t>额定电压：40.5KV</w:t>
      </w:r>
    </w:p>
    <w:p w14:paraId="0926D9A5">
      <w:pPr>
        <w:rPr>
          <w:rFonts w:hint="eastAsia"/>
          <w:color w:val="auto"/>
          <w:sz w:val="24"/>
          <w:szCs w:val="24"/>
          <w:highlight w:val="none"/>
        </w:rPr>
      </w:pPr>
      <w:r>
        <w:rPr>
          <w:rFonts w:hint="eastAsia"/>
          <w:color w:val="auto"/>
          <w:sz w:val="24"/>
          <w:szCs w:val="24"/>
          <w:highlight w:val="none"/>
        </w:rPr>
        <w:t>实际负载需计算（包括计量表计、保护装置、同期装置等二次设备总负荷）。</w:t>
      </w:r>
    </w:p>
    <w:p w14:paraId="7C85D3B6">
      <w:pPr>
        <w:rPr>
          <w:rFonts w:hint="eastAsia"/>
          <w:color w:val="auto"/>
          <w:sz w:val="24"/>
          <w:szCs w:val="24"/>
          <w:highlight w:val="none"/>
        </w:rPr>
      </w:pPr>
      <w:r>
        <w:rPr>
          <w:rFonts w:hint="eastAsia"/>
          <w:color w:val="auto"/>
          <w:sz w:val="24"/>
          <w:szCs w:val="24"/>
          <w:highlight w:val="none"/>
        </w:rPr>
        <w:t>2</w:t>
      </w:r>
      <w:r>
        <w:rPr>
          <w:rFonts w:hint="eastAsia"/>
          <w:color w:val="auto"/>
          <w:sz w:val="24"/>
          <w:szCs w:val="24"/>
          <w:highlight w:val="none"/>
          <w:lang w:eastAsia="zh-CN"/>
        </w:rPr>
        <w:t>、</w:t>
      </w:r>
      <w:r>
        <w:rPr>
          <w:rFonts w:hint="eastAsia"/>
          <w:color w:val="auto"/>
          <w:sz w:val="24"/>
          <w:szCs w:val="24"/>
          <w:highlight w:val="none"/>
        </w:rPr>
        <w:t>熔断器选型校验：</w:t>
      </w:r>
    </w:p>
    <w:p w14:paraId="3BB12AD8">
      <w:pPr>
        <w:rPr>
          <w:rFonts w:hint="eastAsia"/>
          <w:color w:val="auto"/>
          <w:sz w:val="24"/>
          <w:szCs w:val="24"/>
          <w:highlight w:val="none"/>
        </w:rPr>
      </w:pPr>
      <w:r>
        <w:rPr>
          <w:rFonts w:hint="eastAsia"/>
          <w:color w:val="auto"/>
          <w:sz w:val="24"/>
          <w:szCs w:val="24"/>
          <w:highlight w:val="none"/>
        </w:rPr>
        <w:t>熔断电流1A需大于PT励磁涌流（通常为0.1~0.3A），同时满足系统短路时快速熔断。</w:t>
      </w:r>
    </w:p>
    <w:p w14:paraId="769F3DBC">
      <w:pPr>
        <w:rPr>
          <w:rFonts w:hint="eastAsia"/>
          <w:color w:val="auto"/>
          <w:sz w:val="24"/>
          <w:szCs w:val="24"/>
          <w:highlight w:val="none"/>
        </w:rPr>
      </w:pPr>
      <w:r>
        <w:rPr>
          <w:rFonts w:hint="eastAsia"/>
          <w:color w:val="auto"/>
          <w:sz w:val="24"/>
          <w:szCs w:val="24"/>
          <w:highlight w:val="none"/>
        </w:rPr>
        <w:t>3</w:t>
      </w:r>
      <w:r>
        <w:rPr>
          <w:rFonts w:hint="eastAsia"/>
          <w:color w:val="auto"/>
          <w:sz w:val="24"/>
          <w:szCs w:val="24"/>
          <w:highlight w:val="none"/>
          <w:lang w:eastAsia="zh-CN"/>
        </w:rPr>
        <w:t>、</w:t>
      </w:r>
      <w:r>
        <w:rPr>
          <w:rFonts w:hint="eastAsia"/>
          <w:color w:val="auto"/>
          <w:sz w:val="24"/>
          <w:szCs w:val="24"/>
          <w:highlight w:val="none"/>
        </w:rPr>
        <w:t>绝缘水平：</w:t>
      </w:r>
    </w:p>
    <w:p w14:paraId="7C5CECDF">
      <w:pPr>
        <w:rPr>
          <w:rFonts w:hint="eastAsia"/>
          <w:color w:val="auto"/>
          <w:sz w:val="24"/>
          <w:szCs w:val="24"/>
          <w:highlight w:val="none"/>
        </w:rPr>
      </w:pPr>
      <w:r>
        <w:rPr>
          <w:rFonts w:hint="eastAsia"/>
          <w:color w:val="auto"/>
          <w:sz w:val="24"/>
          <w:szCs w:val="24"/>
          <w:highlight w:val="none"/>
        </w:rPr>
        <w:t>工频耐压：95kV/1min</w:t>
      </w:r>
    </w:p>
    <w:p w14:paraId="00043884">
      <w:pPr>
        <w:rPr>
          <w:rFonts w:hint="eastAsia"/>
          <w:color w:val="auto"/>
          <w:sz w:val="24"/>
          <w:szCs w:val="24"/>
          <w:highlight w:val="none"/>
        </w:rPr>
      </w:pPr>
      <w:r>
        <w:rPr>
          <w:rFonts w:hint="eastAsia"/>
          <w:color w:val="auto"/>
          <w:sz w:val="24"/>
          <w:szCs w:val="24"/>
          <w:highlight w:val="none"/>
        </w:rPr>
        <w:t>雷电冲击耐压：185kV（峰值）</w:t>
      </w:r>
    </w:p>
    <w:p w14:paraId="2E9BAF1E">
      <w:pPr>
        <w:rPr>
          <w:rFonts w:hint="default"/>
          <w:color w:val="auto"/>
          <w:sz w:val="24"/>
          <w:szCs w:val="24"/>
          <w:highlight w:val="none"/>
          <w:lang w:val="en-US" w:eastAsia="zh-CN"/>
        </w:rPr>
      </w:pPr>
      <w:r>
        <w:rPr>
          <w:rFonts w:hint="eastAsia"/>
          <w:color w:val="auto"/>
          <w:sz w:val="24"/>
          <w:szCs w:val="24"/>
          <w:highlight w:val="none"/>
          <w:lang w:val="en-US" w:eastAsia="zh-CN"/>
        </w:rPr>
        <w:t>4、本PT柜型式为固定PT+PT手车隔离。</w:t>
      </w:r>
    </w:p>
    <w:p w14:paraId="60765A7A">
      <w:pPr>
        <w:rPr>
          <w:rFonts w:hint="default"/>
          <w:color w:val="auto"/>
          <w:sz w:val="24"/>
          <w:szCs w:val="24"/>
          <w:highlight w:val="none"/>
          <w:lang w:val="en-US" w:eastAsia="zh-CN"/>
        </w:rPr>
      </w:pPr>
      <w:r>
        <w:rPr>
          <w:rFonts w:hint="eastAsia"/>
          <w:color w:val="auto"/>
          <w:sz w:val="24"/>
          <w:szCs w:val="24"/>
          <w:highlight w:val="none"/>
          <w:lang w:val="en-US" w:eastAsia="zh-CN"/>
        </w:rPr>
        <w:t>5、柜体尺寸需与开关柜匹配。</w:t>
      </w:r>
    </w:p>
    <w:p w14:paraId="68FAAF8F">
      <w:pPr>
        <w:rPr>
          <w:rFonts w:hint="eastAsia"/>
          <w:color w:val="auto"/>
          <w:sz w:val="24"/>
          <w:szCs w:val="24"/>
          <w:highlight w:val="none"/>
        </w:rPr>
      </w:pPr>
    </w:p>
    <w:p w14:paraId="327E0E6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sz w:val="28"/>
          <w:szCs w:val="28"/>
          <w:highlight w:val="none"/>
          <w:lang w:val="en-US" w:eastAsia="zh-CN"/>
        </w:rPr>
      </w:pPr>
      <w:r>
        <w:rPr>
          <w:rFonts w:hint="eastAsia"/>
          <w:b/>
          <w:bCs/>
          <w:color w:val="auto"/>
          <w:sz w:val="28"/>
          <w:szCs w:val="28"/>
          <w:highlight w:val="none"/>
          <w:lang w:val="en-US" w:eastAsia="zh-CN"/>
        </w:rPr>
        <w:t>五</w:t>
      </w:r>
      <w:r>
        <w:rPr>
          <w:rFonts w:hint="eastAsia"/>
          <w:b/>
          <w:bCs/>
          <w:color w:val="auto"/>
          <w:sz w:val="28"/>
          <w:szCs w:val="28"/>
          <w:highlight w:val="none"/>
        </w:rPr>
        <w:t>、</w:t>
      </w:r>
      <w:r>
        <w:rPr>
          <w:rFonts w:hint="eastAsia" w:ascii="宋体" w:hAnsi="宋体" w:eastAsia="宋体" w:cs="宋体"/>
          <w:b/>
          <w:bCs/>
          <w:color w:val="auto"/>
          <w:sz w:val="28"/>
          <w:szCs w:val="28"/>
          <w:highlight w:val="none"/>
        </w:rPr>
        <w:t>项目</w:t>
      </w:r>
      <w:r>
        <w:rPr>
          <w:rFonts w:hint="eastAsia" w:ascii="宋体" w:hAnsi="宋体" w:eastAsia="宋体" w:cs="宋体"/>
          <w:b/>
          <w:bCs/>
          <w:color w:val="auto"/>
          <w:sz w:val="28"/>
          <w:szCs w:val="28"/>
          <w:highlight w:val="none"/>
          <w:lang w:val="en-US" w:eastAsia="zh-CN"/>
        </w:rPr>
        <w:t>过程控制（前期准备）</w:t>
      </w:r>
    </w:p>
    <w:p w14:paraId="032AE91F">
      <w:pPr>
        <w:keepNext w:val="0"/>
        <w:keepLines w:val="0"/>
        <w:pageBreakBefore w:val="0"/>
        <w:widowControl w:val="0"/>
        <w:numPr>
          <w:ilvl w:val="0"/>
          <w:numId w:val="7"/>
        </w:numPr>
        <w:kinsoku/>
        <w:wordWrap/>
        <w:overflowPunct/>
        <w:topLinePunct w:val="0"/>
        <w:autoSpaceDE/>
        <w:autoSpaceDN/>
        <w:bidi w:val="0"/>
        <w:adjustRightInd/>
        <w:snapToGrid w:val="0"/>
        <w:spacing w:line="240" w:lineRule="auto"/>
        <w:jc w:val="both"/>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本项目</w:t>
      </w:r>
      <w:r>
        <w:rPr>
          <w:rFonts w:hint="eastAsia" w:ascii="宋体" w:hAnsi="宋体" w:cs="宋体"/>
          <w:bCs/>
          <w:color w:val="auto"/>
          <w:sz w:val="24"/>
          <w:szCs w:val="24"/>
          <w:highlight w:val="none"/>
          <w:lang w:val="en-US" w:eastAsia="zh-CN"/>
        </w:rPr>
        <w:t>总工期为8天，开工时间为自甲方新采购的开关柜到货后，由甲方根据检修工作安排出具开工通知书。</w:t>
      </w:r>
    </w:p>
    <w:p w14:paraId="02606874">
      <w:pPr>
        <w:keepNext w:val="0"/>
        <w:keepLines w:val="0"/>
        <w:pageBreakBefore w:val="0"/>
        <w:widowControl w:val="0"/>
        <w:numPr>
          <w:ilvl w:val="0"/>
          <w:numId w:val="7"/>
        </w:numPr>
        <w:kinsoku/>
        <w:wordWrap/>
        <w:overflowPunct/>
        <w:topLinePunct w:val="0"/>
        <w:autoSpaceDE/>
        <w:autoSpaceDN/>
        <w:bidi w:val="0"/>
        <w:adjustRightInd/>
        <w:snapToGrid w:val="0"/>
        <w:spacing w:line="240" w:lineRule="auto"/>
        <w:jc w:val="both"/>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施工方（乙方）在合同签订后需积极配合我司</w:t>
      </w:r>
      <w:r>
        <w:rPr>
          <w:rFonts w:hint="eastAsia" w:ascii="宋体" w:hAnsi="宋体" w:cs="宋体"/>
          <w:bCs/>
          <w:color w:val="auto"/>
          <w:sz w:val="24"/>
          <w:szCs w:val="24"/>
          <w:highlight w:val="none"/>
          <w:lang w:val="en-US" w:eastAsia="zh-CN"/>
        </w:rPr>
        <w:t>（甲方）</w:t>
      </w:r>
      <w:r>
        <w:rPr>
          <w:rFonts w:hint="eastAsia" w:ascii="宋体" w:hAnsi="宋体" w:eastAsia="宋体" w:cs="宋体"/>
          <w:bCs/>
          <w:color w:val="auto"/>
          <w:sz w:val="24"/>
          <w:szCs w:val="24"/>
          <w:highlight w:val="none"/>
          <w:lang w:val="en-US" w:eastAsia="zh-CN"/>
        </w:rPr>
        <w:t>对</w:t>
      </w:r>
      <w:r>
        <w:rPr>
          <w:rFonts w:hint="eastAsia" w:ascii="宋体" w:hAnsi="宋体" w:cs="宋体"/>
          <w:bCs/>
          <w:color w:val="auto"/>
          <w:sz w:val="24"/>
          <w:szCs w:val="24"/>
          <w:highlight w:val="none"/>
          <w:lang w:val="en-US" w:eastAsia="zh-CN"/>
        </w:rPr>
        <w:t>35KV开关柜</w:t>
      </w:r>
      <w:r>
        <w:rPr>
          <w:rFonts w:hint="eastAsia" w:ascii="宋体" w:hAnsi="宋体" w:eastAsia="宋体" w:cs="宋体"/>
          <w:bCs/>
          <w:color w:val="auto"/>
          <w:sz w:val="24"/>
          <w:szCs w:val="24"/>
          <w:highlight w:val="none"/>
          <w:lang w:val="en-US" w:eastAsia="zh-CN"/>
        </w:rPr>
        <w:t>更换前期准备工作做出部署，我司确定</w:t>
      </w:r>
      <w:r>
        <w:rPr>
          <w:rFonts w:hint="eastAsia" w:ascii="宋体" w:hAnsi="宋体" w:cs="宋体"/>
          <w:bCs/>
          <w:color w:val="auto"/>
          <w:sz w:val="24"/>
          <w:szCs w:val="24"/>
          <w:highlight w:val="none"/>
          <w:lang w:val="en-US" w:eastAsia="zh-CN"/>
        </w:rPr>
        <w:t>更换</w:t>
      </w:r>
      <w:r>
        <w:rPr>
          <w:rFonts w:hint="eastAsia" w:ascii="宋体" w:hAnsi="宋体" w:eastAsia="宋体" w:cs="宋体"/>
          <w:bCs/>
          <w:color w:val="auto"/>
          <w:sz w:val="24"/>
          <w:szCs w:val="24"/>
          <w:highlight w:val="none"/>
          <w:lang w:val="en-US" w:eastAsia="zh-CN"/>
        </w:rPr>
        <w:t>时间后，需提前通知施工方，施工方在收到确切时间后积极配合提前进场。</w:t>
      </w:r>
    </w:p>
    <w:p w14:paraId="3382D48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Cs/>
          <w:color w:val="auto"/>
          <w:sz w:val="24"/>
          <w:szCs w:val="24"/>
          <w:highlight w:val="none"/>
          <w:lang w:val="en-US" w:eastAsia="zh-CN"/>
        </w:rPr>
      </w:pPr>
    </w:p>
    <w:p w14:paraId="4186BB5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
          <w:bCs w:val="0"/>
          <w:color w:val="auto"/>
          <w:sz w:val="28"/>
          <w:szCs w:val="28"/>
          <w:highlight w:val="none"/>
          <w:lang w:val="en-US" w:eastAsia="zh-CN"/>
        </w:rPr>
      </w:pPr>
      <w:r>
        <w:rPr>
          <w:rFonts w:hint="eastAsia" w:ascii="宋体" w:hAnsi="宋体" w:cs="宋体"/>
          <w:b/>
          <w:bCs w:val="0"/>
          <w:color w:val="auto"/>
          <w:sz w:val="28"/>
          <w:szCs w:val="28"/>
          <w:highlight w:val="none"/>
          <w:lang w:val="en-US" w:eastAsia="zh-CN"/>
        </w:rPr>
        <w:t>六、</w:t>
      </w:r>
      <w:r>
        <w:rPr>
          <w:rFonts w:hint="eastAsia" w:ascii="宋体" w:hAnsi="宋体" w:eastAsia="宋体" w:cs="宋体"/>
          <w:b/>
          <w:bCs w:val="0"/>
          <w:color w:val="auto"/>
          <w:sz w:val="28"/>
          <w:szCs w:val="28"/>
          <w:highlight w:val="none"/>
          <w:lang w:val="en-US" w:eastAsia="zh-CN"/>
        </w:rPr>
        <w:t>施工方案（</w:t>
      </w:r>
      <w:r>
        <w:rPr>
          <w:rFonts w:hint="eastAsia" w:ascii="宋体" w:hAnsi="宋体" w:cs="宋体"/>
          <w:b/>
          <w:bCs w:val="0"/>
          <w:color w:val="auto"/>
          <w:sz w:val="28"/>
          <w:szCs w:val="28"/>
          <w:highlight w:val="none"/>
          <w:lang w:val="en-US" w:eastAsia="zh-CN"/>
        </w:rPr>
        <w:t>安装</w:t>
      </w:r>
      <w:r>
        <w:rPr>
          <w:rFonts w:hint="eastAsia" w:ascii="宋体" w:hAnsi="宋体" w:eastAsia="宋体" w:cs="宋体"/>
          <w:b/>
          <w:bCs w:val="0"/>
          <w:color w:val="auto"/>
          <w:sz w:val="28"/>
          <w:szCs w:val="28"/>
          <w:highlight w:val="none"/>
          <w:lang w:val="en-US" w:eastAsia="zh-CN"/>
        </w:rPr>
        <w:t>准备及</w:t>
      </w:r>
      <w:r>
        <w:rPr>
          <w:rFonts w:hint="eastAsia" w:ascii="宋体" w:hAnsi="宋体" w:cs="宋体"/>
          <w:b/>
          <w:bCs w:val="0"/>
          <w:color w:val="auto"/>
          <w:sz w:val="28"/>
          <w:szCs w:val="28"/>
          <w:highlight w:val="none"/>
          <w:lang w:val="en-US" w:eastAsia="zh-CN"/>
        </w:rPr>
        <w:t>试验项目</w:t>
      </w:r>
      <w:r>
        <w:rPr>
          <w:rFonts w:hint="eastAsia" w:ascii="宋体" w:hAnsi="宋体" w:eastAsia="宋体" w:cs="宋体"/>
          <w:b/>
          <w:bCs w:val="0"/>
          <w:color w:val="auto"/>
          <w:sz w:val="28"/>
          <w:szCs w:val="28"/>
          <w:highlight w:val="none"/>
          <w:lang w:val="en-US" w:eastAsia="zh-CN"/>
        </w:rPr>
        <w:t>）</w:t>
      </w:r>
      <w:r>
        <w:rPr>
          <w:rFonts w:hint="eastAsia" w:ascii="宋体" w:hAnsi="宋体" w:cs="宋体"/>
          <w:b/>
          <w:bCs w:val="0"/>
          <w:color w:val="auto"/>
          <w:sz w:val="28"/>
          <w:szCs w:val="28"/>
          <w:highlight w:val="none"/>
          <w:lang w:val="en-US" w:eastAsia="zh-CN"/>
        </w:rPr>
        <w:t>（现场根据需要可联系厂家技术</w:t>
      </w:r>
    </w:p>
    <w:p w14:paraId="2B4ED08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rPr>
          <w:rFonts w:hint="eastAsia" w:ascii="宋体" w:hAnsi="宋体" w:eastAsia="宋体" w:cs="宋体"/>
          <w:b/>
          <w:bCs w:val="0"/>
          <w:color w:val="auto"/>
          <w:sz w:val="28"/>
          <w:szCs w:val="28"/>
          <w:highlight w:val="none"/>
          <w:lang w:val="en-US" w:eastAsia="zh-CN"/>
        </w:rPr>
      </w:pPr>
      <w:r>
        <w:rPr>
          <w:rFonts w:hint="eastAsia" w:ascii="宋体" w:hAnsi="宋体" w:cs="宋体"/>
          <w:b/>
          <w:bCs w:val="0"/>
          <w:color w:val="auto"/>
          <w:sz w:val="28"/>
          <w:szCs w:val="28"/>
          <w:highlight w:val="none"/>
          <w:lang w:val="en-US" w:eastAsia="zh-CN"/>
        </w:rPr>
        <w:t>人员协助）</w:t>
      </w:r>
    </w:p>
    <w:p w14:paraId="18A9314F">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
          <w:bCs w:val="0"/>
          <w:color w:val="auto"/>
          <w:sz w:val="24"/>
          <w:szCs w:val="24"/>
          <w:highlight w:val="none"/>
          <w:lang w:val="en-US" w:eastAsia="zh-CN"/>
        </w:rPr>
      </w:pPr>
      <w:r>
        <w:rPr>
          <w:rFonts w:hint="eastAsia" w:ascii="宋体" w:hAnsi="宋体" w:cs="宋体"/>
          <w:b/>
          <w:bCs w:val="0"/>
          <w:color w:val="auto"/>
          <w:kern w:val="2"/>
          <w:sz w:val="24"/>
          <w:szCs w:val="24"/>
          <w:highlight w:val="none"/>
          <w:lang w:val="en-US" w:eastAsia="zh-CN" w:bidi="ar-SA"/>
        </w:rPr>
        <w:t>高压</w:t>
      </w:r>
      <w:r>
        <w:rPr>
          <w:rFonts w:hint="eastAsia" w:ascii="宋体" w:hAnsi="宋体" w:cs="宋体"/>
          <w:b/>
          <w:bCs w:val="0"/>
          <w:color w:val="auto"/>
          <w:sz w:val="24"/>
          <w:szCs w:val="24"/>
          <w:highlight w:val="none"/>
          <w:lang w:val="en-US" w:eastAsia="zh-CN"/>
        </w:rPr>
        <w:t>开关柜</w:t>
      </w:r>
      <w:r>
        <w:rPr>
          <w:rFonts w:hint="eastAsia" w:ascii="宋体" w:hAnsi="宋体" w:eastAsia="宋体" w:cs="宋体"/>
          <w:b/>
          <w:bCs w:val="0"/>
          <w:color w:val="auto"/>
          <w:sz w:val="24"/>
          <w:szCs w:val="24"/>
          <w:highlight w:val="none"/>
          <w:lang w:val="en-US" w:eastAsia="zh-CN"/>
        </w:rPr>
        <w:t>及附件</w:t>
      </w:r>
      <w:r>
        <w:rPr>
          <w:rFonts w:hint="eastAsia" w:ascii="宋体" w:hAnsi="宋体" w:cs="宋体"/>
          <w:b/>
          <w:bCs w:val="0"/>
          <w:color w:val="auto"/>
          <w:sz w:val="24"/>
          <w:szCs w:val="24"/>
          <w:highlight w:val="none"/>
          <w:lang w:val="en-US" w:eastAsia="zh-CN"/>
        </w:rPr>
        <w:t>提前</w:t>
      </w:r>
      <w:r>
        <w:rPr>
          <w:rFonts w:hint="eastAsia" w:ascii="宋体" w:hAnsi="宋体" w:eastAsia="宋体" w:cs="宋体"/>
          <w:b/>
          <w:bCs w:val="0"/>
          <w:color w:val="auto"/>
          <w:sz w:val="24"/>
          <w:szCs w:val="24"/>
          <w:highlight w:val="none"/>
          <w:lang w:val="en-US" w:eastAsia="zh-CN"/>
        </w:rPr>
        <w:t>吊运至</w:t>
      </w:r>
      <w:r>
        <w:rPr>
          <w:rFonts w:hint="eastAsia" w:ascii="宋体" w:hAnsi="宋体" w:cs="宋体"/>
          <w:b/>
          <w:bCs w:val="0"/>
          <w:color w:val="auto"/>
          <w:sz w:val="24"/>
          <w:szCs w:val="24"/>
          <w:highlight w:val="none"/>
          <w:lang w:val="en-US" w:eastAsia="zh-CN"/>
        </w:rPr>
        <w:t>35</w:t>
      </w:r>
      <w:r>
        <w:rPr>
          <w:rFonts w:hint="eastAsia" w:ascii="宋体" w:hAnsi="宋体" w:eastAsia="宋体" w:cs="宋体"/>
          <w:b/>
          <w:bCs w:val="0"/>
          <w:color w:val="auto"/>
          <w:sz w:val="24"/>
          <w:szCs w:val="24"/>
          <w:highlight w:val="none"/>
          <w:lang w:val="en-US" w:eastAsia="zh-CN"/>
        </w:rPr>
        <w:t>KV</w:t>
      </w:r>
      <w:r>
        <w:rPr>
          <w:rFonts w:hint="eastAsia" w:ascii="宋体" w:hAnsi="宋体" w:cs="宋体"/>
          <w:b/>
          <w:bCs w:val="0"/>
          <w:color w:val="auto"/>
          <w:sz w:val="24"/>
          <w:szCs w:val="24"/>
          <w:highlight w:val="none"/>
          <w:lang w:val="en-US" w:eastAsia="zh-CN"/>
        </w:rPr>
        <w:t>配电室附近</w:t>
      </w:r>
      <w:r>
        <w:rPr>
          <w:rFonts w:hint="eastAsia" w:ascii="宋体" w:hAnsi="宋体" w:eastAsia="宋体" w:cs="宋体"/>
          <w:b/>
          <w:bCs w:val="0"/>
          <w:color w:val="auto"/>
          <w:sz w:val="24"/>
          <w:szCs w:val="24"/>
          <w:highlight w:val="none"/>
          <w:lang w:val="en-US" w:eastAsia="zh-CN"/>
        </w:rPr>
        <w:t>（乙方）</w:t>
      </w:r>
    </w:p>
    <w:p w14:paraId="69E87BF7">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
          <w:bCs w:val="0"/>
          <w:color w:val="auto"/>
          <w:sz w:val="24"/>
          <w:szCs w:val="24"/>
          <w:highlight w:val="none"/>
          <w:lang w:val="en-US" w:eastAsia="zh-CN"/>
        </w:rPr>
      </w:pPr>
      <w:r>
        <w:rPr>
          <w:rFonts w:hint="eastAsia" w:ascii="宋体" w:hAnsi="宋体" w:cs="宋体"/>
          <w:b/>
          <w:bCs w:val="0"/>
          <w:color w:val="auto"/>
          <w:sz w:val="24"/>
          <w:szCs w:val="24"/>
          <w:highlight w:val="none"/>
          <w:lang w:val="en-US" w:eastAsia="zh-CN"/>
        </w:rPr>
        <w:t>本次安装工程涉及门、墙拆除及恢复，由安装单位总体负责该事项（乙方）</w:t>
      </w:r>
    </w:p>
    <w:p w14:paraId="3E3417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
          <w:bCs w:val="0"/>
          <w:color w:val="auto"/>
          <w:sz w:val="24"/>
          <w:szCs w:val="24"/>
          <w:highlight w:val="none"/>
          <w:lang w:eastAsia="zh-CN"/>
        </w:rPr>
      </w:pPr>
      <w:r>
        <w:rPr>
          <w:rFonts w:hint="eastAsia" w:ascii="宋体" w:hAnsi="宋体" w:cs="宋体"/>
          <w:b/>
          <w:bCs w:val="0"/>
          <w:color w:val="auto"/>
          <w:sz w:val="24"/>
          <w:szCs w:val="24"/>
          <w:highlight w:val="none"/>
          <w:lang w:val="en-US" w:eastAsia="zh-CN"/>
        </w:rPr>
        <w:t>3</w:t>
      </w:r>
      <w:r>
        <w:rPr>
          <w:rFonts w:hint="eastAsia" w:ascii="宋体" w:hAnsi="宋体" w:eastAsia="宋体" w:cs="宋体"/>
          <w:b/>
          <w:bCs w:val="0"/>
          <w:color w:val="auto"/>
          <w:sz w:val="24"/>
          <w:szCs w:val="24"/>
          <w:highlight w:val="none"/>
          <w:lang w:val="en-US" w:eastAsia="zh-CN"/>
        </w:rPr>
        <w:t>、</w:t>
      </w:r>
      <w:r>
        <w:rPr>
          <w:rFonts w:hint="eastAsia" w:ascii="宋体" w:hAnsi="宋体" w:cs="宋体"/>
          <w:b/>
          <w:bCs w:val="0"/>
          <w:color w:val="auto"/>
          <w:sz w:val="24"/>
          <w:szCs w:val="24"/>
          <w:highlight w:val="none"/>
          <w:lang w:val="en-US" w:eastAsia="zh-CN"/>
        </w:rPr>
        <w:t>35KV高压开关柜</w:t>
      </w:r>
      <w:r>
        <w:rPr>
          <w:rFonts w:hint="eastAsia" w:ascii="宋体" w:hAnsi="宋体" w:eastAsia="宋体" w:cs="宋体"/>
          <w:b/>
          <w:bCs w:val="0"/>
          <w:color w:val="auto"/>
          <w:sz w:val="24"/>
          <w:szCs w:val="24"/>
          <w:highlight w:val="none"/>
        </w:rPr>
        <w:t>电气交接试验</w:t>
      </w:r>
      <w:r>
        <w:rPr>
          <w:rFonts w:hint="eastAsia" w:ascii="宋体" w:hAnsi="宋体" w:eastAsia="宋体" w:cs="宋体"/>
          <w:b/>
          <w:bCs w:val="0"/>
          <w:color w:val="auto"/>
          <w:sz w:val="24"/>
          <w:szCs w:val="24"/>
          <w:highlight w:val="none"/>
          <w:lang w:eastAsia="zh-CN"/>
        </w:rPr>
        <w:t>（</w:t>
      </w:r>
      <w:r>
        <w:rPr>
          <w:rFonts w:hint="eastAsia" w:ascii="宋体" w:hAnsi="宋体" w:eastAsia="宋体" w:cs="宋体"/>
          <w:b/>
          <w:bCs w:val="0"/>
          <w:color w:val="auto"/>
          <w:sz w:val="24"/>
          <w:szCs w:val="24"/>
          <w:highlight w:val="none"/>
          <w:lang w:val="en-US" w:eastAsia="zh-CN"/>
        </w:rPr>
        <w:t>乙方</w:t>
      </w:r>
      <w:r>
        <w:rPr>
          <w:rFonts w:hint="eastAsia" w:ascii="宋体" w:hAnsi="宋体" w:eastAsia="宋体" w:cs="宋体"/>
          <w:b/>
          <w:bCs w:val="0"/>
          <w:color w:val="auto"/>
          <w:sz w:val="24"/>
          <w:szCs w:val="24"/>
          <w:highlight w:val="none"/>
          <w:lang w:eastAsia="zh-CN"/>
        </w:rPr>
        <w:t>）</w:t>
      </w:r>
    </w:p>
    <w:p w14:paraId="68F349D8">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
          <w:bCs w:val="0"/>
          <w:color w:val="auto"/>
          <w:sz w:val="24"/>
          <w:szCs w:val="24"/>
          <w:highlight w:val="none"/>
          <w:lang w:eastAsia="zh-CN"/>
        </w:rPr>
      </w:pPr>
      <w:r>
        <w:rPr>
          <w:rFonts w:hint="eastAsia" w:ascii="宋体" w:hAnsi="宋体" w:cs="宋体"/>
          <w:b/>
          <w:bCs w:val="0"/>
          <w:color w:val="auto"/>
          <w:sz w:val="24"/>
          <w:szCs w:val="24"/>
          <w:highlight w:val="none"/>
          <w:lang w:val="en-US" w:eastAsia="zh-CN"/>
        </w:rPr>
        <w:t>施工单位在安装过程中拍照附录于竣工报告中，安装完成后将竣工报告及电气预防性试验报告两份报告分开装订提交于发包方（35KV开关柜安装后的试验数据同步摘录于电气预防性试验报告中）。</w:t>
      </w:r>
      <w:r>
        <w:rPr>
          <w:rFonts w:hint="eastAsia" w:ascii="宋体" w:hAnsi="宋体" w:eastAsia="宋体" w:cs="宋体"/>
          <w:b/>
          <w:bCs w:val="0"/>
          <w:color w:val="auto"/>
          <w:sz w:val="24"/>
          <w:szCs w:val="24"/>
          <w:highlight w:val="none"/>
          <w:lang w:eastAsia="zh-CN"/>
        </w:rPr>
        <w:t>（</w:t>
      </w:r>
      <w:r>
        <w:rPr>
          <w:rFonts w:hint="eastAsia" w:ascii="宋体" w:hAnsi="宋体" w:eastAsia="宋体" w:cs="宋体"/>
          <w:b/>
          <w:bCs w:val="0"/>
          <w:color w:val="auto"/>
          <w:sz w:val="24"/>
          <w:szCs w:val="24"/>
          <w:highlight w:val="none"/>
          <w:lang w:val="en-US" w:eastAsia="zh-CN"/>
        </w:rPr>
        <w:t>乙方</w:t>
      </w:r>
      <w:r>
        <w:rPr>
          <w:rFonts w:hint="eastAsia" w:ascii="宋体" w:hAnsi="宋体" w:eastAsia="宋体" w:cs="宋体"/>
          <w:b/>
          <w:bCs w:val="0"/>
          <w:color w:val="auto"/>
          <w:sz w:val="24"/>
          <w:szCs w:val="24"/>
          <w:highlight w:val="none"/>
          <w:lang w:eastAsia="zh-CN"/>
        </w:rPr>
        <w:t>）</w:t>
      </w:r>
    </w:p>
    <w:p w14:paraId="0CC75383">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left="0" w:leftChars="0" w:firstLine="0" w:firstLineChars="0"/>
        <w:jc w:val="both"/>
        <w:textAlignment w:val="auto"/>
        <w:rPr>
          <w:rFonts w:hint="default" w:ascii="宋体" w:hAnsi="宋体" w:eastAsia="宋体" w:cs="宋体"/>
          <w:b/>
          <w:bCs w:val="0"/>
          <w:color w:val="auto"/>
          <w:sz w:val="24"/>
          <w:szCs w:val="24"/>
          <w:highlight w:val="none"/>
          <w:lang w:val="en-US" w:eastAsia="zh-CN"/>
        </w:rPr>
      </w:pPr>
      <w:r>
        <w:rPr>
          <w:rFonts w:hint="eastAsia" w:ascii="宋体" w:hAnsi="宋体" w:cs="宋体"/>
          <w:b/>
          <w:bCs w:val="0"/>
          <w:color w:val="auto"/>
          <w:sz w:val="24"/>
          <w:szCs w:val="24"/>
          <w:highlight w:val="none"/>
          <w:lang w:val="en-US" w:eastAsia="zh-CN"/>
        </w:rPr>
        <w:t>安装及预防性试验包含但不限于以下各项：</w:t>
      </w:r>
    </w:p>
    <w:p w14:paraId="1342BEB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both"/>
        <w:textAlignment w:val="auto"/>
        <w:rPr>
          <w:rFonts w:hint="default" w:ascii="宋体" w:hAnsi="宋体" w:eastAsia="宋体" w:cs="宋体"/>
          <w:b/>
          <w:bCs w:val="0"/>
          <w:color w:val="auto"/>
          <w:sz w:val="24"/>
          <w:szCs w:val="24"/>
          <w:highlight w:val="none"/>
          <w:lang w:val="en-US" w:eastAsia="zh-CN"/>
        </w:rPr>
      </w:pPr>
      <w:r>
        <w:rPr>
          <w:rFonts w:hint="eastAsia" w:ascii="宋体" w:hAnsi="宋体" w:cs="宋体"/>
          <w:b/>
          <w:bCs w:val="0"/>
          <w:color w:val="auto"/>
          <w:sz w:val="24"/>
          <w:szCs w:val="24"/>
          <w:highlight w:val="none"/>
          <w:lang w:val="en-US" w:eastAsia="zh-CN"/>
        </w:rPr>
        <w:t>附表4：</w:t>
      </w:r>
    </w:p>
    <w:tbl>
      <w:tblPr>
        <w:tblStyle w:val="24"/>
        <w:tblW w:w="9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503"/>
        <w:gridCol w:w="5959"/>
        <w:gridCol w:w="911"/>
      </w:tblGrid>
      <w:tr w14:paraId="05568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568B19A4">
            <w:pPr>
              <w:rPr>
                <w:rFonts w:hint="default"/>
                <w:color w:val="auto"/>
                <w:sz w:val="28"/>
                <w:szCs w:val="28"/>
                <w:highlight w:val="none"/>
                <w:lang w:val="en-US" w:eastAsia="zh-CN"/>
              </w:rPr>
            </w:pPr>
            <w:r>
              <w:rPr>
                <w:rFonts w:hint="eastAsia"/>
                <w:color w:val="auto"/>
                <w:sz w:val="28"/>
                <w:szCs w:val="28"/>
                <w:highlight w:val="none"/>
                <w:lang w:val="en-US" w:eastAsia="zh-CN"/>
              </w:rPr>
              <w:t>序号</w:t>
            </w:r>
          </w:p>
        </w:tc>
        <w:tc>
          <w:tcPr>
            <w:tcW w:w="1503" w:type="dxa"/>
          </w:tcPr>
          <w:p w14:paraId="4693A669">
            <w:pPr>
              <w:jc w:val="center"/>
              <w:rPr>
                <w:rFonts w:hint="default"/>
                <w:color w:val="auto"/>
                <w:sz w:val="28"/>
                <w:szCs w:val="28"/>
                <w:highlight w:val="none"/>
                <w:lang w:val="en-US" w:eastAsia="zh-CN"/>
              </w:rPr>
            </w:pPr>
            <w:r>
              <w:rPr>
                <w:rFonts w:hint="eastAsia"/>
                <w:color w:val="auto"/>
                <w:sz w:val="28"/>
                <w:szCs w:val="28"/>
                <w:highlight w:val="none"/>
                <w:lang w:val="en-US" w:eastAsia="zh-CN"/>
              </w:rPr>
              <w:t>试验项目</w:t>
            </w:r>
          </w:p>
        </w:tc>
        <w:tc>
          <w:tcPr>
            <w:tcW w:w="5959" w:type="dxa"/>
          </w:tcPr>
          <w:p w14:paraId="5EBB873E">
            <w:pPr>
              <w:jc w:val="center"/>
              <w:rPr>
                <w:rFonts w:hint="default"/>
                <w:color w:val="auto"/>
                <w:sz w:val="28"/>
                <w:szCs w:val="28"/>
                <w:highlight w:val="none"/>
                <w:lang w:val="en-US" w:eastAsia="zh-CN"/>
              </w:rPr>
            </w:pPr>
            <w:r>
              <w:rPr>
                <w:rFonts w:hint="eastAsia"/>
                <w:color w:val="auto"/>
                <w:sz w:val="28"/>
                <w:szCs w:val="28"/>
                <w:highlight w:val="none"/>
                <w:lang w:val="en-US" w:eastAsia="zh-CN"/>
              </w:rPr>
              <w:t>主要技术要求（依据GB50150及关联标准）</w:t>
            </w:r>
          </w:p>
        </w:tc>
        <w:tc>
          <w:tcPr>
            <w:tcW w:w="911" w:type="dxa"/>
          </w:tcPr>
          <w:p w14:paraId="754B5EB3">
            <w:pPr>
              <w:jc w:val="center"/>
              <w:rPr>
                <w:rFonts w:hint="default"/>
                <w:color w:val="auto"/>
                <w:sz w:val="28"/>
                <w:szCs w:val="28"/>
                <w:highlight w:val="none"/>
                <w:lang w:val="en-US" w:eastAsia="zh-CN"/>
              </w:rPr>
            </w:pPr>
            <w:r>
              <w:rPr>
                <w:rFonts w:hint="eastAsia"/>
                <w:color w:val="auto"/>
                <w:sz w:val="28"/>
                <w:szCs w:val="28"/>
                <w:highlight w:val="none"/>
                <w:lang w:val="en-US" w:eastAsia="zh-CN"/>
              </w:rPr>
              <w:t>备注</w:t>
            </w:r>
          </w:p>
        </w:tc>
      </w:tr>
      <w:tr w14:paraId="4608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09F4A98A">
            <w:pPr>
              <w:jc w:val="center"/>
              <w:rPr>
                <w:rFonts w:hint="eastAsia"/>
                <w:color w:val="auto"/>
                <w:sz w:val="24"/>
                <w:szCs w:val="24"/>
                <w:highlight w:val="none"/>
                <w:lang w:val="en-US" w:eastAsia="zh-CN"/>
              </w:rPr>
            </w:pPr>
          </w:p>
          <w:p w14:paraId="553790FD">
            <w:pPr>
              <w:jc w:val="center"/>
              <w:rPr>
                <w:rFonts w:hint="default"/>
                <w:color w:val="auto"/>
                <w:sz w:val="24"/>
                <w:szCs w:val="24"/>
                <w:highlight w:val="none"/>
                <w:lang w:val="en-US" w:eastAsia="zh-CN"/>
              </w:rPr>
            </w:pPr>
            <w:r>
              <w:rPr>
                <w:rFonts w:hint="eastAsia"/>
                <w:color w:val="auto"/>
                <w:sz w:val="24"/>
                <w:szCs w:val="24"/>
                <w:highlight w:val="none"/>
                <w:lang w:val="en-US" w:eastAsia="zh-CN"/>
              </w:rPr>
              <w:t>1</w:t>
            </w:r>
          </w:p>
        </w:tc>
        <w:tc>
          <w:tcPr>
            <w:tcW w:w="1503" w:type="dxa"/>
          </w:tcPr>
          <w:p w14:paraId="233117D3">
            <w:pPr>
              <w:jc w:val="center"/>
              <w:rPr>
                <w:rFonts w:hint="default"/>
                <w:color w:val="auto"/>
                <w:highlight w:val="none"/>
                <w:lang w:val="en-US" w:eastAsia="zh-CN"/>
              </w:rPr>
            </w:pPr>
            <w:r>
              <w:rPr>
                <w:rFonts w:hint="eastAsia"/>
                <w:color w:val="auto"/>
                <w:highlight w:val="none"/>
                <w:lang w:val="en-US" w:eastAsia="zh-CN"/>
              </w:rPr>
              <w:t>外观及机构检查</w:t>
            </w:r>
          </w:p>
        </w:tc>
        <w:tc>
          <w:tcPr>
            <w:tcW w:w="5959" w:type="dxa"/>
          </w:tcPr>
          <w:p w14:paraId="56AD7240">
            <w:pPr>
              <w:numPr>
                <w:ilvl w:val="0"/>
                <w:numId w:val="9"/>
              </w:numPr>
              <w:jc w:val="both"/>
              <w:rPr>
                <w:rFonts w:hint="eastAsia"/>
                <w:color w:val="auto"/>
                <w:highlight w:val="none"/>
                <w:lang w:eastAsia="zh-CN"/>
              </w:rPr>
            </w:pPr>
            <w:r>
              <w:rPr>
                <w:rFonts w:hint="eastAsia"/>
                <w:color w:val="auto"/>
                <w:highlight w:val="none"/>
                <w:lang w:eastAsia="zh-CN"/>
              </w:rPr>
              <w:t xml:space="preserve">柜体完好，漆层无损，接地标识清晰。 </w:t>
            </w:r>
          </w:p>
          <w:p w14:paraId="152CFD02">
            <w:pPr>
              <w:numPr>
                <w:ilvl w:val="0"/>
                <w:numId w:val="9"/>
              </w:numPr>
              <w:ind w:left="0" w:leftChars="0" w:firstLine="0" w:firstLineChars="0"/>
              <w:jc w:val="both"/>
              <w:rPr>
                <w:rFonts w:hint="eastAsia"/>
                <w:color w:val="auto"/>
                <w:highlight w:val="none"/>
                <w:lang w:eastAsia="zh-CN"/>
              </w:rPr>
            </w:pPr>
            <w:r>
              <w:rPr>
                <w:rFonts w:hint="eastAsia"/>
                <w:color w:val="auto"/>
                <w:highlight w:val="none"/>
                <w:lang w:eastAsia="zh-CN"/>
              </w:rPr>
              <w:t xml:space="preserve">机械闭锁、电气闭锁功能正确、可靠，符合“五防”要求。 </w:t>
            </w:r>
          </w:p>
          <w:p w14:paraId="6F77679E">
            <w:pPr>
              <w:numPr>
                <w:ilvl w:val="0"/>
                <w:numId w:val="9"/>
              </w:numPr>
              <w:ind w:left="0" w:leftChars="0" w:firstLine="0" w:firstLineChars="0"/>
              <w:jc w:val="both"/>
              <w:rPr>
                <w:rFonts w:hint="eastAsia"/>
                <w:color w:val="auto"/>
                <w:highlight w:val="none"/>
                <w:lang w:eastAsia="zh-CN"/>
              </w:rPr>
            </w:pPr>
            <w:r>
              <w:rPr>
                <w:rFonts w:hint="eastAsia"/>
                <w:color w:val="auto"/>
                <w:highlight w:val="none"/>
                <w:lang w:eastAsia="zh-CN"/>
              </w:rPr>
              <w:t xml:space="preserve">操作机构灵活，无卡涩，分合闸指示正确。 </w:t>
            </w:r>
          </w:p>
          <w:p w14:paraId="7CDE43A5">
            <w:pPr>
              <w:numPr>
                <w:ilvl w:val="0"/>
                <w:numId w:val="0"/>
              </w:numPr>
              <w:ind w:leftChars="0"/>
              <w:jc w:val="both"/>
              <w:rPr>
                <w:rFonts w:hint="eastAsia"/>
                <w:color w:val="auto"/>
                <w:highlight w:val="none"/>
                <w:lang w:eastAsia="zh-CN"/>
              </w:rPr>
            </w:pPr>
            <w:r>
              <w:rPr>
                <w:rFonts w:hint="eastAsia"/>
                <w:color w:val="auto"/>
                <w:highlight w:val="none"/>
                <w:lang w:eastAsia="zh-CN"/>
              </w:rPr>
              <w:t>4. 所有元件、螺丝紧固，无松动。</w:t>
            </w:r>
          </w:p>
        </w:tc>
        <w:tc>
          <w:tcPr>
            <w:tcW w:w="911" w:type="dxa"/>
          </w:tcPr>
          <w:p w14:paraId="69B17060">
            <w:pPr>
              <w:jc w:val="center"/>
              <w:rPr>
                <w:rFonts w:hint="eastAsia"/>
                <w:color w:val="auto"/>
                <w:highlight w:val="none"/>
                <w:lang w:eastAsia="zh-CN"/>
              </w:rPr>
            </w:pPr>
          </w:p>
        </w:tc>
      </w:tr>
      <w:tr w14:paraId="05442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404849E5">
            <w:pPr>
              <w:jc w:val="center"/>
              <w:rPr>
                <w:rFonts w:hint="eastAsia"/>
                <w:color w:val="auto"/>
                <w:sz w:val="24"/>
                <w:szCs w:val="24"/>
                <w:highlight w:val="none"/>
                <w:lang w:val="en-US" w:eastAsia="zh-CN"/>
              </w:rPr>
            </w:pPr>
          </w:p>
          <w:p w14:paraId="4A67F613">
            <w:pPr>
              <w:jc w:val="center"/>
              <w:rPr>
                <w:rFonts w:hint="default"/>
                <w:color w:val="auto"/>
                <w:sz w:val="24"/>
                <w:szCs w:val="24"/>
                <w:highlight w:val="none"/>
                <w:lang w:val="en-US" w:eastAsia="zh-CN"/>
              </w:rPr>
            </w:pPr>
            <w:r>
              <w:rPr>
                <w:rFonts w:hint="eastAsia"/>
                <w:color w:val="auto"/>
                <w:sz w:val="24"/>
                <w:szCs w:val="24"/>
                <w:highlight w:val="none"/>
                <w:lang w:val="en-US" w:eastAsia="zh-CN"/>
              </w:rPr>
              <w:t>2</w:t>
            </w:r>
          </w:p>
        </w:tc>
        <w:tc>
          <w:tcPr>
            <w:tcW w:w="1503" w:type="dxa"/>
          </w:tcPr>
          <w:p w14:paraId="08991EE7">
            <w:pPr>
              <w:jc w:val="center"/>
              <w:rPr>
                <w:rFonts w:hint="default"/>
                <w:color w:val="auto"/>
                <w:highlight w:val="none"/>
                <w:lang w:val="en-US" w:eastAsia="zh-CN"/>
              </w:rPr>
            </w:pPr>
            <w:r>
              <w:rPr>
                <w:rFonts w:hint="eastAsia"/>
                <w:color w:val="auto"/>
                <w:highlight w:val="none"/>
                <w:lang w:val="en-US" w:eastAsia="zh-CN"/>
              </w:rPr>
              <w:t>绝缘电阻测量</w:t>
            </w:r>
          </w:p>
        </w:tc>
        <w:tc>
          <w:tcPr>
            <w:tcW w:w="5959" w:type="dxa"/>
          </w:tcPr>
          <w:p w14:paraId="65256EFE">
            <w:pPr>
              <w:numPr>
                <w:ilvl w:val="0"/>
                <w:numId w:val="10"/>
              </w:numPr>
              <w:jc w:val="both"/>
              <w:rPr>
                <w:rFonts w:hint="eastAsia"/>
                <w:color w:val="auto"/>
                <w:highlight w:val="none"/>
                <w:lang w:eastAsia="zh-CN"/>
              </w:rPr>
            </w:pPr>
            <w:r>
              <w:rPr>
                <w:rFonts w:hint="eastAsia"/>
                <w:color w:val="auto"/>
                <w:highlight w:val="none"/>
                <w:lang w:eastAsia="zh-CN"/>
              </w:rPr>
              <w:t xml:space="preserve">主回路：使用2500V或5000V兆欧表，每相对地及相间绝缘电阻值不应低于 1000 MΩ。 </w:t>
            </w:r>
          </w:p>
          <w:p w14:paraId="6411A140">
            <w:pPr>
              <w:numPr>
                <w:ilvl w:val="0"/>
                <w:numId w:val="10"/>
              </w:numPr>
              <w:ind w:left="0" w:leftChars="0" w:firstLine="0" w:firstLineChars="0"/>
              <w:jc w:val="both"/>
              <w:rPr>
                <w:rFonts w:hint="eastAsia"/>
                <w:color w:val="auto"/>
                <w:highlight w:val="none"/>
                <w:lang w:eastAsia="zh-CN"/>
              </w:rPr>
            </w:pPr>
            <w:r>
              <w:rPr>
                <w:rFonts w:hint="eastAsia"/>
                <w:color w:val="auto"/>
                <w:highlight w:val="none"/>
                <w:lang w:eastAsia="zh-CN"/>
              </w:rPr>
              <w:t xml:space="preserve">二次回路：使用1000V兆欧表，绝缘电阻不应低于 10 MΩ。 </w:t>
            </w:r>
          </w:p>
          <w:p w14:paraId="10256E7A">
            <w:pPr>
              <w:numPr>
                <w:ilvl w:val="0"/>
                <w:numId w:val="0"/>
              </w:numPr>
              <w:ind w:leftChars="0"/>
              <w:jc w:val="both"/>
              <w:rPr>
                <w:rFonts w:hint="eastAsia"/>
                <w:color w:val="auto"/>
                <w:highlight w:val="none"/>
                <w:lang w:eastAsia="zh-CN"/>
              </w:rPr>
            </w:pPr>
            <w:r>
              <w:rPr>
                <w:rFonts w:hint="eastAsia"/>
                <w:color w:val="auto"/>
                <w:highlight w:val="none"/>
                <w:lang w:eastAsia="zh-CN"/>
              </w:rPr>
              <w:t>3. 控制回路：使用1000V兆欧表，绝缘电阻不应低于 10 MΩ。</w:t>
            </w:r>
          </w:p>
        </w:tc>
        <w:tc>
          <w:tcPr>
            <w:tcW w:w="911" w:type="dxa"/>
          </w:tcPr>
          <w:p w14:paraId="03A42A07">
            <w:pPr>
              <w:jc w:val="center"/>
              <w:rPr>
                <w:rFonts w:hint="eastAsia"/>
                <w:color w:val="auto"/>
                <w:highlight w:val="none"/>
                <w:lang w:eastAsia="zh-CN"/>
              </w:rPr>
            </w:pPr>
          </w:p>
        </w:tc>
      </w:tr>
      <w:tr w14:paraId="3E012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4B1C433A">
            <w:pPr>
              <w:jc w:val="center"/>
              <w:rPr>
                <w:rFonts w:hint="eastAsia"/>
                <w:color w:val="auto"/>
                <w:sz w:val="24"/>
                <w:szCs w:val="24"/>
                <w:highlight w:val="none"/>
                <w:lang w:val="en-US" w:eastAsia="zh-CN"/>
              </w:rPr>
            </w:pPr>
          </w:p>
          <w:p w14:paraId="3E8E7FC4">
            <w:pPr>
              <w:jc w:val="center"/>
              <w:rPr>
                <w:rFonts w:hint="default"/>
                <w:color w:val="auto"/>
                <w:sz w:val="24"/>
                <w:szCs w:val="24"/>
                <w:highlight w:val="none"/>
                <w:lang w:val="en-US" w:eastAsia="zh-CN"/>
              </w:rPr>
            </w:pPr>
            <w:r>
              <w:rPr>
                <w:rFonts w:hint="eastAsia"/>
                <w:color w:val="auto"/>
                <w:sz w:val="24"/>
                <w:szCs w:val="24"/>
                <w:highlight w:val="none"/>
                <w:lang w:val="en-US" w:eastAsia="zh-CN"/>
              </w:rPr>
              <w:t>3</w:t>
            </w:r>
          </w:p>
        </w:tc>
        <w:tc>
          <w:tcPr>
            <w:tcW w:w="1503" w:type="dxa"/>
          </w:tcPr>
          <w:p w14:paraId="2827CA75">
            <w:pPr>
              <w:jc w:val="center"/>
              <w:rPr>
                <w:rFonts w:hint="default"/>
                <w:color w:val="auto"/>
                <w:highlight w:val="none"/>
                <w:lang w:val="en-US" w:eastAsia="zh-CN"/>
              </w:rPr>
            </w:pPr>
            <w:r>
              <w:rPr>
                <w:rFonts w:hint="eastAsia"/>
                <w:color w:val="auto"/>
                <w:highlight w:val="none"/>
                <w:lang w:val="en-US" w:eastAsia="zh-CN"/>
              </w:rPr>
              <w:t>主回路交流耐压试验</w:t>
            </w:r>
          </w:p>
        </w:tc>
        <w:tc>
          <w:tcPr>
            <w:tcW w:w="5959" w:type="dxa"/>
          </w:tcPr>
          <w:p w14:paraId="72EE42FD">
            <w:pPr>
              <w:numPr>
                <w:ilvl w:val="0"/>
                <w:numId w:val="11"/>
              </w:numPr>
              <w:jc w:val="both"/>
              <w:rPr>
                <w:rFonts w:hint="eastAsia"/>
                <w:color w:val="auto"/>
                <w:highlight w:val="none"/>
                <w:lang w:eastAsia="zh-CN"/>
              </w:rPr>
            </w:pPr>
            <w:r>
              <w:rPr>
                <w:rFonts w:hint="eastAsia"/>
                <w:color w:val="auto"/>
                <w:highlight w:val="none"/>
                <w:lang w:eastAsia="zh-CN"/>
              </w:rPr>
              <w:t xml:space="preserve">核心绝缘试验。试验电压按GB 50150规定，35kV系统设备一般为 85 kV（工频1分钟）。 </w:t>
            </w:r>
          </w:p>
          <w:p w14:paraId="6214D05D">
            <w:pPr>
              <w:numPr>
                <w:ilvl w:val="0"/>
                <w:numId w:val="11"/>
              </w:numPr>
              <w:ind w:left="0" w:leftChars="0" w:firstLine="0" w:firstLineChars="0"/>
              <w:jc w:val="both"/>
              <w:rPr>
                <w:rFonts w:hint="eastAsia"/>
                <w:color w:val="auto"/>
                <w:highlight w:val="none"/>
                <w:lang w:eastAsia="zh-CN"/>
              </w:rPr>
            </w:pPr>
            <w:r>
              <w:rPr>
                <w:rFonts w:hint="eastAsia"/>
                <w:color w:val="auto"/>
                <w:highlight w:val="none"/>
                <w:lang w:eastAsia="zh-CN"/>
              </w:rPr>
              <w:t xml:space="preserve">试验时，电流互感器二次绕组应短接接地，避雷器、保护装置等敏感元件应断开或隔离。 </w:t>
            </w:r>
          </w:p>
          <w:p w14:paraId="4ADC1A7C">
            <w:pPr>
              <w:numPr>
                <w:ilvl w:val="0"/>
                <w:numId w:val="0"/>
              </w:numPr>
              <w:ind w:leftChars="0"/>
              <w:jc w:val="both"/>
              <w:rPr>
                <w:rFonts w:hint="eastAsia"/>
                <w:color w:val="auto"/>
                <w:highlight w:val="none"/>
                <w:lang w:eastAsia="zh-CN"/>
              </w:rPr>
            </w:pPr>
            <w:r>
              <w:rPr>
                <w:rFonts w:hint="eastAsia"/>
                <w:color w:val="auto"/>
                <w:highlight w:val="none"/>
                <w:lang w:eastAsia="zh-CN"/>
              </w:rPr>
              <w:t>3. 无击穿、无闪络为合格。</w:t>
            </w:r>
          </w:p>
        </w:tc>
        <w:tc>
          <w:tcPr>
            <w:tcW w:w="911" w:type="dxa"/>
          </w:tcPr>
          <w:p w14:paraId="177605E9">
            <w:pPr>
              <w:jc w:val="center"/>
              <w:rPr>
                <w:rFonts w:hint="eastAsia"/>
                <w:color w:val="auto"/>
                <w:highlight w:val="none"/>
                <w:lang w:eastAsia="zh-CN"/>
              </w:rPr>
            </w:pPr>
          </w:p>
        </w:tc>
      </w:tr>
      <w:tr w14:paraId="526C1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57F6CF79">
            <w:pPr>
              <w:jc w:val="center"/>
              <w:rPr>
                <w:rFonts w:hint="eastAsia"/>
                <w:color w:val="auto"/>
                <w:sz w:val="24"/>
                <w:szCs w:val="24"/>
                <w:highlight w:val="none"/>
                <w:lang w:val="en-US" w:eastAsia="zh-CN"/>
              </w:rPr>
            </w:pPr>
          </w:p>
          <w:p w14:paraId="490C7F3F">
            <w:pPr>
              <w:jc w:val="center"/>
              <w:rPr>
                <w:rFonts w:hint="default"/>
                <w:color w:val="auto"/>
                <w:sz w:val="24"/>
                <w:szCs w:val="24"/>
                <w:highlight w:val="none"/>
                <w:lang w:val="en-US" w:eastAsia="zh-CN"/>
              </w:rPr>
            </w:pPr>
            <w:r>
              <w:rPr>
                <w:rFonts w:hint="eastAsia"/>
                <w:color w:val="auto"/>
                <w:sz w:val="24"/>
                <w:szCs w:val="24"/>
                <w:highlight w:val="none"/>
                <w:lang w:val="en-US" w:eastAsia="zh-CN"/>
              </w:rPr>
              <w:t>4</w:t>
            </w:r>
          </w:p>
        </w:tc>
        <w:tc>
          <w:tcPr>
            <w:tcW w:w="1503" w:type="dxa"/>
          </w:tcPr>
          <w:p w14:paraId="61373AD3">
            <w:pPr>
              <w:jc w:val="center"/>
              <w:rPr>
                <w:rFonts w:hint="default"/>
                <w:color w:val="auto"/>
                <w:highlight w:val="none"/>
                <w:lang w:val="en-US" w:eastAsia="zh-CN"/>
              </w:rPr>
            </w:pPr>
            <w:r>
              <w:rPr>
                <w:rFonts w:hint="eastAsia"/>
                <w:color w:val="auto"/>
                <w:highlight w:val="none"/>
                <w:lang w:val="en-US" w:eastAsia="zh-CN"/>
              </w:rPr>
              <w:t>辅助和控制回路交流耐压试验</w:t>
            </w:r>
          </w:p>
        </w:tc>
        <w:tc>
          <w:tcPr>
            <w:tcW w:w="5959" w:type="dxa"/>
          </w:tcPr>
          <w:p w14:paraId="0C2FDFF4">
            <w:pPr>
              <w:jc w:val="left"/>
              <w:rPr>
                <w:rFonts w:hint="eastAsia"/>
                <w:color w:val="auto"/>
                <w:highlight w:val="none"/>
                <w:lang w:eastAsia="zh-CN"/>
              </w:rPr>
            </w:pPr>
            <w:r>
              <w:rPr>
                <w:rFonts w:hint="eastAsia"/>
                <w:color w:val="auto"/>
                <w:highlight w:val="none"/>
                <w:lang w:eastAsia="zh-CN"/>
              </w:rPr>
              <w:t>试验电压为 1000V，持续1分钟。也可用2500V兆欧表测量绝缘电阻代替。</w:t>
            </w:r>
          </w:p>
        </w:tc>
        <w:tc>
          <w:tcPr>
            <w:tcW w:w="911" w:type="dxa"/>
          </w:tcPr>
          <w:p w14:paraId="514112E0">
            <w:pPr>
              <w:jc w:val="center"/>
              <w:rPr>
                <w:rFonts w:hint="eastAsia"/>
                <w:color w:val="auto"/>
                <w:highlight w:val="none"/>
                <w:lang w:eastAsia="zh-CN"/>
              </w:rPr>
            </w:pPr>
          </w:p>
        </w:tc>
      </w:tr>
      <w:tr w14:paraId="3F639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3F862354">
            <w:pPr>
              <w:jc w:val="center"/>
              <w:rPr>
                <w:rFonts w:hint="eastAsia"/>
                <w:color w:val="auto"/>
                <w:sz w:val="24"/>
                <w:szCs w:val="24"/>
                <w:highlight w:val="none"/>
                <w:lang w:val="en-US" w:eastAsia="zh-CN"/>
              </w:rPr>
            </w:pPr>
          </w:p>
          <w:p w14:paraId="4FDC1C68">
            <w:pPr>
              <w:jc w:val="center"/>
              <w:rPr>
                <w:rFonts w:hint="eastAsia"/>
                <w:color w:val="auto"/>
                <w:sz w:val="24"/>
                <w:szCs w:val="24"/>
                <w:highlight w:val="none"/>
                <w:lang w:val="en-US" w:eastAsia="zh-CN"/>
              </w:rPr>
            </w:pPr>
          </w:p>
          <w:p w14:paraId="153C6039">
            <w:pPr>
              <w:jc w:val="center"/>
              <w:rPr>
                <w:rFonts w:hint="default"/>
                <w:color w:val="auto"/>
                <w:sz w:val="24"/>
                <w:szCs w:val="24"/>
                <w:highlight w:val="none"/>
                <w:lang w:val="en-US" w:eastAsia="zh-CN"/>
              </w:rPr>
            </w:pPr>
            <w:r>
              <w:rPr>
                <w:rFonts w:hint="eastAsia"/>
                <w:color w:val="auto"/>
                <w:sz w:val="24"/>
                <w:szCs w:val="24"/>
                <w:highlight w:val="none"/>
                <w:lang w:val="en-US" w:eastAsia="zh-CN"/>
              </w:rPr>
              <w:t>5</w:t>
            </w:r>
          </w:p>
        </w:tc>
        <w:tc>
          <w:tcPr>
            <w:tcW w:w="1503" w:type="dxa"/>
          </w:tcPr>
          <w:p w14:paraId="0E0D762F">
            <w:pPr>
              <w:jc w:val="center"/>
              <w:rPr>
                <w:rFonts w:hint="eastAsia"/>
                <w:color w:val="auto"/>
                <w:highlight w:val="none"/>
                <w:lang w:eastAsia="zh-CN"/>
              </w:rPr>
            </w:pPr>
            <w:r>
              <w:rPr>
                <w:rFonts w:hint="eastAsia"/>
                <w:color w:val="auto"/>
                <w:highlight w:val="none"/>
                <w:lang w:val="en-US" w:eastAsia="zh-CN"/>
              </w:rPr>
              <w:t>断路器机械特性及导电回路电阻测试</w:t>
            </w:r>
          </w:p>
        </w:tc>
        <w:tc>
          <w:tcPr>
            <w:tcW w:w="5959" w:type="dxa"/>
          </w:tcPr>
          <w:p w14:paraId="08BF3C8F">
            <w:pPr>
              <w:numPr>
                <w:ilvl w:val="0"/>
                <w:numId w:val="12"/>
              </w:numPr>
              <w:jc w:val="both"/>
              <w:rPr>
                <w:rFonts w:hint="eastAsia"/>
                <w:color w:val="auto"/>
                <w:highlight w:val="none"/>
                <w:lang w:eastAsia="zh-CN"/>
              </w:rPr>
            </w:pPr>
            <w:r>
              <w:rPr>
                <w:rFonts w:hint="eastAsia"/>
                <w:color w:val="auto"/>
                <w:highlight w:val="none"/>
                <w:lang w:eastAsia="zh-CN"/>
              </w:rPr>
              <w:t xml:space="preserve">机械特性：测量分/合闸时间、三相不同期性、分/合闸速度，符合产品技术条件要求。 </w:t>
            </w:r>
          </w:p>
          <w:p w14:paraId="775325F3">
            <w:pPr>
              <w:numPr>
                <w:ilvl w:val="0"/>
                <w:numId w:val="0"/>
              </w:numPr>
              <w:jc w:val="both"/>
              <w:rPr>
                <w:rFonts w:hint="eastAsia"/>
                <w:color w:val="auto"/>
                <w:highlight w:val="none"/>
                <w:lang w:eastAsia="zh-CN"/>
              </w:rPr>
            </w:pPr>
            <w:r>
              <w:rPr>
                <w:rFonts w:hint="eastAsia"/>
                <w:color w:val="auto"/>
                <w:highlight w:val="none"/>
                <w:lang w:eastAsia="zh-CN"/>
              </w:rPr>
              <w:t>2. 导电回路电阻：使用回路电阻测试仪（100A直流压降法） 测量，测得值不应超过产品出厂试验值的1.2倍，且符合厂家要求（通常微欧级）。</w:t>
            </w:r>
          </w:p>
        </w:tc>
        <w:tc>
          <w:tcPr>
            <w:tcW w:w="911" w:type="dxa"/>
          </w:tcPr>
          <w:p w14:paraId="55E9EBAF">
            <w:pPr>
              <w:jc w:val="center"/>
              <w:rPr>
                <w:rFonts w:hint="eastAsia"/>
                <w:color w:val="auto"/>
                <w:highlight w:val="none"/>
                <w:lang w:eastAsia="zh-CN"/>
              </w:rPr>
            </w:pPr>
          </w:p>
        </w:tc>
      </w:tr>
      <w:tr w14:paraId="51E12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0851EB5D">
            <w:pPr>
              <w:jc w:val="center"/>
              <w:rPr>
                <w:rFonts w:hint="eastAsia"/>
                <w:color w:val="auto"/>
                <w:sz w:val="24"/>
                <w:szCs w:val="24"/>
                <w:highlight w:val="none"/>
                <w:lang w:val="en-US" w:eastAsia="zh-CN"/>
              </w:rPr>
            </w:pPr>
          </w:p>
          <w:p w14:paraId="313087E4">
            <w:pPr>
              <w:jc w:val="center"/>
              <w:rPr>
                <w:rFonts w:hint="eastAsia"/>
                <w:color w:val="auto"/>
                <w:sz w:val="24"/>
                <w:szCs w:val="24"/>
                <w:highlight w:val="none"/>
                <w:lang w:val="en-US" w:eastAsia="zh-CN"/>
              </w:rPr>
            </w:pPr>
          </w:p>
          <w:p w14:paraId="644F6C22">
            <w:pPr>
              <w:jc w:val="center"/>
              <w:rPr>
                <w:rFonts w:hint="default"/>
                <w:color w:val="auto"/>
                <w:sz w:val="24"/>
                <w:szCs w:val="24"/>
                <w:highlight w:val="none"/>
                <w:lang w:val="en-US" w:eastAsia="zh-CN"/>
              </w:rPr>
            </w:pPr>
            <w:r>
              <w:rPr>
                <w:rFonts w:hint="eastAsia"/>
                <w:color w:val="auto"/>
                <w:sz w:val="24"/>
                <w:szCs w:val="24"/>
                <w:highlight w:val="none"/>
                <w:lang w:val="en-US" w:eastAsia="zh-CN"/>
              </w:rPr>
              <w:t>6</w:t>
            </w:r>
          </w:p>
        </w:tc>
        <w:tc>
          <w:tcPr>
            <w:tcW w:w="1503" w:type="dxa"/>
          </w:tcPr>
          <w:p w14:paraId="0A6F180C">
            <w:pPr>
              <w:jc w:val="center"/>
              <w:rPr>
                <w:rFonts w:hint="default"/>
                <w:color w:val="auto"/>
                <w:highlight w:val="none"/>
                <w:lang w:val="en-US" w:eastAsia="zh-CN"/>
              </w:rPr>
            </w:pPr>
            <w:r>
              <w:rPr>
                <w:rFonts w:hint="eastAsia"/>
                <w:color w:val="auto"/>
                <w:highlight w:val="none"/>
                <w:lang w:val="en-US" w:eastAsia="zh-CN"/>
              </w:rPr>
              <w:t>电流互感器试验</w:t>
            </w:r>
          </w:p>
        </w:tc>
        <w:tc>
          <w:tcPr>
            <w:tcW w:w="5959" w:type="dxa"/>
          </w:tcPr>
          <w:p w14:paraId="141ED92F">
            <w:pPr>
              <w:numPr>
                <w:ilvl w:val="0"/>
                <w:numId w:val="13"/>
              </w:numPr>
              <w:jc w:val="left"/>
              <w:rPr>
                <w:rFonts w:hint="eastAsia"/>
                <w:color w:val="auto"/>
                <w:highlight w:val="none"/>
                <w:lang w:eastAsia="zh-CN"/>
              </w:rPr>
            </w:pPr>
            <w:r>
              <w:rPr>
                <w:rFonts w:hint="eastAsia"/>
                <w:color w:val="auto"/>
                <w:highlight w:val="none"/>
                <w:lang w:eastAsia="zh-CN"/>
              </w:rPr>
              <w:t xml:space="preserve">机械特性：测量分/合闸时间、三相不同期性、分/合闸速度，符合产品技术条件要求。 </w:t>
            </w:r>
          </w:p>
          <w:p w14:paraId="654987A0">
            <w:pPr>
              <w:numPr>
                <w:ilvl w:val="0"/>
                <w:numId w:val="0"/>
              </w:numPr>
              <w:jc w:val="both"/>
              <w:rPr>
                <w:rFonts w:hint="eastAsia"/>
                <w:color w:val="auto"/>
                <w:highlight w:val="none"/>
                <w:lang w:eastAsia="zh-CN"/>
              </w:rPr>
            </w:pPr>
            <w:r>
              <w:rPr>
                <w:rFonts w:hint="eastAsia"/>
                <w:color w:val="auto"/>
                <w:highlight w:val="none"/>
                <w:lang w:eastAsia="zh-CN"/>
              </w:rPr>
              <w:t>2. 导电回路电阻：使用回路电阻测试仪（100A直流压降法） 测量，测得值不应超过产品出厂试验值的1.2倍，且符合厂家要求（通常微欧级）。</w:t>
            </w:r>
          </w:p>
        </w:tc>
        <w:tc>
          <w:tcPr>
            <w:tcW w:w="911" w:type="dxa"/>
          </w:tcPr>
          <w:p w14:paraId="6578E301">
            <w:pPr>
              <w:jc w:val="center"/>
              <w:rPr>
                <w:rFonts w:hint="eastAsia"/>
                <w:color w:val="auto"/>
                <w:highlight w:val="none"/>
                <w:lang w:eastAsia="zh-CN"/>
              </w:rPr>
            </w:pPr>
          </w:p>
        </w:tc>
      </w:tr>
      <w:tr w14:paraId="42EC0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0119322F">
            <w:pPr>
              <w:jc w:val="center"/>
              <w:rPr>
                <w:rFonts w:hint="eastAsia"/>
                <w:color w:val="auto"/>
                <w:sz w:val="24"/>
                <w:szCs w:val="24"/>
                <w:highlight w:val="none"/>
                <w:lang w:val="en-US" w:eastAsia="zh-CN"/>
              </w:rPr>
            </w:pPr>
          </w:p>
          <w:p w14:paraId="7E908103">
            <w:pPr>
              <w:jc w:val="center"/>
              <w:rPr>
                <w:rFonts w:hint="default"/>
                <w:color w:val="auto"/>
                <w:sz w:val="24"/>
                <w:szCs w:val="24"/>
                <w:highlight w:val="none"/>
                <w:lang w:val="en-US" w:eastAsia="zh-CN"/>
              </w:rPr>
            </w:pPr>
            <w:r>
              <w:rPr>
                <w:rFonts w:hint="eastAsia"/>
                <w:color w:val="auto"/>
                <w:sz w:val="24"/>
                <w:szCs w:val="24"/>
                <w:highlight w:val="none"/>
                <w:lang w:val="en-US" w:eastAsia="zh-CN"/>
              </w:rPr>
              <w:t>7</w:t>
            </w:r>
          </w:p>
        </w:tc>
        <w:tc>
          <w:tcPr>
            <w:tcW w:w="1503" w:type="dxa"/>
          </w:tcPr>
          <w:p w14:paraId="596B1CB5">
            <w:pPr>
              <w:jc w:val="center"/>
              <w:rPr>
                <w:rFonts w:hint="default"/>
                <w:color w:val="auto"/>
                <w:highlight w:val="none"/>
                <w:lang w:val="en-US" w:eastAsia="zh-CN"/>
              </w:rPr>
            </w:pPr>
            <w:r>
              <w:rPr>
                <w:rFonts w:hint="eastAsia"/>
                <w:color w:val="auto"/>
                <w:highlight w:val="none"/>
                <w:lang w:val="en-US" w:eastAsia="zh-CN"/>
              </w:rPr>
              <w:t>电压互感器试验</w:t>
            </w:r>
          </w:p>
        </w:tc>
        <w:tc>
          <w:tcPr>
            <w:tcW w:w="5959" w:type="dxa"/>
          </w:tcPr>
          <w:p w14:paraId="51866F7C">
            <w:pPr>
              <w:numPr>
                <w:ilvl w:val="0"/>
                <w:numId w:val="14"/>
              </w:numPr>
              <w:jc w:val="both"/>
              <w:rPr>
                <w:rFonts w:hint="eastAsia"/>
                <w:color w:val="auto"/>
                <w:highlight w:val="none"/>
                <w:lang w:eastAsia="zh-CN"/>
              </w:rPr>
            </w:pPr>
            <w:r>
              <w:rPr>
                <w:rFonts w:hint="eastAsia"/>
                <w:color w:val="auto"/>
                <w:highlight w:val="none"/>
                <w:lang w:eastAsia="zh-CN"/>
              </w:rPr>
              <w:t xml:space="preserve">变比检查：与铭牌一致。 </w:t>
            </w:r>
          </w:p>
          <w:p w14:paraId="75DD00BC">
            <w:pPr>
              <w:numPr>
                <w:ilvl w:val="0"/>
                <w:numId w:val="14"/>
              </w:numPr>
              <w:ind w:left="0" w:leftChars="0" w:firstLine="0" w:firstLineChars="0"/>
              <w:jc w:val="both"/>
              <w:rPr>
                <w:rFonts w:hint="eastAsia"/>
                <w:color w:val="auto"/>
                <w:highlight w:val="none"/>
                <w:lang w:eastAsia="zh-CN"/>
              </w:rPr>
            </w:pPr>
            <w:r>
              <w:rPr>
                <w:rFonts w:hint="eastAsia"/>
                <w:color w:val="auto"/>
                <w:highlight w:val="none"/>
                <w:lang w:eastAsia="zh-CN"/>
              </w:rPr>
              <w:t xml:space="preserve">极性检查：极性正确。 </w:t>
            </w:r>
          </w:p>
          <w:p w14:paraId="6727E3BB">
            <w:pPr>
              <w:numPr>
                <w:ilvl w:val="0"/>
                <w:numId w:val="0"/>
              </w:numPr>
              <w:ind w:leftChars="0"/>
              <w:jc w:val="both"/>
              <w:rPr>
                <w:rFonts w:hint="eastAsia"/>
                <w:color w:val="auto"/>
                <w:highlight w:val="none"/>
                <w:lang w:eastAsia="zh-CN"/>
              </w:rPr>
            </w:pPr>
            <w:r>
              <w:rPr>
                <w:rFonts w:hint="eastAsia"/>
                <w:color w:val="auto"/>
                <w:highlight w:val="none"/>
                <w:lang w:eastAsia="zh-CN"/>
              </w:rPr>
              <w:t>3. 全绝缘PT的交流耐压试验。</w:t>
            </w:r>
          </w:p>
        </w:tc>
        <w:tc>
          <w:tcPr>
            <w:tcW w:w="911" w:type="dxa"/>
          </w:tcPr>
          <w:p w14:paraId="76583966">
            <w:pPr>
              <w:jc w:val="center"/>
              <w:rPr>
                <w:rFonts w:hint="eastAsia"/>
                <w:color w:val="auto"/>
                <w:highlight w:val="none"/>
                <w:lang w:eastAsia="zh-CN"/>
              </w:rPr>
            </w:pPr>
          </w:p>
        </w:tc>
      </w:tr>
      <w:tr w14:paraId="494DA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60FFD7C6">
            <w:pPr>
              <w:jc w:val="center"/>
              <w:rPr>
                <w:rFonts w:hint="eastAsia"/>
                <w:color w:val="auto"/>
                <w:sz w:val="24"/>
                <w:szCs w:val="24"/>
                <w:highlight w:val="none"/>
                <w:lang w:val="en-US" w:eastAsia="zh-CN"/>
              </w:rPr>
            </w:pPr>
          </w:p>
          <w:p w14:paraId="172CFBBB">
            <w:pPr>
              <w:jc w:val="center"/>
              <w:rPr>
                <w:rFonts w:hint="default"/>
                <w:color w:val="auto"/>
                <w:sz w:val="24"/>
                <w:szCs w:val="24"/>
                <w:highlight w:val="none"/>
                <w:lang w:val="en-US" w:eastAsia="zh-CN"/>
              </w:rPr>
            </w:pPr>
            <w:r>
              <w:rPr>
                <w:rFonts w:hint="eastAsia"/>
                <w:color w:val="auto"/>
                <w:sz w:val="24"/>
                <w:szCs w:val="24"/>
                <w:highlight w:val="none"/>
                <w:lang w:val="en-US" w:eastAsia="zh-CN"/>
              </w:rPr>
              <w:t>8</w:t>
            </w:r>
          </w:p>
        </w:tc>
        <w:tc>
          <w:tcPr>
            <w:tcW w:w="1503" w:type="dxa"/>
          </w:tcPr>
          <w:p w14:paraId="017C9829">
            <w:pPr>
              <w:jc w:val="center"/>
              <w:rPr>
                <w:rFonts w:hint="default"/>
                <w:color w:val="auto"/>
                <w:highlight w:val="none"/>
                <w:lang w:val="en-US" w:eastAsia="zh-CN"/>
              </w:rPr>
            </w:pPr>
            <w:r>
              <w:rPr>
                <w:rFonts w:hint="eastAsia"/>
                <w:color w:val="auto"/>
                <w:highlight w:val="none"/>
                <w:lang w:val="en-US" w:eastAsia="zh-CN"/>
              </w:rPr>
              <w:t>避雷器试验</w:t>
            </w:r>
          </w:p>
        </w:tc>
        <w:tc>
          <w:tcPr>
            <w:tcW w:w="5959" w:type="dxa"/>
          </w:tcPr>
          <w:p w14:paraId="022CFCE4">
            <w:pPr>
              <w:numPr>
                <w:ilvl w:val="0"/>
                <w:numId w:val="15"/>
              </w:numPr>
              <w:jc w:val="both"/>
              <w:rPr>
                <w:rFonts w:hint="eastAsia"/>
                <w:color w:val="auto"/>
                <w:highlight w:val="none"/>
                <w:lang w:eastAsia="zh-CN"/>
              </w:rPr>
            </w:pPr>
            <w:r>
              <w:rPr>
                <w:rFonts w:hint="eastAsia"/>
                <w:color w:val="auto"/>
                <w:highlight w:val="none"/>
                <w:lang w:eastAsia="zh-CN"/>
              </w:rPr>
              <w:t xml:space="preserve">绝缘电阻：使用2500V兆欧表，数值与出厂值比较无显著下降。 </w:t>
            </w:r>
          </w:p>
          <w:p w14:paraId="7BA305DE">
            <w:pPr>
              <w:numPr>
                <w:ilvl w:val="0"/>
                <w:numId w:val="0"/>
              </w:numPr>
              <w:jc w:val="both"/>
              <w:rPr>
                <w:rFonts w:hint="eastAsia"/>
                <w:color w:val="auto"/>
                <w:highlight w:val="none"/>
                <w:lang w:eastAsia="zh-CN"/>
              </w:rPr>
            </w:pPr>
            <w:r>
              <w:rPr>
                <w:rFonts w:hint="eastAsia"/>
                <w:color w:val="auto"/>
                <w:highlight w:val="none"/>
                <w:lang w:eastAsia="zh-CN"/>
              </w:rPr>
              <w:t>2. 直流1mA电压（U1mA）及0.75U1mA下的泄漏电流：测量值应符合产品技术条件规定。</w:t>
            </w:r>
          </w:p>
        </w:tc>
        <w:tc>
          <w:tcPr>
            <w:tcW w:w="911" w:type="dxa"/>
          </w:tcPr>
          <w:p w14:paraId="39916A55">
            <w:pPr>
              <w:jc w:val="center"/>
              <w:rPr>
                <w:rFonts w:hint="eastAsia"/>
                <w:color w:val="auto"/>
                <w:highlight w:val="none"/>
                <w:lang w:eastAsia="zh-CN"/>
              </w:rPr>
            </w:pPr>
          </w:p>
        </w:tc>
      </w:tr>
      <w:tr w14:paraId="4256A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7A8B7D18">
            <w:pPr>
              <w:jc w:val="center"/>
              <w:rPr>
                <w:rFonts w:hint="eastAsia"/>
                <w:color w:val="auto"/>
                <w:sz w:val="24"/>
                <w:szCs w:val="24"/>
                <w:highlight w:val="none"/>
                <w:lang w:val="en-US" w:eastAsia="zh-CN"/>
              </w:rPr>
            </w:pPr>
          </w:p>
          <w:p w14:paraId="7FE3B046">
            <w:pPr>
              <w:jc w:val="center"/>
              <w:rPr>
                <w:rFonts w:hint="eastAsia"/>
                <w:color w:val="auto"/>
                <w:sz w:val="24"/>
                <w:szCs w:val="24"/>
                <w:highlight w:val="none"/>
                <w:lang w:val="en-US" w:eastAsia="zh-CN"/>
              </w:rPr>
            </w:pPr>
          </w:p>
          <w:p w14:paraId="40B11636">
            <w:pPr>
              <w:jc w:val="center"/>
              <w:rPr>
                <w:rFonts w:hint="default"/>
                <w:color w:val="auto"/>
                <w:sz w:val="24"/>
                <w:szCs w:val="24"/>
                <w:highlight w:val="none"/>
                <w:lang w:val="en-US" w:eastAsia="zh-CN"/>
              </w:rPr>
            </w:pPr>
            <w:r>
              <w:rPr>
                <w:rFonts w:hint="eastAsia"/>
                <w:color w:val="auto"/>
                <w:sz w:val="24"/>
                <w:szCs w:val="24"/>
                <w:highlight w:val="none"/>
                <w:lang w:val="en-US" w:eastAsia="zh-CN"/>
              </w:rPr>
              <w:t>9</w:t>
            </w:r>
          </w:p>
        </w:tc>
        <w:tc>
          <w:tcPr>
            <w:tcW w:w="1503" w:type="dxa"/>
          </w:tcPr>
          <w:p w14:paraId="062182EC">
            <w:pPr>
              <w:jc w:val="center"/>
              <w:rPr>
                <w:rFonts w:hint="default"/>
                <w:color w:val="auto"/>
                <w:highlight w:val="none"/>
                <w:lang w:val="en-US" w:eastAsia="zh-CN"/>
              </w:rPr>
            </w:pPr>
            <w:r>
              <w:rPr>
                <w:rFonts w:hint="eastAsia"/>
                <w:color w:val="auto"/>
                <w:highlight w:val="none"/>
                <w:lang w:val="en-US" w:eastAsia="zh-CN"/>
              </w:rPr>
              <w:t>保护装置及二次回路校验</w:t>
            </w:r>
          </w:p>
        </w:tc>
        <w:tc>
          <w:tcPr>
            <w:tcW w:w="5959" w:type="dxa"/>
          </w:tcPr>
          <w:p w14:paraId="3A741ED4">
            <w:pPr>
              <w:numPr>
                <w:ilvl w:val="0"/>
                <w:numId w:val="16"/>
              </w:numPr>
              <w:jc w:val="both"/>
              <w:rPr>
                <w:rFonts w:hint="eastAsia"/>
                <w:color w:val="auto"/>
                <w:highlight w:val="none"/>
                <w:lang w:eastAsia="zh-CN"/>
              </w:rPr>
            </w:pPr>
            <w:r>
              <w:rPr>
                <w:rFonts w:hint="eastAsia"/>
                <w:color w:val="auto"/>
                <w:highlight w:val="none"/>
                <w:lang w:eastAsia="zh-CN"/>
              </w:rPr>
              <w:t xml:space="preserve">继电保护装置单体调试：按定值单进行功能校验，确保动作准确。 </w:t>
            </w:r>
          </w:p>
          <w:p w14:paraId="318107B1">
            <w:pPr>
              <w:numPr>
                <w:ilvl w:val="0"/>
                <w:numId w:val="16"/>
              </w:numPr>
              <w:ind w:left="0" w:leftChars="0" w:firstLine="0" w:firstLineChars="0"/>
              <w:jc w:val="both"/>
              <w:rPr>
                <w:rFonts w:hint="eastAsia"/>
                <w:color w:val="auto"/>
                <w:highlight w:val="none"/>
                <w:lang w:eastAsia="zh-CN"/>
              </w:rPr>
            </w:pPr>
            <w:r>
              <w:rPr>
                <w:rFonts w:hint="eastAsia"/>
                <w:color w:val="auto"/>
                <w:highlight w:val="none"/>
                <w:lang w:eastAsia="zh-CN"/>
              </w:rPr>
              <w:t xml:space="preserve">二次回路检查：核对接线正确性，进行传动试验，模拟故障，检查保护动作行为及信号指示是否正确。 </w:t>
            </w:r>
          </w:p>
          <w:p w14:paraId="62AF6D07">
            <w:pPr>
              <w:numPr>
                <w:ilvl w:val="0"/>
                <w:numId w:val="0"/>
              </w:numPr>
              <w:ind w:leftChars="0"/>
              <w:jc w:val="both"/>
              <w:rPr>
                <w:rFonts w:hint="eastAsia"/>
                <w:color w:val="auto"/>
                <w:highlight w:val="none"/>
                <w:lang w:eastAsia="zh-CN"/>
              </w:rPr>
            </w:pPr>
            <w:r>
              <w:rPr>
                <w:rFonts w:hint="eastAsia"/>
                <w:color w:val="auto"/>
                <w:highlight w:val="none"/>
                <w:lang w:eastAsia="zh-CN"/>
              </w:rPr>
              <w:t>3. 监控系统联调：检查“四遥”（遥信、遥测、遥控、遥调）功能是否正确。</w:t>
            </w:r>
          </w:p>
        </w:tc>
        <w:tc>
          <w:tcPr>
            <w:tcW w:w="911" w:type="dxa"/>
          </w:tcPr>
          <w:p w14:paraId="22B456B9">
            <w:pPr>
              <w:jc w:val="center"/>
              <w:rPr>
                <w:rFonts w:hint="eastAsia"/>
                <w:color w:val="auto"/>
                <w:highlight w:val="none"/>
                <w:lang w:eastAsia="zh-CN"/>
              </w:rPr>
            </w:pPr>
          </w:p>
        </w:tc>
      </w:tr>
      <w:tr w14:paraId="1A6E1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6AAA22C5">
            <w:pPr>
              <w:jc w:val="center"/>
              <w:rPr>
                <w:rFonts w:hint="eastAsia"/>
                <w:color w:val="auto"/>
                <w:sz w:val="24"/>
                <w:szCs w:val="24"/>
                <w:highlight w:val="none"/>
                <w:lang w:val="en-US" w:eastAsia="zh-CN"/>
              </w:rPr>
            </w:pPr>
          </w:p>
          <w:p w14:paraId="07A5D7D1">
            <w:pPr>
              <w:jc w:val="center"/>
              <w:rPr>
                <w:rFonts w:hint="default"/>
                <w:color w:val="auto"/>
                <w:sz w:val="24"/>
                <w:szCs w:val="24"/>
                <w:highlight w:val="none"/>
                <w:lang w:val="en-US" w:eastAsia="zh-CN"/>
              </w:rPr>
            </w:pPr>
            <w:r>
              <w:rPr>
                <w:rFonts w:hint="eastAsia"/>
                <w:color w:val="auto"/>
                <w:sz w:val="24"/>
                <w:szCs w:val="24"/>
                <w:highlight w:val="none"/>
                <w:lang w:val="en-US" w:eastAsia="zh-CN"/>
              </w:rPr>
              <w:t>10</w:t>
            </w:r>
          </w:p>
        </w:tc>
        <w:tc>
          <w:tcPr>
            <w:tcW w:w="1503" w:type="dxa"/>
          </w:tcPr>
          <w:p w14:paraId="2D14C617">
            <w:pPr>
              <w:jc w:val="center"/>
              <w:rPr>
                <w:rFonts w:hint="default"/>
                <w:color w:val="auto"/>
                <w:highlight w:val="none"/>
                <w:lang w:val="en-US" w:eastAsia="zh-CN"/>
              </w:rPr>
            </w:pPr>
            <w:r>
              <w:rPr>
                <w:rFonts w:hint="eastAsia"/>
                <w:color w:val="auto"/>
                <w:highlight w:val="none"/>
                <w:lang w:val="en-US" w:eastAsia="zh-CN"/>
              </w:rPr>
              <w:t>五防功能闭锁试验</w:t>
            </w:r>
          </w:p>
        </w:tc>
        <w:tc>
          <w:tcPr>
            <w:tcW w:w="5959" w:type="dxa"/>
          </w:tcPr>
          <w:p w14:paraId="488A166B">
            <w:pPr>
              <w:jc w:val="both"/>
              <w:rPr>
                <w:rFonts w:hint="eastAsia"/>
                <w:color w:val="auto"/>
                <w:highlight w:val="none"/>
                <w:lang w:eastAsia="zh-CN"/>
              </w:rPr>
            </w:pPr>
            <w:r>
              <w:rPr>
                <w:rFonts w:hint="eastAsia"/>
                <w:color w:val="auto"/>
                <w:highlight w:val="none"/>
                <w:lang w:eastAsia="zh-CN"/>
              </w:rPr>
              <w:t>强制性全面检查：模拟各种操作步骤，验证防止误分、误合断路器；防止带负荷分、合隔离开关；防止带电挂（合）接地线（接地开关）；防止带接地线（接地开关）合断路器（隔离开关）；防止误入带电间隔的功能必须100%正确可靠。</w:t>
            </w:r>
          </w:p>
        </w:tc>
        <w:tc>
          <w:tcPr>
            <w:tcW w:w="911" w:type="dxa"/>
          </w:tcPr>
          <w:p w14:paraId="752E9E1D">
            <w:pPr>
              <w:jc w:val="center"/>
              <w:rPr>
                <w:rFonts w:hint="eastAsia"/>
                <w:color w:val="auto"/>
                <w:highlight w:val="none"/>
                <w:lang w:eastAsia="zh-CN"/>
              </w:rPr>
            </w:pPr>
          </w:p>
        </w:tc>
      </w:tr>
      <w:tr w14:paraId="24EF3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826" w:type="dxa"/>
          </w:tcPr>
          <w:p w14:paraId="6DCC8711">
            <w:pPr>
              <w:jc w:val="center"/>
              <w:rPr>
                <w:rFonts w:hint="default"/>
                <w:color w:val="auto"/>
                <w:sz w:val="24"/>
                <w:szCs w:val="24"/>
                <w:highlight w:val="none"/>
                <w:lang w:val="en-US" w:eastAsia="zh-CN"/>
              </w:rPr>
            </w:pPr>
            <w:r>
              <w:rPr>
                <w:rFonts w:hint="eastAsia"/>
                <w:color w:val="auto"/>
                <w:sz w:val="24"/>
                <w:szCs w:val="24"/>
                <w:highlight w:val="none"/>
                <w:lang w:val="en-US" w:eastAsia="zh-CN"/>
              </w:rPr>
              <w:t>11</w:t>
            </w:r>
          </w:p>
        </w:tc>
        <w:tc>
          <w:tcPr>
            <w:tcW w:w="1503" w:type="dxa"/>
          </w:tcPr>
          <w:p w14:paraId="03046A69">
            <w:pPr>
              <w:jc w:val="center"/>
              <w:rPr>
                <w:rFonts w:hint="default"/>
                <w:color w:val="auto"/>
                <w:highlight w:val="none"/>
                <w:lang w:val="en-US" w:eastAsia="zh-CN"/>
              </w:rPr>
            </w:pPr>
            <w:r>
              <w:rPr>
                <w:rFonts w:hint="eastAsia"/>
                <w:color w:val="auto"/>
                <w:highlight w:val="none"/>
                <w:lang w:val="en-US" w:eastAsia="zh-CN"/>
              </w:rPr>
              <w:t>介质损耗测试</w:t>
            </w:r>
          </w:p>
        </w:tc>
        <w:tc>
          <w:tcPr>
            <w:tcW w:w="5959" w:type="dxa"/>
          </w:tcPr>
          <w:p w14:paraId="6D65EBB4">
            <w:pPr>
              <w:jc w:val="both"/>
              <w:rPr>
                <w:rFonts w:hint="default"/>
                <w:color w:val="auto"/>
                <w:highlight w:val="none"/>
                <w:lang w:val="en-US" w:eastAsia="zh-CN"/>
              </w:rPr>
            </w:pPr>
            <w:r>
              <w:rPr>
                <w:rFonts w:hint="eastAsia"/>
                <w:color w:val="auto"/>
                <w:highlight w:val="none"/>
                <w:lang w:val="en-US" w:eastAsia="zh-CN"/>
              </w:rPr>
              <w:t>灵敏反映绝缘整体受潮、脏污或严重缺陷</w:t>
            </w:r>
          </w:p>
        </w:tc>
        <w:tc>
          <w:tcPr>
            <w:tcW w:w="911" w:type="dxa"/>
          </w:tcPr>
          <w:p w14:paraId="3666C80C">
            <w:pPr>
              <w:jc w:val="center"/>
              <w:rPr>
                <w:rFonts w:hint="eastAsia"/>
                <w:color w:val="auto"/>
                <w:highlight w:val="none"/>
                <w:lang w:eastAsia="zh-CN"/>
              </w:rPr>
            </w:pPr>
          </w:p>
        </w:tc>
      </w:tr>
      <w:tr w14:paraId="7AC1D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746A4C1D">
            <w:pPr>
              <w:jc w:val="center"/>
              <w:rPr>
                <w:rFonts w:hint="eastAsia"/>
                <w:color w:val="auto"/>
                <w:sz w:val="24"/>
                <w:szCs w:val="24"/>
                <w:highlight w:val="none"/>
                <w:lang w:val="en-US" w:eastAsia="zh-CN"/>
              </w:rPr>
            </w:pPr>
          </w:p>
          <w:p w14:paraId="4A9B7EB7">
            <w:pPr>
              <w:jc w:val="center"/>
              <w:rPr>
                <w:rFonts w:hint="default"/>
                <w:color w:val="auto"/>
                <w:sz w:val="24"/>
                <w:szCs w:val="24"/>
                <w:highlight w:val="none"/>
                <w:lang w:val="en-US" w:eastAsia="zh-CN"/>
              </w:rPr>
            </w:pPr>
            <w:r>
              <w:rPr>
                <w:rFonts w:hint="eastAsia"/>
                <w:color w:val="auto"/>
                <w:sz w:val="24"/>
                <w:szCs w:val="24"/>
                <w:highlight w:val="none"/>
                <w:lang w:val="en-US" w:eastAsia="zh-CN"/>
              </w:rPr>
              <w:t>12</w:t>
            </w:r>
          </w:p>
        </w:tc>
        <w:tc>
          <w:tcPr>
            <w:tcW w:w="1503" w:type="dxa"/>
          </w:tcPr>
          <w:p w14:paraId="62146040">
            <w:pPr>
              <w:jc w:val="center"/>
              <w:rPr>
                <w:rFonts w:hint="default"/>
                <w:color w:val="auto"/>
                <w:highlight w:val="none"/>
                <w:lang w:val="en-US" w:eastAsia="zh-CN"/>
              </w:rPr>
            </w:pPr>
            <w:r>
              <w:rPr>
                <w:rFonts w:hint="eastAsia"/>
                <w:color w:val="auto"/>
                <w:highlight w:val="none"/>
                <w:lang w:val="en-US" w:eastAsia="zh-CN"/>
              </w:rPr>
              <w:t>局部放电试验</w:t>
            </w:r>
          </w:p>
        </w:tc>
        <w:tc>
          <w:tcPr>
            <w:tcW w:w="5959" w:type="dxa"/>
          </w:tcPr>
          <w:p w14:paraId="608311AA">
            <w:pPr>
              <w:jc w:val="both"/>
              <w:rPr>
                <w:rFonts w:hint="eastAsia"/>
                <w:color w:val="auto"/>
                <w:highlight w:val="none"/>
                <w:lang w:val="en-US" w:eastAsia="zh-CN"/>
              </w:rPr>
            </w:pPr>
            <w:r>
              <w:rPr>
                <w:rFonts w:hint="eastAsia"/>
                <w:color w:val="auto"/>
                <w:highlight w:val="none"/>
                <w:lang w:val="en-US" w:eastAsia="zh-CN"/>
              </w:rPr>
              <w:t>1.发现早期绝缘缺陷；</w:t>
            </w:r>
          </w:p>
          <w:p w14:paraId="53E83D01">
            <w:pPr>
              <w:jc w:val="both"/>
              <w:rPr>
                <w:rFonts w:hint="eastAsia"/>
                <w:color w:val="auto"/>
                <w:highlight w:val="none"/>
                <w:lang w:val="en-US" w:eastAsia="zh-CN"/>
              </w:rPr>
            </w:pPr>
            <w:r>
              <w:rPr>
                <w:rFonts w:hint="eastAsia"/>
                <w:color w:val="auto"/>
                <w:highlight w:val="none"/>
                <w:lang w:val="en-US" w:eastAsia="zh-CN"/>
              </w:rPr>
              <w:t>2.定位故障点；</w:t>
            </w:r>
          </w:p>
          <w:p w14:paraId="3D840B4C">
            <w:pPr>
              <w:jc w:val="both"/>
              <w:rPr>
                <w:rFonts w:hint="default"/>
                <w:color w:val="auto"/>
                <w:highlight w:val="none"/>
                <w:lang w:val="en-US" w:eastAsia="zh-CN"/>
              </w:rPr>
            </w:pPr>
            <w:r>
              <w:rPr>
                <w:rFonts w:hint="eastAsia"/>
                <w:color w:val="auto"/>
                <w:highlight w:val="none"/>
                <w:lang w:val="en-US" w:eastAsia="zh-CN"/>
              </w:rPr>
              <w:t>3.评估绝缘寿命。</w:t>
            </w:r>
          </w:p>
        </w:tc>
        <w:tc>
          <w:tcPr>
            <w:tcW w:w="911" w:type="dxa"/>
          </w:tcPr>
          <w:p w14:paraId="4C107588">
            <w:pPr>
              <w:jc w:val="center"/>
              <w:rPr>
                <w:rFonts w:hint="eastAsia"/>
                <w:color w:val="auto"/>
                <w:highlight w:val="none"/>
                <w:lang w:eastAsia="zh-CN"/>
              </w:rPr>
            </w:pPr>
          </w:p>
        </w:tc>
      </w:tr>
      <w:tr w14:paraId="61CCD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4695DB7C">
            <w:pPr>
              <w:jc w:val="center"/>
              <w:rPr>
                <w:rFonts w:hint="eastAsia"/>
                <w:color w:val="auto"/>
                <w:sz w:val="24"/>
                <w:szCs w:val="24"/>
                <w:highlight w:val="none"/>
                <w:lang w:val="en-US" w:eastAsia="zh-CN"/>
              </w:rPr>
            </w:pPr>
          </w:p>
          <w:p w14:paraId="418ADF9A">
            <w:pPr>
              <w:jc w:val="center"/>
              <w:rPr>
                <w:rFonts w:hint="eastAsia"/>
                <w:color w:val="auto"/>
                <w:sz w:val="24"/>
                <w:szCs w:val="24"/>
                <w:highlight w:val="none"/>
                <w:lang w:val="en-US" w:eastAsia="zh-CN"/>
              </w:rPr>
            </w:pPr>
          </w:p>
          <w:p w14:paraId="44B3EF5B">
            <w:pPr>
              <w:jc w:val="center"/>
              <w:rPr>
                <w:rFonts w:hint="eastAsia"/>
                <w:color w:val="auto"/>
                <w:sz w:val="24"/>
                <w:szCs w:val="24"/>
                <w:highlight w:val="none"/>
                <w:lang w:val="en-US" w:eastAsia="zh-CN"/>
              </w:rPr>
            </w:pPr>
          </w:p>
          <w:p w14:paraId="539ED427">
            <w:pPr>
              <w:jc w:val="center"/>
              <w:rPr>
                <w:rFonts w:hint="default"/>
                <w:color w:val="auto"/>
                <w:sz w:val="24"/>
                <w:szCs w:val="24"/>
                <w:highlight w:val="none"/>
                <w:lang w:val="en-US" w:eastAsia="zh-CN"/>
              </w:rPr>
            </w:pPr>
            <w:r>
              <w:rPr>
                <w:rFonts w:hint="eastAsia"/>
                <w:color w:val="auto"/>
                <w:sz w:val="24"/>
                <w:szCs w:val="24"/>
                <w:highlight w:val="none"/>
                <w:lang w:val="en-US" w:eastAsia="zh-CN"/>
              </w:rPr>
              <w:t>13</w:t>
            </w:r>
          </w:p>
        </w:tc>
        <w:tc>
          <w:tcPr>
            <w:tcW w:w="1503" w:type="dxa"/>
          </w:tcPr>
          <w:p w14:paraId="59F53C97">
            <w:pPr>
              <w:jc w:val="center"/>
              <w:rPr>
                <w:rFonts w:hint="eastAsia"/>
                <w:color w:val="auto"/>
                <w:highlight w:val="none"/>
                <w:lang w:val="en-US" w:eastAsia="zh-CN"/>
              </w:rPr>
            </w:pPr>
            <w:r>
              <w:rPr>
                <w:rFonts w:hint="eastAsia"/>
                <w:color w:val="auto"/>
                <w:highlight w:val="none"/>
                <w:lang w:val="en-US" w:eastAsia="zh-CN"/>
              </w:rPr>
              <w:t>电力变压器</w:t>
            </w:r>
          </w:p>
        </w:tc>
        <w:tc>
          <w:tcPr>
            <w:tcW w:w="5959" w:type="dxa"/>
          </w:tcPr>
          <w:p w14:paraId="0A46415D">
            <w:pPr>
              <w:jc w:val="both"/>
              <w:rPr>
                <w:rFonts w:hint="eastAsia"/>
                <w:color w:val="auto"/>
                <w:highlight w:val="none"/>
                <w:lang w:val="en-US" w:eastAsia="zh-CN"/>
              </w:rPr>
            </w:pPr>
            <w:r>
              <w:rPr>
                <w:rFonts w:hint="eastAsia"/>
                <w:color w:val="auto"/>
                <w:highlight w:val="none"/>
                <w:lang w:val="en-US" w:eastAsia="zh-CN"/>
              </w:rPr>
              <w:t>1. 绕组绝缘电阻、吸收比/极化指数</w:t>
            </w:r>
          </w:p>
          <w:p w14:paraId="79C9B925">
            <w:pPr>
              <w:jc w:val="both"/>
              <w:rPr>
                <w:rFonts w:hint="eastAsia"/>
                <w:color w:val="auto"/>
                <w:highlight w:val="none"/>
                <w:lang w:val="en-US" w:eastAsia="zh-CN"/>
              </w:rPr>
            </w:pPr>
            <w:r>
              <w:rPr>
                <w:rFonts w:hint="eastAsia"/>
                <w:color w:val="auto"/>
                <w:highlight w:val="none"/>
                <w:lang w:val="en-US" w:eastAsia="zh-CN"/>
              </w:rPr>
              <w:t>2. 绕组直流电阻</w:t>
            </w:r>
          </w:p>
          <w:p w14:paraId="7F1AABB9">
            <w:pPr>
              <w:jc w:val="both"/>
              <w:rPr>
                <w:rFonts w:hint="eastAsia"/>
                <w:color w:val="auto"/>
                <w:highlight w:val="none"/>
                <w:lang w:val="en-US" w:eastAsia="zh-CN"/>
              </w:rPr>
            </w:pPr>
            <w:r>
              <w:rPr>
                <w:rFonts w:hint="eastAsia"/>
                <w:color w:val="auto"/>
                <w:highlight w:val="none"/>
                <w:lang w:val="en-US" w:eastAsia="zh-CN"/>
              </w:rPr>
              <w:t>3. 绕组tanδ和电容量</w:t>
            </w:r>
          </w:p>
          <w:p w14:paraId="14FA02DA">
            <w:pPr>
              <w:jc w:val="both"/>
              <w:rPr>
                <w:rFonts w:hint="eastAsia"/>
                <w:color w:val="auto"/>
                <w:highlight w:val="none"/>
                <w:lang w:val="en-US" w:eastAsia="zh-CN"/>
              </w:rPr>
            </w:pPr>
            <w:r>
              <w:rPr>
                <w:rFonts w:hint="eastAsia"/>
                <w:color w:val="auto"/>
                <w:highlight w:val="none"/>
                <w:lang w:val="en-US" w:eastAsia="zh-CN"/>
              </w:rPr>
              <w:t>4. 变压器变比</w:t>
            </w:r>
          </w:p>
          <w:p w14:paraId="7075F60C">
            <w:pPr>
              <w:jc w:val="both"/>
              <w:rPr>
                <w:rFonts w:hint="eastAsia"/>
                <w:color w:val="auto"/>
                <w:highlight w:val="none"/>
                <w:lang w:val="en-US" w:eastAsia="zh-CN"/>
              </w:rPr>
            </w:pPr>
            <w:r>
              <w:rPr>
                <w:rFonts w:hint="eastAsia"/>
                <w:color w:val="auto"/>
                <w:highlight w:val="none"/>
                <w:lang w:val="en-US" w:eastAsia="zh-CN"/>
              </w:rPr>
              <w:t>5. 绝缘油试验（击穿电压、色谱分析等）</w:t>
            </w:r>
          </w:p>
          <w:p w14:paraId="2ACC291F">
            <w:pPr>
              <w:jc w:val="both"/>
              <w:rPr>
                <w:rFonts w:hint="eastAsia"/>
                <w:color w:val="auto"/>
                <w:highlight w:val="none"/>
                <w:lang w:val="en-US" w:eastAsia="zh-CN"/>
              </w:rPr>
            </w:pPr>
            <w:r>
              <w:rPr>
                <w:rFonts w:hint="eastAsia"/>
                <w:color w:val="auto"/>
                <w:highlight w:val="none"/>
                <w:lang w:val="en-US" w:eastAsia="zh-CN"/>
              </w:rPr>
              <w:t>6. 交流耐压试验（大修后或必要时）</w:t>
            </w:r>
          </w:p>
        </w:tc>
        <w:tc>
          <w:tcPr>
            <w:tcW w:w="911" w:type="dxa"/>
          </w:tcPr>
          <w:p w14:paraId="5CA143C6">
            <w:pPr>
              <w:jc w:val="center"/>
              <w:rPr>
                <w:rFonts w:hint="eastAsia"/>
                <w:color w:val="auto"/>
                <w:highlight w:val="none"/>
                <w:lang w:eastAsia="zh-CN"/>
              </w:rPr>
            </w:pPr>
          </w:p>
        </w:tc>
      </w:tr>
      <w:tr w14:paraId="66265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tcPr>
          <w:p w14:paraId="4B53743E">
            <w:pPr>
              <w:jc w:val="center"/>
              <w:rPr>
                <w:rFonts w:hint="eastAsia"/>
                <w:color w:val="auto"/>
                <w:sz w:val="24"/>
                <w:szCs w:val="24"/>
                <w:highlight w:val="none"/>
                <w:lang w:val="en-US" w:eastAsia="zh-CN"/>
              </w:rPr>
            </w:pPr>
          </w:p>
          <w:p w14:paraId="729DE0CA">
            <w:pPr>
              <w:jc w:val="center"/>
              <w:rPr>
                <w:rFonts w:hint="default"/>
                <w:color w:val="auto"/>
                <w:sz w:val="24"/>
                <w:szCs w:val="24"/>
                <w:highlight w:val="none"/>
                <w:lang w:val="en-US" w:eastAsia="zh-CN"/>
              </w:rPr>
            </w:pPr>
            <w:r>
              <w:rPr>
                <w:rFonts w:hint="eastAsia"/>
                <w:color w:val="auto"/>
                <w:sz w:val="24"/>
                <w:szCs w:val="24"/>
                <w:highlight w:val="none"/>
                <w:lang w:val="en-US" w:eastAsia="zh-CN"/>
              </w:rPr>
              <w:t>14</w:t>
            </w:r>
          </w:p>
        </w:tc>
        <w:tc>
          <w:tcPr>
            <w:tcW w:w="1503" w:type="dxa"/>
          </w:tcPr>
          <w:p w14:paraId="0EFDEDFD">
            <w:pPr>
              <w:jc w:val="center"/>
              <w:rPr>
                <w:rFonts w:hint="default"/>
                <w:color w:val="auto"/>
                <w:highlight w:val="none"/>
                <w:lang w:val="en-US" w:eastAsia="zh-CN"/>
              </w:rPr>
            </w:pPr>
            <w:r>
              <w:rPr>
                <w:rFonts w:hint="eastAsia"/>
                <w:color w:val="auto"/>
                <w:highlight w:val="none"/>
                <w:lang w:val="en-US" w:eastAsia="zh-CN"/>
              </w:rPr>
              <w:t>电力电缆</w:t>
            </w:r>
          </w:p>
        </w:tc>
        <w:tc>
          <w:tcPr>
            <w:tcW w:w="5959" w:type="dxa"/>
          </w:tcPr>
          <w:p w14:paraId="35B2909B">
            <w:pPr>
              <w:jc w:val="both"/>
              <w:rPr>
                <w:rFonts w:hint="eastAsia"/>
                <w:color w:val="auto"/>
                <w:highlight w:val="none"/>
                <w:lang w:val="en-US" w:eastAsia="zh-CN"/>
              </w:rPr>
            </w:pPr>
            <w:r>
              <w:rPr>
                <w:rFonts w:hint="eastAsia"/>
                <w:color w:val="auto"/>
                <w:highlight w:val="none"/>
                <w:lang w:val="en-US" w:eastAsia="zh-CN"/>
              </w:rPr>
              <w:t>1. 绝缘电阻</w:t>
            </w:r>
          </w:p>
          <w:p w14:paraId="4F11ECD0">
            <w:pPr>
              <w:jc w:val="both"/>
              <w:rPr>
                <w:rFonts w:hint="eastAsia"/>
                <w:color w:val="auto"/>
                <w:highlight w:val="none"/>
                <w:lang w:val="en-US" w:eastAsia="zh-CN"/>
              </w:rPr>
            </w:pPr>
            <w:r>
              <w:rPr>
                <w:rFonts w:hint="eastAsia"/>
                <w:color w:val="auto"/>
                <w:highlight w:val="none"/>
                <w:lang w:val="en-US" w:eastAsia="zh-CN"/>
              </w:rPr>
              <w:t>2. 直流耐压及泄漏电流（中低压电缆）或 交流耐压试验（高压电缆更推荐）</w:t>
            </w:r>
          </w:p>
          <w:p w14:paraId="60DE898D">
            <w:pPr>
              <w:jc w:val="both"/>
              <w:rPr>
                <w:rFonts w:hint="eastAsia"/>
                <w:color w:val="auto"/>
                <w:highlight w:val="none"/>
                <w:lang w:val="en-US" w:eastAsia="zh-CN"/>
              </w:rPr>
            </w:pPr>
            <w:r>
              <w:rPr>
                <w:rFonts w:hint="eastAsia"/>
                <w:color w:val="auto"/>
                <w:highlight w:val="none"/>
                <w:lang w:val="en-US" w:eastAsia="zh-CN"/>
              </w:rPr>
              <w:t>3. 电缆故障探测（发生故障时）</w:t>
            </w:r>
          </w:p>
        </w:tc>
        <w:tc>
          <w:tcPr>
            <w:tcW w:w="911" w:type="dxa"/>
          </w:tcPr>
          <w:p w14:paraId="1A4E84A6">
            <w:pPr>
              <w:jc w:val="center"/>
              <w:rPr>
                <w:rFonts w:hint="eastAsia"/>
                <w:color w:val="auto"/>
                <w:highlight w:val="none"/>
                <w:lang w:eastAsia="zh-CN"/>
              </w:rPr>
            </w:pPr>
          </w:p>
        </w:tc>
      </w:tr>
    </w:tbl>
    <w:p w14:paraId="1095F76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Cs/>
          <w:color w:val="auto"/>
          <w:sz w:val="24"/>
          <w:szCs w:val="24"/>
          <w:highlight w:val="none"/>
          <w:lang w:eastAsia="zh-CN"/>
        </w:rPr>
      </w:pPr>
    </w:p>
    <w:p w14:paraId="41711B4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Cs/>
          <w:color w:val="auto"/>
          <w:sz w:val="24"/>
          <w:szCs w:val="24"/>
          <w:highlight w:val="none"/>
          <w:lang w:eastAsia="zh-CN"/>
        </w:rPr>
      </w:pPr>
    </w:p>
    <w:p w14:paraId="4751E07D">
      <w:pPr>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cs="宋体"/>
          <w:b/>
          <w:bCs w:val="0"/>
          <w:color w:val="auto"/>
          <w:sz w:val="28"/>
          <w:szCs w:val="28"/>
          <w:highlight w:val="none"/>
          <w:lang w:val="en-US" w:eastAsia="zh-CN"/>
        </w:rPr>
      </w:pPr>
      <w:r>
        <w:rPr>
          <w:rFonts w:hint="eastAsia" w:ascii="宋体" w:hAnsi="宋体" w:cs="宋体"/>
          <w:b/>
          <w:bCs w:val="0"/>
          <w:color w:val="auto"/>
          <w:sz w:val="28"/>
          <w:szCs w:val="28"/>
          <w:highlight w:val="none"/>
          <w:lang w:val="en-US" w:eastAsia="zh-CN"/>
        </w:rPr>
        <w:t>工作量清单（根据电气设备交接试验及电气预防性试验执行，包括但不限于以下内容）</w:t>
      </w:r>
    </w:p>
    <w:p w14:paraId="6EF0F7E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both"/>
        <w:textAlignment w:val="auto"/>
        <w:rPr>
          <w:rFonts w:hint="default" w:ascii="宋体" w:hAnsi="宋体" w:cs="宋体"/>
          <w:b/>
          <w:bCs w:val="0"/>
          <w:color w:val="auto"/>
          <w:sz w:val="28"/>
          <w:szCs w:val="28"/>
          <w:highlight w:val="none"/>
          <w:lang w:val="en-US" w:eastAsia="zh-CN"/>
        </w:rPr>
      </w:pPr>
      <w:r>
        <w:rPr>
          <w:rFonts w:hint="eastAsia" w:ascii="宋体" w:hAnsi="宋体" w:cs="宋体"/>
          <w:b/>
          <w:bCs w:val="0"/>
          <w:color w:val="auto"/>
          <w:sz w:val="28"/>
          <w:szCs w:val="28"/>
          <w:highlight w:val="none"/>
          <w:lang w:val="en-US" w:eastAsia="zh-CN"/>
        </w:rPr>
        <w:t>附表5：</w:t>
      </w:r>
    </w:p>
    <w:tbl>
      <w:tblPr>
        <w:tblStyle w:val="24"/>
        <w:tblW w:w="92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0"/>
        <w:gridCol w:w="4181"/>
        <w:gridCol w:w="1805"/>
        <w:gridCol w:w="897"/>
      </w:tblGrid>
      <w:tr w14:paraId="5F57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1E36A18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设备名称</w:t>
            </w:r>
          </w:p>
        </w:tc>
        <w:tc>
          <w:tcPr>
            <w:tcW w:w="4181" w:type="dxa"/>
          </w:tcPr>
          <w:p w14:paraId="4581CAB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工作内容（交接试验）</w:t>
            </w:r>
          </w:p>
        </w:tc>
        <w:tc>
          <w:tcPr>
            <w:tcW w:w="1805" w:type="dxa"/>
          </w:tcPr>
          <w:p w14:paraId="42AA6C9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执行标准（包括但不限于）</w:t>
            </w:r>
          </w:p>
        </w:tc>
        <w:tc>
          <w:tcPr>
            <w:tcW w:w="897" w:type="dxa"/>
          </w:tcPr>
          <w:p w14:paraId="0745616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备注</w:t>
            </w:r>
          </w:p>
        </w:tc>
      </w:tr>
      <w:tr w14:paraId="57ECD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2330" w:type="dxa"/>
          </w:tcPr>
          <w:p w14:paraId="4108418C">
            <w:pPr>
              <w:rPr>
                <w:rFonts w:hint="default"/>
                <w:b/>
                <w:bCs/>
                <w:color w:val="auto"/>
                <w:highlight w:val="none"/>
                <w:lang w:val="en-US" w:eastAsia="zh-CN"/>
              </w:rPr>
            </w:pPr>
            <w:r>
              <w:rPr>
                <w:rFonts w:hint="eastAsia"/>
                <w:b/>
                <w:bCs/>
                <w:color w:val="auto"/>
                <w:highlight w:val="none"/>
                <w:lang w:val="en-US" w:eastAsia="zh-CN"/>
              </w:rPr>
              <w:t>35KV高压PT柜AH2</w:t>
            </w:r>
          </w:p>
        </w:tc>
        <w:tc>
          <w:tcPr>
            <w:tcW w:w="4181" w:type="dxa"/>
            <w:vMerge w:val="restart"/>
          </w:tcPr>
          <w:p w14:paraId="1349E16F">
            <w:pPr>
              <w:rPr>
                <w:rFonts w:hint="default"/>
                <w:color w:val="auto"/>
                <w:highlight w:val="none"/>
                <w:lang w:val="en-US" w:eastAsia="zh-CN"/>
              </w:rPr>
            </w:pPr>
            <w:r>
              <w:rPr>
                <w:rFonts w:hint="eastAsia"/>
                <w:color w:val="auto"/>
                <w:highlight w:val="none"/>
                <w:lang w:val="en-US" w:eastAsia="zh-CN"/>
              </w:rPr>
              <w:t>对原有的四个开关柜及综保进行拆除，将申购回来的三个开关柜和综保进行原位更换安装（包含综保线路重新铺设及一段约30M桥架安装，桥架由发包方提供）及安装完成后进行电气交接试验（含开关柜特性试验及综保校验、传动试验等）</w:t>
            </w:r>
          </w:p>
        </w:tc>
        <w:tc>
          <w:tcPr>
            <w:tcW w:w="1805" w:type="dxa"/>
            <w:vMerge w:val="restart"/>
          </w:tcPr>
          <w:p w14:paraId="0227C67D">
            <w:pPr>
              <w:rPr>
                <w:rFonts w:hint="default"/>
                <w:color w:val="auto"/>
                <w:highlight w:val="none"/>
                <w:lang w:val="en-US" w:eastAsia="zh-CN"/>
              </w:rPr>
            </w:pPr>
            <w:r>
              <w:rPr>
                <w:rFonts w:hint="default"/>
                <w:color w:val="auto"/>
                <w:highlight w:val="none"/>
                <w:lang w:val="en-US" w:eastAsia="zh-CN"/>
              </w:rPr>
              <w:t xml:space="preserve">GB50150-2016 </w:t>
            </w:r>
            <w:r>
              <w:rPr>
                <w:rFonts w:hint="eastAsia"/>
                <w:color w:val="auto"/>
                <w:highlight w:val="none"/>
              </w:rPr>
              <w:t>《</w:t>
            </w:r>
            <w:r>
              <w:rPr>
                <w:rFonts w:hint="default"/>
                <w:color w:val="auto"/>
                <w:highlight w:val="none"/>
                <w:lang w:val="en-US" w:eastAsia="zh-CN"/>
              </w:rPr>
              <w:t>电力装置安装工程电气设备交接试验标准</w:t>
            </w:r>
            <w:r>
              <w:rPr>
                <w:rFonts w:hint="eastAsia"/>
                <w:color w:val="auto"/>
                <w:highlight w:val="none"/>
              </w:rPr>
              <w:t>》</w:t>
            </w:r>
            <w:r>
              <w:rPr>
                <w:rFonts w:hint="eastAsia"/>
                <w:color w:val="auto"/>
                <w:highlight w:val="none"/>
                <w:lang w:val="en-US" w:eastAsia="zh-CN"/>
              </w:rPr>
              <w:t>、</w:t>
            </w:r>
            <w:r>
              <w:rPr>
                <w:rFonts w:hint="eastAsia"/>
                <w:color w:val="auto"/>
                <w:highlight w:val="none"/>
              </w:rPr>
              <w:t>GB 50147《电气装置安装工程 高压电器施工及验收规范》</w:t>
            </w:r>
          </w:p>
          <w:p w14:paraId="66A7FA9B">
            <w:pPr>
              <w:rPr>
                <w:rFonts w:hint="default"/>
                <w:color w:val="auto"/>
                <w:highlight w:val="none"/>
                <w:lang w:val="en-US" w:eastAsia="zh-CN"/>
              </w:rPr>
            </w:pPr>
          </w:p>
        </w:tc>
        <w:tc>
          <w:tcPr>
            <w:tcW w:w="897" w:type="dxa"/>
            <w:vMerge w:val="restart"/>
          </w:tcPr>
          <w:p w14:paraId="29DF8F89">
            <w:pPr>
              <w:rPr>
                <w:rFonts w:hint="default"/>
                <w:color w:val="auto"/>
                <w:highlight w:val="none"/>
                <w:lang w:val="en-US" w:eastAsia="zh-CN"/>
              </w:rPr>
            </w:pPr>
            <w:r>
              <w:rPr>
                <w:rFonts w:hint="eastAsia"/>
                <w:color w:val="auto"/>
                <w:highlight w:val="none"/>
                <w:lang w:val="en-US" w:eastAsia="zh-CN"/>
              </w:rPr>
              <w:t>具体试验项目及技术要求参考附表4</w:t>
            </w:r>
          </w:p>
        </w:tc>
      </w:tr>
      <w:tr w14:paraId="70BB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rPr>
        <w:tc>
          <w:tcPr>
            <w:tcW w:w="2330" w:type="dxa"/>
          </w:tcPr>
          <w:p w14:paraId="3764300D">
            <w:pPr>
              <w:rPr>
                <w:rFonts w:hint="default"/>
                <w:b/>
                <w:bCs/>
                <w:color w:val="auto"/>
                <w:highlight w:val="none"/>
                <w:lang w:val="en-US" w:eastAsia="zh-CN"/>
              </w:rPr>
            </w:pPr>
            <w:r>
              <w:rPr>
                <w:rFonts w:hint="eastAsia"/>
                <w:b/>
                <w:bCs/>
                <w:color w:val="auto"/>
                <w:highlight w:val="none"/>
                <w:lang w:val="en-US" w:eastAsia="zh-CN"/>
              </w:rPr>
              <w:t>35KV变压器出线柜AH3</w:t>
            </w:r>
          </w:p>
        </w:tc>
        <w:tc>
          <w:tcPr>
            <w:tcW w:w="4181" w:type="dxa"/>
            <w:vMerge w:val="continue"/>
          </w:tcPr>
          <w:p w14:paraId="58C173CE">
            <w:pPr>
              <w:rPr>
                <w:rFonts w:hint="default"/>
                <w:color w:val="auto"/>
                <w:highlight w:val="none"/>
                <w:lang w:val="en-US" w:eastAsia="zh-CN"/>
              </w:rPr>
            </w:pPr>
          </w:p>
        </w:tc>
        <w:tc>
          <w:tcPr>
            <w:tcW w:w="1805" w:type="dxa"/>
            <w:vMerge w:val="continue"/>
          </w:tcPr>
          <w:p w14:paraId="4FA8CE39">
            <w:pPr>
              <w:rPr>
                <w:rFonts w:hint="default"/>
                <w:color w:val="auto"/>
                <w:highlight w:val="none"/>
                <w:lang w:val="en-US" w:eastAsia="zh-CN"/>
              </w:rPr>
            </w:pPr>
          </w:p>
        </w:tc>
        <w:tc>
          <w:tcPr>
            <w:tcW w:w="897" w:type="dxa"/>
            <w:vMerge w:val="continue"/>
          </w:tcPr>
          <w:p w14:paraId="40598112">
            <w:pPr>
              <w:rPr>
                <w:rFonts w:hint="default"/>
                <w:color w:val="auto"/>
                <w:highlight w:val="none"/>
                <w:lang w:val="en-US" w:eastAsia="zh-CN"/>
              </w:rPr>
            </w:pPr>
          </w:p>
        </w:tc>
      </w:tr>
      <w:tr w14:paraId="181B5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2330" w:type="dxa"/>
          </w:tcPr>
          <w:p w14:paraId="7FF253B1">
            <w:pPr>
              <w:rPr>
                <w:rFonts w:hint="default"/>
                <w:b/>
                <w:bCs/>
                <w:color w:val="auto"/>
                <w:highlight w:val="none"/>
                <w:lang w:val="en-US" w:eastAsia="zh-CN"/>
              </w:rPr>
            </w:pPr>
            <w:r>
              <w:rPr>
                <w:rFonts w:hint="eastAsia"/>
                <w:b/>
                <w:bCs/>
                <w:color w:val="auto"/>
                <w:highlight w:val="none"/>
                <w:lang w:val="en-US" w:eastAsia="zh-CN"/>
              </w:rPr>
              <w:t>35KV进线联络柜AH4</w:t>
            </w:r>
          </w:p>
        </w:tc>
        <w:tc>
          <w:tcPr>
            <w:tcW w:w="4181" w:type="dxa"/>
            <w:vMerge w:val="continue"/>
          </w:tcPr>
          <w:p w14:paraId="111A78ED">
            <w:pPr>
              <w:rPr>
                <w:rFonts w:hint="default"/>
                <w:color w:val="auto"/>
                <w:highlight w:val="none"/>
                <w:lang w:val="en-US" w:eastAsia="zh-CN"/>
              </w:rPr>
            </w:pPr>
          </w:p>
        </w:tc>
        <w:tc>
          <w:tcPr>
            <w:tcW w:w="1805" w:type="dxa"/>
            <w:vMerge w:val="continue"/>
          </w:tcPr>
          <w:p w14:paraId="30B4D4A0">
            <w:pPr>
              <w:rPr>
                <w:rFonts w:hint="default"/>
                <w:color w:val="auto"/>
                <w:highlight w:val="none"/>
                <w:lang w:val="en-US" w:eastAsia="zh-CN"/>
              </w:rPr>
            </w:pPr>
          </w:p>
        </w:tc>
        <w:tc>
          <w:tcPr>
            <w:tcW w:w="897" w:type="dxa"/>
            <w:vMerge w:val="continue"/>
          </w:tcPr>
          <w:p w14:paraId="1B35C012">
            <w:pPr>
              <w:rPr>
                <w:rFonts w:hint="default"/>
                <w:color w:val="auto"/>
                <w:highlight w:val="none"/>
                <w:lang w:val="en-US" w:eastAsia="zh-CN"/>
              </w:rPr>
            </w:pPr>
          </w:p>
        </w:tc>
      </w:tr>
      <w:tr w14:paraId="6C33E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1A365BA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设备名称</w:t>
            </w:r>
          </w:p>
        </w:tc>
        <w:tc>
          <w:tcPr>
            <w:tcW w:w="4181" w:type="dxa"/>
          </w:tcPr>
          <w:p w14:paraId="6084566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工作内容（电气预防性试验）</w:t>
            </w:r>
          </w:p>
        </w:tc>
        <w:tc>
          <w:tcPr>
            <w:tcW w:w="1805" w:type="dxa"/>
          </w:tcPr>
          <w:p w14:paraId="6B18964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执行标准（包括但不限于）</w:t>
            </w:r>
          </w:p>
        </w:tc>
        <w:tc>
          <w:tcPr>
            <w:tcW w:w="897" w:type="dxa"/>
          </w:tcPr>
          <w:p w14:paraId="74AA806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default" w:ascii="宋体" w:hAnsi="宋体" w:cs="宋体"/>
                <w:b/>
                <w:bCs w:val="0"/>
                <w:color w:val="auto"/>
                <w:sz w:val="24"/>
                <w:szCs w:val="24"/>
                <w:highlight w:val="none"/>
                <w:vertAlign w:val="baseline"/>
                <w:lang w:val="en-US" w:eastAsia="zh-CN"/>
              </w:rPr>
            </w:pPr>
            <w:r>
              <w:rPr>
                <w:rFonts w:hint="eastAsia" w:ascii="宋体" w:hAnsi="宋体" w:cs="宋体"/>
                <w:b/>
                <w:bCs w:val="0"/>
                <w:color w:val="auto"/>
                <w:sz w:val="24"/>
                <w:szCs w:val="24"/>
                <w:highlight w:val="none"/>
                <w:vertAlign w:val="baseline"/>
                <w:lang w:val="en-US" w:eastAsia="zh-CN"/>
              </w:rPr>
              <w:t>备注</w:t>
            </w:r>
          </w:p>
        </w:tc>
      </w:tr>
      <w:tr w14:paraId="4EDCF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ADE8254">
            <w:pPr>
              <w:rPr>
                <w:rFonts w:hint="default"/>
                <w:b/>
                <w:bCs/>
                <w:color w:val="auto"/>
                <w:highlight w:val="none"/>
                <w:lang w:val="en-US" w:eastAsia="zh-CN"/>
              </w:rPr>
            </w:pPr>
            <w:r>
              <w:rPr>
                <w:rFonts w:hint="eastAsia"/>
                <w:b/>
                <w:bCs/>
                <w:color w:val="auto"/>
                <w:highlight w:val="none"/>
                <w:lang w:val="en-US" w:eastAsia="zh-CN"/>
              </w:rPr>
              <w:t>钢厂计量柜G1</w:t>
            </w:r>
          </w:p>
        </w:tc>
        <w:tc>
          <w:tcPr>
            <w:tcW w:w="4181" w:type="dxa"/>
            <w:vMerge w:val="restart"/>
          </w:tcPr>
          <w:p w14:paraId="2D9C9D49">
            <w:pPr>
              <w:rPr>
                <w:rFonts w:hint="default"/>
                <w:color w:val="auto"/>
                <w:highlight w:val="none"/>
                <w:lang w:val="en-US" w:eastAsia="zh-CN"/>
              </w:rPr>
            </w:pPr>
            <w:r>
              <w:rPr>
                <w:rFonts w:hint="eastAsia"/>
                <w:color w:val="auto"/>
                <w:highlight w:val="none"/>
                <w:lang w:val="en-US" w:eastAsia="zh-CN"/>
              </w:rPr>
              <w:t>外观及接线检查、绝缘检验、软件/动作值测试、综合保护装置校验、整组传动试验、红外测温检测，开关柜局放检测、</w:t>
            </w:r>
          </w:p>
        </w:tc>
        <w:tc>
          <w:tcPr>
            <w:tcW w:w="1805" w:type="dxa"/>
            <w:vMerge w:val="restart"/>
          </w:tcPr>
          <w:p w14:paraId="1A423BC5">
            <w:pPr>
              <w:rPr>
                <w:rFonts w:hint="eastAsia"/>
                <w:color w:val="auto"/>
                <w:highlight w:val="none"/>
                <w:lang w:val="en-US" w:eastAsia="zh-CN"/>
              </w:rPr>
            </w:pPr>
            <w:r>
              <w:rPr>
                <w:rFonts w:hint="eastAsia"/>
                <w:color w:val="auto"/>
                <w:highlight w:val="none"/>
                <w:lang w:val="en-US" w:eastAsia="zh-CN"/>
              </w:rPr>
              <w:t>GB14285-2006</w:t>
            </w:r>
          </w:p>
          <w:p w14:paraId="567ED1C1">
            <w:pPr>
              <w:rPr>
                <w:rFonts w:hint="eastAsia"/>
                <w:color w:val="auto"/>
                <w:highlight w:val="none"/>
                <w:lang w:val="en-US" w:eastAsia="zh-CN"/>
              </w:rPr>
            </w:pPr>
            <w:r>
              <w:rPr>
                <w:rFonts w:hint="eastAsia"/>
                <w:color w:val="auto"/>
                <w:highlight w:val="none"/>
                <w:lang w:val="en-US" w:eastAsia="zh-CN"/>
              </w:rPr>
              <w:t>DL/T596-2021</w:t>
            </w:r>
            <w:r>
              <w:rPr>
                <w:rFonts w:hint="eastAsia"/>
                <w:color w:val="auto"/>
                <w:highlight w:val="none"/>
              </w:rPr>
              <w:t>《</w:t>
            </w:r>
            <w:r>
              <w:rPr>
                <w:rFonts w:hint="eastAsia"/>
                <w:color w:val="auto"/>
                <w:highlight w:val="none"/>
                <w:lang w:val="en-US" w:eastAsia="zh-CN"/>
              </w:rPr>
              <w:t>电气设备预防性试验标准</w:t>
            </w:r>
            <w:r>
              <w:rPr>
                <w:rFonts w:hint="eastAsia"/>
                <w:color w:val="auto"/>
                <w:highlight w:val="none"/>
              </w:rPr>
              <w:t>》</w:t>
            </w:r>
          </w:p>
          <w:p w14:paraId="22A71B40">
            <w:pPr>
              <w:rPr>
                <w:rFonts w:hint="default"/>
                <w:color w:val="auto"/>
                <w:highlight w:val="none"/>
                <w:lang w:val="en-US" w:eastAsia="zh-CN"/>
              </w:rPr>
            </w:pPr>
            <w:r>
              <w:rPr>
                <w:rFonts w:hint="eastAsia"/>
                <w:color w:val="auto"/>
                <w:highlight w:val="none"/>
              </w:rPr>
              <w:t>GB/T 1984《高压交流断路器》</w:t>
            </w:r>
          </w:p>
        </w:tc>
        <w:tc>
          <w:tcPr>
            <w:tcW w:w="897" w:type="dxa"/>
            <w:vMerge w:val="restart"/>
          </w:tcPr>
          <w:p w14:paraId="1DFEF683">
            <w:pPr>
              <w:rPr>
                <w:rFonts w:hint="default"/>
                <w:color w:val="auto"/>
                <w:highlight w:val="none"/>
                <w:lang w:val="en-US" w:eastAsia="zh-CN"/>
              </w:rPr>
            </w:pPr>
            <w:r>
              <w:rPr>
                <w:rFonts w:hint="eastAsia"/>
                <w:color w:val="auto"/>
                <w:highlight w:val="none"/>
                <w:lang w:val="en-US" w:eastAsia="zh-CN"/>
              </w:rPr>
              <w:t>具体试验项目及技术要求参考附表4</w:t>
            </w:r>
          </w:p>
        </w:tc>
      </w:tr>
      <w:tr w14:paraId="6AB1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23C3B380">
            <w:pPr>
              <w:rPr>
                <w:rFonts w:hint="default"/>
                <w:b/>
                <w:bCs/>
                <w:color w:val="auto"/>
                <w:highlight w:val="none"/>
                <w:lang w:val="en-US" w:eastAsia="zh-CN"/>
              </w:rPr>
            </w:pPr>
            <w:r>
              <w:rPr>
                <w:rFonts w:hint="eastAsia"/>
                <w:b/>
                <w:bCs/>
                <w:color w:val="auto"/>
                <w:highlight w:val="none"/>
                <w:lang w:val="en-US" w:eastAsia="zh-CN"/>
              </w:rPr>
              <w:t>1号厂用变压器柜G2</w:t>
            </w:r>
          </w:p>
        </w:tc>
        <w:tc>
          <w:tcPr>
            <w:tcW w:w="4181" w:type="dxa"/>
            <w:vMerge w:val="continue"/>
          </w:tcPr>
          <w:p w14:paraId="65160789">
            <w:pPr>
              <w:rPr>
                <w:rFonts w:hint="default"/>
                <w:color w:val="auto"/>
                <w:highlight w:val="none"/>
                <w:lang w:val="en-US" w:eastAsia="zh-CN"/>
              </w:rPr>
            </w:pPr>
          </w:p>
        </w:tc>
        <w:tc>
          <w:tcPr>
            <w:tcW w:w="1805" w:type="dxa"/>
            <w:vMerge w:val="continue"/>
          </w:tcPr>
          <w:p w14:paraId="7BA264D0">
            <w:pPr>
              <w:rPr>
                <w:rFonts w:hint="default"/>
                <w:color w:val="auto"/>
                <w:highlight w:val="none"/>
                <w:lang w:val="en-US" w:eastAsia="zh-CN"/>
              </w:rPr>
            </w:pPr>
          </w:p>
        </w:tc>
        <w:tc>
          <w:tcPr>
            <w:tcW w:w="897" w:type="dxa"/>
            <w:vMerge w:val="continue"/>
          </w:tcPr>
          <w:p w14:paraId="1E94E42E">
            <w:pPr>
              <w:rPr>
                <w:rFonts w:hint="default"/>
                <w:color w:val="auto"/>
                <w:highlight w:val="none"/>
                <w:lang w:val="en-US" w:eastAsia="zh-CN"/>
              </w:rPr>
            </w:pPr>
          </w:p>
        </w:tc>
      </w:tr>
      <w:tr w14:paraId="15CCE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E51854C">
            <w:pPr>
              <w:rPr>
                <w:rFonts w:hint="default"/>
                <w:b/>
                <w:bCs/>
                <w:color w:val="auto"/>
                <w:highlight w:val="none"/>
                <w:lang w:val="en-US" w:eastAsia="zh-CN"/>
              </w:rPr>
            </w:pPr>
            <w:r>
              <w:rPr>
                <w:rFonts w:hint="eastAsia"/>
                <w:b/>
                <w:bCs/>
                <w:color w:val="auto"/>
                <w:highlight w:val="none"/>
                <w:lang w:val="en-US" w:eastAsia="zh-CN"/>
              </w:rPr>
              <w:t>2号厂用变压器柜G3</w:t>
            </w:r>
          </w:p>
        </w:tc>
        <w:tc>
          <w:tcPr>
            <w:tcW w:w="4181" w:type="dxa"/>
            <w:vMerge w:val="continue"/>
          </w:tcPr>
          <w:p w14:paraId="7634127A">
            <w:pPr>
              <w:rPr>
                <w:rFonts w:hint="default"/>
                <w:color w:val="auto"/>
                <w:highlight w:val="none"/>
                <w:lang w:val="en-US" w:eastAsia="zh-CN"/>
              </w:rPr>
            </w:pPr>
          </w:p>
        </w:tc>
        <w:tc>
          <w:tcPr>
            <w:tcW w:w="1805" w:type="dxa"/>
            <w:vMerge w:val="continue"/>
          </w:tcPr>
          <w:p w14:paraId="6312F5C6">
            <w:pPr>
              <w:rPr>
                <w:rFonts w:hint="default"/>
                <w:color w:val="auto"/>
                <w:highlight w:val="none"/>
                <w:lang w:val="en-US" w:eastAsia="zh-CN"/>
              </w:rPr>
            </w:pPr>
          </w:p>
        </w:tc>
        <w:tc>
          <w:tcPr>
            <w:tcW w:w="897" w:type="dxa"/>
            <w:vMerge w:val="continue"/>
          </w:tcPr>
          <w:p w14:paraId="41026BB6">
            <w:pPr>
              <w:rPr>
                <w:rFonts w:hint="default"/>
                <w:color w:val="auto"/>
                <w:highlight w:val="none"/>
                <w:lang w:val="en-US" w:eastAsia="zh-CN"/>
              </w:rPr>
            </w:pPr>
          </w:p>
        </w:tc>
      </w:tr>
      <w:tr w14:paraId="34700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4ABC264C">
            <w:pPr>
              <w:rPr>
                <w:rFonts w:hint="default"/>
                <w:b/>
                <w:bCs/>
                <w:color w:val="auto"/>
                <w:highlight w:val="none"/>
                <w:lang w:val="en-US" w:eastAsia="zh-CN"/>
              </w:rPr>
            </w:pPr>
            <w:r>
              <w:rPr>
                <w:rFonts w:hint="eastAsia"/>
                <w:b/>
                <w:bCs/>
                <w:color w:val="auto"/>
                <w:highlight w:val="none"/>
                <w:lang w:val="en-US" w:eastAsia="zh-CN"/>
              </w:rPr>
              <w:t>10KV出线柜G7</w:t>
            </w:r>
          </w:p>
        </w:tc>
        <w:tc>
          <w:tcPr>
            <w:tcW w:w="4181" w:type="dxa"/>
            <w:vMerge w:val="continue"/>
          </w:tcPr>
          <w:p w14:paraId="6A6FD6C4">
            <w:pPr>
              <w:rPr>
                <w:rFonts w:hint="default"/>
                <w:color w:val="auto"/>
                <w:highlight w:val="none"/>
                <w:lang w:val="en-US" w:eastAsia="zh-CN"/>
              </w:rPr>
            </w:pPr>
          </w:p>
        </w:tc>
        <w:tc>
          <w:tcPr>
            <w:tcW w:w="1805" w:type="dxa"/>
            <w:vMerge w:val="continue"/>
          </w:tcPr>
          <w:p w14:paraId="5E6B7A1E">
            <w:pPr>
              <w:rPr>
                <w:rFonts w:hint="default"/>
                <w:color w:val="auto"/>
                <w:highlight w:val="none"/>
                <w:lang w:val="en-US" w:eastAsia="zh-CN"/>
              </w:rPr>
            </w:pPr>
          </w:p>
        </w:tc>
        <w:tc>
          <w:tcPr>
            <w:tcW w:w="897" w:type="dxa"/>
            <w:vMerge w:val="continue"/>
          </w:tcPr>
          <w:p w14:paraId="0655AC47">
            <w:pPr>
              <w:rPr>
                <w:rFonts w:hint="default"/>
                <w:color w:val="auto"/>
                <w:highlight w:val="none"/>
                <w:lang w:val="en-US" w:eastAsia="zh-CN"/>
              </w:rPr>
            </w:pPr>
          </w:p>
        </w:tc>
      </w:tr>
      <w:tr w14:paraId="430B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1840A168">
            <w:pPr>
              <w:rPr>
                <w:rFonts w:hint="default"/>
                <w:b/>
                <w:bCs/>
                <w:color w:val="auto"/>
                <w:highlight w:val="none"/>
                <w:lang w:val="en-US" w:eastAsia="zh-CN"/>
              </w:rPr>
            </w:pPr>
            <w:r>
              <w:rPr>
                <w:rFonts w:hint="eastAsia"/>
                <w:b/>
                <w:bCs/>
                <w:color w:val="auto"/>
                <w:highlight w:val="none"/>
                <w:lang w:val="en-US" w:eastAsia="zh-CN"/>
              </w:rPr>
              <w:t>:10KV主变进线柜G8</w:t>
            </w:r>
          </w:p>
        </w:tc>
        <w:tc>
          <w:tcPr>
            <w:tcW w:w="4181" w:type="dxa"/>
            <w:vMerge w:val="continue"/>
          </w:tcPr>
          <w:p w14:paraId="01AA92FD">
            <w:pPr>
              <w:rPr>
                <w:rFonts w:hint="default"/>
                <w:color w:val="auto"/>
                <w:highlight w:val="none"/>
                <w:lang w:val="en-US" w:eastAsia="zh-CN"/>
              </w:rPr>
            </w:pPr>
          </w:p>
        </w:tc>
        <w:tc>
          <w:tcPr>
            <w:tcW w:w="1805" w:type="dxa"/>
            <w:vMerge w:val="continue"/>
          </w:tcPr>
          <w:p w14:paraId="4EE200F3">
            <w:pPr>
              <w:rPr>
                <w:rFonts w:hint="default"/>
                <w:color w:val="auto"/>
                <w:highlight w:val="none"/>
                <w:lang w:val="en-US" w:eastAsia="zh-CN"/>
              </w:rPr>
            </w:pPr>
          </w:p>
        </w:tc>
        <w:tc>
          <w:tcPr>
            <w:tcW w:w="897" w:type="dxa"/>
            <w:vMerge w:val="continue"/>
          </w:tcPr>
          <w:p w14:paraId="42FAEA33">
            <w:pPr>
              <w:rPr>
                <w:rFonts w:hint="default"/>
                <w:color w:val="auto"/>
                <w:highlight w:val="none"/>
                <w:lang w:val="en-US" w:eastAsia="zh-CN"/>
              </w:rPr>
            </w:pPr>
          </w:p>
        </w:tc>
      </w:tr>
      <w:tr w14:paraId="0137C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04E2B59E">
            <w:pPr>
              <w:rPr>
                <w:rFonts w:hint="default"/>
                <w:b/>
                <w:bCs/>
                <w:color w:val="auto"/>
                <w:highlight w:val="none"/>
                <w:lang w:val="en-US" w:eastAsia="zh-CN"/>
              </w:rPr>
            </w:pPr>
            <w:r>
              <w:rPr>
                <w:rFonts w:hint="eastAsia"/>
                <w:b/>
                <w:bCs/>
                <w:color w:val="auto"/>
                <w:highlight w:val="none"/>
                <w:lang w:val="en-US" w:eastAsia="zh-CN"/>
              </w:rPr>
              <w:t>10KV段互感器柜G9</w:t>
            </w:r>
          </w:p>
        </w:tc>
        <w:tc>
          <w:tcPr>
            <w:tcW w:w="4181" w:type="dxa"/>
            <w:vMerge w:val="continue"/>
          </w:tcPr>
          <w:p w14:paraId="14C50EE6">
            <w:pPr>
              <w:rPr>
                <w:rFonts w:hint="default"/>
                <w:color w:val="auto"/>
                <w:highlight w:val="none"/>
                <w:lang w:val="en-US" w:eastAsia="zh-CN"/>
              </w:rPr>
            </w:pPr>
          </w:p>
        </w:tc>
        <w:tc>
          <w:tcPr>
            <w:tcW w:w="1805" w:type="dxa"/>
            <w:vMerge w:val="continue"/>
          </w:tcPr>
          <w:p w14:paraId="7B8FB36B">
            <w:pPr>
              <w:rPr>
                <w:rFonts w:hint="default"/>
                <w:color w:val="auto"/>
                <w:highlight w:val="none"/>
                <w:lang w:val="en-US" w:eastAsia="zh-CN"/>
              </w:rPr>
            </w:pPr>
          </w:p>
        </w:tc>
        <w:tc>
          <w:tcPr>
            <w:tcW w:w="897" w:type="dxa"/>
            <w:vMerge w:val="continue"/>
          </w:tcPr>
          <w:p w14:paraId="50D62B13">
            <w:pPr>
              <w:rPr>
                <w:rFonts w:hint="default"/>
                <w:color w:val="auto"/>
                <w:highlight w:val="none"/>
                <w:lang w:val="en-US" w:eastAsia="zh-CN"/>
              </w:rPr>
            </w:pPr>
          </w:p>
        </w:tc>
      </w:tr>
      <w:tr w14:paraId="06616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468F8E8E">
            <w:pPr>
              <w:rPr>
                <w:rFonts w:hint="default"/>
                <w:b/>
                <w:bCs/>
                <w:color w:val="auto"/>
                <w:highlight w:val="none"/>
                <w:lang w:val="en-US" w:eastAsia="zh-CN"/>
              </w:rPr>
            </w:pPr>
            <w:r>
              <w:rPr>
                <w:rFonts w:hint="eastAsia"/>
                <w:b/>
                <w:bCs/>
                <w:color w:val="auto"/>
                <w:highlight w:val="none"/>
                <w:lang w:val="en-US" w:eastAsia="zh-CN"/>
              </w:rPr>
              <w:t>10KV高压母线</w:t>
            </w:r>
          </w:p>
        </w:tc>
        <w:tc>
          <w:tcPr>
            <w:tcW w:w="4181" w:type="dxa"/>
          </w:tcPr>
          <w:p w14:paraId="5CE63951">
            <w:pPr>
              <w:rPr>
                <w:rFonts w:hint="default"/>
                <w:color w:val="auto"/>
                <w:highlight w:val="none"/>
                <w:lang w:val="en-US" w:eastAsia="zh-CN"/>
              </w:rPr>
            </w:pPr>
            <w:r>
              <w:rPr>
                <w:rFonts w:hint="eastAsia"/>
                <w:color w:val="auto"/>
                <w:highlight w:val="none"/>
                <w:lang w:val="en-US" w:eastAsia="zh-CN"/>
              </w:rPr>
              <w:t>耐压试验、绝缘检验、铜排连接点检查</w:t>
            </w:r>
          </w:p>
        </w:tc>
        <w:tc>
          <w:tcPr>
            <w:tcW w:w="1805" w:type="dxa"/>
          </w:tcPr>
          <w:p w14:paraId="32BC12D2">
            <w:pPr>
              <w:rPr>
                <w:rFonts w:hint="default"/>
                <w:color w:val="auto"/>
                <w:highlight w:val="none"/>
                <w:lang w:val="en-US" w:eastAsia="zh-CN"/>
              </w:rPr>
            </w:pPr>
            <w:r>
              <w:rPr>
                <w:rFonts w:hint="eastAsia"/>
                <w:color w:val="auto"/>
                <w:highlight w:val="none"/>
                <w:lang w:val="en-US" w:eastAsia="zh-CN"/>
              </w:rPr>
              <w:t>DL/T596-2021</w:t>
            </w:r>
            <w:r>
              <w:rPr>
                <w:rFonts w:hint="eastAsia"/>
                <w:color w:val="auto"/>
                <w:highlight w:val="none"/>
              </w:rPr>
              <w:t>《</w:t>
            </w:r>
            <w:r>
              <w:rPr>
                <w:rFonts w:hint="eastAsia"/>
                <w:color w:val="auto"/>
                <w:highlight w:val="none"/>
                <w:lang w:val="en-US" w:eastAsia="zh-CN"/>
              </w:rPr>
              <w:t>电气设备预防性试验标准</w:t>
            </w:r>
            <w:r>
              <w:rPr>
                <w:rFonts w:hint="eastAsia"/>
                <w:color w:val="auto"/>
                <w:highlight w:val="none"/>
              </w:rPr>
              <w:t>》</w:t>
            </w:r>
          </w:p>
        </w:tc>
        <w:tc>
          <w:tcPr>
            <w:tcW w:w="897" w:type="dxa"/>
            <w:vMerge w:val="continue"/>
          </w:tcPr>
          <w:p w14:paraId="5B23BFA4">
            <w:pPr>
              <w:rPr>
                <w:rFonts w:hint="default"/>
                <w:color w:val="auto"/>
                <w:highlight w:val="none"/>
                <w:lang w:val="en-US" w:eastAsia="zh-CN"/>
              </w:rPr>
            </w:pPr>
          </w:p>
        </w:tc>
      </w:tr>
      <w:tr w14:paraId="5C2D6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330" w:type="dxa"/>
          </w:tcPr>
          <w:p w14:paraId="05A44CB0">
            <w:pPr>
              <w:rPr>
                <w:rFonts w:hint="default"/>
                <w:b/>
                <w:bCs/>
                <w:color w:val="auto"/>
                <w:highlight w:val="none"/>
                <w:lang w:val="en-US" w:eastAsia="zh-CN"/>
              </w:rPr>
            </w:pPr>
            <w:r>
              <w:rPr>
                <w:rFonts w:hint="eastAsia"/>
                <w:b/>
                <w:bCs/>
                <w:color w:val="auto"/>
                <w:highlight w:val="none"/>
                <w:lang w:val="en-US" w:eastAsia="zh-CN"/>
              </w:rPr>
              <w:t>1号厂用变压器</w:t>
            </w:r>
          </w:p>
        </w:tc>
        <w:tc>
          <w:tcPr>
            <w:tcW w:w="4181" w:type="dxa"/>
            <w:vMerge w:val="restart"/>
          </w:tcPr>
          <w:p w14:paraId="4EB27461">
            <w:pPr>
              <w:rPr>
                <w:rFonts w:hint="default"/>
                <w:color w:val="auto"/>
                <w:highlight w:val="none"/>
                <w:lang w:val="en-US" w:eastAsia="zh-CN"/>
              </w:rPr>
            </w:pPr>
            <w:r>
              <w:rPr>
                <w:rFonts w:hint="eastAsia"/>
                <w:color w:val="auto"/>
                <w:highlight w:val="none"/>
                <w:lang w:val="en-US" w:eastAsia="zh-CN"/>
              </w:rPr>
              <w:t>交流耐压试验、绝缘电阻（高压对低压及地、低压对高压及地、铁芯对地、穿芯螺杆对铁芯及地）、绕组连同套管的直流电阻</w:t>
            </w:r>
          </w:p>
        </w:tc>
        <w:tc>
          <w:tcPr>
            <w:tcW w:w="1805" w:type="dxa"/>
            <w:vMerge w:val="restart"/>
          </w:tcPr>
          <w:p w14:paraId="11F8D763">
            <w:pPr>
              <w:rPr>
                <w:rFonts w:hint="default"/>
                <w:color w:val="auto"/>
                <w:highlight w:val="none"/>
                <w:lang w:val="en-US" w:eastAsia="zh-CN"/>
              </w:rPr>
            </w:pPr>
            <w:r>
              <w:rPr>
                <w:rFonts w:hint="eastAsia"/>
                <w:color w:val="auto"/>
                <w:highlight w:val="none"/>
                <w:lang w:val="en-US" w:eastAsia="zh-CN"/>
              </w:rPr>
              <w:t>DL/T596-2021</w:t>
            </w:r>
            <w:r>
              <w:rPr>
                <w:rFonts w:hint="eastAsia"/>
                <w:color w:val="auto"/>
                <w:highlight w:val="none"/>
              </w:rPr>
              <w:t>《</w:t>
            </w:r>
            <w:r>
              <w:rPr>
                <w:rFonts w:hint="eastAsia"/>
                <w:color w:val="auto"/>
                <w:highlight w:val="none"/>
                <w:lang w:val="en-US" w:eastAsia="zh-CN"/>
              </w:rPr>
              <w:t>电气设备预防性试验标准</w:t>
            </w:r>
            <w:r>
              <w:rPr>
                <w:rFonts w:hint="eastAsia"/>
                <w:color w:val="auto"/>
                <w:highlight w:val="none"/>
              </w:rPr>
              <w:t>》</w:t>
            </w:r>
          </w:p>
        </w:tc>
        <w:tc>
          <w:tcPr>
            <w:tcW w:w="897" w:type="dxa"/>
            <w:vMerge w:val="continue"/>
          </w:tcPr>
          <w:p w14:paraId="304ADED2">
            <w:pPr>
              <w:rPr>
                <w:rFonts w:hint="default"/>
                <w:color w:val="auto"/>
                <w:highlight w:val="none"/>
                <w:lang w:val="en-US" w:eastAsia="zh-CN"/>
              </w:rPr>
            </w:pPr>
          </w:p>
        </w:tc>
      </w:tr>
      <w:tr w14:paraId="64897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30" w:type="dxa"/>
          </w:tcPr>
          <w:p w14:paraId="05F78DBC">
            <w:pPr>
              <w:rPr>
                <w:rFonts w:hint="default"/>
                <w:b/>
                <w:bCs/>
                <w:color w:val="auto"/>
                <w:highlight w:val="none"/>
                <w:lang w:val="en-US" w:eastAsia="zh-CN"/>
              </w:rPr>
            </w:pPr>
            <w:r>
              <w:rPr>
                <w:rFonts w:hint="eastAsia"/>
                <w:b/>
                <w:bCs/>
                <w:color w:val="auto"/>
                <w:highlight w:val="none"/>
                <w:lang w:val="en-US" w:eastAsia="zh-CN"/>
              </w:rPr>
              <w:t>2号厂用变压器</w:t>
            </w:r>
          </w:p>
        </w:tc>
        <w:tc>
          <w:tcPr>
            <w:tcW w:w="4181" w:type="dxa"/>
            <w:vMerge w:val="continue"/>
          </w:tcPr>
          <w:p w14:paraId="2E577F16">
            <w:pPr>
              <w:rPr>
                <w:rFonts w:hint="default"/>
                <w:color w:val="auto"/>
                <w:highlight w:val="none"/>
                <w:lang w:val="en-US" w:eastAsia="zh-CN"/>
              </w:rPr>
            </w:pPr>
          </w:p>
        </w:tc>
        <w:tc>
          <w:tcPr>
            <w:tcW w:w="1805" w:type="dxa"/>
            <w:vMerge w:val="continue"/>
          </w:tcPr>
          <w:p w14:paraId="2800A44E">
            <w:pPr>
              <w:rPr>
                <w:rFonts w:hint="default"/>
                <w:color w:val="auto"/>
                <w:highlight w:val="none"/>
                <w:lang w:val="en-US" w:eastAsia="zh-CN"/>
              </w:rPr>
            </w:pPr>
          </w:p>
        </w:tc>
        <w:tc>
          <w:tcPr>
            <w:tcW w:w="897" w:type="dxa"/>
            <w:vMerge w:val="continue"/>
          </w:tcPr>
          <w:p w14:paraId="717A5785">
            <w:pPr>
              <w:rPr>
                <w:rFonts w:hint="default"/>
                <w:color w:val="auto"/>
                <w:highlight w:val="none"/>
                <w:lang w:val="en-US" w:eastAsia="zh-CN"/>
              </w:rPr>
            </w:pPr>
          </w:p>
        </w:tc>
      </w:tr>
      <w:tr w14:paraId="2425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2330" w:type="dxa"/>
          </w:tcPr>
          <w:p w14:paraId="59F9BD3D">
            <w:pPr>
              <w:rPr>
                <w:rFonts w:hint="default"/>
                <w:b/>
                <w:bCs/>
                <w:color w:val="auto"/>
                <w:highlight w:val="none"/>
                <w:lang w:val="en-US" w:eastAsia="zh-CN"/>
              </w:rPr>
            </w:pPr>
            <w:r>
              <w:rPr>
                <w:rFonts w:hint="eastAsia"/>
                <w:b/>
                <w:bCs/>
                <w:color w:val="auto"/>
                <w:highlight w:val="none"/>
                <w:lang w:val="en-US" w:eastAsia="zh-CN"/>
              </w:rPr>
              <w:t>35KV变压器</w:t>
            </w:r>
          </w:p>
        </w:tc>
        <w:tc>
          <w:tcPr>
            <w:tcW w:w="4181" w:type="dxa"/>
          </w:tcPr>
          <w:p w14:paraId="110DB0C4">
            <w:pPr>
              <w:rPr>
                <w:rFonts w:hint="default"/>
                <w:color w:val="auto"/>
                <w:highlight w:val="none"/>
                <w:lang w:val="en-US" w:eastAsia="zh-CN"/>
              </w:rPr>
            </w:pPr>
            <w:r>
              <w:rPr>
                <w:rFonts w:hint="eastAsia"/>
                <w:color w:val="auto"/>
                <w:highlight w:val="none"/>
                <w:lang w:val="en-US" w:eastAsia="zh-CN"/>
              </w:rPr>
              <w:t>交流耐压试验、绝缘电阻（高压对低压及地、低压对高压及地、铁芯对地、）、套管检查、绕组连同套管的直流电阻、介质损耗测试、油样油色谱检验、瓦斯继电器、渗漏油检查等</w:t>
            </w:r>
          </w:p>
        </w:tc>
        <w:tc>
          <w:tcPr>
            <w:tcW w:w="1805" w:type="dxa"/>
          </w:tcPr>
          <w:p w14:paraId="10BB0F44">
            <w:pPr>
              <w:rPr>
                <w:rFonts w:hint="default"/>
                <w:color w:val="auto"/>
                <w:highlight w:val="none"/>
                <w:lang w:val="en-US" w:eastAsia="zh-CN"/>
              </w:rPr>
            </w:pPr>
            <w:r>
              <w:rPr>
                <w:rFonts w:hint="eastAsia"/>
                <w:color w:val="auto"/>
                <w:highlight w:val="none"/>
                <w:lang w:val="en-US" w:eastAsia="zh-CN"/>
              </w:rPr>
              <w:t>DL/T596-2021</w:t>
            </w:r>
            <w:r>
              <w:rPr>
                <w:rFonts w:hint="eastAsia"/>
                <w:color w:val="auto"/>
                <w:highlight w:val="none"/>
              </w:rPr>
              <w:t>《</w:t>
            </w:r>
            <w:r>
              <w:rPr>
                <w:rFonts w:hint="eastAsia"/>
                <w:color w:val="auto"/>
                <w:highlight w:val="none"/>
                <w:lang w:val="en-US" w:eastAsia="zh-CN"/>
              </w:rPr>
              <w:t>电气设备预防性试验标准</w:t>
            </w:r>
            <w:r>
              <w:rPr>
                <w:rFonts w:hint="eastAsia"/>
                <w:color w:val="auto"/>
                <w:highlight w:val="none"/>
              </w:rPr>
              <w:t>》</w:t>
            </w:r>
          </w:p>
        </w:tc>
        <w:tc>
          <w:tcPr>
            <w:tcW w:w="897" w:type="dxa"/>
          </w:tcPr>
          <w:p w14:paraId="04021424">
            <w:pPr>
              <w:rPr>
                <w:rFonts w:hint="default"/>
                <w:color w:val="auto"/>
                <w:highlight w:val="none"/>
                <w:lang w:val="en-US" w:eastAsia="zh-CN"/>
              </w:rPr>
            </w:pPr>
          </w:p>
        </w:tc>
      </w:tr>
    </w:tbl>
    <w:p w14:paraId="61A70FD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center"/>
        <w:textAlignment w:val="auto"/>
        <w:rPr>
          <w:rFonts w:hint="default" w:ascii="宋体" w:hAnsi="宋体" w:cs="宋体"/>
          <w:b/>
          <w:bCs w:val="0"/>
          <w:color w:val="auto"/>
          <w:sz w:val="28"/>
          <w:szCs w:val="28"/>
          <w:highlight w:val="none"/>
          <w:lang w:val="en-US" w:eastAsia="zh-CN"/>
        </w:rPr>
      </w:pPr>
    </w:p>
    <w:p w14:paraId="5795424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Cs/>
          <w:color w:val="auto"/>
          <w:sz w:val="24"/>
          <w:szCs w:val="24"/>
          <w:highlight w:val="none"/>
          <w:lang w:eastAsia="zh-CN"/>
        </w:rPr>
      </w:pPr>
    </w:p>
    <w:p w14:paraId="2B586350">
      <w:pPr>
        <w:rPr>
          <w:rFonts w:hint="eastAsia"/>
          <w:b/>
          <w:bCs/>
          <w:color w:val="auto"/>
          <w:sz w:val="28"/>
          <w:szCs w:val="28"/>
          <w:highlight w:val="none"/>
          <w:lang w:val="en-US" w:eastAsia="zh-CN"/>
        </w:rPr>
      </w:pPr>
      <w:r>
        <w:rPr>
          <w:rFonts w:hint="eastAsia"/>
          <w:b/>
          <w:bCs/>
          <w:color w:val="auto"/>
          <w:sz w:val="28"/>
          <w:szCs w:val="28"/>
          <w:highlight w:val="none"/>
          <w:lang w:val="en-US" w:eastAsia="zh-CN"/>
        </w:rPr>
        <w:t>八、配套指导安装（设备供货单位提供指导服务）</w:t>
      </w:r>
    </w:p>
    <w:p w14:paraId="635DC2FE">
      <w:pPr>
        <w:rPr>
          <w:rFonts w:hint="eastAsia"/>
          <w:color w:val="auto"/>
          <w:sz w:val="24"/>
          <w:szCs w:val="24"/>
          <w:highlight w:val="none"/>
          <w:lang w:val="en-US" w:eastAsia="zh-CN"/>
        </w:rPr>
      </w:pPr>
      <w:r>
        <w:rPr>
          <w:rFonts w:hint="eastAsia"/>
          <w:color w:val="auto"/>
          <w:sz w:val="24"/>
          <w:szCs w:val="24"/>
          <w:highlight w:val="none"/>
          <w:lang w:val="en-US" w:eastAsia="zh-CN"/>
        </w:rPr>
        <w:t xml:space="preserve">    35KV配电室新申购的三个配电柜（AH2PT柜、AH3变压器柜、AH4进线柜）由生产厂家或供应商负责供货及安排专业技术人员根据发包方具体开工时间到现场指导安装一体化，具体工作内容包含以下各项：</w:t>
      </w:r>
    </w:p>
    <w:p w14:paraId="3DB64C14">
      <w:pPr>
        <w:rPr>
          <w:rFonts w:hint="eastAsia"/>
          <w:color w:val="auto"/>
          <w:sz w:val="24"/>
          <w:szCs w:val="24"/>
          <w:highlight w:val="none"/>
          <w:lang w:val="en-US" w:eastAsia="zh-CN"/>
        </w:rPr>
      </w:pPr>
      <w:r>
        <w:rPr>
          <w:rFonts w:hint="eastAsia"/>
          <w:color w:val="auto"/>
          <w:sz w:val="24"/>
          <w:szCs w:val="24"/>
          <w:highlight w:val="none"/>
          <w:lang w:val="en-US" w:eastAsia="zh-CN"/>
        </w:rPr>
        <w:t>1、指导施工单位对35KV配电室现有的四个配电柜（AH1备用柜、AH2PT柜、AH3变压器柜、AH4进线柜）及综合保护装置和一次线路及二次线路进行拆除。</w:t>
      </w:r>
    </w:p>
    <w:p w14:paraId="1B02D679">
      <w:pPr>
        <w:rPr>
          <w:rFonts w:hint="default"/>
          <w:color w:val="auto"/>
          <w:sz w:val="24"/>
          <w:szCs w:val="24"/>
          <w:highlight w:val="none"/>
          <w:lang w:val="en-US" w:eastAsia="zh-CN"/>
        </w:rPr>
      </w:pPr>
      <w:r>
        <w:rPr>
          <w:rFonts w:hint="default"/>
          <w:color w:val="auto"/>
          <w:sz w:val="24"/>
          <w:szCs w:val="24"/>
          <w:highlight w:val="none"/>
          <w:lang w:val="en-US" w:eastAsia="zh-CN"/>
        </w:rPr>
        <w:t>2、</w:t>
      </w:r>
      <w:r>
        <w:rPr>
          <w:rFonts w:hint="eastAsia"/>
          <w:color w:val="auto"/>
          <w:sz w:val="24"/>
          <w:szCs w:val="24"/>
          <w:highlight w:val="none"/>
          <w:lang w:val="en-US" w:eastAsia="zh-CN"/>
        </w:rPr>
        <w:t>指导施工单位根据新申购的配电柜柜体尺寸对底座进行改造，使之匹配安装。</w:t>
      </w:r>
    </w:p>
    <w:p w14:paraId="549EC4A3">
      <w:pPr>
        <w:rPr>
          <w:rFonts w:hint="default"/>
          <w:color w:val="auto"/>
          <w:sz w:val="24"/>
          <w:szCs w:val="24"/>
          <w:highlight w:val="none"/>
          <w:lang w:val="en-US" w:eastAsia="zh-CN"/>
        </w:rPr>
      </w:pPr>
      <w:r>
        <w:rPr>
          <w:rFonts w:hint="default"/>
          <w:color w:val="auto"/>
          <w:sz w:val="24"/>
          <w:szCs w:val="24"/>
          <w:highlight w:val="none"/>
          <w:lang w:val="en-US" w:eastAsia="zh-CN"/>
        </w:rPr>
        <w:t>3、</w:t>
      </w:r>
      <w:r>
        <w:rPr>
          <w:rFonts w:hint="eastAsia"/>
          <w:color w:val="auto"/>
          <w:sz w:val="24"/>
          <w:szCs w:val="24"/>
          <w:highlight w:val="none"/>
          <w:lang w:val="en-US" w:eastAsia="zh-CN"/>
        </w:rPr>
        <w:t>指导施工单位对配电柜安装就位；</w:t>
      </w:r>
    </w:p>
    <w:p w14:paraId="46D3A99D">
      <w:pPr>
        <w:rPr>
          <w:rFonts w:hint="default"/>
          <w:color w:val="auto"/>
          <w:sz w:val="24"/>
          <w:szCs w:val="24"/>
          <w:highlight w:val="none"/>
          <w:lang w:val="en-US" w:eastAsia="zh-CN"/>
        </w:rPr>
      </w:pPr>
      <w:r>
        <w:rPr>
          <w:rFonts w:hint="default"/>
          <w:color w:val="auto"/>
          <w:sz w:val="24"/>
          <w:szCs w:val="24"/>
          <w:highlight w:val="none"/>
          <w:lang w:val="en-US" w:eastAsia="zh-CN"/>
        </w:rPr>
        <w:t>4、</w:t>
      </w:r>
      <w:r>
        <w:rPr>
          <w:rFonts w:hint="eastAsia"/>
          <w:color w:val="auto"/>
          <w:sz w:val="24"/>
          <w:szCs w:val="24"/>
          <w:highlight w:val="none"/>
          <w:lang w:val="en-US" w:eastAsia="zh-CN"/>
        </w:rPr>
        <w:t>指导施工单位对35KV配电室新申购的三个配电柜（AH2PT柜、AH3变压器柜、AH4进线柜）及综合保护装置和一次线路及二次线路进行恢复安装。</w:t>
      </w:r>
    </w:p>
    <w:p w14:paraId="1DE30A79">
      <w:pPr>
        <w:rPr>
          <w:rFonts w:hint="default"/>
          <w:color w:val="auto"/>
          <w:sz w:val="24"/>
          <w:szCs w:val="24"/>
          <w:highlight w:val="none"/>
          <w:lang w:val="en-US" w:eastAsia="zh-CN"/>
        </w:rPr>
      </w:pPr>
      <w:r>
        <w:rPr>
          <w:rFonts w:hint="default"/>
          <w:color w:val="auto"/>
          <w:sz w:val="24"/>
          <w:szCs w:val="24"/>
          <w:highlight w:val="none"/>
          <w:lang w:val="en-US" w:eastAsia="zh-CN"/>
        </w:rPr>
        <w:t>5、</w:t>
      </w:r>
      <w:r>
        <w:rPr>
          <w:rFonts w:hint="eastAsia"/>
          <w:color w:val="auto"/>
          <w:sz w:val="24"/>
          <w:szCs w:val="24"/>
          <w:highlight w:val="none"/>
          <w:lang w:val="en-US" w:eastAsia="zh-CN"/>
        </w:rPr>
        <w:t>指导施工单位使用合适试验工具对高压柜进行交接试验，试验数据需满足国标试验要求；</w:t>
      </w:r>
    </w:p>
    <w:p w14:paraId="149C5167">
      <w:pPr>
        <w:rPr>
          <w:rFonts w:hint="default"/>
          <w:color w:val="auto"/>
          <w:sz w:val="24"/>
          <w:szCs w:val="24"/>
          <w:highlight w:val="none"/>
          <w:lang w:val="en-US" w:eastAsia="zh-CN"/>
        </w:rPr>
      </w:pPr>
      <w:r>
        <w:rPr>
          <w:rFonts w:hint="default"/>
          <w:color w:val="auto"/>
          <w:sz w:val="24"/>
          <w:szCs w:val="24"/>
          <w:highlight w:val="none"/>
          <w:lang w:val="en-US" w:eastAsia="zh-CN"/>
        </w:rPr>
        <w:t>6、</w:t>
      </w:r>
      <w:r>
        <w:rPr>
          <w:rFonts w:hint="eastAsia"/>
          <w:color w:val="auto"/>
          <w:sz w:val="24"/>
          <w:szCs w:val="24"/>
          <w:highlight w:val="none"/>
          <w:lang w:val="en-US" w:eastAsia="zh-CN"/>
        </w:rPr>
        <w:t>指导施工单位对35KV高压母排回路进行耐压试验，试验数据需满足国标试验要求；</w:t>
      </w:r>
    </w:p>
    <w:p w14:paraId="325DC4B3">
      <w:pPr>
        <w:rPr>
          <w:rFonts w:hint="default"/>
          <w:color w:val="auto"/>
          <w:sz w:val="24"/>
          <w:szCs w:val="24"/>
          <w:highlight w:val="none"/>
          <w:lang w:val="en-US" w:eastAsia="zh-CN"/>
        </w:rPr>
      </w:pPr>
      <w:r>
        <w:rPr>
          <w:rFonts w:hint="eastAsia"/>
          <w:color w:val="auto"/>
          <w:sz w:val="24"/>
          <w:szCs w:val="24"/>
          <w:highlight w:val="none"/>
          <w:lang w:val="en-US" w:eastAsia="zh-CN"/>
        </w:rPr>
        <w:t>7、指导现场施工单位对远方综合保护装置及远程开关进行装配；</w:t>
      </w:r>
    </w:p>
    <w:p w14:paraId="4168F8F4">
      <w:pPr>
        <w:rPr>
          <w:rFonts w:hint="default"/>
          <w:color w:val="auto"/>
          <w:sz w:val="24"/>
          <w:szCs w:val="24"/>
          <w:highlight w:val="none"/>
          <w:lang w:val="en-US" w:eastAsia="zh-CN"/>
        </w:rPr>
      </w:pPr>
      <w:r>
        <w:rPr>
          <w:rFonts w:hint="eastAsia"/>
          <w:color w:val="auto"/>
          <w:sz w:val="24"/>
          <w:szCs w:val="24"/>
          <w:highlight w:val="none"/>
          <w:lang w:val="en-US" w:eastAsia="zh-CN"/>
        </w:rPr>
        <w:t>8</w:t>
      </w:r>
      <w:r>
        <w:rPr>
          <w:rFonts w:hint="default"/>
          <w:color w:val="auto"/>
          <w:sz w:val="24"/>
          <w:szCs w:val="24"/>
          <w:highlight w:val="none"/>
          <w:lang w:val="en-US" w:eastAsia="zh-CN"/>
        </w:rPr>
        <w:t>、</w:t>
      </w:r>
      <w:r>
        <w:rPr>
          <w:rFonts w:hint="eastAsia"/>
          <w:color w:val="auto"/>
          <w:sz w:val="24"/>
          <w:szCs w:val="24"/>
          <w:highlight w:val="none"/>
          <w:lang w:val="en-US" w:eastAsia="zh-CN"/>
        </w:rPr>
        <w:t>指导施工单位对高压开关柜综保参数进行设置并进行传动试验；</w:t>
      </w:r>
    </w:p>
    <w:p w14:paraId="3A350804">
      <w:pPr>
        <w:rPr>
          <w:rFonts w:hint="eastAsia"/>
          <w:color w:val="auto"/>
          <w:sz w:val="24"/>
          <w:szCs w:val="24"/>
          <w:highlight w:val="none"/>
          <w:lang w:val="en-US" w:eastAsia="zh-CN"/>
        </w:rPr>
      </w:pPr>
      <w:r>
        <w:rPr>
          <w:rFonts w:hint="eastAsia"/>
          <w:color w:val="auto"/>
          <w:sz w:val="24"/>
          <w:szCs w:val="24"/>
          <w:highlight w:val="none"/>
          <w:lang w:val="en-US" w:eastAsia="zh-CN"/>
        </w:rPr>
        <w:t>9、指导施工单位对对原有三台开关柜的温度测点进行恢复安装。</w:t>
      </w:r>
    </w:p>
    <w:p w14:paraId="7CA84A8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firstLine="0" w:firstLineChars="0"/>
        <w:jc w:val="both"/>
        <w:textAlignment w:val="auto"/>
        <w:rPr>
          <w:rFonts w:hint="eastAsia"/>
          <w:color w:val="auto"/>
          <w:sz w:val="24"/>
          <w:szCs w:val="24"/>
          <w:highlight w:val="none"/>
          <w:lang w:eastAsia="zh-CN"/>
        </w:rPr>
      </w:pPr>
      <w:r>
        <w:rPr>
          <w:rFonts w:hint="eastAsia"/>
          <w:color w:val="auto"/>
          <w:sz w:val="24"/>
          <w:szCs w:val="24"/>
          <w:highlight w:val="none"/>
          <w:lang w:val="en-US" w:eastAsia="zh-CN"/>
        </w:rPr>
        <w:t>10、施工单位需充分配合设备厂家及发包方对设备安装要求，使本次设备安装能顺利进行，满足设备现场安装质量要求，确保一次送电成功。</w:t>
      </w:r>
    </w:p>
    <w:p w14:paraId="6E9C9031">
      <w:pPr>
        <w:rPr>
          <w:rFonts w:hint="eastAsia"/>
          <w:color w:val="auto"/>
          <w:sz w:val="24"/>
          <w:szCs w:val="24"/>
          <w:highlight w:val="none"/>
          <w:lang w:val="en-US" w:eastAsia="zh-CN"/>
        </w:rPr>
      </w:pPr>
      <w:r>
        <w:rPr>
          <w:rFonts w:hint="eastAsia"/>
          <w:color w:val="auto"/>
          <w:sz w:val="24"/>
          <w:szCs w:val="24"/>
          <w:highlight w:val="none"/>
          <w:lang w:val="en-US" w:eastAsia="zh-CN"/>
        </w:rPr>
        <w:t>11、工作过程中遵守各规章制度，严格执行安全生产要求。</w:t>
      </w:r>
    </w:p>
    <w:p w14:paraId="6B403E62">
      <w:pPr>
        <w:rPr>
          <w:rFonts w:hint="default"/>
          <w:color w:val="auto"/>
          <w:sz w:val="24"/>
          <w:szCs w:val="24"/>
          <w:highlight w:val="none"/>
          <w:lang w:val="en-US" w:eastAsia="zh-CN"/>
        </w:rPr>
      </w:pPr>
      <w:r>
        <w:rPr>
          <w:rFonts w:hint="eastAsia"/>
          <w:color w:val="auto"/>
          <w:sz w:val="24"/>
          <w:szCs w:val="24"/>
          <w:highlight w:val="none"/>
          <w:lang w:val="en-US" w:eastAsia="zh-CN"/>
        </w:rPr>
        <w:t>12、本次工程结束后，安装单位需及时将竣工报告及电气预防性试验报告两份报告分开装订提交于发包方，</w:t>
      </w:r>
    </w:p>
    <w:p w14:paraId="2FD41B6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Cs/>
          <w:color w:val="auto"/>
          <w:sz w:val="24"/>
          <w:szCs w:val="24"/>
          <w:highlight w:val="none"/>
          <w:lang w:eastAsia="zh-CN"/>
        </w:rPr>
      </w:pPr>
    </w:p>
    <w:p w14:paraId="0A5BC01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eastAsia="宋体" w:cs="宋体"/>
          <w:bCs/>
          <w:color w:val="auto"/>
          <w:sz w:val="28"/>
          <w:szCs w:val="28"/>
          <w:highlight w:val="none"/>
          <w:lang w:val="en-US" w:eastAsia="zh-CN"/>
        </w:rPr>
      </w:pPr>
      <w:r>
        <w:rPr>
          <w:rFonts w:hint="eastAsia" w:ascii="宋体" w:hAnsi="宋体" w:cs="宋体"/>
          <w:b/>
          <w:bCs w:val="0"/>
          <w:color w:val="auto"/>
          <w:sz w:val="28"/>
          <w:szCs w:val="28"/>
          <w:highlight w:val="none"/>
          <w:lang w:val="en-US" w:eastAsia="zh-CN"/>
        </w:rPr>
        <w:t>九</w:t>
      </w:r>
      <w:r>
        <w:rPr>
          <w:rFonts w:hint="eastAsia" w:ascii="宋体" w:hAnsi="宋体" w:eastAsia="宋体" w:cs="宋体"/>
          <w:b/>
          <w:bCs w:val="0"/>
          <w:color w:val="auto"/>
          <w:sz w:val="28"/>
          <w:szCs w:val="28"/>
          <w:highlight w:val="none"/>
          <w:lang w:val="en-US" w:eastAsia="zh-CN"/>
        </w:rPr>
        <w:t>、</w:t>
      </w:r>
      <w:r>
        <w:rPr>
          <w:rFonts w:hint="eastAsia" w:ascii="宋体" w:hAnsi="宋体" w:cs="宋体"/>
          <w:b/>
          <w:bCs w:val="0"/>
          <w:color w:val="auto"/>
          <w:sz w:val="28"/>
          <w:szCs w:val="28"/>
          <w:highlight w:val="none"/>
          <w:lang w:val="en-US" w:eastAsia="zh-CN"/>
        </w:rPr>
        <w:t>配电柜拆装叉运</w:t>
      </w:r>
      <w:r>
        <w:rPr>
          <w:rFonts w:hint="eastAsia" w:ascii="宋体" w:hAnsi="宋体" w:eastAsia="宋体" w:cs="宋体"/>
          <w:b/>
          <w:bCs w:val="0"/>
          <w:color w:val="auto"/>
          <w:sz w:val="28"/>
          <w:szCs w:val="28"/>
          <w:highlight w:val="none"/>
          <w:lang w:val="en-US" w:eastAsia="zh-CN"/>
        </w:rPr>
        <w:t>技术安全要求</w:t>
      </w:r>
    </w:p>
    <w:p w14:paraId="0A4F725F">
      <w:pPr>
        <w:rPr>
          <w:rFonts w:hint="eastAsia"/>
          <w:color w:val="auto"/>
          <w:sz w:val="24"/>
          <w:szCs w:val="24"/>
          <w:highlight w:val="none"/>
          <w:lang w:val="en-US" w:eastAsia="zh-CN"/>
        </w:rPr>
      </w:pPr>
      <w:r>
        <w:rPr>
          <w:rFonts w:hint="eastAsia"/>
          <w:color w:val="auto"/>
          <w:sz w:val="24"/>
          <w:szCs w:val="24"/>
          <w:highlight w:val="none"/>
          <w:lang w:val="en-US" w:eastAsia="zh-CN"/>
        </w:rPr>
        <w:t>1、拆装时必须对现场其他设备做好防护：</w:t>
      </w:r>
    </w:p>
    <w:p w14:paraId="2DA69894">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1）设置专人监护；</w:t>
      </w:r>
    </w:p>
    <w:p w14:paraId="50834423">
      <w:p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2）拉警示带或安装临时实体围栏；</w:t>
      </w:r>
    </w:p>
    <w:p w14:paraId="4A9E335E">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3）超载时不能强行叉运；</w:t>
      </w:r>
    </w:p>
    <w:p w14:paraId="1C971577">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4）重心不明、捆绑不牢时不能叉运；</w:t>
      </w:r>
    </w:p>
    <w:p w14:paraId="530E14E7">
      <w:p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5）安全装置失灵或带病不叉运。</w:t>
      </w:r>
    </w:p>
    <w:p w14:paraId="268A58C5">
      <w:pPr>
        <w:rPr>
          <w:rFonts w:hint="eastAsia"/>
          <w:color w:val="auto"/>
          <w:sz w:val="24"/>
          <w:szCs w:val="24"/>
          <w:highlight w:val="none"/>
          <w:lang w:val="en-US" w:eastAsia="zh-CN"/>
        </w:rPr>
      </w:pPr>
      <w:r>
        <w:rPr>
          <w:rFonts w:hint="eastAsia"/>
          <w:color w:val="auto"/>
          <w:sz w:val="24"/>
          <w:szCs w:val="24"/>
          <w:highlight w:val="none"/>
          <w:lang w:val="en-US" w:eastAsia="zh-CN"/>
        </w:rPr>
        <w:t>2、叉装作业中，悬空设备下方严禁站人。</w:t>
      </w:r>
    </w:p>
    <w:p w14:paraId="46DDA048">
      <w:pPr>
        <w:rPr>
          <w:rFonts w:hint="eastAsia"/>
          <w:color w:val="auto"/>
          <w:sz w:val="24"/>
          <w:szCs w:val="24"/>
          <w:highlight w:val="none"/>
          <w:lang w:val="en-US" w:eastAsia="zh-CN"/>
        </w:rPr>
      </w:pPr>
      <w:r>
        <w:rPr>
          <w:rFonts w:hint="eastAsia"/>
          <w:color w:val="auto"/>
          <w:sz w:val="24"/>
          <w:szCs w:val="24"/>
          <w:highlight w:val="none"/>
          <w:lang w:val="en-US" w:eastAsia="zh-CN"/>
        </w:rPr>
        <w:t>3、叉车的行走路线与作业停靠点应与地下电缆、管道和地沟保持一定距离，必须从其上通过时，应采取防范措施。</w:t>
      </w:r>
    </w:p>
    <w:p w14:paraId="590D29AF">
      <w:pPr>
        <w:rPr>
          <w:rFonts w:hint="eastAsia"/>
          <w:color w:val="auto"/>
          <w:sz w:val="24"/>
          <w:szCs w:val="24"/>
          <w:highlight w:val="none"/>
          <w:lang w:val="en-US" w:eastAsia="zh-CN"/>
        </w:rPr>
      </w:pPr>
      <w:r>
        <w:rPr>
          <w:rFonts w:hint="eastAsia"/>
          <w:color w:val="auto"/>
          <w:sz w:val="24"/>
          <w:szCs w:val="24"/>
          <w:highlight w:val="none"/>
          <w:lang w:val="en-US" w:eastAsia="zh-CN"/>
        </w:rPr>
        <w:t>4、应有专人指挥，使用统一的指挥信号，由具备资格的专人操作。</w:t>
      </w:r>
    </w:p>
    <w:p w14:paraId="534FF612">
      <w:pPr>
        <w:rPr>
          <w:rFonts w:hint="eastAsia"/>
          <w:color w:val="auto"/>
          <w:sz w:val="24"/>
          <w:szCs w:val="24"/>
          <w:highlight w:val="none"/>
          <w:lang w:val="en-US" w:eastAsia="zh-CN"/>
        </w:rPr>
      </w:pPr>
      <w:r>
        <w:rPr>
          <w:rFonts w:hint="eastAsia"/>
          <w:color w:val="auto"/>
          <w:sz w:val="24"/>
          <w:szCs w:val="24"/>
          <w:highlight w:val="none"/>
          <w:lang w:val="en-US" w:eastAsia="zh-CN"/>
        </w:rPr>
        <w:t>5、叉车运输时不准超载行驶。</w:t>
      </w:r>
    </w:p>
    <w:p w14:paraId="2D2D38D8">
      <w:pPr>
        <w:rPr>
          <w:rFonts w:hint="eastAsia"/>
          <w:color w:val="auto"/>
          <w:sz w:val="24"/>
          <w:szCs w:val="24"/>
          <w:highlight w:val="none"/>
          <w:lang w:val="en-US" w:eastAsia="zh-CN"/>
        </w:rPr>
      </w:pPr>
      <w:r>
        <w:rPr>
          <w:rFonts w:hint="eastAsia"/>
          <w:color w:val="auto"/>
          <w:sz w:val="24"/>
          <w:szCs w:val="24"/>
          <w:highlight w:val="none"/>
          <w:lang w:val="en-US" w:eastAsia="zh-CN"/>
        </w:rPr>
        <w:t>6、叉车在边坡或坡边工作时，应与坑边保持一定的距离，一般为坑深的 1.1 到1.2 倍。</w:t>
      </w:r>
    </w:p>
    <w:p w14:paraId="547D765A">
      <w:pPr>
        <w:rPr>
          <w:rFonts w:hint="eastAsia"/>
          <w:color w:val="auto"/>
          <w:sz w:val="24"/>
          <w:szCs w:val="24"/>
          <w:highlight w:val="none"/>
          <w:lang w:val="en-US" w:eastAsia="zh-CN"/>
        </w:rPr>
      </w:pPr>
      <w:r>
        <w:rPr>
          <w:rFonts w:hint="eastAsia"/>
          <w:color w:val="auto"/>
          <w:sz w:val="24"/>
          <w:szCs w:val="24"/>
          <w:highlight w:val="none"/>
          <w:lang w:val="en-US" w:eastAsia="zh-CN"/>
        </w:rPr>
        <w:t>7、夜间施工，现场应有足够的照明。</w:t>
      </w:r>
    </w:p>
    <w:p w14:paraId="093501D2">
      <w:pPr>
        <w:rPr>
          <w:rFonts w:hint="eastAsia"/>
          <w:color w:val="auto"/>
          <w:sz w:val="24"/>
          <w:szCs w:val="24"/>
          <w:highlight w:val="none"/>
          <w:lang w:val="en-US" w:eastAsia="zh-CN"/>
        </w:rPr>
      </w:pPr>
      <w:r>
        <w:rPr>
          <w:rFonts w:hint="eastAsia"/>
          <w:color w:val="auto"/>
          <w:sz w:val="24"/>
          <w:szCs w:val="24"/>
          <w:highlight w:val="none"/>
          <w:lang w:val="en-US" w:eastAsia="zh-CN"/>
        </w:rPr>
        <w:t>8、不准用叉车吊拔埋在地下或冻结在地面、设备上的东西。</w:t>
      </w:r>
    </w:p>
    <w:p w14:paraId="546DA12F">
      <w:pPr>
        <w:rPr>
          <w:rFonts w:hint="eastAsia"/>
          <w:color w:val="auto"/>
          <w:sz w:val="24"/>
          <w:szCs w:val="24"/>
          <w:highlight w:val="none"/>
          <w:lang w:val="en-US" w:eastAsia="zh-CN"/>
        </w:rPr>
      </w:pPr>
      <w:r>
        <w:rPr>
          <w:rFonts w:hint="eastAsia"/>
          <w:color w:val="auto"/>
          <w:sz w:val="24"/>
          <w:szCs w:val="24"/>
          <w:highlight w:val="none"/>
          <w:lang w:val="en-US" w:eastAsia="zh-CN"/>
        </w:rPr>
        <w:t>9、叉起重物后，司机不准离开操作室，叉运中不准维修叉车。</w:t>
      </w:r>
    </w:p>
    <w:p w14:paraId="5A35B7C5">
      <w:pPr>
        <w:rPr>
          <w:rFonts w:hint="eastAsia"/>
          <w:color w:val="auto"/>
          <w:sz w:val="24"/>
          <w:szCs w:val="24"/>
          <w:highlight w:val="none"/>
          <w:lang w:val="en-US" w:eastAsia="zh-CN"/>
        </w:rPr>
      </w:pPr>
      <w:r>
        <w:rPr>
          <w:rFonts w:hint="eastAsia"/>
          <w:color w:val="auto"/>
          <w:sz w:val="24"/>
          <w:szCs w:val="24"/>
          <w:highlight w:val="none"/>
          <w:lang w:val="en-US" w:eastAsia="zh-CN"/>
        </w:rPr>
        <w:t>10、使用导轨进行搬移时，导轨必须和现场设备保持安全距离，做好防止误碰误撞现场设备的安全措施。</w:t>
      </w:r>
    </w:p>
    <w:p w14:paraId="501A4E1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0" w:firstLineChars="0"/>
        <w:jc w:val="both"/>
        <w:textAlignment w:val="auto"/>
        <w:rPr>
          <w:rFonts w:hint="eastAsia" w:ascii="宋体" w:hAnsi="宋体" w:cs="宋体"/>
          <w:bCs/>
          <w:color w:val="auto"/>
          <w:sz w:val="21"/>
          <w:szCs w:val="21"/>
          <w:highlight w:val="none"/>
          <w:lang w:val="en-US" w:eastAsia="zh-CN"/>
        </w:rPr>
      </w:pPr>
    </w:p>
    <w:p w14:paraId="3E8485DC">
      <w:pPr>
        <w:rPr>
          <w:rFonts w:hint="eastAsia"/>
          <w:b/>
          <w:bCs/>
          <w:color w:val="auto"/>
          <w:sz w:val="28"/>
          <w:szCs w:val="28"/>
          <w:highlight w:val="none"/>
          <w:lang w:val="en-US" w:eastAsia="zh-CN"/>
        </w:rPr>
      </w:pPr>
      <w:r>
        <w:rPr>
          <w:rFonts w:hint="eastAsia"/>
          <w:b/>
          <w:bCs/>
          <w:color w:val="auto"/>
          <w:sz w:val="28"/>
          <w:szCs w:val="28"/>
          <w:highlight w:val="none"/>
          <w:lang w:val="en-US" w:eastAsia="zh-CN"/>
        </w:rPr>
        <w:t>十、起吊技术安全要求</w:t>
      </w:r>
    </w:p>
    <w:p w14:paraId="719B1006">
      <w:pPr>
        <w:rPr>
          <w:rFonts w:hint="eastAsia"/>
          <w:color w:val="auto"/>
          <w:sz w:val="24"/>
          <w:szCs w:val="24"/>
          <w:highlight w:val="none"/>
          <w:lang w:val="en-US" w:eastAsia="zh-CN"/>
        </w:rPr>
      </w:pPr>
      <w:r>
        <w:rPr>
          <w:rFonts w:hint="eastAsia"/>
          <w:color w:val="auto"/>
          <w:sz w:val="24"/>
          <w:szCs w:val="24"/>
          <w:highlight w:val="none"/>
          <w:lang w:val="en-US" w:eastAsia="zh-CN"/>
        </w:rPr>
        <w:t>1、起重作业中要做到“十不吊”：</w:t>
      </w:r>
    </w:p>
    <w:p w14:paraId="20BC23B8">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1）手势不清不吊；</w:t>
      </w:r>
    </w:p>
    <w:p w14:paraId="3A9BD4A2">
      <w:p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2）斜牵斜拉不吊；</w:t>
      </w:r>
    </w:p>
    <w:p w14:paraId="1A6085C1">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3）超载不吊；</w:t>
      </w:r>
    </w:p>
    <w:p w14:paraId="7AF7AECC">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4）重心不明、捆绑不牢或装放过满不吊；</w:t>
      </w:r>
    </w:p>
    <w:p w14:paraId="4C49B5A0">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5）吊物上有人不吊；</w:t>
      </w:r>
    </w:p>
    <w:p w14:paraId="1E6D57B9">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6）埋地物不吊；</w:t>
      </w:r>
    </w:p>
    <w:p w14:paraId="2A261FA5">
      <w:p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7）安全装置失灵或带病不吊</w:t>
      </w:r>
    </w:p>
    <w:p w14:paraId="2F8BBE1A">
      <w:pPr>
        <w:ind w:firstLine="240" w:firstLineChars="100"/>
        <w:rPr>
          <w:rFonts w:hint="eastAsia"/>
          <w:color w:val="auto"/>
          <w:sz w:val="24"/>
          <w:szCs w:val="24"/>
          <w:highlight w:val="none"/>
          <w:lang w:val="en-US" w:eastAsia="zh-CN"/>
        </w:rPr>
      </w:pPr>
      <w:r>
        <w:rPr>
          <w:rFonts w:hint="eastAsia"/>
          <w:color w:val="auto"/>
          <w:sz w:val="24"/>
          <w:szCs w:val="24"/>
          <w:highlight w:val="none"/>
          <w:lang w:val="en-US" w:eastAsia="zh-CN"/>
        </w:rPr>
        <w:t>8）视线不明不吊；</w:t>
      </w:r>
    </w:p>
    <w:p w14:paraId="57844899">
      <w:p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9）吊物边角和钢丝绳直接接触无保护不吊</w:t>
      </w:r>
    </w:p>
    <w:p w14:paraId="4C8D0C48">
      <w:pPr>
        <w:ind w:firstLine="240" w:firstLineChars="100"/>
        <w:rPr>
          <w:rFonts w:hint="default"/>
          <w:color w:val="auto"/>
          <w:sz w:val="24"/>
          <w:szCs w:val="24"/>
          <w:highlight w:val="none"/>
          <w:lang w:val="en-US" w:eastAsia="zh-CN"/>
        </w:rPr>
      </w:pPr>
      <w:r>
        <w:rPr>
          <w:rFonts w:hint="eastAsia"/>
          <w:color w:val="auto"/>
          <w:sz w:val="24"/>
          <w:szCs w:val="24"/>
          <w:highlight w:val="none"/>
          <w:lang w:val="en-US" w:eastAsia="zh-CN"/>
        </w:rPr>
        <w:t>10）六级以上强风不吊。</w:t>
      </w:r>
    </w:p>
    <w:p w14:paraId="19566D65">
      <w:pPr>
        <w:rPr>
          <w:rFonts w:hint="eastAsia"/>
          <w:color w:val="auto"/>
          <w:sz w:val="24"/>
          <w:szCs w:val="24"/>
          <w:highlight w:val="none"/>
          <w:lang w:val="en-US" w:eastAsia="zh-CN"/>
        </w:rPr>
      </w:pPr>
      <w:r>
        <w:rPr>
          <w:rFonts w:hint="eastAsia"/>
          <w:color w:val="auto"/>
          <w:sz w:val="24"/>
          <w:szCs w:val="24"/>
          <w:highlight w:val="none"/>
          <w:lang w:val="en-US" w:eastAsia="zh-CN"/>
        </w:rPr>
        <w:t>2、吊装作业中，起重臂下严禁站人。</w:t>
      </w:r>
    </w:p>
    <w:p w14:paraId="02E76CFE">
      <w:pPr>
        <w:rPr>
          <w:rFonts w:hint="eastAsia"/>
          <w:color w:val="auto"/>
          <w:sz w:val="24"/>
          <w:szCs w:val="24"/>
          <w:highlight w:val="none"/>
          <w:lang w:val="en-US" w:eastAsia="zh-CN"/>
        </w:rPr>
      </w:pPr>
      <w:r>
        <w:rPr>
          <w:rFonts w:hint="eastAsia"/>
          <w:color w:val="auto"/>
          <w:sz w:val="24"/>
          <w:szCs w:val="24"/>
          <w:highlight w:val="none"/>
          <w:lang w:val="en-US" w:eastAsia="zh-CN"/>
        </w:rPr>
        <w:t>3、起重机的行走路线与作业停靠点应与地下电缆、管道和地沟保持一定距离，必须从其上通过时，应采取防范措施。</w:t>
      </w:r>
    </w:p>
    <w:p w14:paraId="70E8E811">
      <w:pPr>
        <w:rPr>
          <w:rFonts w:hint="eastAsia"/>
          <w:color w:val="auto"/>
          <w:sz w:val="24"/>
          <w:szCs w:val="24"/>
          <w:highlight w:val="none"/>
          <w:lang w:val="en-US" w:eastAsia="zh-CN"/>
        </w:rPr>
      </w:pPr>
      <w:r>
        <w:rPr>
          <w:rFonts w:hint="eastAsia"/>
          <w:color w:val="auto"/>
          <w:sz w:val="24"/>
          <w:szCs w:val="24"/>
          <w:highlight w:val="none"/>
          <w:lang w:val="en-US" w:eastAsia="zh-CN"/>
        </w:rPr>
        <w:t>4、应有专人指挥，使用统一的指挥信号，由具备资格的专人操作。</w:t>
      </w:r>
    </w:p>
    <w:p w14:paraId="450F1A93">
      <w:pPr>
        <w:rPr>
          <w:rFonts w:hint="eastAsia"/>
          <w:color w:val="auto"/>
          <w:sz w:val="24"/>
          <w:szCs w:val="24"/>
          <w:highlight w:val="none"/>
          <w:lang w:val="en-US" w:eastAsia="zh-CN"/>
        </w:rPr>
      </w:pPr>
      <w:r>
        <w:rPr>
          <w:rFonts w:hint="eastAsia"/>
          <w:color w:val="auto"/>
          <w:sz w:val="24"/>
          <w:szCs w:val="24"/>
          <w:highlight w:val="none"/>
          <w:lang w:val="en-US" w:eastAsia="zh-CN"/>
        </w:rPr>
        <w:t>5、吊车在高压线下面作业时，吊臂、钢丝绳和其重物等与工地高压线的距离大于 2 米。</w:t>
      </w:r>
    </w:p>
    <w:p w14:paraId="0DBDCBC8">
      <w:pPr>
        <w:rPr>
          <w:rFonts w:hint="eastAsia"/>
          <w:color w:val="auto"/>
          <w:sz w:val="24"/>
          <w:szCs w:val="24"/>
          <w:highlight w:val="none"/>
          <w:lang w:val="en-US" w:eastAsia="zh-CN"/>
        </w:rPr>
      </w:pPr>
      <w:r>
        <w:rPr>
          <w:rFonts w:hint="eastAsia"/>
          <w:color w:val="auto"/>
          <w:sz w:val="24"/>
          <w:szCs w:val="24"/>
          <w:highlight w:val="none"/>
          <w:lang w:val="en-US" w:eastAsia="zh-CN"/>
        </w:rPr>
        <w:t>6、吊车吊装不准负重行驶。</w:t>
      </w:r>
    </w:p>
    <w:p w14:paraId="62C7754A">
      <w:pPr>
        <w:rPr>
          <w:rFonts w:hint="eastAsia"/>
          <w:color w:val="auto"/>
          <w:sz w:val="24"/>
          <w:szCs w:val="24"/>
          <w:highlight w:val="none"/>
          <w:lang w:val="en-US" w:eastAsia="zh-CN"/>
        </w:rPr>
      </w:pPr>
      <w:r>
        <w:rPr>
          <w:rFonts w:hint="eastAsia"/>
          <w:color w:val="auto"/>
          <w:sz w:val="24"/>
          <w:szCs w:val="24"/>
          <w:highlight w:val="none"/>
          <w:lang w:val="en-US" w:eastAsia="zh-CN"/>
        </w:rPr>
        <w:t>7、吊车在边坡或坡边工作时，应与坑边保持一定的距离，一般为坑深的 1.1 到1.2 倍。</w:t>
      </w:r>
    </w:p>
    <w:p w14:paraId="7FB344C2">
      <w:pPr>
        <w:rPr>
          <w:rFonts w:hint="eastAsia"/>
          <w:color w:val="auto"/>
          <w:sz w:val="24"/>
          <w:szCs w:val="24"/>
          <w:highlight w:val="none"/>
          <w:lang w:val="en-US" w:eastAsia="zh-CN"/>
        </w:rPr>
      </w:pPr>
      <w:r>
        <w:rPr>
          <w:rFonts w:hint="eastAsia"/>
          <w:color w:val="auto"/>
          <w:sz w:val="24"/>
          <w:szCs w:val="24"/>
          <w:highlight w:val="none"/>
          <w:lang w:val="en-US" w:eastAsia="zh-CN"/>
        </w:rPr>
        <w:t>8、夜间施工，现场应有足够的照明。</w:t>
      </w:r>
    </w:p>
    <w:p w14:paraId="57926151">
      <w:pPr>
        <w:rPr>
          <w:rFonts w:hint="eastAsia"/>
          <w:color w:val="auto"/>
          <w:sz w:val="24"/>
          <w:szCs w:val="24"/>
          <w:highlight w:val="none"/>
          <w:lang w:val="en-US" w:eastAsia="zh-CN"/>
        </w:rPr>
      </w:pPr>
      <w:r>
        <w:rPr>
          <w:rFonts w:hint="eastAsia"/>
          <w:color w:val="auto"/>
          <w:sz w:val="24"/>
          <w:szCs w:val="24"/>
          <w:highlight w:val="none"/>
          <w:lang w:val="en-US" w:eastAsia="zh-CN"/>
        </w:rPr>
        <w:t>9、吊重时，钢丝绳应垂直起吊，不准斜吊。不准在起吊中扳动或调整支腿，如必须找平机身时，应先将重物放下。</w:t>
      </w:r>
    </w:p>
    <w:p w14:paraId="0E5A1880">
      <w:pPr>
        <w:rPr>
          <w:rFonts w:hint="eastAsia"/>
          <w:color w:val="auto"/>
          <w:sz w:val="24"/>
          <w:szCs w:val="24"/>
          <w:highlight w:val="none"/>
          <w:lang w:val="en-US" w:eastAsia="zh-CN"/>
        </w:rPr>
      </w:pPr>
      <w:r>
        <w:rPr>
          <w:rFonts w:hint="eastAsia"/>
          <w:color w:val="auto"/>
          <w:sz w:val="24"/>
          <w:szCs w:val="24"/>
          <w:highlight w:val="none"/>
          <w:lang w:val="en-US" w:eastAsia="zh-CN"/>
        </w:rPr>
        <w:t>10、不准用起重机吊拔埋在地下或冻结在地面、设备上的东西。</w:t>
      </w:r>
    </w:p>
    <w:p w14:paraId="6AC81838">
      <w:pPr>
        <w:rPr>
          <w:rFonts w:hint="eastAsia"/>
          <w:color w:val="auto"/>
          <w:sz w:val="24"/>
          <w:szCs w:val="24"/>
          <w:highlight w:val="none"/>
          <w:lang w:val="en-US" w:eastAsia="zh-CN"/>
        </w:rPr>
      </w:pPr>
      <w:r>
        <w:rPr>
          <w:rFonts w:hint="eastAsia"/>
          <w:color w:val="auto"/>
          <w:sz w:val="24"/>
          <w:szCs w:val="24"/>
          <w:highlight w:val="none"/>
          <w:lang w:val="en-US" w:eastAsia="zh-CN"/>
        </w:rPr>
        <w:t>11、吊起重物后，司机不准离开操作室，运行中不准维修起重机。</w:t>
      </w:r>
    </w:p>
    <w:p w14:paraId="5E48E3FB">
      <w:pPr>
        <w:rPr>
          <w:rFonts w:hint="eastAsia"/>
          <w:color w:val="auto"/>
          <w:sz w:val="24"/>
          <w:szCs w:val="24"/>
          <w:highlight w:val="none"/>
          <w:lang w:val="en-US" w:eastAsia="zh-CN"/>
        </w:rPr>
      </w:pPr>
      <w:r>
        <w:rPr>
          <w:rFonts w:hint="eastAsia"/>
          <w:color w:val="auto"/>
          <w:sz w:val="24"/>
          <w:szCs w:val="24"/>
          <w:highlight w:val="none"/>
          <w:lang w:val="en-US" w:eastAsia="zh-CN"/>
        </w:rPr>
        <w:t>12、每班工作前进行一次空载试验，并检查吊重和变幅钢丝绳有无缺陷，各部件是否灵活可靠，限位和报警装置是否灵敏有效。</w:t>
      </w:r>
    </w:p>
    <w:p w14:paraId="4E6B496C">
      <w:pPr>
        <w:rPr>
          <w:rFonts w:hint="eastAsia"/>
          <w:color w:val="auto"/>
          <w:sz w:val="24"/>
          <w:szCs w:val="24"/>
          <w:highlight w:val="none"/>
          <w:lang w:val="en-US" w:eastAsia="zh-CN"/>
        </w:rPr>
      </w:pPr>
      <w:r>
        <w:rPr>
          <w:rFonts w:hint="eastAsia"/>
          <w:color w:val="auto"/>
          <w:sz w:val="24"/>
          <w:szCs w:val="24"/>
          <w:highlight w:val="none"/>
          <w:lang w:val="en-US" w:eastAsia="zh-CN"/>
        </w:rPr>
        <w:t>13、遇到 6 级大风时，必须停止作业，并要卸下载荷把其重臂放在托架上。</w:t>
      </w:r>
    </w:p>
    <w:p w14:paraId="477CA91D">
      <w:pPr>
        <w:rPr>
          <w:rFonts w:hint="eastAsia"/>
          <w:color w:val="auto"/>
          <w:sz w:val="24"/>
          <w:szCs w:val="24"/>
          <w:highlight w:val="none"/>
          <w:lang w:val="en-US" w:eastAsia="zh-CN"/>
        </w:rPr>
      </w:pPr>
      <w:r>
        <w:rPr>
          <w:rFonts w:hint="eastAsia"/>
          <w:color w:val="auto"/>
          <w:sz w:val="24"/>
          <w:szCs w:val="24"/>
          <w:highlight w:val="none"/>
          <w:lang w:val="en-US" w:eastAsia="zh-CN"/>
        </w:rPr>
        <w:t>14、雨天、雪天制动器易失灵，落钩要稳要慢。</w:t>
      </w:r>
    </w:p>
    <w:p w14:paraId="09B8CCFC">
      <w:pPr>
        <w:rPr>
          <w:rFonts w:hint="eastAsia"/>
          <w:color w:val="auto"/>
          <w:sz w:val="24"/>
          <w:szCs w:val="24"/>
          <w:highlight w:val="none"/>
          <w:lang w:val="en-US" w:eastAsia="zh-CN"/>
        </w:rPr>
      </w:pPr>
      <w:r>
        <w:rPr>
          <w:rFonts w:hint="eastAsia"/>
          <w:color w:val="auto"/>
          <w:sz w:val="24"/>
          <w:szCs w:val="24"/>
          <w:highlight w:val="none"/>
          <w:lang w:val="en-US" w:eastAsia="zh-CN"/>
        </w:rPr>
        <w:t>15、起升卷筒上的钢丝绳，在任何情况下不得少于 3 圈。</w:t>
      </w:r>
    </w:p>
    <w:p w14:paraId="6C7C2CCB">
      <w:pPr>
        <w:rPr>
          <w:rFonts w:hint="eastAsia"/>
          <w:color w:val="auto"/>
          <w:sz w:val="24"/>
          <w:szCs w:val="24"/>
          <w:highlight w:val="none"/>
          <w:lang w:val="en-US" w:eastAsia="zh-CN"/>
        </w:rPr>
      </w:pPr>
      <w:r>
        <w:rPr>
          <w:rFonts w:hint="eastAsia"/>
          <w:color w:val="auto"/>
          <w:sz w:val="24"/>
          <w:szCs w:val="24"/>
          <w:highlight w:val="none"/>
          <w:lang w:val="en-US" w:eastAsia="zh-CN"/>
        </w:rPr>
        <w:t>16、起重机的吊锁应保持垂直起吊，吊钩起落应平稳，在操作中应尽量避免紧急刹车或冲击。</w:t>
      </w:r>
    </w:p>
    <w:p w14:paraId="2F7C6327">
      <w:pPr>
        <w:rPr>
          <w:rFonts w:hint="eastAsia"/>
          <w:color w:val="auto"/>
          <w:sz w:val="24"/>
          <w:szCs w:val="24"/>
          <w:highlight w:val="none"/>
          <w:lang w:val="en-US" w:eastAsia="zh-CN"/>
        </w:rPr>
      </w:pPr>
      <w:r>
        <w:rPr>
          <w:rFonts w:hint="eastAsia"/>
          <w:color w:val="auto"/>
          <w:sz w:val="24"/>
          <w:szCs w:val="24"/>
          <w:highlight w:val="none"/>
          <w:lang w:val="en-US" w:eastAsia="zh-CN"/>
        </w:rPr>
        <w:t>17、起重机有满载或接近满载时，在指挥和操作上应禁止同时做两种操作机械动作，并且还需要控制回转范围，一般要求是不宜超过 90 度。</w:t>
      </w:r>
    </w:p>
    <w:p w14:paraId="31B98A54">
      <w:pPr>
        <w:rPr>
          <w:rFonts w:hint="eastAsia"/>
          <w:color w:val="auto"/>
          <w:sz w:val="24"/>
          <w:szCs w:val="24"/>
          <w:highlight w:val="none"/>
          <w:lang w:val="en-US" w:eastAsia="zh-CN"/>
        </w:rPr>
      </w:pPr>
      <w:r>
        <w:rPr>
          <w:rFonts w:hint="eastAsia"/>
          <w:color w:val="auto"/>
          <w:sz w:val="24"/>
          <w:szCs w:val="24"/>
          <w:highlight w:val="none"/>
          <w:lang w:val="en-US" w:eastAsia="zh-CN"/>
        </w:rPr>
        <w:t>18、起重机应尽量避免在倾斜的场地上吊起重物旋转，起重机停妥后，其支腿应垫实，允许斜度不大于 3 度。</w:t>
      </w:r>
    </w:p>
    <w:p w14:paraId="6C3B8F8B">
      <w:pPr>
        <w:rPr>
          <w:rFonts w:hint="eastAsia"/>
          <w:color w:val="auto"/>
          <w:sz w:val="24"/>
          <w:szCs w:val="24"/>
          <w:highlight w:val="none"/>
          <w:lang w:val="en-US" w:eastAsia="zh-CN"/>
        </w:rPr>
      </w:pPr>
      <w:r>
        <w:rPr>
          <w:rFonts w:hint="eastAsia"/>
          <w:color w:val="auto"/>
          <w:sz w:val="24"/>
          <w:szCs w:val="24"/>
          <w:highlight w:val="none"/>
          <w:lang w:val="en-US" w:eastAsia="zh-CN"/>
        </w:rPr>
        <w:t>19、起吊变压器时，应分别挂在专用起吊装置上，遇棱角处应放置衬垫，起吊100mm 左右时应停留检查悬挂及捆绑情况，确认可靠后再继续起吊；</w:t>
      </w:r>
    </w:p>
    <w:p w14:paraId="14906ECE">
      <w:pPr>
        <w:rPr>
          <w:rFonts w:hint="eastAsia"/>
          <w:color w:val="auto"/>
          <w:sz w:val="24"/>
          <w:szCs w:val="24"/>
          <w:highlight w:val="none"/>
          <w:lang w:val="en-US" w:eastAsia="zh-CN"/>
        </w:rPr>
      </w:pPr>
      <w:r>
        <w:rPr>
          <w:rFonts w:hint="eastAsia"/>
          <w:color w:val="auto"/>
          <w:sz w:val="24"/>
          <w:szCs w:val="24"/>
          <w:highlight w:val="none"/>
          <w:lang w:val="en-US" w:eastAsia="zh-CN"/>
        </w:rPr>
        <w:t>20、起吊时钢丝绳的夹角不应大于 60 度，否则应采用吊具或调整钢丝绳套；</w:t>
      </w:r>
    </w:p>
    <w:p w14:paraId="64683A17">
      <w:pPr>
        <w:rPr>
          <w:rFonts w:hint="eastAsia"/>
          <w:color w:val="auto"/>
          <w:sz w:val="24"/>
          <w:szCs w:val="24"/>
          <w:highlight w:val="none"/>
          <w:lang w:val="en-US" w:eastAsia="zh-CN"/>
        </w:rPr>
      </w:pPr>
      <w:r>
        <w:rPr>
          <w:rFonts w:hint="eastAsia"/>
          <w:color w:val="auto"/>
          <w:sz w:val="24"/>
          <w:szCs w:val="24"/>
          <w:highlight w:val="none"/>
          <w:lang w:val="en-US" w:eastAsia="zh-CN"/>
        </w:rPr>
        <w:t>21、起吊，四角应系缆绳，由专人扶持，使其保持平稳。起吊速度应均匀，掌握好重心，防止倾斜。起吊时，应使高、低压引线，分接开关支架与箱壁间保持一定的间隙，防止碰伤器身。</w:t>
      </w:r>
    </w:p>
    <w:p w14:paraId="1CFFD310">
      <w:pPr>
        <w:rPr>
          <w:rFonts w:hint="eastAsia"/>
          <w:color w:val="auto"/>
          <w:sz w:val="24"/>
          <w:szCs w:val="24"/>
          <w:highlight w:val="none"/>
          <w:lang w:val="en-US" w:eastAsia="zh-CN"/>
        </w:rPr>
      </w:pPr>
      <w:r>
        <w:rPr>
          <w:rFonts w:hint="eastAsia"/>
          <w:color w:val="auto"/>
          <w:sz w:val="24"/>
          <w:szCs w:val="24"/>
          <w:highlight w:val="none"/>
          <w:lang w:val="en-US" w:eastAsia="zh-CN"/>
        </w:rPr>
        <w:t>22、当钟罩因受条件限制，起吊后不能移动而需在空气中停留时，应采取支撑等防止坠落措施。</w:t>
      </w:r>
    </w:p>
    <w:p w14:paraId="768D4936">
      <w:pPr>
        <w:rPr>
          <w:rFonts w:hint="eastAsia"/>
          <w:color w:val="auto"/>
          <w:sz w:val="24"/>
          <w:szCs w:val="24"/>
          <w:highlight w:val="none"/>
          <w:lang w:val="en-US" w:eastAsia="zh-CN"/>
        </w:rPr>
      </w:pPr>
      <w:r>
        <w:rPr>
          <w:rFonts w:hint="eastAsia"/>
          <w:color w:val="auto"/>
          <w:sz w:val="24"/>
          <w:szCs w:val="24"/>
          <w:highlight w:val="none"/>
          <w:lang w:val="en-US" w:eastAsia="zh-CN"/>
        </w:rPr>
        <w:t>23、采用汽车吊起重时，应检查支撑稳定性，注意起重臂伸张的角度，回转范围与邻近带电设备的安全距离，并设专人监护。</w:t>
      </w:r>
    </w:p>
    <w:p w14:paraId="4275B139">
      <w:pPr>
        <w:pStyle w:val="43"/>
        <w:wordWrap w:val="0"/>
        <w:ind w:firstLine="0" w:firstLineChars="0"/>
        <w:jc w:val="left"/>
        <w:rPr>
          <w:rFonts w:eastAsia="黑体"/>
          <w:color w:val="auto"/>
          <w:sz w:val="28"/>
          <w:szCs w:val="44"/>
          <w:highlight w:val="none"/>
        </w:rPr>
      </w:pPr>
    </w:p>
    <w:p w14:paraId="0896E0F8">
      <w:pPr>
        <w:pStyle w:val="43"/>
        <w:wordWrap w:val="0"/>
        <w:ind w:firstLine="0" w:firstLineChars="0"/>
        <w:jc w:val="left"/>
        <w:rPr>
          <w:rFonts w:eastAsia="黑体"/>
          <w:color w:val="auto"/>
          <w:sz w:val="28"/>
          <w:szCs w:val="44"/>
          <w:highlight w:val="none"/>
        </w:rPr>
      </w:pPr>
    </w:p>
    <w:p w14:paraId="4582DCA5">
      <w:pPr>
        <w:pStyle w:val="43"/>
        <w:wordWrap w:val="0"/>
        <w:ind w:firstLine="0" w:firstLineChars="0"/>
        <w:jc w:val="left"/>
        <w:rPr>
          <w:rFonts w:eastAsia="黑体"/>
          <w:color w:val="auto"/>
          <w:sz w:val="28"/>
          <w:szCs w:val="44"/>
          <w:highlight w:val="none"/>
        </w:rPr>
      </w:pPr>
    </w:p>
    <w:p w14:paraId="5EC7DD05">
      <w:pPr>
        <w:rPr>
          <w:rFonts w:eastAsia="黑体"/>
          <w:color w:val="auto"/>
          <w:sz w:val="28"/>
          <w:szCs w:val="44"/>
          <w:highlight w:val="none"/>
        </w:rPr>
      </w:pPr>
    </w:p>
    <w:p w14:paraId="0D53C6AF">
      <w:pPr>
        <w:rPr>
          <w:rFonts w:eastAsia="黑体"/>
          <w:color w:val="auto"/>
          <w:sz w:val="28"/>
          <w:szCs w:val="44"/>
          <w:highlight w:val="none"/>
        </w:rPr>
      </w:pPr>
    </w:p>
    <w:p w14:paraId="14E30C86">
      <w:pPr>
        <w:rPr>
          <w:rFonts w:eastAsia="黑体"/>
          <w:color w:val="auto"/>
          <w:sz w:val="28"/>
          <w:szCs w:val="44"/>
          <w:highlight w:val="none"/>
        </w:rPr>
      </w:pPr>
    </w:p>
    <w:p w14:paraId="00D744BA">
      <w:pPr>
        <w:pStyle w:val="43"/>
        <w:wordWrap w:val="0"/>
        <w:ind w:firstLine="0" w:firstLineChars="0"/>
        <w:jc w:val="left"/>
        <w:rPr>
          <w:rFonts w:eastAsia="黑体"/>
          <w:color w:val="auto"/>
          <w:sz w:val="28"/>
          <w:szCs w:val="44"/>
          <w:highlight w:val="none"/>
        </w:rPr>
      </w:pPr>
    </w:p>
    <w:p w14:paraId="636F9957">
      <w:pPr>
        <w:pStyle w:val="43"/>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rPr>
        <w:t>七 合同模板</w:t>
      </w:r>
    </w:p>
    <w:p w14:paraId="3FBE5DCD">
      <w:pPr>
        <w:spacing w:line="520" w:lineRule="exact"/>
        <w:jc w:val="center"/>
        <w:rPr>
          <w:rFonts w:ascii="宋体" w:hAnsi="宋体"/>
          <w:b/>
          <w:color w:val="auto"/>
          <w:sz w:val="44"/>
          <w:szCs w:val="44"/>
          <w:highlight w:val="none"/>
        </w:rPr>
      </w:pPr>
      <w:r>
        <w:rPr>
          <w:rFonts w:hint="eastAsia" w:ascii="宋体" w:hAnsi="宋体"/>
          <w:b/>
          <w:color w:val="auto"/>
          <w:sz w:val="44"/>
          <w:szCs w:val="44"/>
          <w:highlight w:val="none"/>
        </w:rPr>
        <w:t>阳江开能环保能源有限公司余热发电项目35KV变压器高压配电柜更换拆装施工及电气传动试验项目合同</w:t>
      </w:r>
    </w:p>
    <w:p w14:paraId="03B0CD64">
      <w:pPr>
        <w:spacing w:after="240" w:afterLines="100" w:line="600" w:lineRule="auto"/>
        <w:rPr>
          <w:rFonts w:ascii="黑体" w:hAnsi="宋体" w:eastAsia="黑体"/>
          <w:color w:val="auto"/>
          <w:sz w:val="44"/>
          <w:szCs w:val="44"/>
          <w:highlight w:val="none"/>
        </w:rPr>
      </w:pPr>
    </w:p>
    <w:p w14:paraId="5D9F7820">
      <w:pPr>
        <w:spacing w:after="240" w:afterLines="100" w:line="360" w:lineRule="auto"/>
        <w:rPr>
          <w:rFonts w:ascii="宋体" w:hAnsi="宋体"/>
          <w:b/>
          <w:color w:val="auto"/>
          <w:sz w:val="44"/>
          <w:szCs w:val="44"/>
          <w:highlight w:val="none"/>
        </w:rPr>
      </w:pPr>
    </w:p>
    <w:p w14:paraId="393D8FC6">
      <w:pPr>
        <w:spacing w:after="240" w:afterLines="100" w:line="360" w:lineRule="auto"/>
        <w:rPr>
          <w:rFonts w:ascii="宋体" w:hAnsi="宋体"/>
          <w:b/>
          <w:color w:val="auto"/>
          <w:sz w:val="44"/>
          <w:szCs w:val="44"/>
          <w:highlight w:val="none"/>
        </w:rPr>
      </w:pPr>
    </w:p>
    <w:p w14:paraId="25669486">
      <w:pPr>
        <w:pStyle w:val="64"/>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发 包 方（甲方）：阳江开能环保能源有限公司</w:t>
      </w:r>
    </w:p>
    <w:p w14:paraId="240D67AC">
      <w:pPr>
        <w:pStyle w:val="64"/>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承 包 方（乙方）：</w:t>
      </w:r>
    </w:p>
    <w:p w14:paraId="0B2C4FB0">
      <w:pPr>
        <w:pStyle w:val="64"/>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合同编号：</w:t>
      </w:r>
    </w:p>
    <w:p w14:paraId="0A083164">
      <w:pPr>
        <w:pStyle w:val="64"/>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 xml:space="preserve">签约地点：广东省阳江市 </w:t>
      </w:r>
    </w:p>
    <w:p w14:paraId="2E864206">
      <w:pPr>
        <w:pStyle w:val="64"/>
        <w:spacing w:line="360" w:lineRule="auto"/>
        <w:ind w:left="0" w:firstLine="2168" w:firstLineChars="720"/>
        <w:rPr>
          <w:rFonts w:ascii="宋体" w:hAnsi="宋体"/>
          <w:bCs/>
          <w:color w:val="auto"/>
          <w:sz w:val="30"/>
          <w:szCs w:val="30"/>
          <w:highlight w:val="none"/>
        </w:rPr>
        <w:sectPr>
          <w:headerReference r:id="rId5" w:type="default"/>
          <w:footerReference r:id="rId6" w:type="default"/>
          <w:pgSz w:w="11906" w:h="16838"/>
          <w:pgMar w:top="1417" w:right="1273" w:bottom="1134" w:left="1273" w:header="1440" w:footer="1440" w:gutter="0"/>
          <w:pgNumType w:start="8"/>
          <w:cols w:space="720" w:num="1"/>
        </w:sectPr>
      </w:pPr>
      <w:r>
        <w:rPr>
          <w:rFonts w:hint="eastAsia" w:ascii="宋体" w:hAnsi="宋体"/>
          <w:b/>
          <w:bCs/>
          <w:color w:val="auto"/>
          <w:kern w:val="2"/>
          <w:sz w:val="30"/>
          <w:szCs w:val="30"/>
          <w:highlight w:val="none"/>
        </w:rPr>
        <w:t xml:space="preserve">签订日期：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年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月  </w:t>
      </w:r>
    </w:p>
    <w:p w14:paraId="6E41C85E">
      <w:pPr>
        <w:ind w:firstLine="482" w:firstLineChars="200"/>
        <w:rPr>
          <w:rFonts w:ascii="宋体" w:hAnsi="宋体"/>
          <w:b/>
          <w:color w:val="auto"/>
          <w:sz w:val="24"/>
          <w:highlight w:val="none"/>
        </w:rPr>
      </w:pPr>
      <w:r>
        <w:rPr>
          <w:rFonts w:hint="eastAsia" w:ascii="宋体" w:hAnsi="宋体"/>
          <w:b/>
          <w:color w:val="auto"/>
          <w:sz w:val="24"/>
          <w:highlight w:val="none"/>
        </w:rPr>
        <w:t>发包方（甲方）：</w:t>
      </w:r>
      <w:r>
        <w:rPr>
          <w:rFonts w:hint="eastAsia" w:ascii="宋体" w:hAnsi="宋体"/>
          <w:b/>
          <w:color w:val="auto"/>
          <w:sz w:val="24"/>
          <w:highlight w:val="none"/>
          <w:u w:val="single"/>
        </w:rPr>
        <w:t>阳江开能环保能源有限公司</w:t>
      </w:r>
    </w:p>
    <w:p w14:paraId="456286C1">
      <w:pPr>
        <w:ind w:firstLine="482" w:firstLineChars="200"/>
        <w:rPr>
          <w:rFonts w:ascii="宋体" w:hAnsi="宋体"/>
          <w:b/>
          <w:color w:val="auto"/>
          <w:sz w:val="24"/>
          <w:highlight w:val="none"/>
          <w:u w:val="single"/>
        </w:rPr>
      </w:pPr>
      <w:r>
        <w:rPr>
          <w:rFonts w:hint="eastAsia" w:ascii="宋体" w:hAnsi="宋体"/>
          <w:b/>
          <w:color w:val="auto"/>
          <w:sz w:val="24"/>
          <w:highlight w:val="none"/>
        </w:rPr>
        <w:t>承包方（乙方）：</w:t>
      </w:r>
    </w:p>
    <w:p w14:paraId="7D18B756">
      <w:pPr>
        <w:widowControl/>
        <w:spacing w:before="102" w:after="102"/>
        <w:ind w:right="-6" w:firstLine="420" w:firstLineChars="200"/>
        <w:jc w:val="left"/>
        <w:rPr>
          <w:rFonts w:ascii="宋体" w:hAnsi="宋体"/>
          <w:color w:val="auto"/>
          <w:szCs w:val="21"/>
          <w:highlight w:val="none"/>
        </w:rPr>
      </w:pPr>
      <w:r>
        <w:rPr>
          <w:rFonts w:hint="eastAsia" w:ascii="宋体" w:hAnsi="宋体"/>
          <w:color w:val="auto"/>
          <w:szCs w:val="21"/>
          <w:highlight w:val="none"/>
        </w:rPr>
        <w:t>依据《中华人民共和国民法典》、《中华人民共和国建筑法》及其他相关法律法规，遵循平等、自愿、互利互惠、公平和诚实信用的原则，发、承包方双方就本合同范围内</w:t>
      </w:r>
      <w:r>
        <w:rPr>
          <w:rFonts w:hint="eastAsia" w:cs="宋体"/>
          <w:color w:val="auto"/>
          <w:szCs w:val="21"/>
          <w:highlight w:val="none"/>
          <w:u w:val="single"/>
        </w:rPr>
        <w:t>阳江开能环保能源有限公司余热发电项目35KV变压器高压配电柜更换拆装施工及电气传动试验</w:t>
      </w:r>
      <w:r>
        <w:rPr>
          <w:rFonts w:hint="eastAsia" w:ascii="宋体" w:hAnsi="宋体"/>
          <w:color w:val="auto"/>
          <w:szCs w:val="21"/>
          <w:highlight w:val="none"/>
        </w:rPr>
        <w:t>事项协商一致，订本合同，合同条款如下：</w:t>
      </w:r>
    </w:p>
    <w:p w14:paraId="42F16D2E">
      <w:pPr>
        <w:ind w:firstLine="413" w:firstLineChars="196"/>
        <w:rPr>
          <w:rFonts w:ascii="宋体" w:hAnsi="宋体"/>
          <w:b/>
          <w:color w:val="auto"/>
          <w:szCs w:val="21"/>
          <w:highlight w:val="none"/>
        </w:rPr>
      </w:pPr>
      <w:r>
        <w:rPr>
          <w:rFonts w:hint="eastAsia" w:ascii="宋体" w:hAnsi="宋体"/>
          <w:b/>
          <w:color w:val="auto"/>
          <w:szCs w:val="21"/>
          <w:highlight w:val="none"/>
        </w:rPr>
        <w:t>第一条 工程概况</w:t>
      </w:r>
    </w:p>
    <w:p w14:paraId="617CAEFF">
      <w:pPr>
        <w:ind w:firstLine="420" w:firstLineChars="200"/>
        <w:jc w:val="left"/>
        <w:rPr>
          <w:rFonts w:ascii="宋体" w:hAnsi="宋体"/>
          <w:color w:val="auto"/>
          <w:szCs w:val="21"/>
          <w:highlight w:val="none"/>
          <w:u w:val="single"/>
        </w:rPr>
      </w:pPr>
      <w:r>
        <w:rPr>
          <w:rFonts w:hint="eastAsia" w:ascii="宋体" w:hAnsi="宋体"/>
          <w:color w:val="auto"/>
          <w:szCs w:val="21"/>
          <w:highlight w:val="none"/>
        </w:rPr>
        <w:t>1.1工程名称：</w:t>
      </w:r>
      <w:r>
        <w:rPr>
          <w:rFonts w:hint="eastAsia" w:ascii="宋体" w:hAnsi="宋体"/>
          <w:color w:val="auto"/>
          <w:szCs w:val="21"/>
          <w:highlight w:val="none"/>
          <w:u w:val="single"/>
        </w:rPr>
        <w:t>阳江开能环保能源有限公司余热发电项目35KV变压器高压配电柜更换拆装施工及电气传动试验项目；</w:t>
      </w:r>
      <w:r>
        <w:rPr>
          <w:rFonts w:hint="eastAsia" w:ascii="宋体" w:hAnsi="宋体"/>
          <w:color w:val="auto"/>
          <w:szCs w:val="21"/>
          <w:highlight w:val="none"/>
        </w:rPr>
        <w:t xml:space="preserve">  </w:t>
      </w:r>
    </w:p>
    <w:p w14:paraId="252C090A">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 xml:space="preserve">1.2工程地点: </w:t>
      </w:r>
      <w:r>
        <w:rPr>
          <w:rFonts w:hint="eastAsia" w:ascii="宋体" w:hAnsi="宋体"/>
          <w:color w:val="auto"/>
          <w:szCs w:val="21"/>
          <w:highlight w:val="none"/>
          <w:u w:val="single"/>
          <w:lang w:val="zh-CN"/>
        </w:rPr>
        <w:t>广东省阳江市高新区临港工业园海港二横路1号；</w:t>
      </w:r>
      <w:r>
        <w:rPr>
          <w:rFonts w:hint="eastAsia" w:ascii="宋体" w:hAnsi="宋体"/>
          <w:color w:val="auto"/>
          <w:szCs w:val="21"/>
          <w:highlight w:val="none"/>
          <w:u w:val="single"/>
        </w:rPr>
        <w:t xml:space="preserve">                                                </w:t>
      </w:r>
    </w:p>
    <w:p w14:paraId="733D533B">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1.3 工程内容：</w:t>
      </w:r>
      <w:r>
        <w:rPr>
          <w:rFonts w:hint="eastAsia" w:ascii="宋体" w:hAnsi="宋体"/>
          <w:color w:val="auto"/>
          <w:szCs w:val="21"/>
          <w:highlight w:val="none"/>
          <w:u w:val="single"/>
        </w:rPr>
        <w:t xml:space="preserve">阳江开能环保能源有限公司余热发电项目35KV变压器高压配电柜更换拆装施工及电气传动试验。     </w:t>
      </w:r>
    </w:p>
    <w:p w14:paraId="7BDE7E1C">
      <w:pPr>
        <w:ind w:firstLine="420" w:firstLineChars="200"/>
        <w:outlineLvl w:val="2"/>
        <w:rPr>
          <w:rFonts w:ascii="宋体" w:hAnsi="宋体"/>
          <w:color w:val="auto"/>
          <w:szCs w:val="21"/>
          <w:highlight w:val="none"/>
        </w:rPr>
      </w:pPr>
      <w:r>
        <w:rPr>
          <w:rFonts w:hint="eastAsia" w:ascii="宋体" w:hAnsi="宋体"/>
          <w:color w:val="auto"/>
          <w:szCs w:val="21"/>
          <w:highlight w:val="none"/>
        </w:rPr>
        <w:t>第二条 承包范围</w:t>
      </w:r>
    </w:p>
    <w:p w14:paraId="73A42D8B">
      <w:pPr>
        <w:ind w:firstLine="411" w:firstLineChars="196"/>
        <w:rPr>
          <w:rFonts w:hint="eastAsia" w:ascii="宋体" w:hAnsi="宋体"/>
          <w:color w:val="auto"/>
          <w:szCs w:val="21"/>
          <w:highlight w:val="none"/>
          <w:u w:val="none"/>
        </w:rPr>
      </w:pPr>
      <w:r>
        <w:rPr>
          <w:rFonts w:hint="eastAsia" w:ascii="宋体" w:hAnsi="宋体"/>
          <w:color w:val="auto"/>
          <w:kern w:val="0"/>
          <w:szCs w:val="21"/>
          <w:highlight w:val="none"/>
        </w:rPr>
        <w:t>2.1承包范围：</w:t>
      </w:r>
      <w:r>
        <w:rPr>
          <w:rFonts w:hint="eastAsia" w:ascii="宋体" w:hAnsi="宋体"/>
          <w:b/>
          <w:color w:val="auto"/>
          <w:kern w:val="0"/>
          <w:szCs w:val="21"/>
          <w:highlight w:val="none"/>
          <w:u w:val="none"/>
        </w:rPr>
        <w:t xml:space="preserve"> </w:t>
      </w:r>
      <w:r>
        <w:rPr>
          <w:rFonts w:hint="eastAsia" w:ascii="宋体" w:hAnsi="宋体"/>
          <w:color w:val="auto"/>
          <w:szCs w:val="21"/>
          <w:highlight w:val="none"/>
          <w:u w:val="none"/>
          <w:lang w:val="en-US" w:eastAsia="zh-CN"/>
        </w:rPr>
        <w:t>承包方</w:t>
      </w:r>
      <w:r>
        <w:rPr>
          <w:rFonts w:hint="eastAsia" w:ascii="宋体" w:hAnsi="宋体"/>
          <w:color w:val="auto"/>
          <w:szCs w:val="21"/>
          <w:highlight w:val="none"/>
          <w:u w:val="none"/>
        </w:rPr>
        <w:t>使用</w:t>
      </w:r>
      <w:r>
        <w:rPr>
          <w:rFonts w:hint="eastAsia" w:ascii="宋体" w:hAnsi="宋体"/>
          <w:color w:val="auto"/>
          <w:szCs w:val="21"/>
          <w:highlight w:val="none"/>
          <w:u w:val="none"/>
          <w:lang w:val="en-US" w:eastAsia="zh-CN"/>
        </w:rPr>
        <w:t>发包方</w:t>
      </w:r>
      <w:r>
        <w:rPr>
          <w:rFonts w:hint="eastAsia" w:ascii="宋体" w:hAnsi="宋体"/>
          <w:color w:val="auto"/>
          <w:szCs w:val="21"/>
          <w:highlight w:val="none"/>
          <w:u w:val="none"/>
        </w:rPr>
        <w:t>新购的两个配电柜及一个PT柜对原有配电柜进行拆装更换，分别为PT柜AH2、35KV变压器柜AH3、35KV母线进线柜AH4及配套综保装置，其中配套综合保护器放置于中控室电子间，单根电缆长度距离约为80M，综保控制线需安装一段约30M电缆桥架（电缆桥架由</w:t>
      </w:r>
      <w:r>
        <w:rPr>
          <w:rFonts w:hint="eastAsia" w:ascii="宋体" w:hAnsi="宋体"/>
          <w:color w:val="auto"/>
          <w:szCs w:val="21"/>
          <w:highlight w:val="none"/>
          <w:u w:val="none"/>
          <w:lang w:val="en-US" w:eastAsia="zh-CN"/>
        </w:rPr>
        <w:t>发包方</w:t>
      </w:r>
      <w:r>
        <w:rPr>
          <w:rFonts w:hint="eastAsia" w:ascii="宋体" w:hAnsi="宋体"/>
          <w:color w:val="auto"/>
          <w:szCs w:val="21"/>
          <w:highlight w:val="none"/>
          <w:u w:val="none"/>
        </w:rPr>
        <w:t>人提供）；另同步对</w:t>
      </w:r>
      <w:r>
        <w:rPr>
          <w:rFonts w:hint="eastAsia" w:ascii="宋体" w:hAnsi="宋体"/>
          <w:color w:val="auto"/>
          <w:szCs w:val="21"/>
          <w:highlight w:val="none"/>
          <w:u w:val="none"/>
          <w:lang w:val="en-US" w:eastAsia="zh-CN"/>
        </w:rPr>
        <w:t>发包方</w:t>
      </w:r>
      <w:r>
        <w:rPr>
          <w:rFonts w:hint="eastAsia" w:ascii="宋体" w:hAnsi="宋体"/>
          <w:color w:val="auto"/>
          <w:szCs w:val="21"/>
          <w:highlight w:val="none"/>
          <w:u w:val="none"/>
        </w:rPr>
        <w:t>10KV母线及开关柜G1、G2、G3、G7、G8、G9共6个高压开关及综保、互感器、一台35KV主变压器（20000KVA）、两台10KV干式变压器（2000KVA）等电气设备进行预防性试验，具体要求详见附件</w:t>
      </w:r>
      <w:r>
        <w:rPr>
          <w:rFonts w:hint="eastAsia" w:ascii="宋体" w:hAnsi="宋体"/>
          <w:color w:val="auto"/>
          <w:szCs w:val="21"/>
          <w:highlight w:val="none"/>
          <w:u w:val="none"/>
          <w:lang w:val="en-US" w:eastAsia="zh-CN"/>
        </w:rPr>
        <w:t>2阳江开能环保能源有限公司余热发电项目35KV变压器高压配电柜更换拆装施工及电气传动试验项目技术协议</w:t>
      </w:r>
      <w:r>
        <w:rPr>
          <w:rFonts w:hint="eastAsia" w:ascii="宋体" w:hAnsi="宋体"/>
          <w:color w:val="auto"/>
          <w:szCs w:val="21"/>
          <w:highlight w:val="none"/>
          <w:u w:val="none"/>
        </w:rPr>
        <w:t>。</w:t>
      </w:r>
    </w:p>
    <w:p w14:paraId="66AF796B">
      <w:pPr>
        <w:pStyle w:val="9"/>
        <w:rPr>
          <w:rFonts w:hint="default" w:eastAsia="宋体"/>
          <w:color w:val="auto"/>
          <w:highlight w:val="none"/>
          <w:u w:val="none"/>
          <w:lang w:val="en-US" w:eastAsia="zh-CN"/>
        </w:rPr>
      </w:pPr>
      <w:r>
        <w:rPr>
          <w:rFonts w:hint="eastAsia" w:ascii="宋体" w:hAnsi="宋体"/>
          <w:color w:val="auto"/>
          <w:szCs w:val="21"/>
          <w:highlight w:val="none"/>
          <w:u w:val="none"/>
          <w:lang w:val="en-US" w:eastAsia="zh-CN"/>
        </w:rPr>
        <w:t xml:space="preserve">    本合同的发包方式为固定单价暂定总价的模式，最终结算金额按照附件1价格清单的固定单价*实际完工工项目计算。</w:t>
      </w:r>
    </w:p>
    <w:p w14:paraId="748C7B4B">
      <w:pPr>
        <w:ind w:firstLine="422" w:firstLineChars="200"/>
        <w:rPr>
          <w:rFonts w:ascii="宋体" w:hAnsi="宋体"/>
          <w:b/>
          <w:color w:val="auto"/>
          <w:szCs w:val="21"/>
          <w:highlight w:val="none"/>
        </w:rPr>
      </w:pPr>
      <w:r>
        <w:rPr>
          <w:rFonts w:hint="eastAsia" w:ascii="宋体" w:hAnsi="宋体"/>
          <w:b/>
          <w:color w:val="auto"/>
          <w:szCs w:val="21"/>
          <w:highlight w:val="none"/>
        </w:rPr>
        <w:t>第二条 质量标准</w:t>
      </w:r>
    </w:p>
    <w:p w14:paraId="15A5219D">
      <w:pPr>
        <w:ind w:firstLine="420" w:firstLineChars="200"/>
        <w:rPr>
          <w:rFonts w:ascii="宋体" w:hAnsi="宋体"/>
          <w:color w:val="auto"/>
          <w:szCs w:val="21"/>
          <w:highlight w:val="none"/>
          <w:u w:val="single"/>
        </w:rPr>
      </w:pPr>
      <w:r>
        <w:rPr>
          <w:rFonts w:hint="eastAsia" w:ascii="宋体" w:hAnsi="宋体"/>
          <w:color w:val="auto"/>
          <w:szCs w:val="21"/>
          <w:highlight w:val="none"/>
        </w:rPr>
        <w:t>工程质量标准：</w:t>
      </w:r>
      <w:r>
        <w:rPr>
          <w:rFonts w:hint="eastAsia" w:ascii="宋体" w:hAnsi="宋体"/>
          <w:color w:val="auto"/>
          <w:szCs w:val="21"/>
          <w:highlight w:val="none"/>
          <w:u w:val="single"/>
        </w:rPr>
        <w:t>符合国家及有关部门的规范规定及质量验收标准，并能满足发包方的各项技术与功能要求，保证符合设计及规范要求，验收合格。</w:t>
      </w:r>
    </w:p>
    <w:p w14:paraId="6D564A44">
      <w:pPr>
        <w:ind w:firstLine="422" w:firstLineChars="200"/>
        <w:rPr>
          <w:rFonts w:ascii="宋体" w:hAnsi="宋体"/>
          <w:b/>
          <w:color w:val="auto"/>
          <w:szCs w:val="21"/>
          <w:highlight w:val="none"/>
        </w:rPr>
      </w:pPr>
      <w:r>
        <w:rPr>
          <w:rFonts w:hint="eastAsia" w:ascii="宋体" w:hAnsi="宋体"/>
          <w:b/>
          <w:color w:val="auto"/>
          <w:szCs w:val="21"/>
          <w:highlight w:val="none"/>
        </w:rPr>
        <w:t>第三条 合同价款</w:t>
      </w:r>
    </w:p>
    <w:p w14:paraId="4CE429F0">
      <w:pPr>
        <w:ind w:firstLine="420" w:firstLineChars="200"/>
        <w:rPr>
          <w:rFonts w:hint="eastAsia" w:ascii="宋体" w:hAnsi="宋体" w:eastAsia="宋体"/>
          <w:color w:val="auto"/>
          <w:szCs w:val="21"/>
          <w:highlight w:val="none"/>
          <w:lang w:val="en-US" w:eastAsia="zh-CN"/>
        </w:rPr>
      </w:pPr>
      <w:r>
        <w:rPr>
          <w:rFonts w:hint="eastAsia"/>
          <w:color w:val="auto"/>
          <w:szCs w:val="21"/>
          <w:highlight w:val="none"/>
        </w:rPr>
        <w:t xml:space="preserve">3.1 </w:t>
      </w:r>
      <w:r>
        <w:rPr>
          <w:rFonts w:hint="eastAsia" w:ascii="宋体" w:hAnsi="宋体"/>
          <w:color w:val="auto"/>
          <w:szCs w:val="21"/>
          <w:highlight w:val="none"/>
        </w:rPr>
        <w:t xml:space="preserve">  本合同</w:t>
      </w:r>
      <w:r>
        <w:rPr>
          <w:rFonts w:hint="eastAsia" w:ascii="宋体" w:hAnsi="宋体"/>
          <w:color w:val="auto"/>
          <w:szCs w:val="21"/>
          <w:highlight w:val="none"/>
          <w:lang w:val="en-US" w:eastAsia="zh-CN"/>
        </w:rPr>
        <w:t>暂定</w:t>
      </w:r>
      <w:r>
        <w:rPr>
          <w:rFonts w:hint="eastAsia" w:ascii="宋体" w:hAnsi="宋体"/>
          <w:color w:val="auto"/>
          <w:szCs w:val="21"/>
          <w:highlight w:val="none"/>
        </w:rPr>
        <w:t>总价金额为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），此为含税金额，按照现行税收政策规定，应包含税率9%</w:t>
      </w:r>
      <w:r>
        <w:rPr>
          <w:rFonts w:hint="eastAsia" w:ascii="宋体" w:hAnsi="宋体"/>
          <w:color w:val="auto"/>
          <w:szCs w:val="21"/>
          <w:highlight w:val="none"/>
          <w:lang w:val="en-US" w:eastAsia="zh-CN"/>
        </w:rPr>
        <w:t>和6%</w:t>
      </w:r>
      <w:r>
        <w:rPr>
          <w:rFonts w:hint="eastAsia" w:ascii="宋体" w:hAnsi="宋体"/>
          <w:color w:val="auto"/>
          <w:szCs w:val="21"/>
          <w:highlight w:val="none"/>
        </w:rPr>
        <w:t>的增值税，如遇税务政策调整，自税务政策调整之日起，应按本合同金额/（1+增值税税率9%</w:t>
      </w:r>
      <w:r>
        <w:rPr>
          <w:rFonts w:hint="eastAsia" w:ascii="宋体" w:hAnsi="宋体"/>
          <w:color w:val="auto"/>
          <w:szCs w:val="21"/>
          <w:highlight w:val="none"/>
          <w:lang w:val="en-US" w:eastAsia="zh-CN"/>
        </w:rPr>
        <w:t>或</w:t>
      </w:r>
      <w:r>
        <w:rPr>
          <w:rFonts w:hint="eastAsia" w:ascii="宋体" w:hAnsi="宋体"/>
          <w:color w:val="auto"/>
          <w:szCs w:val="21"/>
          <w:highlight w:val="none"/>
        </w:rPr>
        <w:t>1+增值税税率</w:t>
      </w:r>
      <w:r>
        <w:rPr>
          <w:rFonts w:hint="eastAsia" w:ascii="宋体" w:hAnsi="宋体"/>
          <w:color w:val="auto"/>
          <w:szCs w:val="21"/>
          <w:highlight w:val="none"/>
          <w:lang w:val="en-US" w:eastAsia="zh-CN"/>
        </w:rPr>
        <w:t>6</w:t>
      </w:r>
      <w:r>
        <w:rPr>
          <w:rFonts w:hint="eastAsia" w:ascii="宋体" w:hAnsi="宋体"/>
          <w:color w:val="auto"/>
          <w:szCs w:val="21"/>
          <w:highlight w:val="none"/>
        </w:rPr>
        <w:t>%）计算的不含税价格乘以调整后的税率支付后续合同款项。每次付款前，承包方应提前开具等额有效的增值税专用发票，并交付甲方；发包方未收到承包方发票的，可不予付款。</w:t>
      </w:r>
      <w:r>
        <w:rPr>
          <w:rFonts w:hint="eastAsia" w:ascii="宋体" w:hAnsi="宋体"/>
          <w:color w:val="auto"/>
          <w:szCs w:val="21"/>
          <w:highlight w:val="none"/>
          <w:lang w:val="en-US" w:eastAsia="zh-CN"/>
        </w:rPr>
        <w:t>税额</w:t>
      </w:r>
      <w:r>
        <w:rPr>
          <w:rFonts w:hint="eastAsia" w:ascii="宋体" w:hAnsi="宋体"/>
          <w:color w:val="auto"/>
          <w:szCs w:val="21"/>
          <w:highlight w:val="none"/>
        </w:rPr>
        <w:t>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5B2A2B35">
      <w:pPr>
        <w:ind w:firstLine="420" w:firstLineChars="200"/>
        <w:rPr>
          <w:rFonts w:ascii="宋体" w:hAnsi="宋体"/>
          <w:color w:val="auto"/>
          <w:szCs w:val="21"/>
          <w:highlight w:val="none"/>
        </w:rPr>
      </w:pPr>
      <w:r>
        <w:rPr>
          <w:rFonts w:hint="eastAsia" w:ascii="宋体" w:hAnsi="宋体"/>
          <w:color w:val="auto"/>
          <w:szCs w:val="21"/>
          <w:highlight w:val="none"/>
        </w:rPr>
        <w:t xml:space="preserve">3.2   </w:t>
      </w:r>
      <w:r>
        <w:rPr>
          <w:rFonts w:hint="eastAsia" w:ascii="宋体" w:hAnsi="宋体"/>
          <w:color w:val="auto"/>
          <w:szCs w:val="21"/>
          <w:highlight w:val="none"/>
          <w:lang w:val="zh-CN"/>
        </w:rPr>
        <w:t>本合同</w:t>
      </w:r>
      <w:r>
        <w:rPr>
          <w:rFonts w:hint="eastAsia" w:ascii="宋体" w:hAnsi="宋体"/>
          <w:color w:val="auto"/>
          <w:szCs w:val="21"/>
          <w:highlight w:val="none"/>
          <w:lang w:val="en-US" w:eastAsia="zh-CN"/>
        </w:rPr>
        <w:t>暂定</w:t>
      </w:r>
      <w:r>
        <w:rPr>
          <w:rFonts w:hint="eastAsia" w:ascii="宋体" w:hAnsi="宋体"/>
          <w:color w:val="auto"/>
          <w:szCs w:val="21"/>
          <w:highlight w:val="none"/>
        </w:rPr>
        <w:t>不含税金额为 ¥</w:t>
      </w:r>
      <w:r>
        <w:rPr>
          <w:rFonts w:hint="eastAsia" w:ascii="宋体" w:hAnsi="宋体"/>
          <w:color w:val="auto"/>
          <w:szCs w:val="21"/>
          <w:highlight w:val="none"/>
          <w:u w:val="single"/>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zh-CN"/>
        </w:rPr>
        <w:t>，承包方负责开具发票所需承担的所有税费，包括税务政策调整引起的税费变化等</w:t>
      </w:r>
      <w:r>
        <w:rPr>
          <w:rFonts w:hint="eastAsia" w:ascii="宋体" w:hAnsi="宋体"/>
          <w:color w:val="auto"/>
          <w:szCs w:val="21"/>
          <w:highlight w:val="none"/>
        </w:rPr>
        <w:t xml:space="preserve">。每次付款前，如约定承包方应提前开具等额有效的增值税专用发票并交付发包方；发包方未收到承包方发票的，可不予付款。                                 </w:t>
      </w:r>
    </w:p>
    <w:p w14:paraId="672253D5">
      <w:pPr>
        <w:ind w:firstLine="420" w:firstLineChars="200"/>
        <w:rPr>
          <w:rFonts w:ascii="宋体" w:hAnsi="宋体"/>
          <w:color w:val="auto"/>
          <w:szCs w:val="21"/>
          <w:highlight w:val="none"/>
          <w:u w:val="single"/>
        </w:rPr>
      </w:pPr>
      <w:r>
        <w:rPr>
          <w:rFonts w:hint="eastAsia" w:ascii="宋体" w:hAnsi="宋体"/>
          <w:color w:val="auto"/>
          <w:szCs w:val="21"/>
          <w:highlight w:val="none"/>
        </w:rPr>
        <w:t>合同价款</w:t>
      </w:r>
      <w:r>
        <w:rPr>
          <w:rFonts w:hint="eastAsia" w:ascii="宋体" w:hAnsi="宋体"/>
          <w:color w:val="auto"/>
          <w:szCs w:val="21"/>
          <w:highlight w:val="none"/>
          <w:u w:val="single"/>
        </w:rPr>
        <w:t>包括但不限于：（1）人工费；（2）辅材备件费；（3）机械费；（4）管理费；（5）利润；（6）措施项目费；（7）规费；（8）报建、报验及其他项目费用；项目所需受省级或地方行业部门现场监检费用；（9）建设期的工料机差价；（10）税金（9%专票）；（11）在完成标区范围的工作时与其他单位或承包商（包括业主及其他安装/土建施工单位）的工作交叉及协调配合费用；（12）施工用水电费用及垃圾清理外运费用；（13）不超过八小时发包方原因引起的临时停电停水；（13）环境保护费；（14）工程相关保险；（15）承包商对本工程的优惠和让利；（16）大型机械进出场费；（17）本工程全部设备及材料装卸费用(包干使用)，施工材料的第三方送检、复检、检测费用 ；(21) 易损易丢防潮设备仓库及看管费用； (18)安全文明施工措施费用 ；(19)分部调试费用及整组联合启动调试（依据发包方/业主/相关部门要求）； (20)特殊设备(锅炉压力容器、压力管道、安全阀等)安装试验报验报检费用；（21）试运转及机整体性能测试费用；（22）土建施工及施工开挖土方及外运费用、保温工程包工包料及施工费用；（23）因工期要求而造成的人员加班赶工费（节假日加班费，夜间加班、倒班施工费等）；（24）由于无法同步施工造成的窝工费用；</w:t>
      </w:r>
    </w:p>
    <w:p w14:paraId="12F18F9B">
      <w:pPr>
        <w:ind w:left="260" w:leftChars="124" w:firstLine="226" w:firstLineChars="98"/>
        <w:rPr>
          <w:rFonts w:ascii="宋体" w:hAnsi="宋体"/>
          <w:b/>
          <w:bCs/>
          <w:color w:val="auto"/>
          <w:spacing w:val="10"/>
          <w:szCs w:val="21"/>
          <w:highlight w:val="none"/>
        </w:rPr>
      </w:pPr>
      <w:r>
        <w:rPr>
          <w:rFonts w:hint="eastAsia" w:ascii="宋体" w:hAnsi="宋体"/>
          <w:b/>
          <w:bCs/>
          <w:color w:val="auto"/>
          <w:spacing w:val="10"/>
          <w:szCs w:val="21"/>
          <w:highlight w:val="none"/>
        </w:rPr>
        <w:t>第四条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工期：</w:t>
      </w:r>
    </w:p>
    <w:p w14:paraId="68CB7AD1">
      <w:pPr>
        <w:ind w:firstLine="420" w:firstLineChars="200"/>
        <w:rPr>
          <w:rFonts w:ascii="宋体" w:hAnsi="宋体"/>
          <w:color w:val="auto"/>
          <w:kern w:val="0"/>
          <w:szCs w:val="21"/>
          <w:highlight w:val="none"/>
        </w:rPr>
      </w:pPr>
      <w:r>
        <w:rPr>
          <w:rFonts w:hint="eastAsia" w:ascii="宋体" w:hAnsi="宋体"/>
          <w:color w:val="auto"/>
          <w:kern w:val="0"/>
          <w:szCs w:val="21"/>
          <w:highlight w:val="none"/>
        </w:rPr>
        <w:t>4.1工期：</w:t>
      </w:r>
      <w:r>
        <w:rPr>
          <w:rFonts w:hint="eastAsia" w:asciiTheme="minorEastAsia" w:hAnsiTheme="minorEastAsia" w:eastAsiaTheme="minorEastAsia"/>
          <w:color w:val="auto"/>
          <w:szCs w:val="21"/>
          <w:highlight w:val="none"/>
          <w:lang w:val="en-US" w:eastAsia="zh-CN"/>
        </w:rPr>
        <w:t>本项目总工期为8天，开工时间为自发包方新采购的开关柜到货后，由发包方根据检修工作安排出具开工通知书。</w:t>
      </w:r>
    </w:p>
    <w:p w14:paraId="52D59FE4">
      <w:pPr>
        <w:ind w:firstLine="411" w:firstLineChars="196"/>
        <w:rPr>
          <w:rFonts w:ascii="宋体" w:hAnsi="宋体"/>
          <w:color w:val="auto"/>
          <w:kern w:val="0"/>
          <w:szCs w:val="21"/>
          <w:highlight w:val="none"/>
        </w:rPr>
      </w:pPr>
      <w:r>
        <w:rPr>
          <w:rFonts w:hint="eastAsia" w:ascii="宋体" w:hAnsi="宋体"/>
          <w:color w:val="auto"/>
          <w:kern w:val="0"/>
          <w:szCs w:val="21"/>
          <w:highlight w:val="none"/>
        </w:rPr>
        <w:t>4.2承包方提交施工方案及相关资质文件资料并经业主认可后2日内，发包方向承包方发出开工通知书。</w:t>
      </w:r>
    </w:p>
    <w:p w14:paraId="3E6C97A3">
      <w:pPr>
        <w:ind w:firstLine="411" w:firstLineChars="196"/>
        <w:rPr>
          <w:rFonts w:ascii="宋体" w:hAnsi="宋体"/>
          <w:color w:val="auto"/>
          <w:kern w:val="0"/>
          <w:szCs w:val="21"/>
          <w:highlight w:val="none"/>
        </w:rPr>
      </w:pPr>
      <w:r>
        <w:rPr>
          <w:rFonts w:hint="eastAsia" w:ascii="宋体" w:hAnsi="宋体"/>
          <w:color w:val="auto"/>
          <w:kern w:val="0"/>
          <w:szCs w:val="21"/>
          <w:highlight w:val="none"/>
        </w:rPr>
        <w:t>4.3如遇下列情况，经发包方、承包方现场代表签字确认，工期相应顺延：</w:t>
      </w:r>
    </w:p>
    <w:p w14:paraId="6D7630E7">
      <w:pPr>
        <w:ind w:firstLine="411" w:firstLineChars="196"/>
        <w:rPr>
          <w:rFonts w:ascii="宋体" w:hAnsi="宋体"/>
          <w:color w:val="auto"/>
          <w:kern w:val="0"/>
          <w:szCs w:val="21"/>
          <w:highlight w:val="none"/>
        </w:rPr>
      </w:pPr>
      <w:r>
        <w:rPr>
          <w:rFonts w:hint="eastAsia" w:ascii="宋体" w:hAnsi="宋体"/>
          <w:color w:val="auto"/>
          <w:kern w:val="0"/>
          <w:szCs w:val="21"/>
          <w:highlight w:val="none"/>
        </w:rPr>
        <w:t>(1)发包方未能按约定时间具备停炉条件；</w:t>
      </w:r>
    </w:p>
    <w:p w14:paraId="73481253">
      <w:pPr>
        <w:ind w:firstLine="411" w:firstLineChars="196"/>
        <w:rPr>
          <w:rFonts w:ascii="宋体" w:hAnsi="宋体"/>
          <w:color w:val="auto"/>
          <w:kern w:val="0"/>
          <w:szCs w:val="21"/>
          <w:highlight w:val="none"/>
        </w:rPr>
      </w:pPr>
      <w:r>
        <w:rPr>
          <w:rFonts w:hint="eastAsia" w:ascii="宋体" w:hAnsi="宋体"/>
          <w:color w:val="auto"/>
          <w:kern w:val="0"/>
          <w:szCs w:val="21"/>
          <w:highlight w:val="none"/>
        </w:rPr>
        <w:t>(2)在施工中如因停电、停水24小时以上或连续间歇性停水、停电2天以上（每次连续3小时以上），影响正常施工；</w:t>
      </w:r>
    </w:p>
    <w:p w14:paraId="7F6A5724">
      <w:pPr>
        <w:ind w:firstLine="411" w:firstLineChars="196"/>
        <w:rPr>
          <w:rFonts w:ascii="宋体" w:hAnsi="宋体"/>
          <w:color w:val="auto"/>
          <w:kern w:val="0"/>
          <w:szCs w:val="21"/>
          <w:highlight w:val="none"/>
        </w:rPr>
      </w:pPr>
      <w:r>
        <w:rPr>
          <w:rFonts w:hint="eastAsia" w:ascii="宋体" w:hAnsi="宋体"/>
          <w:color w:val="auto"/>
          <w:kern w:val="0"/>
          <w:szCs w:val="21"/>
          <w:highlight w:val="none"/>
        </w:rPr>
        <w:t>(3)不可抗力因素而延误工期。</w:t>
      </w:r>
    </w:p>
    <w:p w14:paraId="74D98281">
      <w:pPr>
        <w:ind w:firstLine="420" w:firstLineChars="200"/>
        <w:rPr>
          <w:rFonts w:eastAsiaTheme="majorEastAsia"/>
          <w:color w:val="auto"/>
          <w:highlight w:val="none"/>
        </w:rPr>
      </w:pPr>
      <w:r>
        <w:rPr>
          <w:rFonts w:hint="eastAsia" w:ascii="宋体" w:hAnsi="宋体"/>
          <w:color w:val="auto"/>
          <w:kern w:val="0"/>
          <w:szCs w:val="21"/>
          <w:highlight w:val="none"/>
        </w:rPr>
        <w:t>(4)延迟违约金及投产工期延迟违约金直接从工程款里扣除。</w:t>
      </w:r>
    </w:p>
    <w:p w14:paraId="4CD76555">
      <w:pPr>
        <w:ind w:firstLine="413" w:firstLineChars="196"/>
        <w:rPr>
          <w:rFonts w:ascii="宋体" w:hAnsi="宋体"/>
          <w:b/>
          <w:bCs/>
          <w:color w:val="auto"/>
          <w:szCs w:val="21"/>
          <w:highlight w:val="none"/>
        </w:rPr>
      </w:pPr>
      <w:bookmarkStart w:id="5" w:name="材料设备供应1"/>
      <w:r>
        <w:rPr>
          <w:rFonts w:hint="eastAsia" w:ascii="宋体" w:hAnsi="宋体"/>
          <w:b/>
          <w:bCs/>
          <w:color w:val="auto"/>
          <w:szCs w:val="21"/>
          <w:highlight w:val="none"/>
        </w:rPr>
        <w:t>第五条  材料设备供应</w:t>
      </w:r>
      <w:bookmarkEnd w:id="5"/>
      <w:r>
        <w:rPr>
          <w:rFonts w:hint="eastAsia" w:ascii="宋体" w:hAnsi="宋体"/>
          <w:b/>
          <w:bCs/>
          <w:color w:val="auto"/>
          <w:szCs w:val="21"/>
          <w:highlight w:val="none"/>
        </w:rPr>
        <w:t>：</w:t>
      </w:r>
    </w:p>
    <w:p w14:paraId="0F08E014">
      <w:pPr>
        <w:ind w:firstLine="411" w:firstLineChars="196"/>
        <w:rPr>
          <w:rFonts w:ascii="宋体" w:hAnsi="宋体"/>
          <w:bCs/>
          <w:color w:val="auto"/>
          <w:szCs w:val="21"/>
          <w:highlight w:val="none"/>
        </w:rPr>
      </w:pPr>
      <w:r>
        <w:rPr>
          <w:rFonts w:hint="eastAsia" w:ascii="宋体" w:hAnsi="宋体"/>
          <w:bCs/>
          <w:color w:val="auto"/>
          <w:szCs w:val="21"/>
          <w:highlight w:val="none"/>
        </w:rPr>
        <w:t>5.1发包方供应材料设备</w:t>
      </w:r>
    </w:p>
    <w:p w14:paraId="37C44834">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5.1.1实行发包方供应材料设备的，双方应当约定发包方供应材料设备的一览表。</w:t>
      </w:r>
    </w:p>
    <w:p w14:paraId="270D9EBB">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5.1.2发包方按一览表约定的内容提供材料设备，并向承包方提供产品合格证明，对其质量负责。发包方在所供材料设备到货前24小时，以书面形式通知承包方，由承包方派人与发包方共同清点。</w:t>
      </w:r>
    </w:p>
    <w:p w14:paraId="29BFD00C">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5.1.3发包方供应的材料设备，承包方派人参加清点后由承包方妥善保管。因承包方原因发生丢失损坏，由承包方负责赔偿。</w:t>
      </w:r>
    </w:p>
    <w:p w14:paraId="2A5DD6A2">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5.2承包方采购材料设备</w:t>
      </w:r>
    </w:p>
    <w:p w14:paraId="5CBE8C4A">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5.2.1承包方负责采购材料设备的，应按照专用条款约定及设计和有关标准要求采购，并提供产品合格证明，对材料设备质量负责。承包方在材料设备到货前24小时通知工程师清点。</w:t>
      </w:r>
    </w:p>
    <w:p w14:paraId="525E923D">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5.2.2承包方采购的材料设备与设计或标准要求不符时，承包方应按工程师要求的时间运出施工场地，重新采购符合要求的产品，承担由此发生的费用，由此延误的工期不予顺延。</w:t>
      </w:r>
    </w:p>
    <w:p w14:paraId="38644D31">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5.2.3承包方采购的材料设备在使用前，承包方应按工程师的要求进行检验或试验，不合格的不得使用，检验或试验费用由承包方承担。</w:t>
      </w:r>
    </w:p>
    <w:p w14:paraId="12BBA4D6">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5.2.4工程师发现承包方采购并使用不符合设计或标准要求的材料设备时，应要求由承包方负责修复、拆除或重新采购，并承担发生的费用，由此延误的工期不予顺延。</w:t>
      </w:r>
    </w:p>
    <w:p w14:paraId="4C798D68">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第六条</w:t>
      </w:r>
      <w:r>
        <w:rPr>
          <w:rFonts w:ascii="宋体" w:hAnsi="宋体"/>
          <w:b/>
          <w:bCs/>
          <w:color w:val="auto"/>
          <w:spacing w:val="10"/>
          <w:szCs w:val="21"/>
          <w:highlight w:val="none"/>
        </w:rPr>
        <w:t>  </w:t>
      </w:r>
      <w:r>
        <w:rPr>
          <w:rFonts w:hint="eastAsia" w:ascii="宋体" w:hAnsi="宋体"/>
          <w:b/>
          <w:bCs/>
          <w:color w:val="auto"/>
          <w:spacing w:val="10"/>
          <w:szCs w:val="21"/>
          <w:highlight w:val="none"/>
        </w:rPr>
        <w:t>质量与检查</w:t>
      </w:r>
    </w:p>
    <w:p w14:paraId="05A01D93">
      <w:pPr>
        <w:tabs>
          <w:tab w:val="left" w:pos="1011"/>
        </w:tabs>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6.1</w:t>
      </w:r>
      <w:r>
        <w:rPr>
          <w:rFonts w:hint="eastAsia" w:ascii="宋体" w:hAnsi="宋体"/>
          <w:color w:val="auto"/>
          <w:spacing w:val="10"/>
          <w:szCs w:val="21"/>
          <w:highlight w:val="none"/>
        </w:rPr>
        <w:t>工程质量</w:t>
      </w:r>
    </w:p>
    <w:p w14:paraId="63CDA83D">
      <w:pPr>
        <w:ind w:firstLine="420" w:firstLineChars="200"/>
        <w:rPr>
          <w:rFonts w:ascii="宋体" w:hAnsi="宋体"/>
          <w:color w:val="auto"/>
          <w:szCs w:val="21"/>
          <w:highlight w:val="none"/>
          <w:u w:val="single"/>
        </w:rPr>
      </w:pPr>
      <w:r>
        <w:rPr>
          <w:rFonts w:hint="eastAsia" w:ascii="宋体" w:hAnsi="宋体"/>
          <w:color w:val="auto"/>
          <w:szCs w:val="21"/>
          <w:highlight w:val="none"/>
          <w:u w:val="single"/>
        </w:rPr>
        <w:t>工程质量标准的评定以现行国家或行业的质量检验评定标准为依据，并符合发包方要求。</w:t>
      </w:r>
    </w:p>
    <w:p w14:paraId="0B621581">
      <w:pPr>
        <w:tabs>
          <w:tab w:val="left" w:pos="1011"/>
        </w:tabs>
        <w:ind w:firstLine="420" w:firstLineChars="200"/>
        <w:rPr>
          <w:rFonts w:ascii="宋体" w:hAnsi="宋体"/>
          <w:color w:val="auto"/>
          <w:szCs w:val="21"/>
          <w:highlight w:val="none"/>
        </w:rPr>
      </w:pPr>
      <w:r>
        <w:rPr>
          <w:rFonts w:hint="eastAsia" w:ascii="宋体" w:hAnsi="宋体"/>
          <w:color w:val="auto"/>
          <w:szCs w:val="21"/>
          <w:highlight w:val="none"/>
        </w:rPr>
        <w:t xml:space="preserve">6.2承包方必须严格按照施工图纸、说明文件和国家颁发的建筑工程规范、规程和标准进行施工，并接受发包方的监督。 </w:t>
      </w:r>
    </w:p>
    <w:p w14:paraId="045BB0C4">
      <w:pPr>
        <w:ind w:firstLine="420" w:firstLineChars="200"/>
        <w:rPr>
          <w:rFonts w:ascii="宋体" w:hAnsi="宋体"/>
          <w:color w:val="auto"/>
          <w:szCs w:val="21"/>
          <w:highlight w:val="none"/>
        </w:rPr>
      </w:pPr>
      <w:r>
        <w:rPr>
          <w:rFonts w:hint="eastAsia" w:ascii="宋体" w:hAnsi="宋体"/>
          <w:color w:val="auto"/>
          <w:szCs w:val="21"/>
          <w:highlight w:val="none"/>
        </w:rPr>
        <w:t>6.3承包方应认真按照标准、规范和设计图纸要求以及发包方依据合同发出的指令施工，随时接受发包方的检查检验，为检验提供便利条件，并根据要求向发包方提供与工程质量有关的技术资料。</w:t>
      </w:r>
    </w:p>
    <w:p w14:paraId="5FFC9161">
      <w:pPr>
        <w:ind w:firstLine="420" w:firstLineChars="200"/>
        <w:rPr>
          <w:rFonts w:ascii="宋体" w:hAnsi="宋体"/>
          <w:color w:val="auto"/>
          <w:spacing w:val="10"/>
          <w:szCs w:val="21"/>
          <w:highlight w:val="none"/>
        </w:rPr>
      </w:pPr>
      <w:r>
        <w:rPr>
          <w:rFonts w:hint="eastAsia" w:ascii="宋体" w:hAnsi="宋体"/>
          <w:color w:val="auto"/>
          <w:szCs w:val="21"/>
          <w:highlight w:val="none"/>
        </w:rPr>
        <w:t>6.4</w:t>
      </w:r>
      <w:r>
        <w:rPr>
          <w:rFonts w:hint="eastAsia" w:ascii="宋体" w:hAnsi="宋体"/>
          <w:color w:val="auto"/>
          <w:spacing w:val="10"/>
          <w:szCs w:val="21"/>
          <w:highlight w:val="none"/>
        </w:rPr>
        <w:t>工程质量达不到约定标准的部分，发包方工程师一经发现，应要求承包方拆除和重新施工，承包方应按发包方代表人员的要求返工、修改，直到符合约定标准。因承包方原因达不到约定标准，由承包方承担返工、修改的费用，工期不予顺延。</w:t>
      </w:r>
    </w:p>
    <w:p w14:paraId="60D289BF">
      <w:pPr>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6.5</w:t>
      </w:r>
      <w:r>
        <w:rPr>
          <w:rFonts w:hint="eastAsia" w:ascii="宋体" w:hAnsi="宋体"/>
          <w:color w:val="auto"/>
          <w:spacing w:val="10"/>
          <w:szCs w:val="21"/>
          <w:highlight w:val="none"/>
        </w:rPr>
        <w:t>双方对工程质量有争议，由双方同意的工程质量检测机构鉴定，所需费用及因此造成的损失，由责任方承担。若均有责任，由双方根据其责任分别承担。</w:t>
      </w:r>
    </w:p>
    <w:p w14:paraId="1F424AE6">
      <w:pPr>
        <w:ind w:firstLine="460" w:firstLineChars="200"/>
        <w:rPr>
          <w:rFonts w:ascii="宋体" w:hAnsi="宋体"/>
          <w:color w:val="auto"/>
          <w:szCs w:val="21"/>
          <w:highlight w:val="none"/>
        </w:rPr>
      </w:pPr>
      <w:r>
        <w:rPr>
          <w:rFonts w:hint="eastAsia" w:ascii="宋体" w:hAnsi="宋体"/>
          <w:color w:val="auto"/>
          <w:spacing w:val="10"/>
          <w:szCs w:val="21"/>
          <w:highlight w:val="none"/>
        </w:rPr>
        <w:t>6.6</w:t>
      </w:r>
      <w:r>
        <w:rPr>
          <w:rFonts w:ascii="宋体" w:hAnsi="宋体"/>
          <w:color w:val="auto"/>
          <w:szCs w:val="21"/>
          <w:highlight w:val="none"/>
        </w:rPr>
        <w:t>承包方所进场的各种原材料、设备必须有出厂合格证书，试验、化验报告单，使用说明，检测、检验报告和设备验收标准。发包方或政府</w:t>
      </w:r>
      <w:r>
        <w:rPr>
          <w:rFonts w:hint="eastAsia" w:ascii="宋体" w:hAnsi="宋体"/>
          <w:color w:val="auto"/>
          <w:szCs w:val="21"/>
          <w:highlight w:val="none"/>
        </w:rPr>
        <w:t>相关</w:t>
      </w:r>
      <w:r>
        <w:rPr>
          <w:rFonts w:ascii="宋体" w:hAnsi="宋体"/>
          <w:color w:val="auto"/>
          <w:szCs w:val="21"/>
          <w:highlight w:val="none"/>
        </w:rPr>
        <w:t>主管部门可以随机抽检原材料和设备，并有权对其进行化验、检测（化验、检测的费用由承包方承担），不合格的材料、设备不允许进场使用和安装。</w:t>
      </w:r>
    </w:p>
    <w:p w14:paraId="43F7D64A">
      <w:pPr>
        <w:ind w:firstLine="420" w:firstLineChars="200"/>
        <w:rPr>
          <w:rFonts w:ascii="宋体" w:hAnsi="宋体"/>
          <w:color w:val="auto"/>
          <w:szCs w:val="21"/>
          <w:highlight w:val="none"/>
        </w:rPr>
      </w:pPr>
      <w:r>
        <w:rPr>
          <w:rFonts w:hint="eastAsia" w:ascii="宋体" w:hAnsi="宋体"/>
          <w:color w:val="auto"/>
          <w:szCs w:val="21"/>
          <w:highlight w:val="none"/>
        </w:rPr>
        <w:t>6.7</w:t>
      </w:r>
      <w:r>
        <w:rPr>
          <w:rFonts w:ascii="宋体" w:hAnsi="宋体"/>
          <w:color w:val="auto"/>
          <w:szCs w:val="21"/>
          <w:highlight w:val="none"/>
        </w:rPr>
        <w:t>承包方在组织施工中必须高度重视和认真抓好工程质量，服从发包方的质量管理体系要求，明确质量负责人（质量负责人须经发包方和监理单位审核认可，危险性大、专业性强的施工作业岗位的质量负责人必须由发包方施工人员担任），并向发包方质量管理人员通报工程质量受控情况。</w:t>
      </w:r>
    </w:p>
    <w:p w14:paraId="55F1B4B3">
      <w:pPr>
        <w:ind w:firstLine="420" w:firstLineChars="200"/>
        <w:rPr>
          <w:rFonts w:ascii="宋体" w:hAnsi="宋体"/>
          <w:color w:val="auto"/>
          <w:szCs w:val="21"/>
          <w:highlight w:val="none"/>
        </w:rPr>
      </w:pPr>
      <w:r>
        <w:rPr>
          <w:rFonts w:hint="eastAsia" w:ascii="宋体" w:hAnsi="宋体"/>
          <w:color w:val="auto"/>
          <w:szCs w:val="21"/>
          <w:highlight w:val="none"/>
        </w:rPr>
        <w:t>6.8</w:t>
      </w:r>
      <w:r>
        <w:rPr>
          <w:rFonts w:ascii="宋体" w:hAnsi="宋体"/>
          <w:color w:val="auto"/>
          <w:szCs w:val="21"/>
          <w:highlight w:val="none"/>
        </w:rPr>
        <w:t>凡质量检验及评定标准中规定发包方参加验收的项目及隐蔽工程的施工，承包方应及时通知发包方，并配合发包方做好相应的记录。</w:t>
      </w:r>
    </w:p>
    <w:p w14:paraId="62BC96C2">
      <w:pPr>
        <w:ind w:firstLine="420" w:firstLineChars="200"/>
        <w:rPr>
          <w:rFonts w:ascii="宋体" w:hAnsi="宋体"/>
          <w:color w:val="auto"/>
          <w:szCs w:val="21"/>
          <w:highlight w:val="none"/>
        </w:rPr>
      </w:pPr>
      <w:r>
        <w:rPr>
          <w:rFonts w:hint="eastAsia" w:ascii="宋体" w:hAnsi="宋体"/>
          <w:color w:val="auto"/>
          <w:szCs w:val="21"/>
          <w:highlight w:val="none"/>
        </w:rPr>
        <w:t>6.9</w:t>
      </w:r>
      <w:r>
        <w:rPr>
          <w:rFonts w:ascii="宋体" w:hAnsi="宋体"/>
          <w:color w:val="auto"/>
          <w:szCs w:val="21"/>
          <w:highlight w:val="none"/>
        </w:rPr>
        <w:t>承包方必须在工程竣工前48小时向发包方发出书面通知，协商验收时间，由发包方组织有关人员进行验收。如验收中发现不符合质量要求而需返工的工程，承包方必须在约定的时间内负责修好，再进行检验。</w:t>
      </w:r>
    </w:p>
    <w:p w14:paraId="7F5B9CA4">
      <w:pPr>
        <w:ind w:firstLine="420" w:firstLineChars="200"/>
        <w:rPr>
          <w:rFonts w:ascii="宋体" w:hAnsi="宋体"/>
          <w:color w:val="auto"/>
          <w:szCs w:val="21"/>
          <w:highlight w:val="none"/>
        </w:rPr>
      </w:pPr>
      <w:r>
        <w:rPr>
          <w:rFonts w:hint="eastAsia" w:ascii="宋体" w:hAnsi="宋体"/>
          <w:color w:val="auto"/>
          <w:szCs w:val="21"/>
          <w:highlight w:val="none"/>
        </w:rPr>
        <w:t>6.10</w:t>
      </w:r>
      <w:r>
        <w:rPr>
          <w:rFonts w:ascii="宋体" w:hAnsi="宋体"/>
          <w:color w:val="auto"/>
          <w:szCs w:val="21"/>
          <w:highlight w:val="none"/>
        </w:rPr>
        <w:t>工程竣工后，承包方必须整理并按发包方要求及时提供完整及足够数量的技术档案资料，包括施工资料、图纸、竣工报告和施工原始记录,否则发包方不予办理承包方最终合同结算。</w:t>
      </w:r>
    </w:p>
    <w:p w14:paraId="24C13B65">
      <w:pPr>
        <w:ind w:firstLine="420" w:firstLineChars="200"/>
        <w:rPr>
          <w:rFonts w:ascii="宋体" w:hAnsi="宋体"/>
          <w:color w:val="auto"/>
          <w:szCs w:val="21"/>
          <w:highlight w:val="none"/>
        </w:rPr>
      </w:pPr>
      <w:r>
        <w:rPr>
          <w:rFonts w:hint="eastAsia" w:ascii="宋体" w:hAnsi="宋体"/>
          <w:color w:val="auto"/>
          <w:szCs w:val="21"/>
          <w:highlight w:val="none"/>
        </w:rPr>
        <w:t>6.11承包方应及时进行隐蔽工程和中间过程质量的报验工作，承包方自检合格并有书面资料报发包方工程师确认，上道工序未经发包工程师验收签字，不得进入下道工序，重要工序实施停工待检，否则将视情节轻重，给予承包方书面警告或</w:t>
      </w:r>
      <w:r>
        <w:rPr>
          <w:rFonts w:ascii="宋体" w:hAnsi="宋体"/>
          <w:color w:val="auto"/>
          <w:szCs w:val="21"/>
          <w:highlight w:val="none"/>
        </w:rPr>
        <w:t>1000-3000</w:t>
      </w:r>
      <w:r>
        <w:rPr>
          <w:rFonts w:hint="eastAsia" w:ascii="宋体" w:hAnsi="宋体"/>
          <w:color w:val="auto"/>
          <w:szCs w:val="21"/>
          <w:highlight w:val="none"/>
        </w:rPr>
        <w:t>元的罚款。</w:t>
      </w:r>
    </w:p>
    <w:p w14:paraId="0D849BEC">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第七条  安全文明施工与环境保护</w:t>
      </w:r>
    </w:p>
    <w:p w14:paraId="5B6AED52">
      <w:pPr>
        <w:tabs>
          <w:tab w:val="left" w:pos="1281"/>
        </w:tabs>
        <w:ind w:firstLine="411" w:firstLineChars="196"/>
        <w:rPr>
          <w:rFonts w:ascii="宋体" w:hAnsi="宋体"/>
          <w:b/>
          <w:bCs/>
          <w:color w:val="auto"/>
          <w:spacing w:val="10"/>
          <w:szCs w:val="21"/>
          <w:highlight w:val="none"/>
        </w:rPr>
      </w:pPr>
      <w:r>
        <w:rPr>
          <w:rFonts w:hint="eastAsia" w:ascii="宋体" w:hAnsi="宋体" w:cs="仿宋_GB2312"/>
          <w:color w:val="auto"/>
          <w:kern w:val="0"/>
          <w:szCs w:val="21"/>
          <w:highlight w:val="none"/>
        </w:rPr>
        <w:t>7.1</w:t>
      </w:r>
      <w:r>
        <w:rPr>
          <w:rFonts w:hint="eastAsia" w:ascii="宋体" w:hAnsi="宋体" w:cs="仿宋_GB2312"/>
          <w:color w:val="auto"/>
          <w:kern w:val="0"/>
          <w:szCs w:val="21"/>
          <w:highlight w:val="none"/>
          <w:lang w:val="zh-CN"/>
        </w:rPr>
        <w:t>承包方必须严格贯彻国家有关安全生产的方针、政策、规定及发包方有关安全、文明施工及环境保护的规定，把“安全第一，预防为主”的安全生产方针落实到施工管理中，建立健全安全文明施工管理网络。</w:t>
      </w:r>
    </w:p>
    <w:p w14:paraId="4CD308AC">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7.2承包方负责施工现场的安全及第三方人身安全，工程开工前按国家有关规定要求提交安全施工措施；工程开工前</w:t>
      </w:r>
      <w:r>
        <w:rPr>
          <w:rFonts w:hint="eastAsia" w:ascii="宋体" w:hAnsi="宋体" w:cs="仿宋_GB2312"/>
          <w:color w:val="auto"/>
          <w:kern w:val="0"/>
          <w:szCs w:val="21"/>
          <w:highlight w:val="none"/>
        </w:rPr>
        <w:t>3</w:t>
      </w:r>
      <w:r>
        <w:rPr>
          <w:rFonts w:hint="eastAsia" w:ascii="宋体" w:hAnsi="宋体" w:cs="仿宋_GB2312"/>
          <w:color w:val="auto"/>
          <w:kern w:val="0"/>
          <w:szCs w:val="21"/>
          <w:highlight w:val="none"/>
          <w:lang w:val="zh-CN"/>
        </w:rPr>
        <w:t>日内购买工人人身意外伤害保险，承包方与现场施工人员必须签订劳动合同，并办理工伤保险。</w:t>
      </w:r>
    </w:p>
    <w:p w14:paraId="536D9B6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7.3承包方须严格按安全标准组织施工，并随时接受发包方或行业安全检查人员依照法规实施的监督检查，采取必要的安全防范措施，发现隐患，及时地进行整改。由于承包方原因造成的安全事故及由此引起的经济损失，所有责任均由承包方承担；由于承包方原因造成发包方承担业主的经济损失则由全部由承包方承担。</w:t>
      </w:r>
    </w:p>
    <w:p w14:paraId="4FC6563B">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7.4工程施工过程中，承包方应保持施工现场及周边环境的清洁，设备、材料堆放应整齐有序，做到“工完、料尽、场地清”，搞好文明施工和环境保护，已完工的施工项目在试运移交前负责成品保管。若承包方不及时清理垃圾、废料和临时设施，发包方有权委托其他方清理，费用从工程结算款中扣除。</w:t>
      </w:r>
    </w:p>
    <w:p w14:paraId="269D953F">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7.5承包方负责人是安全施工第一责任者，对承包方人员的安全负责，承包方必须按照规定为施工人员配备应有的劳动保护用品、用具，承包方有30人及以上施工时，应设立专职安全员（具有资格证及一定的现场管理经验），少于30人时应设兼职安全员。</w:t>
      </w:r>
    </w:p>
    <w:p w14:paraId="06617E6A">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7.6承包方必须为其现场管理人员和施工人员提供必须的、质量符合有关规定的安全防护用品和用具，确保其施工人员的人身安全和健康。</w:t>
      </w:r>
    </w:p>
    <w:p w14:paraId="4157DF2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7.7对由于不可抗力引起的事故或损失，根据双方各自的职责，各自承担相应的责任及损失，同时双方应尽最大的努力减少损失，由于不可抗力而不能达到合同目的或合同无法履行，双方可书面解除合同。</w:t>
      </w:r>
    </w:p>
    <w:p w14:paraId="66470742">
      <w:pPr>
        <w:ind w:firstLine="452" w:firstLineChars="196"/>
        <w:rPr>
          <w:rFonts w:ascii="宋体" w:hAnsi="宋体"/>
          <w:color w:val="auto"/>
          <w:spacing w:val="10"/>
          <w:szCs w:val="21"/>
          <w:highlight w:val="none"/>
        </w:rPr>
      </w:pPr>
      <w:r>
        <w:rPr>
          <w:rFonts w:hint="eastAsia" w:ascii="宋体" w:hAnsi="宋体"/>
          <w:b/>
          <w:bCs/>
          <w:color w:val="auto"/>
          <w:spacing w:val="10"/>
          <w:szCs w:val="21"/>
          <w:highlight w:val="none"/>
        </w:rPr>
        <w:t>第八条  工程款支付：</w:t>
      </w:r>
      <w:r>
        <w:rPr>
          <w:rFonts w:hint="eastAsia" w:ascii="宋体" w:hAnsi="宋体"/>
          <w:color w:val="auto"/>
          <w:spacing w:val="10"/>
          <w:szCs w:val="21"/>
          <w:highlight w:val="none"/>
        </w:rPr>
        <w:t>工程款支付方式为</w:t>
      </w:r>
      <w:r>
        <w:rPr>
          <w:rFonts w:hint="eastAsia" w:ascii="宋体" w:hAnsi="宋体"/>
          <w:color w:val="auto"/>
          <w:spacing w:val="10"/>
          <w:szCs w:val="21"/>
          <w:highlight w:val="none"/>
          <w:lang w:val="en-US" w:eastAsia="zh-CN"/>
        </w:rPr>
        <w:t>银行</w:t>
      </w:r>
      <w:r>
        <w:rPr>
          <w:rFonts w:hint="eastAsia" w:ascii="宋体" w:hAnsi="宋体"/>
          <w:color w:val="auto"/>
          <w:spacing w:val="10"/>
          <w:szCs w:val="21"/>
          <w:highlight w:val="none"/>
        </w:rPr>
        <w:t>转账。</w:t>
      </w:r>
    </w:p>
    <w:p w14:paraId="3516D2AF">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8.1预付款：合同签定生效后，承包方开出预付款等额发票，支付合同总额的20%预付款；</w:t>
      </w:r>
    </w:p>
    <w:p w14:paraId="781946FE">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8.2完工验收款：</w:t>
      </w:r>
      <w:r>
        <w:rPr>
          <w:rFonts w:hint="eastAsia" w:ascii="宋体" w:hAnsi="宋体" w:cs="宋体"/>
          <w:color w:val="auto"/>
          <w:spacing w:val="10"/>
          <w:szCs w:val="21"/>
          <w:highlight w:val="none"/>
          <w:lang w:val="en-US" w:eastAsia="zh-CN"/>
        </w:rPr>
        <w:t>项目完工验收合格，发包方收到承包方提供合同剩余金额发票（税率9%增值税专用发票）后，支付至合同结算总价的97%</w:t>
      </w:r>
      <w:r>
        <w:rPr>
          <w:rFonts w:hint="eastAsia" w:ascii="宋体" w:hAnsi="宋体" w:cs="宋体"/>
          <w:color w:val="auto"/>
          <w:spacing w:val="10"/>
          <w:szCs w:val="21"/>
          <w:highlight w:val="none"/>
        </w:rPr>
        <w:t>；</w:t>
      </w:r>
    </w:p>
    <w:p w14:paraId="5CA3B849">
      <w:pPr>
        <w:pStyle w:val="64"/>
        <w:spacing w:before="0" w:after="0"/>
        <w:ind w:left="0" w:right="720" w:firstLine="460" w:firstLineChars="200"/>
        <w:rPr>
          <w:rFonts w:ascii="宋体" w:hAnsi="宋体" w:cs="宋体"/>
          <w:color w:val="auto"/>
          <w:spacing w:val="10"/>
          <w:sz w:val="21"/>
          <w:szCs w:val="21"/>
          <w:highlight w:val="none"/>
        </w:rPr>
      </w:pPr>
      <w:r>
        <w:rPr>
          <w:rFonts w:hint="eastAsia" w:ascii="宋体" w:hAnsi="宋体" w:cs="宋体"/>
          <w:color w:val="auto"/>
          <w:spacing w:val="10"/>
          <w:sz w:val="21"/>
          <w:szCs w:val="21"/>
          <w:highlight w:val="none"/>
        </w:rPr>
        <w:t>8.3 质量保修：</w:t>
      </w:r>
      <w:r>
        <w:rPr>
          <w:rFonts w:hint="eastAsia" w:ascii="宋体" w:hAnsi="宋体" w:cs="宋体"/>
          <w:color w:val="auto"/>
          <w:spacing w:val="10"/>
          <w:sz w:val="21"/>
          <w:szCs w:val="21"/>
          <w:highlight w:val="none"/>
          <w:lang w:val="en-US" w:eastAsia="zh-CN"/>
        </w:rPr>
        <w:t>本项目质量保证金为最终结算价款的3%，报价单位对施工内容予以质保期质量担保，质保期为自项目验收合格后满一年</w:t>
      </w:r>
      <w:r>
        <w:rPr>
          <w:rFonts w:hint="eastAsia" w:ascii="宋体" w:hAnsi="宋体" w:cs="宋体"/>
          <w:color w:val="auto"/>
          <w:spacing w:val="10"/>
          <w:sz w:val="21"/>
          <w:szCs w:val="21"/>
          <w:highlight w:val="none"/>
        </w:rPr>
        <w:t>，质保期内出现质量问题承包方需在发包方要求时间内无条件免费完成所有质量缺陷修补及处理，否则发包方有权暂缓支付质保金，或直接自行处理，处理费用承包方同意发包方直接从应付给承包方款项中予以扣除。</w:t>
      </w:r>
    </w:p>
    <w:p w14:paraId="4E2C01AB">
      <w:pPr>
        <w:pStyle w:val="64"/>
        <w:spacing w:before="0" w:after="0"/>
        <w:ind w:left="315" w:leftChars="150" w:right="720" w:firstLine="105" w:firstLineChars="50"/>
        <w:rPr>
          <w:rFonts w:ascii="宋体" w:hAnsi="宋体"/>
          <w:b/>
          <w:bCs/>
          <w:color w:val="auto"/>
          <w:sz w:val="21"/>
          <w:szCs w:val="21"/>
          <w:highlight w:val="none"/>
        </w:rPr>
      </w:pPr>
      <w:r>
        <w:rPr>
          <w:rFonts w:hint="eastAsia" w:ascii="宋体" w:hAnsi="宋体"/>
          <w:b/>
          <w:bCs/>
          <w:color w:val="auto"/>
          <w:sz w:val="21"/>
          <w:szCs w:val="21"/>
          <w:highlight w:val="none"/>
        </w:rPr>
        <w:t>8.4承包方收款信息（承包方已核对无误并确认）：</w:t>
      </w:r>
    </w:p>
    <w:p w14:paraId="2DB9F9E0">
      <w:pPr>
        <w:pStyle w:val="64"/>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收款人：</w:t>
      </w:r>
    </w:p>
    <w:p w14:paraId="01EDC81A">
      <w:pPr>
        <w:pStyle w:val="64"/>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开户行：</w:t>
      </w:r>
    </w:p>
    <w:p w14:paraId="29D285EC">
      <w:pPr>
        <w:pStyle w:val="64"/>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账号：</w:t>
      </w:r>
    </w:p>
    <w:p w14:paraId="22DA651E">
      <w:pPr>
        <w:pStyle w:val="12"/>
        <w:spacing w:after="0"/>
        <w:ind w:left="0" w:leftChars="0" w:firstLine="420" w:firstLineChars="200"/>
        <w:rPr>
          <w:rFonts w:ascii="宋体" w:hAnsi="宋体"/>
          <w:color w:val="auto"/>
          <w:szCs w:val="21"/>
          <w:highlight w:val="none"/>
        </w:rPr>
      </w:pPr>
      <w:r>
        <w:rPr>
          <w:rFonts w:hint="eastAsia" w:ascii="宋体" w:hAnsi="宋体"/>
          <w:color w:val="auto"/>
          <w:szCs w:val="21"/>
          <w:highlight w:val="none"/>
        </w:rPr>
        <w:t>8.5开具发票</w:t>
      </w:r>
    </w:p>
    <w:p w14:paraId="0DB647F8">
      <w:pPr>
        <w:pStyle w:val="12"/>
        <w:spacing w:after="0"/>
        <w:ind w:left="0" w:leftChars="0" w:firstLine="420" w:firstLineChars="200"/>
        <w:rPr>
          <w:rFonts w:ascii="宋体" w:hAnsi="宋体"/>
          <w:color w:val="auto"/>
          <w:szCs w:val="21"/>
          <w:highlight w:val="none"/>
        </w:rPr>
      </w:pPr>
      <w:r>
        <w:rPr>
          <w:rFonts w:hint="eastAsia" w:ascii="宋体" w:hAnsi="宋体"/>
          <w:color w:val="auto"/>
          <w:szCs w:val="21"/>
          <w:highlight w:val="none"/>
        </w:rPr>
        <w:t>承包方按发包方以及项目所在地税务局要求开具</w:t>
      </w:r>
      <w:r>
        <w:rPr>
          <w:rFonts w:hint="eastAsia" w:ascii="宋体" w:hAnsi="宋体"/>
          <w:color w:val="auto"/>
          <w:szCs w:val="21"/>
          <w:highlight w:val="none"/>
          <w:lang w:val="en-US" w:eastAsia="zh-CN"/>
        </w:rPr>
        <w:t>满足合同要求的</w:t>
      </w:r>
      <w:r>
        <w:rPr>
          <w:rFonts w:hint="eastAsia" w:ascii="宋体" w:hAnsi="宋体"/>
          <w:color w:val="auto"/>
          <w:szCs w:val="21"/>
          <w:highlight w:val="none"/>
        </w:rPr>
        <w:t>增值税专用发票。</w:t>
      </w:r>
    </w:p>
    <w:p w14:paraId="5889D376">
      <w:pPr>
        <w:snapToGrid w:val="0"/>
        <w:ind w:firstLine="420" w:firstLineChars="200"/>
        <w:rPr>
          <w:rFonts w:ascii="宋体" w:hAnsi="宋体"/>
          <w:color w:val="auto"/>
          <w:szCs w:val="21"/>
          <w:highlight w:val="none"/>
        </w:rPr>
      </w:pPr>
      <w:r>
        <w:rPr>
          <w:rFonts w:hint="eastAsia" w:ascii="宋体" w:hAnsi="宋体"/>
          <w:color w:val="auto"/>
          <w:szCs w:val="21"/>
          <w:highlight w:val="none"/>
        </w:rPr>
        <w:t>8</w:t>
      </w:r>
      <w:r>
        <w:rPr>
          <w:rFonts w:ascii="宋体" w:hAnsi="宋体"/>
          <w:color w:val="auto"/>
          <w:szCs w:val="21"/>
          <w:highlight w:val="none"/>
        </w:rPr>
        <w:t>.</w:t>
      </w:r>
      <w:r>
        <w:rPr>
          <w:rFonts w:hint="eastAsia" w:ascii="宋体" w:hAnsi="宋体"/>
          <w:color w:val="auto"/>
          <w:szCs w:val="21"/>
          <w:highlight w:val="none"/>
        </w:rPr>
        <w:t>6担保</w:t>
      </w:r>
    </w:p>
    <w:p w14:paraId="33BEA167">
      <w:pPr>
        <w:snapToGrid w:val="0"/>
        <w:ind w:firstLine="420" w:firstLineChars="200"/>
        <w:rPr>
          <w:rFonts w:ascii="宋体" w:hAnsi="宋体"/>
          <w:color w:val="auto"/>
          <w:szCs w:val="21"/>
          <w:highlight w:val="none"/>
          <w:u w:val="single"/>
        </w:rPr>
      </w:pPr>
      <w:r>
        <w:rPr>
          <w:rFonts w:hint="eastAsia" w:ascii="宋体" w:hAnsi="宋体"/>
          <w:color w:val="auto"/>
          <w:szCs w:val="21"/>
          <w:highlight w:val="none"/>
        </w:rPr>
        <w:t>承包方向发包方提供履约提保，担保方式为：</w:t>
      </w:r>
      <w:r>
        <w:rPr>
          <w:rFonts w:ascii="宋体" w:hAnsi="宋体"/>
          <w:color w:val="auto"/>
          <w:szCs w:val="21"/>
          <w:highlight w:val="none"/>
          <w:u w:val="single"/>
        </w:rPr>
        <w:t xml:space="preserve">   </w:t>
      </w:r>
      <w:r>
        <w:rPr>
          <w:rFonts w:hint="eastAsia" w:ascii="宋体" w:hAnsi="宋体"/>
          <w:color w:val="auto"/>
          <w:szCs w:val="21"/>
          <w:highlight w:val="none"/>
          <w:u w:val="single"/>
        </w:rPr>
        <w:t>无</w:t>
      </w:r>
      <w:r>
        <w:rPr>
          <w:rFonts w:ascii="宋体" w:hAnsi="宋体"/>
          <w:color w:val="auto"/>
          <w:szCs w:val="21"/>
          <w:highlight w:val="none"/>
          <w:u w:val="single"/>
        </w:rPr>
        <w:t xml:space="preserve">   </w:t>
      </w:r>
    </w:p>
    <w:p w14:paraId="0837FFA1">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第九条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质量保修</w:t>
      </w:r>
    </w:p>
    <w:p w14:paraId="4E6F3970">
      <w:pPr>
        <w:ind w:firstLine="411" w:firstLineChars="196"/>
        <w:rPr>
          <w:rFonts w:ascii="宋体" w:hAnsi="宋体"/>
          <w:color w:val="auto"/>
          <w:szCs w:val="21"/>
          <w:highlight w:val="none"/>
        </w:rPr>
      </w:pPr>
      <w:r>
        <w:rPr>
          <w:rFonts w:hint="eastAsia" w:ascii="宋体" w:hAnsi="宋体"/>
          <w:color w:val="auto"/>
          <w:szCs w:val="21"/>
          <w:highlight w:val="none"/>
        </w:rPr>
        <w:t>9.1</w:t>
      </w:r>
      <w:r>
        <w:rPr>
          <w:rFonts w:ascii="宋体" w:hAnsi="宋体"/>
          <w:color w:val="auto"/>
          <w:szCs w:val="21"/>
          <w:highlight w:val="none"/>
        </w:rPr>
        <w:t>承包方应按法律、行政法规或国家关于工程质量保修的有关规定，对交付发包方使用的工程在质量保修期内承担质量保修责任。</w:t>
      </w:r>
    </w:p>
    <w:p w14:paraId="2C077B6C">
      <w:pPr>
        <w:ind w:firstLine="480"/>
        <w:rPr>
          <w:rFonts w:ascii="宋体" w:hAnsi="宋体"/>
          <w:color w:val="auto"/>
          <w:szCs w:val="21"/>
          <w:highlight w:val="none"/>
        </w:rPr>
      </w:pPr>
      <w:r>
        <w:rPr>
          <w:rFonts w:hint="eastAsia" w:ascii="宋体" w:hAnsi="宋体"/>
          <w:bCs/>
          <w:color w:val="auto"/>
          <w:szCs w:val="21"/>
          <w:highlight w:val="none"/>
        </w:rPr>
        <w:t>9.2</w:t>
      </w:r>
      <w:r>
        <w:rPr>
          <w:rFonts w:ascii="宋体" w:hAnsi="宋体"/>
          <w:color w:val="auto"/>
          <w:szCs w:val="21"/>
          <w:highlight w:val="none"/>
        </w:rPr>
        <w:t>质量保修工作的实施。双方根据国家有关规定</w:t>
      </w:r>
      <w:r>
        <w:rPr>
          <w:rFonts w:hint="eastAsia" w:ascii="宋体" w:hAnsi="宋体"/>
          <w:color w:val="auto"/>
          <w:szCs w:val="21"/>
          <w:highlight w:val="none"/>
        </w:rPr>
        <w:t>执行，质量保修期自通过相关部门验收合格，取得验收合格报告之日起计算。</w:t>
      </w:r>
    </w:p>
    <w:p w14:paraId="2CF02358">
      <w:pPr>
        <w:ind w:firstLine="480"/>
        <w:rPr>
          <w:rFonts w:ascii="宋体" w:hAnsi="宋体"/>
          <w:color w:val="auto"/>
          <w:szCs w:val="21"/>
          <w:highlight w:val="none"/>
        </w:rPr>
      </w:pPr>
      <w:r>
        <w:rPr>
          <w:rFonts w:hint="eastAsia" w:ascii="宋体" w:hAnsi="宋体"/>
          <w:bCs/>
          <w:color w:val="auto"/>
          <w:szCs w:val="21"/>
          <w:highlight w:val="none"/>
        </w:rPr>
        <w:t>9.3</w:t>
      </w:r>
      <w:r>
        <w:rPr>
          <w:rFonts w:ascii="宋体" w:hAnsi="宋体"/>
          <w:color w:val="auto"/>
          <w:szCs w:val="21"/>
          <w:highlight w:val="none"/>
        </w:rPr>
        <w:t>质量保修责任</w:t>
      </w:r>
    </w:p>
    <w:p w14:paraId="597A68C0">
      <w:pPr>
        <w:ind w:firstLine="480"/>
        <w:rPr>
          <w:rFonts w:ascii="宋体" w:hAnsi="宋体"/>
          <w:color w:val="auto"/>
          <w:szCs w:val="21"/>
          <w:highlight w:val="none"/>
        </w:rPr>
      </w:pPr>
      <w:r>
        <w:rPr>
          <w:rFonts w:ascii="宋体" w:hAnsi="宋体"/>
          <w:color w:val="auto"/>
          <w:szCs w:val="21"/>
          <w:highlight w:val="none"/>
        </w:rPr>
        <w:t>属于保修范围内的项目，承包方应在接到修理通知之日后</w:t>
      </w:r>
      <w:r>
        <w:rPr>
          <w:rFonts w:hint="eastAsia" w:ascii="宋体" w:hAnsi="宋体"/>
          <w:color w:val="auto"/>
          <w:szCs w:val="21"/>
          <w:highlight w:val="none"/>
        </w:rPr>
        <w:t>7</w:t>
      </w:r>
      <w:r>
        <w:rPr>
          <w:rFonts w:ascii="宋体" w:hAnsi="宋体"/>
          <w:color w:val="auto"/>
          <w:szCs w:val="21"/>
          <w:highlight w:val="none"/>
        </w:rPr>
        <w:t>天内派人修理。承包方不在约定期限内派人修理，发包方可委托其他人员修理，保修费用</w:t>
      </w:r>
      <w:r>
        <w:rPr>
          <w:rFonts w:hint="eastAsia" w:ascii="宋体" w:hAnsi="宋体"/>
          <w:color w:val="auto"/>
          <w:szCs w:val="21"/>
          <w:highlight w:val="none"/>
        </w:rPr>
        <w:t>由承包方予以承担</w:t>
      </w:r>
      <w:r>
        <w:rPr>
          <w:rFonts w:ascii="宋体" w:hAnsi="宋体"/>
          <w:color w:val="auto"/>
          <w:szCs w:val="21"/>
          <w:highlight w:val="none"/>
        </w:rPr>
        <w:t>。</w:t>
      </w:r>
    </w:p>
    <w:p w14:paraId="1E2003F6">
      <w:pPr>
        <w:ind w:firstLine="420" w:firstLineChars="200"/>
        <w:rPr>
          <w:rFonts w:ascii="宋体" w:hAnsi="宋体"/>
          <w:color w:val="auto"/>
          <w:szCs w:val="21"/>
          <w:highlight w:val="none"/>
        </w:rPr>
      </w:pPr>
      <w:r>
        <w:rPr>
          <w:rFonts w:hint="eastAsia" w:ascii="宋体" w:hAnsi="宋体"/>
          <w:color w:val="auto"/>
          <w:szCs w:val="21"/>
          <w:highlight w:val="none"/>
        </w:rPr>
        <w:t>9.4</w:t>
      </w:r>
      <w:r>
        <w:rPr>
          <w:rFonts w:ascii="宋体" w:hAnsi="宋体"/>
          <w:color w:val="auto"/>
          <w:szCs w:val="21"/>
          <w:highlight w:val="none"/>
        </w:rPr>
        <w:t>发生须紧急抢修事故，承包方接到事故通知后，应立即到达事故现场抢修。非承包方施工质量引起的事故，抢修费用由发包方承担。</w:t>
      </w:r>
    </w:p>
    <w:p w14:paraId="6D76C2E9">
      <w:pPr>
        <w:ind w:firstLine="420" w:firstLineChars="200"/>
        <w:rPr>
          <w:rFonts w:ascii="宋体" w:hAnsi="宋体"/>
          <w:color w:val="auto"/>
          <w:szCs w:val="21"/>
          <w:highlight w:val="none"/>
        </w:rPr>
      </w:pPr>
      <w:r>
        <w:rPr>
          <w:rFonts w:hint="eastAsia" w:ascii="宋体" w:hAnsi="宋体"/>
          <w:color w:val="auto"/>
          <w:szCs w:val="21"/>
          <w:highlight w:val="none"/>
        </w:rPr>
        <w:t>9.5在质量保修期内进行返修的这部分工程按重新验收合格之日起重新计算，这部分工程的质量保修期从重新验收合格之日起顺延壹年。</w:t>
      </w:r>
    </w:p>
    <w:p w14:paraId="17254EBD">
      <w:pPr>
        <w:numPr>
          <w:ilvl w:val="0"/>
          <w:numId w:val="18"/>
        </w:num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 xml:space="preserve"> 规范及报检报验</w:t>
      </w:r>
    </w:p>
    <w:p w14:paraId="18ECE22B">
      <w:pPr>
        <w:rPr>
          <w:rFonts w:ascii="宋体" w:hAnsi="宋体"/>
          <w:bCs/>
          <w:color w:val="auto"/>
          <w:spacing w:val="10"/>
          <w:szCs w:val="21"/>
          <w:highlight w:val="none"/>
        </w:rPr>
      </w:pPr>
      <w:r>
        <w:rPr>
          <w:rFonts w:hint="eastAsia" w:ascii="宋体" w:hAnsi="宋体"/>
          <w:bCs/>
          <w:color w:val="auto"/>
          <w:szCs w:val="21"/>
          <w:highlight w:val="none"/>
        </w:rPr>
        <w:t>10.1施工验收标准及报价报验要求：具体按照本合同附件</w:t>
      </w:r>
      <w:r>
        <w:rPr>
          <w:rFonts w:hint="eastAsia" w:ascii="宋体" w:hAnsi="宋体"/>
          <w:bCs/>
          <w:color w:val="auto"/>
          <w:szCs w:val="21"/>
          <w:highlight w:val="none"/>
          <w:lang w:val="en-US" w:eastAsia="zh-CN"/>
        </w:rPr>
        <w:t>2</w:t>
      </w:r>
      <w:r>
        <w:rPr>
          <w:rFonts w:hint="eastAsia" w:ascii="宋体" w:hAnsi="宋体"/>
          <w:bCs/>
          <w:color w:val="auto"/>
          <w:szCs w:val="21"/>
          <w:highlight w:val="none"/>
        </w:rPr>
        <w:t>技术规范书执行，若有新的标准则执行新标准，替代原有标准。</w:t>
      </w:r>
    </w:p>
    <w:p w14:paraId="58C9961B">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第十一条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违约</w:t>
      </w:r>
    </w:p>
    <w:p w14:paraId="2E3FF432">
      <w:pPr>
        <w:ind w:firstLine="482"/>
        <w:outlineLvl w:val="2"/>
        <w:rPr>
          <w:rFonts w:ascii="宋体" w:hAnsi="宋体"/>
          <w:bCs/>
          <w:color w:val="auto"/>
          <w:szCs w:val="21"/>
          <w:highlight w:val="none"/>
        </w:rPr>
      </w:pPr>
      <w:r>
        <w:rPr>
          <w:rFonts w:hint="eastAsia" w:ascii="宋体" w:hAnsi="宋体"/>
          <w:color w:val="auto"/>
          <w:szCs w:val="21"/>
          <w:highlight w:val="none"/>
        </w:rPr>
        <w:t>11.1</w:t>
      </w:r>
      <w:r>
        <w:rPr>
          <w:rFonts w:hint="eastAsia" w:ascii="宋体" w:hAnsi="宋体"/>
          <w:bCs/>
          <w:color w:val="auto"/>
          <w:szCs w:val="21"/>
          <w:highlight w:val="none"/>
        </w:rPr>
        <w:t>承包方严格按项目要求的工期进行施工，非发包方原因，超过</w:t>
      </w:r>
      <w:r>
        <w:rPr>
          <w:rFonts w:hint="eastAsia" w:ascii="宋体" w:hAnsi="宋体"/>
          <w:color w:val="auto"/>
          <w:szCs w:val="21"/>
          <w:highlight w:val="none"/>
        </w:rPr>
        <w:t>总工期每延迟一天承担违约金</w:t>
      </w:r>
      <w:r>
        <w:rPr>
          <w:rFonts w:hint="eastAsia" w:ascii="宋体" w:hAnsi="宋体"/>
          <w:b/>
          <w:bCs/>
          <w:color w:val="auto"/>
          <w:szCs w:val="21"/>
          <w:highlight w:val="none"/>
          <w:u w:val="single"/>
        </w:rPr>
        <w:t>2000元/天</w:t>
      </w:r>
      <w:r>
        <w:rPr>
          <w:rFonts w:hint="eastAsia" w:ascii="宋体" w:hAnsi="宋体"/>
          <w:color w:val="auto"/>
          <w:szCs w:val="21"/>
          <w:highlight w:val="none"/>
        </w:rPr>
        <w:t>，违约金从本合同剩余应支付价款中予以扣除，直至款项扣清</w:t>
      </w:r>
      <w:r>
        <w:rPr>
          <w:rFonts w:hint="eastAsia" w:ascii="宋体" w:hAnsi="宋体"/>
          <w:iCs/>
          <w:color w:val="auto"/>
          <w:szCs w:val="21"/>
          <w:highlight w:val="none"/>
        </w:rPr>
        <w:t>。</w:t>
      </w:r>
    </w:p>
    <w:p w14:paraId="46991E17">
      <w:pPr>
        <w:pStyle w:val="19"/>
        <w:spacing w:line="240" w:lineRule="auto"/>
        <w:ind w:firstLine="480" w:firstLineChars="0"/>
        <w:rPr>
          <w:rFonts w:ascii="宋体" w:hAnsi="宋体"/>
          <w:color w:val="auto"/>
          <w:szCs w:val="21"/>
          <w:highlight w:val="none"/>
        </w:rPr>
      </w:pPr>
      <w:r>
        <w:rPr>
          <w:rFonts w:hint="eastAsia" w:ascii="宋体" w:hAnsi="宋体"/>
          <w:color w:val="auto"/>
          <w:szCs w:val="21"/>
          <w:highlight w:val="none"/>
        </w:rPr>
        <w:t>11.2</w:t>
      </w:r>
      <w:r>
        <w:rPr>
          <w:rFonts w:ascii="宋体" w:hAnsi="宋体"/>
          <w:color w:val="auto"/>
          <w:szCs w:val="21"/>
          <w:highlight w:val="none"/>
        </w:rPr>
        <w:t>因承包方原因工程质量达不到协议书约定的质量标准</w:t>
      </w:r>
      <w:r>
        <w:rPr>
          <w:rFonts w:hint="eastAsia" w:ascii="宋体" w:hAnsi="宋体"/>
          <w:color w:val="auto"/>
          <w:szCs w:val="21"/>
          <w:highlight w:val="none"/>
        </w:rPr>
        <w:t>、验收标准、取得项目所在地</w:t>
      </w:r>
      <w:r>
        <w:rPr>
          <w:rFonts w:hint="eastAsia" w:ascii="宋体" w:hAnsi="宋体"/>
          <w:bCs/>
          <w:color w:val="auto"/>
          <w:szCs w:val="21"/>
          <w:highlight w:val="none"/>
        </w:rPr>
        <w:t>所需受省级或地方行业部门现场监检</w:t>
      </w:r>
      <w:r>
        <w:rPr>
          <w:rFonts w:hint="eastAsia" w:ascii="宋体" w:hAnsi="宋体"/>
          <w:color w:val="auto"/>
          <w:szCs w:val="21"/>
          <w:highlight w:val="none"/>
        </w:rPr>
        <w:t>，则承包方负责无条件整改直至合格，所延误工期不予顺延，并承担由此造成发包方的一切损失。</w:t>
      </w:r>
    </w:p>
    <w:p w14:paraId="4D5BA065">
      <w:pPr>
        <w:ind w:firstLine="420" w:firstLineChars="200"/>
        <w:rPr>
          <w:rFonts w:ascii="宋体" w:hAnsi="宋体"/>
          <w:bCs/>
          <w:color w:val="auto"/>
          <w:szCs w:val="21"/>
          <w:highlight w:val="none"/>
        </w:rPr>
      </w:pPr>
      <w:r>
        <w:rPr>
          <w:rFonts w:hint="eastAsia" w:ascii="宋体" w:hAnsi="宋体"/>
          <w:bCs/>
          <w:color w:val="auto"/>
          <w:szCs w:val="21"/>
          <w:highlight w:val="none"/>
        </w:rPr>
        <w:t>11.3施工过程中承包方应做好发包方设备、设施的防护工作，如保护不当或为采用保护造成损坏，因此造成的直接或间接损失承包方应予以赔偿。</w:t>
      </w:r>
    </w:p>
    <w:p w14:paraId="5E80D6A5">
      <w:pPr>
        <w:ind w:firstLine="420" w:firstLineChars="200"/>
        <w:rPr>
          <w:rFonts w:ascii="宋体" w:hAnsi="宋体"/>
          <w:bCs/>
          <w:color w:val="auto"/>
          <w:szCs w:val="21"/>
          <w:highlight w:val="none"/>
        </w:rPr>
      </w:pPr>
      <w:r>
        <w:rPr>
          <w:rFonts w:hint="eastAsia" w:ascii="宋体" w:hAnsi="宋体"/>
          <w:bCs/>
          <w:color w:val="auto"/>
          <w:szCs w:val="21"/>
          <w:highlight w:val="none"/>
        </w:rPr>
        <w:t>11.4施工过程中达不到发包方或业主有关安全文明生产规定及违章作业，产生的安全罚款以及给发包方造成所有损失由承包方自行承担，由承包方自行缴纳，如承包方拒绝缴纳，发包方有权在合同总价中予以扣除。</w:t>
      </w:r>
    </w:p>
    <w:p w14:paraId="3AB43E29">
      <w:pPr>
        <w:ind w:firstLine="420" w:firstLineChars="200"/>
        <w:rPr>
          <w:rFonts w:ascii="宋体" w:hAnsi="宋体"/>
          <w:bCs/>
          <w:color w:val="auto"/>
          <w:szCs w:val="21"/>
          <w:highlight w:val="none"/>
        </w:rPr>
      </w:pPr>
      <w:r>
        <w:rPr>
          <w:rFonts w:hint="eastAsia" w:ascii="宋体" w:hAnsi="宋体"/>
          <w:bCs/>
          <w:color w:val="auto"/>
          <w:szCs w:val="21"/>
          <w:highlight w:val="none"/>
        </w:rPr>
        <w:t>11.5施工中不按发包方管理人员要求施工，按有关规定罚款，在总价中扣除。</w:t>
      </w:r>
    </w:p>
    <w:p w14:paraId="14FE9CFF">
      <w:pPr>
        <w:pStyle w:val="12"/>
        <w:ind w:left="0" w:leftChars="0" w:firstLine="413" w:firstLineChars="197"/>
        <w:rPr>
          <w:rFonts w:ascii="宋体" w:hAnsi="宋体"/>
          <w:bCs/>
          <w:color w:val="auto"/>
          <w:szCs w:val="21"/>
          <w:highlight w:val="none"/>
        </w:rPr>
      </w:pPr>
      <w:r>
        <w:rPr>
          <w:rFonts w:hint="eastAsia" w:ascii="宋体" w:hAnsi="宋体"/>
          <w:bCs/>
          <w:color w:val="auto"/>
          <w:szCs w:val="21"/>
          <w:highlight w:val="none"/>
        </w:rPr>
        <w:t>11.6因承包方原因解除合同时，发包方对承包方处以预付款双倍的违约金，且发包方有权决定是否接受属于承包方在现场的一切设施、设备、材料使用与本工程，并有进一步要求承包方索赔的权利。</w:t>
      </w:r>
    </w:p>
    <w:p w14:paraId="5097685C">
      <w:pPr>
        <w:pStyle w:val="13"/>
        <w:ind w:firstLine="420"/>
        <w:rPr>
          <w:rFonts w:hint="default" w:ascii="宋体" w:hAnsi="宋体"/>
          <w:bCs/>
          <w:color w:val="auto"/>
          <w:szCs w:val="21"/>
          <w:highlight w:val="none"/>
        </w:rPr>
      </w:pPr>
      <w:r>
        <w:rPr>
          <w:rFonts w:ascii="宋体" w:hAnsi="宋体"/>
          <w:bCs/>
          <w:color w:val="auto"/>
          <w:szCs w:val="21"/>
          <w:highlight w:val="none"/>
        </w:rPr>
        <w:t>11.7 合同生效后，承包方无法定理由不能单方提出终止合同，否则属单方面毁约，承包方毁约将给发包方造成巨大损失，因此除赔偿发包方全部损失外，还必须支付合同总价款 20 %的违约金。</w:t>
      </w:r>
    </w:p>
    <w:p w14:paraId="47838362">
      <w:pPr>
        <w:pStyle w:val="13"/>
        <w:ind w:firstLine="420"/>
        <w:rPr>
          <w:rFonts w:hint="default" w:ascii="宋体" w:hAnsi="宋体"/>
          <w:bCs/>
          <w:color w:val="auto"/>
          <w:szCs w:val="21"/>
          <w:highlight w:val="none"/>
        </w:rPr>
      </w:pPr>
      <w:r>
        <w:rPr>
          <w:rFonts w:ascii="宋体" w:hAnsi="宋体"/>
          <w:bCs/>
          <w:color w:val="auto"/>
          <w:szCs w:val="21"/>
          <w:highlight w:val="none"/>
        </w:rPr>
        <w:t xml:space="preserve">11.8 </w:t>
      </w:r>
      <w:r>
        <w:rPr>
          <w:rFonts w:asciiTheme="minorEastAsia" w:hAnsiTheme="minorEastAsia" w:eastAsiaTheme="minorEastAsia"/>
          <w:color w:val="auto"/>
          <w:szCs w:val="21"/>
          <w:highlight w:val="none"/>
        </w:rPr>
        <w:t>承包方无正当理由单方面变更或终止合同，发包方有权按本条款约定行使留置权，接收与本工程有关的属于承包方在现场的一切设施、材料、设备和器件。</w:t>
      </w:r>
    </w:p>
    <w:p w14:paraId="765AF62E">
      <w:pPr>
        <w:spacing w:line="276" w:lineRule="auto"/>
        <w:ind w:firstLine="420" w:firstLineChars="200"/>
        <w:rPr>
          <w:rFonts w:ascii="宋体" w:hAnsi="宋体"/>
          <w:b/>
          <w:bCs/>
          <w:color w:val="auto"/>
          <w:szCs w:val="21"/>
          <w:highlight w:val="none"/>
        </w:rPr>
      </w:pPr>
      <w:r>
        <w:rPr>
          <w:rFonts w:hint="eastAsia" w:ascii="宋体" w:hAnsi="宋体"/>
          <w:bCs/>
          <w:color w:val="auto"/>
          <w:szCs w:val="21"/>
          <w:highlight w:val="none"/>
        </w:rPr>
        <w:t xml:space="preserve">11.9 </w:t>
      </w:r>
      <w:r>
        <w:rPr>
          <w:rFonts w:hint="eastAsia" w:asciiTheme="minorEastAsia" w:hAnsiTheme="minorEastAsia" w:eastAsiaTheme="minorEastAsia"/>
          <w:color w:val="auto"/>
          <w:szCs w:val="21"/>
          <w:highlight w:val="none"/>
        </w:rPr>
        <w:t>承包方应当在第一时间内支付工人工资，否则因拖欠工资引发的上访、围攻政府或企业的全部责任由承包方承担；发包方可以根据需要代发工人工资，相应款项从承包方工程款中扣除，并可每次收取合同总价款5%的违约金。具体按附件4《农民工工资及管理要求》执行。</w:t>
      </w:r>
    </w:p>
    <w:p w14:paraId="6319DCEB">
      <w:pPr>
        <w:ind w:firstLine="413" w:firstLineChars="196"/>
        <w:rPr>
          <w:rFonts w:ascii="宋体" w:hAnsi="宋体"/>
          <w:b/>
          <w:bCs/>
          <w:color w:val="auto"/>
          <w:szCs w:val="21"/>
          <w:highlight w:val="none"/>
        </w:rPr>
      </w:pPr>
      <w:r>
        <w:rPr>
          <w:rFonts w:hint="eastAsia" w:ascii="宋体" w:hAnsi="宋体"/>
          <w:b/>
          <w:bCs/>
          <w:color w:val="auto"/>
          <w:szCs w:val="21"/>
          <w:highlight w:val="none"/>
        </w:rPr>
        <w:t>第十二条  合同纠纷解决方式</w:t>
      </w:r>
    </w:p>
    <w:p w14:paraId="519324EB">
      <w:pPr>
        <w:ind w:firstLine="424" w:firstLineChars="202"/>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发、承包双方在履行合同中发生纠纷，应友好协商解决，如协商不成，双方同意在发包方所在地人民法院申请诉讼，禁止采用示威、游行等非正常手段解决。如发生此类情况，承包方支付给发包方合同总价款30%的违约金且无条件接受政府部门的处理措施，单方面无条件安抚和解决问题。</w:t>
      </w:r>
    </w:p>
    <w:p w14:paraId="2B6992DC">
      <w:pPr>
        <w:ind w:firstLine="413" w:firstLineChars="196"/>
        <w:rPr>
          <w:rFonts w:hint="default" w:eastAsia="宋体"/>
          <w:color w:val="auto"/>
          <w:highlight w:val="none"/>
          <w:lang w:val="en-US" w:eastAsia="zh-CN"/>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三</w:t>
      </w:r>
      <w:r>
        <w:rPr>
          <w:rFonts w:hint="eastAsia" w:ascii="宋体" w:hAnsi="宋体"/>
          <w:b/>
          <w:bCs/>
          <w:color w:val="auto"/>
          <w:szCs w:val="21"/>
          <w:highlight w:val="none"/>
        </w:rPr>
        <w:t xml:space="preserve">条  </w:t>
      </w:r>
      <w:r>
        <w:rPr>
          <w:rFonts w:hint="eastAsia" w:ascii="宋体" w:hAnsi="宋体"/>
          <w:b/>
          <w:bCs/>
          <w:color w:val="auto"/>
          <w:szCs w:val="21"/>
          <w:highlight w:val="none"/>
          <w:lang w:val="en-US" w:eastAsia="zh-CN"/>
        </w:rPr>
        <w:t>履约担保</w:t>
      </w:r>
    </w:p>
    <w:p w14:paraId="5698E7F1">
      <w:pPr>
        <w:ind w:firstLine="371" w:firstLineChars="177"/>
        <w:rPr>
          <w:rFonts w:hint="eastAsia" w:asciiTheme="minorEastAsia" w:hAnsiTheme="minorEastAsia" w:eastAsiaTheme="minorEastAsia"/>
          <w:color w:val="auto"/>
          <w:szCs w:val="21"/>
          <w:highlight w:val="none"/>
        </w:rPr>
      </w:pPr>
      <w:r>
        <w:rPr>
          <w:rFonts w:hint="eastAsia" w:ascii="宋体" w:hAnsi="宋体"/>
          <w:color w:val="auto"/>
          <w:szCs w:val="21"/>
          <w:highlight w:val="none"/>
        </w:rPr>
        <w:t xml:space="preserve">本合同的履约担保金额为人民币￥ </w:t>
      </w:r>
      <w:r>
        <w:rPr>
          <w:rFonts w:hint="eastAsia" w:ascii="宋体" w:hAnsi="宋体"/>
          <w:color w:val="auto"/>
          <w:szCs w:val="21"/>
          <w:highlight w:val="none"/>
          <w:lang w:val="en-US" w:eastAsia="zh-CN"/>
        </w:rPr>
        <w:t>2400</w:t>
      </w:r>
      <w:r>
        <w:rPr>
          <w:rFonts w:hint="eastAsia" w:ascii="宋体" w:hAnsi="宋体"/>
          <w:color w:val="auto"/>
          <w:szCs w:val="21"/>
          <w:highlight w:val="none"/>
        </w:rPr>
        <w:t>元 （大写：</w:t>
      </w:r>
      <w:r>
        <w:rPr>
          <w:rFonts w:hint="eastAsia" w:ascii="宋体" w:hAnsi="宋体"/>
          <w:color w:val="auto"/>
          <w:szCs w:val="21"/>
          <w:highlight w:val="none"/>
          <w:lang w:val="en-US" w:eastAsia="zh-CN"/>
        </w:rPr>
        <w:t>贰仟肆佰元</w:t>
      </w:r>
      <w:r>
        <w:rPr>
          <w:rFonts w:hint="eastAsia" w:ascii="宋体" w:hAnsi="宋体"/>
          <w:color w:val="auto"/>
          <w:szCs w:val="21"/>
          <w:highlight w:val="none"/>
        </w:rPr>
        <w:t>整），由</w:t>
      </w:r>
      <w:r>
        <w:rPr>
          <w:rFonts w:hint="eastAsia" w:ascii="宋体" w:hAnsi="宋体"/>
          <w:color w:val="auto"/>
          <w:szCs w:val="21"/>
          <w:highlight w:val="none"/>
          <w:lang w:val="en-US" w:eastAsia="zh-CN"/>
        </w:rPr>
        <w:t>承包</w:t>
      </w:r>
      <w:r>
        <w:rPr>
          <w:rFonts w:hint="eastAsia" w:ascii="宋体" w:hAnsi="宋体"/>
          <w:color w:val="auto"/>
          <w:szCs w:val="21"/>
          <w:highlight w:val="none"/>
        </w:rPr>
        <w:t>方所缴纳的响应保证金转化。履约担保期限从合同签订之日起至项目竣工验收合格后一个月后保持有效；</w:t>
      </w:r>
      <w:r>
        <w:rPr>
          <w:rFonts w:hint="eastAsia" w:ascii="宋体" w:hAnsi="宋体"/>
          <w:color w:val="auto"/>
          <w:szCs w:val="21"/>
          <w:highlight w:val="none"/>
          <w:lang w:val="en-US" w:eastAsia="zh-CN"/>
        </w:rPr>
        <w:t>承包方</w:t>
      </w:r>
      <w:r>
        <w:rPr>
          <w:rFonts w:hint="eastAsia" w:ascii="宋体" w:hAnsi="宋体"/>
          <w:color w:val="auto"/>
          <w:szCs w:val="21"/>
          <w:highlight w:val="none"/>
        </w:rPr>
        <w:t>在本合同项下的义务全部履行完毕，且经</w:t>
      </w:r>
      <w:r>
        <w:rPr>
          <w:rFonts w:hint="eastAsia" w:ascii="宋体" w:hAnsi="宋体"/>
          <w:color w:val="auto"/>
          <w:szCs w:val="21"/>
          <w:highlight w:val="none"/>
          <w:lang w:val="en-US" w:eastAsia="zh-CN"/>
        </w:rPr>
        <w:t>发包方</w:t>
      </w:r>
      <w:r>
        <w:rPr>
          <w:rFonts w:hint="eastAsia" w:ascii="宋体" w:hAnsi="宋体"/>
          <w:color w:val="auto"/>
          <w:szCs w:val="21"/>
          <w:highlight w:val="none"/>
        </w:rPr>
        <w:t>验收合格（或者视同验收合格），</w:t>
      </w:r>
      <w:r>
        <w:rPr>
          <w:rFonts w:hint="eastAsia" w:ascii="宋体" w:hAnsi="宋体"/>
          <w:color w:val="auto"/>
          <w:szCs w:val="21"/>
          <w:highlight w:val="none"/>
          <w:lang w:val="en-US" w:eastAsia="zh-CN"/>
        </w:rPr>
        <w:t>承包方</w:t>
      </w:r>
      <w:r>
        <w:rPr>
          <w:rFonts w:hint="eastAsia" w:ascii="宋体" w:hAnsi="宋体"/>
          <w:color w:val="auto"/>
          <w:szCs w:val="21"/>
          <w:highlight w:val="none"/>
        </w:rPr>
        <w:t>向</w:t>
      </w:r>
      <w:r>
        <w:rPr>
          <w:rFonts w:hint="eastAsia" w:ascii="宋体" w:hAnsi="宋体"/>
          <w:color w:val="auto"/>
          <w:szCs w:val="21"/>
          <w:highlight w:val="none"/>
          <w:lang w:val="en-US" w:eastAsia="zh-CN"/>
        </w:rPr>
        <w:t>发包方</w:t>
      </w:r>
      <w:r>
        <w:rPr>
          <w:rFonts w:hint="eastAsia" w:ascii="宋体" w:hAnsi="宋体"/>
          <w:color w:val="auto"/>
          <w:szCs w:val="21"/>
          <w:highlight w:val="none"/>
        </w:rPr>
        <w:t>提供履约保证金退还申请书，</w:t>
      </w:r>
      <w:r>
        <w:rPr>
          <w:rFonts w:hint="eastAsia" w:ascii="宋体" w:hAnsi="宋体"/>
          <w:color w:val="auto"/>
          <w:szCs w:val="21"/>
          <w:highlight w:val="none"/>
          <w:lang w:val="en-US" w:eastAsia="zh-CN"/>
        </w:rPr>
        <w:t>发包方</w:t>
      </w:r>
      <w:r>
        <w:rPr>
          <w:rFonts w:hint="eastAsia" w:ascii="宋体" w:hAnsi="宋体"/>
          <w:color w:val="auto"/>
          <w:szCs w:val="21"/>
          <w:highlight w:val="none"/>
        </w:rPr>
        <w:t>审核无误后五个工作日内无息退还。若</w:t>
      </w:r>
      <w:r>
        <w:rPr>
          <w:rFonts w:hint="eastAsia" w:ascii="宋体" w:hAnsi="宋体"/>
          <w:color w:val="auto"/>
          <w:szCs w:val="21"/>
          <w:highlight w:val="none"/>
          <w:lang w:val="en-US" w:eastAsia="zh-CN"/>
        </w:rPr>
        <w:t>承包方</w:t>
      </w:r>
      <w:r>
        <w:rPr>
          <w:rFonts w:hint="eastAsia" w:ascii="宋体" w:hAnsi="宋体"/>
          <w:color w:val="auto"/>
          <w:szCs w:val="21"/>
          <w:highlight w:val="none"/>
        </w:rPr>
        <w:t>不履行合同或者履行不符合合同约定或者有任何其他违约行为，</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有权扣除</w:t>
      </w:r>
      <w:r>
        <w:rPr>
          <w:rFonts w:hint="eastAsia" w:ascii="宋体" w:hAnsi="宋体"/>
          <w:color w:val="auto"/>
          <w:szCs w:val="21"/>
          <w:highlight w:val="none"/>
          <w:lang w:val="en-US" w:eastAsia="zh-CN"/>
        </w:rPr>
        <w:t>承包方</w:t>
      </w:r>
      <w:r>
        <w:rPr>
          <w:rFonts w:hint="eastAsia" w:ascii="宋体" w:hAnsi="宋体"/>
          <w:color w:val="auto"/>
          <w:szCs w:val="21"/>
          <w:highlight w:val="none"/>
        </w:rPr>
        <w:t>履约保证金，</w:t>
      </w:r>
      <w:r>
        <w:rPr>
          <w:rFonts w:hint="eastAsia" w:ascii="宋体" w:hAnsi="宋体"/>
          <w:color w:val="auto"/>
          <w:szCs w:val="21"/>
          <w:highlight w:val="none"/>
          <w:lang w:val="en-US" w:eastAsia="zh-CN"/>
        </w:rPr>
        <w:t>发包方</w:t>
      </w:r>
      <w:r>
        <w:rPr>
          <w:rFonts w:hint="eastAsia" w:ascii="宋体" w:hAnsi="宋体"/>
          <w:color w:val="auto"/>
          <w:szCs w:val="21"/>
          <w:highlight w:val="none"/>
        </w:rPr>
        <w:t>暂扣的履约保证金金额不足以扣除违约赔偿费用的，</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有权在</w:t>
      </w:r>
      <w:r>
        <w:rPr>
          <w:rFonts w:hint="eastAsia" w:ascii="宋体" w:hAnsi="宋体"/>
          <w:color w:val="auto"/>
          <w:szCs w:val="21"/>
          <w:highlight w:val="none"/>
          <w:lang w:val="en-US" w:eastAsia="zh-CN"/>
        </w:rPr>
        <w:t>承包方</w:t>
      </w:r>
      <w:r>
        <w:rPr>
          <w:rFonts w:hint="eastAsia" w:ascii="宋体" w:hAnsi="宋体"/>
          <w:color w:val="auto"/>
          <w:szCs w:val="21"/>
          <w:highlight w:val="none"/>
        </w:rPr>
        <w:t>的结算款中扣除或由</w:t>
      </w:r>
      <w:r>
        <w:rPr>
          <w:rFonts w:hint="eastAsia" w:ascii="宋体" w:hAnsi="宋体"/>
          <w:color w:val="auto"/>
          <w:szCs w:val="21"/>
          <w:highlight w:val="none"/>
          <w:lang w:val="en-US" w:eastAsia="zh-CN"/>
        </w:rPr>
        <w:t>承包方</w:t>
      </w:r>
      <w:r>
        <w:rPr>
          <w:rFonts w:hint="eastAsia" w:ascii="宋体" w:hAnsi="宋体"/>
          <w:color w:val="auto"/>
          <w:szCs w:val="21"/>
          <w:highlight w:val="none"/>
        </w:rPr>
        <w:t>自行补足，</w:t>
      </w:r>
      <w:r>
        <w:rPr>
          <w:rFonts w:hint="eastAsia" w:ascii="宋体" w:hAnsi="宋体"/>
          <w:color w:val="auto"/>
          <w:szCs w:val="21"/>
          <w:highlight w:val="none"/>
          <w:lang w:val="en-US" w:eastAsia="zh-CN"/>
        </w:rPr>
        <w:t>发包方</w:t>
      </w:r>
      <w:r>
        <w:rPr>
          <w:rFonts w:hint="eastAsia" w:ascii="宋体" w:hAnsi="宋体"/>
          <w:color w:val="auto"/>
          <w:szCs w:val="21"/>
          <w:highlight w:val="none"/>
        </w:rPr>
        <w:t>在扣除该笔违约赔偿费用前书面通知</w:t>
      </w:r>
      <w:r>
        <w:rPr>
          <w:rFonts w:hint="eastAsia" w:ascii="宋体" w:hAnsi="宋体"/>
          <w:color w:val="auto"/>
          <w:szCs w:val="21"/>
          <w:highlight w:val="none"/>
          <w:lang w:val="en-US" w:eastAsia="zh-CN"/>
        </w:rPr>
        <w:t>承包方</w:t>
      </w:r>
      <w:r>
        <w:rPr>
          <w:rFonts w:hint="eastAsia" w:ascii="宋体" w:hAnsi="宋体"/>
          <w:color w:val="auto"/>
          <w:szCs w:val="21"/>
          <w:highlight w:val="none"/>
        </w:rPr>
        <w:t>。</w:t>
      </w:r>
    </w:p>
    <w:p w14:paraId="062DE70D">
      <w:pPr>
        <w:ind w:firstLine="422" w:firstLineChars="200"/>
        <w:rPr>
          <w:rFonts w:ascii="宋体" w:hAnsi="宋体"/>
          <w:bCs/>
          <w:color w:val="auto"/>
          <w:szCs w:val="21"/>
          <w:highlight w:val="none"/>
          <w:u w:val="single"/>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四</w:t>
      </w:r>
      <w:r>
        <w:rPr>
          <w:rFonts w:hint="eastAsia" w:ascii="宋体" w:hAnsi="宋体"/>
          <w:b/>
          <w:bCs/>
          <w:color w:val="auto"/>
          <w:szCs w:val="21"/>
          <w:highlight w:val="none"/>
        </w:rPr>
        <w:t xml:space="preserve">条  </w:t>
      </w:r>
      <w:r>
        <w:rPr>
          <w:rFonts w:hint="eastAsia" w:ascii="宋体" w:hAnsi="宋体"/>
          <w:b/>
          <w:bCs/>
          <w:color w:val="auto"/>
          <w:spacing w:val="10"/>
          <w:szCs w:val="21"/>
          <w:highlight w:val="none"/>
        </w:rPr>
        <w:t>其他事宜</w:t>
      </w:r>
    </w:p>
    <w:p w14:paraId="3CA75167">
      <w:pPr>
        <w:pStyle w:val="64"/>
        <w:spacing w:before="0" w:after="0"/>
        <w:ind w:left="359" w:leftChars="171" w:right="45" w:firstLine="105" w:firstLineChars="50"/>
        <w:rPr>
          <w:rFonts w:ascii="宋体" w:hAnsi="宋体"/>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.1发包方向承包方提供的有关现场的资料和数据，是发包方现有的能使承包方利用的资料，发包方对承包方由此而作出的推论、理解和结论概不负责。</w:t>
      </w:r>
    </w:p>
    <w:p w14:paraId="56448BE1">
      <w:pPr>
        <w:pStyle w:val="64"/>
        <w:spacing w:before="0" w:after="0"/>
        <w:ind w:left="359" w:leftChars="171" w:right="45" w:firstLine="105" w:firstLineChars="50"/>
        <w:rPr>
          <w:rFonts w:ascii="宋体" w:hAnsi="宋体" w:eastAsiaTheme="minorEastAsia"/>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.2</w:t>
      </w:r>
      <w:r>
        <w:rPr>
          <w:rFonts w:hint="eastAsia" w:asciiTheme="minorEastAsia" w:hAnsiTheme="minorEastAsia" w:eastAsiaTheme="minorEastAsia"/>
          <w:color w:val="auto"/>
          <w:sz w:val="21"/>
          <w:szCs w:val="21"/>
          <w:highlight w:val="none"/>
        </w:rPr>
        <w:t>承包方应在踏勘工程现场时，熟悉施工现场及周围交通道路等情况，仔细检查现有的建筑物以及可作为储存和施工用途的空间，以获得一切可能影响投标报价的直接资料。成交后，不得以不完全了解现场情况为理由而提出额外付款或延长竣工日期等索赔的要求。对此类要求，发包方将不作任何答复与考虑。</w:t>
      </w:r>
    </w:p>
    <w:p w14:paraId="1F88A6A1">
      <w:pPr>
        <w:pStyle w:val="64"/>
        <w:spacing w:before="0" w:after="0"/>
        <w:ind w:left="359" w:leftChars="171" w:right="45" w:firstLine="105" w:firstLineChars="50"/>
        <w:rPr>
          <w:rFonts w:ascii="宋体" w:hAnsi="宋体"/>
          <w:i/>
          <w:color w:val="auto"/>
          <w:spacing w:val="10"/>
          <w:sz w:val="24"/>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.3本合同自双方签字盖章后生效。</w:t>
      </w:r>
      <w:r>
        <w:rPr>
          <w:rFonts w:hint="eastAsia" w:ascii="宋体" w:hAnsi="宋体"/>
          <w:color w:val="auto"/>
          <w:sz w:val="21"/>
          <w:szCs w:val="21"/>
          <w:highlight w:val="none"/>
        </w:rPr>
        <w:t>本合同一式</w:t>
      </w:r>
      <w:r>
        <w:rPr>
          <w:rFonts w:hint="eastAsia" w:ascii="宋体" w:hAnsi="宋体"/>
          <w:color w:val="auto"/>
          <w:sz w:val="21"/>
          <w:szCs w:val="21"/>
          <w:highlight w:val="none"/>
          <w:u w:val="single"/>
        </w:rPr>
        <w:t>四</w:t>
      </w:r>
      <w:r>
        <w:rPr>
          <w:rFonts w:hint="eastAsia" w:ascii="宋体" w:hAnsi="宋体"/>
          <w:color w:val="auto"/>
          <w:sz w:val="21"/>
          <w:szCs w:val="21"/>
          <w:highlight w:val="none"/>
        </w:rPr>
        <w:t>份，双方各执</w:t>
      </w:r>
      <w:r>
        <w:rPr>
          <w:rFonts w:hint="eastAsia" w:ascii="宋体" w:hAnsi="宋体"/>
          <w:color w:val="auto"/>
          <w:sz w:val="21"/>
          <w:szCs w:val="21"/>
          <w:highlight w:val="none"/>
          <w:u w:val="single"/>
        </w:rPr>
        <w:t>两</w:t>
      </w:r>
      <w:r>
        <w:rPr>
          <w:rFonts w:hint="eastAsia" w:ascii="宋体" w:hAnsi="宋体"/>
          <w:color w:val="auto"/>
          <w:sz w:val="21"/>
          <w:szCs w:val="21"/>
          <w:highlight w:val="none"/>
        </w:rPr>
        <w:t>份</w:t>
      </w:r>
      <w:r>
        <w:rPr>
          <w:rFonts w:hint="eastAsia" w:ascii="宋体" w:hAnsi="宋体"/>
          <w:color w:val="auto"/>
          <w:spacing w:val="10"/>
          <w:sz w:val="21"/>
          <w:szCs w:val="21"/>
          <w:highlight w:val="none"/>
        </w:rPr>
        <w:t>。</w:t>
      </w:r>
      <w:r>
        <w:rPr>
          <w:rFonts w:ascii="宋体" w:hAnsi="宋体"/>
          <w:color w:val="auto"/>
          <w:spacing w:val="10"/>
          <w:sz w:val="21"/>
          <w:szCs w:val="21"/>
          <w:highlight w:val="none"/>
        </w:rPr>
        <w:t>  </w:t>
      </w:r>
      <w:r>
        <w:rPr>
          <w:rFonts w:ascii="宋体" w:hAnsi="宋体"/>
          <w:color w:val="auto"/>
          <w:spacing w:val="10"/>
          <w:highlight w:val="none"/>
        </w:rPr>
        <w:t xml:space="preserve"> </w:t>
      </w:r>
    </w:p>
    <w:p w14:paraId="69F075A2">
      <w:pPr>
        <w:spacing w:line="360" w:lineRule="auto"/>
        <w:ind w:firstLine="520" w:firstLineChars="200"/>
        <w:rPr>
          <w:rFonts w:hint="eastAsia" w:ascii="宋体" w:hAnsi="宋体"/>
          <w:i/>
          <w:color w:val="auto"/>
          <w:spacing w:val="10"/>
          <w:sz w:val="24"/>
          <w:highlight w:val="none"/>
        </w:rPr>
      </w:pPr>
    </w:p>
    <w:p w14:paraId="25D61850">
      <w:pPr>
        <w:spacing w:line="360" w:lineRule="auto"/>
        <w:ind w:firstLine="520" w:firstLineChars="200"/>
        <w:rPr>
          <w:rFonts w:hint="eastAsia" w:ascii="宋体" w:hAnsi="宋体"/>
          <w:i/>
          <w:color w:val="auto"/>
          <w:spacing w:val="10"/>
          <w:sz w:val="24"/>
          <w:highlight w:val="none"/>
        </w:rPr>
      </w:pPr>
    </w:p>
    <w:p w14:paraId="2E627410">
      <w:pPr>
        <w:spacing w:line="360" w:lineRule="auto"/>
        <w:ind w:firstLine="520" w:firstLineChars="200"/>
        <w:rPr>
          <w:rFonts w:hint="eastAsia" w:ascii="宋体" w:hAnsi="宋体"/>
          <w:i/>
          <w:color w:val="auto"/>
          <w:spacing w:val="10"/>
          <w:sz w:val="24"/>
          <w:highlight w:val="none"/>
        </w:rPr>
      </w:pPr>
    </w:p>
    <w:p w14:paraId="3E6EBBFF">
      <w:pPr>
        <w:spacing w:line="360" w:lineRule="auto"/>
        <w:ind w:firstLine="520" w:firstLineChars="200"/>
        <w:rPr>
          <w:rFonts w:hint="eastAsia" w:ascii="宋体" w:hAnsi="宋体"/>
          <w:i/>
          <w:color w:val="auto"/>
          <w:spacing w:val="10"/>
          <w:sz w:val="24"/>
          <w:highlight w:val="none"/>
        </w:rPr>
      </w:pPr>
    </w:p>
    <w:p w14:paraId="5C6FB5BE">
      <w:pPr>
        <w:pStyle w:val="9"/>
        <w:rPr>
          <w:rFonts w:hint="eastAsia"/>
          <w:color w:val="auto"/>
          <w:highlight w:val="none"/>
        </w:rPr>
      </w:pPr>
    </w:p>
    <w:p w14:paraId="62D29868">
      <w:pPr>
        <w:spacing w:line="360" w:lineRule="auto"/>
        <w:ind w:firstLine="520" w:firstLineChars="200"/>
        <w:rPr>
          <w:rFonts w:hint="eastAsia" w:ascii="宋体" w:hAnsi="宋体"/>
          <w:i/>
          <w:color w:val="auto"/>
          <w:spacing w:val="10"/>
          <w:sz w:val="24"/>
          <w:highlight w:val="none"/>
        </w:rPr>
      </w:pPr>
    </w:p>
    <w:p w14:paraId="4E71DBAB">
      <w:pPr>
        <w:spacing w:line="360" w:lineRule="auto"/>
        <w:ind w:firstLine="520" w:firstLineChars="200"/>
        <w:rPr>
          <w:rFonts w:hint="eastAsia" w:ascii="宋体" w:hAnsi="宋体"/>
          <w:i/>
          <w:color w:val="auto"/>
          <w:spacing w:val="10"/>
          <w:sz w:val="24"/>
          <w:highlight w:val="none"/>
        </w:rPr>
      </w:pPr>
    </w:p>
    <w:p w14:paraId="6F0FA461">
      <w:pPr>
        <w:spacing w:line="360" w:lineRule="auto"/>
        <w:ind w:firstLine="520" w:firstLineChars="200"/>
        <w:rPr>
          <w:rFonts w:ascii="宋体" w:hAnsi="宋体"/>
          <w:i/>
          <w:color w:val="auto"/>
          <w:spacing w:val="10"/>
          <w:sz w:val="24"/>
          <w:highlight w:val="none"/>
        </w:rPr>
      </w:pPr>
      <w:r>
        <w:rPr>
          <w:rFonts w:hint="eastAsia" w:ascii="宋体" w:hAnsi="宋体"/>
          <w:i/>
          <w:color w:val="auto"/>
          <w:spacing w:val="10"/>
          <w:sz w:val="24"/>
          <w:highlight w:val="none"/>
        </w:rPr>
        <w:t>（本页为签字页无正文）</w:t>
      </w:r>
    </w:p>
    <w:p w14:paraId="111B4888">
      <w:pPr>
        <w:spacing w:line="360" w:lineRule="auto"/>
        <w:rPr>
          <w:rFonts w:ascii="宋体" w:hAnsi="宋体"/>
          <w:color w:val="auto"/>
          <w:spacing w:val="10"/>
          <w:sz w:val="24"/>
          <w:highlight w:val="none"/>
        </w:rPr>
      </w:pPr>
    </w:p>
    <w:p w14:paraId="1973FCA5">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3664181">
      <w:pPr>
        <w:snapToGrid w:val="0"/>
        <w:spacing w:after="314" w:afterLines="100"/>
        <w:ind w:left="4965" w:leftChars="208" w:hanging="4528" w:hangingChars="2050"/>
        <w:rPr>
          <w:rFonts w:ascii="宋体" w:hAnsi="宋体"/>
          <w:b/>
          <w:color w:val="auto"/>
          <w:sz w:val="22"/>
          <w:szCs w:val="22"/>
          <w:highlight w:val="none"/>
        </w:rPr>
      </w:pPr>
      <w:r>
        <w:rPr>
          <w:rFonts w:hint="eastAsia" w:ascii="宋体" w:hAnsi="宋体"/>
          <w:b/>
          <w:color w:val="auto"/>
          <w:sz w:val="22"/>
          <w:szCs w:val="22"/>
          <w:highlight w:val="none"/>
        </w:rPr>
        <w:t>地址：阳江高新区港口工业园海港二横路1号 地址：</w:t>
      </w:r>
    </w:p>
    <w:p w14:paraId="19D9F441">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4DFC196">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委托代表人：                           委托代表人：</w:t>
      </w:r>
    </w:p>
    <w:p w14:paraId="79B1AE49">
      <w:pPr>
        <w:pStyle w:val="9"/>
        <w:rPr>
          <w:rFonts w:ascii="宋体" w:hAnsi="宋体"/>
          <w:b/>
          <w:color w:val="auto"/>
          <w:sz w:val="22"/>
          <w:szCs w:val="22"/>
          <w:highlight w:val="none"/>
        </w:rPr>
      </w:pPr>
    </w:p>
    <w:p w14:paraId="4D5E7C17">
      <w:pPr>
        <w:pStyle w:val="10"/>
        <w:ind w:firstLine="221"/>
        <w:rPr>
          <w:rFonts w:hint="eastAsia" w:ascii="宋体" w:hAnsi="宋体"/>
          <w:b/>
          <w:color w:val="auto"/>
          <w:sz w:val="22"/>
          <w:highlight w:val="none"/>
        </w:rPr>
      </w:pPr>
      <w:r>
        <w:rPr>
          <w:rFonts w:hint="eastAsia" w:ascii="宋体" w:hAnsi="宋体"/>
          <w:b/>
          <w:color w:val="auto"/>
          <w:sz w:val="22"/>
          <w:highlight w:val="none"/>
        </w:rPr>
        <w:t xml:space="preserve">签订日期：    年     月      日         签订日期：     年     月      日 </w:t>
      </w:r>
    </w:p>
    <w:p w14:paraId="43748ECA">
      <w:pPr>
        <w:pStyle w:val="11"/>
        <w:rPr>
          <w:rFonts w:hint="eastAsia" w:ascii="宋体" w:hAnsi="宋体"/>
          <w:b/>
          <w:color w:val="auto"/>
          <w:sz w:val="22"/>
          <w:highlight w:val="none"/>
        </w:rPr>
      </w:pPr>
    </w:p>
    <w:p w14:paraId="27FB239A">
      <w:pPr>
        <w:rPr>
          <w:rFonts w:hint="eastAsia" w:ascii="宋体" w:hAnsi="宋体"/>
          <w:b/>
          <w:color w:val="auto"/>
          <w:sz w:val="22"/>
          <w:highlight w:val="none"/>
        </w:rPr>
      </w:pPr>
    </w:p>
    <w:p w14:paraId="15C446CC">
      <w:pPr>
        <w:pStyle w:val="9"/>
        <w:rPr>
          <w:rFonts w:hint="eastAsia" w:ascii="宋体" w:hAnsi="宋体"/>
          <w:b/>
          <w:color w:val="auto"/>
          <w:sz w:val="22"/>
          <w:highlight w:val="none"/>
        </w:rPr>
      </w:pPr>
    </w:p>
    <w:p w14:paraId="79EA7AE2">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1</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报价清单</w:t>
      </w:r>
    </w:p>
    <w:p w14:paraId="3A22A5CB">
      <w:pPr>
        <w:pStyle w:val="11"/>
        <w:ind w:left="0" w:leftChars="0" w:firstLine="0" w:firstLineChars="0"/>
        <w:rPr>
          <w:color w:val="auto"/>
          <w:highlight w:val="none"/>
        </w:rPr>
      </w:pPr>
    </w:p>
    <w:tbl>
      <w:tblPr>
        <w:tblStyle w:val="23"/>
        <w:tblW w:w="1029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2"/>
        <w:gridCol w:w="2027"/>
        <w:gridCol w:w="2973"/>
        <w:gridCol w:w="942"/>
        <w:gridCol w:w="942"/>
        <w:gridCol w:w="996"/>
        <w:gridCol w:w="996"/>
        <w:gridCol w:w="868"/>
      </w:tblGrid>
      <w:tr w14:paraId="7AF39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7" w:hRule="atLeast"/>
        </w:trPr>
        <w:tc>
          <w:tcPr>
            <w:tcW w:w="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4E73">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93EE2">
            <w:pPr>
              <w:keepNext w:val="0"/>
              <w:keepLines w:val="0"/>
              <w:widowControl/>
              <w:suppressLineNumbers w:val="0"/>
              <w:jc w:val="center"/>
              <w:textAlignment w:val="center"/>
              <w:rPr>
                <w:rFonts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设备名称</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8AC7C">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工作内容要求（交接试验）</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B6CC">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单位</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EF2D">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数量</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7A78">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单价</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865E1">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总价（元）</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6864">
            <w:pPr>
              <w:keepNext w:val="0"/>
              <w:keepLines w:val="0"/>
              <w:widowControl/>
              <w:suppressLineNumbers w:val="0"/>
              <w:jc w:val="center"/>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备注</w:t>
            </w:r>
          </w:p>
        </w:tc>
      </w:tr>
      <w:tr w14:paraId="13C01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AC1F1">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一</w:t>
            </w:r>
          </w:p>
        </w:tc>
        <w:tc>
          <w:tcPr>
            <w:tcW w:w="7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71EA87">
            <w:pPr>
              <w:keepNext w:val="0"/>
              <w:keepLines w:val="0"/>
              <w:widowControl/>
              <w:suppressLineNumbers w:val="0"/>
              <w:jc w:val="left"/>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开关柜及综保装置拆除及安装</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CD6F">
            <w:pPr>
              <w:jc w:val="center"/>
              <w:rPr>
                <w:rFonts w:hint="eastAsia" w:ascii="微软雅黑" w:hAnsi="微软雅黑" w:eastAsia="微软雅黑" w:cs="微软雅黑"/>
                <w:b/>
                <w:bCs/>
                <w:i w:val="0"/>
                <w:iCs w:val="0"/>
                <w:color w:val="auto"/>
                <w:sz w:val="22"/>
                <w:szCs w:val="22"/>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4745">
            <w:pPr>
              <w:jc w:val="center"/>
              <w:rPr>
                <w:rFonts w:hint="eastAsia" w:ascii="微软雅黑" w:hAnsi="微软雅黑" w:eastAsia="微软雅黑" w:cs="微软雅黑"/>
                <w:b/>
                <w:bCs/>
                <w:i w:val="0"/>
                <w:iCs w:val="0"/>
                <w:color w:val="auto"/>
                <w:sz w:val="22"/>
                <w:szCs w:val="22"/>
                <w:highlight w:val="none"/>
                <w:u w:val="none"/>
              </w:rPr>
            </w:pPr>
          </w:p>
        </w:tc>
      </w:tr>
      <w:tr w14:paraId="62CA6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9444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88164">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35KV高压PT柜AH2</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E0DDA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对原有的四个开关柜及综保进行拆除，将新购回来的三个开关柜和综保进行原位更换安装（包含综保线路重新铺设及一段约30M桥架安装，桥架由采购人提供）</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92B5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C6D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742A">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1F259">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63E6">
            <w:pPr>
              <w:jc w:val="center"/>
              <w:rPr>
                <w:rFonts w:hint="eastAsia" w:ascii="微软雅黑" w:hAnsi="微软雅黑" w:eastAsia="微软雅黑" w:cs="微软雅黑"/>
                <w:i w:val="0"/>
                <w:iCs w:val="0"/>
                <w:color w:val="auto"/>
                <w:sz w:val="20"/>
                <w:szCs w:val="20"/>
                <w:highlight w:val="none"/>
                <w:u w:val="none"/>
              </w:rPr>
            </w:pPr>
          </w:p>
        </w:tc>
      </w:tr>
      <w:tr w14:paraId="0D412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98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631CA">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35KV变压器出线柜AH3</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59EAF">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AF3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08E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83B49">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04408">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3A488">
            <w:pPr>
              <w:jc w:val="center"/>
              <w:rPr>
                <w:rFonts w:hint="eastAsia" w:ascii="微软雅黑" w:hAnsi="微软雅黑" w:eastAsia="微软雅黑" w:cs="微软雅黑"/>
                <w:i w:val="0"/>
                <w:iCs w:val="0"/>
                <w:color w:val="auto"/>
                <w:sz w:val="20"/>
                <w:szCs w:val="20"/>
                <w:highlight w:val="none"/>
                <w:u w:val="none"/>
              </w:rPr>
            </w:pPr>
          </w:p>
        </w:tc>
      </w:tr>
      <w:tr w14:paraId="11691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30E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98EE">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35KV进线联络柜AH4</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FEED04">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9B0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78C4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9FC4">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3800">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82FB">
            <w:pPr>
              <w:jc w:val="center"/>
              <w:rPr>
                <w:rFonts w:hint="eastAsia" w:ascii="微软雅黑" w:hAnsi="微软雅黑" w:eastAsia="微软雅黑" w:cs="微软雅黑"/>
                <w:i w:val="0"/>
                <w:iCs w:val="0"/>
                <w:color w:val="auto"/>
                <w:sz w:val="20"/>
                <w:szCs w:val="20"/>
                <w:highlight w:val="none"/>
                <w:u w:val="none"/>
              </w:rPr>
            </w:pPr>
          </w:p>
        </w:tc>
      </w:tr>
      <w:tr w14:paraId="3580B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7"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CED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小计：</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0A5BF">
            <w:pPr>
              <w:jc w:val="center"/>
              <w:rPr>
                <w:rFonts w:hint="eastAsia" w:ascii="微软雅黑" w:hAnsi="微软雅黑" w:eastAsia="微软雅黑" w:cs="微软雅黑"/>
                <w:b/>
                <w:bCs/>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26C4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价格含9%增值税专票</w:t>
            </w:r>
          </w:p>
        </w:tc>
      </w:tr>
      <w:tr w14:paraId="79623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A3C6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w:t>
            </w:r>
          </w:p>
        </w:tc>
        <w:tc>
          <w:tcPr>
            <w:tcW w:w="7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7B5108">
            <w:pPr>
              <w:keepNext w:val="0"/>
              <w:keepLines w:val="0"/>
              <w:widowControl/>
              <w:suppressLineNumbers w:val="0"/>
              <w:jc w:val="left"/>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开关柜及综保装置电气交接试验</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1A33E">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1F64A">
            <w:pPr>
              <w:jc w:val="center"/>
              <w:rPr>
                <w:rFonts w:hint="eastAsia" w:ascii="微软雅黑" w:hAnsi="微软雅黑" w:eastAsia="微软雅黑" w:cs="微软雅黑"/>
                <w:i w:val="0"/>
                <w:iCs w:val="0"/>
                <w:color w:val="auto"/>
                <w:sz w:val="20"/>
                <w:szCs w:val="20"/>
                <w:highlight w:val="none"/>
                <w:u w:val="none"/>
              </w:rPr>
            </w:pPr>
          </w:p>
        </w:tc>
      </w:tr>
      <w:tr w14:paraId="0243A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F68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6BA0D">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35KV高压PT柜AH2</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F92B2A">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对新购的三个开关柜和综保进行进行电气交接试验（含开关柜特性试验及综保校验、传动试验等）</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076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B5162">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72DD">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A366">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C46D">
            <w:pPr>
              <w:jc w:val="center"/>
              <w:rPr>
                <w:rFonts w:hint="eastAsia" w:ascii="微软雅黑" w:hAnsi="微软雅黑" w:eastAsia="微软雅黑" w:cs="微软雅黑"/>
                <w:i w:val="0"/>
                <w:iCs w:val="0"/>
                <w:color w:val="auto"/>
                <w:sz w:val="20"/>
                <w:szCs w:val="20"/>
                <w:highlight w:val="none"/>
                <w:u w:val="none"/>
              </w:rPr>
            </w:pPr>
          </w:p>
        </w:tc>
      </w:tr>
      <w:tr w14:paraId="40DAA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F4F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17F6D">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35KV变压器出线柜AH3</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45C79">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BB69">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28E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5858">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0D3BA">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4E81F">
            <w:pPr>
              <w:jc w:val="center"/>
              <w:rPr>
                <w:rFonts w:hint="eastAsia" w:ascii="微软雅黑" w:hAnsi="微软雅黑" w:eastAsia="微软雅黑" w:cs="微软雅黑"/>
                <w:i w:val="0"/>
                <w:iCs w:val="0"/>
                <w:color w:val="auto"/>
                <w:sz w:val="20"/>
                <w:szCs w:val="20"/>
                <w:highlight w:val="none"/>
                <w:u w:val="none"/>
              </w:rPr>
            </w:pPr>
          </w:p>
        </w:tc>
      </w:tr>
      <w:tr w14:paraId="2BBAF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784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E16E">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35KV进线联络柜AH4</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FD14C">
            <w:pPr>
              <w:jc w:val="center"/>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B165">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9F26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8A14">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E588">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06F0A">
            <w:pPr>
              <w:jc w:val="center"/>
              <w:rPr>
                <w:rFonts w:hint="eastAsia" w:ascii="微软雅黑" w:hAnsi="微软雅黑" w:eastAsia="微软雅黑" w:cs="微软雅黑"/>
                <w:i w:val="0"/>
                <w:iCs w:val="0"/>
                <w:color w:val="auto"/>
                <w:sz w:val="20"/>
                <w:szCs w:val="20"/>
                <w:highlight w:val="none"/>
                <w:u w:val="none"/>
              </w:rPr>
            </w:pPr>
          </w:p>
        </w:tc>
      </w:tr>
      <w:tr w14:paraId="0F2F9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EDB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小计：</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DAA0">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7AFA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价格含6%增值税专票</w:t>
            </w:r>
          </w:p>
        </w:tc>
      </w:tr>
      <w:tr w14:paraId="27CF4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6E5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三</w:t>
            </w:r>
          </w:p>
        </w:tc>
        <w:tc>
          <w:tcPr>
            <w:tcW w:w="7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47D079">
            <w:pPr>
              <w:keepNext w:val="0"/>
              <w:keepLines w:val="0"/>
              <w:widowControl/>
              <w:suppressLineNumbers w:val="0"/>
              <w:jc w:val="left"/>
              <w:textAlignment w:val="center"/>
              <w:rPr>
                <w:rFonts w:hint="eastAsia" w:ascii="微软雅黑" w:hAnsi="微软雅黑" w:eastAsia="微软雅黑" w:cs="微软雅黑"/>
                <w:b/>
                <w:bCs/>
                <w:i w:val="0"/>
                <w:iCs w:val="0"/>
                <w:color w:val="auto"/>
                <w:sz w:val="22"/>
                <w:szCs w:val="22"/>
                <w:highlight w:val="none"/>
                <w:u w:val="none"/>
              </w:rPr>
            </w:pPr>
            <w:r>
              <w:rPr>
                <w:rFonts w:hint="eastAsia" w:ascii="微软雅黑" w:hAnsi="微软雅黑" w:eastAsia="微软雅黑" w:cs="微软雅黑"/>
                <w:b/>
                <w:bCs/>
                <w:i w:val="0"/>
                <w:iCs w:val="0"/>
                <w:color w:val="auto"/>
                <w:kern w:val="0"/>
                <w:sz w:val="22"/>
                <w:szCs w:val="22"/>
                <w:highlight w:val="none"/>
                <w:u w:val="none"/>
                <w:lang w:val="en-US" w:eastAsia="zh-CN" w:bidi="ar"/>
              </w:rPr>
              <w:t>电气预防性试验</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B8A6">
            <w:pPr>
              <w:jc w:val="center"/>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5E2E4">
            <w:pPr>
              <w:jc w:val="center"/>
              <w:rPr>
                <w:rFonts w:hint="eastAsia" w:ascii="微软雅黑" w:hAnsi="微软雅黑" w:eastAsia="微软雅黑" w:cs="微软雅黑"/>
                <w:i w:val="0"/>
                <w:iCs w:val="0"/>
                <w:color w:val="auto"/>
                <w:sz w:val="20"/>
                <w:szCs w:val="20"/>
                <w:highlight w:val="none"/>
                <w:u w:val="none"/>
              </w:rPr>
            </w:pPr>
          </w:p>
        </w:tc>
      </w:tr>
      <w:tr w14:paraId="405C0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CEE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22BB5">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钢厂计量柜G1</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AF96BE">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外观及接线检查、绝缘检验、软件/动作值测试、综合保护装置校验、整组传动试验、红外测温检测，开关柜局放检测、</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A5C5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3B478">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48A8D">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5F0F8">
            <w:pPr>
              <w:jc w:val="left"/>
              <w:rPr>
                <w:rFonts w:hint="eastAsia" w:ascii="微软雅黑" w:hAnsi="微软雅黑" w:eastAsia="微软雅黑" w:cs="微软雅黑"/>
                <w:i w:val="0"/>
                <w:iCs w:val="0"/>
                <w:color w:val="auto"/>
                <w:sz w:val="20"/>
                <w:szCs w:val="20"/>
                <w:highlight w:val="none"/>
                <w:u w:val="none"/>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65CA87">
            <w:pPr>
              <w:jc w:val="center"/>
              <w:rPr>
                <w:rFonts w:hint="eastAsia" w:ascii="微软雅黑" w:hAnsi="微软雅黑" w:eastAsia="微软雅黑" w:cs="微软雅黑"/>
                <w:i w:val="0"/>
                <w:iCs w:val="0"/>
                <w:color w:val="auto"/>
                <w:sz w:val="20"/>
                <w:szCs w:val="20"/>
                <w:highlight w:val="none"/>
                <w:u w:val="none"/>
              </w:rPr>
            </w:pPr>
          </w:p>
        </w:tc>
      </w:tr>
      <w:tr w14:paraId="60D50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A31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FEA4">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1号厂用变压器柜G2</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71776">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2939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DFB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EBB6B">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64336">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DF095">
            <w:pPr>
              <w:jc w:val="center"/>
              <w:rPr>
                <w:rFonts w:hint="eastAsia" w:ascii="微软雅黑" w:hAnsi="微软雅黑" w:eastAsia="微软雅黑" w:cs="微软雅黑"/>
                <w:i w:val="0"/>
                <w:iCs w:val="0"/>
                <w:color w:val="auto"/>
                <w:sz w:val="20"/>
                <w:szCs w:val="20"/>
                <w:highlight w:val="none"/>
                <w:u w:val="none"/>
              </w:rPr>
            </w:pPr>
          </w:p>
        </w:tc>
      </w:tr>
      <w:tr w14:paraId="7036A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538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C78D">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2号厂用变压器柜G3</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DA71E">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F65F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679C">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F09D">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5ABF">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49EB18">
            <w:pPr>
              <w:jc w:val="center"/>
              <w:rPr>
                <w:rFonts w:hint="eastAsia" w:ascii="微软雅黑" w:hAnsi="微软雅黑" w:eastAsia="微软雅黑" w:cs="微软雅黑"/>
                <w:i w:val="0"/>
                <w:iCs w:val="0"/>
                <w:color w:val="auto"/>
                <w:sz w:val="20"/>
                <w:szCs w:val="20"/>
                <w:highlight w:val="none"/>
                <w:u w:val="none"/>
              </w:rPr>
            </w:pPr>
          </w:p>
        </w:tc>
      </w:tr>
      <w:tr w14:paraId="65CCA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6D1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3DCE3">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10KV出线柜G7</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D38D5">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E924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A32B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C9C73">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61D66">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C0D3B">
            <w:pPr>
              <w:jc w:val="center"/>
              <w:rPr>
                <w:rFonts w:hint="eastAsia" w:ascii="微软雅黑" w:hAnsi="微软雅黑" w:eastAsia="微软雅黑" w:cs="微软雅黑"/>
                <w:i w:val="0"/>
                <w:iCs w:val="0"/>
                <w:color w:val="auto"/>
                <w:sz w:val="20"/>
                <w:szCs w:val="20"/>
                <w:highlight w:val="none"/>
                <w:u w:val="none"/>
              </w:rPr>
            </w:pPr>
          </w:p>
        </w:tc>
      </w:tr>
      <w:tr w14:paraId="0E048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4F7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545A">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:10KV主变进线柜G8</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DD061">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98B1">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0C4BE">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AD45">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929A">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0572D">
            <w:pPr>
              <w:jc w:val="center"/>
              <w:rPr>
                <w:rFonts w:hint="eastAsia" w:ascii="微软雅黑" w:hAnsi="微软雅黑" w:eastAsia="微软雅黑" w:cs="微软雅黑"/>
                <w:i w:val="0"/>
                <w:iCs w:val="0"/>
                <w:color w:val="auto"/>
                <w:sz w:val="20"/>
                <w:szCs w:val="20"/>
                <w:highlight w:val="none"/>
                <w:u w:val="none"/>
              </w:rPr>
            </w:pPr>
          </w:p>
        </w:tc>
      </w:tr>
      <w:tr w14:paraId="54825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7DB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484C">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10KV段互感器柜G9</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8D669">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9484">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699B">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2B59">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F4368">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29DF6">
            <w:pPr>
              <w:jc w:val="center"/>
              <w:rPr>
                <w:rFonts w:hint="eastAsia" w:ascii="微软雅黑" w:hAnsi="微软雅黑" w:eastAsia="微软雅黑" w:cs="微软雅黑"/>
                <w:i w:val="0"/>
                <w:iCs w:val="0"/>
                <w:color w:val="auto"/>
                <w:sz w:val="20"/>
                <w:szCs w:val="20"/>
                <w:highlight w:val="none"/>
                <w:u w:val="none"/>
              </w:rPr>
            </w:pPr>
          </w:p>
        </w:tc>
      </w:tr>
      <w:tr w14:paraId="60E7F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754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5CB4">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10KV高压母线</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8808A">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耐压试验、绝缘检验、铜排连接点检查</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B22D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F0F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0E6F">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0555">
            <w:pPr>
              <w:jc w:val="left"/>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F1CE4">
            <w:pPr>
              <w:jc w:val="center"/>
              <w:rPr>
                <w:rFonts w:hint="eastAsia" w:ascii="微软雅黑" w:hAnsi="微软雅黑" w:eastAsia="微软雅黑" w:cs="微软雅黑"/>
                <w:i w:val="0"/>
                <w:iCs w:val="0"/>
                <w:color w:val="auto"/>
                <w:sz w:val="20"/>
                <w:szCs w:val="20"/>
                <w:highlight w:val="none"/>
                <w:u w:val="none"/>
              </w:rPr>
            </w:pPr>
          </w:p>
        </w:tc>
      </w:tr>
      <w:tr w14:paraId="72A81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E686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A7163">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1号厂用变压器</w:t>
            </w:r>
          </w:p>
        </w:tc>
        <w:tc>
          <w:tcPr>
            <w:tcW w:w="2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114D95">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交流耐压试验、绝缘电阻（高压对低压及地、低压对高压及地、铁芯对地、穿芯螺杆对铁芯及地）、绕组连同套管的直流电阻</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73F97">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9277F">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F3E4">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61861">
            <w:pPr>
              <w:jc w:val="left"/>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A315C3">
            <w:pPr>
              <w:jc w:val="center"/>
              <w:rPr>
                <w:rFonts w:hint="eastAsia" w:ascii="微软雅黑" w:hAnsi="微软雅黑" w:eastAsia="微软雅黑" w:cs="微软雅黑"/>
                <w:i w:val="0"/>
                <w:iCs w:val="0"/>
                <w:color w:val="auto"/>
                <w:sz w:val="20"/>
                <w:szCs w:val="20"/>
                <w:highlight w:val="none"/>
                <w:u w:val="none"/>
              </w:rPr>
            </w:pPr>
          </w:p>
        </w:tc>
      </w:tr>
      <w:tr w14:paraId="6D25C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32D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D1A6A">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2号厂用变压器</w:t>
            </w:r>
          </w:p>
        </w:tc>
        <w:tc>
          <w:tcPr>
            <w:tcW w:w="2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50907E">
            <w:pPr>
              <w:jc w:val="left"/>
              <w:rPr>
                <w:rFonts w:hint="eastAsia" w:ascii="微软雅黑" w:hAnsi="微软雅黑" w:eastAsia="微软雅黑" w:cs="微软雅黑"/>
                <w:i w:val="0"/>
                <w:iCs w:val="0"/>
                <w:color w:val="auto"/>
                <w:sz w:val="20"/>
                <w:szCs w:val="20"/>
                <w:highlight w:val="none"/>
                <w:u w:val="none"/>
              </w:rPr>
            </w:pP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0B1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4F0BD">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4330">
            <w:pPr>
              <w:jc w:val="center"/>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7567">
            <w:pPr>
              <w:jc w:val="center"/>
              <w:rPr>
                <w:rFonts w:hint="eastAsia" w:ascii="微软雅黑" w:hAnsi="微软雅黑" w:eastAsia="微软雅黑" w:cs="微软雅黑"/>
                <w:i w:val="0"/>
                <w:iCs w:val="0"/>
                <w:color w:val="auto"/>
                <w:sz w:val="20"/>
                <w:szCs w:val="20"/>
                <w:highlight w:val="none"/>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81CCC">
            <w:pPr>
              <w:jc w:val="center"/>
              <w:rPr>
                <w:rFonts w:hint="eastAsia" w:ascii="微软雅黑" w:hAnsi="微软雅黑" w:eastAsia="微软雅黑" w:cs="微软雅黑"/>
                <w:i w:val="0"/>
                <w:iCs w:val="0"/>
                <w:color w:val="auto"/>
                <w:sz w:val="20"/>
                <w:szCs w:val="20"/>
                <w:highlight w:val="none"/>
                <w:u w:val="none"/>
              </w:rPr>
            </w:pPr>
          </w:p>
        </w:tc>
      </w:tr>
      <w:tr w14:paraId="0E86B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623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2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DF67">
            <w:pPr>
              <w:keepNext w:val="0"/>
              <w:keepLines w:val="0"/>
              <w:widowControl/>
              <w:suppressLineNumbers w:val="0"/>
              <w:jc w:val="center"/>
              <w:textAlignment w:val="center"/>
              <w:rPr>
                <w:rFonts w:hint="eastAsia" w:ascii="微软雅黑" w:hAnsi="微软雅黑" w:eastAsia="微软雅黑" w:cs="微软雅黑"/>
                <w:b/>
                <w:bCs/>
                <w:i w:val="0"/>
                <w:iCs w:val="0"/>
                <w:color w:val="auto"/>
                <w:sz w:val="20"/>
                <w:szCs w:val="20"/>
                <w:highlight w:val="none"/>
                <w:u w:val="none"/>
              </w:rPr>
            </w:pPr>
            <w:r>
              <w:rPr>
                <w:rFonts w:hint="eastAsia" w:ascii="微软雅黑" w:hAnsi="微软雅黑" w:eastAsia="微软雅黑" w:cs="微软雅黑"/>
                <w:b/>
                <w:bCs/>
                <w:i w:val="0"/>
                <w:iCs w:val="0"/>
                <w:color w:val="auto"/>
                <w:kern w:val="0"/>
                <w:sz w:val="20"/>
                <w:szCs w:val="20"/>
                <w:highlight w:val="none"/>
                <w:u w:val="none"/>
                <w:lang w:val="en-US" w:eastAsia="zh-CN" w:bidi="ar"/>
              </w:rPr>
              <w:t>35KV变压器</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1AEBD">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交流耐压试验、绝缘电阻（高压对低压及地、低压对高压及地、铁芯对地、）、套管检查、绕组连同套管的直流电阻、介质损耗测试、油样油色谱检验、瓦斯继电器、渗漏油检查等</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EED33">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项</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6020">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1</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021E">
            <w:pPr>
              <w:jc w:val="left"/>
              <w:rPr>
                <w:rFonts w:hint="eastAsia" w:ascii="微软雅黑" w:hAnsi="微软雅黑" w:eastAsia="微软雅黑" w:cs="微软雅黑"/>
                <w:i w:val="0"/>
                <w:iCs w:val="0"/>
                <w:color w:val="auto"/>
                <w:sz w:val="20"/>
                <w:szCs w:val="20"/>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EAA0">
            <w:pPr>
              <w:jc w:val="left"/>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AB8D4">
            <w:pPr>
              <w:jc w:val="center"/>
              <w:rPr>
                <w:rFonts w:hint="eastAsia" w:ascii="微软雅黑" w:hAnsi="微软雅黑" w:eastAsia="微软雅黑" w:cs="微软雅黑"/>
                <w:i w:val="0"/>
                <w:iCs w:val="0"/>
                <w:color w:val="auto"/>
                <w:sz w:val="20"/>
                <w:szCs w:val="20"/>
                <w:highlight w:val="none"/>
                <w:u w:val="none"/>
              </w:rPr>
            </w:pPr>
          </w:p>
        </w:tc>
      </w:tr>
      <w:tr w14:paraId="1F286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9C3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小计：</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759A7">
            <w:pPr>
              <w:jc w:val="left"/>
              <w:rPr>
                <w:rFonts w:hint="eastAsia" w:ascii="微软雅黑" w:hAnsi="微软雅黑" w:eastAsia="微软雅黑" w:cs="微软雅黑"/>
                <w:i w:val="0"/>
                <w:iCs w:val="0"/>
                <w:color w:val="auto"/>
                <w:sz w:val="20"/>
                <w:szCs w:val="20"/>
                <w:highlight w:val="none"/>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87AC6">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highlight w:val="none"/>
                <w:u w:val="none"/>
              </w:rPr>
            </w:pPr>
            <w:r>
              <w:rPr>
                <w:rFonts w:hint="eastAsia" w:ascii="微软雅黑" w:hAnsi="微软雅黑" w:eastAsia="微软雅黑" w:cs="微软雅黑"/>
                <w:i w:val="0"/>
                <w:iCs w:val="0"/>
                <w:color w:val="auto"/>
                <w:kern w:val="0"/>
                <w:sz w:val="20"/>
                <w:szCs w:val="20"/>
                <w:highlight w:val="none"/>
                <w:u w:val="none"/>
                <w:lang w:val="en-US" w:eastAsia="zh-CN" w:bidi="ar"/>
              </w:rPr>
              <w:t>价格含6%增值税专票</w:t>
            </w:r>
          </w:p>
        </w:tc>
      </w:tr>
      <w:tr w14:paraId="22F30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9B23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合计（一+二+三）：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74DF8">
            <w:pPr>
              <w:rPr>
                <w:rFonts w:hint="eastAsia" w:ascii="宋体" w:hAnsi="宋体" w:eastAsia="宋体" w:cs="宋体"/>
                <w:b/>
                <w:bCs/>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30500">
            <w:pPr>
              <w:rPr>
                <w:rFonts w:hint="eastAsia" w:ascii="宋体" w:hAnsi="宋体" w:eastAsia="宋体" w:cs="宋体"/>
                <w:b/>
                <w:bCs/>
                <w:i w:val="0"/>
                <w:iCs w:val="0"/>
                <w:color w:val="auto"/>
                <w:sz w:val="22"/>
                <w:szCs w:val="22"/>
                <w:highlight w:val="none"/>
                <w:u w:val="none"/>
              </w:rPr>
            </w:pPr>
          </w:p>
        </w:tc>
      </w:tr>
    </w:tbl>
    <w:p w14:paraId="1BCE42CA">
      <w:pPr>
        <w:rPr>
          <w:color w:val="auto"/>
          <w:highlight w:val="none"/>
        </w:rPr>
        <w:sectPr>
          <w:headerReference r:id="rId7" w:type="default"/>
          <w:footerReference r:id="rId8" w:type="default"/>
          <w:pgSz w:w="11906" w:h="16838"/>
          <w:pgMar w:top="1134" w:right="709" w:bottom="1134" w:left="1134" w:header="851" w:footer="850" w:gutter="0"/>
          <w:pgNumType w:start="31"/>
          <w:cols w:space="720" w:num="1"/>
          <w:docGrid w:type="lines" w:linePitch="314" w:charSpace="0"/>
        </w:sectPr>
      </w:pPr>
    </w:p>
    <w:p w14:paraId="0AEF0915">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2</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技术协议（与询价文件附件六一致）</w:t>
      </w:r>
    </w:p>
    <w:p w14:paraId="56A33E22">
      <w:pPr>
        <w:widowControl/>
        <w:overflowPunct w:val="0"/>
        <w:autoSpaceDE w:val="0"/>
        <w:autoSpaceDN w:val="0"/>
        <w:adjustRightInd w:val="0"/>
        <w:spacing w:line="360" w:lineRule="auto"/>
        <w:jc w:val="left"/>
        <w:textAlignment w:val="baseline"/>
        <w:outlineLvl w:val="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八、其他</w:t>
      </w:r>
    </w:p>
    <w:p w14:paraId="5B48D8C2">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 本协议作为合同附件，与经济合同具有同等法律效力。 </w:t>
      </w:r>
    </w:p>
    <w:p w14:paraId="7EACE1AC">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 其它工作执行阳江开能环保能源有限公司相关管理规定。 </w:t>
      </w:r>
    </w:p>
    <w:p w14:paraId="7EFFD606">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3. 未尽事宜双方协商解决。</w:t>
      </w:r>
    </w:p>
    <w:p w14:paraId="53331E14">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r>
        <w:rPr>
          <w:rFonts w:hint="eastAsia" w:ascii="宋体" w:hAnsi="宋体" w:eastAsia="宋体" w:cs="宋体"/>
          <w:color w:val="auto"/>
          <w:sz w:val="24"/>
          <w:highlight w:val="none"/>
        </w:rPr>
        <w:t>4. 本协议一式四份，双方各执二份。</w:t>
      </w:r>
    </w:p>
    <w:p w14:paraId="667E86A6">
      <w:pPr>
        <w:rPr>
          <w:color w:val="auto"/>
          <w:highlight w:val="none"/>
        </w:rPr>
      </w:pPr>
    </w:p>
    <w:p w14:paraId="5BCADE5C">
      <w:pPr>
        <w:pStyle w:val="9"/>
        <w:rPr>
          <w:color w:val="auto"/>
          <w:highlight w:val="none"/>
        </w:rPr>
      </w:pPr>
    </w:p>
    <w:p w14:paraId="6FEAB164">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8A5826B">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F02DCFB">
      <w:pPr>
        <w:snapToGrid w:val="0"/>
        <w:spacing w:after="314" w:afterLines="100"/>
        <w:ind w:firstLine="331" w:firstLineChars="150"/>
        <w:rPr>
          <w:rFonts w:ascii="宋体" w:hAnsi="宋体"/>
          <w:b/>
          <w:color w:val="auto"/>
          <w:sz w:val="28"/>
          <w:szCs w:val="28"/>
          <w:highlight w:val="none"/>
        </w:rPr>
        <w:sectPr>
          <w:headerReference r:id="rId9" w:type="default"/>
          <w:footerReference r:id="rId10" w:type="default"/>
          <w:pgSz w:w="11906" w:h="16838"/>
          <w:pgMar w:top="1134" w:right="709" w:bottom="1134" w:left="1134" w:header="851" w:footer="850" w:gutter="0"/>
          <w:pgNumType w:start="39"/>
          <w:cols w:space="720" w:num="1"/>
          <w:docGrid w:type="lines" w:linePitch="314" w:charSpace="0"/>
        </w:sectPr>
      </w:pPr>
      <w:r>
        <w:rPr>
          <w:rFonts w:hint="eastAsia" w:ascii="宋体" w:hAnsi="宋体"/>
          <w:b/>
          <w:color w:val="auto"/>
          <w:sz w:val="22"/>
          <w:szCs w:val="22"/>
          <w:highlight w:val="none"/>
        </w:rPr>
        <w:t>委托代表人：                           委托代表人：</w:t>
      </w:r>
    </w:p>
    <w:p w14:paraId="20746EEA">
      <w:pPr>
        <w:jc w:val="left"/>
        <w:rPr>
          <w:rFonts w:hint="eastAsia" w:ascii="宋体" w:hAnsi="宋体" w:eastAsia="宋体"/>
          <w:b/>
          <w:color w:val="auto"/>
          <w:sz w:val="28"/>
          <w:szCs w:val="28"/>
          <w:highlight w:val="none"/>
          <w:lang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3</w:t>
      </w:r>
    </w:p>
    <w:p w14:paraId="1BAAC2D7">
      <w:pPr>
        <w:pStyle w:val="2"/>
        <w:jc w:val="center"/>
        <w:rPr>
          <w:rFonts w:ascii="宋体" w:hAnsi="宋体"/>
          <w:bCs w:val="0"/>
          <w:color w:val="auto"/>
          <w:szCs w:val="28"/>
          <w:highlight w:val="none"/>
        </w:rPr>
      </w:pPr>
      <w:bookmarkStart w:id="6" w:name="_Toc10050"/>
      <w:bookmarkStart w:id="7" w:name="_Toc25343"/>
      <w:r>
        <w:rPr>
          <w:rFonts w:hint="eastAsia" w:ascii="宋体" w:hAnsi="宋体"/>
          <w:bCs w:val="0"/>
          <w:color w:val="auto"/>
          <w:szCs w:val="28"/>
          <w:highlight w:val="none"/>
        </w:rPr>
        <w:t>安全文明施工协议</w:t>
      </w:r>
      <w:bookmarkEnd w:id="6"/>
      <w:bookmarkEnd w:id="7"/>
    </w:p>
    <w:p w14:paraId="3C1D4164">
      <w:pPr>
        <w:pStyle w:val="64"/>
        <w:spacing w:before="0" w:after="0"/>
        <w:ind w:left="10" w:leftChars="5" w:right="70" w:firstLine="525" w:firstLineChars="250"/>
        <w:rPr>
          <w:rFonts w:ascii="宋体" w:hAnsi="宋体"/>
          <w:b/>
          <w:bCs/>
          <w:color w:val="auto"/>
          <w:sz w:val="21"/>
          <w:szCs w:val="21"/>
          <w:highlight w:val="none"/>
          <w:u w:val="single"/>
        </w:rPr>
      </w:pPr>
      <w:r>
        <w:rPr>
          <w:rFonts w:hint="eastAsia" w:ascii="宋体" w:hAnsi="宋体"/>
          <w:b/>
          <w:bCs/>
          <w:color w:val="auto"/>
          <w:sz w:val="21"/>
          <w:szCs w:val="21"/>
          <w:highlight w:val="none"/>
        </w:rPr>
        <w:t>发包方：</w:t>
      </w:r>
      <w:r>
        <w:rPr>
          <w:rFonts w:hint="eastAsia" w:ascii="宋体" w:hAnsi="宋体"/>
          <w:b/>
          <w:bCs/>
          <w:color w:val="auto"/>
          <w:sz w:val="21"/>
          <w:szCs w:val="21"/>
          <w:highlight w:val="none"/>
          <w:u w:val="single"/>
        </w:rPr>
        <w:t>阳江开能环保能源有限公司</w:t>
      </w:r>
    </w:p>
    <w:p w14:paraId="33878D3C">
      <w:pPr>
        <w:pStyle w:val="64"/>
        <w:spacing w:before="0" w:after="0"/>
        <w:ind w:left="10" w:leftChars="5" w:right="70" w:firstLine="525" w:firstLineChars="250"/>
        <w:rPr>
          <w:rFonts w:ascii="宋体" w:hAnsi="宋体"/>
          <w:b/>
          <w:bCs/>
          <w:color w:val="auto"/>
          <w:sz w:val="21"/>
          <w:szCs w:val="21"/>
          <w:highlight w:val="none"/>
        </w:rPr>
      </w:pPr>
      <w:r>
        <w:rPr>
          <w:rFonts w:hint="eastAsia" w:ascii="宋体" w:hAnsi="宋体"/>
          <w:b/>
          <w:bCs/>
          <w:color w:val="auto"/>
          <w:sz w:val="21"/>
          <w:szCs w:val="21"/>
          <w:highlight w:val="none"/>
        </w:rPr>
        <w:t>承包方：</w:t>
      </w:r>
    </w:p>
    <w:p w14:paraId="3414F2FC">
      <w:pPr>
        <w:pStyle w:val="64"/>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第一条 为保障承包方在履行建设工程合同过程中的人身、财产安全，促进承包方强化安全管理工作，根据《中华人民共和国安全生产法》、《建设工程安全生产管理条例》等法律法规要求，经发包方与承包方双方协商一致，特签订本协议。本协议作为分包合同书的附件，与合同具有同等法律效力。</w:t>
      </w:r>
    </w:p>
    <w:p w14:paraId="33B27644">
      <w:pPr>
        <w:pStyle w:val="64"/>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第二条 建设工程项目名称及建设工程期限</w:t>
      </w:r>
    </w:p>
    <w:p w14:paraId="32F1BD22">
      <w:pPr>
        <w:spacing w:line="300" w:lineRule="exact"/>
        <w:ind w:firstLine="420" w:firstLineChars="200"/>
        <w:jc w:val="left"/>
        <w:rPr>
          <w:rFonts w:ascii="宋体" w:hAnsi="宋体"/>
          <w:color w:val="auto"/>
          <w:szCs w:val="21"/>
          <w:highlight w:val="none"/>
          <w:u w:val="single"/>
        </w:rPr>
      </w:pPr>
      <w:r>
        <w:rPr>
          <w:rFonts w:hint="eastAsia" w:ascii="宋体" w:hAnsi="宋体"/>
          <w:color w:val="auto"/>
          <w:szCs w:val="21"/>
          <w:highlight w:val="none"/>
        </w:rPr>
        <w:t>1.1工程名称：</w:t>
      </w:r>
      <w:r>
        <w:rPr>
          <w:rFonts w:hint="eastAsia" w:ascii="宋体" w:hAnsi="宋体"/>
          <w:color w:val="auto"/>
          <w:szCs w:val="21"/>
          <w:highlight w:val="none"/>
          <w:u w:val="single"/>
        </w:rPr>
        <w:t>阳江开能环保能源有限公司余热发电项目35KV变压器高压配电柜更换拆装施工及电气传动试验项目</w:t>
      </w:r>
    </w:p>
    <w:p w14:paraId="2D5E7305">
      <w:pPr>
        <w:pStyle w:val="65"/>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 xml:space="preserve">1.2工程地点: </w:t>
      </w:r>
      <w:r>
        <w:rPr>
          <w:rFonts w:hint="eastAsia"/>
          <w:b w:val="0"/>
          <w:bCs w:val="0"/>
          <w:color w:val="auto"/>
          <w:kern w:val="2"/>
          <w:sz w:val="21"/>
          <w:szCs w:val="21"/>
          <w:highlight w:val="none"/>
          <w:u w:val="single"/>
        </w:rPr>
        <w:t xml:space="preserve">广东省阳江市高新区港口工业区海港二横路一号阳江开能环保能源有限公司。   </w:t>
      </w:r>
      <w:r>
        <w:rPr>
          <w:rFonts w:hint="eastAsia"/>
          <w:b w:val="0"/>
          <w:bCs w:val="0"/>
          <w:color w:val="auto"/>
          <w:kern w:val="2"/>
          <w:sz w:val="21"/>
          <w:szCs w:val="21"/>
          <w:highlight w:val="none"/>
        </w:rPr>
        <w:t xml:space="preserve">                         </w:t>
      </w:r>
    </w:p>
    <w:p w14:paraId="4667C4FF">
      <w:pPr>
        <w:pStyle w:val="65"/>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1.3建设工程项目期限：</w:t>
      </w:r>
      <w:r>
        <w:rPr>
          <w:rFonts w:hint="eastAsia"/>
          <w:b w:val="0"/>
          <w:bCs w:val="0"/>
          <w:color w:val="auto"/>
          <w:kern w:val="2"/>
          <w:sz w:val="21"/>
          <w:szCs w:val="21"/>
          <w:highlight w:val="none"/>
          <w:u w:val="single"/>
        </w:rPr>
        <w:t>（详见主合同条款）。</w:t>
      </w:r>
    </w:p>
    <w:p w14:paraId="0279166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第三条 发包方的责任、权利和义务</w:t>
      </w:r>
    </w:p>
    <w:p w14:paraId="2B39AB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一.加强对安全生产工作的指导和监督，督促承包方（施工单位）按照有关安全规定履行安全生产的管理职能和安全生产。</w:t>
      </w:r>
    </w:p>
    <w:p w14:paraId="7370110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二.督促承包方建立、健全安全管理网络、管理制度，承包方成立安全管理小组，设置专职安全员。</w:t>
      </w:r>
    </w:p>
    <w:p w14:paraId="580A7E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三.督促承包方及时进行安全生产教育，检查承包方的安全技术交底工作。</w:t>
      </w:r>
    </w:p>
    <w:p w14:paraId="6CE0A8E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四.不定期对承包方安全、文明生产情况进行监督检查。</w:t>
      </w:r>
    </w:p>
    <w:p w14:paraId="2982820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五.督促承包方对生产中存在的安全隐患进行整改，有权对不能按期整改的承包方进行处罚，有权对现场违章行为实施处罚。</w:t>
      </w:r>
    </w:p>
    <w:p w14:paraId="45E0BC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六.每月末按国家有关标准对承包方进行考核，作为工程竣工验收安全文明施工合格与不合格的依据。</w:t>
      </w:r>
    </w:p>
    <w:p w14:paraId="500AB1E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七.至少每月组织召开一次有承包方项目负责人、专职安全员参加的安全文明生产会议，听取承包方安全工作汇报，纠正施工中存在的安全违章、隐患问题，编写会议记录，并通报各单位。</w:t>
      </w:r>
    </w:p>
    <w:p w14:paraId="106087D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八.安全生产措施不到位、安全生产设施不合格的，承包方必须立即整改，对不能及时整改及整改不到位的，发包方将按本公司</w:t>
      </w:r>
      <w:r>
        <w:rPr>
          <w:rFonts w:hint="eastAsia" w:ascii="宋体" w:hAnsi="宋体"/>
          <w:b/>
          <w:bCs/>
          <w:color w:val="auto"/>
          <w:szCs w:val="21"/>
          <w:highlight w:val="none"/>
        </w:rPr>
        <w:t>《质量安全考核奖惩管理规定》</w:t>
      </w:r>
      <w:r>
        <w:rPr>
          <w:rFonts w:hint="eastAsia" w:ascii="宋体" w:hAnsi="宋体"/>
          <w:bCs/>
          <w:color w:val="auto"/>
          <w:szCs w:val="21"/>
          <w:highlight w:val="none"/>
        </w:rPr>
        <w:t>进行处罚并督促承包方限期整改完成。</w:t>
      </w:r>
    </w:p>
    <w:p w14:paraId="4F44035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九.督促、检查承包方的安全生产执行情况，发现安全隐患，有权责令承包方及时整改，直至排除隐患。</w:t>
      </w:r>
    </w:p>
    <w:p w14:paraId="296A127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十.及时如实向业主及有关职能部门报告安全事故。</w:t>
      </w:r>
    </w:p>
    <w:p w14:paraId="572962E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十一.协助承包方解决发生的紧急问题。</w:t>
      </w:r>
    </w:p>
    <w:p w14:paraId="6E6B4454">
      <w:pPr>
        <w:tabs>
          <w:tab w:val="left" w:pos="426"/>
          <w:tab w:val="left" w:pos="709"/>
        </w:tabs>
        <w:spacing w:line="300" w:lineRule="exact"/>
        <w:ind w:firstLine="371" w:firstLineChars="177"/>
        <w:rPr>
          <w:rFonts w:ascii="宋体" w:hAnsi="宋体"/>
          <w:bCs/>
          <w:color w:val="auto"/>
          <w:szCs w:val="21"/>
          <w:highlight w:val="none"/>
        </w:rPr>
      </w:pPr>
      <w:r>
        <w:rPr>
          <w:rFonts w:hint="eastAsia" w:ascii="宋体" w:hAnsi="宋体"/>
          <w:bCs/>
          <w:color w:val="auto"/>
          <w:szCs w:val="21"/>
          <w:highlight w:val="none"/>
        </w:rPr>
        <w:t>第四条 承包方的责任、权利和义务</w:t>
      </w:r>
    </w:p>
    <w:p w14:paraId="76E2323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应当具备《中华人民共和国安全生产法》和有关法律、行政法规、国家标准规定的安全生产条件，不具备安全条件的不得进行施工作业。安全生产管理必须坚持“安全第一、预防为主、综合治理”的方针。</w:t>
      </w:r>
    </w:p>
    <w:p w14:paraId="3A21090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签订本协议的同时，应向发包方交纳壹万圆作为安全文明施工保证金（支付方式可选择现金支付或从预付款扣除）。建设工程结束后，如承包方未违反协议规定，则全额退还给承包方，否则发包方有权根据情节严重程度，扣留部分直至全部安全施工保证金。</w:t>
      </w:r>
    </w:p>
    <w:p w14:paraId="000CCEA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工程开工前提供承包方的企业资质证书、安全生产许可证、三类人员（企业主要负责人A类、项目经理B类、专职安全员C类）安全生产考核合格证书。所有证书需提供原件和复印件，经确认符合条件后，原件退还承包方，复印件由发包方存档。</w:t>
      </w:r>
    </w:p>
    <w:p w14:paraId="50310EE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应设置安全生产机构，建立安全生产网络，配备专职安全生产管理人员，专职安全员必须具备建设主管部门颁发的安全执业资格证书。并向发包方提交承包方项目部的安全生产管理体系和安全生产组织机构。</w:t>
      </w:r>
    </w:p>
    <w:p w14:paraId="17B4459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五.承包方主要负责人、安全生产管理人员、特种作业人员必须具备与本单位所从事的工作相适应的安全生产知识和管理能力，持证上岗，遵守发包方的各项目管理制度及项目所在地的各项法律法规。</w:t>
      </w:r>
    </w:p>
    <w:p w14:paraId="6BB03C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六．建立健全安全生产责任制，制定落实安全生产规章制度和操作规程，并制定安全事故应急救援预案，经发包方批准并监督实施。</w:t>
      </w:r>
    </w:p>
    <w:p w14:paraId="6DCD76F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七.保证对具体安全生产条件所必需资金的投入，配备齐全施工人员的劳动保护、安全防护用品，并对由于安全生产所必须的资金投入不足导致的后果承担全部责任。</w:t>
      </w:r>
    </w:p>
    <w:p w14:paraId="4D0E3FE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根据《中华人民共和国安全生产法》的规定，承包方必须按照国家的有关规定和相关制度对从业人员进行安全教育培训和考试（包括交通运输、现场作业、材料设备采购、仓库管理、资料档案管理、施工前后准备工作等），保证从业人员具备安全生产知识，熟悉安全生产规章制度和安全技术操作规程，掌握本岗位的安全技术操作技能，未经安全生产教育培训考试合格的人员不得上岗作业，涉及特种及危险作业时，承包方应提供相应特种作业人员的工种名单并提交特种作业证原件交承包方核对，严禁无证上岗。一旦发现承包方存在无证特征作业人员的，按1万元/人/次予以处罚，此外业主方因此造成的对总包方的相关处罚，由承包方承担。</w:t>
      </w:r>
    </w:p>
    <w:p w14:paraId="20B285A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九.承包方在开工前，应制定详细的安全施工方案，报发包方现场项目经理确认后备案。并根据施工进度情况做好各项安全技术交底工作。</w:t>
      </w:r>
    </w:p>
    <w:p w14:paraId="34E7443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十.每周至少召开一次安全文明生产会议，自查自纠不安全因素及隐患，保证工程顺利进行。</w:t>
      </w:r>
    </w:p>
    <w:p w14:paraId="29AFF09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十一.严格执行国家有关标准，并接受业主方、发包方、监理方及当地建设主管部门的检查考核，为检查考核提供便利条件。</w:t>
      </w:r>
    </w:p>
    <w:p w14:paraId="132DBB6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十二.发包方和各级检查人员进行安全监督检查时，承包方要主动接受检查，并积极配合，不得拒绝、阻挠和拖延，并在检查记录上签字。</w:t>
      </w:r>
    </w:p>
    <w:p w14:paraId="15CF4E3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十三.定期检查和督促本单位的安全生产工作，及时纠正违章作业的行为，及时消除安全事故隐患。</w:t>
      </w:r>
    </w:p>
    <w:p w14:paraId="643316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十四.承包方现场负责人及专职安全员对工程现场实行日常性监督，并建立安全检查记录。</w:t>
      </w:r>
    </w:p>
    <w:p w14:paraId="4858EF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十五.承包方管理人员如出现拒不接受监督改正以及强令冒险作业，发包方有权要求撤换现场施工管理人员，直至解除与承包方的建设工程协议，由此造成的损失全部由承包方承担。</w:t>
      </w:r>
    </w:p>
    <w:p w14:paraId="158E286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六.工程施工期间承包方应严格遵守业主方厂区内各项规章制度。本工程的安监、质监、业主、监理各方以及其它政府职能部门在综合管理中（包括施工进度、质量、安全等）所下达的经济处罚，属于承包方责任的，发包方将对承包方处于同等金额的罚金。如承包方不按期支付罚金的，发包方将从进度款中双倍扣除。</w:t>
      </w:r>
    </w:p>
    <w:p w14:paraId="6983320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十七.建立完善符合相关安全技术法规、规范和标准要求的季节性施工、施工现场临时用电、脚手架作业、机械作业、危险作业等安全管理制度，规范控制现场施工作业行为，确保安全生产标准化。</w:t>
      </w:r>
    </w:p>
    <w:p w14:paraId="533AC08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十八.对施工现场周围设立防护栏，有关设施、设备要设置明显的安全警示标志，危险作业过程还需增设专人进行监护。</w:t>
      </w:r>
    </w:p>
    <w:p w14:paraId="6A1FDBB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九.承包方在本工程使用的特种作业机械必须有国家强制部门颁发的有效使用证书，承包方自制的起重吊装设施必须有力学计算书,现场制作工艺符合有关规范,并经过检测试验合格后方可投入使用。承包方在本工程雇佣的员工必须身体健康，符合工程作业要求。</w:t>
      </w:r>
    </w:p>
    <w:p w14:paraId="19C42DB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二十.承包方在交通运输过程中，遵守有关法律法规的规定，保证自身和其他车辆、行人、设施、专业管线及沿途的建筑物、构筑物的安全，防止污染城市，对造成的损害承担全部责任。</w:t>
      </w:r>
    </w:p>
    <w:p w14:paraId="6C4CD77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二十一.遵守当地政府部门对施工场地和施工噪音等管理规定，经发包方同意后办理相关手续，如因承包方责任造成的罚款由承包方承担。</w:t>
      </w:r>
    </w:p>
    <w:p w14:paraId="268326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二十二.发生安全事故，承包方应及时如实向发包方和有关职能部门报告。</w:t>
      </w:r>
    </w:p>
    <w:p w14:paraId="2DCE36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三.承包方应加强治安保卫工作，避免其员工出现任何妨害治安行为。确保工地的治安稳定，人员和财产安全不受到损害。如造成自身伤害和伤害他人的，承包方负责对责任人进行责任追究，承包方承担全部责任和费用。</w:t>
      </w:r>
    </w:p>
    <w:p w14:paraId="18DE3E8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二十四.违章操作、人身伤害和财产损失</w:t>
      </w:r>
    </w:p>
    <w:p w14:paraId="683E724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1.承包方应按有关规定，采取完善的安全措施。每发生一起“三违”（违章指挥、违章操作、违反劳动纪律）行为，发包方视影响程度，对承包方处壹佰元至贰仟元人民币的罚款。</w:t>
      </w:r>
    </w:p>
    <w:p w14:paraId="3B2702E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2.承包方未按期整改安全隐患，发包方对承包方处贰佰元至叁仟元人民币的罚款。</w:t>
      </w:r>
    </w:p>
    <w:p w14:paraId="040E4C2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承包方由于未遵守有关安全法律法规、规程规定、制度而造成安全事故的，承包方须承担相应的安全责任和因此发生的所有费用。每发生一起，发包方视事故后果对承包方另处以壹万元至壹拾万元人民币的罚款。</w:t>
      </w:r>
    </w:p>
    <w:p w14:paraId="31DE94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4.承包方在有毒有害环境中施工，应按照有关规定提供相应的防护措施，违反一次处壹仟元人民币以上的罚款。</w:t>
      </w:r>
    </w:p>
    <w:p w14:paraId="5F79B11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5.因承包方责任给发包方造成工程或声誉影响，发包方视影响程度，另处以伍仟元至伍万元的罚款。</w:t>
      </w:r>
    </w:p>
    <w:p w14:paraId="6A3CB72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6.发生重大伤亡事故，承包方应该按照有关规定立即上报发包方代表和当地政府职能部门。同时承包方要积极组织事故救援，发包方要为救援工作提供必要条件，发生事故的责任和费用由承包方承担。</w:t>
      </w:r>
    </w:p>
    <w:p w14:paraId="53437A9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7．第三条条款中属于承包方职责而未履行到位的，每例罚款500元。对于现场习惯性违章行为，发包方将按本公司《安全奖惩制度》的相关条款实施处罚。</w:t>
      </w:r>
    </w:p>
    <w:p w14:paraId="205DC74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二十五.承包方应按有关规定为本工程工作的所有人员办理工伤保险，从事危险作业的人员办理意外伤害保险。</w:t>
      </w:r>
    </w:p>
    <w:p w14:paraId="080B558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二十六.急救和防火</w:t>
      </w:r>
    </w:p>
    <w:p w14:paraId="43158FE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1.承包方应免费为业主方或业主方任命人员及发包方提供现场急救便利。</w:t>
      </w:r>
    </w:p>
    <w:p w14:paraId="4C8755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2.承包方必须根据项目各阶段的要求，完善消防管理制度和相关防火措施，配足防火设备，直至项目验收移交。</w:t>
      </w:r>
    </w:p>
    <w:p w14:paraId="7EF7937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二十七.劳动安全卫生工作守则</w:t>
      </w:r>
    </w:p>
    <w:p w14:paraId="4333A7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1.总则</w:t>
      </w:r>
    </w:p>
    <w:p w14:paraId="467EDF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（一）承包商承包工程或劳务项目时，应事先查询承包范围之工作场所环境危害因素及应采取之安全措施等事项，如有不明确之处，应与发包方联系。</w:t>
      </w:r>
    </w:p>
    <w:p w14:paraId="386857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承包发包方工程时应指定安全卫生管理员及工地负责人，实施工作前之安全卫生检查及教育，承包方不得随意更换工作人员或调换工作人员工作工种，落实与发包方工业安全卫生管理人员联系及协调。</w:t>
      </w:r>
    </w:p>
    <w:p w14:paraId="40BA89C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负责人须亲自或指派有工程安全经验人员常驻工地督导监工，并应约束其工作人员参照发包方纪律不得在工地酗酒、滋事、赌博、打架或其他不良行为，如有违反规定及触犯政府法令所引起之纠葛，承包方应负完全责任。</w:t>
      </w:r>
    </w:p>
    <w:p w14:paraId="1292B24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（四）承包方负责人在工程进行中，须随时注意所属工作人员之安全以防意外，如遇有意外或伤亡事故，应由承包方负责料理善后与发包方无涉、不得向发包方提出任何要求。</w:t>
      </w:r>
    </w:p>
    <w:p w14:paraId="3BFA20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应保持工地清洁，施工过程中产生之垃圾发包方有权要求承包方应及时清理，逾期未清理除采取适当处罚措施外，发包方则雇人清理，其费用在承包方工程款（或保证金）中扣除。工程完成后须清理工地，并将一切杂物、残屑等，尽速运到发包方指定之场所（合同有特别约定的按规定处置）。</w:t>
      </w:r>
    </w:p>
    <w:p w14:paraId="4225B4C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（六）承包方应依2010年国务院发586号令《工伤保险条例》规定对其雇用人员办理相关保险。发包方与承包方的发包合同金额中已包含各项相关保险费用，承包方不得就此项费用在承包金额中重复列支。</w:t>
      </w:r>
    </w:p>
    <w:p w14:paraId="7CC24D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参与服务的承包方之员工，应文明服务，服从发包方有关工程（或劳务）安全管理制度，并配合发包方部门或人员遵守相关管理规定，按照合同约定内容作业或服务。属于承包方的从业人员管理、合同履行过程之安全环保等管理均由承包方负责。因承包方违反国家法律法规用工规定的责任与后果全部由承包方承担。</w:t>
      </w:r>
    </w:p>
    <w:p w14:paraId="127DF8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（八）承包方须证明其相应安全管理资质和服务人员操作资质,因其提供虚假信息造成的一切后果由其承担。</w:t>
      </w:r>
    </w:p>
    <w:p w14:paraId="089D248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（九）承包方应对工地上防火、防盗工作负责，若造成业主损失由承包方负其全责赔偿损失。</w:t>
      </w:r>
    </w:p>
    <w:p w14:paraId="4960D19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2.工作安全部分</w:t>
      </w:r>
    </w:p>
    <w:p w14:paraId="6E9144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（一）承包方所属工作人员，对于工作场所及工作方法之安全措施有存疑者，应立即向其现场主管或发包方监工询问清楚，再行工作以策安全。</w:t>
      </w:r>
    </w:p>
    <w:p w14:paraId="7D060EC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（二）承包方应在危险工作地区应设围栅及警告标示，夜间工作场所应有足够照明，以防止事故发生。</w:t>
      </w:r>
    </w:p>
    <w:p w14:paraId="16DB68F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（三）承包方之工作人员均须着适当的服装及必要之安全护具，采取适当安全及环保措施。</w:t>
      </w:r>
    </w:p>
    <w:p w14:paraId="6D6D2B5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（四）工作地点必须保持整洁，工具材料、油、钉等材料不可随意乱置地上。</w:t>
      </w:r>
    </w:p>
    <w:p w14:paraId="1CE0C80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（五）塔架、起重、油漆、拆除等危险工作，必须派专人现场监督指导。</w:t>
      </w:r>
    </w:p>
    <w:p w14:paraId="1E6D4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（六）易燃品（汽油、瓦斯、油布等）附近，不得置有引火物，并严禁吸烟及乱掷烟蒂。</w:t>
      </w:r>
    </w:p>
    <w:p w14:paraId="6F6D20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（七）于易燃或易爆场所（如煤房、油槽）工作时需联络现场人员，将煤粉、汽油等易燃物清理干净，必要时应再以水洗或散布生料粉。</w:t>
      </w:r>
    </w:p>
    <w:p w14:paraId="226599D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（八）发包方所有电源开关，承包方工作人员，如未得到监工或监理人员许可，不得擅自接电使用。</w:t>
      </w:r>
    </w:p>
    <w:p w14:paraId="14A3BFB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（九）承包方在工作中需使用压力容器时，须先征得压力容器使用部门同意，另使用中须了解发包方压力容器安全操作规程。如造成压力容器损坏或人员伤害，由承包方负其全责，且须赔偿发包方损失。</w:t>
      </w:r>
    </w:p>
    <w:p w14:paraId="745ECFA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3.使用临时电力、用水及电焊部分</w:t>
      </w:r>
    </w:p>
    <w:p w14:paraId="6D1D28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（一）承包方凡欲使用任何水电、须事先向发包方提出申请，未经许可前严禁私自接用。</w:t>
      </w:r>
    </w:p>
    <w:p w14:paraId="6AD0AF6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发包方供应之电源时，承包方必须将使用地点各项电气设备名称、电压、容量、数量及电缆、开头等之大小规格列表送发包方审查，全部供电设备装置完成，并经发包方检查合格后，始可送电使用，承包方应接受发包方对安全用电进行监督检查。</w:t>
      </w:r>
    </w:p>
    <w:p w14:paraId="3B9D7F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（三）承包方不得任意将设备接至非发包方指定开关使用，未经发包方同意前，不得任意变更设备或增加容量，否则由承包方负全责。</w:t>
      </w:r>
    </w:p>
    <w:p w14:paraId="0D2408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（四）发包方供应之水源时，承包方必须将使用地点、用水量等送发包方审查，全部供水设备装置完成，并经发包方合格后，始可送水使用。</w:t>
      </w:r>
    </w:p>
    <w:p w14:paraId="08585A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（五）所需之供水器材及施工安装费用全部由承包商自行负责。</w:t>
      </w:r>
    </w:p>
    <w:p w14:paraId="2AF5D57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（六）每一部电动机、电焊机应分别装设开关，以策安全。</w:t>
      </w:r>
    </w:p>
    <w:p w14:paraId="064163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（七）承包方电焊机所有使用之导线，必须合于规定之绝缘电线，不得使用劣品或代用品及电容量不足者，并不可裸露部分或代用品连接。</w:t>
      </w:r>
    </w:p>
    <w:p w14:paraId="277FFEB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（八）承包方电焊机之电焊线路应直接接于工作物上，严禁利用栏杆、楼梯建筑物之钢架，或电力接地系统及管路等或间接供电电焊。</w:t>
      </w:r>
    </w:p>
    <w:p w14:paraId="09B0845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（九）承包方从事半导体机器设备内之狭小空间或高度两公尺以上钢架上作业所用交流电焊机，应使用自动电击防止器。</w:t>
      </w:r>
    </w:p>
    <w:p w14:paraId="266A151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（十）除电源总开关以外，所需之电气器材，全部由承包方自行负责。</w:t>
      </w:r>
    </w:p>
    <w:p w14:paraId="43A600C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（十一）承包方在对生产设备电焊工作前，须告知发包方设备操作人员。</w:t>
      </w:r>
    </w:p>
    <w:p w14:paraId="46BF7D8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承包方之电焊工作前需由经过训练之技工操作，该技工须持有劳动部门所发的特种作业人员操作证（电焊作业），工作时场地应绕以护屏，以遮挡耀目之火花，遇高温、天雨积水有感电之危险时应暂停工作，并与发包方有关人员联络。</w:t>
      </w:r>
    </w:p>
    <w:p w14:paraId="2431AC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（十三）承包方应随时留意检查所使用电源器具及导线之绝对安全性，如有发生意外均由承包方负其全责。</w:t>
      </w:r>
    </w:p>
    <w:p w14:paraId="4432032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（十四）发包方对承包方之电力设备及用电情况，如认为不符合安全规定或未达用电安全时，得通知承包方限期改善，承包方不得借故拖延，否则将停止供电，如因此而导致工程进度落后由承包方负责。</w:t>
      </w:r>
    </w:p>
    <w:p w14:paraId="49D63F2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4.气焊（割）部分</w:t>
      </w:r>
    </w:p>
    <w:p w14:paraId="28C9EC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（一）承包方使用之气焊（割）设备时，应先检查其容器、压力计、焊嘴、输气管等，是否有失气或漏气情况，并需经现场监工人员之认可，方能使用。</w:t>
      </w:r>
    </w:p>
    <w:p w14:paraId="2F028F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（二）承包方每次点燃焊嘴，需使用火柴或打火机，严禁以破布、草绳及香烟引火。</w:t>
      </w:r>
    </w:p>
    <w:p w14:paraId="5F456C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（三）承包方电焊工搬运钢瓶须用手推车，或沿底缘滚动，不得平卧滚进或上拖拉。</w:t>
      </w:r>
    </w:p>
    <w:p w14:paraId="7CB4291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（四）钢瓶不得与任何带电导体接触或作为电流经路之一部分。</w:t>
      </w:r>
    </w:p>
    <w:p w14:paraId="67BC1C1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（五）承包方自备之氧气及乙炔瓶各自集中保管，用毕之空瓶应予集中（定点处），绝对不可随处堆放，影响工作安全。</w:t>
      </w:r>
    </w:p>
    <w:p w14:paraId="41C9F3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（六）乙炔钢瓶须竖立使用，并避免曝晒，以防止爆炸之发生。氧气瓶与乙炔瓶及明火距离应大于5m，乙炔瓶与明火距离应大于10m。</w:t>
      </w:r>
    </w:p>
    <w:p w14:paraId="4881DDA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（七）承包方不得将钢瓶带进密闭之桶、槽、塔使用。</w:t>
      </w:r>
    </w:p>
    <w:p w14:paraId="15E957D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（八）承包方焊工之个人防护用品，应依规定穿戴齐备。</w:t>
      </w:r>
    </w:p>
    <w:p w14:paraId="33FB1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高处工作之焊工，应注意下面行人及物品之安全，不得使焊渣及切割物掉落，伤及人、物，并避免引起火灾，应有专人在地面疏导安全。禁止在发包方电缆沟盖板上进行焊割作业，电气焊作业时应注意保护作业面临近的电缆、光缆。</w:t>
      </w:r>
    </w:p>
    <w:p w14:paraId="0CFA876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（十）每日停止焊割工作后，焊工应注意巡视焊割场地之四周，有舍余烟未熄之情况以免招致灾害，承包方之监工人员，亦应于最后离开现场前，重加巡视，以策安全。</w:t>
      </w:r>
    </w:p>
    <w:p w14:paraId="7F7B6E9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5.高处施工部分</w:t>
      </w:r>
    </w:p>
    <w:p w14:paraId="6677390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是从事建筑物之新建、增建、改造、修建及拆修等行为时，承包方应按国家高空作业有关规定实施，应于其施工场所设置适当之防护围棚、挡土设备、施工架等安全措施，以防护人员之意外伤亡，地层下陷建筑之倒塌等而危及公共安全。</w:t>
      </w:r>
    </w:p>
    <w:p w14:paraId="05A7026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（二）施工架搭设及拆除，应派持有上岗证的人员担任。从事高空作业的人员应定期体检。经医生诊断，患高血压、心脏病、贫血病、癫痫病以及其它不适于高空作业的，不得从事高空作业。</w:t>
      </w:r>
    </w:p>
    <w:p w14:paraId="6ED7798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（三）承包方搭建之施工架、工作台、走道、梯子等之强度，应以优良品质材料搭建，使其具足够负荷承受之重量与压力，不得使用有缺陷之材料。</w:t>
      </w:r>
    </w:p>
    <w:p w14:paraId="3B2307D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（四）施工架上物料运送及贮存，负荷重应求平均，并严禁超载，施工人员所使用之各种工具应避免放置架台上，否则应将该工具固定，以免滑落伤及架下方人或物。上下传递物件禁止抛掷。</w:t>
      </w:r>
    </w:p>
    <w:p w14:paraId="276324F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（五）承包方应注意工地照明，其作业区域应设置安全标志。</w:t>
      </w:r>
    </w:p>
    <w:p w14:paraId="0ED1291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（六）施工架使用升降装置时应增加强度，并防止脚踏移动吊负重物与施工架不可撞碰。</w:t>
      </w:r>
    </w:p>
    <w:p w14:paraId="2505EBA2">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高处作业如未能铺设工作台，应规定施工人员佩挂安全带。进入施工现场，禁止穿拖鞋或光脚；高空作业衣着更灵便，禁止穿硬底和带钉易滑的鞋。上下交叉作业有危险的出入口要有防护棚或其它隔离设施。距地面3米以上作业要有防护栏杆，挡板或安全网。安全帽、安全带、安全网要定期检查，不符合要求的，禁止使用。</w:t>
      </w:r>
    </w:p>
    <w:p w14:paraId="3F4325A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施工架、护栏、护盖应经常注意保养以保持效能，如发现有异常时，应即修补或采取其他必要措施，如临时拆除应采取其他必要安全措施于拆除原因消失后应即恢复原状。施工现场的脚手架、防护设施、安全标志和警告牌，不得擅自拆除。拆除脚手架，周围应设围栏或警戒标志，并设专人看管，禁人入内。拆除应按顺序由上而下，一步一清，不准上下同时作业。</w:t>
      </w:r>
    </w:p>
    <w:p w14:paraId="54D8628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（九）工作台上四周设置具有适当强度之扶手，护栏下之垂直空间不得超过90公分。</w:t>
      </w:r>
    </w:p>
    <w:p w14:paraId="2799506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（十）架梯应有防止移动之设备，架梯与主机均应有适当强度，并连接牢固，有断缺损裂者不得使用。</w:t>
      </w:r>
    </w:p>
    <w:p w14:paraId="6D22A89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（十一）用作升降井或吊运物料之施工架在建筑物地板或工作台之孔洞缺口处，均应加护栏。</w:t>
      </w:r>
    </w:p>
    <w:p w14:paraId="043440A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（十二）对于施工人员在石棉瓦、铁皮板、瓦、木板、塑等材料横筑屋顶从事作业时为防止踏坠落，应设置适当强度，且宽度在三十公分以下之踏板或装设防护网。</w:t>
      </w:r>
    </w:p>
    <w:p w14:paraId="56E7ACE9">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6.吊重机械设备部分</w:t>
      </w:r>
    </w:p>
    <w:p w14:paraId="12C9EC15">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（一）吊重设备包括起重机、绞车、滑车与一切吊重机悠扬及配件，均应构成良好，具有适当强度，并随时保持可用状态。</w:t>
      </w:r>
    </w:p>
    <w:p w14:paraId="07FA4FA1">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（二）承包方之各种吊重设备，应对安全荷重量及最大重分别予以标明不得超载。</w:t>
      </w:r>
    </w:p>
    <w:p w14:paraId="3F1FA6B3">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（三）承包方吊重工作进行中应防止人员通过或停立于负荷物之下必要时应竖立标志，工作中须派人指挥防止意外，吊重绳索不得妨碍交通。</w:t>
      </w:r>
    </w:p>
    <w:p w14:paraId="68BAD77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（四）承包方操作吊重设备人员及指挥监督人员均应具备相当经验，并持有劳动部门所发的特种作业人员操作证（起重作业）。</w:t>
      </w:r>
    </w:p>
    <w:p w14:paraId="110741DA">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（五）承包方之电动机、传动设备、吊重设备之突出部分应加装有效之安全护罩。</w:t>
      </w:r>
    </w:p>
    <w:p w14:paraId="7CCEEF6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（六）承包方之各种吊重设备应装置有效之刹车及其他必须之安全设备以防吊物之坠落。</w:t>
      </w:r>
    </w:p>
    <w:p w14:paraId="096C2D5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（七）承包方使用发包方吊重设备时，若在使用过程致设备损坏或人员伤害，由承包方负全责，且须赔偿发包方一切损失。</w:t>
      </w:r>
    </w:p>
    <w:p w14:paraId="74BAA59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（八）承包方之起重机吊起被吊物后，操作人员不可任意离开操作位置。</w:t>
      </w:r>
    </w:p>
    <w:p w14:paraId="0A583DD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（九）起重机具不得乘载人员或吊升工作人员。</w:t>
      </w:r>
    </w:p>
    <w:p w14:paraId="278E830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（十）起吊设备如利用屋架、屋柱时必须先征得发包方有关人员之同意，如有损坏承包方应负责修复或赔偿。</w:t>
      </w:r>
    </w:p>
    <w:p w14:paraId="4367BD2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7.承包方应自觉做好以下事项：</w:t>
      </w:r>
    </w:p>
    <w:p w14:paraId="614C2E0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承包方厂内机动车辆包括叉车、装载机、汽车、拖拉机、挖掘机、推土机等，承包方在发包方道路上行驶之厂内机动车辆必须保持车况良好，且应持有承包方所在地质量技术监督局所发牌照和使用证（持有交通部门所发牌照除外）。</w:t>
      </w:r>
    </w:p>
    <w:p w14:paraId="362FF98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（二）承包方之厂内机动车辆驾驶员需由经过训练之技工操作，该技工须持有安全生产管理部门所发的特种作业人员（厂内机动车辆驾驶作业）操作证（持有交通部门所发驾驶证照除外）。</w:t>
      </w:r>
    </w:p>
    <w:p w14:paraId="4797EBD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（三）承包方车辆在发包方道路上行驶时须参照发包方相关安全规定安全行使，如限速行驶等。</w:t>
      </w:r>
    </w:p>
    <w:p w14:paraId="486CEBB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（四）承包方车辆行驶中遇有意外致使发包方财物受损或人员伤害，由承包方负其全责，且须赔偿发包方一切损失。（承包方按照国家相关法律规定对发包方承担相应责任）</w:t>
      </w:r>
    </w:p>
    <w:p w14:paraId="2607CBA8">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（五）承包方人员、物资、车辆出入发包方须办理登记，若因承包方手续不全等原因造成的纠纷或损失由承包方自负。</w:t>
      </w:r>
    </w:p>
    <w:p w14:paraId="27C911FA">
      <w:pPr>
        <w:ind w:left="1050" w:leftChars="200" w:hanging="630" w:hangingChars="300"/>
        <w:jc w:val="left"/>
        <w:rPr>
          <w:rFonts w:ascii="宋体" w:hAnsi="宋体"/>
          <w:b/>
          <w:color w:val="auto"/>
          <w:szCs w:val="21"/>
          <w:highlight w:val="none"/>
        </w:rPr>
      </w:pPr>
    </w:p>
    <w:p w14:paraId="2AAF64BA">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发包方: 阳江开能环保能源有限公司        承包方:</w:t>
      </w:r>
    </w:p>
    <w:p w14:paraId="2B1041F8">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 xml:space="preserve"> 法人或委托代表人：                      法人或委托代表人：  </w:t>
      </w:r>
    </w:p>
    <w:p w14:paraId="38E82D46">
      <w:pPr>
        <w:pStyle w:val="22"/>
        <w:ind w:firstLine="422"/>
        <w:rPr>
          <w:rFonts w:ascii="宋体" w:hAnsi="宋体"/>
          <w:b/>
          <w:color w:val="auto"/>
          <w:szCs w:val="21"/>
          <w:highlight w:val="none"/>
        </w:rPr>
      </w:pPr>
    </w:p>
    <w:p w14:paraId="3DD3A62C">
      <w:pPr>
        <w:pStyle w:val="22"/>
        <w:ind w:firstLine="422"/>
        <w:rPr>
          <w:rFonts w:ascii="宋体" w:hAnsi="宋体"/>
          <w:b/>
          <w:color w:val="auto"/>
          <w:szCs w:val="21"/>
          <w:highlight w:val="none"/>
        </w:rPr>
      </w:pPr>
    </w:p>
    <w:p w14:paraId="7A29B5B4">
      <w:pPr>
        <w:pStyle w:val="22"/>
        <w:ind w:firstLine="422"/>
        <w:rPr>
          <w:rFonts w:ascii="宋体" w:hAnsi="宋体"/>
          <w:b/>
          <w:color w:val="auto"/>
          <w:szCs w:val="21"/>
          <w:highlight w:val="none"/>
        </w:rPr>
      </w:pPr>
    </w:p>
    <w:p w14:paraId="4ECC380E">
      <w:pPr>
        <w:pStyle w:val="22"/>
        <w:ind w:firstLine="422"/>
        <w:rPr>
          <w:rFonts w:ascii="宋体" w:hAnsi="宋体"/>
          <w:b/>
          <w:color w:val="auto"/>
          <w:szCs w:val="21"/>
          <w:highlight w:val="none"/>
        </w:rPr>
      </w:pPr>
    </w:p>
    <w:p w14:paraId="7581303D">
      <w:pPr>
        <w:pStyle w:val="22"/>
        <w:ind w:firstLine="422"/>
        <w:rPr>
          <w:rFonts w:ascii="宋体" w:hAnsi="宋体"/>
          <w:b/>
          <w:color w:val="auto"/>
          <w:szCs w:val="21"/>
          <w:highlight w:val="none"/>
        </w:rPr>
      </w:pPr>
    </w:p>
    <w:p w14:paraId="07BE19BD">
      <w:pPr>
        <w:pStyle w:val="22"/>
        <w:ind w:firstLine="422"/>
        <w:rPr>
          <w:rFonts w:ascii="宋体" w:hAnsi="宋体"/>
          <w:b/>
          <w:color w:val="auto"/>
          <w:szCs w:val="21"/>
          <w:highlight w:val="none"/>
        </w:rPr>
      </w:pPr>
    </w:p>
    <w:p w14:paraId="113A073A">
      <w:pPr>
        <w:spacing w:before="166" w:beforeLines="50" w:after="166" w:afterLines="50" w:line="340" w:lineRule="exact"/>
        <w:jc w:val="left"/>
        <w:rPr>
          <w:rFonts w:ascii="宋体" w:hAnsi="宋体" w:cs="宋体"/>
          <w:b/>
          <w:color w:val="auto"/>
          <w:sz w:val="28"/>
          <w:szCs w:val="28"/>
          <w:highlight w:val="none"/>
        </w:rPr>
      </w:pPr>
      <w:r>
        <w:rPr>
          <w:rFonts w:hint="eastAsia" w:ascii="宋体" w:hAnsi="宋体" w:cs="宋体"/>
          <w:b/>
          <w:color w:val="auto"/>
          <w:sz w:val="28"/>
          <w:szCs w:val="28"/>
          <w:highlight w:val="none"/>
        </w:rPr>
        <w:t>附件</w:t>
      </w:r>
      <w:r>
        <w:rPr>
          <w:rFonts w:hint="eastAsia" w:ascii="宋体" w:hAnsi="宋体" w:cs="宋体"/>
          <w:b/>
          <w:color w:val="auto"/>
          <w:sz w:val="28"/>
          <w:szCs w:val="28"/>
          <w:highlight w:val="none"/>
          <w:lang w:val="en-US" w:eastAsia="zh-CN"/>
        </w:rPr>
        <w:t>4</w:t>
      </w:r>
      <w:r>
        <w:rPr>
          <w:rFonts w:hint="eastAsia" w:ascii="宋体" w:hAnsi="宋体" w:cs="宋体"/>
          <w:b/>
          <w:color w:val="auto"/>
          <w:sz w:val="28"/>
          <w:szCs w:val="28"/>
          <w:highlight w:val="none"/>
        </w:rPr>
        <w:t>：</w:t>
      </w:r>
    </w:p>
    <w:p w14:paraId="1E1A97BE">
      <w:pPr>
        <w:spacing w:before="166" w:beforeLines="50" w:after="166" w:afterLines="50"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农民工工资及管理要求</w:t>
      </w:r>
    </w:p>
    <w:p w14:paraId="28267B5D">
      <w:pPr>
        <w:pStyle w:val="64"/>
        <w:snapToGrid w:val="0"/>
        <w:spacing w:before="0" w:after="0" w:line="360" w:lineRule="auto"/>
        <w:ind w:left="0" w:right="0" w:firstLine="420" w:firstLineChars="200"/>
        <w:rPr>
          <w:rFonts w:ascii="宋体" w:hAnsi="宋体"/>
          <w:b/>
          <w:color w:val="auto"/>
          <w:sz w:val="21"/>
          <w:szCs w:val="21"/>
          <w:highlight w:val="none"/>
        </w:rPr>
      </w:pPr>
      <w:r>
        <w:rPr>
          <w:rFonts w:hint="eastAsia" w:ascii="宋体" w:hAnsi="宋体"/>
          <w:b/>
          <w:color w:val="auto"/>
          <w:sz w:val="21"/>
          <w:szCs w:val="21"/>
          <w:highlight w:val="none"/>
        </w:rPr>
        <w:t>发包方（全称）：</w:t>
      </w:r>
      <w:r>
        <w:rPr>
          <w:rFonts w:hint="eastAsia" w:ascii="宋体" w:hAnsi="宋体"/>
          <w:b/>
          <w:color w:val="auto"/>
          <w:sz w:val="21"/>
          <w:szCs w:val="21"/>
          <w:highlight w:val="none"/>
          <w:u w:val="single"/>
        </w:rPr>
        <w:t xml:space="preserve">阳江开能环保能源有限公司 </w:t>
      </w:r>
    </w:p>
    <w:p w14:paraId="729E0F04">
      <w:pPr>
        <w:pStyle w:val="64"/>
        <w:spacing w:before="0" w:after="0" w:line="360" w:lineRule="auto"/>
        <w:ind w:left="10" w:leftChars="5" w:right="70" w:firstLine="420" w:firstLineChars="200"/>
        <w:rPr>
          <w:rFonts w:ascii="宋体" w:hAnsi="宋体" w:cs="宋体"/>
          <w:b/>
          <w:color w:val="auto"/>
          <w:sz w:val="21"/>
          <w:szCs w:val="21"/>
          <w:highlight w:val="none"/>
          <w:u w:val="single"/>
        </w:rPr>
      </w:pPr>
      <w:r>
        <w:rPr>
          <w:rFonts w:hint="eastAsia" w:ascii="宋体" w:hAnsi="宋体"/>
          <w:b/>
          <w:color w:val="auto"/>
          <w:sz w:val="21"/>
          <w:szCs w:val="21"/>
          <w:highlight w:val="none"/>
        </w:rPr>
        <w:t>承包方（全称）：</w:t>
      </w:r>
    </w:p>
    <w:p w14:paraId="19E7D0F2">
      <w:pPr>
        <w:tabs>
          <w:tab w:val="left" w:pos="-105"/>
        </w:tabs>
        <w:spacing w:before="166" w:beforeLines="50" w:after="166" w:afterLines="50" w:line="340" w:lineRule="exact"/>
        <w:ind w:firstLine="558" w:firstLineChars="266"/>
        <w:jc w:val="left"/>
        <w:rPr>
          <w:rFonts w:ascii="宋体" w:hAnsi="宋体" w:cs="宋体"/>
          <w:bCs/>
          <w:color w:val="auto"/>
          <w:szCs w:val="21"/>
          <w:highlight w:val="none"/>
        </w:rPr>
      </w:pPr>
      <w:r>
        <w:rPr>
          <w:rFonts w:hint="eastAsia" w:ascii="宋体" w:hAnsi="宋体" w:cs="宋体"/>
          <w:bCs/>
          <w:color w:val="auto"/>
          <w:szCs w:val="21"/>
          <w:highlight w:val="none"/>
        </w:rPr>
        <w:t>为进一步加强农民工工资发放管理，加强内部治安管理，维护正常的施工秩序，构建和谐工地氛围，确保阳江开能环保能源有限公司余热发电项目35KV变压器高压配电柜更换拆装施工及电气传动试验项目安全、优质、经济、高效地完工，经双方协商一致如下：</w:t>
      </w:r>
    </w:p>
    <w:p w14:paraId="5CB42A2D">
      <w:pPr>
        <w:numPr>
          <w:ilvl w:val="0"/>
          <w:numId w:val="19"/>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按照《国务院关于解决农民工若干问题的意见》、《建设领域农民工工资支付管理暂行办法》和建设行政主管部门的相关规定，做好农民工工资发放。承包方承诺配合发包方及政府主管部门开展劳务工实名制和劳务工工资支付分账管理，并承诺按发包方和业主要求做好配合工作。</w:t>
      </w:r>
    </w:p>
    <w:p w14:paraId="39048AE3">
      <w:pPr>
        <w:numPr>
          <w:ilvl w:val="0"/>
          <w:numId w:val="19"/>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应当配备专职或兼职劳资管理员，建立用工管理台账，真实、准确记录工人名册、劳动合同、工程进度、工时、劳务承包款和工人工资支付情况等信息，并保存两年以上备查。严格用工制度，把好用人关。承包方承诺不聘用未经“三级”教育并未通过实名制管理系统信息采集的劳务工人。未进行培训的劳务工人不得进入安装工地。</w:t>
      </w:r>
    </w:p>
    <w:p w14:paraId="471D302A">
      <w:pPr>
        <w:numPr>
          <w:ilvl w:val="0"/>
          <w:numId w:val="19"/>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承包方承诺与签订劳务合同</w:t>
      </w:r>
      <w:r>
        <w:rPr>
          <w:rFonts w:hint="eastAsia" w:ascii="宋体" w:hAnsi="宋体" w:cs="宋体"/>
          <w:b/>
          <w:color w:val="auto"/>
          <w:szCs w:val="21"/>
          <w:highlight w:val="none"/>
        </w:rPr>
        <w:t>，</w:t>
      </w:r>
      <w:r>
        <w:rPr>
          <w:rFonts w:hint="eastAsia" w:ascii="宋体" w:hAnsi="宋体" w:cs="宋体"/>
          <w:color w:val="auto"/>
          <w:szCs w:val="21"/>
          <w:highlight w:val="none"/>
        </w:rPr>
        <w:t>若发包方或监理人发现有未签订劳动合同的劳动者在现场施工，承包方应向发包方支付违约金5000元/人次。承包方承诺</w:t>
      </w:r>
      <w:r>
        <w:rPr>
          <w:rFonts w:hint="eastAsia" w:ascii="宋体" w:hAnsi="宋体" w:cs="宋体"/>
          <w:bCs/>
          <w:color w:val="auto"/>
          <w:szCs w:val="21"/>
          <w:highlight w:val="none"/>
        </w:rPr>
        <w:t>从业人员入场前需要采集实名信息，包括身份证电子信息、身份证扫描件、工种、班组、电话、单位、银行帐号、人员类型等。严格按业主要求办理工作卡（出入证），如发生进场人员不及时办理工作卡（出入证）或使用伪造假出入证，一经查出，愿接受业主处罚及项目部（500元/人）的处罚。对于习惯性违章员工，愿意接收业主或项目部的要求，予以清退场处理，相关费用由承包方承担。</w:t>
      </w:r>
    </w:p>
    <w:p w14:paraId="31BA0762">
      <w:pPr>
        <w:numPr>
          <w:ilvl w:val="0"/>
          <w:numId w:val="19"/>
        </w:numPr>
        <w:tabs>
          <w:tab w:val="left" w:pos="-105"/>
          <w:tab w:val="clear" w:pos="342"/>
        </w:tabs>
        <w:spacing w:before="166" w:beforeLines="50" w:after="166" w:afterLines="50" w:line="340" w:lineRule="exact"/>
        <w:ind w:left="0" w:firstLine="567"/>
        <w:jc w:val="left"/>
        <w:rPr>
          <w:color w:val="auto"/>
          <w:highlight w:val="none"/>
        </w:rPr>
      </w:pPr>
      <w:r>
        <w:rPr>
          <w:rFonts w:hint="eastAsia" w:ascii="宋体" w:hAnsi="宋体" w:cs="宋体"/>
          <w:bCs/>
          <w:color w:val="auto"/>
          <w:szCs w:val="21"/>
          <w:highlight w:val="none"/>
        </w:rPr>
        <w:t>对辖下员工加强法制教育，提高守法观念。进一步完善管理制度，按照“做一项工程，保一方平安”的原则，管好自己的人、带好自己的队伍。保证不发生现场打架斗殴。如发生一般斗殴事件或3人以内群殴事件愿接受（1000—5000元/每宗）罚款；发生10人以内群殴事件愿接受（5000—10000元/每宗）罚款；发生10人以上群殴事件愿接受（10000—20000元/每宗）罚款；发生群殴事件致1人重伤愿接受（20000—40000元/每宗）罚款；发生群殴事件致2人以上重伤愿接受（20000元/每宗）罚款；发生阻挠、围攻、殴打现场管理人员的，愿接受（5000—10000元/每宗）罚款；发生围攻、冲击发包方或业主办公楼，员工食堂，员工宿舍等场所的事件愿接受（10000—20000元/每宗）罚款。</w:t>
      </w:r>
    </w:p>
    <w:p w14:paraId="539BC278">
      <w:pPr>
        <w:pStyle w:val="64"/>
        <w:spacing w:before="0" w:after="0" w:line="360" w:lineRule="auto"/>
        <w:ind w:left="0" w:right="43"/>
        <w:rPr>
          <w:rFonts w:ascii="宋体" w:hAnsi="宋体"/>
          <w:b/>
          <w:bCs/>
          <w:color w:val="auto"/>
          <w:highlight w:val="none"/>
        </w:rPr>
      </w:pPr>
    </w:p>
    <w:p w14:paraId="0E7341B2">
      <w:pPr>
        <w:pStyle w:val="64"/>
        <w:spacing w:before="0" w:after="0" w:line="360" w:lineRule="auto"/>
        <w:ind w:left="0" w:right="43"/>
        <w:rPr>
          <w:rFonts w:ascii="宋体" w:hAnsi="宋体"/>
          <w:b/>
          <w:bCs/>
          <w:color w:val="auto"/>
          <w:highlight w:val="none"/>
        </w:rPr>
      </w:pPr>
      <w:r>
        <w:rPr>
          <w:rFonts w:hint="eastAsia" w:ascii="宋体" w:hAnsi="宋体"/>
          <w:b/>
          <w:bCs/>
          <w:color w:val="auto"/>
          <w:highlight w:val="none"/>
        </w:rPr>
        <w:t>发包方: 阳江开能环保能源有限公司       承包方:</w:t>
      </w:r>
      <w:r>
        <w:rPr>
          <w:rFonts w:hint="eastAsia" w:ascii="宋体" w:hAnsi="宋体"/>
          <w:b/>
          <w:bCs/>
          <w:color w:val="auto"/>
          <w:highlight w:val="none"/>
        </w:rPr>
        <w:br w:type="textWrapping"/>
      </w:r>
      <w:r>
        <w:rPr>
          <w:rFonts w:hint="eastAsia" w:ascii="宋体" w:hAnsi="宋体"/>
          <w:b/>
          <w:bCs/>
          <w:color w:val="auto"/>
          <w:highlight w:val="none"/>
        </w:rPr>
        <w:t>法定代表人或                           法定代表人或</w:t>
      </w:r>
    </w:p>
    <w:p w14:paraId="5A5C0002">
      <w:pPr>
        <w:pStyle w:val="64"/>
        <w:spacing w:before="0" w:after="0" w:line="360" w:lineRule="auto"/>
        <w:ind w:left="0" w:right="43"/>
        <w:rPr>
          <w:color w:val="auto"/>
          <w:highlight w:val="none"/>
        </w:rPr>
      </w:pPr>
      <w:r>
        <w:rPr>
          <w:rFonts w:hint="eastAsia" w:ascii="宋体" w:hAnsi="宋体"/>
          <w:b/>
          <w:bCs/>
          <w:color w:val="auto"/>
          <w:highlight w:val="none"/>
        </w:rPr>
        <w:t>委托代表人：                           委托代表人：</w:t>
      </w:r>
    </w:p>
    <w:p w14:paraId="4605BCCE">
      <w:pPr>
        <w:snapToGrid w:val="0"/>
        <w:spacing w:after="332" w:afterLines="100"/>
        <w:ind w:firstLine="450" w:firstLineChars="150"/>
        <w:rPr>
          <w:rFonts w:ascii="宋体" w:hAnsi="宋体"/>
          <w:b/>
          <w:color w:val="auto"/>
          <w:sz w:val="30"/>
          <w:szCs w:val="30"/>
          <w:highlight w:val="none"/>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r>
        <w:rPr>
          <w:rFonts w:hint="eastAsia" w:ascii="宋体" w:hAnsi="宋体"/>
          <w:b/>
          <w:color w:val="auto"/>
          <w:sz w:val="30"/>
          <w:szCs w:val="30"/>
          <w:highlight w:val="none"/>
        </w:rPr>
        <w:t>：</w:t>
      </w:r>
    </w:p>
    <w:p w14:paraId="5E68A356">
      <w:pPr>
        <w:spacing w:line="480" w:lineRule="exact"/>
        <w:jc w:val="center"/>
        <w:textAlignment w:val="baseline"/>
        <w:rPr>
          <w:rFonts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0E488CFC">
      <w:pPr>
        <w:spacing w:line="480" w:lineRule="exact"/>
        <w:jc w:val="center"/>
        <w:textAlignment w:val="baseline"/>
        <w:rPr>
          <w:rFonts w:ascii="宋体"/>
          <w:b/>
          <w:color w:val="auto"/>
          <w:sz w:val="28"/>
          <w:szCs w:val="28"/>
          <w:highlight w:val="none"/>
        </w:rPr>
      </w:pPr>
    </w:p>
    <w:p w14:paraId="4C31185E">
      <w:pPr>
        <w:spacing w:before="156" w:after="156" w:line="480" w:lineRule="exact"/>
        <w:ind w:firstLine="420" w:firstLineChars="200"/>
        <w:textAlignment w:val="baseline"/>
        <w:rPr>
          <w:rFonts w:ascii="宋体"/>
          <w:color w:val="auto"/>
          <w:sz w:val="20"/>
          <w:highlight w:val="none"/>
        </w:rPr>
      </w:pPr>
      <w:r>
        <w:rPr>
          <w:rFonts w:hint="eastAsia" w:ascii="宋体" w:hAnsi="宋体"/>
          <w:color w:val="auto"/>
          <w:highlight w:val="none"/>
        </w:rPr>
        <w:t>甲方（全称）：</w:t>
      </w:r>
      <w:r>
        <w:rPr>
          <w:rFonts w:hint="eastAsia" w:ascii="宋体" w:hAnsi="宋体" w:cs="宋体"/>
          <w:color w:val="auto"/>
          <w:szCs w:val="21"/>
          <w:highlight w:val="none"/>
          <w:u w:val="single"/>
        </w:rPr>
        <w:t>阳江开能环保能源有限公司</w:t>
      </w:r>
    </w:p>
    <w:p w14:paraId="6A2F7BE9">
      <w:pPr>
        <w:spacing w:before="156" w:after="156" w:line="480" w:lineRule="exact"/>
        <w:ind w:firstLine="420" w:firstLineChars="200"/>
        <w:textAlignment w:val="baseline"/>
        <w:rPr>
          <w:rFonts w:ascii="宋体" w:hAnsi="宋体"/>
          <w:color w:val="auto"/>
          <w:sz w:val="20"/>
          <w:highlight w:val="none"/>
          <w:u w:val="single"/>
        </w:rPr>
      </w:pPr>
      <w:r>
        <w:rPr>
          <w:rFonts w:hint="eastAsia" w:ascii="宋体" w:hAnsi="宋体"/>
          <w:color w:val="auto"/>
          <w:highlight w:val="none"/>
        </w:rPr>
        <w:t>乙方（全称）：</w:t>
      </w:r>
    </w:p>
    <w:p w14:paraId="57A3CAB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 甲乙双方于  年   月  日签署了</w:t>
      </w:r>
      <w:r>
        <w:rPr>
          <w:rFonts w:hint="eastAsia" w:ascii="宋体" w:hAnsi="宋体"/>
          <w:color w:val="auto"/>
          <w:highlight w:val="none"/>
          <w:u w:val="single"/>
        </w:rPr>
        <w:t>阳江开能环保能源有限公司余热发电项目35KV变压器高压配电柜更换拆装施工及电气传动试验项目合同</w:t>
      </w:r>
      <w:r>
        <w:rPr>
          <w:rFonts w:hint="eastAsia" w:ascii="宋体" w:hAnsi="宋体"/>
          <w:color w:val="auto"/>
          <w:highlight w:val="none"/>
        </w:rPr>
        <w:t>（以下简称原合同），为加强双方阳光合作，保证职员职业安全，甲乙双方经协商签定本协议并作为双方共同遵守的阳光合作行为准则。</w:t>
      </w:r>
    </w:p>
    <w:p w14:paraId="34BD65B1">
      <w:pPr>
        <w:widowControl/>
        <w:numPr>
          <w:ilvl w:val="0"/>
          <w:numId w:val="20"/>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甲方责任</w:t>
      </w:r>
    </w:p>
    <w:p w14:paraId="3D5FAAC4">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1.甲方有责任向乙方介绍本单位有关采购管理通用原则和本协议的规定。</w:t>
      </w:r>
    </w:p>
    <w:p w14:paraId="6153DC2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2.甲方有责任对本单位相关人员进行阳光合作教育。</w:t>
      </w:r>
    </w:p>
    <w:p w14:paraId="78165CD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color w:val="auto"/>
          <w:highlight w:val="none"/>
        </w:rPr>
        <w:t xml:space="preserve"> </w:t>
      </w:r>
    </w:p>
    <w:p w14:paraId="52049EA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4.甲方人员如违反阳光合作管理制度及本协议规定，甲方视情节轻重、影响大小给予行政及经济处罚。</w:t>
      </w:r>
    </w:p>
    <w:p w14:paraId="6FA81627">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31E3002C">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64DBC79D">
      <w:pPr>
        <w:widowControl/>
        <w:numPr>
          <w:ilvl w:val="0"/>
          <w:numId w:val="20"/>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乙方责任</w:t>
      </w:r>
    </w:p>
    <w:p w14:paraId="7ECAC54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1.乙方应保证乙方人员了解甲方有关采购管理通用原则和及本协议的规定，并遵照执行。</w:t>
      </w:r>
    </w:p>
    <w:p w14:paraId="5468C96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25E6C3E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6FDB308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color w:val="auto"/>
          <w:highlight w:val="none"/>
        </w:rPr>
        <w:t>10%</w:t>
      </w:r>
      <w:r>
        <w:rPr>
          <w:rFonts w:hint="eastAsia" w:ascii="宋体" w:hAnsi="宋体"/>
          <w:color w:val="auto"/>
          <w:highlight w:val="none"/>
        </w:rPr>
        <w:t>的违约金，并对乙方知情不报人员进行相应处罚；连续出现</w:t>
      </w:r>
      <w:r>
        <w:rPr>
          <w:rFonts w:ascii="宋体" w:hAnsi="宋体"/>
          <w:color w:val="auto"/>
          <w:highlight w:val="none"/>
        </w:rPr>
        <w:t>2</w:t>
      </w:r>
      <w:r>
        <w:rPr>
          <w:rFonts w:hint="eastAsia" w:ascii="宋体" w:hAnsi="宋体"/>
          <w:color w:val="auto"/>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0CEEFD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5．甲方接受乙方实名或匿名举报，保证为举报者的信息保密，常设举报部门及电话： </w:t>
      </w:r>
    </w:p>
    <w:p w14:paraId="0690F90F">
      <w:pPr>
        <w:spacing w:before="156" w:after="156" w:line="480" w:lineRule="exact"/>
        <w:ind w:left="105" w:leftChars="50" w:firstLine="420" w:firstLineChars="200"/>
        <w:textAlignment w:val="baseline"/>
        <w:rPr>
          <w:rFonts w:ascii="宋体" w:hAnsi="宋体"/>
          <w:color w:val="auto"/>
          <w:highlight w:val="none"/>
        </w:rPr>
      </w:pPr>
      <w:r>
        <w:rPr>
          <w:rFonts w:hint="eastAsia" w:ascii="宋体" w:hAnsi="宋体"/>
          <w:color w:val="auto"/>
          <w:highlight w:val="none"/>
        </w:rPr>
        <w:t>举报受理部门：东莞实业投资控股集团有限公司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w:t>
      </w:r>
    </w:p>
    <w:p w14:paraId="2100A27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东实集团举报邮箱：Sedgy@163.com</w:t>
      </w:r>
    </w:p>
    <w:p w14:paraId="005D4E1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东实集团举报电话：0769-28820703（周一至周五9:00-12:00和14:00-18:00）</w:t>
      </w:r>
    </w:p>
    <w:p w14:paraId="5180C415">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邮寄地址：东莞市东城区八一路东莞市机关二号大院9号楼，东莞实业投资控股集团有限公司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部收，邮编523000。</w:t>
      </w:r>
    </w:p>
    <w:p w14:paraId="46543D35">
      <w:pPr>
        <w:widowControl/>
        <w:numPr>
          <w:ilvl w:val="0"/>
          <w:numId w:val="20"/>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其他</w:t>
      </w:r>
    </w:p>
    <w:p w14:paraId="1D928FC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1.本协议是原合同的补充协议，与原合同有同等法律效力。</w:t>
      </w:r>
    </w:p>
    <w:p w14:paraId="060E0706">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2.本协议</w:t>
      </w:r>
      <w:r>
        <w:rPr>
          <w:rFonts w:hint="eastAsia" w:ascii="宋体" w:hAnsi="宋体"/>
          <w:color w:val="auto"/>
          <w:szCs w:val="21"/>
          <w:highlight w:val="none"/>
        </w:rPr>
        <w:t>一式肆份，甲方持有贰份，乙方持贰份，</w:t>
      </w:r>
      <w:r>
        <w:rPr>
          <w:rFonts w:hint="eastAsia" w:ascii="宋体" w:hAnsi="宋体"/>
          <w:color w:val="auto"/>
          <w:highlight w:val="none"/>
        </w:rPr>
        <w:t>具有同等法律效力。</w:t>
      </w:r>
    </w:p>
    <w:p w14:paraId="4C84FD9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3.本协议经双方签署后生效。</w:t>
      </w:r>
    </w:p>
    <w:p w14:paraId="0962147E">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甲方（公章）：</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hAnsi="宋体"/>
          <w:color w:val="auto"/>
          <w:highlight w:val="none"/>
        </w:rPr>
        <w:t xml:space="preserve">         </w:t>
      </w:r>
      <w:r>
        <w:rPr>
          <w:rFonts w:hint="eastAsia" w:ascii="宋体" w:hAnsi="宋体"/>
          <w:color w:val="auto"/>
          <w:highlight w:val="none"/>
        </w:rPr>
        <w:t xml:space="preserve"> 乙方（公章）：</w:t>
      </w:r>
    </w:p>
    <w:p w14:paraId="52735186">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法定代表人（授权代表）：</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hint="eastAsia" w:ascii="宋体"/>
          <w:color w:val="auto"/>
          <w:highlight w:val="none"/>
        </w:rPr>
        <w:t xml:space="preserve">      </w:t>
      </w:r>
      <w:r>
        <w:rPr>
          <w:rFonts w:hint="eastAsia" w:ascii="宋体" w:hAnsi="宋体"/>
          <w:color w:val="auto"/>
          <w:highlight w:val="none"/>
        </w:rPr>
        <w:t>法定代表人（授权代表）：</w:t>
      </w:r>
    </w:p>
    <w:p w14:paraId="41055B93">
      <w:pPr>
        <w:spacing w:line="360" w:lineRule="auto"/>
        <w:ind w:firstLine="315" w:firstLineChars="150"/>
        <w:textAlignment w:val="baseline"/>
        <w:rPr>
          <w:color w:val="auto"/>
          <w:sz w:val="20"/>
          <w:highlight w:val="none"/>
        </w:rPr>
      </w:pPr>
      <w:r>
        <w:rPr>
          <w:rFonts w:hint="eastAsia" w:ascii="宋体" w:hAnsi="宋体"/>
          <w:color w:val="auto"/>
          <w:highlight w:val="none"/>
        </w:rPr>
        <w:t>签约日期：</w:t>
      </w:r>
      <w:bookmarkStart w:id="8" w:name="现场签证通知单"/>
      <w:bookmarkEnd w:id="8"/>
      <w:bookmarkStart w:id="9" w:name="设计变更通知单"/>
      <w:bookmarkEnd w:id="9"/>
      <w:r>
        <w:rPr>
          <w:rFonts w:hint="eastAsia" w:ascii="宋体" w:hAnsi="宋体"/>
          <w:color w:val="auto"/>
          <w:highlight w:val="none"/>
          <w:u w:val="single"/>
        </w:rPr>
        <w:t xml:space="preserve">    年  月  日</w:t>
      </w:r>
      <w:r>
        <w:rPr>
          <w:color w:val="auto"/>
          <w:highlight w:val="none"/>
        </w:rPr>
        <w:tab/>
      </w:r>
      <w:r>
        <w:rPr>
          <w:rFonts w:hint="eastAsia"/>
          <w:color w:val="auto"/>
          <w:highlight w:val="none"/>
        </w:rPr>
        <w:t xml:space="preserve">              </w:t>
      </w:r>
      <w:r>
        <w:rPr>
          <w:rFonts w:hint="eastAsia" w:ascii="宋体" w:hAnsi="宋体"/>
          <w:color w:val="auto"/>
          <w:highlight w:val="none"/>
        </w:rPr>
        <w:t>签约日期：</w:t>
      </w:r>
      <w:r>
        <w:rPr>
          <w:rFonts w:hint="eastAsia" w:ascii="宋体" w:hAnsi="宋体"/>
          <w:color w:val="auto"/>
          <w:highlight w:val="none"/>
          <w:u w:val="single"/>
        </w:rPr>
        <w:t xml:space="preserve">   年  月   日</w:t>
      </w:r>
    </w:p>
    <w:p w14:paraId="387F64A2">
      <w:pPr>
        <w:pStyle w:val="44"/>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09A06993">
      <w:pPr>
        <w:widowControl/>
        <w:spacing w:line="360" w:lineRule="auto"/>
        <w:jc w:val="center"/>
        <w:rPr>
          <w:rFonts w:ascii="仿宋" w:hAnsi="仿宋" w:eastAsia="仿宋" w:cs="仿宋"/>
          <w:b/>
          <w:bCs/>
          <w:color w:val="auto"/>
          <w:sz w:val="32"/>
          <w:szCs w:val="32"/>
          <w:highlight w:val="none"/>
        </w:rPr>
      </w:pPr>
      <w:bookmarkStart w:id="10" w:name="_Toc3217"/>
      <w:bookmarkStart w:id="11" w:name="_Toc3118"/>
      <w:bookmarkStart w:id="12" w:name="_Toc1367"/>
      <w:bookmarkStart w:id="13" w:name="_Toc30323"/>
      <w:bookmarkStart w:id="14" w:name="_Toc32088"/>
      <w:bookmarkStart w:id="15" w:name="_Toc10037"/>
      <w:bookmarkStart w:id="16" w:name="_Toc5428"/>
      <w:bookmarkStart w:id="17" w:name="_Toc28801"/>
      <w:bookmarkStart w:id="18" w:name="_Toc12220"/>
      <w:bookmarkStart w:id="19" w:name="_Toc30346"/>
      <w:r>
        <w:rPr>
          <w:rFonts w:hint="eastAsia" w:ascii="仿宋" w:hAnsi="仿宋" w:eastAsia="仿宋" w:cs="仿宋"/>
          <w:b/>
          <w:bCs/>
          <w:color w:val="auto"/>
          <w:sz w:val="32"/>
          <w:szCs w:val="32"/>
          <w:highlight w:val="none"/>
        </w:rPr>
        <w:t>报价保证金汇入情况说明</w:t>
      </w:r>
      <w:bookmarkEnd w:id="10"/>
      <w:bookmarkEnd w:id="11"/>
      <w:bookmarkEnd w:id="12"/>
      <w:bookmarkEnd w:id="13"/>
      <w:bookmarkEnd w:id="14"/>
      <w:bookmarkEnd w:id="15"/>
      <w:bookmarkEnd w:id="16"/>
      <w:bookmarkEnd w:id="17"/>
      <w:bookmarkEnd w:id="18"/>
      <w:bookmarkEnd w:id="19"/>
    </w:p>
    <w:p w14:paraId="5FB78BBC">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致：阳江开能环保能源有限公司</w:t>
      </w:r>
    </w:p>
    <w:p w14:paraId="4551477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30E7BB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6E34C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0377656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790DD1A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097CE99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435851A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078EE1F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1729056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0502F920">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148F5472">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F944E97">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6227BB2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7E74460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4B4C04D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7D1A387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711B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0FCF8240">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4790497D">
      <w:pPr>
        <w:pStyle w:val="44"/>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39298425">
      <w:pPr>
        <w:pStyle w:val="11"/>
        <w:ind w:firstLine="640"/>
        <w:rPr>
          <w:rFonts w:eastAsia="仿宋_GB2312"/>
          <w:color w:val="auto"/>
          <w:sz w:val="32"/>
          <w:szCs w:val="32"/>
          <w:highlight w:val="none"/>
        </w:rPr>
      </w:pPr>
    </w:p>
    <w:p w14:paraId="2E2008FA">
      <w:pPr>
        <w:rPr>
          <w:color w:val="auto"/>
          <w:highlight w:val="none"/>
        </w:rPr>
      </w:pPr>
    </w:p>
    <w:p w14:paraId="1727A4CB">
      <w:pPr>
        <w:pStyle w:val="9"/>
        <w:rPr>
          <w:color w:val="auto"/>
          <w:highlight w:val="none"/>
        </w:rPr>
      </w:pPr>
    </w:p>
    <w:p w14:paraId="5C0BAB19">
      <w:pPr>
        <w:pStyle w:val="10"/>
        <w:ind w:firstLine="210"/>
        <w:rPr>
          <w:color w:val="auto"/>
          <w:highlight w:val="none"/>
        </w:rPr>
      </w:pPr>
    </w:p>
    <w:p w14:paraId="30287D29">
      <w:pPr>
        <w:pStyle w:val="11"/>
        <w:ind w:firstLine="420"/>
        <w:rPr>
          <w:color w:val="auto"/>
          <w:highlight w:val="none"/>
        </w:rPr>
      </w:pPr>
    </w:p>
    <w:p w14:paraId="296F0967">
      <w:pPr>
        <w:rPr>
          <w:color w:val="auto"/>
          <w:highlight w:val="none"/>
        </w:rPr>
      </w:pPr>
    </w:p>
    <w:p w14:paraId="0D0288CF">
      <w:pPr>
        <w:pStyle w:val="9"/>
        <w:rPr>
          <w:color w:val="auto"/>
          <w:highlight w:val="none"/>
        </w:rPr>
      </w:pPr>
    </w:p>
    <w:p w14:paraId="48DF8558">
      <w:pPr>
        <w:pStyle w:val="10"/>
        <w:ind w:firstLine="210"/>
        <w:rPr>
          <w:color w:val="auto"/>
          <w:highlight w:val="none"/>
        </w:rPr>
      </w:pPr>
    </w:p>
    <w:p w14:paraId="71061BE6">
      <w:pPr>
        <w:pStyle w:val="11"/>
        <w:ind w:firstLine="420"/>
        <w:rPr>
          <w:color w:val="auto"/>
          <w:highlight w:val="none"/>
        </w:rPr>
      </w:pPr>
    </w:p>
    <w:p w14:paraId="70C43626">
      <w:pPr>
        <w:rPr>
          <w:color w:val="auto"/>
          <w:highlight w:val="none"/>
        </w:rPr>
      </w:pPr>
    </w:p>
    <w:p w14:paraId="7B45CF35">
      <w:pPr>
        <w:pStyle w:val="9"/>
        <w:rPr>
          <w:color w:val="auto"/>
          <w:highlight w:val="none"/>
        </w:rPr>
      </w:pPr>
    </w:p>
    <w:p w14:paraId="49413E59">
      <w:pPr>
        <w:pStyle w:val="10"/>
        <w:ind w:firstLine="210"/>
        <w:rPr>
          <w:color w:val="auto"/>
          <w:highlight w:val="none"/>
        </w:rPr>
      </w:pPr>
    </w:p>
    <w:p w14:paraId="585D0B04">
      <w:pPr>
        <w:pStyle w:val="11"/>
        <w:ind w:firstLine="420"/>
        <w:rPr>
          <w:color w:val="auto"/>
          <w:highlight w:val="none"/>
        </w:rPr>
      </w:pPr>
    </w:p>
    <w:p w14:paraId="30310946">
      <w:pPr>
        <w:rPr>
          <w:color w:val="auto"/>
          <w:highlight w:val="none"/>
        </w:rPr>
      </w:pPr>
    </w:p>
    <w:p w14:paraId="3A404039">
      <w:pPr>
        <w:pStyle w:val="9"/>
        <w:rPr>
          <w:color w:val="auto"/>
          <w:highlight w:val="none"/>
        </w:rPr>
      </w:pPr>
    </w:p>
    <w:p w14:paraId="6313139E">
      <w:pPr>
        <w:pStyle w:val="10"/>
        <w:ind w:firstLine="210"/>
        <w:rPr>
          <w:color w:val="auto"/>
          <w:highlight w:val="none"/>
        </w:rPr>
      </w:pPr>
    </w:p>
    <w:p w14:paraId="5C59E7FE">
      <w:pPr>
        <w:pStyle w:val="11"/>
        <w:ind w:firstLine="420"/>
        <w:rPr>
          <w:color w:val="auto"/>
          <w:highlight w:val="none"/>
        </w:rPr>
      </w:pPr>
    </w:p>
    <w:p w14:paraId="5D70162E">
      <w:pPr>
        <w:rPr>
          <w:color w:val="auto"/>
          <w:highlight w:val="none"/>
        </w:rPr>
      </w:pPr>
    </w:p>
    <w:p w14:paraId="3664F4E4">
      <w:pPr>
        <w:pStyle w:val="9"/>
        <w:rPr>
          <w:color w:val="auto"/>
          <w:highlight w:val="none"/>
        </w:rPr>
      </w:pPr>
    </w:p>
    <w:p w14:paraId="495335E4">
      <w:pPr>
        <w:pStyle w:val="10"/>
        <w:ind w:firstLine="210"/>
        <w:rPr>
          <w:color w:val="auto"/>
          <w:highlight w:val="none"/>
        </w:rPr>
      </w:pPr>
    </w:p>
    <w:p w14:paraId="39DD60AC">
      <w:pPr>
        <w:pStyle w:val="11"/>
        <w:ind w:firstLine="420"/>
        <w:rPr>
          <w:color w:val="auto"/>
          <w:highlight w:val="none"/>
        </w:rPr>
      </w:pPr>
    </w:p>
    <w:p w14:paraId="0A155318">
      <w:pPr>
        <w:rPr>
          <w:color w:val="auto"/>
          <w:highlight w:val="none"/>
        </w:rPr>
      </w:pPr>
    </w:p>
    <w:p w14:paraId="79F9D68A">
      <w:pPr>
        <w:pStyle w:val="9"/>
        <w:rPr>
          <w:color w:val="auto"/>
          <w:highlight w:val="none"/>
        </w:rPr>
      </w:pPr>
    </w:p>
    <w:p w14:paraId="710832B2">
      <w:pPr>
        <w:pStyle w:val="10"/>
        <w:ind w:firstLine="210"/>
        <w:rPr>
          <w:color w:val="auto"/>
          <w:highlight w:val="none"/>
        </w:rPr>
      </w:pPr>
    </w:p>
    <w:p w14:paraId="03D911B1">
      <w:pPr>
        <w:pStyle w:val="11"/>
        <w:ind w:firstLine="420"/>
        <w:rPr>
          <w:color w:val="auto"/>
          <w:highlight w:val="none"/>
        </w:rPr>
      </w:pPr>
    </w:p>
    <w:p w14:paraId="558DF698">
      <w:pPr>
        <w:rPr>
          <w:color w:val="auto"/>
          <w:highlight w:val="none"/>
        </w:rPr>
      </w:pPr>
    </w:p>
    <w:p w14:paraId="7F3459E6">
      <w:pPr>
        <w:pStyle w:val="9"/>
        <w:rPr>
          <w:color w:val="auto"/>
          <w:highlight w:val="none"/>
        </w:rPr>
      </w:pPr>
    </w:p>
    <w:p w14:paraId="181AD434">
      <w:pPr>
        <w:pStyle w:val="10"/>
        <w:ind w:firstLine="210"/>
        <w:rPr>
          <w:color w:val="auto"/>
          <w:highlight w:val="none"/>
        </w:rPr>
      </w:pPr>
    </w:p>
    <w:p w14:paraId="58C742CD">
      <w:pPr>
        <w:pStyle w:val="11"/>
        <w:ind w:firstLine="420"/>
        <w:rPr>
          <w:color w:val="auto"/>
          <w:highlight w:val="none"/>
        </w:rPr>
      </w:pPr>
    </w:p>
    <w:p w14:paraId="78C358DA">
      <w:pPr>
        <w:rPr>
          <w:color w:val="auto"/>
          <w:highlight w:val="none"/>
        </w:rPr>
      </w:pPr>
    </w:p>
    <w:p w14:paraId="4FA43156">
      <w:pPr>
        <w:pStyle w:val="9"/>
        <w:rPr>
          <w:color w:val="auto"/>
          <w:highlight w:val="none"/>
        </w:rPr>
      </w:pPr>
    </w:p>
    <w:p w14:paraId="5EC9D5F5">
      <w:pPr>
        <w:pStyle w:val="10"/>
        <w:ind w:firstLine="210"/>
        <w:rPr>
          <w:color w:val="auto"/>
          <w:highlight w:val="none"/>
        </w:rPr>
      </w:pPr>
    </w:p>
    <w:p w14:paraId="55F347C4">
      <w:pPr>
        <w:pStyle w:val="11"/>
        <w:ind w:firstLine="420"/>
        <w:rPr>
          <w:color w:val="auto"/>
          <w:highlight w:val="none"/>
        </w:rPr>
      </w:pPr>
    </w:p>
    <w:p w14:paraId="5C9BBE2F">
      <w:pPr>
        <w:pStyle w:val="44"/>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w:t>
      </w:r>
      <w:r>
        <w:rPr>
          <w:rFonts w:hint="eastAsia" w:eastAsia="黑体"/>
          <w:color w:val="auto"/>
          <w:sz w:val="28"/>
          <w:szCs w:val="44"/>
          <w:highlight w:val="none"/>
          <w:lang w:val="en-US" w:eastAsia="zh-CN"/>
        </w:rPr>
        <w:t>及资质文件</w:t>
      </w:r>
      <w:r>
        <w:rPr>
          <w:rFonts w:hint="eastAsia" w:eastAsia="黑体"/>
          <w:color w:val="auto"/>
          <w:sz w:val="28"/>
          <w:szCs w:val="44"/>
          <w:highlight w:val="none"/>
        </w:rPr>
        <w:t>（加盖公章）</w:t>
      </w:r>
    </w:p>
    <w:p w14:paraId="76550213">
      <w:pPr>
        <w:pStyle w:val="44"/>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22107F24">
      <w:pPr>
        <w:rPr>
          <w:color w:val="auto"/>
          <w:highlight w:val="none"/>
        </w:rPr>
      </w:pPr>
    </w:p>
    <w:p w14:paraId="16290210">
      <w:pPr>
        <w:spacing w:line="400" w:lineRule="exac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提供电力工程施工总承包三级或电力承装（修、试）三级及以上资质证书，且在有效期内。【提供资质证书复印件（加盖公章）】</w:t>
      </w:r>
    </w:p>
    <w:p w14:paraId="54DCDCB3">
      <w:pPr>
        <w:spacing w:line="400" w:lineRule="exact"/>
        <w:rPr>
          <w:rFonts w:hint="eastAsia" w:ascii="仿宋_GB2312" w:hAnsi="仿宋_GB2312" w:eastAsia="仿宋_GB2312" w:cs="仿宋_GB2312"/>
          <w:color w:val="auto"/>
          <w:kern w:val="2"/>
          <w:sz w:val="32"/>
          <w:szCs w:val="32"/>
          <w:highlight w:val="none"/>
          <w:lang w:val="en-US" w:eastAsia="zh-CN" w:bidi="ar-SA"/>
        </w:rPr>
      </w:pPr>
    </w:p>
    <w:p w14:paraId="12570A4F">
      <w:pPr>
        <w:pStyle w:val="9"/>
        <w:rPr>
          <w:color w:val="auto"/>
          <w:highlight w:val="none"/>
        </w:rPr>
      </w:pPr>
    </w:p>
    <w:p w14:paraId="09444211">
      <w:pPr>
        <w:pStyle w:val="10"/>
        <w:ind w:firstLine="210"/>
        <w:rPr>
          <w:color w:val="auto"/>
          <w:highlight w:val="none"/>
        </w:rPr>
      </w:pPr>
    </w:p>
    <w:p w14:paraId="0B6A254A">
      <w:pPr>
        <w:pStyle w:val="11"/>
        <w:ind w:firstLine="420"/>
        <w:rPr>
          <w:color w:val="auto"/>
          <w:highlight w:val="none"/>
        </w:rPr>
      </w:pPr>
    </w:p>
    <w:p w14:paraId="7E37F997">
      <w:pPr>
        <w:rPr>
          <w:color w:val="auto"/>
          <w:highlight w:val="none"/>
        </w:rPr>
      </w:pPr>
    </w:p>
    <w:p w14:paraId="74337A1A">
      <w:pPr>
        <w:pStyle w:val="9"/>
        <w:rPr>
          <w:color w:val="auto"/>
          <w:highlight w:val="none"/>
        </w:rPr>
      </w:pPr>
    </w:p>
    <w:p w14:paraId="28039C92">
      <w:pPr>
        <w:pStyle w:val="10"/>
        <w:ind w:firstLine="210"/>
        <w:rPr>
          <w:color w:val="auto"/>
          <w:highlight w:val="none"/>
        </w:rPr>
      </w:pPr>
    </w:p>
    <w:p w14:paraId="0CF5D48E">
      <w:pPr>
        <w:pStyle w:val="11"/>
        <w:ind w:firstLine="420"/>
        <w:rPr>
          <w:color w:val="auto"/>
          <w:highlight w:val="none"/>
        </w:rPr>
      </w:pPr>
    </w:p>
    <w:p w14:paraId="6BB6F695">
      <w:pPr>
        <w:rPr>
          <w:color w:val="auto"/>
          <w:highlight w:val="none"/>
        </w:rPr>
      </w:pPr>
    </w:p>
    <w:p w14:paraId="754019EB">
      <w:pPr>
        <w:pStyle w:val="9"/>
        <w:rPr>
          <w:color w:val="auto"/>
          <w:highlight w:val="none"/>
        </w:rPr>
      </w:pPr>
    </w:p>
    <w:p w14:paraId="2D0BC3E3">
      <w:pPr>
        <w:pStyle w:val="10"/>
        <w:ind w:firstLine="210"/>
        <w:rPr>
          <w:color w:val="auto"/>
          <w:highlight w:val="none"/>
        </w:rPr>
      </w:pPr>
    </w:p>
    <w:p w14:paraId="415CA72D">
      <w:pPr>
        <w:pStyle w:val="11"/>
        <w:ind w:firstLine="420"/>
        <w:rPr>
          <w:color w:val="auto"/>
          <w:highlight w:val="none"/>
        </w:rPr>
      </w:pPr>
    </w:p>
    <w:p w14:paraId="13F6E040">
      <w:pPr>
        <w:rPr>
          <w:color w:val="auto"/>
          <w:highlight w:val="none"/>
        </w:rPr>
      </w:pPr>
    </w:p>
    <w:p w14:paraId="47422229">
      <w:pPr>
        <w:pStyle w:val="9"/>
        <w:rPr>
          <w:color w:val="auto"/>
          <w:highlight w:val="none"/>
        </w:rPr>
      </w:pPr>
    </w:p>
    <w:p w14:paraId="5392111C">
      <w:pPr>
        <w:pStyle w:val="10"/>
        <w:ind w:firstLine="210"/>
        <w:rPr>
          <w:color w:val="auto"/>
          <w:highlight w:val="none"/>
        </w:rPr>
      </w:pPr>
    </w:p>
    <w:p w14:paraId="008EED66">
      <w:pPr>
        <w:pStyle w:val="11"/>
        <w:ind w:firstLine="420"/>
        <w:rPr>
          <w:color w:val="auto"/>
          <w:highlight w:val="none"/>
        </w:rPr>
      </w:pPr>
    </w:p>
    <w:p w14:paraId="2950199C">
      <w:pPr>
        <w:rPr>
          <w:color w:val="auto"/>
          <w:highlight w:val="none"/>
        </w:rPr>
      </w:pPr>
    </w:p>
    <w:p w14:paraId="60EFDEC0">
      <w:pPr>
        <w:pStyle w:val="9"/>
        <w:rPr>
          <w:color w:val="auto"/>
          <w:highlight w:val="none"/>
        </w:rPr>
      </w:pPr>
    </w:p>
    <w:p w14:paraId="4CF1E3A1">
      <w:pPr>
        <w:pStyle w:val="10"/>
        <w:ind w:firstLine="210"/>
        <w:rPr>
          <w:color w:val="auto"/>
          <w:highlight w:val="none"/>
        </w:rPr>
      </w:pPr>
    </w:p>
    <w:p w14:paraId="473707A2">
      <w:pPr>
        <w:pStyle w:val="11"/>
        <w:ind w:firstLine="420"/>
        <w:rPr>
          <w:color w:val="auto"/>
          <w:highlight w:val="none"/>
        </w:rPr>
      </w:pPr>
    </w:p>
    <w:p w14:paraId="61D590EB">
      <w:pPr>
        <w:rPr>
          <w:color w:val="auto"/>
          <w:highlight w:val="none"/>
        </w:rPr>
      </w:pPr>
    </w:p>
    <w:p w14:paraId="1D4988DD">
      <w:pPr>
        <w:pStyle w:val="9"/>
        <w:rPr>
          <w:color w:val="auto"/>
          <w:highlight w:val="none"/>
        </w:rPr>
      </w:pPr>
    </w:p>
    <w:p w14:paraId="75E1322C">
      <w:pPr>
        <w:pStyle w:val="10"/>
        <w:ind w:firstLine="210"/>
        <w:rPr>
          <w:color w:val="auto"/>
          <w:highlight w:val="none"/>
        </w:rPr>
      </w:pPr>
    </w:p>
    <w:p w14:paraId="1F38165F">
      <w:pPr>
        <w:pStyle w:val="11"/>
        <w:ind w:firstLine="420"/>
        <w:rPr>
          <w:color w:val="auto"/>
          <w:highlight w:val="none"/>
        </w:rPr>
      </w:pPr>
    </w:p>
    <w:p w14:paraId="43C61B0D">
      <w:pPr>
        <w:rPr>
          <w:color w:val="auto"/>
          <w:highlight w:val="none"/>
        </w:rPr>
      </w:pPr>
    </w:p>
    <w:p w14:paraId="58DE638C">
      <w:pPr>
        <w:pStyle w:val="9"/>
        <w:rPr>
          <w:color w:val="auto"/>
          <w:highlight w:val="none"/>
        </w:rPr>
      </w:pPr>
    </w:p>
    <w:p w14:paraId="7B55BBF8">
      <w:pPr>
        <w:pStyle w:val="10"/>
        <w:ind w:firstLine="210"/>
        <w:rPr>
          <w:color w:val="auto"/>
          <w:highlight w:val="none"/>
        </w:rPr>
      </w:pPr>
    </w:p>
    <w:p w14:paraId="7D3D96B6">
      <w:pPr>
        <w:pStyle w:val="11"/>
        <w:ind w:left="0" w:leftChars="0" w:firstLine="0" w:firstLineChars="0"/>
        <w:rPr>
          <w:color w:val="auto"/>
          <w:highlight w:val="none"/>
        </w:rPr>
      </w:pPr>
    </w:p>
    <w:p w14:paraId="4D69D519">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0B78C0A0">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4182FC13">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3DB5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E3970AA">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02803B46">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451B5296">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4D635AC8">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361A0A80">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6C93425D">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4A02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D7FE74">
            <w:pPr>
              <w:jc w:val="center"/>
              <w:rPr>
                <w:rFonts w:ascii="宋体" w:hAnsi="宋体" w:cs="宋体"/>
                <w:color w:val="auto"/>
                <w:sz w:val="24"/>
                <w:highlight w:val="none"/>
              </w:rPr>
            </w:pPr>
          </w:p>
        </w:tc>
        <w:tc>
          <w:tcPr>
            <w:tcW w:w="2120" w:type="dxa"/>
            <w:vAlign w:val="center"/>
          </w:tcPr>
          <w:p w14:paraId="0AC16AEC">
            <w:pPr>
              <w:jc w:val="center"/>
              <w:rPr>
                <w:rFonts w:ascii="宋体" w:hAnsi="宋体" w:cs="宋体"/>
                <w:color w:val="auto"/>
                <w:sz w:val="24"/>
                <w:highlight w:val="none"/>
              </w:rPr>
            </w:pPr>
          </w:p>
        </w:tc>
        <w:tc>
          <w:tcPr>
            <w:tcW w:w="1958" w:type="dxa"/>
            <w:vAlign w:val="center"/>
          </w:tcPr>
          <w:p w14:paraId="57497EEE">
            <w:pPr>
              <w:jc w:val="center"/>
              <w:rPr>
                <w:rFonts w:ascii="宋体" w:hAnsi="宋体" w:cs="宋体"/>
                <w:color w:val="auto"/>
                <w:sz w:val="24"/>
                <w:highlight w:val="none"/>
              </w:rPr>
            </w:pPr>
          </w:p>
        </w:tc>
        <w:tc>
          <w:tcPr>
            <w:tcW w:w="1955" w:type="dxa"/>
            <w:vAlign w:val="center"/>
          </w:tcPr>
          <w:p w14:paraId="47E2DD1C">
            <w:pPr>
              <w:jc w:val="center"/>
              <w:rPr>
                <w:rFonts w:ascii="宋体" w:hAnsi="宋体" w:cs="宋体"/>
                <w:color w:val="auto"/>
                <w:sz w:val="24"/>
                <w:highlight w:val="none"/>
              </w:rPr>
            </w:pPr>
          </w:p>
        </w:tc>
        <w:tc>
          <w:tcPr>
            <w:tcW w:w="832" w:type="dxa"/>
            <w:vAlign w:val="center"/>
          </w:tcPr>
          <w:p w14:paraId="258D5188">
            <w:pPr>
              <w:jc w:val="center"/>
              <w:rPr>
                <w:rFonts w:ascii="宋体" w:hAnsi="宋体" w:cs="宋体"/>
                <w:color w:val="auto"/>
                <w:sz w:val="24"/>
                <w:highlight w:val="none"/>
              </w:rPr>
            </w:pPr>
          </w:p>
        </w:tc>
        <w:tc>
          <w:tcPr>
            <w:tcW w:w="831" w:type="dxa"/>
            <w:vAlign w:val="center"/>
          </w:tcPr>
          <w:p w14:paraId="709A3C71">
            <w:pPr>
              <w:jc w:val="center"/>
              <w:rPr>
                <w:rFonts w:ascii="宋体" w:hAnsi="宋体" w:cs="宋体"/>
                <w:color w:val="auto"/>
                <w:sz w:val="24"/>
                <w:highlight w:val="none"/>
              </w:rPr>
            </w:pPr>
          </w:p>
        </w:tc>
      </w:tr>
      <w:tr w14:paraId="606B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B48E150">
            <w:pPr>
              <w:jc w:val="center"/>
              <w:rPr>
                <w:rFonts w:ascii="宋体" w:hAnsi="宋体" w:cs="宋体"/>
                <w:color w:val="auto"/>
                <w:sz w:val="24"/>
                <w:highlight w:val="none"/>
              </w:rPr>
            </w:pPr>
          </w:p>
        </w:tc>
        <w:tc>
          <w:tcPr>
            <w:tcW w:w="2120" w:type="dxa"/>
            <w:vAlign w:val="center"/>
          </w:tcPr>
          <w:p w14:paraId="77284226">
            <w:pPr>
              <w:jc w:val="center"/>
              <w:rPr>
                <w:rFonts w:ascii="宋体" w:hAnsi="宋体" w:cs="宋体"/>
                <w:color w:val="auto"/>
                <w:sz w:val="24"/>
                <w:highlight w:val="none"/>
              </w:rPr>
            </w:pPr>
          </w:p>
        </w:tc>
        <w:tc>
          <w:tcPr>
            <w:tcW w:w="1958" w:type="dxa"/>
            <w:vAlign w:val="center"/>
          </w:tcPr>
          <w:p w14:paraId="32BC9A6C">
            <w:pPr>
              <w:jc w:val="center"/>
              <w:rPr>
                <w:rFonts w:ascii="宋体" w:hAnsi="宋体" w:cs="宋体"/>
                <w:color w:val="auto"/>
                <w:sz w:val="24"/>
                <w:highlight w:val="none"/>
              </w:rPr>
            </w:pPr>
          </w:p>
        </w:tc>
        <w:tc>
          <w:tcPr>
            <w:tcW w:w="1955" w:type="dxa"/>
            <w:vAlign w:val="center"/>
          </w:tcPr>
          <w:p w14:paraId="00CD6AEA">
            <w:pPr>
              <w:jc w:val="center"/>
              <w:rPr>
                <w:rFonts w:ascii="宋体" w:hAnsi="宋体" w:cs="宋体"/>
                <w:color w:val="auto"/>
                <w:sz w:val="24"/>
                <w:highlight w:val="none"/>
              </w:rPr>
            </w:pPr>
          </w:p>
        </w:tc>
        <w:tc>
          <w:tcPr>
            <w:tcW w:w="832" w:type="dxa"/>
            <w:vAlign w:val="center"/>
          </w:tcPr>
          <w:p w14:paraId="24FAA107">
            <w:pPr>
              <w:jc w:val="center"/>
              <w:rPr>
                <w:rFonts w:ascii="宋体" w:hAnsi="宋体" w:cs="宋体"/>
                <w:color w:val="auto"/>
                <w:sz w:val="24"/>
                <w:highlight w:val="none"/>
              </w:rPr>
            </w:pPr>
          </w:p>
        </w:tc>
        <w:tc>
          <w:tcPr>
            <w:tcW w:w="831" w:type="dxa"/>
            <w:vAlign w:val="center"/>
          </w:tcPr>
          <w:p w14:paraId="2819D621">
            <w:pPr>
              <w:jc w:val="center"/>
              <w:rPr>
                <w:rFonts w:ascii="宋体" w:hAnsi="宋体" w:cs="宋体"/>
                <w:color w:val="auto"/>
                <w:sz w:val="24"/>
                <w:highlight w:val="none"/>
              </w:rPr>
            </w:pPr>
          </w:p>
        </w:tc>
      </w:tr>
      <w:tr w14:paraId="279C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BA211D">
            <w:pPr>
              <w:jc w:val="center"/>
              <w:rPr>
                <w:rFonts w:ascii="宋体" w:hAnsi="宋体" w:cs="宋体"/>
                <w:color w:val="auto"/>
                <w:sz w:val="24"/>
                <w:highlight w:val="none"/>
              </w:rPr>
            </w:pPr>
          </w:p>
        </w:tc>
        <w:tc>
          <w:tcPr>
            <w:tcW w:w="2120" w:type="dxa"/>
            <w:vAlign w:val="center"/>
          </w:tcPr>
          <w:p w14:paraId="679CC202">
            <w:pPr>
              <w:jc w:val="center"/>
              <w:rPr>
                <w:rFonts w:ascii="宋体" w:hAnsi="宋体" w:cs="宋体"/>
                <w:color w:val="auto"/>
                <w:sz w:val="24"/>
                <w:highlight w:val="none"/>
              </w:rPr>
            </w:pPr>
          </w:p>
        </w:tc>
        <w:tc>
          <w:tcPr>
            <w:tcW w:w="1958" w:type="dxa"/>
            <w:vAlign w:val="center"/>
          </w:tcPr>
          <w:p w14:paraId="787EFA2D">
            <w:pPr>
              <w:jc w:val="center"/>
              <w:rPr>
                <w:rFonts w:ascii="宋体" w:hAnsi="宋体" w:cs="宋体"/>
                <w:color w:val="auto"/>
                <w:sz w:val="24"/>
                <w:highlight w:val="none"/>
              </w:rPr>
            </w:pPr>
          </w:p>
        </w:tc>
        <w:tc>
          <w:tcPr>
            <w:tcW w:w="1955" w:type="dxa"/>
            <w:vAlign w:val="center"/>
          </w:tcPr>
          <w:p w14:paraId="4ED2D76D">
            <w:pPr>
              <w:jc w:val="center"/>
              <w:rPr>
                <w:rFonts w:ascii="宋体" w:hAnsi="宋体" w:cs="宋体"/>
                <w:color w:val="auto"/>
                <w:sz w:val="24"/>
                <w:highlight w:val="none"/>
              </w:rPr>
            </w:pPr>
          </w:p>
        </w:tc>
        <w:tc>
          <w:tcPr>
            <w:tcW w:w="832" w:type="dxa"/>
            <w:vAlign w:val="center"/>
          </w:tcPr>
          <w:p w14:paraId="45D3E1BE">
            <w:pPr>
              <w:jc w:val="center"/>
              <w:rPr>
                <w:rFonts w:ascii="宋体" w:hAnsi="宋体" w:cs="宋体"/>
                <w:color w:val="auto"/>
                <w:sz w:val="24"/>
                <w:highlight w:val="none"/>
              </w:rPr>
            </w:pPr>
          </w:p>
        </w:tc>
        <w:tc>
          <w:tcPr>
            <w:tcW w:w="831" w:type="dxa"/>
            <w:vAlign w:val="center"/>
          </w:tcPr>
          <w:p w14:paraId="7EF79B38">
            <w:pPr>
              <w:jc w:val="center"/>
              <w:rPr>
                <w:rFonts w:ascii="宋体" w:hAnsi="宋体" w:cs="宋体"/>
                <w:color w:val="auto"/>
                <w:sz w:val="24"/>
                <w:highlight w:val="none"/>
              </w:rPr>
            </w:pPr>
          </w:p>
        </w:tc>
      </w:tr>
      <w:tr w14:paraId="2CADA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6737DFB">
            <w:pPr>
              <w:jc w:val="center"/>
              <w:rPr>
                <w:rFonts w:ascii="宋体" w:hAnsi="宋体" w:cs="宋体"/>
                <w:color w:val="auto"/>
                <w:sz w:val="24"/>
                <w:highlight w:val="none"/>
              </w:rPr>
            </w:pPr>
          </w:p>
        </w:tc>
        <w:tc>
          <w:tcPr>
            <w:tcW w:w="2120" w:type="dxa"/>
            <w:vAlign w:val="center"/>
          </w:tcPr>
          <w:p w14:paraId="4A4E637F">
            <w:pPr>
              <w:jc w:val="center"/>
              <w:rPr>
                <w:rFonts w:ascii="宋体" w:hAnsi="宋体" w:cs="宋体"/>
                <w:color w:val="auto"/>
                <w:sz w:val="24"/>
                <w:highlight w:val="none"/>
              </w:rPr>
            </w:pPr>
          </w:p>
        </w:tc>
        <w:tc>
          <w:tcPr>
            <w:tcW w:w="1958" w:type="dxa"/>
            <w:vAlign w:val="center"/>
          </w:tcPr>
          <w:p w14:paraId="0F30C0F6">
            <w:pPr>
              <w:jc w:val="center"/>
              <w:rPr>
                <w:rFonts w:ascii="宋体" w:hAnsi="宋体" w:cs="宋体"/>
                <w:color w:val="auto"/>
                <w:sz w:val="24"/>
                <w:highlight w:val="none"/>
              </w:rPr>
            </w:pPr>
          </w:p>
        </w:tc>
        <w:tc>
          <w:tcPr>
            <w:tcW w:w="1955" w:type="dxa"/>
            <w:vAlign w:val="center"/>
          </w:tcPr>
          <w:p w14:paraId="1A844BFC">
            <w:pPr>
              <w:jc w:val="center"/>
              <w:rPr>
                <w:rFonts w:ascii="宋体" w:hAnsi="宋体" w:cs="宋体"/>
                <w:color w:val="auto"/>
                <w:sz w:val="24"/>
                <w:highlight w:val="none"/>
              </w:rPr>
            </w:pPr>
          </w:p>
        </w:tc>
        <w:tc>
          <w:tcPr>
            <w:tcW w:w="832" w:type="dxa"/>
            <w:vAlign w:val="center"/>
          </w:tcPr>
          <w:p w14:paraId="7C02C2C9">
            <w:pPr>
              <w:jc w:val="center"/>
              <w:rPr>
                <w:rFonts w:ascii="宋体" w:hAnsi="宋体" w:cs="宋体"/>
                <w:color w:val="auto"/>
                <w:sz w:val="24"/>
                <w:highlight w:val="none"/>
              </w:rPr>
            </w:pPr>
          </w:p>
        </w:tc>
        <w:tc>
          <w:tcPr>
            <w:tcW w:w="831" w:type="dxa"/>
            <w:vAlign w:val="center"/>
          </w:tcPr>
          <w:p w14:paraId="7D9C5185">
            <w:pPr>
              <w:jc w:val="center"/>
              <w:rPr>
                <w:rFonts w:ascii="宋体" w:hAnsi="宋体" w:cs="宋体"/>
                <w:color w:val="auto"/>
                <w:sz w:val="24"/>
                <w:highlight w:val="none"/>
              </w:rPr>
            </w:pPr>
          </w:p>
        </w:tc>
      </w:tr>
      <w:tr w14:paraId="4DD0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1AA108D">
            <w:pPr>
              <w:jc w:val="center"/>
              <w:rPr>
                <w:rFonts w:ascii="宋体" w:hAnsi="宋体" w:cs="宋体"/>
                <w:color w:val="auto"/>
                <w:sz w:val="24"/>
                <w:highlight w:val="none"/>
              </w:rPr>
            </w:pPr>
          </w:p>
        </w:tc>
        <w:tc>
          <w:tcPr>
            <w:tcW w:w="2120" w:type="dxa"/>
            <w:vAlign w:val="center"/>
          </w:tcPr>
          <w:p w14:paraId="37574FFC">
            <w:pPr>
              <w:jc w:val="center"/>
              <w:rPr>
                <w:rFonts w:ascii="宋体" w:hAnsi="宋体" w:cs="宋体"/>
                <w:color w:val="auto"/>
                <w:sz w:val="24"/>
                <w:highlight w:val="none"/>
              </w:rPr>
            </w:pPr>
          </w:p>
        </w:tc>
        <w:tc>
          <w:tcPr>
            <w:tcW w:w="1958" w:type="dxa"/>
            <w:vAlign w:val="center"/>
          </w:tcPr>
          <w:p w14:paraId="44ABC0F0">
            <w:pPr>
              <w:jc w:val="center"/>
              <w:rPr>
                <w:rFonts w:ascii="宋体" w:hAnsi="宋体" w:cs="宋体"/>
                <w:color w:val="auto"/>
                <w:sz w:val="24"/>
                <w:highlight w:val="none"/>
              </w:rPr>
            </w:pPr>
          </w:p>
        </w:tc>
        <w:tc>
          <w:tcPr>
            <w:tcW w:w="1955" w:type="dxa"/>
            <w:vAlign w:val="center"/>
          </w:tcPr>
          <w:p w14:paraId="2FF2F971">
            <w:pPr>
              <w:jc w:val="center"/>
              <w:rPr>
                <w:rFonts w:ascii="宋体" w:hAnsi="宋体" w:cs="宋体"/>
                <w:color w:val="auto"/>
                <w:sz w:val="24"/>
                <w:highlight w:val="none"/>
              </w:rPr>
            </w:pPr>
          </w:p>
        </w:tc>
        <w:tc>
          <w:tcPr>
            <w:tcW w:w="832" w:type="dxa"/>
            <w:vAlign w:val="center"/>
          </w:tcPr>
          <w:p w14:paraId="0BB5BB59">
            <w:pPr>
              <w:jc w:val="center"/>
              <w:rPr>
                <w:rFonts w:ascii="宋体" w:hAnsi="宋体" w:cs="宋体"/>
                <w:color w:val="auto"/>
                <w:sz w:val="24"/>
                <w:highlight w:val="none"/>
              </w:rPr>
            </w:pPr>
          </w:p>
        </w:tc>
        <w:tc>
          <w:tcPr>
            <w:tcW w:w="831" w:type="dxa"/>
            <w:vAlign w:val="center"/>
          </w:tcPr>
          <w:p w14:paraId="77373A7E">
            <w:pPr>
              <w:jc w:val="center"/>
              <w:rPr>
                <w:rFonts w:ascii="宋体" w:hAnsi="宋体" w:cs="宋体"/>
                <w:color w:val="auto"/>
                <w:sz w:val="24"/>
                <w:highlight w:val="none"/>
              </w:rPr>
            </w:pPr>
          </w:p>
        </w:tc>
      </w:tr>
      <w:tr w14:paraId="3D1E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E2AAC71">
            <w:pPr>
              <w:jc w:val="center"/>
              <w:rPr>
                <w:rFonts w:ascii="宋体" w:hAnsi="宋体" w:cs="宋体"/>
                <w:color w:val="auto"/>
                <w:sz w:val="24"/>
                <w:highlight w:val="none"/>
              </w:rPr>
            </w:pPr>
          </w:p>
        </w:tc>
        <w:tc>
          <w:tcPr>
            <w:tcW w:w="2120" w:type="dxa"/>
            <w:vAlign w:val="center"/>
          </w:tcPr>
          <w:p w14:paraId="5E0E5325">
            <w:pPr>
              <w:jc w:val="center"/>
              <w:rPr>
                <w:rFonts w:ascii="宋体" w:hAnsi="宋体" w:cs="宋体"/>
                <w:color w:val="auto"/>
                <w:sz w:val="24"/>
                <w:highlight w:val="none"/>
              </w:rPr>
            </w:pPr>
          </w:p>
        </w:tc>
        <w:tc>
          <w:tcPr>
            <w:tcW w:w="1958" w:type="dxa"/>
            <w:vAlign w:val="center"/>
          </w:tcPr>
          <w:p w14:paraId="46108681">
            <w:pPr>
              <w:jc w:val="center"/>
              <w:rPr>
                <w:rFonts w:ascii="宋体" w:hAnsi="宋体" w:cs="宋体"/>
                <w:color w:val="auto"/>
                <w:sz w:val="24"/>
                <w:highlight w:val="none"/>
              </w:rPr>
            </w:pPr>
          </w:p>
        </w:tc>
        <w:tc>
          <w:tcPr>
            <w:tcW w:w="1955" w:type="dxa"/>
            <w:vAlign w:val="center"/>
          </w:tcPr>
          <w:p w14:paraId="62FDCC29">
            <w:pPr>
              <w:jc w:val="center"/>
              <w:rPr>
                <w:rFonts w:ascii="宋体" w:hAnsi="宋体" w:cs="宋体"/>
                <w:color w:val="auto"/>
                <w:sz w:val="24"/>
                <w:highlight w:val="none"/>
              </w:rPr>
            </w:pPr>
          </w:p>
        </w:tc>
        <w:tc>
          <w:tcPr>
            <w:tcW w:w="832" w:type="dxa"/>
            <w:vAlign w:val="center"/>
          </w:tcPr>
          <w:p w14:paraId="6F2D13BE">
            <w:pPr>
              <w:jc w:val="center"/>
              <w:rPr>
                <w:rFonts w:ascii="宋体" w:hAnsi="宋体" w:cs="宋体"/>
                <w:color w:val="auto"/>
                <w:sz w:val="24"/>
                <w:highlight w:val="none"/>
              </w:rPr>
            </w:pPr>
          </w:p>
        </w:tc>
        <w:tc>
          <w:tcPr>
            <w:tcW w:w="831" w:type="dxa"/>
            <w:vAlign w:val="center"/>
          </w:tcPr>
          <w:p w14:paraId="7AE0D3DF">
            <w:pPr>
              <w:jc w:val="center"/>
              <w:rPr>
                <w:rFonts w:ascii="宋体" w:hAnsi="宋体" w:cs="宋体"/>
                <w:color w:val="auto"/>
                <w:sz w:val="24"/>
                <w:highlight w:val="none"/>
              </w:rPr>
            </w:pPr>
          </w:p>
        </w:tc>
      </w:tr>
      <w:tr w14:paraId="7613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069CEA">
            <w:pPr>
              <w:jc w:val="center"/>
              <w:rPr>
                <w:rFonts w:ascii="宋体" w:hAnsi="宋体" w:cs="宋体"/>
                <w:color w:val="auto"/>
                <w:sz w:val="24"/>
                <w:highlight w:val="none"/>
              </w:rPr>
            </w:pPr>
          </w:p>
        </w:tc>
        <w:tc>
          <w:tcPr>
            <w:tcW w:w="2120" w:type="dxa"/>
            <w:vAlign w:val="center"/>
          </w:tcPr>
          <w:p w14:paraId="73EDE1DC">
            <w:pPr>
              <w:jc w:val="center"/>
              <w:rPr>
                <w:rFonts w:ascii="宋体" w:hAnsi="宋体" w:cs="宋体"/>
                <w:color w:val="auto"/>
                <w:sz w:val="24"/>
                <w:highlight w:val="none"/>
              </w:rPr>
            </w:pPr>
          </w:p>
        </w:tc>
        <w:tc>
          <w:tcPr>
            <w:tcW w:w="1958" w:type="dxa"/>
            <w:vAlign w:val="center"/>
          </w:tcPr>
          <w:p w14:paraId="416ADE1D">
            <w:pPr>
              <w:jc w:val="center"/>
              <w:rPr>
                <w:rFonts w:ascii="宋体" w:hAnsi="宋体" w:cs="宋体"/>
                <w:color w:val="auto"/>
                <w:sz w:val="24"/>
                <w:highlight w:val="none"/>
              </w:rPr>
            </w:pPr>
          </w:p>
        </w:tc>
        <w:tc>
          <w:tcPr>
            <w:tcW w:w="1955" w:type="dxa"/>
            <w:vAlign w:val="center"/>
          </w:tcPr>
          <w:p w14:paraId="013175BF">
            <w:pPr>
              <w:jc w:val="center"/>
              <w:rPr>
                <w:rFonts w:ascii="宋体" w:hAnsi="宋体" w:cs="宋体"/>
                <w:color w:val="auto"/>
                <w:sz w:val="24"/>
                <w:highlight w:val="none"/>
              </w:rPr>
            </w:pPr>
          </w:p>
        </w:tc>
        <w:tc>
          <w:tcPr>
            <w:tcW w:w="832" w:type="dxa"/>
            <w:vAlign w:val="center"/>
          </w:tcPr>
          <w:p w14:paraId="27BD93D2">
            <w:pPr>
              <w:jc w:val="center"/>
              <w:rPr>
                <w:rFonts w:ascii="宋体" w:hAnsi="宋体" w:cs="宋体"/>
                <w:color w:val="auto"/>
                <w:sz w:val="24"/>
                <w:highlight w:val="none"/>
              </w:rPr>
            </w:pPr>
          </w:p>
        </w:tc>
        <w:tc>
          <w:tcPr>
            <w:tcW w:w="831" w:type="dxa"/>
            <w:vAlign w:val="center"/>
          </w:tcPr>
          <w:p w14:paraId="12E2C49C">
            <w:pPr>
              <w:jc w:val="center"/>
              <w:rPr>
                <w:rFonts w:ascii="宋体" w:hAnsi="宋体" w:cs="宋体"/>
                <w:color w:val="auto"/>
                <w:sz w:val="24"/>
                <w:highlight w:val="none"/>
              </w:rPr>
            </w:pPr>
          </w:p>
        </w:tc>
      </w:tr>
    </w:tbl>
    <w:p w14:paraId="59E8D907">
      <w:pPr>
        <w:ind w:firstLine="480" w:firstLineChars="200"/>
        <w:jc w:val="left"/>
        <w:rPr>
          <w:rFonts w:ascii="宋体" w:hAnsi="宋体" w:cs="宋体"/>
          <w:color w:val="auto"/>
          <w:sz w:val="24"/>
          <w:highlight w:val="none"/>
        </w:rPr>
      </w:pPr>
    </w:p>
    <w:p w14:paraId="551982D1">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0EB75311">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6ADFA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0ECE82B8">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w:t>
      </w:r>
      <w:r>
        <w:rPr>
          <w:rFonts w:hint="eastAsia" w:ascii="宋体" w:hAnsi="宋体" w:cs="宋体"/>
          <w:color w:val="auto"/>
          <w:sz w:val="24"/>
          <w:highlight w:val="none"/>
          <w:lang w:val="en-US" w:eastAsia="zh-CN"/>
        </w:rPr>
        <w:t>六</w:t>
      </w:r>
      <w:r>
        <w:rPr>
          <w:rFonts w:hint="eastAsia" w:ascii="宋体" w:hAnsi="宋体" w:cs="宋体"/>
          <w:color w:val="auto"/>
          <w:sz w:val="24"/>
          <w:highlight w:val="none"/>
        </w:rPr>
        <w:t>《技术</w:t>
      </w:r>
      <w:r>
        <w:rPr>
          <w:rFonts w:hint="eastAsia" w:ascii="宋体" w:hAnsi="宋体" w:cs="宋体"/>
          <w:color w:val="auto"/>
          <w:sz w:val="24"/>
          <w:highlight w:val="none"/>
          <w:lang w:val="en-US" w:eastAsia="zh-CN"/>
        </w:rPr>
        <w:t>协议</w:t>
      </w:r>
      <w:r>
        <w:rPr>
          <w:rFonts w:hint="eastAsia" w:ascii="宋体" w:hAnsi="宋体" w:cs="宋体"/>
          <w:color w:val="auto"/>
          <w:sz w:val="24"/>
          <w:highlight w:val="none"/>
        </w:rPr>
        <w:t>》中的各项技术要求。</w:t>
      </w:r>
    </w:p>
    <w:p w14:paraId="5282A94F">
      <w:pPr>
        <w:spacing w:line="360" w:lineRule="exact"/>
        <w:ind w:firstLine="480" w:firstLineChars="200"/>
        <w:jc w:val="left"/>
        <w:rPr>
          <w:rFonts w:ascii="宋体" w:hAnsi="宋体" w:cs="宋体"/>
          <w:color w:val="auto"/>
          <w:sz w:val="24"/>
          <w:highlight w:val="none"/>
        </w:rPr>
      </w:pPr>
    </w:p>
    <w:p w14:paraId="4088BD96">
      <w:pPr>
        <w:spacing w:line="360" w:lineRule="exact"/>
        <w:ind w:firstLine="480" w:firstLineChars="200"/>
        <w:jc w:val="left"/>
        <w:rPr>
          <w:rFonts w:ascii="宋体" w:hAnsi="宋体" w:cs="宋体"/>
          <w:color w:val="auto"/>
          <w:sz w:val="24"/>
          <w:highlight w:val="none"/>
        </w:rPr>
      </w:pPr>
    </w:p>
    <w:p w14:paraId="05FAF39F">
      <w:pPr>
        <w:spacing w:line="360" w:lineRule="exact"/>
        <w:ind w:firstLine="480" w:firstLineChars="200"/>
        <w:jc w:val="left"/>
        <w:rPr>
          <w:rFonts w:ascii="宋体" w:hAnsi="宋体" w:cs="宋体"/>
          <w:color w:val="auto"/>
          <w:sz w:val="24"/>
          <w:highlight w:val="none"/>
        </w:rPr>
      </w:pPr>
    </w:p>
    <w:p w14:paraId="08E8482E">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08842B17">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3D71545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日      期：</w:t>
      </w:r>
    </w:p>
    <w:p w14:paraId="744D2388">
      <w:pPr>
        <w:pStyle w:val="22"/>
        <w:ind w:left="0" w:leftChars="0" w:firstLine="0" w:firstLineChars="0"/>
        <w:rPr>
          <w:rFonts w:hint="eastAsia" w:eastAsia="仿宋_GB2312"/>
          <w:color w:val="auto"/>
          <w:sz w:val="32"/>
          <w:szCs w:val="32"/>
          <w:highlight w:val="none"/>
          <w:lang w:eastAsia="zh-CN"/>
        </w:rPr>
      </w:pPr>
    </w:p>
    <w:p w14:paraId="47CAED44">
      <w:pPr>
        <w:widowControl/>
        <w:jc w:val="left"/>
        <w:rPr>
          <w:rFonts w:eastAsia="黑体"/>
          <w:color w:val="auto"/>
          <w:sz w:val="28"/>
          <w:szCs w:val="44"/>
          <w:highlight w:val="none"/>
        </w:rPr>
      </w:pPr>
    </w:p>
    <w:p w14:paraId="5C1A3C07">
      <w:pPr>
        <w:pStyle w:val="44"/>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十二</w:t>
      </w:r>
      <w:r>
        <w:rPr>
          <w:rFonts w:hint="eastAsia" w:eastAsia="黑体"/>
          <w:color w:val="auto"/>
          <w:sz w:val="28"/>
          <w:szCs w:val="44"/>
          <w:highlight w:val="none"/>
        </w:rPr>
        <w:t xml:space="preserve">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3"/>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阳江开能环保能源有限公司余热发电项目35KV变压器高压配电柜更换拆装施工及电气传动试验项目</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u w:val="single"/>
          <w:lang w:val="en-US" w:eastAsia="zh-CN"/>
        </w:rPr>
        <w:t>重新采购</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rPr>
        <w:t>，作出郑重说明：</w:t>
      </w:r>
    </w:p>
    <w:p w14:paraId="39FB9882">
      <w:pPr>
        <w:pStyle w:val="43"/>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3"/>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2CD17D08">
      <w:pPr>
        <w:pStyle w:val="22"/>
        <w:ind w:left="0" w:leftChars="0" w:firstLine="0" w:firstLineChars="0"/>
        <w:rPr>
          <w:rFonts w:hint="eastAsia" w:eastAsia="仿宋_GB2312"/>
          <w:color w:val="auto"/>
          <w:sz w:val="32"/>
          <w:szCs w:val="32"/>
          <w:highlight w:val="none"/>
          <w:lang w:eastAsia="zh-CN"/>
        </w:rPr>
      </w:pPr>
    </w:p>
    <w:bookmarkEnd w:id="20"/>
    <w:sectPr>
      <w:headerReference r:id="rId11" w:type="default"/>
      <w:footerReference r:id="rId12"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BFF6D">
    <w:pPr>
      <w:pStyle w:val="16"/>
    </w:pPr>
    <w:r>
      <w:rPr>
        <w:sz w:val="18"/>
      </w:rPr>
      <w:pict>
        <v:shape id="_x0000_s3088" o:spid="_x0000_s308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482E09C0">
                <w:pPr>
                  <w:pStyle w:val="16"/>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2715F">
    <w:pPr>
      <w:pStyle w:val="16"/>
    </w:pPr>
    <w:r>
      <w:pict>
        <v:shape id="Text Box 1030" o:spid="_x0000_s3091"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uJ1WL9AQAAAwQAAA4AAABkcnMvZTJvRG9jLnhtbK1Ty27bMBC8F+g/&#10;ELzXkhK7CQTLQRrDRYH0AST5AJqiLKIil1jSltyv75KynDS95JALsSSXszOzy+XNYDp2UOg12IoX&#10;s5wzZSXU2u4q/vS4+XTNmQ/C1qIDqyp+VJ7frD5+WPauVBfQQlcrZARifdm7irchuDLLvGyVEX4G&#10;Tlm6bACNCLTFXVaj6AnddNlFnn/OesDaIUjlPZ2ux0t+QsS3AELTaKnWIPdG2TCioupEIEm+1c7z&#10;VWLbNEqGn03jVWBdxUlpSCsVoXgb12y1FOUOhWu1PFEQb6HwSpMR2lLRM9RaBMH2qP+DMloieGjC&#10;TILJRiHJEVJR5K+8eWiFU0kLWe3d2XT/frDyx+EXMl1XfM6ZFYYa/qiGwL7AwIr8MhnUO19S3oOj&#10;zDDQDY1NEuvdPcjfnlm4a4XdqVtE6FslaiJYRGuzF09jS3zpI8i2/w41VRL7AAloaNBE98gPRujU&#10;nOO5OZGNpMPF1dX1gjNJN8VlMZ8vUgFRTm8d+vBVgWExqDhS6xO2ONz7ELmIckqJpSxsdNel9nf2&#10;nwNKjCeJe6Q7Eg/DdqDsqGEL9ZFUIIzTRH+JghbwD2c9TVLFLX0czrpvlnyIQzcFOAXbKRBW0sOK&#10;B87G8C6Mw7l3qHct4U5O35JXG52EPHM4saTZSPpOcxyH7+U+ZT3/3d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4vdRNAAAAACAQAADwAAAAAAAAABACAAAAAiAAAAZHJzL2Rvd25yZXYueG1sUEsB&#10;AhQAFAAAAAgAh07iQDuJ1WL9AQAAAwQAAA4AAAAAAAAAAQAgAAAAHwEAAGRycy9lMm9Eb2MueG1s&#10;UEsFBgAAAAAGAAYAWQEAAI4FAAAAAA==&#10;">
          <v:path/>
          <v:fill on="f" focussize="0,0"/>
          <v:stroke on="f"/>
          <v:imagedata o:title=""/>
          <o:lock v:ext="edit" aspectratio="f"/>
          <v:textbox inset="0mm,0mm,0mm,0mm" style="mso-fit-shape-to-text:t;">
            <w:txbxContent>
              <w:p w14:paraId="401526DC">
                <w:pPr>
                  <w:pStyle w:val="1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DF41">
    <w:pPr>
      <w:pStyle w:val="16"/>
      <w:jc w:val="both"/>
    </w:pPr>
    <w:r>
      <w:pict>
        <v:shape id="Text Box 1031" o:spid="_x0000_s3094"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CB3Q77AQAAAwQAAA4AAABkcnMvZTJvRG9jLnhtbK1TwW7bMAy9D9g/&#10;CLovtptmLYw4Rdcgw4BuHdD2AxRZjoVZokApsbOvHyXHWdddeuhFoCTq8b1HankzmI4dFHoNtuLF&#10;LOdMWQm1truKPz9tPl1z5oOwtejAqooflec3q48flr0r1QW00NUKGYFYX/au4m0IrswyL1tlhJ+B&#10;U5YuG0AjAm1xl9UoekI3XXaR55+zHrB2CFJ5T6fr8ZKfEPEtgNA0Wqo1yL1RNoyoqDoRSJJvtfN8&#10;ldg2jZLhoWm8CqyrOCkNaaUiFG/jmq2WotyhcK2WJwriLRReaTJCWyp6hlqLINge9X9QRksED02Y&#10;STDZKCQ5QiqK/JU3j61wKmkhq707m+7fD1b+OPxEpuuKzzmzwlDDn9QQ2BcYWJHPi2hQ73xJeY+O&#10;MsNANzQ2Sax39yB/eWbhrhV2p24RoW+VqIlgepm9eDri+Aiy7b9DTZXEPkACGho00T3ygxE6Ned4&#10;bk5kI+lwcXV1veBM0k0xLy4vF5FaJsrprUMfviowLAYVR2p9whaHex/G1CkllrKw0V2X2t/Zfw4I&#10;M54k7pHuSDwM2+HkxRbqI6lAGKeJ/hIFLeBvznqapIpb+jicdd8s+RCHbgpwCrZTIKykhxUPnI3h&#10;XRiHc+9Q71rCnZy+Ja82OgmJpo4cTixpNpIVpzmOw/dyn7L+/t3V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L3UTQAAAAAgEAAA8AAAAAAAAAAQAgAAAAIgAAAGRycy9kb3ducmV2LnhtbFBLAQIU&#10;ABQAAAAIAIdO4kAwgd0O+wEAAAMEAAAOAAAAAAAAAAEAIAAAAB8BAABkcnMvZTJvRG9jLnhtbFBL&#10;BQYAAAAABgAGAFkBAACMBQAAAAA=&#10;">
          <v:path/>
          <v:fill on="f" focussize="0,0"/>
          <v:stroke on="f"/>
          <v:imagedata o:title=""/>
          <o:lock v:ext="edit" aspectratio="f"/>
          <v:textbox inset="0mm,0mm,0mm,0mm" style="mso-fit-shape-to-text:t;">
            <w:txbxContent>
              <w:p w14:paraId="27E62BB3">
                <w:pPr>
                  <w:pStyle w:val="16"/>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w:r>
    <w:r>
      <w:pict>
        <v:shape id="文本框 7" o:spid="_x0000_s3093"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RBflh0AEAAJUDAAAOAAAAZHJzL2Uyb0RvYy54bWytU0tu2zAQ&#10;3RfoHQjua1mO3aSC5aCFkaJA0QZIegCaIi0C/IFDW/IF2ht01U33PZfPkSElO0GyyaIbasiZeTPv&#10;zWh53RtN9iKAcram5WRKibDcNcpua/rj/ubdFSUQmW2YdlbU9CCAXq/evll2vhIz1zrdiEAQxELV&#10;+Zq2MfqqKIC3wjCYOC8sOqULhkW8hm3RBNYhutHFbDp9X3QuND44LgDwdT046YgYXgPopFRcrB3f&#10;GWHjgBqEZhEpQas80FXuVkrB43cpQUSia4pMYz6xCNqbdBarJau2gflW8bEF9poWnnEyTFkseoZa&#10;s8jILqgXUEbx4MDJOOHOFAORrAiyKKfPtLlrmReZC0oN/iw6/D9Y/m1/G4hqajqjxDKDAz/+/nX8&#10;8+/49ye5TPJ0HiqMuvMYF/tPrselOb0DPibWvQwmfZEPQT+KeziLK/pIeEoq5x8uFpRwdJUX5Xy+&#10;SCjFY7IPED8LZ0gyahpwdllStv8KcQg9haRa1t0orfP8tCUdgi6uLhc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RBflh0AEAAJUDAAAOAAAAAAAAAAEAIAAAACMB&#10;AABkcnMvZTJvRG9jLnhtbFBLBQYAAAAABgAGAFkBAABlBQAAAAA=&#10;">
          <v:path/>
          <v:fill on="f" focussize="0,0"/>
          <v:stroke on="f" weight="1.25pt"/>
          <v:imagedata o:title=""/>
          <o:lock v:ext="edit" aspectratio="f"/>
          <v:textbox inset="0mm,0mm,0mm,0mm" style="mso-fit-shape-to-text:t;">
            <w:txbxContent>
              <w:p w14:paraId="48B17877">
                <w:pPr>
                  <w:pStyle w:val="16"/>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1EE03">
    <w:pPr>
      <w:pStyle w:val="16"/>
      <w:jc w:val="both"/>
    </w:pPr>
    <w:r>
      <w:pict>
        <v:shape id="Text Box 1032" o:spid="_x0000_s3092"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MbTuDn8AQAABAQAAA4AAABkcnMvZTJvRG9jLnhtbK1TwW7bMAy9D9g/&#10;CLovtpN02Iw4Rdcgw4BuHdD2AxRZjoVZokApsbOvHyXHWddeethFoCTq8b1HanU9mI4dFXoNtuLF&#10;LOdMWQm1tvuKPz1uP3zizAdha9GBVRU/Kc+v1+/frXpXqjm00NUKGYFYX/au4m0IrswyL1tlhJ+B&#10;U5YuG0AjAm1xn9UoekI3XTbP849ZD1g7BKm8p9PNeMnPiPgWQGgaLdUG5MEoG0ZUVJ0IJMm32nm+&#10;TmybRslw3zReBdZVnJSGtFIRindxzdYrUe5RuFbLMwXxFgovNBmhLRW9QG1EEOyA+hWU0RLBQxNm&#10;Ekw2CkmOkIoif+HNQyucSlrIau8upvv/Byt/HH8i0zVNAmdWGGr4oxoC+wIDK/LFPBrUO19S3oOj&#10;zDDQTUyOYr27A/nLMwu3rbB7dYMIfatETQSL+DJ79nTE8RFk13+HmiqJQ4AENDRoIiD5wQidmnO6&#10;NCeykbFksfy8uOJM0lWxKJbLq1RBlNNjhz58VWBYDCqO1PsELo53PkQyopxSYi0LW911qf+d/eeA&#10;EuNJIh/5jszDsBvOZuygPpEMhHGc6DNR0AL+5qynUaq4pZ/DWffNkhFx6qYAp2A3BcJKeljxwNkY&#10;3oZxOg8O9b4l3MnqGzJrq5OQ6OrI4cyShiPpOw9ynL7n+5T19/Ou/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D5X5J0AAAAAMBAAAPAAAAAAAAAAEAIAAAACIAAABkcnMvZG93bnJldi54bWxQSwEC&#10;FAAUAAAACACHTuJAxtO4OfwBAAAEBAAADgAAAAAAAAABACAAAAAfAQAAZHJzL2Uyb0RvYy54bWxQ&#10;SwUGAAAAAAYABgBZAQAAjQUAAAAA&#10;">
          <v:path/>
          <v:fill on="f" focussize="0,0"/>
          <v:stroke on="f"/>
          <v:imagedata o:title=""/>
          <o:lock v:ext="edit" aspectratio="f"/>
          <v:textbox inset="0mm,0mm,0mm,0mm" style="mso-fit-shape-to-text:t;">
            <w:txbxContent>
              <w:p w14:paraId="5B315BCD">
                <w:pPr>
                  <w:pStyle w:val="16"/>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r>
      <w:pict>
        <v:shape id="_x0000_s3095" o:spid="_x0000_s3095"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PH+xt0AEAAJUDAAAOAAAAZHJzL2Uyb0RvYy54bWytU0tu2zAQ&#10;3RfoHQjua1mJXaeC5aCFkaJA0QZIegCaIi0C/IFDW/IF2ht01U33PZfPkSElO0GyyaIbasiZeTPv&#10;zWh53RtN9iKAcram5WRKibDcNcpua/rj/ubdFSUQmW2YdlbU9CCAXq/evll2vhIXrnW6EYEgiIWq&#10;8zVtY/RVUQBvhWEwcV5YdEoXDIt4DduiCaxDdKOLi+n0fdG50PjguADA1/XgpCNieA2gk1JxsXZ8&#10;Z4SNA2oQmkWkBK3yQFe5WykFj9+lBBGJrikyjfnEImhv0lmslqzaBuZbxccW2GtaeMbJMGWx6Blq&#10;zSIju6BeQBnFgwMn44Q7UwxEsiLIopw+0+auZV5kLig1+LPo8P9g+bf9bSCqqemCEssMDvz4+9fx&#10;z7/j359kkeTpPFQYdecxLvafXI9Lc3oHfEysexlM+iIfgn4U93AWV/SR8JRUzj5czinh6Covy9ls&#10;nlCKx2QfIH4WzpBk1DTg7LKkbP8V4hB6Ckm1rLtRWuf5aUs6BJ1fLeY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PH+xt0AEAAJUDAAAOAAAAAAAAAAEAIAAAACMB&#10;AABkcnMvZTJvRG9jLnhtbFBLBQYAAAAABgAGAFkBAABlBQAAAAA=&#10;">
          <v:path/>
          <v:fill on="f" focussize="0,0"/>
          <v:stroke on="f" weight="1.25pt"/>
          <v:imagedata o:title=""/>
          <o:lock v:ext="edit" aspectratio="f"/>
          <v:textbox inset="0mm,0mm,0mm,0mm" style="mso-fit-shape-to-text:t;">
            <w:txbxContent>
              <w:p w14:paraId="7B08C81F">
                <w:pPr>
                  <w:pStyle w:val="16"/>
                </w:pP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E9EC9">
    <w:pPr>
      <w:pStyle w:val="16"/>
      <w:jc w:val="both"/>
    </w:pPr>
    <w:r>
      <w:rPr>
        <w:sz w:val="18"/>
      </w:rPr>
      <w:pict>
        <v:shape id="_x0000_s3090" o:spid="_x0000_s3090"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6C8CC42C">
                <w:pPr>
                  <w:pStyle w:val="16"/>
                </w:pPr>
                <w:r>
                  <w:fldChar w:fldCharType="begin"/>
                </w:r>
                <w:r>
                  <w:instrText xml:space="preserve"> PAGE  \* MERGEFORMAT </w:instrText>
                </w:r>
                <w:r>
                  <w:fldChar w:fldCharType="separate"/>
                </w:r>
                <w:r>
                  <w:t>6</w:t>
                </w:r>
                <w:r>
                  <w:fldChar w:fldCharType="end"/>
                </w:r>
              </w:p>
            </w:txbxContent>
          </v:textbox>
        </v:shape>
      </w:pict>
    </w:r>
    <w:r>
      <w:pict>
        <v:shape id="文本框 6" o:spid="_x0000_s3075"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OrvJe2AQAAVQMAAA4AAABkcnMvZTJvRG9jLnhtbK1TwY7TMBC9&#10;I/EPlu802UpboqjpCrRahIQAaeEDXMduLNkea+w26Q/AH3Diwp3v6ncwdpsughvi4sx4xm/em5ms&#10;7yZn2UFhNOA7frOoOVNeQm/8ruOfPz28aDiLSfheWPCq40cV+d3m+bP1GFq1hAFsr5ARiI/tGDo+&#10;pBTaqopyUE7EBQTlKagBnUjk4q7qUYyE7my1rOtVNQL2AUGqGOn2/hzkm4KvtZLpg9ZRJWY7TtxS&#10;ObGc23xWm7VodyjCYOSFhvgHFk4YT0WvUPciCbZH8xeUMxIhgk4LCa4CrY1URQOpuan/UPM4iKCK&#10;FmpODNc2xf8HK98fPiIzfcdXnHnhaESnb19P33+efnxhq9yeMcSWsh4D5aXpNUw05vk+0mVWPWl0&#10;+Ut6GMWp0cdrc9WUmMyPmmXT1BSSFJsdwq+engeM6Y0Cx7LRcaTplaaKw7uYzqlzSq7m4cFYWyZo&#10;PRsJ9bZ5eVteXEOEbj0VySrObLOVpu10kbaF/kjKRlqBjnvaUc7sW08dztsyGzgb29nYBzS7oaxT&#10;phLDq30iOoVlrnCGvRSm2RWdlz3Ly/G7X7Ke/obN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BTq7yXtgEAAFUDAAAOAAAAAAAAAAEAIAAAACIBAABkcnMvZTJvRG9jLnhtbFBLBQYAAAAABgAG&#10;AFkBAABKBQAAAAA=&#10;">
          <v:path/>
          <v:fill on="f" focussize="0,0"/>
          <v:stroke on="f" weight="1.25pt" joinstyle="miter"/>
          <v:imagedata o:title=""/>
          <o:lock v:ext="edit"/>
          <v:textbox inset="0mm,0mm,0mm,0mm" style="mso-fit-shape-to-text:t;">
            <w:txbxContent>
              <w:p w14:paraId="32A2D46D">
                <w:pPr>
                  <w:pStyle w:val="16"/>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4475F">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944C6">
    <w:pPr>
      <w:pStyle w:val="1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78B4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6F3B2"/>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00A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325D1A"/>
    <w:multiLevelType w:val="singleLevel"/>
    <w:tmpl w:val="9B325D1A"/>
    <w:lvl w:ilvl="0" w:tentative="0">
      <w:start w:val="1"/>
      <w:numFmt w:val="decimal"/>
      <w:suff w:val="nothing"/>
      <w:lvlText w:val="%1、"/>
      <w:lvlJc w:val="left"/>
    </w:lvl>
  </w:abstractNum>
  <w:abstractNum w:abstractNumId="1">
    <w:nsid w:val="9B86A7EC"/>
    <w:multiLevelType w:val="singleLevel"/>
    <w:tmpl w:val="9B86A7EC"/>
    <w:lvl w:ilvl="0" w:tentative="0">
      <w:start w:val="2"/>
      <w:numFmt w:val="decimal"/>
      <w:suff w:val="nothing"/>
      <w:lvlText w:val="%1、"/>
      <w:lvlJc w:val="left"/>
    </w:lvl>
  </w:abstractNum>
  <w:abstractNum w:abstractNumId="2">
    <w:nsid w:val="B3DA1148"/>
    <w:multiLevelType w:val="singleLevel"/>
    <w:tmpl w:val="B3DA1148"/>
    <w:lvl w:ilvl="0" w:tentative="0">
      <w:start w:val="1"/>
      <w:numFmt w:val="decimal"/>
      <w:suff w:val="space"/>
      <w:lvlText w:val="%1."/>
      <w:lvlJc w:val="left"/>
    </w:lvl>
  </w:abstractNum>
  <w:abstractNum w:abstractNumId="3">
    <w:nsid w:val="D0301254"/>
    <w:multiLevelType w:val="singleLevel"/>
    <w:tmpl w:val="D0301254"/>
    <w:lvl w:ilvl="0" w:tentative="0">
      <w:start w:val="10"/>
      <w:numFmt w:val="chineseCounting"/>
      <w:suff w:val="space"/>
      <w:lvlText w:val="第%1条"/>
      <w:lvlJc w:val="left"/>
      <w:rPr>
        <w:rFonts w:hint="eastAsia"/>
      </w:rPr>
    </w:lvl>
  </w:abstractNum>
  <w:abstractNum w:abstractNumId="4">
    <w:nsid w:val="D905469D"/>
    <w:multiLevelType w:val="singleLevel"/>
    <w:tmpl w:val="D905469D"/>
    <w:lvl w:ilvl="0" w:tentative="0">
      <w:start w:val="1"/>
      <w:numFmt w:val="decimal"/>
      <w:suff w:val="space"/>
      <w:lvlText w:val="%1."/>
      <w:lvlJc w:val="left"/>
    </w:lvl>
  </w:abstractNum>
  <w:abstractNum w:abstractNumId="5">
    <w:nsid w:val="DEA6B384"/>
    <w:multiLevelType w:val="singleLevel"/>
    <w:tmpl w:val="DEA6B384"/>
    <w:lvl w:ilvl="0" w:tentative="0">
      <w:start w:val="1"/>
      <w:numFmt w:val="decimal"/>
      <w:suff w:val="space"/>
      <w:lvlText w:val="%1."/>
      <w:lvlJc w:val="left"/>
    </w:lvl>
  </w:abstractNum>
  <w:abstractNum w:abstractNumId="6">
    <w:nsid w:val="FD72835C"/>
    <w:multiLevelType w:val="singleLevel"/>
    <w:tmpl w:val="FD72835C"/>
    <w:lvl w:ilvl="0" w:tentative="0">
      <w:start w:val="1"/>
      <w:numFmt w:val="decimal"/>
      <w:suff w:val="space"/>
      <w:lvlText w:val="%1."/>
      <w:lvlJc w:val="left"/>
    </w:lvl>
  </w:abstractNum>
  <w:abstractNum w:abstractNumId="7">
    <w:nsid w:val="02BA4E6F"/>
    <w:multiLevelType w:val="multilevel"/>
    <w:tmpl w:val="02BA4E6F"/>
    <w:lvl w:ilvl="0" w:tentative="0">
      <w:start w:val="1"/>
      <w:numFmt w:val="bullet"/>
      <w:pStyle w:val="61"/>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8">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9">
    <w:nsid w:val="15CF5E91"/>
    <w:multiLevelType w:val="multilevel"/>
    <w:tmpl w:val="15CF5E91"/>
    <w:lvl w:ilvl="0" w:tentative="0">
      <w:start w:val="1"/>
      <w:numFmt w:val="decimal"/>
      <w:lvlText w:val="%1."/>
      <w:lvlJc w:val="left"/>
      <w:pPr>
        <w:tabs>
          <w:tab w:val="left" w:pos="342"/>
        </w:tabs>
        <w:ind w:left="360" w:hanging="36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
    <w:nsid w:val="305E265A"/>
    <w:multiLevelType w:val="singleLevel"/>
    <w:tmpl w:val="305E265A"/>
    <w:lvl w:ilvl="0" w:tentative="0">
      <w:start w:val="1"/>
      <w:numFmt w:val="decimal"/>
      <w:suff w:val="space"/>
      <w:lvlText w:val="%1."/>
      <w:lvlJc w:val="left"/>
    </w:lvl>
  </w:abstractNum>
  <w:abstractNum w:abstractNumId="11">
    <w:nsid w:val="34DDD1CE"/>
    <w:multiLevelType w:val="singleLevel"/>
    <w:tmpl w:val="34DDD1CE"/>
    <w:lvl w:ilvl="0" w:tentative="0">
      <w:start w:val="1"/>
      <w:numFmt w:val="decimal"/>
      <w:suff w:val="nothing"/>
      <w:lvlText w:val="%1、"/>
      <w:lvlJc w:val="left"/>
    </w:lvl>
  </w:abstractNum>
  <w:abstractNum w:abstractNumId="12">
    <w:nsid w:val="41D8CF04"/>
    <w:multiLevelType w:val="singleLevel"/>
    <w:tmpl w:val="41D8CF04"/>
    <w:lvl w:ilvl="0" w:tentative="0">
      <w:start w:val="1"/>
      <w:numFmt w:val="decimal"/>
      <w:suff w:val="space"/>
      <w:lvlText w:val="%1."/>
      <w:lvlJc w:val="left"/>
    </w:lvl>
  </w:abstractNum>
  <w:abstractNum w:abstractNumId="13">
    <w:nsid w:val="4AB1F481"/>
    <w:multiLevelType w:val="singleLevel"/>
    <w:tmpl w:val="4AB1F481"/>
    <w:lvl w:ilvl="0" w:tentative="0">
      <w:start w:val="1"/>
      <w:numFmt w:val="decimal"/>
      <w:suff w:val="nothing"/>
      <w:lvlText w:val="%1、"/>
      <w:lvlJc w:val="left"/>
    </w:lvl>
  </w:abstractNum>
  <w:abstractNum w:abstractNumId="14">
    <w:nsid w:val="597223C3"/>
    <w:multiLevelType w:val="singleLevel"/>
    <w:tmpl w:val="597223C3"/>
    <w:lvl w:ilvl="0" w:tentative="0">
      <w:start w:val="3"/>
      <w:numFmt w:val="decimal"/>
      <w:suff w:val="nothing"/>
      <w:lvlText w:val="%1、"/>
      <w:lvlJc w:val="left"/>
    </w:lvl>
  </w:abstractNum>
  <w:abstractNum w:abstractNumId="15">
    <w:nsid w:val="6099A159"/>
    <w:multiLevelType w:val="singleLevel"/>
    <w:tmpl w:val="6099A159"/>
    <w:lvl w:ilvl="0" w:tentative="0">
      <w:start w:val="1"/>
      <w:numFmt w:val="decimal"/>
      <w:suff w:val="nothing"/>
      <w:lvlText w:val="%1、"/>
      <w:lvlJc w:val="left"/>
      <w:rPr>
        <w:rFonts w:cs="Times New Roman"/>
      </w:rPr>
    </w:lvl>
  </w:abstractNum>
  <w:abstractNum w:abstractNumId="16">
    <w:nsid w:val="645E5A8D"/>
    <w:multiLevelType w:val="singleLevel"/>
    <w:tmpl w:val="645E5A8D"/>
    <w:lvl w:ilvl="0" w:tentative="0">
      <w:start w:val="1"/>
      <w:numFmt w:val="decimal"/>
      <w:suff w:val="space"/>
      <w:lvlText w:val="%1."/>
      <w:lvlJc w:val="left"/>
    </w:lvl>
  </w:abstractNum>
  <w:abstractNum w:abstractNumId="17">
    <w:nsid w:val="68B40337"/>
    <w:multiLevelType w:val="multilevel"/>
    <w:tmpl w:val="68B40337"/>
    <w:lvl w:ilvl="0" w:tentative="0">
      <w:start w:val="1"/>
      <w:numFmt w:val="japaneseCounting"/>
      <w:pStyle w:val="52"/>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8">
    <w:nsid w:val="725EFE95"/>
    <w:multiLevelType w:val="singleLevel"/>
    <w:tmpl w:val="725EFE95"/>
    <w:lvl w:ilvl="0" w:tentative="0">
      <w:start w:val="7"/>
      <w:numFmt w:val="chineseCounting"/>
      <w:suff w:val="nothing"/>
      <w:lvlText w:val="%1、"/>
      <w:lvlJc w:val="left"/>
      <w:rPr>
        <w:rFonts w:hint="eastAsia"/>
      </w:rPr>
    </w:lvl>
  </w:abstractNum>
  <w:abstractNum w:abstractNumId="19">
    <w:nsid w:val="7565C140"/>
    <w:multiLevelType w:val="singleLevel"/>
    <w:tmpl w:val="7565C140"/>
    <w:lvl w:ilvl="0" w:tentative="0">
      <w:start w:val="1"/>
      <w:numFmt w:val="decimal"/>
      <w:suff w:val="space"/>
      <w:lvlText w:val="%1."/>
      <w:lvlJc w:val="left"/>
    </w:lvl>
  </w:abstractNum>
  <w:num w:numId="1">
    <w:abstractNumId w:val="17"/>
  </w:num>
  <w:num w:numId="2">
    <w:abstractNumId w:val="7"/>
  </w:num>
  <w:num w:numId="3">
    <w:abstractNumId w:val="15"/>
  </w:num>
  <w:num w:numId="4">
    <w:abstractNumId w:val="0"/>
  </w:num>
  <w:num w:numId="5">
    <w:abstractNumId w:val="1"/>
  </w:num>
  <w:num w:numId="6">
    <w:abstractNumId w:val="14"/>
  </w:num>
  <w:num w:numId="7">
    <w:abstractNumId w:val="11"/>
  </w:num>
  <w:num w:numId="8">
    <w:abstractNumId w:val="13"/>
  </w:num>
  <w:num w:numId="9">
    <w:abstractNumId w:val="4"/>
  </w:num>
  <w:num w:numId="10">
    <w:abstractNumId w:val="16"/>
  </w:num>
  <w:num w:numId="11">
    <w:abstractNumId w:val="10"/>
  </w:num>
  <w:num w:numId="12">
    <w:abstractNumId w:val="2"/>
  </w:num>
  <w:num w:numId="13">
    <w:abstractNumId w:val="19"/>
  </w:num>
  <w:num w:numId="14">
    <w:abstractNumId w:val="6"/>
  </w:num>
  <w:num w:numId="15">
    <w:abstractNumId w:val="12"/>
  </w:num>
  <w:num w:numId="16">
    <w:abstractNumId w:val="5"/>
  </w:num>
  <w:num w:numId="17">
    <w:abstractNumId w:val="18"/>
  </w:num>
  <w:num w:numId="18">
    <w:abstractNumId w:val="3"/>
  </w:num>
  <w:num w:numId="19">
    <w:abstractNumId w:val="9"/>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2BFF"/>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4502"/>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00C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76DDF"/>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3C74626"/>
    <w:rsid w:val="03F71CE1"/>
    <w:rsid w:val="04CF6E29"/>
    <w:rsid w:val="05111DAD"/>
    <w:rsid w:val="059366CF"/>
    <w:rsid w:val="05CF1804"/>
    <w:rsid w:val="05D00163"/>
    <w:rsid w:val="064275A1"/>
    <w:rsid w:val="06F15928"/>
    <w:rsid w:val="077C34B8"/>
    <w:rsid w:val="07A209C4"/>
    <w:rsid w:val="080D26DA"/>
    <w:rsid w:val="08284245"/>
    <w:rsid w:val="0849693B"/>
    <w:rsid w:val="086F1260"/>
    <w:rsid w:val="0880226D"/>
    <w:rsid w:val="089F2BDE"/>
    <w:rsid w:val="08BB2505"/>
    <w:rsid w:val="094B07E2"/>
    <w:rsid w:val="0977637F"/>
    <w:rsid w:val="099A07E1"/>
    <w:rsid w:val="0A9B4FED"/>
    <w:rsid w:val="0B0C0A79"/>
    <w:rsid w:val="0B451F6A"/>
    <w:rsid w:val="0BA14D3A"/>
    <w:rsid w:val="0BE211F8"/>
    <w:rsid w:val="0C6F4C8D"/>
    <w:rsid w:val="0CAD4E3A"/>
    <w:rsid w:val="0D0E0EB6"/>
    <w:rsid w:val="0D66641E"/>
    <w:rsid w:val="0D6E66F6"/>
    <w:rsid w:val="0D706506"/>
    <w:rsid w:val="0DE142CB"/>
    <w:rsid w:val="0FDC1CDC"/>
    <w:rsid w:val="10223C48"/>
    <w:rsid w:val="104358CD"/>
    <w:rsid w:val="11270265"/>
    <w:rsid w:val="11A37455"/>
    <w:rsid w:val="11A97DFC"/>
    <w:rsid w:val="12475EA9"/>
    <w:rsid w:val="12AB72D9"/>
    <w:rsid w:val="12D1126D"/>
    <w:rsid w:val="13305111"/>
    <w:rsid w:val="133360BD"/>
    <w:rsid w:val="137F7471"/>
    <w:rsid w:val="140D454B"/>
    <w:rsid w:val="146C01BD"/>
    <w:rsid w:val="146E4633"/>
    <w:rsid w:val="150412EA"/>
    <w:rsid w:val="171438BA"/>
    <w:rsid w:val="17230955"/>
    <w:rsid w:val="172309AA"/>
    <w:rsid w:val="17963704"/>
    <w:rsid w:val="180F5427"/>
    <w:rsid w:val="182770BA"/>
    <w:rsid w:val="187E2975"/>
    <w:rsid w:val="18863017"/>
    <w:rsid w:val="18AC6D73"/>
    <w:rsid w:val="19FD7566"/>
    <w:rsid w:val="1B1F4E7E"/>
    <w:rsid w:val="1B4716B4"/>
    <w:rsid w:val="1BEE7E74"/>
    <w:rsid w:val="1C08419D"/>
    <w:rsid w:val="1C467D80"/>
    <w:rsid w:val="1D4D5FFD"/>
    <w:rsid w:val="1D9D7174"/>
    <w:rsid w:val="1EA44627"/>
    <w:rsid w:val="1EB43554"/>
    <w:rsid w:val="1F2025F2"/>
    <w:rsid w:val="1F7A0970"/>
    <w:rsid w:val="209E2C67"/>
    <w:rsid w:val="21581D11"/>
    <w:rsid w:val="216F32CA"/>
    <w:rsid w:val="21E003FB"/>
    <w:rsid w:val="22124112"/>
    <w:rsid w:val="225C19C8"/>
    <w:rsid w:val="22B71BD3"/>
    <w:rsid w:val="23561394"/>
    <w:rsid w:val="23643F6C"/>
    <w:rsid w:val="23C81EED"/>
    <w:rsid w:val="23F57352"/>
    <w:rsid w:val="247160ED"/>
    <w:rsid w:val="249A7996"/>
    <w:rsid w:val="25926017"/>
    <w:rsid w:val="260075B8"/>
    <w:rsid w:val="261C543B"/>
    <w:rsid w:val="267E2359"/>
    <w:rsid w:val="267E2989"/>
    <w:rsid w:val="26BC7CBC"/>
    <w:rsid w:val="26BD437F"/>
    <w:rsid w:val="273642EC"/>
    <w:rsid w:val="27384FB3"/>
    <w:rsid w:val="27447ED5"/>
    <w:rsid w:val="275F3A77"/>
    <w:rsid w:val="2846073B"/>
    <w:rsid w:val="284F0253"/>
    <w:rsid w:val="28644870"/>
    <w:rsid w:val="28941B11"/>
    <w:rsid w:val="28A55CF2"/>
    <w:rsid w:val="28C36138"/>
    <w:rsid w:val="28EC60C1"/>
    <w:rsid w:val="2A592CC5"/>
    <w:rsid w:val="2A891206"/>
    <w:rsid w:val="2AC5216B"/>
    <w:rsid w:val="2AE949DF"/>
    <w:rsid w:val="2B2C3F7A"/>
    <w:rsid w:val="2B3733B5"/>
    <w:rsid w:val="2B3B474B"/>
    <w:rsid w:val="2B8D044E"/>
    <w:rsid w:val="2B8E43CA"/>
    <w:rsid w:val="2C016BB8"/>
    <w:rsid w:val="2D206BBF"/>
    <w:rsid w:val="2D77461B"/>
    <w:rsid w:val="2E015014"/>
    <w:rsid w:val="2E1D1BA2"/>
    <w:rsid w:val="2E3138D0"/>
    <w:rsid w:val="2E400C5F"/>
    <w:rsid w:val="2E5209E3"/>
    <w:rsid w:val="2EB01AFE"/>
    <w:rsid w:val="2EDF76E5"/>
    <w:rsid w:val="2EF17081"/>
    <w:rsid w:val="2F02606D"/>
    <w:rsid w:val="2F3B3CD8"/>
    <w:rsid w:val="30592C7B"/>
    <w:rsid w:val="30D1119A"/>
    <w:rsid w:val="30F12F4C"/>
    <w:rsid w:val="3112402E"/>
    <w:rsid w:val="31333B5E"/>
    <w:rsid w:val="313D3E38"/>
    <w:rsid w:val="31DC2E33"/>
    <w:rsid w:val="32326341"/>
    <w:rsid w:val="32611BF0"/>
    <w:rsid w:val="333E3616"/>
    <w:rsid w:val="33A83294"/>
    <w:rsid w:val="34011E26"/>
    <w:rsid w:val="341B4D23"/>
    <w:rsid w:val="345C5D91"/>
    <w:rsid w:val="35613714"/>
    <w:rsid w:val="358C4411"/>
    <w:rsid w:val="364C7713"/>
    <w:rsid w:val="36A81FB2"/>
    <w:rsid w:val="36E721C0"/>
    <w:rsid w:val="3722158D"/>
    <w:rsid w:val="375E09FC"/>
    <w:rsid w:val="37AB582D"/>
    <w:rsid w:val="37CC339A"/>
    <w:rsid w:val="381955E1"/>
    <w:rsid w:val="38525FA9"/>
    <w:rsid w:val="38C51D5F"/>
    <w:rsid w:val="39003F1D"/>
    <w:rsid w:val="39276876"/>
    <w:rsid w:val="392B2930"/>
    <w:rsid w:val="3A5E179F"/>
    <w:rsid w:val="3AB56764"/>
    <w:rsid w:val="3AC853CC"/>
    <w:rsid w:val="3B66136D"/>
    <w:rsid w:val="3C582CD8"/>
    <w:rsid w:val="3DAE32E2"/>
    <w:rsid w:val="3E094E14"/>
    <w:rsid w:val="3E2546CD"/>
    <w:rsid w:val="3E5874B7"/>
    <w:rsid w:val="40531C58"/>
    <w:rsid w:val="405D53B5"/>
    <w:rsid w:val="41192D98"/>
    <w:rsid w:val="413E5CD9"/>
    <w:rsid w:val="42085E65"/>
    <w:rsid w:val="42C01F6C"/>
    <w:rsid w:val="43425F9D"/>
    <w:rsid w:val="435B7D84"/>
    <w:rsid w:val="437B3C1A"/>
    <w:rsid w:val="438D54CE"/>
    <w:rsid w:val="439C3AD9"/>
    <w:rsid w:val="43F465D0"/>
    <w:rsid w:val="442A053D"/>
    <w:rsid w:val="44433A7B"/>
    <w:rsid w:val="44440739"/>
    <w:rsid w:val="446F65B8"/>
    <w:rsid w:val="44F057A6"/>
    <w:rsid w:val="45923555"/>
    <w:rsid w:val="45A95346"/>
    <w:rsid w:val="45D415CE"/>
    <w:rsid w:val="46416F41"/>
    <w:rsid w:val="464E299D"/>
    <w:rsid w:val="467D6748"/>
    <w:rsid w:val="46C4203A"/>
    <w:rsid w:val="470E29AE"/>
    <w:rsid w:val="483D34CD"/>
    <w:rsid w:val="48483AB8"/>
    <w:rsid w:val="48BC411A"/>
    <w:rsid w:val="496C09B9"/>
    <w:rsid w:val="49CB0CCD"/>
    <w:rsid w:val="4AA610D6"/>
    <w:rsid w:val="4AD618B2"/>
    <w:rsid w:val="4B0C055A"/>
    <w:rsid w:val="4C1B7A56"/>
    <w:rsid w:val="4C500DB7"/>
    <w:rsid w:val="4C610D2E"/>
    <w:rsid w:val="4C8B4A7C"/>
    <w:rsid w:val="4CFC368B"/>
    <w:rsid w:val="4E7D412D"/>
    <w:rsid w:val="4EBE4481"/>
    <w:rsid w:val="4F086AAF"/>
    <w:rsid w:val="5069668A"/>
    <w:rsid w:val="50764389"/>
    <w:rsid w:val="50A83CB2"/>
    <w:rsid w:val="51147285"/>
    <w:rsid w:val="512B42F2"/>
    <w:rsid w:val="512E1706"/>
    <w:rsid w:val="51737B4A"/>
    <w:rsid w:val="51AA58C4"/>
    <w:rsid w:val="524533A4"/>
    <w:rsid w:val="5247520B"/>
    <w:rsid w:val="538E5DEC"/>
    <w:rsid w:val="55E27D0D"/>
    <w:rsid w:val="56D076DF"/>
    <w:rsid w:val="56E34736"/>
    <w:rsid w:val="56FB15A3"/>
    <w:rsid w:val="572C3C94"/>
    <w:rsid w:val="57783C19"/>
    <w:rsid w:val="57806BBC"/>
    <w:rsid w:val="57F736AC"/>
    <w:rsid w:val="58963DA7"/>
    <w:rsid w:val="592C3305"/>
    <w:rsid w:val="5A2C7551"/>
    <w:rsid w:val="5A400720"/>
    <w:rsid w:val="5A823F2F"/>
    <w:rsid w:val="5B33669F"/>
    <w:rsid w:val="5B712B41"/>
    <w:rsid w:val="5BEE4A0F"/>
    <w:rsid w:val="5C072B21"/>
    <w:rsid w:val="5CF4139A"/>
    <w:rsid w:val="5D693C9C"/>
    <w:rsid w:val="5D9D7735"/>
    <w:rsid w:val="5DE973D6"/>
    <w:rsid w:val="5DFB4300"/>
    <w:rsid w:val="5E5E457D"/>
    <w:rsid w:val="5E8D2D21"/>
    <w:rsid w:val="5EBD1212"/>
    <w:rsid w:val="5EFB149B"/>
    <w:rsid w:val="5F1D6CF6"/>
    <w:rsid w:val="5F616FA8"/>
    <w:rsid w:val="5FAD0DCB"/>
    <w:rsid w:val="5FC603F6"/>
    <w:rsid w:val="5FFE4D34"/>
    <w:rsid w:val="60C82A21"/>
    <w:rsid w:val="61785A21"/>
    <w:rsid w:val="61EE5BEB"/>
    <w:rsid w:val="61F66A19"/>
    <w:rsid w:val="623F329A"/>
    <w:rsid w:val="62695E27"/>
    <w:rsid w:val="628242DE"/>
    <w:rsid w:val="62BE7007"/>
    <w:rsid w:val="636127C3"/>
    <w:rsid w:val="637528F4"/>
    <w:rsid w:val="6381342F"/>
    <w:rsid w:val="63A47130"/>
    <w:rsid w:val="63F80061"/>
    <w:rsid w:val="650B601A"/>
    <w:rsid w:val="6541100E"/>
    <w:rsid w:val="654C0BA8"/>
    <w:rsid w:val="664352EB"/>
    <w:rsid w:val="672079BD"/>
    <w:rsid w:val="683E7EE4"/>
    <w:rsid w:val="68FF5564"/>
    <w:rsid w:val="69356912"/>
    <w:rsid w:val="695D5F7A"/>
    <w:rsid w:val="696610E4"/>
    <w:rsid w:val="697C3181"/>
    <w:rsid w:val="6A3937F5"/>
    <w:rsid w:val="6A83721D"/>
    <w:rsid w:val="6AE21101"/>
    <w:rsid w:val="6B0A6DF0"/>
    <w:rsid w:val="6B0C558D"/>
    <w:rsid w:val="6B4F3B9E"/>
    <w:rsid w:val="6B5837D2"/>
    <w:rsid w:val="6B59484F"/>
    <w:rsid w:val="6BD63153"/>
    <w:rsid w:val="6BFE0B4D"/>
    <w:rsid w:val="6C124214"/>
    <w:rsid w:val="6C5B55DC"/>
    <w:rsid w:val="6CA565D4"/>
    <w:rsid w:val="6CAE03DD"/>
    <w:rsid w:val="6CE56E6B"/>
    <w:rsid w:val="6D032DAA"/>
    <w:rsid w:val="6DB80F23"/>
    <w:rsid w:val="6E005A26"/>
    <w:rsid w:val="6E6329C5"/>
    <w:rsid w:val="6EFF345A"/>
    <w:rsid w:val="6F0E41D6"/>
    <w:rsid w:val="6F3B56A3"/>
    <w:rsid w:val="6F4F7C8F"/>
    <w:rsid w:val="6FB4540B"/>
    <w:rsid w:val="700F58FF"/>
    <w:rsid w:val="70C73255"/>
    <w:rsid w:val="71126C39"/>
    <w:rsid w:val="71453C3C"/>
    <w:rsid w:val="715F328E"/>
    <w:rsid w:val="71610FBE"/>
    <w:rsid w:val="725008FF"/>
    <w:rsid w:val="72760778"/>
    <w:rsid w:val="731141BB"/>
    <w:rsid w:val="743104E3"/>
    <w:rsid w:val="74320C3C"/>
    <w:rsid w:val="74513162"/>
    <w:rsid w:val="74EC2A72"/>
    <w:rsid w:val="75431AF8"/>
    <w:rsid w:val="757B75BC"/>
    <w:rsid w:val="75D41971"/>
    <w:rsid w:val="76A665D3"/>
    <w:rsid w:val="776150BB"/>
    <w:rsid w:val="78035C36"/>
    <w:rsid w:val="78BD1F9D"/>
    <w:rsid w:val="79201CE1"/>
    <w:rsid w:val="79A52EA1"/>
    <w:rsid w:val="79B14724"/>
    <w:rsid w:val="7B3450D7"/>
    <w:rsid w:val="7B3E0A41"/>
    <w:rsid w:val="7C323980"/>
    <w:rsid w:val="7D4607F9"/>
    <w:rsid w:val="7D730629"/>
    <w:rsid w:val="7E01395C"/>
    <w:rsid w:val="7EDB48C1"/>
    <w:rsid w:val="7FA605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2"/>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3"/>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4"/>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1"/>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5"/>
    <w:qFormat/>
    <w:uiPriority w:val="99"/>
    <w:rPr>
      <w:rFonts w:ascii="宋体"/>
      <w:sz w:val="18"/>
      <w:szCs w:val="18"/>
    </w:rPr>
  </w:style>
  <w:style w:type="paragraph" w:styleId="8">
    <w:name w:val="annotation text"/>
    <w:basedOn w:val="1"/>
    <w:link w:val="36"/>
    <w:qFormat/>
    <w:uiPriority w:val="99"/>
    <w:pPr>
      <w:jc w:val="left"/>
    </w:pPr>
  </w:style>
  <w:style w:type="paragraph" w:styleId="9">
    <w:name w:val="Body Text"/>
    <w:basedOn w:val="1"/>
    <w:next w:val="10"/>
    <w:link w:val="37"/>
    <w:qFormat/>
    <w:uiPriority w:val="99"/>
    <w:pPr>
      <w:spacing w:after="120"/>
    </w:pPr>
  </w:style>
  <w:style w:type="paragraph" w:styleId="10">
    <w:name w:val="Body Text First Indent"/>
    <w:basedOn w:val="9"/>
    <w:next w:val="11"/>
    <w:link w:val="41"/>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r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rPr>
      <w:rFonts w:hint="eastAsia" w:ascii="Arial" w:hAnsi="Arial"/>
    </w:rPr>
  </w:style>
  <w:style w:type="paragraph" w:styleId="14">
    <w:name w:val="Plain Text"/>
    <w:basedOn w:val="1"/>
    <w:link w:val="53"/>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8"/>
    <w:qFormat/>
    <w:uiPriority w:val="99"/>
    <w:rPr>
      <w:sz w:val="18"/>
      <w:szCs w:val="18"/>
    </w:rPr>
  </w:style>
  <w:style w:type="paragraph" w:styleId="16">
    <w:name w:val="footer"/>
    <w:basedOn w:val="1"/>
    <w:link w:val="39"/>
    <w:qFormat/>
    <w:uiPriority w:val="99"/>
    <w:pPr>
      <w:tabs>
        <w:tab w:val="center" w:pos="4153"/>
        <w:tab w:val="right" w:pos="8306"/>
      </w:tabs>
      <w:snapToGrid w:val="0"/>
      <w:jc w:val="left"/>
    </w:pPr>
    <w:rPr>
      <w:sz w:val="18"/>
      <w:szCs w:val="18"/>
    </w:rPr>
  </w:style>
  <w:style w:type="paragraph" w:styleId="17">
    <w:name w:val="header"/>
    <w:basedOn w:val="1"/>
    <w:link w:val="40"/>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Body Text Indent 3"/>
    <w:basedOn w:val="1"/>
    <w:qFormat/>
    <w:uiPriority w:val="0"/>
    <w:pPr>
      <w:spacing w:line="360" w:lineRule="auto"/>
      <w:ind w:firstLine="420" w:firstLineChars="200"/>
    </w:pPr>
    <w:rPr>
      <w:szCs w:val="18"/>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8"/>
    <w:next w:val="8"/>
    <w:link w:val="58"/>
    <w:semiHidden/>
    <w:qFormat/>
    <w:uiPriority w:val="99"/>
    <w:rPr>
      <w:b/>
      <w:bCs/>
    </w:rPr>
  </w:style>
  <w:style w:type="paragraph" w:styleId="22">
    <w:name w:val="Body Text First Indent 2"/>
    <w:basedOn w:val="12"/>
    <w:qFormat/>
    <w:uiPriority w:val="99"/>
    <w:pPr>
      <w:ind w:left="567" w:leftChars="270" w:firstLine="420" w:firstLineChars="200"/>
    </w:pPr>
    <w:rPr>
      <w:color w:val="000000"/>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locked/>
    <w:uiPriority w:val="22"/>
    <w:rPr>
      <w:b/>
    </w:rPr>
  </w:style>
  <w:style w:type="character" w:styleId="27">
    <w:name w:val="Emphasis"/>
    <w:qFormat/>
    <w:locked/>
    <w:uiPriority w:val="0"/>
    <w:rPr>
      <w:i/>
    </w:rPr>
  </w:style>
  <w:style w:type="character" w:styleId="28">
    <w:name w:val="Hyperlink"/>
    <w:qFormat/>
    <w:uiPriority w:val="99"/>
    <w:rPr>
      <w:rFonts w:cs="Times New Roman"/>
      <w:color w:val="0000FF"/>
      <w:u w:val="single"/>
    </w:rPr>
  </w:style>
  <w:style w:type="character" w:styleId="29">
    <w:name w:val="annotation reference"/>
    <w:qFormat/>
    <w:uiPriority w:val="99"/>
    <w:rPr>
      <w:rFonts w:cs="Times New Roman"/>
      <w:sz w:val="21"/>
      <w:szCs w:val="21"/>
    </w:rPr>
  </w:style>
  <w:style w:type="paragraph" w:customStyle="1" w:styleId="30">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1">
    <w:name w:val="标题 1 字符"/>
    <w:link w:val="2"/>
    <w:qFormat/>
    <w:locked/>
    <w:uiPriority w:val="99"/>
    <w:rPr>
      <w:rFonts w:ascii="Times New Roman" w:hAnsi="Times New Roman" w:eastAsia="宋体" w:cs="Times New Roman"/>
      <w:b/>
      <w:bCs/>
      <w:kern w:val="44"/>
      <w:sz w:val="44"/>
      <w:szCs w:val="44"/>
    </w:rPr>
  </w:style>
  <w:style w:type="character" w:customStyle="1" w:styleId="32">
    <w:name w:val="标题 2 字符"/>
    <w:link w:val="3"/>
    <w:qFormat/>
    <w:locked/>
    <w:uiPriority w:val="99"/>
    <w:rPr>
      <w:rFonts w:ascii="Cambria" w:hAnsi="Cambria" w:eastAsia="宋体" w:cs="Times New Roman"/>
      <w:b/>
      <w:bCs/>
      <w:kern w:val="2"/>
      <w:sz w:val="32"/>
      <w:szCs w:val="32"/>
    </w:rPr>
  </w:style>
  <w:style w:type="character" w:customStyle="1" w:styleId="33">
    <w:name w:val="标题 3 字符"/>
    <w:link w:val="4"/>
    <w:qFormat/>
    <w:locked/>
    <w:uiPriority w:val="99"/>
    <w:rPr>
      <w:rFonts w:eastAsia="宋体" w:cs="Times New Roman"/>
      <w:b/>
      <w:sz w:val="32"/>
    </w:rPr>
  </w:style>
  <w:style w:type="character" w:customStyle="1" w:styleId="34">
    <w:name w:val="标题 4 字符1"/>
    <w:link w:val="5"/>
    <w:qFormat/>
    <w:locked/>
    <w:uiPriority w:val="99"/>
    <w:rPr>
      <w:rFonts w:ascii="Arial" w:hAnsi="Arial" w:eastAsia="黑体" w:cs="Times New Roman"/>
      <w:b/>
      <w:bCs/>
      <w:kern w:val="2"/>
      <w:sz w:val="28"/>
      <w:szCs w:val="28"/>
    </w:rPr>
  </w:style>
  <w:style w:type="character" w:customStyle="1" w:styleId="35">
    <w:name w:val="文档结构图 字符"/>
    <w:link w:val="7"/>
    <w:qFormat/>
    <w:locked/>
    <w:uiPriority w:val="99"/>
    <w:rPr>
      <w:rFonts w:ascii="宋体" w:hAnsi="Times New Roman" w:eastAsia="宋体" w:cs="Times New Roman"/>
      <w:kern w:val="2"/>
      <w:sz w:val="18"/>
      <w:szCs w:val="18"/>
    </w:rPr>
  </w:style>
  <w:style w:type="character" w:customStyle="1" w:styleId="36">
    <w:name w:val="批注文字 字符"/>
    <w:link w:val="8"/>
    <w:qFormat/>
    <w:locked/>
    <w:uiPriority w:val="99"/>
    <w:rPr>
      <w:rFonts w:ascii="Times New Roman" w:hAnsi="Times New Roman" w:cs="Times New Roman"/>
      <w:kern w:val="2"/>
      <w:sz w:val="21"/>
    </w:rPr>
  </w:style>
  <w:style w:type="character" w:customStyle="1" w:styleId="37">
    <w:name w:val="正文文本 字符"/>
    <w:link w:val="9"/>
    <w:qFormat/>
    <w:locked/>
    <w:uiPriority w:val="99"/>
    <w:rPr>
      <w:rFonts w:ascii="Times New Roman" w:hAnsi="Times New Roman" w:eastAsia="宋体" w:cs="Times New Roman"/>
      <w:sz w:val="20"/>
      <w:szCs w:val="20"/>
    </w:rPr>
  </w:style>
  <w:style w:type="character" w:customStyle="1" w:styleId="38">
    <w:name w:val="批注框文本 字符"/>
    <w:link w:val="15"/>
    <w:qFormat/>
    <w:locked/>
    <w:uiPriority w:val="99"/>
    <w:rPr>
      <w:rFonts w:ascii="Times New Roman" w:hAnsi="Times New Roman" w:eastAsia="宋体" w:cs="Times New Roman"/>
      <w:kern w:val="2"/>
      <w:sz w:val="18"/>
      <w:szCs w:val="18"/>
    </w:rPr>
  </w:style>
  <w:style w:type="character" w:customStyle="1" w:styleId="39">
    <w:name w:val="页脚 字符"/>
    <w:link w:val="16"/>
    <w:qFormat/>
    <w:locked/>
    <w:uiPriority w:val="99"/>
    <w:rPr>
      <w:rFonts w:ascii="Times New Roman" w:hAnsi="Times New Roman" w:eastAsia="宋体" w:cs="Times New Roman"/>
      <w:sz w:val="18"/>
      <w:szCs w:val="18"/>
    </w:rPr>
  </w:style>
  <w:style w:type="character" w:customStyle="1" w:styleId="40">
    <w:name w:val="页眉 字符"/>
    <w:link w:val="17"/>
    <w:qFormat/>
    <w:locked/>
    <w:uiPriority w:val="99"/>
    <w:rPr>
      <w:rFonts w:ascii="Times New Roman" w:hAnsi="Times New Roman" w:eastAsia="宋体" w:cs="Times New Roman"/>
      <w:sz w:val="18"/>
      <w:szCs w:val="18"/>
    </w:rPr>
  </w:style>
  <w:style w:type="character" w:customStyle="1" w:styleId="41">
    <w:name w:val="正文文本首行缩进 字符"/>
    <w:link w:val="10"/>
    <w:qFormat/>
    <w:locked/>
    <w:uiPriority w:val="99"/>
    <w:rPr>
      <w:rFonts w:ascii="Times New Roman" w:hAnsi="Times New Roman" w:eastAsia="宋体" w:cs="Times New Roman"/>
      <w:sz w:val="20"/>
      <w:szCs w:val="20"/>
    </w:rPr>
  </w:style>
  <w:style w:type="character" w:customStyle="1" w:styleId="42">
    <w:name w:val="正文缩进2格 Char"/>
    <w:link w:val="43"/>
    <w:qFormat/>
    <w:locked/>
    <w:uiPriority w:val="99"/>
    <w:rPr>
      <w:rFonts w:ascii="仿宋_GB2312" w:hAnsi="宋体" w:eastAsia="仿宋_GB2312"/>
      <w:sz w:val="31"/>
    </w:rPr>
  </w:style>
  <w:style w:type="paragraph" w:customStyle="1" w:styleId="43">
    <w:name w:val="正文缩进2格"/>
    <w:basedOn w:val="1"/>
    <w:next w:val="1"/>
    <w:link w:val="42"/>
    <w:qFormat/>
    <w:uiPriority w:val="99"/>
    <w:pPr>
      <w:spacing w:line="600" w:lineRule="exact"/>
      <w:ind w:firstLine="639" w:firstLineChars="206"/>
    </w:pPr>
    <w:rPr>
      <w:rFonts w:ascii="仿宋_GB2312" w:hAnsi="宋体" w:eastAsia="仿宋_GB2312"/>
      <w:kern w:val="0"/>
      <w:sz w:val="31"/>
      <w:szCs w:val="31"/>
    </w:rPr>
  </w:style>
  <w:style w:type="paragraph" w:customStyle="1" w:styleId="44">
    <w:name w:val="列出段落1"/>
    <w:basedOn w:val="1"/>
    <w:qFormat/>
    <w:uiPriority w:val="99"/>
    <w:pPr>
      <w:ind w:firstLine="420" w:firstLineChars="200"/>
    </w:pPr>
  </w:style>
  <w:style w:type="paragraph" w:customStyle="1" w:styleId="45">
    <w:name w:val="列出段落2"/>
    <w:basedOn w:val="1"/>
    <w:qFormat/>
    <w:uiPriority w:val="99"/>
    <w:pPr>
      <w:ind w:firstLine="420" w:firstLineChars="200"/>
    </w:pPr>
  </w:style>
  <w:style w:type="paragraph" w:styleId="46">
    <w:name w:val="List Paragraph"/>
    <w:basedOn w:val="1"/>
    <w:qFormat/>
    <w:uiPriority w:val="99"/>
    <w:pPr>
      <w:ind w:firstLine="420" w:firstLineChars="200"/>
    </w:pPr>
  </w:style>
  <w:style w:type="character" w:customStyle="1" w:styleId="47">
    <w:name w:val="fontstyle01"/>
    <w:qFormat/>
    <w:uiPriority w:val="99"/>
    <w:rPr>
      <w:rFonts w:ascii="仿宋" w:hAnsi="仿宋" w:eastAsia="仿宋" w:cs="Times New Roman"/>
      <w:color w:val="000000"/>
      <w:sz w:val="28"/>
      <w:szCs w:val="28"/>
    </w:rPr>
  </w:style>
  <w:style w:type="character" w:customStyle="1" w:styleId="48">
    <w:name w:val="！正文 Char"/>
    <w:link w:val="49"/>
    <w:qFormat/>
    <w:locked/>
    <w:uiPriority w:val="99"/>
    <w:rPr>
      <w:rFonts w:ascii="Arial" w:hAnsi="Arial"/>
      <w:sz w:val="24"/>
    </w:rPr>
  </w:style>
  <w:style w:type="paragraph" w:customStyle="1" w:styleId="49">
    <w:name w:val="！正文"/>
    <w:basedOn w:val="1"/>
    <w:link w:val="48"/>
    <w:qFormat/>
    <w:uiPriority w:val="99"/>
    <w:pPr>
      <w:spacing w:line="360" w:lineRule="auto"/>
      <w:ind w:firstLine="200" w:firstLineChars="200"/>
    </w:pPr>
    <w:rPr>
      <w:rFonts w:ascii="Arial" w:hAnsi="Arial" w:eastAsia="等线"/>
      <w:kern w:val="0"/>
      <w:sz w:val="24"/>
      <w:szCs w:val="24"/>
    </w:rPr>
  </w:style>
  <w:style w:type="paragraph" w:customStyle="1" w:styleId="50">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1">
    <w:name w:val="正文缩进 字符"/>
    <w:link w:val="6"/>
    <w:qFormat/>
    <w:locked/>
    <w:uiPriority w:val="99"/>
    <w:rPr>
      <w:sz w:val="24"/>
    </w:rPr>
  </w:style>
  <w:style w:type="paragraph" w:customStyle="1" w:styleId="52">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3">
    <w:name w:val="纯文本 字符"/>
    <w:link w:val="14"/>
    <w:qFormat/>
    <w:locked/>
    <w:uiPriority w:val="99"/>
    <w:rPr>
      <w:rFonts w:ascii="宋体" w:hAnsi="Courier New" w:eastAsia="宋体" w:cs="Times New Roman"/>
      <w:kern w:val="2"/>
      <w:sz w:val="21"/>
      <w:szCs w:val="21"/>
    </w:rPr>
  </w:style>
  <w:style w:type="character" w:customStyle="1" w:styleId="54">
    <w:name w:val="未处理的提及1"/>
    <w:semiHidden/>
    <w:qFormat/>
    <w:uiPriority w:val="99"/>
    <w:rPr>
      <w:rFonts w:cs="Times New Roman"/>
      <w:color w:val="605E5C"/>
      <w:shd w:val="clear" w:color="auto" w:fill="E1DFDD"/>
    </w:rPr>
  </w:style>
  <w:style w:type="paragraph" w:customStyle="1" w:styleId="55">
    <w:name w:val="样式"/>
    <w:basedOn w:val="1"/>
    <w:qFormat/>
    <w:uiPriority w:val="99"/>
    <w:pPr>
      <w:ind w:firstLine="420" w:firstLineChars="200"/>
    </w:pPr>
    <w:rPr>
      <w:rFonts w:ascii="Calibri" w:hAnsi="Calibri"/>
      <w:szCs w:val="22"/>
    </w:rPr>
  </w:style>
  <w:style w:type="character" w:customStyle="1" w:styleId="56">
    <w:name w:val="Body Text Indent 2 Char Char"/>
    <w:link w:val="57"/>
    <w:qFormat/>
    <w:locked/>
    <w:uiPriority w:val="99"/>
  </w:style>
  <w:style w:type="paragraph" w:customStyle="1" w:styleId="57">
    <w:name w:val="正文文本缩进 21"/>
    <w:basedOn w:val="1"/>
    <w:link w:val="56"/>
    <w:qFormat/>
    <w:uiPriority w:val="99"/>
    <w:pPr>
      <w:adjustRightInd w:val="0"/>
      <w:spacing w:line="480" w:lineRule="auto"/>
      <w:ind w:firstLine="540"/>
    </w:pPr>
    <w:rPr>
      <w:rFonts w:ascii="Calibri" w:hAnsi="Calibri" w:eastAsia="等线"/>
      <w:kern w:val="0"/>
      <w:sz w:val="20"/>
    </w:rPr>
  </w:style>
  <w:style w:type="character" w:customStyle="1" w:styleId="58">
    <w:name w:val="批注主题 字符"/>
    <w:link w:val="21"/>
    <w:semiHidden/>
    <w:qFormat/>
    <w:locked/>
    <w:uiPriority w:val="99"/>
    <w:rPr>
      <w:rFonts w:ascii="Times New Roman" w:hAnsi="Times New Roman" w:eastAsia="宋体" w:cs="Times New Roman"/>
      <w:b/>
      <w:bCs/>
      <w:kern w:val="2"/>
      <w:sz w:val="21"/>
    </w:rPr>
  </w:style>
  <w:style w:type="character" w:customStyle="1" w:styleId="59">
    <w:name w:val="标题 4 字符"/>
    <w:semiHidden/>
    <w:qFormat/>
    <w:uiPriority w:val="99"/>
    <w:rPr>
      <w:rFonts w:ascii="Cambria" w:hAnsi="Cambria" w:eastAsia="宋体" w:cs="Times New Roman"/>
      <w:b/>
      <w:bCs/>
      <w:kern w:val="2"/>
      <w:sz w:val="28"/>
      <w:szCs w:val="28"/>
    </w:rPr>
  </w:style>
  <w:style w:type="paragraph" w:customStyle="1" w:styleId="60">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1">
    <w:name w:val="致远要点"/>
    <w:basedOn w:val="46"/>
    <w:link w:val="62"/>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2">
    <w:name w:val="致远要点 字符"/>
    <w:link w:val="61"/>
    <w:qFormat/>
    <w:locked/>
    <w:uiPriority w:val="99"/>
    <w:rPr>
      <w:rFonts w:ascii="黑体" w:hAnsi="黑体" w:eastAsia="黑体" w:cs="宋体"/>
      <w:kern w:val="2"/>
      <w:sz w:val="22"/>
      <w:szCs w:val="22"/>
    </w:rPr>
  </w:style>
  <w:style w:type="paragraph" w:customStyle="1" w:styleId="63">
    <w:name w:val="SANGFOR_6_正文"/>
    <w:basedOn w:val="1"/>
    <w:qFormat/>
    <w:uiPriority w:val="99"/>
    <w:pPr>
      <w:spacing w:line="360" w:lineRule="auto"/>
    </w:pPr>
    <w:rPr>
      <w:szCs w:val="24"/>
    </w:rPr>
  </w:style>
  <w:style w:type="paragraph" w:customStyle="1" w:styleId="64">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65">
    <w:name w:val="样式3"/>
    <w:basedOn w:val="1"/>
    <w:qFormat/>
    <w:uiPriority w:val="0"/>
    <w:pPr>
      <w:keepNext/>
      <w:keepLines/>
      <w:autoSpaceDE w:val="0"/>
      <w:autoSpaceDN w:val="0"/>
      <w:adjustRightInd w:val="0"/>
      <w:spacing w:line="360" w:lineRule="auto"/>
      <w:ind w:left="200"/>
      <w:jc w:val="center"/>
      <w:outlineLvl w:val="0"/>
    </w:pPr>
    <w:rPr>
      <w:rFonts w:ascii="宋体" w:hAnsi="宋体"/>
      <w:b/>
      <w:bCs/>
      <w:kern w:val="44"/>
      <w:sz w:val="28"/>
      <w:szCs w:val="28"/>
    </w:rPr>
  </w:style>
  <w:style w:type="character" w:customStyle="1" w:styleId="66">
    <w:name w:val="font21"/>
    <w:basedOn w:val="25"/>
    <w:qFormat/>
    <w:uiPriority w:val="0"/>
    <w:rPr>
      <w:rFonts w:hint="eastAsia" w:ascii="等线" w:hAnsi="等线" w:eastAsia="等线" w:cs="等线"/>
      <w:color w:val="000000"/>
      <w:sz w:val="18"/>
      <w:szCs w:val="18"/>
      <w:u w:val="none"/>
    </w:rPr>
  </w:style>
  <w:style w:type="character" w:customStyle="1" w:styleId="67">
    <w:name w:val="font11"/>
    <w:basedOn w:val="25"/>
    <w:qFormat/>
    <w:uiPriority w:val="0"/>
    <w:rPr>
      <w:rFonts w:hint="eastAsia" w:ascii="宋体" w:hAnsi="宋体" w:eastAsia="宋体" w:cs="宋体"/>
      <w:color w:val="000000"/>
      <w:sz w:val="18"/>
      <w:szCs w:val="18"/>
      <w:u w:val="none"/>
    </w:rPr>
  </w:style>
  <w:style w:type="character" w:customStyle="1" w:styleId="68">
    <w:name w:val="font01"/>
    <w:basedOn w:val="25"/>
    <w:qFormat/>
    <w:uiPriority w:val="0"/>
    <w:rPr>
      <w:rFonts w:hint="eastAsia" w:ascii="宋体" w:hAnsi="宋体" w:eastAsia="宋体" w:cs="宋体"/>
      <w:color w:val="000000"/>
      <w:sz w:val="24"/>
      <w:szCs w:val="24"/>
      <w:u w:val="none"/>
    </w:rPr>
  </w:style>
  <w:style w:type="paragraph" w:customStyle="1" w:styleId="69">
    <w:name w:val="+正文"/>
    <w:basedOn w:val="1"/>
    <w:qFormat/>
    <w:uiPriority w:val="0"/>
    <w:rPr>
      <w:rFonts w:ascii="Calibri" w:hAnsi="Calibri"/>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88" textRotate="1"/>
    <customShpInfo spid="_x0000_s3091"/>
    <customShpInfo spid="_x0000_s3094"/>
    <customShpInfo spid="_x0000_s3093"/>
    <customShpInfo spid="_x0000_s3092"/>
    <customShpInfo spid="_x0000_s3095"/>
    <customShpInfo spid="_x0000_s3090" textRotate="1"/>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53</Pages>
  <Words>4840</Words>
  <Characters>5065</Characters>
  <Lines>247</Lines>
  <Paragraphs>69</Paragraphs>
  <TotalTime>6</TotalTime>
  <ScaleCrop>false</ScaleCrop>
  <LinksUpToDate>false</LinksUpToDate>
  <CharactersWithSpaces>5192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2025-12-17T00:10:39Z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