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2AFD9B">
      <w:pPr>
        <w:spacing w:line="360" w:lineRule="auto"/>
        <w:ind w:firstLine="560"/>
        <w:rPr>
          <w:rFonts w:hint="eastAsia" w:ascii="宋体" w:hAnsi="宋体" w:cs="宋体"/>
          <w:color w:val="auto"/>
          <w:sz w:val="28"/>
          <w:szCs w:val="28"/>
          <w:highlight w:val="none"/>
        </w:rPr>
      </w:pPr>
      <w:bookmarkStart w:id="411" w:name="_GoBack"/>
      <w:bookmarkEnd w:id="411"/>
    </w:p>
    <w:p w14:paraId="5DF80896">
      <w:pPr>
        <w:spacing w:line="360" w:lineRule="auto"/>
        <w:ind w:firstLine="560"/>
        <w:rPr>
          <w:rFonts w:hint="eastAsia" w:ascii="宋体" w:hAnsi="宋体" w:eastAsia="宋体" w:cs="宋体"/>
          <w:color w:val="auto"/>
          <w:sz w:val="28"/>
          <w:szCs w:val="28"/>
          <w:highlight w:val="none"/>
          <w:lang w:eastAsia="zh-CN"/>
        </w:rPr>
      </w:pPr>
    </w:p>
    <w:p w14:paraId="4EAB90EB">
      <w:pPr>
        <w:spacing w:line="360" w:lineRule="auto"/>
        <w:ind w:firstLine="560"/>
        <w:rPr>
          <w:rFonts w:ascii="宋体" w:hAnsi="宋体" w:cs="宋体"/>
          <w:color w:val="auto"/>
          <w:sz w:val="28"/>
          <w:szCs w:val="28"/>
          <w:highlight w:val="none"/>
        </w:rPr>
      </w:pPr>
    </w:p>
    <w:p w14:paraId="55AB5F9A">
      <w:pPr>
        <w:spacing w:line="360" w:lineRule="auto"/>
        <w:ind w:firstLine="560"/>
        <w:jc w:val="left"/>
        <w:rPr>
          <w:rFonts w:ascii="宋体" w:hAnsi="宋体" w:cs="宋体"/>
          <w:color w:val="auto"/>
          <w:sz w:val="28"/>
          <w:szCs w:val="28"/>
          <w:highlight w:val="none"/>
        </w:rPr>
      </w:pPr>
    </w:p>
    <w:p w14:paraId="539D9526">
      <w:pPr>
        <w:jc w:val="center"/>
        <w:rPr>
          <w:rFonts w:hint="eastAsia" w:ascii="黑体" w:eastAsia="黑体"/>
          <w:color w:val="auto"/>
          <w:sz w:val="38"/>
          <w:szCs w:val="38"/>
          <w:highlight w:val="none"/>
          <w:u w:val="single"/>
          <w:lang w:eastAsia="zh-CN"/>
        </w:rPr>
      </w:pPr>
      <w:r>
        <w:rPr>
          <w:rFonts w:hint="eastAsia" w:ascii="黑体" w:eastAsia="黑体"/>
          <w:color w:val="auto"/>
          <w:sz w:val="38"/>
          <w:szCs w:val="38"/>
          <w:highlight w:val="none"/>
          <w:u w:val="single"/>
          <w:lang w:eastAsia="zh-CN"/>
        </w:rPr>
        <w:t>大湾区大学学术交流中心室内改造项目</w:t>
      </w:r>
      <w:r>
        <w:rPr>
          <w:rFonts w:hint="eastAsia" w:ascii="黑体" w:eastAsia="黑体"/>
          <w:color w:val="auto"/>
          <w:sz w:val="38"/>
          <w:szCs w:val="38"/>
          <w:highlight w:val="none"/>
          <w:u w:val="single"/>
          <w:lang w:val="en-US" w:eastAsia="zh-CN"/>
        </w:rPr>
        <w:t>—</w:t>
      </w:r>
      <w:r>
        <w:rPr>
          <w:rFonts w:hint="eastAsia" w:ascii="黑体" w:eastAsia="黑体"/>
          <w:color w:val="auto"/>
          <w:sz w:val="38"/>
          <w:szCs w:val="38"/>
          <w:highlight w:val="none"/>
          <w:u w:val="single"/>
          <w:lang w:eastAsia="zh-CN"/>
        </w:rPr>
        <w:t>4层至19层楼顶排烟管道系统工程</w:t>
      </w:r>
    </w:p>
    <w:p w14:paraId="780FCB65">
      <w:pPr>
        <w:jc w:val="center"/>
        <w:rPr>
          <w:rFonts w:hint="eastAsia" w:ascii="黑体" w:eastAsia="黑体"/>
          <w:b w:val="0"/>
          <w:bCs w:val="0"/>
          <w:color w:val="auto"/>
          <w:sz w:val="28"/>
          <w:szCs w:val="28"/>
          <w:highlight w:val="none"/>
        </w:rPr>
      </w:pPr>
    </w:p>
    <w:p w14:paraId="06E95BA3">
      <w:pPr>
        <w:jc w:val="center"/>
        <w:rPr>
          <w:rFonts w:hint="eastAsia" w:ascii="黑体" w:eastAsia="黑体"/>
          <w:b w:val="0"/>
          <w:bCs w:val="0"/>
          <w:color w:val="auto"/>
          <w:sz w:val="28"/>
          <w:szCs w:val="28"/>
          <w:highlight w:val="none"/>
          <w:lang w:eastAsia="zh-CN"/>
        </w:rPr>
      </w:pPr>
      <w:r>
        <w:rPr>
          <w:rFonts w:hint="eastAsia" w:ascii="黑体" w:eastAsia="黑体"/>
          <w:b w:val="0"/>
          <w:bCs w:val="0"/>
          <w:color w:val="auto"/>
          <w:sz w:val="28"/>
          <w:szCs w:val="28"/>
          <w:highlight w:val="none"/>
        </w:rPr>
        <w:t>项目编号：</w:t>
      </w:r>
      <w:r>
        <w:rPr>
          <w:rFonts w:hint="eastAsia" w:ascii="黑体" w:eastAsia="黑体"/>
          <w:b w:val="0"/>
          <w:bCs w:val="0"/>
          <w:color w:val="auto"/>
          <w:sz w:val="28"/>
          <w:szCs w:val="28"/>
          <w:highlight w:val="none"/>
          <w:lang w:eastAsia="zh-CN"/>
        </w:rPr>
        <w:t>GYBG-WD-01-06-019（2025）</w:t>
      </w:r>
    </w:p>
    <w:p w14:paraId="174AF376">
      <w:pPr>
        <w:pStyle w:val="3"/>
        <w:rPr>
          <w:rFonts w:hint="eastAsia"/>
          <w:color w:val="auto"/>
          <w:highlight w:val="none"/>
          <w:lang w:eastAsia="zh-CN"/>
        </w:rPr>
      </w:pPr>
    </w:p>
    <w:p w14:paraId="5A83616F">
      <w:pPr>
        <w:jc w:val="center"/>
        <w:rPr>
          <w:rFonts w:ascii="黑体" w:eastAsia="黑体"/>
          <w:color w:val="auto"/>
          <w:sz w:val="44"/>
          <w:szCs w:val="44"/>
          <w:highlight w:val="none"/>
        </w:rPr>
      </w:pPr>
      <w:r>
        <w:rPr>
          <w:rFonts w:hint="eastAsia" w:ascii="黑体" w:eastAsia="黑体"/>
          <w:color w:val="auto"/>
          <w:sz w:val="44"/>
          <w:szCs w:val="44"/>
          <w:highlight w:val="none"/>
        </w:rPr>
        <w:t>竞争性谈判文件</w:t>
      </w:r>
    </w:p>
    <w:p w14:paraId="24AB5882">
      <w:pPr>
        <w:spacing w:line="400" w:lineRule="exact"/>
        <w:rPr>
          <w:color w:val="auto"/>
          <w:highlight w:val="none"/>
        </w:rPr>
      </w:pPr>
    </w:p>
    <w:p w14:paraId="41E4F703">
      <w:pPr>
        <w:spacing w:line="400" w:lineRule="exact"/>
        <w:rPr>
          <w:color w:val="auto"/>
          <w:highlight w:val="none"/>
        </w:rPr>
      </w:pPr>
    </w:p>
    <w:p w14:paraId="64E4A46B">
      <w:pPr>
        <w:spacing w:line="400" w:lineRule="exact"/>
        <w:rPr>
          <w:color w:val="auto"/>
          <w:highlight w:val="none"/>
        </w:rPr>
      </w:pPr>
    </w:p>
    <w:p w14:paraId="7DCEC4D6">
      <w:pPr>
        <w:spacing w:line="400" w:lineRule="exact"/>
        <w:rPr>
          <w:color w:val="auto"/>
          <w:highlight w:val="none"/>
        </w:rPr>
      </w:pPr>
    </w:p>
    <w:p w14:paraId="08BDAA1E">
      <w:pPr>
        <w:spacing w:line="400" w:lineRule="exact"/>
        <w:rPr>
          <w:color w:val="auto"/>
          <w:highlight w:val="none"/>
        </w:rPr>
      </w:pPr>
    </w:p>
    <w:p w14:paraId="16A62C09">
      <w:pPr>
        <w:spacing w:line="400" w:lineRule="exact"/>
        <w:rPr>
          <w:color w:val="auto"/>
          <w:highlight w:val="none"/>
        </w:rPr>
      </w:pPr>
    </w:p>
    <w:p w14:paraId="1A118C22">
      <w:pPr>
        <w:spacing w:line="400" w:lineRule="exact"/>
        <w:rPr>
          <w:color w:val="auto"/>
          <w:highlight w:val="none"/>
        </w:rPr>
      </w:pPr>
    </w:p>
    <w:p w14:paraId="223CA3A1">
      <w:pPr>
        <w:spacing w:line="400" w:lineRule="exact"/>
        <w:rPr>
          <w:color w:val="auto"/>
          <w:highlight w:val="none"/>
        </w:rPr>
      </w:pPr>
    </w:p>
    <w:p w14:paraId="2C087D4D">
      <w:pPr>
        <w:spacing w:line="400" w:lineRule="exact"/>
        <w:rPr>
          <w:color w:val="auto"/>
          <w:highlight w:val="none"/>
        </w:rPr>
      </w:pPr>
    </w:p>
    <w:p w14:paraId="6627320A">
      <w:pPr>
        <w:jc w:val="center"/>
        <w:rPr>
          <w:rFonts w:ascii="黑体" w:eastAsia="黑体"/>
          <w:color w:val="auto"/>
          <w:sz w:val="28"/>
          <w:szCs w:val="28"/>
          <w:highlight w:val="none"/>
        </w:rPr>
      </w:pPr>
      <w:r>
        <w:rPr>
          <w:rFonts w:hint="eastAsia" w:ascii="黑体" w:eastAsia="黑体"/>
          <w:color w:val="auto"/>
          <w:sz w:val="28"/>
          <w:szCs w:val="28"/>
          <w:highlight w:val="none"/>
        </w:rPr>
        <w:t>采购人：</w:t>
      </w:r>
      <w:r>
        <w:rPr>
          <w:rFonts w:hint="eastAsia" w:ascii="黑体" w:eastAsia="黑体"/>
          <w:color w:val="auto"/>
          <w:sz w:val="28"/>
          <w:szCs w:val="28"/>
          <w:highlight w:val="none"/>
          <w:u w:val="single"/>
          <w:lang w:eastAsia="zh-CN"/>
        </w:rPr>
        <w:t>东莞迎宾馆酒店有限公司松山湖分公司</w:t>
      </w:r>
      <w:r>
        <w:rPr>
          <w:rFonts w:hint="eastAsia" w:ascii="黑体" w:eastAsia="黑体"/>
          <w:color w:val="auto"/>
          <w:sz w:val="28"/>
          <w:szCs w:val="28"/>
          <w:highlight w:val="none"/>
        </w:rPr>
        <w:t>（盖单位章）</w:t>
      </w:r>
    </w:p>
    <w:p w14:paraId="1C181E10">
      <w:pPr>
        <w:jc w:val="center"/>
        <w:rPr>
          <w:rFonts w:ascii="黑体" w:eastAsia="黑体"/>
          <w:color w:val="auto"/>
          <w:sz w:val="28"/>
          <w:szCs w:val="28"/>
          <w:highlight w:val="none"/>
        </w:rPr>
      </w:pPr>
      <w:r>
        <w:rPr>
          <w:rFonts w:hint="eastAsia" w:ascii="黑体" w:eastAsia="黑体"/>
          <w:color w:val="auto"/>
          <w:sz w:val="28"/>
          <w:szCs w:val="28"/>
          <w:highlight w:val="none"/>
        </w:rPr>
        <w:t>采购代理机构：</w:t>
      </w:r>
      <w:r>
        <w:rPr>
          <w:rFonts w:hint="eastAsia" w:ascii="黑体" w:eastAsia="黑体"/>
          <w:color w:val="auto"/>
          <w:sz w:val="28"/>
          <w:szCs w:val="28"/>
          <w:highlight w:val="none"/>
          <w:u w:val="single"/>
          <w:lang w:eastAsia="zh-CN"/>
        </w:rPr>
        <w:t>建成工程咨询股份有限公司</w:t>
      </w:r>
      <w:r>
        <w:rPr>
          <w:rFonts w:hint="eastAsia" w:ascii="黑体" w:eastAsia="黑体"/>
          <w:color w:val="auto"/>
          <w:sz w:val="28"/>
          <w:szCs w:val="28"/>
          <w:highlight w:val="none"/>
        </w:rPr>
        <w:t>（盖单位章）</w:t>
      </w:r>
    </w:p>
    <w:p w14:paraId="75B9578A">
      <w:pPr>
        <w:jc w:val="center"/>
        <w:rPr>
          <w:rFonts w:ascii="黑体" w:eastAsia="黑体"/>
          <w:color w:val="auto"/>
          <w:sz w:val="28"/>
          <w:szCs w:val="28"/>
          <w:highlight w:val="none"/>
        </w:rPr>
      </w:pPr>
      <w:r>
        <w:rPr>
          <w:rFonts w:hint="eastAsia" w:ascii="黑体" w:eastAsia="黑体"/>
          <w:color w:val="auto"/>
          <w:sz w:val="28"/>
          <w:szCs w:val="28"/>
          <w:highlight w:val="none"/>
        </w:rPr>
        <w:t xml:space="preserve"> </w:t>
      </w:r>
      <w:r>
        <w:rPr>
          <w:rFonts w:hint="eastAsia" w:ascii="黑体" w:eastAsia="黑体"/>
          <w:color w:val="auto"/>
          <w:sz w:val="28"/>
          <w:szCs w:val="28"/>
          <w:highlight w:val="none"/>
          <w:u w:val="single"/>
          <w:lang w:val="en-US" w:eastAsia="zh-CN"/>
        </w:rPr>
        <w:t>2025</w:t>
      </w:r>
      <w:r>
        <w:rPr>
          <w:rFonts w:hint="eastAsia" w:ascii="黑体" w:eastAsia="黑体"/>
          <w:color w:val="auto"/>
          <w:sz w:val="28"/>
          <w:szCs w:val="28"/>
          <w:highlight w:val="none"/>
        </w:rPr>
        <w:t>年</w:t>
      </w:r>
      <w:r>
        <w:rPr>
          <w:rFonts w:hint="eastAsia" w:ascii="黑体" w:eastAsia="黑体"/>
          <w:color w:val="auto"/>
          <w:sz w:val="28"/>
          <w:szCs w:val="28"/>
          <w:highlight w:val="none"/>
          <w:u w:val="single"/>
          <w:lang w:val="en-US" w:eastAsia="zh-CN"/>
        </w:rPr>
        <w:t>12</w:t>
      </w:r>
      <w:r>
        <w:rPr>
          <w:rFonts w:hint="eastAsia" w:ascii="黑体" w:eastAsia="黑体"/>
          <w:color w:val="auto"/>
          <w:sz w:val="28"/>
          <w:szCs w:val="28"/>
          <w:highlight w:val="none"/>
        </w:rPr>
        <w:t>月</w:t>
      </w:r>
    </w:p>
    <w:p w14:paraId="1E72B6F4">
      <w:pPr>
        <w:jc w:val="center"/>
        <w:rPr>
          <w:rFonts w:hint="eastAsia" w:ascii="黑体" w:eastAsia="黑体"/>
          <w:color w:val="auto"/>
          <w:sz w:val="28"/>
          <w:szCs w:val="28"/>
          <w:highlight w:val="none"/>
        </w:rPr>
        <w:sectPr>
          <w:footerReference r:id="rId5" w:type="first"/>
          <w:footerReference r:id="rId4" w:type="default"/>
          <w:pgSz w:w="11906" w:h="16838"/>
          <w:pgMar w:top="1440" w:right="1800" w:bottom="1440" w:left="1800" w:header="851" w:footer="992" w:gutter="0"/>
          <w:cols w:space="720" w:num="1"/>
          <w:docGrid w:type="lines" w:linePitch="312" w:charSpace="0"/>
        </w:sectPr>
      </w:pPr>
    </w:p>
    <w:p w14:paraId="4098242D">
      <w:pPr>
        <w:jc w:val="center"/>
        <w:rPr>
          <w:rFonts w:ascii="黑体" w:eastAsia="黑体"/>
          <w:color w:val="auto"/>
          <w:sz w:val="28"/>
          <w:szCs w:val="28"/>
          <w:highlight w:val="none"/>
        </w:rPr>
      </w:pPr>
      <w:r>
        <w:rPr>
          <w:rFonts w:hint="eastAsia" w:ascii="黑体" w:eastAsia="黑体"/>
          <w:color w:val="auto"/>
          <w:sz w:val="28"/>
          <w:szCs w:val="28"/>
          <w:highlight w:val="none"/>
        </w:rPr>
        <w:t>目 录</w:t>
      </w:r>
    </w:p>
    <w:p w14:paraId="1F16BE2D">
      <w:pPr>
        <w:pStyle w:val="29"/>
        <w:tabs>
          <w:tab w:val="right" w:leader="dot" w:pos="8306"/>
        </w:tabs>
        <w:rPr>
          <w:color w:val="auto"/>
          <w:highlight w:val="none"/>
        </w:rPr>
      </w:pPr>
      <w:r>
        <w:rPr>
          <w:rFonts w:ascii="黑体" w:eastAsia="黑体"/>
          <w:color w:val="auto"/>
          <w:sz w:val="28"/>
          <w:szCs w:val="28"/>
          <w:highlight w:val="none"/>
        </w:rPr>
        <w:fldChar w:fldCharType="begin"/>
      </w:r>
      <w:r>
        <w:rPr>
          <w:rFonts w:ascii="黑体" w:eastAsia="黑体"/>
          <w:color w:val="auto"/>
          <w:sz w:val="28"/>
          <w:szCs w:val="28"/>
          <w:highlight w:val="none"/>
        </w:rPr>
        <w:instrText xml:space="preserve"> </w:instrText>
      </w:r>
      <w:r>
        <w:rPr>
          <w:rFonts w:hint="eastAsia" w:ascii="黑体" w:eastAsia="黑体"/>
          <w:color w:val="auto"/>
          <w:sz w:val="28"/>
          <w:szCs w:val="28"/>
          <w:highlight w:val="none"/>
        </w:rPr>
        <w:instrText xml:space="preserve">TOC \o "1-3" \h \z \u</w:instrText>
      </w:r>
      <w:r>
        <w:rPr>
          <w:rFonts w:ascii="黑体" w:eastAsia="黑体"/>
          <w:color w:val="auto"/>
          <w:sz w:val="28"/>
          <w:szCs w:val="28"/>
          <w:highlight w:val="none"/>
        </w:rPr>
        <w:instrText xml:space="preserve"> </w:instrText>
      </w:r>
      <w:r>
        <w:rPr>
          <w:rFonts w:ascii="黑体" w:eastAsia="黑体"/>
          <w:color w:val="auto"/>
          <w:sz w:val="28"/>
          <w:szCs w:val="28"/>
          <w:highlight w:val="none"/>
        </w:rPr>
        <w:fldChar w:fldCharType="separate"/>
      </w:r>
      <w:r>
        <w:rPr>
          <w:rFonts w:ascii="黑体" w:eastAsia="黑体"/>
          <w:color w:val="auto"/>
          <w:szCs w:val="28"/>
          <w:highlight w:val="none"/>
        </w:rPr>
        <w:fldChar w:fldCharType="begin"/>
      </w:r>
      <w:r>
        <w:rPr>
          <w:rFonts w:ascii="黑体" w:eastAsia="黑体"/>
          <w:color w:val="auto"/>
          <w:szCs w:val="28"/>
          <w:highlight w:val="none"/>
        </w:rPr>
        <w:instrText xml:space="preserve"> HYPERLINK \l _Toc27289 </w:instrText>
      </w:r>
      <w:r>
        <w:rPr>
          <w:rFonts w:ascii="黑体" w:eastAsia="黑体"/>
          <w:color w:val="auto"/>
          <w:szCs w:val="28"/>
          <w:highlight w:val="none"/>
        </w:rPr>
        <w:fldChar w:fldCharType="separate"/>
      </w:r>
      <w:r>
        <w:rPr>
          <w:rFonts w:hint="eastAsia" w:ascii="宋体" w:hAnsi="宋体" w:eastAsia="宋体" w:cs="宋体"/>
          <w:color w:val="auto"/>
          <w:kern w:val="0"/>
          <w:szCs w:val="28"/>
          <w:highlight w:val="none"/>
        </w:rPr>
        <w:t>第</w:t>
      </w:r>
      <w:r>
        <w:rPr>
          <w:rFonts w:ascii="宋体" w:hAnsi="宋体" w:eastAsia="宋体" w:cs="宋体"/>
          <w:color w:val="auto"/>
          <w:kern w:val="0"/>
          <w:szCs w:val="28"/>
          <w:highlight w:val="none"/>
        </w:rPr>
        <w:t>一章  竞争性谈判公告</w:t>
      </w:r>
      <w:r>
        <w:rPr>
          <w:color w:val="auto"/>
          <w:highlight w:val="none"/>
        </w:rPr>
        <w:tab/>
      </w:r>
      <w:r>
        <w:rPr>
          <w:color w:val="auto"/>
          <w:highlight w:val="none"/>
        </w:rPr>
        <w:fldChar w:fldCharType="begin"/>
      </w:r>
      <w:r>
        <w:rPr>
          <w:color w:val="auto"/>
          <w:highlight w:val="none"/>
        </w:rPr>
        <w:instrText xml:space="preserve"> PAGEREF _Toc27289 \h </w:instrText>
      </w:r>
      <w:r>
        <w:rPr>
          <w:color w:val="auto"/>
          <w:highlight w:val="none"/>
        </w:rPr>
        <w:fldChar w:fldCharType="separate"/>
      </w:r>
      <w:r>
        <w:rPr>
          <w:color w:val="auto"/>
          <w:highlight w:val="none"/>
        </w:rPr>
        <w:t>2</w:t>
      </w:r>
      <w:r>
        <w:rPr>
          <w:color w:val="auto"/>
          <w:highlight w:val="none"/>
        </w:rPr>
        <w:fldChar w:fldCharType="end"/>
      </w:r>
      <w:r>
        <w:rPr>
          <w:rFonts w:ascii="黑体" w:eastAsia="黑体"/>
          <w:color w:val="auto"/>
          <w:szCs w:val="28"/>
          <w:highlight w:val="none"/>
        </w:rPr>
        <w:fldChar w:fldCharType="end"/>
      </w:r>
    </w:p>
    <w:p w14:paraId="665FEC0F">
      <w:pPr>
        <w:pStyle w:val="29"/>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_Toc8003 </w:instrText>
      </w:r>
      <w:r>
        <w:rPr>
          <w:rFonts w:ascii="黑体" w:eastAsia="黑体"/>
          <w:color w:val="auto"/>
          <w:szCs w:val="28"/>
          <w:highlight w:val="none"/>
        </w:rPr>
        <w:fldChar w:fldCharType="separate"/>
      </w:r>
      <w:r>
        <w:rPr>
          <w:rFonts w:hint="eastAsia" w:ascii="宋体" w:hAnsi="宋体" w:eastAsia="宋体" w:cs="宋体"/>
          <w:color w:val="auto"/>
          <w:kern w:val="0"/>
          <w:szCs w:val="28"/>
          <w:highlight w:val="none"/>
        </w:rPr>
        <w:t>第二章 竞争性谈判响应须知</w:t>
      </w:r>
      <w:r>
        <w:rPr>
          <w:color w:val="auto"/>
          <w:highlight w:val="none"/>
        </w:rPr>
        <w:tab/>
      </w:r>
      <w:r>
        <w:rPr>
          <w:color w:val="auto"/>
          <w:highlight w:val="none"/>
        </w:rPr>
        <w:fldChar w:fldCharType="begin"/>
      </w:r>
      <w:r>
        <w:rPr>
          <w:color w:val="auto"/>
          <w:highlight w:val="none"/>
        </w:rPr>
        <w:instrText xml:space="preserve"> PAGEREF _Toc8003 \h </w:instrText>
      </w:r>
      <w:r>
        <w:rPr>
          <w:color w:val="auto"/>
          <w:highlight w:val="none"/>
        </w:rPr>
        <w:fldChar w:fldCharType="separate"/>
      </w:r>
      <w:r>
        <w:rPr>
          <w:color w:val="auto"/>
          <w:highlight w:val="none"/>
        </w:rPr>
        <w:t>5</w:t>
      </w:r>
      <w:r>
        <w:rPr>
          <w:color w:val="auto"/>
          <w:highlight w:val="none"/>
        </w:rPr>
        <w:fldChar w:fldCharType="end"/>
      </w:r>
      <w:r>
        <w:rPr>
          <w:rFonts w:ascii="黑体" w:eastAsia="黑体"/>
          <w:color w:val="auto"/>
          <w:szCs w:val="28"/>
          <w:highlight w:val="none"/>
        </w:rPr>
        <w:fldChar w:fldCharType="end"/>
      </w:r>
    </w:p>
    <w:p w14:paraId="10777EE5">
      <w:pPr>
        <w:pStyle w:val="29"/>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_Toc10128 </w:instrText>
      </w:r>
      <w:r>
        <w:rPr>
          <w:rFonts w:ascii="黑体" w:eastAsia="黑体"/>
          <w:color w:val="auto"/>
          <w:szCs w:val="28"/>
          <w:highlight w:val="none"/>
        </w:rPr>
        <w:fldChar w:fldCharType="separate"/>
      </w:r>
      <w:r>
        <w:rPr>
          <w:rFonts w:hint="eastAsia"/>
          <w:color w:val="auto"/>
          <w:szCs w:val="28"/>
          <w:highlight w:val="none"/>
        </w:rPr>
        <w:t>竞争性谈判响应须知前附表</w:t>
      </w:r>
      <w:r>
        <w:rPr>
          <w:color w:val="auto"/>
          <w:highlight w:val="none"/>
        </w:rPr>
        <w:tab/>
      </w:r>
      <w:r>
        <w:rPr>
          <w:color w:val="auto"/>
          <w:highlight w:val="none"/>
        </w:rPr>
        <w:fldChar w:fldCharType="begin"/>
      </w:r>
      <w:r>
        <w:rPr>
          <w:color w:val="auto"/>
          <w:highlight w:val="none"/>
        </w:rPr>
        <w:instrText xml:space="preserve"> PAGEREF _Toc10128 \h </w:instrText>
      </w:r>
      <w:r>
        <w:rPr>
          <w:color w:val="auto"/>
          <w:highlight w:val="none"/>
        </w:rPr>
        <w:fldChar w:fldCharType="separate"/>
      </w:r>
      <w:r>
        <w:rPr>
          <w:color w:val="auto"/>
          <w:highlight w:val="none"/>
        </w:rPr>
        <w:t>5</w:t>
      </w:r>
      <w:r>
        <w:rPr>
          <w:color w:val="auto"/>
          <w:highlight w:val="none"/>
        </w:rPr>
        <w:fldChar w:fldCharType="end"/>
      </w:r>
      <w:r>
        <w:rPr>
          <w:rFonts w:ascii="黑体" w:eastAsia="黑体"/>
          <w:color w:val="auto"/>
          <w:szCs w:val="28"/>
          <w:highlight w:val="none"/>
        </w:rPr>
        <w:fldChar w:fldCharType="end"/>
      </w:r>
    </w:p>
    <w:p w14:paraId="1E5CA121">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_Toc30718 </w:instrText>
      </w:r>
      <w:r>
        <w:rPr>
          <w:rFonts w:ascii="黑体" w:eastAsia="黑体"/>
          <w:color w:val="auto"/>
          <w:szCs w:val="28"/>
          <w:highlight w:val="none"/>
        </w:rPr>
        <w:fldChar w:fldCharType="separate"/>
      </w:r>
      <w:r>
        <w:rPr>
          <w:rFonts w:hint="eastAsia" w:ascii="黑体" w:hAnsi="黑体"/>
          <w:color w:val="auto"/>
          <w:highlight w:val="none"/>
        </w:rPr>
        <w:t>1. 总则</w:t>
      </w:r>
      <w:r>
        <w:rPr>
          <w:color w:val="auto"/>
          <w:highlight w:val="none"/>
        </w:rPr>
        <w:tab/>
      </w:r>
      <w:r>
        <w:rPr>
          <w:color w:val="auto"/>
          <w:highlight w:val="none"/>
        </w:rPr>
        <w:fldChar w:fldCharType="begin"/>
      </w:r>
      <w:r>
        <w:rPr>
          <w:color w:val="auto"/>
          <w:highlight w:val="none"/>
        </w:rPr>
        <w:instrText xml:space="preserve"> PAGEREF _Toc30718 \h </w:instrText>
      </w:r>
      <w:r>
        <w:rPr>
          <w:color w:val="auto"/>
          <w:highlight w:val="none"/>
        </w:rPr>
        <w:fldChar w:fldCharType="separate"/>
      </w:r>
      <w:r>
        <w:rPr>
          <w:color w:val="auto"/>
          <w:highlight w:val="none"/>
        </w:rPr>
        <w:t>11</w:t>
      </w:r>
      <w:r>
        <w:rPr>
          <w:color w:val="auto"/>
          <w:highlight w:val="none"/>
        </w:rPr>
        <w:fldChar w:fldCharType="end"/>
      </w:r>
      <w:r>
        <w:rPr>
          <w:rFonts w:ascii="黑体" w:eastAsia="黑体"/>
          <w:color w:val="auto"/>
          <w:szCs w:val="28"/>
          <w:highlight w:val="none"/>
        </w:rPr>
        <w:fldChar w:fldCharType="end"/>
      </w:r>
    </w:p>
    <w:p w14:paraId="536986D5">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_Toc30247 </w:instrText>
      </w:r>
      <w:r>
        <w:rPr>
          <w:rFonts w:ascii="黑体" w:eastAsia="黑体"/>
          <w:color w:val="auto"/>
          <w:szCs w:val="28"/>
          <w:highlight w:val="none"/>
        </w:rPr>
        <w:fldChar w:fldCharType="separate"/>
      </w:r>
      <w:r>
        <w:rPr>
          <w:rFonts w:hint="eastAsia" w:ascii="黑体" w:hAnsi="黑体"/>
          <w:color w:val="auto"/>
          <w:highlight w:val="none"/>
        </w:rPr>
        <w:t>2. 竞争性谈判文件</w:t>
      </w:r>
      <w:r>
        <w:rPr>
          <w:color w:val="auto"/>
          <w:highlight w:val="none"/>
        </w:rPr>
        <w:tab/>
      </w:r>
      <w:r>
        <w:rPr>
          <w:color w:val="auto"/>
          <w:highlight w:val="none"/>
        </w:rPr>
        <w:fldChar w:fldCharType="begin"/>
      </w:r>
      <w:r>
        <w:rPr>
          <w:color w:val="auto"/>
          <w:highlight w:val="none"/>
        </w:rPr>
        <w:instrText xml:space="preserve"> PAGEREF _Toc30247 \h </w:instrText>
      </w:r>
      <w:r>
        <w:rPr>
          <w:color w:val="auto"/>
          <w:highlight w:val="none"/>
        </w:rPr>
        <w:fldChar w:fldCharType="separate"/>
      </w:r>
      <w:r>
        <w:rPr>
          <w:color w:val="auto"/>
          <w:highlight w:val="none"/>
        </w:rPr>
        <w:t>13</w:t>
      </w:r>
      <w:r>
        <w:rPr>
          <w:color w:val="auto"/>
          <w:highlight w:val="none"/>
        </w:rPr>
        <w:fldChar w:fldCharType="end"/>
      </w:r>
      <w:r>
        <w:rPr>
          <w:rFonts w:ascii="黑体" w:eastAsia="黑体"/>
          <w:color w:val="auto"/>
          <w:szCs w:val="28"/>
          <w:highlight w:val="none"/>
        </w:rPr>
        <w:fldChar w:fldCharType="end"/>
      </w:r>
    </w:p>
    <w:p w14:paraId="4B648983">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_Toc27392 </w:instrText>
      </w:r>
      <w:r>
        <w:rPr>
          <w:rFonts w:ascii="黑体" w:eastAsia="黑体"/>
          <w:color w:val="auto"/>
          <w:szCs w:val="28"/>
          <w:highlight w:val="none"/>
        </w:rPr>
        <w:fldChar w:fldCharType="separate"/>
      </w:r>
      <w:r>
        <w:rPr>
          <w:rFonts w:hint="eastAsia" w:ascii="黑体" w:hAnsi="黑体"/>
          <w:color w:val="auto"/>
          <w:highlight w:val="none"/>
        </w:rPr>
        <w:t>3. 响应文件</w:t>
      </w:r>
      <w:r>
        <w:rPr>
          <w:color w:val="auto"/>
          <w:highlight w:val="none"/>
        </w:rPr>
        <w:tab/>
      </w:r>
      <w:r>
        <w:rPr>
          <w:color w:val="auto"/>
          <w:highlight w:val="none"/>
        </w:rPr>
        <w:fldChar w:fldCharType="begin"/>
      </w:r>
      <w:r>
        <w:rPr>
          <w:color w:val="auto"/>
          <w:highlight w:val="none"/>
        </w:rPr>
        <w:instrText xml:space="preserve"> PAGEREF _Toc27392 \h </w:instrText>
      </w:r>
      <w:r>
        <w:rPr>
          <w:color w:val="auto"/>
          <w:highlight w:val="none"/>
        </w:rPr>
        <w:fldChar w:fldCharType="separate"/>
      </w:r>
      <w:r>
        <w:rPr>
          <w:color w:val="auto"/>
          <w:highlight w:val="none"/>
        </w:rPr>
        <w:t>14</w:t>
      </w:r>
      <w:r>
        <w:rPr>
          <w:color w:val="auto"/>
          <w:highlight w:val="none"/>
        </w:rPr>
        <w:fldChar w:fldCharType="end"/>
      </w:r>
      <w:r>
        <w:rPr>
          <w:rFonts w:ascii="黑体" w:eastAsia="黑体"/>
          <w:color w:val="auto"/>
          <w:szCs w:val="28"/>
          <w:highlight w:val="none"/>
        </w:rPr>
        <w:fldChar w:fldCharType="end"/>
      </w:r>
    </w:p>
    <w:p w14:paraId="212C778B">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_Toc17767 </w:instrText>
      </w:r>
      <w:r>
        <w:rPr>
          <w:rFonts w:ascii="黑体" w:eastAsia="黑体"/>
          <w:color w:val="auto"/>
          <w:szCs w:val="28"/>
          <w:highlight w:val="none"/>
        </w:rPr>
        <w:fldChar w:fldCharType="separate"/>
      </w:r>
      <w:r>
        <w:rPr>
          <w:rFonts w:hint="eastAsia" w:ascii="黑体" w:hAnsi="黑体"/>
          <w:color w:val="auto"/>
          <w:highlight w:val="none"/>
        </w:rPr>
        <w:t>4. 竞争性谈判</w:t>
      </w:r>
      <w:r>
        <w:rPr>
          <w:color w:val="auto"/>
          <w:highlight w:val="none"/>
        </w:rPr>
        <w:tab/>
      </w:r>
      <w:r>
        <w:rPr>
          <w:color w:val="auto"/>
          <w:highlight w:val="none"/>
        </w:rPr>
        <w:fldChar w:fldCharType="begin"/>
      </w:r>
      <w:r>
        <w:rPr>
          <w:color w:val="auto"/>
          <w:highlight w:val="none"/>
        </w:rPr>
        <w:instrText xml:space="preserve"> PAGEREF _Toc17767 \h </w:instrText>
      </w:r>
      <w:r>
        <w:rPr>
          <w:color w:val="auto"/>
          <w:highlight w:val="none"/>
        </w:rPr>
        <w:fldChar w:fldCharType="separate"/>
      </w:r>
      <w:r>
        <w:rPr>
          <w:color w:val="auto"/>
          <w:highlight w:val="none"/>
        </w:rPr>
        <w:t>16</w:t>
      </w:r>
      <w:r>
        <w:rPr>
          <w:color w:val="auto"/>
          <w:highlight w:val="none"/>
        </w:rPr>
        <w:fldChar w:fldCharType="end"/>
      </w:r>
      <w:r>
        <w:rPr>
          <w:rFonts w:ascii="黑体" w:eastAsia="黑体"/>
          <w:color w:val="auto"/>
          <w:szCs w:val="28"/>
          <w:highlight w:val="none"/>
        </w:rPr>
        <w:fldChar w:fldCharType="end"/>
      </w:r>
    </w:p>
    <w:p w14:paraId="271E86CE">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_Toc13966 </w:instrText>
      </w:r>
      <w:r>
        <w:rPr>
          <w:rFonts w:ascii="黑体" w:eastAsia="黑体"/>
          <w:color w:val="auto"/>
          <w:szCs w:val="28"/>
          <w:highlight w:val="none"/>
        </w:rPr>
        <w:fldChar w:fldCharType="separate"/>
      </w:r>
      <w:r>
        <w:rPr>
          <w:rFonts w:hint="eastAsia"/>
          <w:color w:val="auto"/>
          <w:highlight w:val="none"/>
        </w:rPr>
        <w:t>5. 公开唱标</w:t>
      </w:r>
      <w:r>
        <w:rPr>
          <w:color w:val="auto"/>
          <w:highlight w:val="none"/>
        </w:rPr>
        <w:tab/>
      </w:r>
      <w:r>
        <w:rPr>
          <w:color w:val="auto"/>
          <w:highlight w:val="none"/>
        </w:rPr>
        <w:fldChar w:fldCharType="begin"/>
      </w:r>
      <w:r>
        <w:rPr>
          <w:color w:val="auto"/>
          <w:highlight w:val="none"/>
        </w:rPr>
        <w:instrText xml:space="preserve"> PAGEREF _Toc13966 \h </w:instrText>
      </w:r>
      <w:r>
        <w:rPr>
          <w:color w:val="auto"/>
          <w:highlight w:val="none"/>
        </w:rPr>
        <w:fldChar w:fldCharType="separate"/>
      </w:r>
      <w:r>
        <w:rPr>
          <w:color w:val="auto"/>
          <w:highlight w:val="none"/>
        </w:rPr>
        <w:t>17</w:t>
      </w:r>
      <w:r>
        <w:rPr>
          <w:color w:val="auto"/>
          <w:highlight w:val="none"/>
        </w:rPr>
        <w:fldChar w:fldCharType="end"/>
      </w:r>
      <w:r>
        <w:rPr>
          <w:rFonts w:ascii="黑体" w:eastAsia="黑体"/>
          <w:color w:val="auto"/>
          <w:szCs w:val="28"/>
          <w:highlight w:val="none"/>
        </w:rPr>
        <w:fldChar w:fldCharType="end"/>
      </w:r>
    </w:p>
    <w:p w14:paraId="3662567D">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_Toc8307 </w:instrText>
      </w:r>
      <w:r>
        <w:rPr>
          <w:rFonts w:ascii="黑体" w:eastAsia="黑体"/>
          <w:color w:val="auto"/>
          <w:szCs w:val="28"/>
          <w:highlight w:val="none"/>
        </w:rPr>
        <w:fldChar w:fldCharType="separate"/>
      </w:r>
      <w:r>
        <w:rPr>
          <w:rFonts w:hint="eastAsia"/>
          <w:color w:val="auto"/>
          <w:highlight w:val="none"/>
        </w:rPr>
        <w:t>6. 评审</w:t>
      </w:r>
      <w:r>
        <w:rPr>
          <w:color w:val="auto"/>
          <w:highlight w:val="none"/>
        </w:rPr>
        <w:tab/>
      </w:r>
      <w:r>
        <w:rPr>
          <w:color w:val="auto"/>
          <w:highlight w:val="none"/>
        </w:rPr>
        <w:fldChar w:fldCharType="begin"/>
      </w:r>
      <w:r>
        <w:rPr>
          <w:color w:val="auto"/>
          <w:highlight w:val="none"/>
        </w:rPr>
        <w:instrText xml:space="preserve"> PAGEREF _Toc8307 \h </w:instrText>
      </w:r>
      <w:r>
        <w:rPr>
          <w:color w:val="auto"/>
          <w:highlight w:val="none"/>
        </w:rPr>
        <w:fldChar w:fldCharType="separate"/>
      </w:r>
      <w:r>
        <w:rPr>
          <w:color w:val="auto"/>
          <w:highlight w:val="none"/>
        </w:rPr>
        <w:t>18</w:t>
      </w:r>
      <w:r>
        <w:rPr>
          <w:color w:val="auto"/>
          <w:highlight w:val="none"/>
        </w:rPr>
        <w:fldChar w:fldCharType="end"/>
      </w:r>
      <w:r>
        <w:rPr>
          <w:rFonts w:ascii="黑体" w:eastAsia="黑体"/>
          <w:color w:val="auto"/>
          <w:szCs w:val="28"/>
          <w:highlight w:val="none"/>
        </w:rPr>
        <w:fldChar w:fldCharType="end"/>
      </w:r>
    </w:p>
    <w:p w14:paraId="395A3BC7">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_Toc12136 </w:instrText>
      </w:r>
      <w:r>
        <w:rPr>
          <w:rFonts w:ascii="黑体" w:eastAsia="黑体"/>
          <w:color w:val="auto"/>
          <w:szCs w:val="28"/>
          <w:highlight w:val="none"/>
        </w:rPr>
        <w:fldChar w:fldCharType="separate"/>
      </w:r>
      <w:r>
        <w:rPr>
          <w:rFonts w:hint="eastAsia"/>
          <w:color w:val="auto"/>
          <w:highlight w:val="none"/>
        </w:rPr>
        <w:t>7. 成交</w:t>
      </w:r>
      <w:r>
        <w:rPr>
          <w:color w:val="auto"/>
          <w:highlight w:val="none"/>
        </w:rPr>
        <w:tab/>
      </w:r>
      <w:r>
        <w:rPr>
          <w:color w:val="auto"/>
          <w:highlight w:val="none"/>
        </w:rPr>
        <w:fldChar w:fldCharType="begin"/>
      </w:r>
      <w:r>
        <w:rPr>
          <w:color w:val="auto"/>
          <w:highlight w:val="none"/>
        </w:rPr>
        <w:instrText xml:space="preserve"> PAGEREF _Toc12136 \h </w:instrText>
      </w:r>
      <w:r>
        <w:rPr>
          <w:color w:val="auto"/>
          <w:highlight w:val="none"/>
        </w:rPr>
        <w:fldChar w:fldCharType="separate"/>
      </w:r>
      <w:r>
        <w:rPr>
          <w:color w:val="auto"/>
          <w:highlight w:val="none"/>
        </w:rPr>
        <w:t>18</w:t>
      </w:r>
      <w:r>
        <w:rPr>
          <w:color w:val="auto"/>
          <w:highlight w:val="none"/>
        </w:rPr>
        <w:fldChar w:fldCharType="end"/>
      </w:r>
      <w:r>
        <w:rPr>
          <w:rFonts w:ascii="黑体" w:eastAsia="黑体"/>
          <w:color w:val="auto"/>
          <w:szCs w:val="28"/>
          <w:highlight w:val="none"/>
        </w:rPr>
        <w:fldChar w:fldCharType="end"/>
      </w:r>
    </w:p>
    <w:p w14:paraId="7B7FC471">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_Toc20110 </w:instrText>
      </w:r>
      <w:r>
        <w:rPr>
          <w:rFonts w:ascii="黑体" w:eastAsia="黑体"/>
          <w:color w:val="auto"/>
          <w:szCs w:val="28"/>
          <w:highlight w:val="none"/>
        </w:rPr>
        <w:fldChar w:fldCharType="separate"/>
      </w:r>
      <w:r>
        <w:rPr>
          <w:rFonts w:hint="eastAsia"/>
          <w:color w:val="auto"/>
          <w:highlight w:val="none"/>
        </w:rPr>
        <w:t>8.合同签订</w:t>
      </w:r>
      <w:r>
        <w:rPr>
          <w:color w:val="auto"/>
          <w:highlight w:val="none"/>
        </w:rPr>
        <w:tab/>
      </w:r>
      <w:r>
        <w:rPr>
          <w:color w:val="auto"/>
          <w:highlight w:val="none"/>
        </w:rPr>
        <w:fldChar w:fldCharType="begin"/>
      </w:r>
      <w:r>
        <w:rPr>
          <w:color w:val="auto"/>
          <w:highlight w:val="none"/>
        </w:rPr>
        <w:instrText xml:space="preserve"> PAGEREF _Toc20110 \h </w:instrText>
      </w:r>
      <w:r>
        <w:rPr>
          <w:color w:val="auto"/>
          <w:highlight w:val="none"/>
        </w:rPr>
        <w:fldChar w:fldCharType="separate"/>
      </w:r>
      <w:r>
        <w:rPr>
          <w:color w:val="auto"/>
          <w:highlight w:val="none"/>
        </w:rPr>
        <w:t>19</w:t>
      </w:r>
      <w:r>
        <w:rPr>
          <w:color w:val="auto"/>
          <w:highlight w:val="none"/>
        </w:rPr>
        <w:fldChar w:fldCharType="end"/>
      </w:r>
      <w:r>
        <w:rPr>
          <w:rFonts w:ascii="黑体" w:eastAsia="黑体"/>
          <w:color w:val="auto"/>
          <w:szCs w:val="28"/>
          <w:highlight w:val="none"/>
        </w:rPr>
        <w:fldChar w:fldCharType="end"/>
      </w:r>
    </w:p>
    <w:p w14:paraId="14315BEF">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_Toc14140 </w:instrText>
      </w:r>
      <w:r>
        <w:rPr>
          <w:rFonts w:ascii="黑体" w:eastAsia="黑体"/>
          <w:color w:val="auto"/>
          <w:szCs w:val="28"/>
          <w:highlight w:val="none"/>
        </w:rPr>
        <w:fldChar w:fldCharType="separate"/>
      </w:r>
      <w:r>
        <w:rPr>
          <w:rFonts w:hint="eastAsia"/>
          <w:color w:val="auto"/>
          <w:highlight w:val="none"/>
        </w:rPr>
        <w:t>9.采购代理服务费</w:t>
      </w:r>
      <w:r>
        <w:rPr>
          <w:color w:val="auto"/>
          <w:highlight w:val="none"/>
        </w:rPr>
        <w:tab/>
      </w:r>
      <w:r>
        <w:rPr>
          <w:color w:val="auto"/>
          <w:highlight w:val="none"/>
        </w:rPr>
        <w:fldChar w:fldCharType="begin"/>
      </w:r>
      <w:r>
        <w:rPr>
          <w:color w:val="auto"/>
          <w:highlight w:val="none"/>
        </w:rPr>
        <w:instrText xml:space="preserve"> PAGEREF _Toc14140 \h </w:instrText>
      </w:r>
      <w:r>
        <w:rPr>
          <w:color w:val="auto"/>
          <w:highlight w:val="none"/>
        </w:rPr>
        <w:fldChar w:fldCharType="separate"/>
      </w:r>
      <w:r>
        <w:rPr>
          <w:color w:val="auto"/>
          <w:highlight w:val="none"/>
        </w:rPr>
        <w:t>20</w:t>
      </w:r>
      <w:r>
        <w:rPr>
          <w:color w:val="auto"/>
          <w:highlight w:val="none"/>
        </w:rPr>
        <w:fldChar w:fldCharType="end"/>
      </w:r>
      <w:r>
        <w:rPr>
          <w:rFonts w:ascii="黑体" w:eastAsia="黑体"/>
          <w:color w:val="auto"/>
          <w:szCs w:val="28"/>
          <w:highlight w:val="none"/>
        </w:rPr>
        <w:fldChar w:fldCharType="end"/>
      </w:r>
    </w:p>
    <w:p w14:paraId="05F14048">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_Toc27709 </w:instrText>
      </w:r>
      <w:r>
        <w:rPr>
          <w:rFonts w:ascii="黑体" w:eastAsia="黑体"/>
          <w:color w:val="auto"/>
          <w:szCs w:val="28"/>
          <w:highlight w:val="none"/>
        </w:rPr>
        <w:fldChar w:fldCharType="separate"/>
      </w:r>
      <w:r>
        <w:rPr>
          <w:rFonts w:hint="eastAsia"/>
          <w:color w:val="auto"/>
          <w:highlight w:val="none"/>
        </w:rPr>
        <w:t>10. 纪律和监督</w:t>
      </w:r>
      <w:r>
        <w:rPr>
          <w:color w:val="auto"/>
          <w:highlight w:val="none"/>
        </w:rPr>
        <w:tab/>
      </w:r>
      <w:r>
        <w:rPr>
          <w:color w:val="auto"/>
          <w:highlight w:val="none"/>
        </w:rPr>
        <w:fldChar w:fldCharType="begin"/>
      </w:r>
      <w:r>
        <w:rPr>
          <w:color w:val="auto"/>
          <w:highlight w:val="none"/>
        </w:rPr>
        <w:instrText xml:space="preserve"> PAGEREF _Toc27709 \h </w:instrText>
      </w:r>
      <w:r>
        <w:rPr>
          <w:color w:val="auto"/>
          <w:highlight w:val="none"/>
        </w:rPr>
        <w:fldChar w:fldCharType="separate"/>
      </w:r>
      <w:r>
        <w:rPr>
          <w:color w:val="auto"/>
          <w:highlight w:val="none"/>
        </w:rPr>
        <w:t>20</w:t>
      </w:r>
      <w:r>
        <w:rPr>
          <w:color w:val="auto"/>
          <w:highlight w:val="none"/>
        </w:rPr>
        <w:fldChar w:fldCharType="end"/>
      </w:r>
      <w:r>
        <w:rPr>
          <w:rFonts w:ascii="黑体" w:eastAsia="黑体"/>
          <w:color w:val="auto"/>
          <w:szCs w:val="28"/>
          <w:highlight w:val="none"/>
        </w:rPr>
        <w:fldChar w:fldCharType="end"/>
      </w:r>
    </w:p>
    <w:p w14:paraId="653CF5A1">
      <w:pPr>
        <w:pStyle w:val="36"/>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_Toc31689 </w:instrText>
      </w:r>
      <w:r>
        <w:rPr>
          <w:rFonts w:ascii="黑体" w:eastAsia="黑体"/>
          <w:color w:val="auto"/>
          <w:szCs w:val="28"/>
          <w:highlight w:val="none"/>
        </w:rPr>
        <w:fldChar w:fldCharType="separate"/>
      </w:r>
      <w:r>
        <w:rPr>
          <w:rFonts w:hint="eastAsia"/>
          <w:color w:val="auto"/>
          <w:highlight w:val="none"/>
        </w:rPr>
        <w:t>1</w:t>
      </w:r>
      <w:r>
        <w:rPr>
          <w:rFonts w:hint="eastAsia"/>
          <w:color w:val="auto"/>
          <w:highlight w:val="none"/>
          <w:lang w:val="en-US" w:eastAsia="zh-CN"/>
        </w:rPr>
        <w:t>1</w:t>
      </w:r>
      <w:r>
        <w:rPr>
          <w:rFonts w:hint="eastAsia"/>
          <w:color w:val="auto"/>
          <w:highlight w:val="none"/>
        </w:rPr>
        <w:t>. 需要补充的其他内容</w:t>
      </w:r>
      <w:r>
        <w:rPr>
          <w:color w:val="auto"/>
          <w:highlight w:val="none"/>
        </w:rPr>
        <w:tab/>
      </w:r>
      <w:r>
        <w:rPr>
          <w:color w:val="auto"/>
          <w:highlight w:val="none"/>
        </w:rPr>
        <w:fldChar w:fldCharType="begin"/>
      </w:r>
      <w:r>
        <w:rPr>
          <w:color w:val="auto"/>
          <w:highlight w:val="none"/>
        </w:rPr>
        <w:instrText xml:space="preserve"> PAGEREF _Toc31689 \h </w:instrText>
      </w:r>
      <w:r>
        <w:rPr>
          <w:color w:val="auto"/>
          <w:highlight w:val="none"/>
        </w:rPr>
        <w:fldChar w:fldCharType="separate"/>
      </w:r>
      <w:r>
        <w:rPr>
          <w:color w:val="auto"/>
          <w:highlight w:val="none"/>
        </w:rPr>
        <w:t>21</w:t>
      </w:r>
      <w:r>
        <w:rPr>
          <w:color w:val="auto"/>
          <w:highlight w:val="none"/>
        </w:rPr>
        <w:fldChar w:fldCharType="end"/>
      </w:r>
      <w:r>
        <w:rPr>
          <w:rFonts w:ascii="黑体" w:eastAsia="黑体"/>
          <w:color w:val="auto"/>
          <w:szCs w:val="28"/>
          <w:highlight w:val="none"/>
        </w:rPr>
        <w:fldChar w:fldCharType="end"/>
      </w:r>
    </w:p>
    <w:p w14:paraId="6D3947BC">
      <w:pPr>
        <w:pStyle w:val="29"/>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_Toc3691 </w:instrText>
      </w:r>
      <w:r>
        <w:rPr>
          <w:rFonts w:ascii="黑体" w:eastAsia="黑体"/>
          <w:color w:val="auto"/>
          <w:szCs w:val="28"/>
          <w:highlight w:val="none"/>
        </w:rPr>
        <w:fldChar w:fldCharType="separate"/>
      </w:r>
      <w:r>
        <w:rPr>
          <w:rFonts w:hint="eastAsia" w:ascii="宋体" w:hAnsi="宋体"/>
          <w:color w:val="auto"/>
          <w:szCs w:val="28"/>
          <w:highlight w:val="none"/>
        </w:rPr>
        <w:t>第三章 评审办法</w:t>
      </w:r>
      <w:r>
        <w:rPr>
          <w:color w:val="auto"/>
          <w:highlight w:val="none"/>
        </w:rPr>
        <w:tab/>
      </w:r>
      <w:r>
        <w:rPr>
          <w:color w:val="auto"/>
          <w:highlight w:val="none"/>
        </w:rPr>
        <w:fldChar w:fldCharType="begin"/>
      </w:r>
      <w:r>
        <w:rPr>
          <w:color w:val="auto"/>
          <w:highlight w:val="none"/>
        </w:rPr>
        <w:instrText xml:space="preserve"> PAGEREF _Toc3691 \h </w:instrText>
      </w:r>
      <w:r>
        <w:rPr>
          <w:color w:val="auto"/>
          <w:highlight w:val="none"/>
        </w:rPr>
        <w:fldChar w:fldCharType="separate"/>
      </w:r>
      <w:r>
        <w:rPr>
          <w:color w:val="auto"/>
          <w:highlight w:val="none"/>
        </w:rPr>
        <w:t>22</w:t>
      </w:r>
      <w:r>
        <w:rPr>
          <w:color w:val="auto"/>
          <w:highlight w:val="none"/>
        </w:rPr>
        <w:fldChar w:fldCharType="end"/>
      </w:r>
      <w:r>
        <w:rPr>
          <w:rFonts w:ascii="黑体" w:eastAsia="黑体"/>
          <w:color w:val="auto"/>
          <w:szCs w:val="28"/>
          <w:highlight w:val="none"/>
        </w:rPr>
        <w:fldChar w:fldCharType="end"/>
      </w:r>
    </w:p>
    <w:p w14:paraId="3E260B25">
      <w:pPr>
        <w:pStyle w:val="29"/>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_Toc16454 </w:instrText>
      </w:r>
      <w:r>
        <w:rPr>
          <w:rFonts w:ascii="黑体" w:eastAsia="黑体"/>
          <w:color w:val="auto"/>
          <w:szCs w:val="28"/>
          <w:highlight w:val="none"/>
        </w:rPr>
        <w:fldChar w:fldCharType="separate"/>
      </w:r>
      <w:r>
        <w:rPr>
          <w:rFonts w:hint="eastAsia" w:ascii="宋体" w:hAnsi="宋体"/>
          <w:color w:val="auto"/>
          <w:szCs w:val="28"/>
          <w:highlight w:val="none"/>
        </w:rPr>
        <w:t>第四章 用户需求书</w:t>
      </w:r>
      <w:r>
        <w:rPr>
          <w:color w:val="auto"/>
          <w:highlight w:val="none"/>
        </w:rPr>
        <w:tab/>
      </w:r>
      <w:r>
        <w:rPr>
          <w:color w:val="auto"/>
          <w:highlight w:val="none"/>
        </w:rPr>
        <w:fldChar w:fldCharType="begin"/>
      </w:r>
      <w:r>
        <w:rPr>
          <w:color w:val="auto"/>
          <w:highlight w:val="none"/>
        </w:rPr>
        <w:instrText xml:space="preserve"> PAGEREF _Toc16454 \h </w:instrText>
      </w:r>
      <w:r>
        <w:rPr>
          <w:color w:val="auto"/>
          <w:highlight w:val="none"/>
        </w:rPr>
        <w:fldChar w:fldCharType="separate"/>
      </w:r>
      <w:r>
        <w:rPr>
          <w:color w:val="auto"/>
          <w:highlight w:val="none"/>
        </w:rPr>
        <w:t>26</w:t>
      </w:r>
      <w:r>
        <w:rPr>
          <w:color w:val="auto"/>
          <w:highlight w:val="none"/>
        </w:rPr>
        <w:fldChar w:fldCharType="end"/>
      </w:r>
      <w:r>
        <w:rPr>
          <w:rFonts w:ascii="黑体" w:eastAsia="黑体"/>
          <w:color w:val="auto"/>
          <w:szCs w:val="28"/>
          <w:highlight w:val="none"/>
        </w:rPr>
        <w:fldChar w:fldCharType="end"/>
      </w:r>
    </w:p>
    <w:p w14:paraId="02F5B261">
      <w:pPr>
        <w:pStyle w:val="29"/>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_Toc25749 </w:instrText>
      </w:r>
      <w:r>
        <w:rPr>
          <w:rFonts w:ascii="黑体" w:eastAsia="黑体"/>
          <w:color w:val="auto"/>
          <w:szCs w:val="28"/>
          <w:highlight w:val="none"/>
        </w:rPr>
        <w:fldChar w:fldCharType="separate"/>
      </w:r>
      <w:r>
        <w:rPr>
          <w:rFonts w:hint="eastAsia"/>
          <w:color w:val="auto"/>
          <w:szCs w:val="28"/>
          <w:highlight w:val="none"/>
        </w:rPr>
        <w:t>第五章 合同条款格式</w:t>
      </w:r>
      <w:r>
        <w:rPr>
          <w:color w:val="auto"/>
          <w:highlight w:val="none"/>
        </w:rPr>
        <w:tab/>
      </w:r>
      <w:r>
        <w:rPr>
          <w:color w:val="auto"/>
          <w:highlight w:val="none"/>
        </w:rPr>
        <w:fldChar w:fldCharType="begin"/>
      </w:r>
      <w:r>
        <w:rPr>
          <w:color w:val="auto"/>
          <w:highlight w:val="none"/>
        </w:rPr>
        <w:instrText xml:space="preserve"> PAGEREF _Toc25749 \h </w:instrText>
      </w:r>
      <w:r>
        <w:rPr>
          <w:color w:val="auto"/>
          <w:highlight w:val="none"/>
        </w:rPr>
        <w:fldChar w:fldCharType="separate"/>
      </w:r>
      <w:r>
        <w:rPr>
          <w:color w:val="auto"/>
          <w:highlight w:val="none"/>
        </w:rPr>
        <w:t>33</w:t>
      </w:r>
      <w:r>
        <w:rPr>
          <w:color w:val="auto"/>
          <w:highlight w:val="none"/>
        </w:rPr>
        <w:fldChar w:fldCharType="end"/>
      </w:r>
      <w:r>
        <w:rPr>
          <w:rFonts w:ascii="黑体" w:eastAsia="黑体"/>
          <w:color w:val="auto"/>
          <w:szCs w:val="28"/>
          <w:highlight w:val="none"/>
        </w:rPr>
        <w:fldChar w:fldCharType="end"/>
      </w:r>
    </w:p>
    <w:p w14:paraId="22881CBF">
      <w:pPr>
        <w:pStyle w:val="29"/>
        <w:tabs>
          <w:tab w:val="right" w:leader="dot" w:pos="8306"/>
        </w:tabs>
        <w:rPr>
          <w:color w:val="auto"/>
          <w:highlight w:val="none"/>
        </w:rPr>
      </w:pPr>
      <w:r>
        <w:rPr>
          <w:rFonts w:ascii="黑体" w:eastAsia="黑体"/>
          <w:color w:val="auto"/>
          <w:szCs w:val="28"/>
          <w:highlight w:val="none"/>
        </w:rPr>
        <w:fldChar w:fldCharType="begin"/>
      </w:r>
      <w:r>
        <w:rPr>
          <w:rFonts w:ascii="黑体" w:eastAsia="黑体"/>
          <w:color w:val="auto"/>
          <w:szCs w:val="28"/>
          <w:highlight w:val="none"/>
        </w:rPr>
        <w:instrText xml:space="preserve"> HYPERLINK \l _Toc27497 </w:instrText>
      </w:r>
      <w:r>
        <w:rPr>
          <w:rFonts w:ascii="黑体" w:eastAsia="黑体"/>
          <w:color w:val="auto"/>
          <w:szCs w:val="28"/>
          <w:highlight w:val="none"/>
        </w:rPr>
        <w:fldChar w:fldCharType="separate"/>
      </w:r>
      <w:r>
        <w:rPr>
          <w:rFonts w:hint="eastAsia" w:ascii="宋体" w:hAnsi="宋体"/>
          <w:color w:val="auto"/>
          <w:szCs w:val="28"/>
          <w:highlight w:val="none"/>
        </w:rPr>
        <w:t>第六章 响应文件格式</w:t>
      </w:r>
      <w:r>
        <w:rPr>
          <w:color w:val="auto"/>
          <w:highlight w:val="none"/>
        </w:rPr>
        <w:tab/>
      </w:r>
      <w:r>
        <w:rPr>
          <w:color w:val="auto"/>
          <w:highlight w:val="none"/>
        </w:rPr>
        <w:fldChar w:fldCharType="begin"/>
      </w:r>
      <w:r>
        <w:rPr>
          <w:color w:val="auto"/>
          <w:highlight w:val="none"/>
        </w:rPr>
        <w:instrText xml:space="preserve"> PAGEREF _Toc27497 \h </w:instrText>
      </w:r>
      <w:r>
        <w:rPr>
          <w:color w:val="auto"/>
          <w:highlight w:val="none"/>
        </w:rPr>
        <w:fldChar w:fldCharType="separate"/>
      </w:r>
      <w:r>
        <w:rPr>
          <w:color w:val="auto"/>
          <w:highlight w:val="none"/>
        </w:rPr>
        <w:t>58</w:t>
      </w:r>
      <w:r>
        <w:rPr>
          <w:color w:val="auto"/>
          <w:highlight w:val="none"/>
        </w:rPr>
        <w:fldChar w:fldCharType="end"/>
      </w:r>
      <w:r>
        <w:rPr>
          <w:rFonts w:ascii="黑体" w:eastAsia="黑体"/>
          <w:color w:val="auto"/>
          <w:szCs w:val="28"/>
          <w:highlight w:val="none"/>
        </w:rPr>
        <w:fldChar w:fldCharType="end"/>
      </w:r>
    </w:p>
    <w:p w14:paraId="323869E1">
      <w:pPr>
        <w:pStyle w:val="36"/>
        <w:tabs>
          <w:tab w:val="right" w:leader="dot" w:pos="8306"/>
        </w:tabs>
        <w:rPr>
          <w:color w:val="auto"/>
          <w:highlight w:val="none"/>
        </w:rPr>
      </w:pPr>
    </w:p>
    <w:p w14:paraId="2162FDE0">
      <w:pPr>
        <w:rPr>
          <w:rFonts w:ascii="黑体" w:eastAsia="黑体"/>
          <w:color w:val="auto"/>
          <w:sz w:val="28"/>
          <w:szCs w:val="28"/>
          <w:highlight w:val="none"/>
        </w:rPr>
      </w:pPr>
      <w:r>
        <w:rPr>
          <w:rFonts w:ascii="黑体" w:eastAsia="黑体"/>
          <w:color w:val="auto"/>
          <w:szCs w:val="28"/>
          <w:highlight w:val="none"/>
        </w:rPr>
        <w:fldChar w:fldCharType="end"/>
      </w:r>
    </w:p>
    <w:p w14:paraId="03A418C6">
      <w:pPr>
        <w:rPr>
          <w:rFonts w:ascii="黑体" w:eastAsia="黑体"/>
          <w:color w:val="auto"/>
          <w:sz w:val="28"/>
          <w:szCs w:val="28"/>
          <w:highlight w:val="none"/>
        </w:rPr>
      </w:pPr>
    </w:p>
    <w:p w14:paraId="638E0157">
      <w:pPr>
        <w:pStyle w:val="73"/>
        <w:rPr>
          <w:rFonts w:ascii="宋体" w:hAnsi="宋体" w:eastAsia="宋体" w:cs="宋体"/>
          <w:b/>
          <w:color w:val="auto"/>
          <w:kern w:val="0"/>
          <w:sz w:val="28"/>
          <w:szCs w:val="28"/>
          <w:highlight w:val="none"/>
        </w:rPr>
        <w:sectPr>
          <w:footerReference r:id="rId6" w:type="default"/>
          <w:pgSz w:w="11906" w:h="16838"/>
          <w:pgMar w:top="1440" w:right="1800" w:bottom="1440" w:left="1800" w:header="851" w:footer="992" w:gutter="0"/>
          <w:pgNumType w:fmt="decimal" w:start="1"/>
          <w:cols w:space="720" w:num="1"/>
          <w:docGrid w:type="lines" w:linePitch="312" w:charSpace="0"/>
        </w:sectPr>
      </w:pPr>
      <w:bookmarkStart w:id="0" w:name="_Toc456551871"/>
      <w:bookmarkStart w:id="1" w:name="_Toc227057880"/>
    </w:p>
    <w:p w14:paraId="6C38E166">
      <w:pPr>
        <w:pStyle w:val="73"/>
        <w:rPr>
          <w:rFonts w:ascii="宋体" w:hAnsi="宋体" w:eastAsia="宋体" w:cs="宋体"/>
          <w:b/>
          <w:color w:val="auto"/>
          <w:kern w:val="0"/>
          <w:sz w:val="28"/>
          <w:szCs w:val="28"/>
          <w:highlight w:val="none"/>
        </w:rPr>
      </w:pPr>
      <w:bookmarkStart w:id="2" w:name="_Toc27289"/>
      <w:r>
        <w:rPr>
          <w:rFonts w:hint="eastAsia" w:ascii="宋体" w:hAnsi="宋体" w:eastAsia="宋体" w:cs="宋体"/>
          <w:b/>
          <w:color w:val="auto"/>
          <w:kern w:val="0"/>
          <w:sz w:val="28"/>
          <w:szCs w:val="28"/>
          <w:highlight w:val="none"/>
        </w:rPr>
        <w:t>第</w:t>
      </w:r>
      <w:r>
        <w:rPr>
          <w:rFonts w:ascii="宋体" w:hAnsi="宋体" w:eastAsia="宋体" w:cs="宋体"/>
          <w:b/>
          <w:color w:val="auto"/>
          <w:kern w:val="0"/>
          <w:sz w:val="28"/>
          <w:szCs w:val="28"/>
          <w:highlight w:val="none"/>
        </w:rPr>
        <w:t>一章  竞争性谈判公告</w:t>
      </w:r>
      <w:bookmarkEnd w:id="2"/>
    </w:p>
    <w:p w14:paraId="74A53D48">
      <w:pPr>
        <w:spacing w:line="360" w:lineRule="auto"/>
        <w:jc w:val="center"/>
        <w:rPr>
          <w:rFonts w:hint="eastAsia" w:ascii="宋体" w:hAnsi="宋体" w:eastAsia="宋体" w:cs="宋体"/>
          <w:b/>
          <w:bCs/>
          <w:color w:val="auto"/>
          <w:sz w:val="21"/>
          <w:szCs w:val="21"/>
          <w:highlight w:val="none"/>
          <w:lang w:eastAsia="zh-CN"/>
        </w:rPr>
      </w:pPr>
      <w:bookmarkStart w:id="3" w:name="OLE_LINK1"/>
      <w:r>
        <w:rPr>
          <w:rFonts w:ascii="黑体" w:hAnsi="黑体" w:eastAsia="黑体" w:cs="宋体"/>
          <w:color w:val="auto"/>
          <w:sz w:val="28"/>
          <w:szCs w:val="28"/>
          <w:highlight w:val="none"/>
        </w:rPr>
        <w:t xml:space="preserve"> </w:t>
      </w:r>
      <w:r>
        <w:rPr>
          <w:rFonts w:hint="eastAsia" w:ascii="宋体" w:hAnsi="宋体" w:cs="宋体"/>
          <w:b/>
          <w:bCs/>
          <w:color w:val="auto"/>
          <w:sz w:val="21"/>
          <w:szCs w:val="21"/>
          <w:highlight w:val="none"/>
          <w:lang w:eastAsia="zh-CN"/>
        </w:rPr>
        <w:t>大湾区大学学术交流中心室内改造项目—4层至19层楼顶排烟管道系统工程</w:t>
      </w:r>
    </w:p>
    <w:p w14:paraId="4EBF276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竞争性谈判公告</w:t>
      </w:r>
      <w:bookmarkEnd w:id="3"/>
      <w:r>
        <w:rPr>
          <w:rFonts w:hint="eastAsia" w:ascii="宋体" w:hAnsi="宋体" w:eastAsia="宋体" w:cs="宋体"/>
          <w:color w:val="auto"/>
          <w:sz w:val="21"/>
          <w:szCs w:val="21"/>
          <w:highlight w:val="none"/>
        </w:rPr>
        <w:t xml:space="preserve"> </w:t>
      </w:r>
    </w:p>
    <w:p w14:paraId="18E452EA">
      <w:pPr>
        <w:spacing w:line="360" w:lineRule="auto"/>
        <w:jc w:val="center"/>
        <w:rPr>
          <w:rFonts w:hint="eastAsia" w:ascii="宋体" w:hAnsi="宋体" w:eastAsia="宋体" w:cs="宋体"/>
          <w:color w:val="auto"/>
          <w:sz w:val="21"/>
          <w:szCs w:val="21"/>
          <w:highlight w:val="none"/>
        </w:rPr>
      </w:pPr>
    </w:p>
    <w:p w14:paraId="482A4279">
      <w:pPr>
        <w:spacing w:after="1" w:line="360" w:lineRule="auto"/>
        <w:ind w:left="-14" w:right="162" w:firstLine="630"/>
        <w:rPr>
          <w:rFonts w:hint="eastAsia" w:ascii="宋体" w:hAnsi="宋体" w:eastAsia="宋体" w:cs="宋体"/>
          <w:color w:val="auto"/>
          <w:sz w:val="21"/>
          <w:szCs w:val="21"/>
          <w:highlight w:val="none"/>
        </w:rPr>
      </w:pPr>
      <w:r>
        <w:rPr>
          <w:rFonts w:hint="eastAsia" w:ascii="宋体" w:hAnsi="宋体" w:cs="宋体"/>
          <w:color w:val="auto"/>
          <w:sz w:val="21"/>
          <w:szCs w:val="21"/>
          <w:highlight w:val="none"/>
          <w:u w:val="single"/>
          <w:lang w:eastAsia="zh-CN"/>
        </w:rPr>
        <w:t>大湾区大学学术交流中心室内改造项目—4层至19层楼顶排烟管道系统工程</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rPr>
        <w:t>采购人为</w:t>
      </w:r>
      <w:r>
        <w:rPr>
          <w:rFonts w:hint="eastAsia" w:ascii="宋体" w:hAnsi="宋体" w:cs="宋体"/>
          <w:color w:val="auto"/>
          <w:sz w:val="21"/>
          <w:szCs w:val="21"/>
          <w:highlight w:val="none"/>
          <w:u w:val="single"/>
          <w:lang w:eastAsia="zh-CN"/>
        </w:rPr>
        <w:t>东莞迎宾馆酒店有限公司松山湖分公司</w:t>
      </w:r>
      <w:r>
        <w:rPr>
          <w:rFonts w:hint="eastAsia" w:ascii="宋体" w:hAnsi="宋体" w:eastAsia="宋体" w:cs="宋体"/>
          <w:color w:val="auto"/>
          <w:sz w:val="21"/>
          <w:szCs w:val="21"/>
          <w:highlight w:val="none"/>
        </w:rPr>
        <w:t>，采购代理机构为</w:t>
      </w:r>
      <w:r>
        <w:rPr>
          <w:rFonts w:hint="eastAsia" w:ascii="宋体" w:hAnsi="宋体" w:eastAsia="宋体" w:cs="宋体"/>
          <w:color w:val="auto"/>
          <w:sz w:val="21"/>
          <w:szCs w:val="21"/>
          <w:highlight w:val="none"/>
          <w:u w:val="single"/>
          <w:lang w:eastAsia="zh-CN"/>
        </w:rPr>
        <w:t>建成工程咨询股份有限公司</w:t>
      </w:r>
      <w:r>
        <w:rPr>
          <w:rFonts w:hint="eastAsia" w:ascii="宋体" w:hAnsi="宋体" w:eastAsia="宋体" w:cs="宋体"/>
          <w:color w:val="auto"/>
          <w:sz w:val="21"/>
          <w:szCs w:val="21"/>
          <w:highlight w:val="none"/>
        </w:rPr>
        <w:t>，已具备竞争性谈判条件，现进行公开竞争性谈判。</w:t>
      </w:r>
    </w:p>
    <w:p w14:paraId="7A09D4F5">
      <w:pPr>
        <w:spacing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一、 项目名称及采购内容 </w:t>
      </w:r>
    </w:p>
    <w:p w14:paraId="57E58BC0">
      <w:pPr>
        <w:numPr>
          <w:ilvl w:val="1"/>
          <w:numId w:val="3"/>
        </w:numPr>
        <w:spacing w:line="360" w:lineRule="auto"/>
        <w:ind w:left="0" w:firstLine="42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r>
        <w:rPr>
          <w:rFonts w:hint="eastAsia" w:ascii="宋体" w:hAnsi="宋体" w:cs="宋体"/>
          <w:color w:val="auto"/>
          <w:sz w:val="21"/>
          <w:szCs w:val="21"/>
          <w:highlight w:val="none"/>
          <w:u w:val="single"/>
          <w:lang w:eastAsia="zh-CN"/>
        </w:rPr>
        <w:t>大湾区大学学术交流中心室内改造项目—4层至19层楼顶排烟管道系统工程</w:t>
      </w:r>
      <w:r>
        <w:rPr>
          <w:rFonts w:hint="eastAsia" w:ascii="宋体" w:hAnsi="宋体" w:eastAsia="宋体" w:cs="宋体"/>
          <w:color w:val="auto"/>
          <w:sz w:val="21"/>
          <w:szCs w:val="21"/>
          <w:highlight w:val="none"/>
        </w:rPr>
        <w:t>；</w:t>
      </w:r>
    </w:p>
    <w:p w14:paraId="1F47CA6E">
      <w:pPr>
        <w:numPr>
          <w:ilvl w:val="1"/>
          <w:numId w:val="3"/>
        </w:numPr>
        <w:spacing w:line="360" w:lineRule="auto"/>
        <w:ind w:left="0" w:firstLine="42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采购范围：</w:t>
      </w:r>
      <w:r>
        <w:rPr>
          <w:rFonts w:hint="eastAsia" w:ascii="宋体" w:hAnsi="宋体" w:eastAsia="宋体" w:cs="宋体"/>
          <w:color w:val="auto"/>
          <w:sz w:val="21"/>
          <w:szCs w:val="21"/>
          <w:highlight w:val="none"/>
          <w:u w:val="single"/>
        </w:rPr>
        <w:t>详见谈判文件《用户需求书》</w:t>
      </w:r>
      <w:r>
        <w:rPr>
          <w:rFonts w:hint="eastAsia" w:ascii="宋体" w:hAnsi="宋体" w:eastAsia="宋体" w:cs="宋体"/>
          <w:color w:val="auto"/>
          <w:sz w:val="21"/>
          <w:szCs w:val="21"/>
          <w:highlight w:val="none"/>
        </w:rPr>
        <w:t>；</w:t>
      </w:r>
    </w:p>
    <w:p w14:paraId="54CBBAE0">
      <w:pPr>
        <w:numPr>
          <w:ilvl w:val="1"/>
          <w:numId w:val="3"/>
        </w:numPr>
        <w:spacing w:line="360" w:lineRule="auto"/>
        <w:ind w:left="0" w:firstLine="42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项目地点：</w:t>
      </w:r>
      <w:r>
        <w:rPr>
          <w:rFonts w:hint="eastAsia" w:ascii="宋体" w:hAnsi="宋体" w:eastAsia="宋体" w:cs="宋体"/>
          <w:color w:val="auto"/>
          <w:sz w:val="21"/>
          <w:szCs w:val="21"/>
          <w:highlight w:val="none"/>
          <w:u w:val="single"/>
        </w:rPr>
        <w:t>大湾区大学学术交流中心</w:t>
      </w:r>
      <w:r>
        <w:rPr>
          <w:rFonts w:hint="eastAsia" w:ascii="宋体" w:hAnsi="宋体" w:eastAsia="宋体" w:cs="宋体"/>
          <w:color w:val="auto"/>
          <w:sz w:val="21"/>
          <w:szCs w:val="21"/>
          <w:highlight w:val="none"/>
        </w:rPr>
        <w:t>；</w:t>
      </w:r>
    </w:p>
    <w:p w14:paraId="3C3AEB29">
      <w:pPr>
        <w:numPr>
          <w:ilvl w:val="1"/>
          <w:numId w:val="3"/>
        </w:numPr>
        <w:spacing w:line="360" w:lineRule="auto"/>
        <w:ind w:left="0" w:firstLine="42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完工期</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eastAsia="zh-CN"/>
        </w:rPr>
        <w:t>2025年12月27日</w:t>
      </w:r>
      <w:r>
        <w:rPr>
          <w:rFonts w:hint="eastAsia" w:ascii="宋体" w:hAnsi="宋体" w:eastAsia="宋体" w:cs="宋体"/>
          <w:color w:val="auto"/>
          <w:sz w:val="21"/>
          <w:szCs w:val="21"/>
          <w:highlight w:val="none"/>
          <w:u w:val="single"/>
        </w:rPr>
        <w:t>前完成施工、安装、调试及验收</w:t>
      </w:r>
      <w:r>
        <w:rPr>
          <w:rFonts w:hint="eastAsia" w:ascii="宋体" w:hAnsi="宋体" w:eastAsia="宋体" w:cs="宋体"/>
          <w:color w:val="auto"/>
          <w:sz w:val="21"/>
          <w:szCs w:val="21"/>
          <w:highlight w:val="none"/>
          <w:u w:val="single"/>
          <w:lang w:val="en-US" w:eastAsia="zh-CN"/>
        </w:rPr>
        <w:t>；</w:t>
      </w:r>
    </w:p>
    <w:p w14:paraId="569DE94B">
      <w:pPr>
        <w:numPr>
          <w:ilvl w:val="1"/>
          <w:numId w:val="3"/>
        </w:numPr>
        <w:spacing w:line="360" w:lineRule="auto"/>
        <w:ind w:left="0" w:firstLine="42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预算金额</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含税</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1,005,742.31</w:t>
      </w:r>
      <w:r>
        <w:rPr>
          <w:rFonts w:hint="eastAsia" w:ascii="宋体" w:hAnsi="宋体" w:eastAsia="宋体" w:cs="宋体"/>
          <w:color w:val="auto"/>
          <w:sz w:val="21"/>
          <w:szCs w:val="21"/>
          <w:highlight w:val="none"/>
          <w:u w:val="single"/>
          <w:lang w:val="en-US" w:eastAsia="zh-CN"/>
        </w:rPr>
        <w:t>元</w:t>
      </w:r>
      <w:r>
        <w:rPr>
          <w:rFonts w:hint="eastAsia" w:ascii="宋体" w:hAnsi="宋体" w:eastAsia="宋体" w:cs="宋体"/>
          <w:color w:val="auto"/>
          <w:sz w:val="21"/>
          <w:szCs w:val="21"/>
          <w:highlight w:val="none"/>
        </w:rPr>
        <w:t>；</w:t>
      </w:r>
    </w:p>
    <w:p w14:paraId="57BEAF58">
      <w:pPr>
        <w:numPr>
          <w:ilvl w:val="1"/>
          <w:numId w:val="3"/>
        </w:numPr>
        <w:spacing w:line="360" w:lineRule="auto"/>
        <w:ind w:left="0" w:firstLine="42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含税</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1,005,742.31</w:t>
      </w:r>
      <w:r>
        <w:rPr>
          <w:rFonts w:hint="eastAsia" w:ascii="宋体" w:hAnsi="宋体" w:eastAsia="宋体" w:cs="宋体"/>
          <w:color w:val="auto"/>
          <w:sz w:val="21"/>
          <w:szCs w:val="21"/>
          <w:highlight w:val="none"/>
          <w:u w:val="single"/>
          <w:lang w:val="en-US" w:eastAsia="zh-CN"/>
        </w:rPr>
        <w:t>元</w:t>
      </w:r>
      <w:r>
        <w:rPr>
          <w:rFonts w:hint="eastAsia" w:ascii="宋体" w:hAnsi="宋体" w:eastAsia="宋体" w:cs="宋体"/>
          <w:color w:val="auto"/>
          <w:sz w:val="21"/>
          <w:szCs w:val="21"/>
          <w:highlight w:val="none"/>
        </w:rPr>
        <w:t>；</w:t>
      </w:r>
    </w:p>
    <w:p w14:paraId="0A77961C">
      <w:pPr>
        <w:numPr>
          <w:ilvl w:val="1"/>
          <w:numId w:val="3"/>
        </w:numPr>
        <w:spacing w:line="360" w:lineRule="auto"/>
        <w:ind w:left="0" w:firstLine="42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r>
        <w:rPr>
          <w:rStyle w:val="47"/>
          <w:rFonts w:hint="eastAsia" w:ascii="宋体" w:hAnsi="宋体" w:eastAsia="宋体" w:cs="宋体"/>
          <w:color w:val="auto"/>
          <w:sz w:val="21"/>
          <w:szCs w:val="21"/>
          <w:highlight w:val="none"/>
        </w:rPr>
        <w:t>本项目</w:t>
      </w:r>
      <w:r>
        <w:rPr>
          <w:rStyle w:val="47"/>
          <w:rFonts w:hint="eastAsia" w:ascii="宋体" w:hAnsi="宋体" w:eastAsia="宋体" w:cs="宋体"/>
          <w:color w:val="auto"/>
          <w:sz w:val="21"/>
          <w:szCs w:val="21"/>
          <w:highlight w:val="none"/>
          <w:u w:val="single"/>
        </w:rPr>
        <w:t>不划分</w:t>
      </w:r>
      <w:r>
        <w:rPr>
          <w:rStyle w:val="47"/>
          <w:rFonts w:hint="eastAsia" w:ascii="宋体" w:hAnsi="宋体" w:eastAsia="宋体" w:cs="宋体"/>
          <w:color w:val="auto"/>
          <w:sz w:val="21"/>
          <w:szCs w:val="21"/>
          <w:highlight w:val="none"/>
        </w:rPr>
        <w:t>标包</w:t>
      </w:r>
      <w:r>
        <w:rPr>
          <w:rFonts w:hint="eastAsia" w:ascii="宋体" w:hAnsi="宋体" w:eastAsia="宋体" w:cs="宋体"/>
          <w:color w:val="auto"/>
          <w:spacing w:val="2"/>
          <w:sz w:val="21"/>
          <w:szCs w:val="21"/>
          <w:highlight w:val="none"/>
        </w:rPr>
        <w:t>。</w:t>
      </w:r>
    </w:p>
    <w:p w14:paraId="49E2C2F2">
      <w:pPr>
        <w:spacing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 响应人资格要求</w:t>
      </w:r>
    </w:p>
    <w:p w14:paraId="44443FE4">
      <w:pPr>
        <w:numPr>
          <w:ilvl w:val="1"/>
          <w:numId w:val="0"/>
        </w:numPr>
        <w:spacing w:line="360" w:lineRule="auto"/>
        <w:ind w:left="851" w:leftChars="0" w:hanging="425" w:firstLineChars="0"/>
        <w:rPr>
          <w:rFonts w:hint="eastAsia" w:ascii="宋体" w:hAnsi="宋体" w:eastAsia="宋体" w:cs="宋体"/>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2.1</w:t>
      </w:r>
      <w:r>
        <w:rPr>
          <w:rFonts w:hint="eastAsia" w:ascii="宋体" w:hAnsi="宋体" w:eastAsia="宋体" w:cs="宋体"/>
          <w:color w:val="auto"/>
          <w:sz w:val="21"/>
          <w:szCs w:val="21"/>
          <w:highlight w:val="none"/>
        </w:rPr>
        <w:t>响应人须为在中华人民共和国境内登记注册的具有独立承担民事责任能力的法人或其他组织。【</w:t>
      </w:r>
      <w:r>
        <w:rPr>
          <w:rFonts w:hint="eastAsia" w:ascii="宋体" w:hAnsi="宋体" w:cs="宋体"/>
          <w:color w:val="auto"/>
          <w:sz w:val="21"/>
          <w:szCs w:val="21"/>
          <w:highlight w:val="none"/>
          <w:lang w:val="en-US" w:eastAsia="zh-CN"/>
        </w:rPr>
        <w:t>注：</w:t>
      </w:r>
      <w:r>
        <w:rPr>
          <w:rFonts w:hint="eastAsia" w:ascii="宋体" w:hAnsi="宋体" w:eastAsia="宋体" w:cs="宋体"/>
          <w:color w:val="auto"/>
          <w:sz w:val="21"/>
          <w:szCs w:val="21"/>
          <w:highlight w:val="none"/>
        </w:rPr>
        <w:t>提供《营业执照》复印件（加盖公章）或《事业单位法人证书》复印件（加盖公章）或其他主体证书复印件（加盖公章）】</w:t>
      </w:r>
    </w:p>
    <w:p w14:paraId="7C9E5A90">
      <w:pPr>
        <w:numPr>
          <w:ilvl w:val="1"/>
          <w:numId w:val="0"/>
        </w:numPr>
        <w:spacing w:line="360" w:lineRule="auto"/>
        <w:ind w:left="851" w:leftChars="0" w:hanging="425" w:firstLineChars="0"/>
        <w:rPr>
          <w:rFonts w:hint="eastAsia" w:ascii="宋体" w:hAnsi="宋体" w:eastAsia="宋体" w:cs="宋体"/>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2.2</w:t>
      </w:r>
      <w:r>
        <w:rPr>
          <w:rFonts w:hint="eastAsia" w:ascii="宋体" w:hAnsi="宋体" w:eastAsia="宋体" w:cs="宋体"/>
          <w:color w:val="auto"/>
          <w:sz w:val="21"/>
          <w:szCs w:val="21"/>
          <w:highlight w:val="none"/>
        </w:rPr>
        <w:t>资质要求：响应人须具</w:t>
      </w:r>
      <w:r>
        <w:rPr>
          <w:rFonts w:hint="eastAsia" w:ascii="宋体" w:hAnsi="宋体" w:eastAsia="宋体" w:cs="宋体"/>
          <w:color w:val="auto"/>
          <w:kern w:val="0"/>
          <w:sz w:val="21"/>
          <w:szCs w:val="21"/>
          <w:highlight w:val="none"/>
          <w:lang w:bidi="ar"/>
        </w:rPr>
        <w:t>备</w:t>
      </w:r>
      <w:r>
        <w:rPr>
          <w:rFonts w:hint="eastAsia" w:ascii="宋体" w:hAnsi="宋体" w:eastAsia="宋体" w:cs="宋体"/>
          <w:color w:val="auto"/>
          <w:sz w:val="21"/>
          <w:szCs w:val="21"/>
          <w:highlight w:val="none"/>
        </w:rPr>
        <w:t>建设行政主管部门核发的有效的</w:t>
      </w:r>
      <w:r>
        <w:rPr>
          <w:rFonts w:hint="eastAsia" w:ascii="宋体" w:hAnsi="宋体" w:eastAsia="宋体" w:cs="宋体"/>
          <w:color w:val="auto"/>
          <w:sz w:val="21"/>
          <w:szCs w:val="21"/>
          <w:highlight w:val="none"/>
          <w:lang w:val="en-US" w:eastAsia="zh-CN"/>
        </w:rPr>
        <w:t>建筑机电安装工程专业承包三级</w:t>
      </w:r>
      <w:r>
        <w:rPr>
          <w:rFonts w:hint="eastAsia" w:ascii="宋体" w:hAnsi="宋体" w:eastAsia="宋体" w:cs="宋体"/>
          <w:color w:val="auto"/>
          <w:kern w:val="0"/>
          <w:sz w:val="21"/>
          <w:szCs w:val="21"/>
          <w:highlight w:val="none"/>
          <w:lang w:bidi="ar"/>
        </w:rPr>
        <w:t>（或以上）</w:t>
      </w:r>
      <w:r>
        <w:rPr>
          <w:rFonts w:hint="eastAsia" w:ascii="宋体" w:hAnsi="宋体" w:cs="宋体"/>
          <w:color w:val="auto"/>
          <w:kern w:val="0"/>
          <w:sz w:val="21"/>
          <w:szCs w:val="21"/>
          <w:highlight w:val="none"/>
          <w:lang w:val="en-US" w:eastAsia="zh-CN" w:bidi="ar"/>
        </w:rPr>
        <w:t>和</w:t>
      </w:r>
      <w:r>
        <w:rPr>
          <w:rFonts w:hint="eastAsia" w:ascii="宋体" w:hAnsi="宋体" w:eastAsia="宋体" w:cs="宋体"/>
          <w:color w:val="auto"/>
          <w:kern w:val="0"/>
          <w:sz w:val="21"/>
          <w:szCs w:val="21"/>
          <w:highlight w:val="none"/>
          <w:lang w:val="en-US" w:eastAsia="zh-CN" w:bidi="ar"/>
        </w:rPr>
        <w:t>环保工程专业</w:t>
      </w:r>
      <w:r>
        <w:rPr>
          <w:rFonts w:hint="eastAsia" w:ascii="宋体" w:hAnsi="宋体" w:eastAsia="宋体" w:cs="宋体"/>
          <w:color w:val="auto"/>
          <w:sz w:val="21"/>
          <w:szCs w:val="21"/>
          <w:highlight w:val="none"/>
        </w:rPr>
        <w:t>承包二级</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或以上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资质。【</w:t>
      </w:r>
      <w:r>
        <w:rPr>
          <w:rFonts w:hint="eastAsia" w:ascii="宋体" w:hAnsi="宋体" w:cs="宋体"/>
          <w:color w:val="auto"/>
          <w:sz w:val="21"/>
          <w:szCs w:val="21"/>
          <w:highlight w:val="none"/>
          <w:lang w:val="en-US" w:eastAsia="zh-CN"/>
        </w:rPr>
        <w:t>注：</w:t>
      </w:r>
      <w:r>
        <w:rPr>
          <w:rFonts w:hint="eastAsia" w:ascii="宋体" w:hAnsi="宋体" w:eastAsia="宋体" w:cs="宋体"/>
          <w:color w:val="auto"/>
          <w:sz w:val="21"/>
          <w:szCs w:val="21"/>
          <w:highlight w:val="none"/>
        </w:rPr>
        <w:t>提供资质证书复印件（加盖公章）】</w:t>
      </w:r>
    </w:p>
    <w:p w14:paraId="01A4EB6B">
      <w:pPr>
        <w:numPr>
          <w:ilvl w:val="1"/>
          <w:numId w:val="0"/>
        </w:numPr>
        <w:spacing w:line="360" w:lineRule="auto"/>
        <w:ind w:left="851" w:leftChars="0" w:hanging="425" w:firstLineChars="0"/>
        <w:rPr>
          <w:rFonts w:hint="eastAsia" w:ascii="宋体" w:hAnsi="宋体" w:eastAsia="宋体" w:cs="宋体"/>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2.3</w:t>
      </w:r>
      <w:r>
        <w:rPr>
          <w:rFonts w:hint="eastAsia" w:ascii="宋体" w:hAnsi="宋体" w:eastAsia="宋体" w:cs="宋体"/>
          <w:color w:val="auto"/>
          <w:sz w:val="21"/>
          <w:szCs w:val="21"/>
          <w:highlight w:val="none"/>
          <w:lang w:val="en-US" w:eastAsia="zh-CN"/>
        </w:rPr>
        <w:t>响应人须具备有效的安全生产许可证。</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注：</w:t>
      </w:r>
      <w:r>
        <w:rPr>
          <w:rFonts w:hint="eastAsia" w:ascii="宋体" w:hAnsi="宋体" w:eastAsia="宋体" w:cs="宋体"/>
          <w:color w:val="auto"/>
          <w:sz w:val="21"/>
          <w:szCs w:val="21"/>
          <w:highlight w:val="none"/>
        </w:rPr>
        <w:t>提供证书复印件（加盖公章）】</w:t>
      </w:r>
    </w:p>
    <w:p w14:paraId="07220B4E">
      <w:pPr>
        <w:numPr>
          <w:ilvl w:val="1"/>
          <w:numId w:val="0"/>
        </w:numPr>
        <w:spacing w:line="360" w:lineRule="auto"/>
        <w:ind w:left="840" w:leftChars="200" w:hanging="420" w:hangingChars="200"/>
        <w:rPr>
          <w:rFonts w:hint="default" w:ascii="宋体" w:hAnsi="宋体" w:eastAsia="宋体" w:cs="宋体"/>
          <w:color w:val="auto"/>
          <w:sz w:val="21"/>
          <w:szCs w:val="21"/>
          <w:highlight w:val="none"/>
          <w:u w:val="none"/>
          <w:lang w:val="en-US" w:eastAsia="zh-CN"/>
        </w:rPr>
      </w:pPr>
      <w:r>
        <w:rPr>
          <w:rFonts w:hint="eastAsia" w:ascii="宋体" w:hAnsi="宋体" w:eastAsia="宋体" w:cs="宋体"/>
          <w:b w:val="0"/>
          <w:color w:val="auto"/>
          <w:kern w:val="2"/>
          <w:sz w:val="21"/>
          <w:szCs w:val="21"/>
          <w:highlight w:val="none"/>
          <w:lang w:val="en-US" w:eastAsia="zh-CN" w:bidi="ar-SA"/>
        </w:rPr>
        <w:t>2.4</w:t>
      </w:r>
      <w:r>
        <w:rPr>
          <w:rFonts w:hint="eastAsia" w:ascii="宋体" w:hAnsi="宋体" w:eastAsia="宋体" w:cs="宋体"/>
          <w:color w:val="auto"/>
          <w:sz w:val="21"/>
          <w:szCs w:val="21"/>
          <w:highlight w:val="none"/>
        </w:rPr>
        <w:t>业绩要求：具备</w:t>
      </w:r>
      <w:r>
        <w:rPr>
          <w:rFonts w:hint="eastAsia" w:ascii="宋体" w:hAnsi="宋体" w:eastAsia="宋体" w:cs="宋体"/>
          <w:color w:val="auto"/>
          <w:sz w:val="21"/>
          <w:szCs w:val="21"/>
          <w:highlight w:val="none"/>
          <w:u w:val="single"/>
          <w:lang w:val="en-US" w:eastAsia="zh-CN"/>
        </w:rPr>
        <w:t xml:space="preserve"> 暖通工程</w:t>
      </w:r>
      <w:r>
        <w:rPr>
          <w:rFonts w:hint="eastAsia" w:ascii="宋体" w:hAnsi="宋体" w:cs="宋体"/>
          <w:color w:val="auto"/>
          <w:sz w:val="21"/>
          <w:szCs w:val="21"/>
          <w:highlight w:val="none"/>
          <w:u w:val="single"/>
          <w:lang w:val="en-US" w:eastAsia="zh-CN"/>
        </w:rPr>
        <w:t>或</w:t>
      </w:r>
      <w:r>
        <w:rPr>
          <w:rFonts w:hint="eastAsia" w:ascii="宋体" w:hAnsi="宋体" w:eastAsia="宋体" w:cs="宋体"/>
          <w:color w:val="auto"/>
          <w:sz w:val="21"/>
          <w:szCs w:val="21"/>
          <w:highlight w:val="none"/>
          <w:u w:val="single"/>
        </w:rPr>
        <w:t>油烟净化系统</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项目</w:t>
      </w:r>
      <w:r>
        <w:rPr>
          <w:rFonts w:hint="eastAsia" w:ascii="宋体" w:hAnsi="宋体" w:eastAsia="宋体" w:cs="宋体"/>
          <w:color w:val="auto"/>
          <w:sz w:val="21"/>
          <w:szCs w:val="21"/>
          <w:highlight w:val="none"/>
        </w:rPr>
        <w:t>经验，</w:t>
      </w:r>
      <w:r>
        <w:rPr>
          <w:rFonts w:hint="eastAsia" w:ascii="宋体" w:hAnsi="宋体" w:cs="宋体"/>
          <w:color w:val="auto"/>
          <w:sz w:val="21"/>
          <w:szCs w:val="21"/>
          <w:highlight w:val="none"/>
          <w:lang w:val="en-US" w:eastAsia="zh-CN"/>
        </w:rPr>
        <w:t>要</w:t>
      </w:r>
      <w:r>
        <w:rPr>
          <w:rFonts w:hint="eastAsia"/>
          <w:color w:val="auto"/>
          <w:szCs w:val="21"/>
          <w:highlight w:val="none"/>
        </w:rPr>
        <w:t>求</w:t>
      </w:r>
      <w:r>
        <w:rPr>
          <w:rFonts w:hint="eastAsia"/>
          <w:color w:val="auto"/>
          <w:szCs w:val="21"/>
          <w:highlight w:val="none"/>
          <w:u w:val="single"/>
          <w:lang w:val="en-US" w:eastAsia="zh-CN"/>
        </w:rPr>
        <w:t>2022</w:t>
      </w:r>
      <w:r>
        <w:rPr>
          <w:rFonts w:hint="eastAsia"/>
          <w:color w:val="auto"/>
          <w:szCs w:val="21"/>
          <w:highlight w:val="none"/>
        </w:rPr>
        <w:t>年</w:t>
      </w:r>
      <w:r>
        <w:rPr>
          <w:rFonts w:hint="eastAsia"/>
          <w:color w:val="auto"/>
          <w:szCs w:val="21"/>
          <w:highlight w:val="none"/>
          <w:u w:val="single"/>
          <w:lang w:val="en-US" w:eastAsia="zh-CN"/>
        </w:rPr>
        <w:t>1</w:t>
      </w:r>
      <w:r>
        <w:rPr>
          <w:rFonts w:hint="eastAsia"/>
          <w:color w:val="auto"/>
          <w:szCs w:val="21"/>
          <w:highlight w:val="none"/>
        </w:rPr>
        <w:t>月</w:t>
      </w:r>
      <w:r>
        <w:rPr>
          <w:rFonts w:hint="eastAsia"/>
          <w:color w:val="auto"/>
          <w:szCs w:val="21"/>
          <w:highlight w:val="none"/>
          <w:u w:val="single"/>
          <w:lang w:val="en-US" w:eastAsia="zh-CN"/>
        </w:rPr>
        <w:t>1</w:t>
      </w:r>
      <w:r>
        <w:rPr>
          <w:rFonts w:hint="eastAsia"/>
          <w:color w:val="auto"/>
          <w:szCs w:val="21"/>
          <w:highlight w:val="none"/>
        </w:rPr>
        <w:t>日起至</w:t>
      </w:r>
      <w:r>
        <w:rPr>
          <w:rFonts w:hint="eastAsia"/>
          <w:color w:val="auto"/>
          <w:szCs w:val="21"/>
          <w:highlight w:val="none"/>
          <w:u w:val="none"/>
          <w:lang w:val="en-US" w:eastAsia="zh-CN"/>
        </w:rPr>
        <w:t>今</w:t>
      </w:r>
      <w:r>
        <w:rPr>
          <w:rFonts w:hint="eastAsia"/>
          <w:color w:val="auto"/>
          <w:szCs w:val="21"/>
          <w:highlight w:val="none"/>
        </w:rPr>
        <w:t>，完成至少</w:t>
      </w:r>
      <w:r>
        <w:rPr>
          <w:rFonts w:hint="eastAsia"/>
          <w:color w:val="auto"/>
          <w:szCs w:val="21"/>
          <w:highlight w:val="none"/>
          <w:lang w:val="en-US" w:eastAsia="zh-CN"/>
        </w:rPr>
        <w:t>3</w:t>
      </w:r>
      <w:r>
        <w:rPr>
          <w:rFonts w:hint="eastAsia"/>
          <w:color w:val="auto"/>
          <w:szCs w:val="21"/>
          <w:highlight w:val="none"/>
        </w:rPr>
        <w:t>个</w:t>
      </w:r>
      <w:r>
        <w:rPr>
          <w:rFonts w:hint="eastAsia"/>
          <w:color w:val="auto"/>
          <w:szCs w:val="21"/>
          <w:highlight w:val="none"/>
          <w:u w:val="none"/>
        </w:rPr>
        <w:t>合同金额大于等于</w:t>
      </w:r>
      <w:r>
        <w:rPr>
          <w:rFonts w:hint="eastAsia"/>
          <w:color w:val="auto"/>
          <w:szCs w:val="21"/>
          <w:highlight w:val="none"/>
          <w:u w:val="single"/>
          <w:lang w:val="en-US" w:eastAsia="zh-CN"/>
        </w:rPr>
        <w:t xml:space="preserve"> 67万元</w:t>
      </w:r>
      <w:r>
        <w:rPr>
          <w:rFonts w:hint="eastAsia"/>
          <w:color w:val="auto"/>
          <w:szCs w:val="21"/>
          <w:highlight w:val="none"/>
          <w:u w:val="none"/>
          <w:lang w:val="en-US" w:eastAsia="zh-CN"/>
        </w:rPr>
        <w:t>的</w:t>
      </w:r>
      <w:r>
        <w:rPr>
          <w:rFonts w:hint="eastAsia"/>
          <w:color w:val="auto"/>
          <w:szCs w:val="21"/>
          <w:highlight w:val="none"/>
          <w:u w:val="single"/>
          <w:lang w:val="en-US" w:eastAsia="zh-CN"/>
        </w:rPr>
        <w:t xml:space="preserve"> 暖通工程项目业绩</w:t>
      </w:r>
      <w:r>
        <w:rPr>
          <w:rFonts w:hint="eastAsia" w:ascii="宋体" w:hAnsi="宋体" w:eastAsia="宋体" w:cs="宋体"/>
          <w:color w:val="auto"/>
          <w:sz w:val="21"/>
          <w:szCs w:val="21"/>
          <w:highlight w:val="none"/>
          <w:u w:val="single"/>
          <w:lang w:val="en-US" w:eastAsia="zh-CN"/>
        </w:rPr>
        <w:t>（或项目内容含</w:t>
      </w:r>
      <w:r>
        <w:rPr>
          <w:rFonts w:hint="eastAsia"/>
          <w:color w:val="auto"/>
          <w:szCs w:val="21"/>
          <w:highlight w:val="none"/>
          <w:u w:val="single"/>
          <w:lang w:val="en-US" w:eastAsia="zh-CN"/>
        </w:rPr>
        <w:t>暖通工程</w:t>
      </w:r>
      <w:r>
        <w:rPr>
          <w:rFonts w:hint="eastAsia" w:ascii="宋体" w:hAnsi="宋体" w:eastAsia="宋体" w:cs="宋体"/>
          <w:color w:val="auto"/>
          <w:sz w:val="21"/>
          <w:szCs w:val="21"/>
          <w:highlight w:val="none"/>
          <w:u w:val="single"/>
          <w:lang w:val="en-US" w:eastAsia="zh-CN"/>
        </w:rPr>
        <w:t>的业绩）</w:t>
      </w:r>
      <w:r>
        <w:rPr>
          <w:rFonts w:hint="eastAsia" w:ascii="宋体" w:hAnsi="宋体" w:cs="宋体"/>
          <w:color w:val="auto"/>
          <w:sz w:val="21"/>
          <w:szCs w:val="21"/>
          <w:highlight w:val="none"/>
          <w:u w:val="single"/>
          <w:lang w:val="en-US" w:eastAsia="zh-CN"/>
        </w:rPr>
        <w:t xml:space="preserve"> </w:t>
      </w:r>
      <w:r>
        <w:rPr>
          <w:rFonts w:hint="eastAsia"/>
          <w:color w:val="auto"/>
          <w:szCs w:val="21"/>
          <w:highlight w:val="none"/>
          <w:u w:val="single"/>
          <w:lang w:val="en-US" w:eastAsia="zh-CN"/>
        </w:rPr>
        <w:t xml:space="preserve">或 </w:t>
      </w:r>
      <w:r>
        <w:rPr>
          <w:rFonts w:hint="eastAsia" w:ascii="宋体" w:hAnsi="宋体" w:eastAsia="宋体" w:cs="宋体"/>
          <w:color w:val="auto"/>
          <w:sz w:val="21"/>
          <w:szCs w:val="21"/>
          <w:highlight w:val="none"/>
          <w:u w:val="single"/>
        </w:rPr>
        <w:t>油烟净化系统</w:t>
      </w:r>
      <w:r>
        <w:rPr>
          <w:rFonts w:hint="eastAsia" w:ascii="宋体" w:hAnsi="宋体" w:eastAsia="宋体" w:cs="宋体"/>
          <w:color w:val="auto"/>
          <w:sz w:val="21"/>
          <w:szCs w:val="21"/>
          <w:highlight w:val="none"/>
          <w:u w:val="single"/>
          <w:lang w:val="en-US" w:eastAsia="zh-CN"/>
        </w:rPr>
        <w:t>项目业绩（或项目内容含</w:t>
      </w:r>
      <w:r>
        <w:rPr>
          <w:rFonts w:hint="eastAsia" w:ascii="宋体" w:hAnsi="宋体" w:eastAsia="宋体" w:cs="宋体"/>
          <w:color w:val="auto"/>
          <w:sz w:val="21"/>
          <w:szCs w:val="21"/>
          <w:highlight w:val="none"/>
          <w:u w:val="single"/>
        </w:rPr>
        <w:t>油烟净化系统</w:t>
      </w:r>
      <w:r>
        <w:rPr>
          <w:rFonts w:hint="eastAsia" w:ascii="宋体" w:hAnsi="宋体" w:eastAsia="宋体" w:cs="宋体"/>
          <w:color w:val="auto"/>
          <w:sz w:val="21"/>
          <w:szCs w:val="21"/>
          <w:highlight w:val="none"/>
          <w:u w:val="single"/>
          <w:lang w:val="en-US" w:eastAsia="zh-CN"/>
        </w:rPr>
        <w:t xml:space="preserve">的业绩） </w:t>
      </w:r>
      <w:r>
        <w:rPr>
          <w:rFonts w:hint="eastAsia" w:ascii="宋体" w:hAnsi="宋体" w:eastAsia="宋体" w:cs="宋体"/>
          <w:color w:val="auto"/>
          <w:sz w:val="21"/>
          <w:szCs w:val="21"/>
          <w:highlight w:val="none"/>
          <w:u w:val="none"/>
          <w:lang w:val="en-US" w:eastAsia="zh-CN"/>
        </w:rPr>
        <w:t>。</w:t>
      </w:r>
    </w:p>
    <w:p w14:paraId="6DA16073">
      <w:pPr>
        <w:numPr>
          <w:ilvl w:val="1"/>
          <w:numId w:val="0"/>
        </w:numPr>
        <w:spacing w:line="360" w:lineRule="auto"/>
        <w:ind w:left="844" w:leftChars="401" w:hanging="2" w:hangingChars="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注：①</w:t>
      </w:r>
      <w:r>
        <w:rPr>
          <w:rFonts w:hint="eastAsia" w:ascii="宋体" w:hAnsi="宋体" w:eastAsia="宋体" w:cs="宋体"/>
          <w:color w:val="auto"/>
          <w:sz w:val="21"/>
          <w:szCs w:val="21"/>
          <w:highlight w:val="none"/>
        </w:rPr>
        <w:t>业绩时间</w:t>
      </w:r>
      <w:r>
        <w:rPr>
          <w:rFonts w:hint="eastAsia" w:ascii="宋体" w:hAnsi="宋体" w:cs="宋体"/>
          <w:color w:val="auto"/>
          <w:sz w:val="21"/>
          <w:szCs w:val="21"/>
          <w:highlight w:val="none"/>
          <w:lang w:val="en-US" w:eastAsia="zh-CN"/>
        </w:rPr>
        <w:t>以</w:t>
      </w:r>
      <w:r>
        <w:rPr>
          <w:rFonts w:hint="eastAsia" w:ascii="宋体" w:hAnsi="宋体" w:eastAsia="宋体" w:cs="宋体"/>
          <w:color w:val="auto"/>
          <w:sz w:val="21"/>
          <w:szCs w:val="21"/>
          <w:highlight w:val="none"/>
        </w:rPr>
        <w:t>合同签订时间为准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②</w:t>
      </w:r>
      <w:r>
        <w:rPr>
          <w:rFonts w:hint="eastAsia" w:ascii="宋体" w:hAnsi="宋体" w:eastAsia="宋体" w:cs="宋体"/>
          <w:color w:val="auto"/>
          <w:sz w:val="21"/>
          <w:szCs w:val="21"/>
          <w:highlight w:val="none"/>
        </w:rPr>
        <w:t>须提供</w:t>
      </w:r>
      <w:r>
        <w:rPr>
          <w:rFonts w:hint="eastAsia" w:ascii="宋体" w:hAnsi="宋体" w:cs="宋体"/>
          <w:color w:val="auto"/>
          <w:sz w:val="21"/>
          <w:szCs w:val="21"/>
          <w:highlight w:val="none"/>
          <w:lang w:val="en-US" w:eastAsia="zh-CN"/>
        </w:rPr>
        <w:t>以下2项有效证明材料</w:t>
      </w:r>
      <w:r>
        <w:rPr>
          <w:rFonts w:hint="eastAsia" w:asciiTheme="minorEastAsia" w:hAnsiTheme="minorEastAsia" w:eastAsiaTheme="minorEastAsia"/>
          <w:color w:val="auto"/>
          <w:highlight w:val="none"/>
        </w:rPr>
        <w:t>（缺一不可）</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合同关键页复印件加盖公</w:t>
      </w:r>
      <w:r>
        <w:rPr>
          <w:rFonts w:hint="eastAsia" w:ascii="宋体" w:hAnsi="宋体" w:eastAsia="宋体" w:cs="宋体"/>
          <w:b w:val="0"/>
          <w:bCs w:val="0"/>
          <w:color w:val="auto"/>
          <w:sz w:val="21"/>
          <w:szCs w:val="21"/>
          <w:highlight w:val="none"/>
          <w:lang w:val="en-US" w:eastAsia="zh-CN"/>
        </w:rPr>
        <w:t>章</w:t>
      </w:r>
      <w:r>
        <w:rPr>
          <w:rFonts w:hint="eastAsia" w:ascii="宋体" w:hAnsi="宋体" w:eastAsia="宋体" w:cs="宋体"/>
          <w:color w:val="auto"/>
          <w:sz w:val="21"/>
          <w:szCs w:val="21"/>
          <w:highlight w:val="none"/>
        </w:rPr>
        <w:t>（包含但不限于合同首页、合同金额页、合同签字页等）</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该合同期内任意一期发票复印件加盖公</w:t>
      </w:r>
      <w:r>
        <w:rPr>
          <w:rFonts w:hint="eastAsia" w:ascii="宋体" w:hAnsi="宋体" w:eastAsia="宋体" w:cs="宋体"/>
          <w:b w:val="0"/>
          <w:bCs w:val="0"/>
          <w:color w:val="auto"/>
          <w:sz w:val="21"/>
          <w:szCs w:val="21"/>
          <w:highlight w:val="none"/>
          <w:lang w:val="en-US" w:eastAsia="zh-CN"/>
        </w:rPr>
        <w:t>章</w:t>
      </w:r>
      <w:r>
        <w:rPr>
          <w:rFonts w:hint="eastAsia" w:asciiTheme="minorEastAsia" w:hAnsiTheme="minorEastAsia" w:eastAsiaTheme="minorEastAsia"/>
          <w:color w:val="auto"/>
          <w:highlight w:val="none"/>
          <w:lang w:val="en-US" w:eastAsia="zh-CN"/>
        </w:rPr>
        <w:t>；③</w:t>
      </w:r>
      <w:r>
        <w:rPr>
          <w:rFonts w:hint="eastAsia" w:ascii="宋体" w:hAnsi="宋体" w:cs="宋体"/>
          <w:color w:val="auto"/>
          <w:szCs w:val="21"/>
          <w:highlight w:val="none"/>
        </w:rPr>
        <w:t>如果提供的合同关键页无法体现业绩要求所述指标，则需另外提供符合指标要求的相关证明材料加盖公章</w:t>
      </w:r>
      <w:r>
        <w:rPr>
          <w:rFonts w:hint="eastAsia" w:ascii="宋体" w:hAnsi="宋体" w:cs="宋体"/>
          <w:color w:val="auto"/>
          <w:szCs w:val="21"/>
          <w:highlight w:val="none"/>
          <w:lang w:eastAsia="zh-CN"/>
        </w:rPr>
        <w:t>。</w:t>
      </w:r>
      <w:r>
        <w:rPr>
          <w:rFonts w:hint="eastAsia" w:ascii="宋体" w:hAnsi="宋体" w:eastAsia="宋体" w:cs="宋体"/>
          <w:color w:val="auto"/>
          <w:sz w:val="21"/>
          <w:szCs w:val="21"/>
          <w:highlight w:val="none"/>
        </w:rPr>
        <w:t>】</w:t>
      </w:r>
    </w:p>
    <w:p w14:paraId="00D63311">
      <w:pPr>
        <w:numPr>
          <w:ilvl w:val="1"/>
          <w:numId w:val="0"/>
        </w:numPr>
        <w:spacing w:line="360" w:lineRule="auto"/>
        <w:ind w:left="851" w:leftChars="0" w:hanging="425" w:firstLineChars="0"/>
        <w:rPr>
          <w:rFonts w:hint="eastAsia" w:ascii="宋体" w:hAnsi="宋体" w:eastAsia="宋体" w:cs="宋体"/>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2.5</w:t>
      </w:r>
      <w:r>
        <w:rPr>
          <w:rFonts w:hint="eastAsia" w:ascii="宋体" w:hAnsi="宋体" w:eastAsia="宋体" w:cs="宋体"/>
          <w:color w:val="auto"/>
          <w:sz w:val="21"/>
          <w:szCs w:val="21"/>
          <w:highlight w:val="none"/>
        </w:rPr>
        <w:t>响应人的单位负责人为同一人或者存在直接控股、管理关系的不同响应人，不得参加同一合同项下的采购活动。</w:t>
      </w:r>
    </w:p>
    <w:p w14:paraId="293CE7FA">
      <w:pPr>
        <w:numPr>
          <w:ilvl w:val="1"/>
          <w:numId w:val="0"/>
        </w:numPr>
        <w:spacing w:line="360" w:lineRule="auto"/>
        <w:ind w:left="851" w:leftChars="0" w:hanging="425" w:firstLineChars="0"/>
        <w:rPr>
          <w:rFonts w:hint="eastAsia" w:ascii="宋体" w:hAnsi="宋体" w:eastAsia="宋体" w:cs="宋体"/>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2.6</w:t>
      </w:r>
      <w:r>
        <w:rPr>
          <w:rFonts w:hint="eastAsia" w:ascii="宋体" w:hAnsi="宋体" w:eastAsia="宋体" w:cs="宋体"/>
          <w:color w:val="auto"/>
          <w:sz w:val="21"/>
          <w:szCs w:val="21"/>
          <w:highlight w:val="none"/>
        </w:rPr>
        <w:t>响应人参加采购活动前三年内，在经营活动中没有重大违法记录。【提供书面声明】</w:t>
      </w:r>
    </w:p>
    <w:p w14:paraId="4378D24B">
      <w:pPr>
        <w:numPr>
          <w:ilvl w:val="1"/>
          <w:numId w:val="0"/>
        </w:numPr>
        <w:spacing w:line="360" w:lineRule="auto"/>
        <w:ind w:left="851" w:leftChars="0" w:hanging="425" w:firstLineChars="0"/>
        <w:rPr>
          <w:rFonts w:hint="eastAsia" w:ascii="宋体" w:hAnsi="宋体" w:eastAsia="宋体" w:cs="宋体"/>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2.7</w:t>
      </w:r>
      <w:r>
        <w:rPr>
          <w:rFonts w:hint="eastAsia" w:ascii="宋体" w:hAnsi="宋体" w:eastAsia="宋体" w:cs="宋体"/>
          <w:color w:val="auto"/>
          <w:sz w:val="21"/>
          <w:szCs w:val="21"/>
          <w:highlight w:val="none"/>
        </w:rPr>
        <w:t>响应人未被列入“信用中国”网站(www.creditchina.gov.cn)“记录失信被执行人或重大税收违法失信主体或政府采购严重违法失信行为”记录名单。【以响应截止日当天在“信用中国”网站（www.creditchina.gov.cn）查询结果为准，如相关失信记录已失效，响应人需提供相关证明资料】</w:t>
      </w:r>
    </w:p>
    <w:p w14:paraId="6CE093D6">
      <w:pPr>
        <w:numPr>
          <w:ilvl w:val="1"/>
          <w:numId w:val="0"/>
        </w:numPr>
        <w:spacing w:line="360" w:lineRule="auto"/>
        <w:ind w:left="851" w:leftChars="0" w:hanging="425" w:firstLineChars="0"/>
        <w:rPr>
          <w:rFonts w:hint="eastAsia" w:ascii="宋体" w:hAnsi="宋体" w:eastAsia="宋体" w:cs="宋体"/>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2.8</w:t>
      </w:r>
      <w:r>
        <w:rPr>
          <w:rFonts w:hint="eastAsia" w:ascii="宋体" w:hAnsi="宋体" w:eastAsia="宋体" w:cs="宋体"/>
          <w:color w:val="auto"/>
          <w:sz w:val="21"/>
          <w:szCs w:val="21"/>
          <w:highlight w:val="none"/>
        </w:rPr>
        <w:t>未被列入东实集团及下属企业</w:t>
      </w:r>
      <w:r>
        <w:rPr>
          <w:rFonts w:hint="eastAsia" w:ascii="宋体" w:hAnsi="宋体" w:eastAsia="宋体" w:cs="宋体"/>
          <w:color w:val="auto"/>
          <w:sz w:val="21"/>
          <w:szCs w:val="21"/>
          <w:highlight w:val="none"/>
          <w:lang w:val="en-US" w:eastAsia="zh-CN"/>
        </w:rPr>
        <w:t>相关</w:t>
      </w:r>
      <w:r>
        <w:rPr>
          <w:rFonts w:hint="eastAsia" w:ascii="宋体" w:hAnsi="宋体" w:eastAsia="宋体" w:cs="宋体"/>
          <w:color w:val="auto"/>
          <w:sz w:val="21"/>
          <w:szCs w:val="21"/>
          <w:highlight w:val="none"/>
        </w:rPr>
        <w:t>领域黑名单。【以东莞实业投资控股集团有限公司发文（东实通〔2021〕44号）、（东实通〔2021〕98号）、（东实通〔2022〕75号）、（东实通〔2023〕37号）、（东实通〔2024〕163号）、（东实通〔2024〕195号）、（东实通〔2025〕157号）为准，如有最新发文通知，按最新文件执行。】</w:t>
      </w:r>
    </w:p>
    <w:p w14:paraId="739AF6FB">
      <w:pPr>
        <w:numPr>
          <w:ilvl w:val="1"/>
          <w:numId w:val="0"/>
        </w:numPr>
        <w:spacing w:line="360" w:lineRule="auto"/>
        <w:ind w:left="844" w:leftChars="401" w:hanging="2" w:hangingChars="1"/>
        <w:rPr>
          <w:rFonts w:hint="eastAsia" w:ascii="宋体" w:hAnsi="宋体" w:eastAsia="宋体" w:cs="宋体"/>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2.9</w:t>
      </w:r>
      <w:r>
        <w:rPr>
          <w:rFonts w:hint="eastAsia" w:ascii="宋体" w:hAnsi="宋体" w:eastAsia="宋体" w:cs="宋体"/>
          <w:color w:val="auto"/>
          <w:sz w:val="21"/>
          <w:szCs w:val="21"/>
          <w:highlight w:val="none"/>
        </w:rPr>
        <w:t>本项目</w:t>
      </w:r>
      <w:r>
        <w:rPr>
          <w:rFonts w:hint="eastAsia" w:ascii="宋体" w:hAnsi="宋体" w:eastAsia="宋体" w:cs="宋体"/>
          <w:color w:val="auto"/>
          <w:sz w:val="21"/>
          <w:szCs w:val="21"/>
          <w:highlight w:val="none"/>
          <w:u w:val="single"/>
        </w:rPr>
        <w:t>（</w:t>
      </w:r>
      <w:r>
        <w:rPr>
          <w:rFonts w:hint="eastAsia" w:ascii="宋体" w:hAnsi="宋体" w:cs="宋体"/>
          <w:color w:val="auto"/>
          <w:sz w:val="21"/>
          <w:szCs w:val="21"/>
          <w:highlight w:val="none"/>
          <w:u w:val="single"/>
          <w:lang w:val="en-US" w:eastAsia="zh-CN"/>
        </w:rPr>
        <w:t>不</w:t>
      </w:r>
      <w:r>
        <w:rPr>
          <w:rFonts w:hint="eastAsia" w:ascii="宋体" w:hAnsi="宋体" w:eastAsia="宋体" w:cs="宋体"/>
          <w:color w:val="auto"/>
          <w:sz w:val="21"/>
          <w:szCs w:val="21"/>
          <w:highlight w:val="none"/>
          <w:u w:val="single"/>
        </w:rPr>
        <w:t>接受）</w:t>
      </w:r>
      <w:r>
        <w:rPr>
          <w:rFonts w:hint="eastAsia" w:ascii="宋体" w:hAnsi="宋体" w:eastAsia="宋体" w:cs="宋体"/>
          <w:color w:val="auto"/>
          <w:sz w:val="21"/>
          <w:szCs w:val="21"/>
          <w:highlight w:val="none"/>
        </w:rPr>
        <w:t>联合体响应。</w:t>
      </w:r>
    </w:p>
    <w:p w14:paraId="224E500F">
      <w:pPr>
        <w:spacing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 竞争性谈判文件的获取</w:t>
      </w:r>
    </w:p>
    <w:p w14:paraId="320E545A">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3.1竞争性谈判文件获取时间：20</w:t>
      </w:r>
      <w:r>
        <w:rPr>
          <w:rFonts w:hint="eastAsia" w:ascii="宋体" w:hAnsi="宋体" w:eastAsia="宋体" w:cs="宋体"/>
          <w:color w:val="auto"/>
          <w:sz w:val="21"/>
          <w:szCs w:val="21"/>
          <w:highlight w:val="none"/>
          <w:u w:val="single"/>
          <w:lang w:val="en-US" w:eastAsia="zh-CN"/>
        </w:rPr>
        <w:t>25</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15</w:t>
      </w:r>
      <w:r>
        <w:rPr>
          <w:rFonts w:hint="eastAsia" w:ascii="宋体" w:hAnsi="宋体" w:eastAsia="宋体" w:cs="宋体"/>
          <w:color w:val="auto"/>
          <w:sz w:val="21"/>
          <w:szCs w:val="21"/>
          <w:highlight w:val="none"/>
        </w:rPr>
        <w:t>日至20</w:t>
      </w:r>
      <w:r>
        <w:rPr>
          <w:rFonts w:hint="eastAsia" w:ascii="宋体" w:hAnsi="宋体" w:eastAsia="宋体" w:cs="宋体"/>
          <w:color w:val="auto"/>
          <w:sz w:val="21"/>
          <w:szCs w:val="21"/>
          <w:highlight w:val="none"/>
          <w:u w:val="single"/>
          <w:lang w:val="en-US" w:eastAsia="zh-CN"/>
        </w:rPr>
        <w:t>25</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19</w:t>
      </w:r>
      <w:r>
        <w:rPr>
          <w:rFonts w:hint="eastAsia" w:ascii="宋体" w:hAnsi="宋体" w:eastAsia="宋体" w:cs="宋体"/>
          <w:color w:val="auto"/>
          <w:sz w:val="21"/>
          <w:szCs w:val="21"/>
          <w:highlight w:val="none"/>
        </w:rPr>
        <w:t>日</w:t>
      </w:r>
      <w:r>
        <w:rPr>
          <w:rFonts w:hint="eastAsia" w:ascii="宋体" w:hAnsi="宋体" w:cs="宋体"/>
          <w:color w:val="auto"/>
          <w:sz w:val="21"/>
          <w:szCs w:val="21"/>
          <w:highlight w:val="none"/>
          <w:u w:val="single"/>
          <w:lang w:val="en-US" w:eastAsia="zh-CN"/>
        </w:rPr>
        <w:t>14</w:t>
      </w:r>
      <w:r>
        <w:rPr>
          <w:rFonts w:hint="eastAsia" w:ascii="宋体" w:hAnsi="宋体" w:eastAsia="宋体" w:cs="宋体"/>
          <w:color w:val="auto"/>
          <w:sz w:val="21"/>
          <w:szCs w:val="21"/>
          <w:highlight w:val="none"/>
        </w:rPr>
        <w:t>时</w:t>
      </w:r>
      <w:r>
        <w:rPr>
          <w:rFonts w:hint="eastAsia" w:ascii="宋体" w:hAnsi="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分。</w:t>
      </w:r>
    </w:p>
    <w:p w14:paraId="44714CC2">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3.2竞争性谈判文件获取地点：</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w:t>
      </w:r>
    </w:p>
    <w:p w14:paraId="41017C77">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3.3竞争性谈判文件获取方式：</w:t>
      </w:r>
      <w:r>
        <w:rPr>
          <w:rFonts w:hint="eastAsia" w:ascii="宋体" w:hAnsi="宋体" w:eastAsia="宋体" w:cs="宋体"/>
          <w:color w:val="auto"/>
          <w:sz w:val="21"/>
          <w:szCs w:val="21"/>
          <w:highlight w:val="none"/>
          <w:u w:val="single"/>
        </w:rPr>
        <w:t>东莞实业投资控股集团有限公司网站（http://www.dgsy.com.cn/）—招标采购栏目</w:t>
      </w:r>
      <w:r>
        <w:rPr>
          <w:rFonts w:hint="eastAsia" w:ascii="宋体" w:hAnsi="宋体" w:eastAsia="宋体" w:cs="宋体"/>
          <w:color w:val="auto"/>
          <w:sz w:val="21"/>
          <w:szCs w:val="21"/>
          <w:highlight w:val="none"/>
        </w:rPr>
        <w:t>不记名免费下载。</w:t>
      </w:r>
    </w:p>
    <w:p w14:paraId="295B587D">
      <w:pPr>
        <w:spacing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四、 响应文件的递交 </w:t>
      </w:r>
    </w:p>
    <w:p w14:paraId="28C00BAD">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4.1响应文件递交的截止时间为20</w:t>
      </w:r>
      <w:r>
        <w:rPr>
          <w:rFonts w:hint="eastAsia" w:ascii="宋体" w:hAnsi="宋体" w:eastAsia="宋体" w:cs="宋体"/>
          <w:color w:val="auto"/>
          <w:sz w:val="21"/>
          <w:szCs w:val="21"/>
          <w:highlight w:val="none"/>
          <w:u w:val="single"/>
          <w:lang w:val="en-US" w:eastAsia="zh-CN"/>
        </w:rPr>
        <w:t>25</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19</w:t>
      </w:r>
      <w:r>
        <w:rPr>
          <w:rFonts w:hint="eastAsia" w:ascii="宋体" w:hAnsi="宋体" w:eastAsia="宋体" w:cs="宋体"/>
          <w:color w:val="auto"/>
          <w:sz w:val="21"/>
          <w:szCs w:val="21"/>
          <w:highlight w:val="none"/>
        </w:rPr>
        <w:t>日</w:t>
      </w:r>
      <w:r>
        <w:rPr>
          <w:rFonts w:hint="eastAsia" w:ascii="宋体" w:hAnsi="宋体" w:cs="宋体"/>
          <w:color w:val="auto"/>
          <w:sz w:val="21"/>
          <w:szCs w:val="21"/>
          <w:highlight w:val="none"/>
          <w:u w:val="single"/>
          <w:lang w:val="en-US" w:eastAsia="zh-CN"/>
        </w:rPr>
        <w:t>14</w:t>
      </w:r>
      <w:r>
        <w:rPr>
          <w:rFonts w:hint="eastAsia" w:ascii="宋体" w:hAnsi="宋体" w:eastAsia="宋体" w:cs="宋体"/>
          <w:color w:val="auto"/>
          <w:sz w:val="21"/>
          <w:szCs w:val="21"/>
          <w:highlight w:val="none"/>
        </w:rPr>
        <w:t>时</w:t>
      </w:r>
      <w:r>
        <w:rPr>
          <w:rFonts w:hint="eastAsia" w:ascii="宋体" w:hAnsi="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分，递交地点为</w:t>
      </w:r>
      <w:r>
        <w:rPr>
          <w:rFonts w:hint="eastAsia" w:ascii="宋体" w:hAnsi="宋体" w:eastAsia="宋体" w:cs="宋体"/>
          <w:color w:val="auto"/>
          <w:sz w:val="21"/>
          <w:szCs w:val="21"/>
          <w:highlight w:val="none"/>
          <w:u w:val="single"/>
          <w:lang w:eastAsia="zh-CN"/>
        </w:rPr>
        <w:t>广东省东莞市南城街道西平宏伟三路39号联景商业大厦16层会议01室</w:t>
      </w:r>
      <w:r>
        <w:rPr>
          <w:rFonts w:hint="eastAsia" w:ascii="宋体" w:hAnsi="宋体" w:eastAsia="宋体" w:cs="宋体"/>
          <w:color w:val="auto"/>
          <w:sz w:val="21"/>
          <w:szCs w:val="21"/>
          <w:highlight w:val="none"/>
        </w:rPr>
        <w:t>。</w:t>
      </w:r>
    </w:p>
    <w:p w14:paraId="0DCB49CF">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4.2出现以下情形时，采购人/采购代理机构不予接收响应文件：</w:t>
      </w:r>
    </w:p>
    <w:p w14:paraId="4876FFB7">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4.2.1逾期送达或者未送达指定地点的；</w:t>
      </w:r>
    </w:p>
    <w:p w14:paraId="490ECAA0">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4.2.2未按竞争性谈判文件要求密封的。</w:t>
      </w:r>
    </w:p>
    <w:p w14:paraId="75E5C16E">
      <w:pPr>
        <w:spacing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五、 发布公告的媒介 </w:t>
      </w:r>
    </w:p>
    <w:p w14:paraId="59470E3F">
      <w:pPr>
        <w:keepNext w:val="0"/>
        <w:keepLines w:val="0"/>
        <w:pageBreakBefore w:val="0"/>
        <w:widowControl w:val="0"/>
        <w:kinsoku/>
        <w:wordWrap/>
        <w:overflowPunct/>
        <w:topLinePunct w:val="0"/>
        <w:autoSpaceDE/>
        <w:autoSpaceDN/>
        <w:bidi w:val="0"/>
        <w:adjustRightInd/>
        <w:snapToGrid/>
        <w:spacing w:line="360" w:lineRule="auto"/>
        <w:ind w:left="-11" w:firstLine="641"/>
        <w:textAlignment w:val="auto"/>
        <w:rPr>
          <w:rFonts w:hint="eastAsia" w:ascii="宋体" w:hAnsi="宋体" w:eastAsia="宋体" w:cs="宋体"/>
          <w:color w:val="auto"/>
          <w:sz w:val="21"/>
          <w:szCs w:val="21"/>
          <w:highlight w:val="none"/>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sz w:val="21"/>
          <w:szCs w:val="21"/>
          <w:highlight w:val="none"/>
          <w:lang w:val="en-US" w:eastAsia="zh-CN"/>
        </w:rPr>
        <w:t>竞争性谈判公告发布媒介：</w:t>
      </w:r>
      <w:r>
        <w:rPr>
          <w:rFonts w:hint="eastAsia" w:ascii="宋体" w:hAnsi="宋体" w:eastAsia="宋体" w:cs="宋体"/>
          <w:color w:val="auto"/>
          <w:sz w:val="21"/>
          <w:szCs w:val="21"/>
          <w:highlight w:val="none"/>
        </w:rPr>
        <w:t>本次公告在东莞实业投资控股集团有限公司网站（网址：http://www.dgsy.com.cn/）</w:t>
      </w:r>
      <w:r>
        <w:rPr>
          <w:rFonts w:hint="eastAsia" w:ascii="宋体" w:hAnsi="宋体" w:eastAsia="宋体" w:cs="宋体"/>
          <w:color w:val="auto"/>
          <w:sz w:val="21"/>
          <w:szCs w:val="21"/>
          <w:highlight w:val="none"/>
          <w:u w:val="none"/>
          <w:lang w:eastAsia="zh-CN"/>
        </w:rPr>
        <w:t>、建成工程咨询股份有限公司网站（http://www.gzjc.com.cn/index.html?aspxerrorpath=/）</w:t>
      </w:r>
      <w:r>
        <w:rPr>
          <w:rFonts w:hint="eastAsia" w:ascii="宋体" w:hAnsi="宋体" w:eastAsia="宋体" w:cs="宋体"/>
          <w:color w:val="auto"/>
          <w:sz w:val="21"/>
          <w:szCs w:val="21"/>
          <w:highlight w:val="none"/>
        </w:rPr>
        <w:t>发布。</w:t>
      </w:r>
    </w:p>
    <w:p w14:paraId="73CC77E2">
      <w:pPr>
        <w:keepNext w:val="0"/>
        <w:keepLines w:val="0"/>
        <w:pageBreakBefore w:val="0"/>
        <w:widowControl w:val="0"/>
        <w:kinsoku/>
        <w:wordWrap/>
        <w:overflowPunct/>
        <w:topLinePunct w:val="0"/>
        <w:autoSpaceDE/>
        <w:autoSpaceDN/>
        <w:bidi w:val="0"/>
        <w:adjustRightInd/>
        <w:snapToGrid/>
        <w:spacing w:line="360" w:lineRule="auto"/>
        <w:ind w:left="-11" w:firstLine="641"/>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 xml:space="preserve">.2 </w:t>
      </w:r>
      <w:r>
        <w:rPr>
          <w:rFonts w:hint="eastAsia" w:ascii="宋体" w:hAnsi="宋体" w:eastAsia="宋体" w:cs="宋体"/>
          <w:color w:val="auto"/>
          <w:sz w:val="21"/>
          <w:szCs w:val="21"/>
          <w:highlight w:val="none"/>
        </w:rPr>
        <w:t>成交候选人公示发布</w:t>
      </w:r>
      <w:r>
        <w:rPr>
          <w:rFonts w:hint="eastAsia" w:ascii="宋体" w:hAnsi="宋体" w:eastAsia="宋体" w:cs="宋体"/>
          <w:color w:val="auto"/>
          <w:sz w:val="21"/>
          <w:szCs w:val="21"/>
          <w:highlight w:val="none"/>
          <w:lang w:val="en-US" w:eastAsia="zh-CN"/>
        </w:rPr>
        <w:t>媒介：</w:t>
      </w:r>
      <w:r>
        <w:rPr>
          <w:rFonts w:hint="eastAsia" w:ascii="宋体" w:hAnsi="宋体" w:eastAsia="宋体" w:cs="宋体"/>
          <w:color w:val="auto"/>
          <w:sz w:val="21"/>
          <w:szCs w:val="21"/>
          <w:highlight w:val="none"/>
          <w:u w:val="single"/>
          <w:lang w:val="en-US" w:eastAsia="zh-CN"/>
        </w:rPr>
        <w:t>东莞实业投资控股集团有限公司-招标采购栏目（http://www.dgsy.com.cn/）</w:t>
      </w:r>
      <w:r>
        <w:rPr>
          <w:rFonts w:hint="eastAsia" w:ascii="宋体" w:hAnsi="宋体" w:eastAsia="宋体" w:cs="宋体"/>
          <w:color w:val="auto"/>
          <w:sz w:val="21"/>
          <w:szCs w:val="21"/>
          <w:highlight w:val="none"/>
          <w:lang w:val="en-US" w:eastAsia="zh-CN"/>
        </w:rPr>
        <w:t>。</w:t>
      </w:r>
    </w:p>
    <w:p w14:paraId="040CF495">
      <w:pPr>
        <w:spacing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六、 竞争性谈判保证金 </w:t>
      </w:r>
    </w:p>
    <w:p w14:paraId="07F9B764">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6.1.竞争性谈判保证金金额：</w:t>
      </w:r>
      <w:r>
        <w:rPr>
          <w:rFonts w:hint="eastAsia" w:ascii="宋体" w:hAnsi="宋体" w:cs="宋体"/>
          <w:color w:val="auto"/>
          <w:sz w:val="21"/>
          <w:szCs w:val="21"/>
          <w:highlight w:val="none"/>
          <w:u w:val="single"/>
          <w:lang w:val="en-US" w:eastAsia="zh-CN"/>
        </w:rPr>
        <w:t>20000.00</w:t>
      </w:r>
      <w:r>
        <w:rPr>
          <w:rFonts w:hint="eastAsia" w:ascii="宋体" w:hAnsi="宋体" w:eastAsia="宋体" w:cs="宋体"/>
          <w:color w:val="auto"/>
          <w:sz w:val="21"/>
          <w:szCs w:val="21"/>
          <w:highlight w:val="none"/>
        </w:rPr>
        <w:t>元。</w:t>
      </w:r>
    </w:p>
    <w:p w14:paraId="18A5C19C">
      <w:pPr>
        <w:pStyle w:val="109"/>
        <w:keepNext w:val="0"/>
        <w:keepLines w:val="0"/>
        <w:pageBreakBefore w:val="0"/>
        <w:widowControl w:val="0"/>
        <w:kinsoku/>
        <w:wordWrap/>
        <w:overflowPunct/>
        <w:topLinePunct w:val="0"/>
        <w:autoSpaceDE/>
        <w:autoSpaceDN/>
        <w:bidi w:val="0"/>
        <w:adjustRightInd/>
        <w:snapToGrid/>
        <w:spacing w:line="360" w:lineRule="auto"/>
        <w:ind w:left="850" w:leftChars="208" w:hanging="413" w:hangingChars="197"/>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6.2.竞争性谈判保证金缴纳方式：银行转账或电汇。</w:t>
      </w:r>
    </w:p>
    <w:p w14:paraId="544938A0">
      <w:pPr>
        <w:spacing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七、 联系方式 </w:t>
      </w:r>
    </w:p>
    <w:p w14:paraId="628C1D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采购人名称：</w:t>
      </w:r>
      <w:r>
        <w:rPr>
          <w:rFonts w:hint="eastAsia" w:ascii="宋体" w:hAnsi="宋体" w:cs="宋体"/>
          <w:bCs/>
          <w:color w:val="auto"/>
          <w:sz w:val="21"/>
          <w:szCs w:val="21"/>
          <w:highlight w:val="none"/>
          <w:lang w:eastAsia="zh-CN"/>
        </w:rPr>
        <w:t>东莞迎宾馆酒店有限公司松山湖分公司</w:t>
      </w:r>
    </w:p>
    <w:p w14:paraId="58C878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采购人联系人：</w:t>
      </w:r>
      <w:r>
        <w:rPr>
          <w:rFonts w:hint="eastAsia" w:ascii="宋体" w:hAnsi="宋体" w:eastAsia="宋体" w:cs="宋体"/>
          <w:bCs/>
          <w:color w:val="auto"/>
          <w:sz w:val="21"/>
          <w:szCs w:val="21"/>
          <w:highlight w:val="none"/>
          <w:lang w:val="en-US" w:eastAsia="zh-CN"/>
        </w:rPr>
        <w:t>黄工</w:t>
      </w:r>
    </w:p>
    <w:p w14:paraId="075B29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采购人地址：</w:t>
      </w:r>
      <w:r>
        <w:rPr>
          <w:rFonts w:hint="eastAsia" w:ascii="宋体" w:hAnsi="宋体" w:cs="宋体"/>
          <w:bCs/>
          <w:color w:val="auto"/>
          <w:sz w:val="21"/>
          <w:szCs w:val="21"/>
          <w:highlight w:val="none"/>
          <w:lang w:eastAsia="zh-CN"/>
        </w:rPr>
        <w:t>广东省东莞市松山湖园区大学路16号10栋101室</w:t>
      </w:r>
    </w:p>
    <w:p w14:paraId="19A7AA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采购人联系电话：</w:t>
      </w:r>
      <w:r>
        <w:rPr>
          <w:rFonts w:hint="eastAsia" w:ascii="宋体" w:hAnsi="宋体" w:eastAsia="宋体" w:cs="宋体"/>
          <w:bCs/>
          <w:color w:val="auto"/>
          <w:sz w:val="21"/>
          <w:szCs w:val="21"/>
          <w:highlight w:val="none"/>
          <w:lang w:eastAsia="zh-CN"/>
        </w:rPr>
        <w:t>0769-38883999</w:t>
      </w:r>
    </w:p>
    <w:p w14:paraId="098ABE00">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p>
    <w:p w14:paraId="15BA0782">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采购代理机构名称：</w:t>
      </w:r>
      <w:r>
        <w:rPr>
          <w:rFonts w:hint="eastAsia" w:ascii="宋体" w:hAnsi="宋体" w:eastAsia="宋体" w:cs="宋体"/>
          <w:color w:val="auto"/>
          <w:sz w:val="21"/>
          <w:szCs w:val="21"/>
          <w:highlight w:val="none"/>
          <w:lang w:eastAsia="zh-CN"/>
        </w:rPr>
        <w:t>建成工程咨询股份有限公司</w:t>
      </w:r>
    </w:p>
    <w:p w14:paraId="7FCC47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采购代理机构地址：</w:t>
      </w:r>
      <w:r>
        <w:rPr>
          <w:rFonts w:hint="eastAsia" w:ascii="宋体" w:hAnsi="宋体" w:eastAsia="宋体" w:cs="宋体"/>
          <w:color w:val="auto"/>
          <w:sz w:val="21"/>
          <w:szCs w:val="21"/>
          <w:highlight w:val="none"/>
          <w:lang w:eastAsia="zh-CN"/>
        </w:rPr>
        <w:t>广东省东莞市南城街道西平宏伟三路39号联景商业大厦16层</w:t>
      </w:r>
    </w:p>
    <w:p w14:paraId="44460B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采购代理机构联系人：</w:t>
      </w:r>
      <w:r>
        <w:rPr>
          <w:rFonts w:hint="eastAsia" w:ascii="宋体" w:hAnsi="宋体" w:eastAsia="宋体" w:cs="宋体"/>
          <w:color w:val="auto"/>
          <w:sz w:val="21"/>
          <w:szCs w:val="21"/>
          <w:highlight w:val="none"/>
          <w:lang w:val="en-US" w:eastAsia="zh-CN"/>
        </w:rPr>
        <w:t>刘小姐</w:t>
      </w:r>
    </w:p>
    <w:p w14:paraId="112323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采购代理机构联系电话：</w:t>
      </w:r>
      <w:r>
        <w:rPr>
          <w:rFonts w:hint="eastAsia" w:ascii="宋体" w:hAnsi="宋体" w:eastAsia="宋体" w:cs="宋体"/>
          <w:color w:val="auto"/>
          <w:sz w:val="21"/>
          <w:szCs w:val="21"/>
          <w:highlight w:val="none"/>
          <w:lang w:val="en-US" w:eastAsia="zh-CN"/>
        </w:rPr>
        <w:t>0769-22801999</w:t>
      </w:r>
    </w:p>
    <w:p w14:paraId="690A2416">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采购代理机构邮箱：gjzxdg@126.com</w:t>
      </w:r>
    </w:p>
    <w:p w14:paraId="5B66B3E7">
      <w:pPr>
        <w:tabs>
          <w:tab w:val="left" w:pos="900"/>
          <w:tab w:val="left" w:pos="1262"/>
        </w:tabs>
        <w:spacing w:line="360" w:lineRule="auto"/>
        <w:ind w:left="142" w:firstLine="424" w:firstLineChars="2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1CA140F">
      <w:pPr>
        <w:tabs>
          <w:tab w:val="left" w:pos="900"/>
          <w:tab w:val="left" w:pos="1262"/>
        </w:tabs>
        <w:wordWrap/>
        <w:spacing w:line="360" w:lineRule="auto"/>
        <w:ind w:left="142" w:firstLine="424" w:firstLineChars="202"/>
        <w:jc w:val="righ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建成工程咨询股份有限公司</w:t>
      </w:r>
    </w:p>
    <w:p w14:paraId="7B02BA77">
      <w:pPr>
        <w:tabs>
          <w:tab w:val="left" w:pos="900"/>
          <w:tab w:val="left" w:pos="1262"/>
        </w:tabs>
        <w:wordWrap w:val="0"/>
        <w:spacing w:line="360" w:lineRule="auto"/>
        <w:ind w:left="142" w:firstLine="424" w:firstLineChars="202"/>
        <w:jc w:val="right"/>
        <w:rPr>
          <w:rFonts w:ascii="黑体" w:eastAsia="黑体"/>
          <w:b/>
          <w:color w:val="auto"/>
          <w:sz w:val="28"/>
          <w:szCs w:val="28"/>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lang w:val="en-US" w:eastAsia="zh-CN"/>
        </w:rPr>
        <w:t>2025</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15</w:t>
      </w:r>
      <w:r>
        <w:rPr>
          <w:rFonts w:hint="eastAsia" w:ascii="宋体" w:hAnsi="宋体" w:eastAsia="宋体" w:cs="宋体"/>
          <w:color w:val="auto"/>
          <w:sz w:val="21"/>
          <w:szCs w:val="21"/>
          <w:highlight w:val="none"/>
        </w:rPr>
        <w:t>日</w:t>
      </w:r>
    </w:p>
    <w:p w14:paraId="1A169ECD">
      <w:pPr>
        <w:ind w:left="-14" w:firstLine="640"/>
        <w:jc w:val="right"/>
        <w:rPr>
          <w:color w:val="auto"/>
          <w:highlight w:val="none"/>
        </w:rPr>
      </w:pPr>
      <w:r>
        <w:rPr>
          <w:color w:val="auto"/>
          <w:highlight w:val="none"/>
        </w:rPr>
        <w:t xml:space="preserve"> </w:t>
      </w:r>
      <w:r>
        <w:rPr>
          <w:rFonts w:hint="eastAsia"/>
          <w:color w:val="auto"/>
          <w:highlight w:val="none"/>
        </w:rPr>
        <w:t xml:space="preserve">                                    </w:t>
      </w:r>
    </w:p>
    <w:p w14:paraId="21CE4CDE">
      <w:pPr>
        <w:pStyle w:val="73"/>
        <w:rPr>
          <w:rFonts w:ascii="宋体" w:hAnsi="宋体" w:eastAsia="宋体" w:cs="宋体"/>
          <w:b/>
          <w:color w:val="auto"/>
          <w:kern w:val="0"/>
          <w:sz w:val="28"/>
          <w:szCs w:val="28"/>
          <w:highlight w:val="none"/>
        </w:rPr>
      </w:pPr>
      <w:r>
        <w:rPr>
          <w:b/>
          <w:color w:val="auto"/>
          <w:sz w:val="28"/>
          <w:szCs w:val="28"/>
          <w:highlight w:val="none"/>
        </w:rPr>
        <w:br w:type="page"/>
      </w:r>
      <w:bookmarkEnd w:id="0"/>
      <w:bookmarkEnd w:id="1"/>
      <w:bookmarkStart w:id="4" w:name="_Toc8003"/>
      <w:bookmarkStart w:id="5" w:name="_Toc456551874"/>
      <w:r>
        <w:rPr>
          <w:rFonts w:hint="eastAsia" w:ascii="宋体" w:hAnsi="宋体" w:eastAsia="宋体" w:cs="宋体"/>
          <w:b/>
          <w:color w:val="auto"/>
          <w:kern w:val="0"/>
          <w:sz w:val="28"/>
          <w:szCs w:val="28"/>
          <w:highlight w:val="none"/>
        </w:rPr>
        <w:t>第二章 竞争性谈判响应须知</w:t>
      </w:r>
      <w:bookmarkEnd w:id="4"/>
      <w:bookmarkEnd w:id="5"/>
    </w:p>
    <w:p w14:paraId="0689A54F">
      <w:pPr>
        <w:pStyle w:val="2"/>
        <w:pageBreakBefore w:val="0"/>
        <w:widowControl w:val="0"/>
        <w:kinsoku/>
        <w:wordWrap/>
        <w:overflowPunct/>
        <w:topLinePunct w:val="0"/>
        <w:autoSpaceDE/>
        <w:autoSpaceDN/>
        <w:bidi w:val="0"/>
        <w:adjustRightInd/>
        <w:snapToGrid/>
        <w:spacing w:line="400" w:lineRule="exact"/>
        <w:jc w:val="left"/>
        <w:textAlignment w:val="auto"/>
        <w:rPr>
          <w:color w:val="auto"/>
          <w:sz w:val="28"/>
          <w:szCs w:val="28"/>
          <w:highlight w:val="none"/>
        </w:rPr>
      </w:pPr>
      <w:bookmarkStart w:id="6" w:name="_Toc456551875"/>
      <w:bookmarkStart w:id="7" w:name="_Toc10128"/>
      <w:r>
        <w:rPr>
          <w:rFonts w:hint="eastAsia"/>
          <w:color w:val="auto"/>
          <w:sz w:val="28"/>
          <w:szCs w:val="28"/>
          <w:highlight w:val="none"/>
        </w:rPr>
        <w:t>竞争性谈判响应须知前附表</w:t>
      </w:r>
      <w:bookmarkEnd w:id="6"/>
      <w:bookmarkEnd w:id="7"/>
    </w:p>
    <w:p w14:paraId="1C37F460">
      <w:pPr>
        <w:pageBreakBefore w:val="0"/>
        <w:widowControl w:val="0"/>
        <w:kinsoku/>
        <w:wordWrap/>
        <w:overflowPunct/>
        <w:topLinePunct w:val="0"/>
        <w:autoSpaceDE/>
        <w:autoSpaceDN/>
        <w:bidi w:val="0"/>
        <w:adjustRightInd/>
        <w:snapToGrid/>
        <w:spacing w:line="400" w:lineRule="exact"/>
        <w:ind w:right="-340" w:rightChars="-162"/>
        <w:jc w:val="left"/>
        <w:textAlignment w:val="auto"/>
        <w:rPr>
          <w:color w:val="auto"/>
          <w:szCs w:val="21"/>
          <w:highlight w:val="none"/>
        </w:rPr>
      </w:pPr>
      <w:r>
        <w:rPr>
          <w:rFonts w:hint="eastAsia"/>
          <w:color w:val="auto"/>
          <w:szCs w:val="21"/>
          <w:highlight w:val="none"/>
        </w:rPr>
        <w:t>本竞争性谈判响应须知前附表是对竞争性谈判响应须知正文的具体补充和修改，如有矛盾，以本前附表为准。</w:t>
      </w:r>
    </w:p>
    <w:tbl>
      <w:tblPr>
        <w:tblStyle w:val="40"/>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843"/>
        <w:gridCol w:w="6095"/>
      </w:tblGrid>
      <w:tr w14:paraId="4ED6A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E3E3C59">
            <w:pPr>
              <w:keepNext w:val="0"/>
              <w:keepLines w:val="0"/>
              <w:pageBreakBefore w:val="0"/>
              <w:widowControl w:val="0"/>
              <w:kinsoku/>
              <w:wordWrap/>
              <w:overflowPunct/>
              <w:topLinePunct w:val="0"/>
              <w:bidi w:val="0"/>
              <w:adjustRightInd/>
              <w:snapToGrid/>
              <w:spacing w:line="360" w:lineRule="auto"/>
              <w:jc w:val="center"/>
              <w:textAlignment w:val="auto"/>
              <w:rPr>
                <w:b/>
                <w:color w:val="auto"/>
                <w:szCs w:val="21"/>
                <w:highlight w:val="none"/>
              </w:rPr>
            </w:pPr>
            <w:r>
              <w:rPr>
                <w:b/>
                <w:color w:val="auto"/>
                <w:szCs w:val="21"/>
                <w:highlight w:val="none"/>
              </w:rPr>
              <w:t>条款号</w:t>
            </w:r>
          </w:p>
        </w:tc>
        <w:tc>
          <w:tcPr>
            <w:tcW w:w="1843" w:type="dxa"/>
            <w:vAlign w:val="center"/>
          </w:tcPr>
          <w:p w14:paraId="43AAA671">
            <w:pPr>
              <w:keepNext w:val="0"/>
              <w:keepLines w:val="0"/>
              <w:pageBreakBefore w:val="0"/>
              <w:widowControl w:val="0"/>
              <w:kinsoku/>
              <w:wordWrap/>
              <w:overflowPunct/>
              <w:topLinePunct w:val="0"/>
              <w:bidi w:val="0"/>
              <w:adjustRightInd/>
              <w:snapToGrid/>
              <w:spacing w:line="360" w:lineRule="auto"/>
              <w:jc w:val="center"/>
              <w:textAlignment w:val="auto"/>
              <w:rPr>
                <w:b/>
                <w:color w:val="auto"/>
                <w:szCs w:val="21"/>
                <w:highlight w:val="none"/>
              </w:rPr>
            </w:pPr>
            <w:r>
              <w:rPr>
                <w:b/>
                <w:color w:val="auto"/>
                <w:szCs w:val="21"/>
                <w:highlight w:val="none"/>
              </w:rPr>
              <w:t>条  款  名  称</w:t>
            </w:r>
          </w:p>
        </w:tc>
        <w:tc>
          <w:tcPr>
            <w:tcW w:w="6095" w:type="dxa"/>
            <w:vAlign w:val="center"/>
          </w:tcPr>
          <w:p w14:paraId="52CDFD26">
            <w:pPr>
              <w:keepNext w:val="0"/>
              <w:keepLines w:val="0"/>
              <w:pageBreakBefore w:val="0"/>
              <w:widowControl w:val="0"/>
              <w:kinsoku/>
              <w:wordWrap/>
              <w:overflowPunct/>
              <w:topLinePunct w:val="0"/>
              <w:bidi w:val="0"/>
              <w:adjustRightInd/>
              <w:snapToGrid/>
              <w:spacing w:line="360" w:lineRule="auto"/>
              <w:jc w:val="center"/>
              <w:textAlignment w:val="auto"/>
              <w:rPr>
                <w:b/>
                <w:color w:val="auto"/>
                <w:szCs w:val="21"/>
                <w:highlight w:val="none"/>
              </w:rPr>
            </w:pPr>
            <w:r>
              <w:rPr>
                <w:b/>
                <w:color w:val="auto"/>
                <w:szCs w:val="21"/>
                <w:highlight w:val="none"/>
              </w:rPr>
              <w:t>编  列  内  容</w:t>
            </w:r>
          </w:p>
        </w:tc>
      </w:tr>
      <w:tr w14:paraId="74847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6989804">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1.1.5</w:t>
            </w:r>
          </w:p>
        </w:tc>
        <w:tc>
          <w:tcPr>
            <w:tcW w:w="1843" w:type="dxa"/>
            <w:vAlign w:val="center"/>
          </w:tcPr>
          <w:p w14:paraId="78809CE4">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color w:val="auto"/>
                <w:highlight w:val="none"/>
              </w:rPr>
              <w:t>项目承包方式</w:t>
            </w:r>
          </w:p>
        </w:tc>
        <w:tc>
          <w:tcPr>
            <w:tcW w:w="6095" w:type="dxa"/>
            <w:vAlign w:val="center"/>
          </w:tcPr>
          <w:p w14:paraId="1DD12130">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olor w:val="auto"/>
                <w:szCs w:val="21"/>
                <w:highlight w:val="none"/>
              </w:rPr>
            </w:pPr>
            <w:r>
              <w:rPr>
                <w:rFonts w:hint="eastAsia"/>
                <w:color w:val="auto"/>
                <w:szCs w:val="21"/>
                <w:highlight w:val="none"/>
              </w:rPr>
              <w:t>■</w:t>
            </w:r>
            <w:r>
              <w:rPr>
                <w:rFonts w:hint="eastAsia" w:ascii="宋体" w:hAnsi="宋体"/>
                <w:color w:val="auto"/>
                <w:szCs w:val="21"/>
                <w:highlight w:val="none"/>
              </w:rPr>
              <w:t>固定总价包干</w:t>
            </w:r>
          </w:p>
          <w:p w14:paraId="34988670">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olor w:val="auto"/>
                <w:szCs w:val="21"/>
                <w:highlight w:val="none"/>
              </w:rPr>
            </w:pPr>
            <w:r>
              <w:rPr>
                <w:rFonts w:hint="eastAsia" w:ascii="宋体" w:hAnsi="宋体"/>
                <w:color w:val="auto"/>
                <w:szCs w:val="21"/>
                <w:highlight w:val="none"/>
              </w:rPr>
              <w:t>□固定单价暂定总价包干</w:t>
            </w:r>
          </w:p>
          <w:p w14:paraId="23FD7CF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olor w:val="auto"/>
                <w:szCs w:val="21"/>
                <w:highlight w:val="none"/>
              </w:rPr>
            </w:pPr>
            <w:r>
              <w:rPr>
                <w:rFonts w:hint="eastAsia" w:ascii="宋体" w:hAnsi="宋体"/>
                <w:color w:val="auto"/>
                <w:szCs w:val="21"/>
                <w:highlight w:val="none"/>
              </w:rPr>
              <w:t>□其他，</w:t>
            </w:r>
            <w:r>
              <w:rPr>
                <w:rFonts w:hint="eastAsia" w:ascii="宋体" w:hAnsi="宋体"/>
                <w:color w:val="auto"/>
                <w:szCs w:val="21"/>
                <w:highlight w:val="none"/>
                <w:u w:val="single"/>
              </w:rPr>
              <w:t xml:space="preserve">             </w:t>
            </w:r>
          </w:p>
        </w:tc>
      </w:tr>
      <w:tr w14:paraId="78C8E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07E232CC">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color w:val="auto"/>
                <w:szCs w:val="21"/>
                <w:highlight w:val="none"/>
              </w:rPr>
              <w:t>1.2</w:t>
            </w:r>
          </w:p>
        </w:tc>
        <w:tc>
          <w:tcPr>
            <w:tcW w:w="1843" w:type="dxa"/>
            <w:vAlign w:val="center"/>
          </w:tcPr>
          <w:p w14:paraId="71EC7AED">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color w:val="auto"/>
                <w:szCs w:val="21"/>
                <w:highlight w:val="none"/>
              </w:rPr>
              <w:t>资金来源</w:t>
            </w:r>
          </w:p>
        </w:tc>
        <w:tc>
          <w:tcPr>
            <w:tcW w:w="6095" w:type="dxa"/>
            <w:vAlign w:val="center"/>
          </w:tcPr>
          <w:p w14:paraId="2570A967">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企业自筹</w:t>
            </w:r>
          </w:p>
        </w:tc>
      </w:tr>
      <w:tr w14:paraId="240F0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E3A2BE0">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1.3.5</w:t>
            </w:r>
          </w:p>
        </w:tc>
        <w:tc>
          <w:tcPr>
            <w:tcW w:w="1843" w:type="dxa"/>
            <w:vAlign w:val="center"/>
          </w:tcPr>
          <w:p w14:paraId="53F5AA03">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color w:val="auto"/>
                <w:szCs w:val="21"/>
                <w:highlight w:val="none"/>
              </w:rPr>
              <w:t>质量要求</w:t>
            </w:r>
          </w:p>
        </w:tc>
        <w:tc>
          <w:tcPr>
            <w:tcW w:w="6095" w:type="dxa"/>
            <w:vAlign w:val="center"/>
          </w:tcPr>
          <w:p w14:paraId="0246537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达到国家或行业质量检验评定的合格标准</w:t>
            </w:r>
          </w:p>
        </w:tc>
      </w:tr>
      <w:tr w14:paraId="047A4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288A0219">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1.6.3</w:t>
            </w:r>
          </w:p>
        </w:tc>
        <w:tc>
          <w:tcPr>
            <w:tcW w:w="1843" w:type="dxa"/>
            <w:vAlign w:val="center"/>
          </w:tcPr>
          <w:p w14:paraId="40AC920E">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color w:val="auto"/>
                <w:szCs w:val="21"/>
                <w:highlight w:val="none"/>
              </w:rPr>
              <w:t>联合体响应</w:t>
            </w:r>
          </w:p>
        </w:tc>
        <w:tc>
          <w:tcPr>
            <w:tcW w:w="6095" w:type="dxa"/>
            <w:vAlign w:val="center"/>
          </w:tcPr>
          <w:p w14:paraId="4D6CA5C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不接受</w:t>
            </w:r>
          </w:p>
          <w:p w14:paraId="4FA6AE0F">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接受，</w:t>
            </w:r>
            <w:r>
              <w:rPr>
                <w:rFonts w:hint="eastAsia" w:ascii="宋体" w:hAnsi="宋体"/>
                <w:color w:val="auto"/>
                <w:szCs w:val="21"/>
                <w:highlight w:val="none"/>
              </w:rPr>
              <w:t>联合体响应的，应满足下列要求：</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详见“竞争性谈判公告”</w:t>
            </w:r>
            <w:r>
              <w:rPr>
                <w:rFonts w:hint="eastAsia" w:ascii="宋体" w:hAnsi="宋体"/>
                <w:color w:val="auto"/>
                <w:szCs w:val="21"/>
                <w:highlight w:val="none"/>
                <w:u w:val="single"/>
              </w:rPr>
              <w:t xml:space="preserve"> </w:t>
            </w:r>
            <w:r>
              <w:rPr>
                <w:rFonts w:hint="eastAsia" w:ascii="宋体" w:hAnsi="宋体"/>
                <w:color w:val="auto"/>
                <w:szCs w:val="21"/>
                <w:highlight w:val="none"/>
              </w:rPr>
              <w:t>。</w:t>
            </w:r>
          </w:p>
        </w:tc>
      </w:tr>
      <w:tr w14:paraId="7EE2D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96C6AF5">
            <w:pPr>
              <w:keepNext w:val="0"/>
              <w:keepLines w:val="0"/>
              <w:pageBreakBefore w:val="0"/>
              <w:widowControl w:val="0"/>
              <w:kinsoku/>
              <w:wordWrap/>
              <w:overflowPunct/>
              <w:topLinePunct w:val="0"/>
              <w:bidi w:val="0"/>
              <w:adjustRightInd/>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1.12</w:t>
            </w:r>
          </w:p>
        </w:tc>
        <w:tc>
          <w:tcPr>
            <w:tcW w:w="1843" w:type="dxa"/>
            <w:vAlign w:val="center"/>
          </w:tcPr>
          <w:p w14:paraId="36866A21">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踏勘现场</w:t>
            </w:r>
          </w:p>
        </w:tc>
        <w:tc>
          <w:tcPr>
            <w:tcW w:w="6095" w:type="dxa"/>
            <w:vAlign w:val="center"/>
          </w:tcPr>
          <w:p w14:paraId="66F7131D">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不组织</w:t>
            </w:r>
          </w:p>
          <w:p w14:paraId="7ADF8B8A">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组织，踏勘现场时间、地点：</w:t>
            </w:r>
          </w:p>
          <w:p w14:paraId="2AEC47B9">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踏勘时间：</w:t>
            </w:r>
            <w:r>
              <w:rPr>
                <w:rFonts w:hint="eastAsia" w:ascii="宋体" w:hAnsi="宋体" w:cs="宋体"/>
                <w:color w:val="auto"/>
                <w:szCs w:val="21"/>
                <w:highlight w:val="none"/>
                <w:u w:val="single"/>
                <w:lang w:val="en-US" w:eastAsia="zh-CN"/>
              </w:rPr>
              <w:t>2025</w:t>
            </w:r>
            <w:r>
              <w:rPr>
                <w:rFonts w:hint="eastAsia" w:ascii="宋体" w:hAnsi="宋体" w:cs="宋体"/>
                <w:color w:val="auto"/>
                <w:szCs w:val="21"/>
                <w:highlight w:val="none"/>
                <w:u w:val="none"/>
                <w:lang w:val="en-US" w:eastAsia="zh-CN"/>
              </w:rPr>
              <w:t>年</w:t>
            </w:r>
            <w:r>
              <w:rPr>
                <w:rFonts w:hint="eastAsia" w:ascii="宋体" w:hAnsi="宋体" w:cs="宋体"/>
                <w:color w:val="auto"/>
                <w:szCs w:val="21"/>
                <w:highlight w:val="none"/>
                <w:u w:val="single"/>
                <w:lang w:val="en-US" w:eastAsia="zh-CN"/>
              </w:rPr>
              <w:t>12</w:t>
            </w:r>
            <w:r>
              <w:rPr>
                <w:rFonts w:hint="eastAsia" w:ascii="宋体" w:hAnsi="宋体" w:cs="宋体"/>
                <w:color w:val="auto"/>
                <w:szCs w:val="21"/>
                <w:highlight w:val="none"/>
                <w:u w:val="none"/>
                <w:lang w:val="en-US" w:eastAsia="zh-CN"/>
              </w:rPr>
              <w:t>月</w:t>
            </w:r>
            <w:r>
              <w:rPr>
                <w:rFonts w:hint="eastAsia" w:ascii="宋体" w:hAnsi="宋体" w:cs="宋体"/>
                <w:color w:val="auto"/>
                <w:szCs w:val="21"/>
                <w:highlight w:val="none"/>
                <w:u w:val="single"/>
                <w:lang w:val="en-US" w:eastAsia="zh-CN"/>
              </w:rPr>
              <w:t>17</w:t>
            </w:r>
            <w:r>
              <w:rPr>
                <w:rFonts w:hint="eastAsia" w:ascii="宋体" w:hAnsi="宋体" w:cs="宋体"/>
                <w:color w:val="auto"/>
                <w:szCs w:val="21"/>
                <w:highlight w:val="none"/>
                <w:u w:val="none"/>
                <w:lang w:val="en-US" w:eastAsia="zh-CN"/>
              </w:rPr>
              <w:t>日上午</w:t>
            </w:r>
            <w:r>
              <w:rPr>
                <w:rFonts w:hint="eastAsia" w:ascii="宋体" w:hAnsi="宋体" w:cs="宋体"/>
                <w:color w:val="auto"/>
                <w:szCs w:val="21"/>
                <w:highlight w:val="none"/>
                <w:u w:val="single"/>
                <w:lang w:val="en-US" w:eastAsia="zh-CN"/>
              </w:rPr>
              <w:t>09:00</w:t>
            </w:r>
            <w:r>
              <w:rPr>
                <w:rFonts w:hint="eastAsia" w:ascii="宋体" w:hAnsi="宋体" w:cs="宋体"/>
                <w:color w:val="auto"/>
                <w:szCs w:val="21"/>
                <w:highlight w:val="none"/>
                <w:u w:val="none"/>
                <w:lang w:val="en-US" w:eastAsia="zh-CN"/>
              </w:rPr>
              <w:t>-下午</w:t>
            </w:r>
            <w:r>
              <w:rPr>
                <w:rFonts w:hint="eastAsia" w:ascii="宋体" w:hAnsi="宋体" w:cs="宋体"/>
                <w:color w:val="auto"/>
                <w:szCs w:val="21"/>
                <w:highlight w:val="none"/>
                <w:u w:val="single"/>
                <w:lang w:val="en-US" w:eastAsia="zh-CN"/>
              </w:rPr>
              <w:t>17:00</w:t>
            </w:r>
          </w:p>
          <w:p w14:paraId="02F3E849">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cs="宋体"/>
                <w:color w:val="auto"/>
                <w:szCs w:val="21"/>
                <w:highlight w:val="none"/>
                <w:u w:val="single"/>
                <w:lang w:val="en-US" w:eastAsia="zh-CN"/>
              </w:rPr>
            </w:pPr>
            <w:r>
              <w:rPr>
                <w:rFonts w:hint="eastAsia" w:ascii="宋体" w:hAnsi="宋体" w:cs="宋体"/>
                <w:color w:val="auto"/>
                <w:szCs w:val="21"/>
                <w:highlight w:val="none"/>
                <w:u w:val="none"/>
                <w:lang w:val="en-US" w:eastAsia="zh-CN"/>
              </w:rPr>
              <w:t>踏勘地点：</w:t>
            </w:r>
            <w:r>
              <w:rPr>
                <w:rFonts w:hint="eastAsia" w:ascii="宋体" w:hAnsi="宋体" w:cs="宋体"/>
                <w:color w:val="auto"/>
                <w:szCs w:val="21"/>
                <w:highlight w:val="none"/>
                <w:u w:val="single"/>
                <w:lang w:val="en-US" w:eastAsia="zh-CN"/>
              </w:rPr>
              <w:t>大湾区大学学术交流中心（东门）</w:t>
            </w:r>
          </w:p>
          <w:p w14:paraId="7378128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cs="宋体"/>
                <w:color w:val="auto"/>
                <w:szCs w:val="21"/>
                <w:highlight w:val="none"/>
                <w:u w:val="single"/>
                <w:lang w:val="en-US" w:eastAsia="zh-CN"/>
              </w:rPr>
            </w:pPr>
            <w:r>
              <w:rPr>
                <w:rFonts w:hint="eastAsia" w:ascii="宋体" w:hAnsi="宋体" w:cs="宋体"/>
                <w:color w:val="auto"/>
                <w:szCs w:val="21"/>
                <w:highlight w:val="none"/>
                <w:u w:val="none"/>
                <w:lang w:val="en-US" w:eastAsia="zh-CN"/>
              </w:rPr>
              <w:t>现场联系人及联系方式：</w:t>
            </w:r>
            <w:r>
              <w:rPr>
                <w:rFonts w:hint="eastAsia" w:ascii="宋体" w:hAnsi="宋体" w:cs="宋体"/>
                <w:color w:val="auto"/>
                <w:szCs w:val="21"/>
                <w:highlight w:val="none"/>
                <w:u w:val="single"/>
                <w:lang w:val="en-US" w:eastAsia="zh-CN"/>
              </w:rPr>
              <w:t>张文（13692258579）</w:t>
            </w:r>
          </w:p>
          <w:p w14:paraId="2630F959">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u w:val="none"/>
                <w:lang w:val="en-US" w:eastAsia="zh-CN"/>
              </w:rPr>
              <w:t>注：投标人应于规定的踏勘时间内完成现场踏勘，逾期未踏勘的，视为已充分了解现场条件。若因未踏勘或踏勘不充分导致投标报价与实际情况存在偏差，由此产生的风险及责任由响应人自行承担。</w:t>
            </w:r>
          </w:p>
        </w:tc>
      </w:tr>
      <w:tr w14:paraId="4636A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483A478">
            <w:pPr>
              <w:keepNext w:val="0"/>
              <w:keepLines w:val="0"/>
              <w:pageBreakBefore w:val="0"/>
              <w:widowControl w:val="0"/>
              <w:kinsoku/>
              <w:wordWrap/>
              <w:overflowPunct/>
              <w:topLinePunct w:val="0"/>
              <w:bidi w:val="0"/>
              <w:adjustRightInd/>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2.1.3</w:t>
            </w:r>
          </w:p>
        </w:tc>
        <w:tc>
          <w:tcPr>
            <w:tcW w:w="1843" w:type="dxa"/>
            <w:vAlign w:val="center"/>
          </w:tcPr>
          <w:p w14:paraId="7C9BB30C">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实质性要求</w:t>
            </w:r>
          </w:p>
        </w:tc>
        <w:tc>
          <w:tcPr>
            <w:tcW w:w="6095" w:type="dxa"/>
            <w:vAlign w:val="center"/>
          </w:tcPr>
          <w:p w14:paraId="3EA1E23D">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竞争性谈判文件中标识“</w:t>
            </w:r>
            <w:r>
              <w:rPr>
                <w:rFonts w:eastAsia="黑体"/>
                <w:color w:val="auto"/>
                <w:sz w:val="32"/>
                <w:szCs w:val="32"/>
                <w:highlight w:val="none"/>
              </w:rPr>
              <w:sym w:font="Wingdings" w:char="00AB"/>
            </w:r>
            <w:r>
              <w:rPr>
                <w:rFonts w:hint="eastAsia" w:ascii="宋体" w:hAnsi="宋体" w:cs="宋体"/>
                <w:color w:val="auto"/>
                <w:szCs w:val="21"/>
                <w:highlight w:val="none"/>
              </w:rPr>
              <w:t>”的条款，均为实质性条款，任何不满足实质性条款的谈判响应将被否决。</w:t>
            </w:r>
          </w:p>
        </w:tc>
      </w:tr>
      <w:tr w14:paraId="6B7AF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6F1F854E">
            <w:pPr>
              <w:keepNext w:val="0"/>
              <w:keepLines w:val="0"/>
              <w:pageBreakBefore w:val="0"/>
              <w:widowControl w:val="0"/>
              <w:kinsoku/>
              <w:wordWrap/>
              <w:overflowPunct/>
              <w:topLinePunct w:val="0"/>
              <w:bidi w:val="0"/>
              <w:adjustRightInd/>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2.2.1</w:t>
            </w:r>
          </w:p>
        </w:tc>
        <w:tc>
          <w:tcPr>
            <w:tcW w:w="1843" w:type="dxa"/>
            <w:vAlign w:val="center"/>
          </w:tcPr>
          <w:p w14:paraId="47CD63EF">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响应人提出澄清要求的截止时间和方式</w:t>
            </w:r>
          </w:p>
        </w:tc>
        <w:tc>
          <w:tcPr>
            <w:tcW w:w="6095" w:type="dxa"/>
            <w:vAlign w:val="center"/>
          </w:tcPr>
          <w:p w14:paraId="5063EE9B">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响应人应当在提交响应文件截止时间至少2日前提出澄清要求。</w:t>
            </w:r>
          </w:p>
          <w:p w14:paraId="0747B09C">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提出澄清要求的方式：书面方式</w:t>
            </w:r>
          </w:p>
        </w:tc>
      </w:tr>
      <w:tr w14:paraId="55AA8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665D270F">
            <w:pPr>
              <w:keepNext w:val="0"/>
              <w:keepLines w:val="0"/>
              <w:pageBreakBefore w:val="0"/>
              <w:widowControl w:val="0"/>
              <w:kinsoku/>
              <w:wordWrap/>
              <w:overflowPunct/>
              <w:topLinePunct w:val="0"/>
              <w:bidi w:val="0"/>
              <w:adjustRightInd/>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2.2.2</w:t>
            </w:r>
          </w:p>
        </w:tc>
        <w:tc>
          <w:tcPr>
            <w:tcW w:w="1843" w:type="dxa"/>
            <w:vAlign w:val="center"/>
          </w:tcPr>
          <w:p w14:paraId="51F0C1AF">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采购人澄清或修改发布方式</w:t>
            </w:r>
          </w:p>
        </w:tc>
        <w:tc>
          <w:tcPr>
            <w:tcW w:w="6095" w:type="dxa"/>
            <w:vAlign w:val="center"/>
          </w:tcPr>
          <w:p w14:paraId="1C1996FA">
            <w:pPr>
              <w:keepNext w:val="0"/>
              <w:keepLines w:val="0"/>
              <w:pageBreakBefore w:val="0"/>
              <w:widowControl w:val="0"/>
              <w:kinsoku/>
              <w:wordWrap/>
              <w:overflowPunct/>
              <w:topLinePunct w:val="0"/>
              <w:autoSpaceDE w:val="0"/>
              <w:autoSpaceDN w:val="0"/>
              <w:bidi w:val="0"/>
              <w:adjustRightInd/>
              <w:snapToGrid/>
              <w:spacing w:line="360" w:lineRule="auto"/>
              <w:textAlignment w:val="auto"/>
              <w:rPr>
                <w:color w:val="auto"/>
                <w:highlight w:val="none"/>
              </w:rPr>
            </w:pPr>
            <w:r>
              <w:rPr>
                <w:rFonts w:hint="eastAsia" w:ascii="宋体" w:hAnsi="宋体" w:cs="宋体"/>
                <w:color w:val="auto"/>
                <w:szCs w:val="21"/>
                <w:highlight w:val="none"/>
              </w:rPr>
              <w:t>采购人发出的澄清或修改内容统一以补充通知文件形式发布在</w:t>
            </w:r>
            <w:r>
              <w:rPr>
                <w:rFonts w:hint="eastAsia"/>
                <w:color w:val="auto"/>
                <w:highlight w:val="none"/>
                <w:u w:val="single"/>
              </w:rPr>
              <w:t>东莞实业投资控股集团有限公司网站（网址：http://www.dgsy.com.cn/）、</w:t>
            </w:r>
            <w:r>
              <w:rPr>
                <w:rFonts w:hint="eastAsia"/>
                <w:color w:val="auto"/>
                <w:highlight w:val="none"/>
                <w:u w:val="single"/>
                <w:lang w:eastAsia="zh-CN"/>
              </w:rPr>
              <w:t>建成工程咨询股份有限公司</w:t>
            </w:r>
            <w:r>
              <w:rPr>
                <w:rFonts w:hint="eastAsia"/>
                <w:color w:val="auto"/>
                <w:highlight w:val="none"/>
                <w:u w:val="single"/>
              </w:rPr>
              <w:t>网站（</w:t>
            </w:r>
            <w:r>
              <w:rPr>
                <w:rFonts w:hint="eastAsia"/>
                <w:color w:val="auto"/>
                <w:highlight w:val="none"/>
                <w:u w:val="single"/>
                <w:lang w:eastAsia="zh-CN"/>
              </w:rPr>
              <w:t>http://www.gzjc.com.cn/index.html?aspxerrorpath=/</w:t>
            </w:r>
            <w:r>
              <w:rPr>
                <w:rFonts w:hint="eastAsia"/>
                <w:color w:val="auto"/>
                <w:highlight w:val="none"/>
                <w:u w:val="single"/>
              </w:rPr>
              <w:t>）</w:t>
            </w:r>
            <w:r>
              <w:rPr>
                <w:rFonts w:hint="eastAsia"/>
                <w:color w:val="auto"/>
                <w:highlight w:val="none"/>
              </w:rPr>
              <w:t>，视为潜在竞争性谈判响应人已获取相关文件。</w:t>
            </w:r>
          </w:p>
          <w:p w14:paraId="49486BEC">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color w:val="auto"/>
                <w:highlight w:val="none"/>
              </w:rPr>
              <w:t>若潜在竞争性谈判响应人未留意或未及时获取</w:t>
            </w:r>
            <w:r>
              <w:rPr>
                <w:rFonts w:hint="eastAsia" w:ascii="宋体" w:hAnsi="宋体" w:cs="宋体"/>
                <w:color w:val="auto"/>
                <w:szCs w:val="21"/>
                <w:highlight w:val="none"/>
              </w:rPr>
              <w:t>补充通知文件</w:t>
            </w:r>
            <w:r>
              <w:rPr>
                <w:rFonts w:hint="eastAsia"/>
                <w:color w:val="auto"/>
                <w:highlight w:val="none"/>
              </w:rPr>
              <w:t>，一切后果由竞争性谈判响应人自行承担。</w:t>
            </w:r>
          </w:p>
        </w:tc>
      </w:tr>
      <w:tr w14:paraId="35DF2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6903712">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3.2.2</w:t>
            </w:r>
          </w:p>
        </w:tc>
        <w:tc>
          <w:tcPr>
            <w:tcW w:w="1843" w:type="dxa"/>
            <w:vAlign w:val="center"/>
          </w:tcPr>
          <w:p w14:paraId="5031CBBB">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ascii="宋体" w:hAnsi="宋体" w:cs="宋体"/>
                <w:color w:val="auto"/>
                <w:szCs w:val="21"/>
                <w:highlight w:val="none"/>
              </w:rPr>
              <w:t>响应文件响应和编写</w:t>
            </w:r>
          </w:p>
        </w:tc>
        <w:tc>
          <w:tcPr>
            <w:tcW w:w="6095" w:type="dxa"/>
            <w:vAlign w:val="center"/>
          </w:tcPr>
          <w:p w14:paraId="750E7EB0">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4EAB0D3E">
            <w:pPr>
              <w:keepNext w:val="0"/>
              <w:keepLines w:val="0"/>
              <w:pageBreakBefore w:val="0"/>
              <w:widowControl w:val="0"/>
              <w:numPr>
                <w:ilvl w:val="0"/>
                <w:numId w:val="0"/>
              </w:numPr>
              <w:tabs>
                <w:tab w:val="left" w:pos="318"/>
              </w:tabs>
              <w:kinsoku/>
              <w:wordWrap/>
              <w:overflowPunct/>
              <w:topLinePunct w:val="0"/>
              <w:bidi w:val="0"/>
              <w:adjustRightInd/>
              <w:snapToGrid/>
              <w:spacing w:line="360" w:lineRule="auto"/>
              <w:ind w:left="360" w:leftChars="0" w:hanging="360" w:firstLineChars="0"/>
              <w:textAlignment w:val="auto"/>
              <w:rPr>
                <w:rFonts w:ascii="宋体" w:hAnsi="宋体"/>
                <w:color w:val="auto"/>
                <w:szCs w:val="21"/>
                <w:highlight w:val="none"/>
              </w:rPr>
            </w:pPr>
            <w:r>
              <w:rPr>
                <w:rFonts w:hint="default" w:ascii="宋体" w:hAnsi="宋体" w:eastAsia="宋体" w:cs="Times New Roman"/>
                <w:color w:val="auto"/>
                <w:kern w:val="2"/>
                <w:sz w:val="21"/>
                <w:szCs w:val="21"/>
                <w:highlight w:val="none"/>
                <w:lang w:val="en-US" w:eastAsia="zh-CN" w:bidi="ar-SA"/>
              </w:rPr>
              <w:t>1.</w:t>
            </w:r>
            <w:r>
              <w:rPr>
                <w:rFonts w:hint="eastAsia" w:ascii="宋体" w:hAnsi="宋体"/>
                <w:color w:val="auto"/>
                <w:szCs w:val="21"/>
                <w:highlight w:val="none"/>
              </w:rPr>
              <w:t>响应人应</w:t>
            </w:r>
            <w:r>
              <w:rPr>
                <w:rFonts w:ascii="宋体" w:hAnsi="宋体"/>
                <w:color w:val="auto"/>
                <w:szCs w:val="21"/>
                <w:highlight w:val="none"/>
              </w:rPr>
              <w:t>对竞争性谈判文件中的</w:t>
            </w:r>
            <w:r>
              <w:rPr>
                <w:rFonts w:hint="eastAsia" w:ascii="宋体" w:hAnsi="宋体"/>
                <w:color w:val="auto"/>
                <w:szCs w:val="21"/>
                <w:highlight w:val="none"/>
              </w:rPr>
              <w:t>《</w:t>
            </w:r>
            <w:r>
              <w:rPr>
                <w:rFonts w:hint="eastAsia" w:ascii="宋体" w:hAnsi="宋体" w:cs="宋体"/>
                <w:color w:val="auto"/>
                <w:szCs w:val="21"/>
                <w:highlight w:val="none"/>
              </w:rPr>
              <w:t>“</w:t>
            </w:r>
            <w:r>
              <w:rPr>
                <w:rFonts w:eastAsia="黑体"/>
                <w:b/>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szCs w:val="21"/>
                <w:highlight w:val="none"/>
              </w:rPr>
              <w:t>号条款响应表》填写实质性条款响应情况。</w:t>
            </w:r>
            <w:r>
              <w:rPr>
                <w:rFonts w:hint="eastAsia" w:hAnsi="宋体"/>
                <w:b/>
                <w:color w:val="auto"/>
                <w:szCs w:val="21"/>
                <w:highlight w:val="none"/>
              </w:rPr>
              <w:t>响应人若有一项带“★”的条款未响应或不满足，将按无效响应处理。</w:t>
            </w:r>
          </w:p>
          <w:p w14:paraId="348440A5">
            <w:pPr>
              <w:keepNext w:val="0"/>
              <w:keepLines w:val="0"/>
              <w:pageBreakBefore w:val="0"/>
              <w:widowControl w:val="0"/>
              <w:numPr>
                <w:ilvl w:val="0"/>
                <w:numId w:val="0"/>
              </w:numPr>
              <w:tabs>
                <w:tab w:val="left" w:pos="318"/>
              </w:tabs>
              <w:kinsoku/>
              <w:wordWrap/>
              <w:overflowPunct/>
              <w:topLinePunct w:val="0"/>
              <w:bidi w:val="0"/>
              <w:adjustRightInd/>
              <w:snapToGrid/>
              <w:spacing w:line="360" w:lineRule="auto"/>
              <w:ind w:left="360" w:leftChars="0" w:hanging="360" w:firstLineChars="0"/>
              <w:textAlignment w:val="auto"/>
              <w:rPr>
                <w:color w:val="auto"/>
                <w:szCs w:val="21"/>
                <w:highlight w:val="none"/>
              </w:rPr>
            </w:pPr>
            <w:r>
              <w:rPr>
                <w:rFonts w:hint="default" w:ascii="Times New Roman" w:hAnsi="Times New Roman" w:eastAsia="宋体" w:cs="Times New Roman"/>
                <w:color w:val="auto"/>
                <w:kern w:val="2"/>
                <w:sz w:val="21"/>
                <w:szCs w:val="21"/>
                <w:highlight w:val="none"/>
                <w:lang w:val="en-US" w:eastAsia="zh-CN" w:bidi="ar-SA"/>
              </w:rPr>
              <w:t>2.</w:t>
            </w:r>
            <w:r>
              <w:rPr>
                <w:rFonts w:hint="eastAsia" w:ascii="宋体" w:hAnsi="宋体" w:cs="宋体"/>
                <w:bCs/>
                <w:color w:val="auto"/>
                <w:szCs w:val="21"/>
                <w:highlight w:val="none"/>
              </w:rPr>
              <w:t>响应人对竞争性谈判文件中</w:t>
            </w:r>
            <w:r>
              <w:rPr>
                <w:rFonts w:ascii="宋体" w:hAnsi="宋体"/>
                <w:color w:val="auto"/>
                <w:szCs w:val="21"/>
                <w:highlight w:val="none"/>
              </w:rPr>
              <w:t>“合同条款”</w:t>
            </w:r>
            <w:r>
              <w:rPr>
                <w:rFonts w:hint="eastAsia" w:ascii="宋体" w:hAnsi="宋体"/>
                <w:color w:val="auto"/>
                <w:szCs w:val="21"/>
                <w:highlight w:val="none"/>
              </w:rPr>
              <w:t>、“用户需求书/技术规范书”</w:t>
            </w:r>
            <w:r>
              <w:rPr>
                <w:rFonts w:hint="eastAsia" w:ascii="宋体" w:hAnsi="宋体" w:cs="宋体"/>
                <w:bCs/>
                <w:color w:val="auto"/>
                <w:szCs w:val="21"/>
                <w:highlight w:val="none"/>
              </w:rPr>
              <w:t>作出的负偏离，采购人如不接受，可要求响应人以竞争性谈判文件中的要求为准，如响应人拒绝的，采购人有权取消其成交资格或取消合同，采购人不作任何补偿。</w:t>
            </w:r>
          </w:p>
        </w:tc>
      </w:tr>
      <w:tr w14:paraId="5EDFE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2674305">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3.2.4</w:t>
            </w:r>
          </w:p>
        </w:tc>
        <w:tc>
          <w:tcPr>
            <w:tcW w:w="1843" w:type="dxa"/>
            <w:vAlign w:val="center"/>
          </w:tcPr>
          <w:p w14:paraId="7C7CA427">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ascii="宋体" w:hAnsi="宋体" w:cs="宋体"/>
                <w:color w:val="auto"/>
                <w:szCs w:val="21"/>
                <w:highlight w:val="none"/>
              </w:rPr>
              <w:t>响应文件的盖章</w:t>
            </w:r>
          </w:p>
        </w:tc>
        <w:tc>
          <w:tcPr>
            <w:tcW w:w="6095" w:type="dxa"/>
            <w:vAlign w:val="center"/>
          </w:tcPr>
          <w:p w14:paraId="2003A5EF">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0EF6C43E">
            <w:pPr>
              <w:keepNext w:val="0"/>
              <w:keepLines w:val="0"/>
              <w:pageBreakBefore w:val="0"/>
              <w:widowControl w:val="0"/>
              <w:numPr>
                <w:ilvl w:val="0"/>
                <w:numId w:val="0"/>
              </w:numPr>
              <w:kinsoku/>
              <w:wordWrap/>
              <w:overflowPunct/>
              <w:topLinePunct w:val="0"/>
              <w:bidi w:val="0"/>
              <w:adjustRightInd/>
              <w:snapToGrid/>
              <w:spacing w:line="360" w:lineRule="auto"/>
              <w:ind w:left="360" w:leftChars="0" w:hanging="360" w:firstLineChars="0"/>
              <w:textAlignment w:val="auto"/>
              <w:rPr>
                <w:rFonts w:ascii="宋体" w:hAnsi="宋体"/>
                <w:b/>
                <w:color w:val="auto"/>
                <w:szCs w:val="21"/>
                <w:highlight w:val="none"/>
              </w:rPr>
            </w:pPr>
            <w:r>
              <w:rPr>
                <w:rFonts w:hint="default" w:ascii="宋体" w:hAnsi="宋体" w:eastAsia="宋体" w:cs="Times New Roman"/>
                <w:b/>
                <w:color w:val="auto"/>
                <w:kern w:val="2"/>
                <w:sz w:val="21"/>
                <w:szCs w:val="21"/>
                <w:highlight w:val="none"/>
                <w:lang w:val="en-US" w:eastAsia="zh-CN" w:bidi="ar-SA"/>
              </w:rPr>
              <w:t>1.</w:t>
            </w:r>
            <w:r>
              <w:rPr>
                <w:rFonts w:hint="eastAsia" w:ascii="宋体" w:hAnsi="宋体"/>
                <w:b/>
                <w:color w:val="auto"/>
                <w:szCs w:val="21"/>
                <w:highlight w:val="none"/>
              </w:rPr>
              <w:t>响应文件中凡出现响应人单位落款的地方应盖单位公章，如使用依照国家行政部门要求已备案的投标专用章、业务专用章的，应提供所使用印章的合法备案证明（复印件需加盖公章）。</w:t>
            </w:r>
          </w:p>
          <w:p w14:paraId="0C76D896">
            <w:pPr>
              <w:keepNext w:val="0"/>
              <w:keepLines w:val="0"/>
              <w:pageBreakBefore w:val="0"/>
              <w:widowControl w:val="0"/>
              <w:numPr>
                <w:ilvl w:val="0"/>
                <w:numId w:val="0"/>
              </w:numPr>
              <w:kinsoku/>
              <w:wordWrap/>
              <w:overflowPunct/>
              <w:topLinePunct w:val="0"/>
              <w:bidi w:val="0"/>
              <w:adjustRightInd/>
              <w:snapToGrid/>
              <w:spacing w:line="360" w:lineRule="auto"/>
              <w:ind w:left="360" w:leftChars="0" w:hanging="360" w:firstLineChars="0"/>
              <w:textAlignment w:val="auto"/>
              <w:rPr>
                <w:rFonts w:ascii="宋体" w:hAnsi="宋体"/>
                <w:color w:val="auto"/>
                <w:szCs w:val="21"/>
                <w:highlight w:val="none"/>
              </w:rPr>
            </w:pPr>
            <w:r>
              <w:rPr>
                <w:rFonts w:hint="default" w:ascii="宋体" w:hAnsi="宋体" w:eastAsia="宋体" w:cs="Times New Roman"/>
                <w:color w:val="auto"/>
                <w:kern w:val="2"/>
                <w:sz w:val="21"/>
                <w:szCs w:val="21"/>
                <w:highlight w:val="none"/>
                <w:lang w:val="en-US" w:eastAsia="zh-CN" w:bidi="ar-SA"/>
              </w:rPr>
              <w:t>2.</w:t>
            </w:r>
            <w:r>
              <w:rPr>
                <w:rFonts w:hint="eastAsia" w:ascii="宋体" w:hAnsi="宋体"/>
                <w:color w:val="auto"/>
                <w:szCs w:val="21"/>
                <w:highlight w:val="none"/>
              </w:rPr>
              <w:t>同时响应文件盖章必须符合以下其中一种：</w:t>
            </w:r>
          </w:p>
          <w:p w14:paraId="3E0BD542">
            <w:pPr>
              <w:keepNext w:val="0"/>
              <w:keepLines w:val="0"/>
              <w:pageBreakBefore w:val="0"/>
              <w:widowControl w:val="0"/>
              <w:numPr>
                <w:ilvl w:val="0"/>
                <w:numId w:val="0"/>
              </w:numPr>
              <w:kinsoku/>
              <w:wordWrap/>
              <w:overflowPunct/>
              <w:topLinePunct w:val="0"/>
              <w:bidi w:val="0"/>
              <w:adjustRightInd/>
              <w:snapToGrid/>
              <w:spacing w:line="360" w:lineRule="auto"/>
              <w:ind w:left="381" w:leftChars="0" w:hanging="381"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1)</w:t>
            </w:r>
            <w:r>
              <w:rPr>
                <w:rFonts w:hint="eastAsia" w:ascii="宋体" w:hAnsi="宋体"/>
                <w:color w:val="auto"/>
                <w:szCs w:val="21"/>
                <w:highlight w:val="none"/>
              </w:rPr>
              <w:t>加盖响应人单位骑缝章；</w:t>
            </w:r>
          </w:p>
          <w:p w14:paraId="76ECF9AF">
            <w:pPr>
              <w:keepNext w:val="0"/>
              <w:keepLines w:val="0"/>
              <w:pageBreakBefore w:val="0"/>
              <w:widowControl w:val="0"/>
              <w:numPr>
                <w:ilvl w:val="0"/>
                <w:numId w:val="0"/>
              </w:numPr>
              <w:kinsoku/>
              <w:wordWrap/>
              <w:overflowPunct/>
              <w:topLinePunct w:val="0"/>
              <w:bidi w:val="0"/>
              <w:adjustRightInd/>
              <w:snapToGrid/>
              <w:spacing w:line="360" w:lineRule="auto"/>
              <w:ind w:left="381" w:leftChars="0" w:hanging="381"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2)</w:t>
            </w:r>
            <w:r>
              <w:rPr>
                <w:rFonts w:hint="eastAsia" w:ascii="宋体" w:hAnsi="宋体"/>
                <w:color w:val="auto"/>
                <w:szCs w:val="21"/>
                <w:highlight w:val="none"/>
              </w:rPr>
              <w:t xml:space="preserve">逐页加盖响应人单位印章。 </w:t>
            </w:r>
          </w:p>
          <w:p w14:paraId="141240B0">
            <w:pPr>
              <w:pStyle w:val="72"/>
              <w:keepNext w:val="0"/>
              <w:keepLines w:val="0"/>
              <w:pageBreakBefore w:val="0"/>
              <w:widowControl w:val="0"/>
              <w:kinsoku/>
              <w:wordWrap/>
              <w:overflowPunct/>
              <w:topLinePunct w:val="0"/>
              <w:bidi w:val="0"/>
              <w:adjustRightInd/>
              <w:snapToGrid/>
              <w:spacing w:line="360" w:lineRule="auto"/>
              <w:ind w:firstLine="0" w:firstLineChars="0"/>
              <w:textAlignment w:val="auto"/>
              <w:rPr>
                <w:color w:val="auto"/>
                <w:szCs w:val="21"/>
                <w:highlight w:val="none"/>
              </w:rPr>
            </w:pPr>
            <w:r>
              <w:rPr>
                <w:rFonts w:hint="eastAsia" w:ascii="宋体" w:hAnsi="宋体"/>
                <w:b/>
                <w:color w:val="auto"/>
                <w:szCs w:val="21"/>
                <w:highlight w:val="none"/>
              </w:rPr>
              <w:t>请按上述要求制作响应文件，否则其谈判响应将被否决。</w:t>
            </w:r>
          </w:p>
        </w:tc>
      </w:tr>
      <w:tr w14:paraId="529C0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9585104">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3.3</w:t>
            </w:r>
          </w:p>
        </w:tc>
        <w:tc>
          <w:tcPr>
            <w:tcW w:w="1843" w:type="dxa"/>
            <w:vAlign w:val="center"/>
          </w:tcPr>
          <w:p w14:paraId="0217FE11">
            <w:pPr>
              <w:keepNext w:val="0"/>
              <w:keepLines w:val="0"/>
              <w:pageBreakBefore w:val="0"/>
              <w:widowControl w:val="0"/>
              <w:kinsoku/>
              <w:wordWrap/>
              <w:overflowPunct/>
              <w:topLinePunct w:val="0"/>
              <w:bidi w:val="0"/>
              <w:adjustRightInd/>
              <w:snapToGrid/>
              <w:spacing w:line="360" w:lineRule="auto"/>
              <w:jc w:val="center"/>
              <w:textAlignment w:val="auto"/>
              <w:rPr>
                <w:rFonts w:ascii="宋体" w:hAnsi="宋体"/>
                <w:color w:val="auto"/>
                <w:szCs w:val="21"/>
                <w:highlight w:val="none"/>
              </w:rPr>
            </w:pPr>
            <w:r>
              <w:rPr>
                <w:rFonts w:hint="eastAsia" w:ascii="宋体" w:hAnsi="宋体"/>
                <w:color w:val="auto"/>
                <w:szCs w:val="21"/>
                <w:highlight w:val="none"/>
              </w:rPr>
              <w:t>报价方式及具体要求</w:t>
            </w:r>
          </w:p>
        </w:tc>
        <w:tc>
          <w:tcPr>
            <w:tcW w:w="6095" w:type="dxa"/>
            <w:vAlign w:val="center"/>
          </w:tcPr>
          <w:p w14:paraId="2571F09C">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6B323967">
            <w:pPr>
              <w:keepNext w:val="0"/>
              <w:keepLines w:val="0"/>
              <w:pageBreakBefore w:val="0"/>
              <w:widowControl w:val="0"/>
              <w:numPr>
                <w:ilvl w:val="0"/>
                <w:numId w:val="0"/>
              </w:numPr>
              <w:kinsoku/>
              <w:wordWrap/>
              <w:overflowPunct/>
              <w:topLinePunct w:val="0"/>
              <w:bidi w:val="0"/>
              <w:adjustRightInd/>
              <w:snapToGrid/>
              <w:spacing w:line="360" w:lineRule="auto"/>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1.</w:t>
            </w:r>
            <w:r>
              <w:rPr>
                <w:rFonts w:hint="eastAsia" w:ascii="宋体" w:hAnsi="宋体"/>
                <w:color w:val="auto"/>
                <w:szCs w:val="21"/>
                <w:highlight w:val="none"/>
              </w:rPr>
              <w:t>本项目采用价税分离的报价方式。</w:t>
            </w:r>
          </w:p>
          <w:p w14:paraId="1C12FD1E">
            <w:pPr>
              <w:keepNext w:val="0"/>
              <w:keepLines w:val="0"/>
              <w:pageBreakBefore w:val="0"/>
              <w:widowControl w:val="0"/>
              <w:numPr>
                <w:ilvl w:val="0"/>
                <w:numId w:val="0"/>
              </w:numPr>
              <w:kinsoku/>
              <w:wordWrap/>
              <w:overflowPunct/>
              <w:topLinePunct w:val="0"/>
              <w:bidi w:val="0"/>
              <w:adjustRightInd/>
              <w:snapToGrid/>
              <w:spacing w:line="360" w:lineRule="auto"/>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2.</w:t>
            </w:r>
            <w:r>
              <w:rPr>
                <w:rFonts w:hint="eastAsia" w:ascii="宋体" w:hAnsi="宋体"/>
                <w:b/>
                <w:color w:val="auto"/>
                <w:szCs w:val="21"/>
                <w:highlight w:val="none"/>
              </w:rPr>
              <w:t>本项目谈判</w:t>
            </w:r>
            <w:r>
              <w:rPr>
                <w:rFonts w:hint="eastAsia" w:ascii="宋体" w:hAnsi="宋体"/>
                <w:b/>
                <w:color w:val="auto"/>
                <w:szCs w:val="21"/>
                <w:highlight w:val="none"/>
                <w:lang w:val="en-US" w:eastAsia="zh-CN"/>
              </w:rPr>
              <w:t>含税</w:t>
            </w:r>
            <w:r>
              <w:rPr>
                <w:rFonts w:hint="eastAsia" w:ascii="宋体" w:hAnsi="宋体"/>
                <w:b/>
                <w:color w:val="auto"/>
                <w:szCs w:val="21"/>
                <w:highlight w:val="none"/>
              </w:rPr>
              <w:t>报价不得超过最高限价（含税）。</w:t>
            </w:r>
            <w:r>
              <w:rPr>
                <w:rFonts w:hint="eastAsia" w:ascii="宋体" w:hAnsi="宋体"/>
                <w:color w:val="auto"/>
                <w:szCs w:val="21"/>
                <w:highlight w:val="none"/>
              </w:rPr>
              <w:t>若谈判</w:t>
            </w:r>
            <w:r>
              <w:rPr>
                <w:rFonts w:hint="eastAsia" w:ascii="宋体" w:hAnsi="宋体"/>
                <w:color w:val="auto"/>
                <w:szCs w:val="21"/>
                <w:highlight w:val="none"/>
                <w:lang w:val="en-US" w:eastAsia="zh-CN"/>
              </w:rPr>
              <w:t>含税</w:t>
            </w:r>
            <w:r>
              <w:rPr>
                <w:rFonts w:hint="eastAsia" w:ascii="宋体" w:hAnsi="宋体"/>
                <w:color w:val="auto"/>
                <w:szCs w:val="21"/>
                <w:highlight w:val="none"/>
              </w:rPr>
              <w:t>报价超过谈判最高限价（含税）的，或谈判小组按竞争性谈判文件的要求对谈判</w:t>
            </w:r>
            <w:r>
              <w:rPr>
                <w:rFonts w:hint="eastAsia" w:ascii="宋体" w:hAnsi="宋体"/>
                <w:color w:val="auto"/>
                <w:szCs w:val="21"/>
                <w:highlight w:val="none"/>
                <w:lang w:val="en-US" w:eastAsia="zh-CN"/>
              </w:rPr>
              <w:t>含税</w:t>
            </w:r>
            <w:r>
              <w:rPr>
                <w:rFonts w:hint="eastAsia" w:ascii="宋体" w:hAnsi="宋体"/>
                <w:color w:val="auto"/>
                <w:szCs w:val="21"/>
                <w:highlight w:val="none"/>
              </w:rPr>
              <w:t>报价进行修正后的修正价格超过谈判最高限价（含税）的，将作否决谈判处理。</w:t>
            </w:r>
          </w:p>
          <w:p w14:paraId="65F830FC">
            <w:pPr>
              <w:keepNext w:val="0"/>
              <w:keepLines w:val="0"/>
              <w:pageBreakBefore w:val="0"/>
              <w:widowControl w:val="0"/>
              <w:numPr>
                <w:ilvl w:val="0"/>
                <w:numId w:val="0"/>
              </w:numPr>
              <w:kinsoku/>
              <w:wordWrap/>
              <w:overflowPunct/>
              <w:topLinePunct w:val="0"/>
              <w:bidi w:val="0"/>
              <w:adjustRightInd/>
              <w:snapToGrid/>
              <w:spacing w:line="360" w:lineRule="auto"/>
              <w:ind w:left="420" w:leftChars="0" w:hanging="420" w:firstLineChars="0"/>
              <w:textAlignment w:val="auto"/>
              <w:rPr>
                <w:rFonts w:ascii="宋体" w:hAnsi="宋体"/>
                <w:color w:val="auto"/>
                <w:szCs w:val="21"/>
                <w:highlight w:val="none"/>
              </w:rPr>
            </w:pPr>
            <w:r>
              <w:rPr>
                <w:rFonts w:ascii="宋体" w:hAnsi="宋体" w:eastAsia="宋体" w:cs="Times New Roman"/>
                <w:color w:val="auto"/>
                <w:kern w:val="2"/>
                <w:sz w:val="21"/>
                <w:szCs w:val="21"/>
                <w:highlight w:val="none"/>
                <w:lang w:val="en-US" w:eastAsia="zh-CN" w:bidi="ar-SA"/>
              </w:rPr>
              <w:t>3.</w:t>
            </w:r>
            <w:r>
              <w:rPr>
                <w:rFonts w:hint="eastAsia" w:ascii="宋体" w:hAnsi="宋体"/>
                <w:color w:val="auto"/>
                <w:szCs w:val="21"/>
                <w:highlight w:val="none"/>
              </w:rPr>
              <w:t>谈判</w:t>
            </w:r>
            <w:r>
              <w:rPr>
                <w:rFonts w:hint="eastAsia" w:ascii="宋体" w:hAnsi="宋体"/>
                <w:color w:val="auto"/>
                <w:szCs w:val="21"/>
                <w:highlight w:val="none"/>
                <w:lang w:val="en-US" w:eastAsia="zh-CN"/>
              </w:rPr>
              <w:t>含税</w:t>
            </w:r>
            <w:r>
              <w:rPr>
                <w:rFonts w:hint="eastAsia" w:ascii="宋体" w:hAnsi="宋体"/>
                <w:color w:val="auto"/>
                <w:szCs w:val="21"/>
                <w:highlight w:val="none"/>
              </w:rPr>
              <w:t>报价应包括所有材料、人工、利润及相关税费等所有费用。</w:t>
            </w:r>
          </w:p>
        </w:tc>
      </w:tr>
      <w:tr w14:paraId="165D8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11290EBF">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color w:val="auto"/>
                <w:szCs w:val="21"/>
                <w:highlight w:val="none"/>
              </w:rPr>
              <w:t>3.</w:t>
            </w:r>
            <w:r>
              <w:rPr>
                <w:rFonts w:hint="eastAsia"/>
                <w:color w:val="auto"/>
                <w:szCs w:val="21"/>
                <w:highlight w:val="none"/>
              </w:rPr>
              <w:t>4.1</w:t>
            </w:r>
          </w:p>
        </w:tc>
        <w:tc>
          <w:tcPr>
            <w:tcW w:w="1843" w:type="dxa"/>
            <w:vAlign w:val="center"/>
          </w:tcPr>
          <w:p w14:paraId="749FDA93">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ascii="宋体" w:hAnsi="宋体" w:cs="宋体"/>
                <w:color w:val="auto"/>
                <w:szCs w:val="21"/>
                <w:highlight w:val="none"/>
              </w:rPr>
              <w:t>谈判</w:t>
            </w:r>
            <w:r>
              <w:rPr>
                <w:color w:val="auto"/>
                <w:szCs w:val="21"/>
                <w:highlight w:val="none"/>
              </w:rPr>
              <w:t>有效期</w:t>
            </w:r>
          </w:p>
        </w:tc>
        <w:tc>
          <w:tcPr>
            <w:tcW w:w="6095" w:type="dxa"/>
            <w:vAlign w:val="center"/>
          </w:tcPr>
          <w:p w14:paraId="3AC064AD">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rFonts w:hint="eastAsia" w:ascii="宋体" w:hAnsi="宋体" w:cs="宋体"/>
                <w:color w:val="auto"/>
                <w:szCs w:val="21"/>
                <w:highlight w:val="none"/>
              </w:rPr>
              <w:t>谈判有效期：</w:t>
            </w:r>
            <w:r>
              <w:rPr>
                <w:rFonts w:hint="eastAsia" w:ascii="宋体" w:hAnsi="宋体" w:cs="宋体"/>
                <w:color w:val="auto"/>
                <w:szCs w:val="21"/>
                <w:highlight w:val="none"/>
                <w:u w:val="single"/>
                <w:lang w:val="en-US" w:eastAsia="zh-CN"/>
              </w:rPr>
              <w:t>90</w:t>
            </w:r>
            <w:r>
              <w:rPr>
                <w:rFonts w:hint="eastAsia" w:ascii="宋体" w:hAnsi="宋体" w:cs="宋体"/>
                <w:color w:val="auto"/>
                <w:szCs w:val="21"/>
                <w:highlight w:val="none"/>
              </w:rPr>
              <w:t>天。</w:t>
            </w:r>
          </w:p>
        </w:tc>
      </w:tr>
      <w:tr w14:paraId="00B16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005E3D3A">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color w:val="auto"/>
                <w:szCs w:val="21"/>
                <w:highlight w:val="none"/>
              </w:rPr>
              <w:t>3.</w:t>
            </w:r>
            <w:r>
              <w:rPr>
                <w:rFonts w:hint="eastAsia"/>
                <w:color w:val="auto"/>
                <w:szCs w:val="21"/>
                <w:highlight w:val="none"/>
              </w:rPr>
              <w:t>5</w:t>
            </w:r>
            <w:r>
              <w:rPr>
                <w:color w:val="auto"/>
                <w:szCs w:val="21"/>
                <w:highlight w:val="none"/>
              </w:rPr>
              <w:t>.1</w:t>
            </w:r>
          </w:p>
        </w:tc>
        <w:tc>
          <w:tcPr>
            <w:tcW w:w="1843" w:type="dxa"/>
            <w:vAlign w:val="center"/>
          </w:tcPr>
          <w:p w14:paraId="3EF73ADB">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color w:val="auto"/>
                <w:szCs w:val="21"/>
                <w:highlight w:val="none"/>
              </w:rPr>
              <w:t>谈判保证金</w:t>
            </w:r>
            <w:r>
              <w:rPr>
                <w:rFonts w:hint="eastAsia"/>
                <w:color w:val="auto"/>
                <w:szCs w:val="21"/>
                <w:highlight w:val="none"/>
              </w:rPr>
              <w:t>金额</w:t>
            </w:r>
          </w:p>
        </w:tc>
        <w:tc>
          <w:tcPr>
            <w:tcW w:w="6095" w:type="dxa"/>
            <w:vAlign w:val="center"/>
          </w:tcPr>
          <w:p w14:paraId="11DB1E40">
            <w:pPr>
              <w:keepNext w:val="0"/>
              <w:keepLines w:val="0"/>
              <w:pageBreakBefore w:val="0"/>
              <w:widowControl w:val="0"/>
              <w:kinsoku/>
              <w:wordWrap/>
              <w:overflowPunct/>
              <w:topLinePunct w:val="0"/>
              <w:bidi w:val="0"/>
              <w:adjustRightInd/>
              <w:snapToGrid/>
              <w:spacing w:line="360" w:lineRule="auto"/>
              <w:textAlignment w:val="auto"/>
              <w:rPr>
                <w:rFonts w:hint="default"/>
                <w:color w:val="auto"/>
                <w:szCs w:val="21"/>
                <w:highlight w:val="none"/>
                <w:lang w:val="en-US"/>
              </w:rPr>
            </w:pPr>
            <w:r>
              <w:rPr>
                <w:rFonts w:hint="eastAsia" w:ascii="宋体" w:hAnsi="宋体" w:cs="宋体"/>
                <w:color w:val="auto"/>
                <w:szCs w:val="21"/>
                <w:highlight w:val="none"/>
              </w:rPr>
              <w:t>谈判保证金金额：</w:t>
            </w:r>
            <w:r>
              <w:rPr>
                <w:rFonts w:hint="eastAsia" w:ascii="宋体" w:hAnsi="宋体"/>
                <w:color w:val="auto"/>
                <w:highlight w:val="none"/>
                <w:u w:val="single"/>
                <w:lang w:val="en-US" w:eastAsia="zh-CN"/>
              </w:rPr>
              <w:t>20000.00元</w:t>
            </w:r>
          </w:p>
        </w:tc>
      </w:tr>
      <w:tr w14:paraId="67010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5" w:hRule="atLeast"/>
        </w:trPr>
        <w:tc>
          <w:tcPr>
            <w:tcW w:w="993" w:type="dxa"/>
            <w:vAlign w:val="center"/>
          </w:tcPr>
          <w:p w14:paraId="3B3834A7">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3.5.2</w:t>
            </w:r>
          </w:p>
        </w:tc>
        <w:tc>
          <w:tcPr>
            <w:tcW w:w="1843" w:type="dxa"/>
            <w:vAlign w:val="center"/>
          </w:tcPr>
          <w:p w14:paraId="2E347660">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color w:val="auto"/>
                <w:szCs w:val="21"/>
                <w:highlight w:val="none"/>
              </w:rPr>
              <w:t>谈判保证金形式</w:t>
            </w:r>
          </w:p>
        </w:tc>
        <w:tc>
          <w:tcPr>
            <w:tcW w:w="6095" w:type="dxa"/>
            <w:vAlign w:val="center"/>
          </w:tcPr>
          <w:p w14:paraId="01FAFB28">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color w:val="auto"/>
                <w:szCs w:val="21"/>
                <w:highlight w:val="none"/>
              </w:rPr>
              <w:t>1</w:t>
            </w:r>
            <w:r>
              <w:rPr>
                <w:rFonts w:hint="eastAsia"/>
                <w:color w:val="auto"/>
                <w:szCs w:val="21"/>
                <w:highlight w:val="none"/>
              </w:rPr>
              <w:t>.谈判保证金的形式：银行转账或电汇。</w:t>
            </w:r>
          </w:p>
          <w:p w14:paraId="7402777B">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color w:val="auto"/>
                <w:szCs w:val="21"/>
                <w:highlight w:val="none"/>
              </w:rPr>
              <w:t>2</w:t>
            </w:r>
            <w:r>
              <w:rPr>
                <w:rFonts w:hint="eastAsia"/>
                <w:color w:val="auto"/>
                <w:szCs w:val="21"/>
                <w:highlight w:val="none"/>
              </w:rPr>
              <w:t>.响应文件中须提供谈判保证金缴纳凭证复印件。唱标同时将公开展示谈判保证金凭证。</w:t>
            </w:r>
          </w:p>
          <w:p w14:paraId="6D64AF11">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rFonts w:hint="eastAsia"/>
                <w:color w:val="auto"/>
                <w:szCs w:val="21"/>
                <w:highlight w:val="none"/>
              </w:rPr>
              <w:t>3.谈判保证金有效期与谈判有效期一致。</w:t>
            </w:r>
          </w:p>
          <w:p w14:paraId="32CB525B">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rFonts w:hint="eastAsia"/>
                <w:color w:val="auto"/>
                <w:szCs w:val="21"/>
                <w:highlight w:val="none"/>
              </w:rPr>
              <w:t>4.提交谈判保证金帐户信息：</w:t>
            </w:r>
          </w:p>
          <w:p w14:paraId="0B7AB52B">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Cs w:val="21"/>
                <w:highlight w:val="none"/>
              </w:rPr>
            </w:pPr>
            <w:r>
              <w:rPr>
                <w:rFonts w:hint="eastAsia"/>
                <w:color w:val="auto"/>
                <w:szCs w:val="21"/>
                <w:highlight w:val="none"/>
              </w:rPr>
              <w:t xml:space="preserve">开户名：东莞迎宾馆酒店有限公司 </w:t>
            </w:r>
          </w:p>
          <w:p w14:paraId="69235D5A">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Cs w:val="21"/>
                <w:highlight w:val="none"/>
              </w:rPr>
            </w:pPr>
            <w:r>
              <w:rPr>
                <w:rFonts w:hint="eastAsia"/>
                <w:color w:val="auto"/>
                <w:szCs w:val="21"/>
                <w:highlight w:val="none"/>
              </w:rPr>
              <w:t>开户银行：东莞银行东莞分行营业部</w:t>
            </w:r>
          </w:p>
          <w:p w14:paraId="778C9919">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Cs w:val="21"/>
                <w:highlight w:val="none"/>
              </w:rPr>
            </w:pPr>
            <w:r>
              <w:rPr>
                <w:rFonts w:hint="eastAsia"/>
                <w:color w:val="auto"/>
                <w:szCs w:val="21"/>
                <w:highlight w:val="none"/>
              </w:rPr>
              <w:t>账号：</w:t>
            </w:r>
            <w:r>
              <w:rPr>
                <w:rFonts w:hint="eastAsia"/>
                <w:color w:val="auto"/>
                <w:highlight w:val="none"/>
              </w:rPr>
              <w:t>540008801001488</w:t>
            </w:r>
          </w:p>
        </w:tc>
      </w:tr>
      <w:tr w14:paraId="23A92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2B8A9D6">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color w:val="auto"/>
                <w:szCs w:val="21"/>
                <w:highlight w:val="none"/>
              </w:rPr>
              <w:t>3.</w:t>
            </w:r>
            <w:r>
              <w:rPr>
                <w:rFonts w:hint="eastAsia"/>
                <w:color w:val="auto"/>
                <w:szCs w:val="21"/>
                <w:highlight w:val="none"/>
              </w:rPr>
              <w:t>6</w:t>
            </w:r>
            <w:r>
              <w:rPr>
                <w:color w:val="auto"/>
                <w:szCs w:val="21"/>
                <w:highlight w:val="none"/>
              </w:rPr>
              <w:t>.</w:t>
            </w:r>
            <w:r>
              <w:rPr>
                <w:rFonts w:hint="eastAsia"/>
                <w:color w:val="auto"/>
                <w:szCs w:val="21"/>
                <w:highlight w:val="none"/>
              </w:rPr>
              <w:t>1</w:t>
            </w:r>
          </w:p>
        </w:tc>
        <w:tc>
          <w:tcPr>
            <w:tcW w:w="1843" w:type="dxa"/>
            <w:vAlign w:val="center"/>
          </w:tcPr>
          <w:p w14:paraId="36971F74">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color w:val="auto"/>
                <w:szCs w:val="21"/>
                <w:highlight w:val="none"/>
              </w:rPr>
              <w:t>响应文件份数</w:t>
            </w:r>
          </w:p>
        </w:tc>
        <w:tc>
          <w:tcPr>
            <w:tcW w:w="6095" w:type="dxa"/>
            <w:vAlign w:val="center"/>
          </w:tcPr>
          <w:p w14:paraId="37D2186F">
            <w:pPr>
              <w:keepNext w:val="0"/>
              <w:keepLines w:val="0"/>
              <w:pageBreakBefore w:val="0"/>
              <w:widowControl w:val="0"/>
              <w:kinsoku/>
              <w:wordWrap/>
              <w:overflowPunct/>
              <w:topLinePunct w:val="0"/>
              <w:bidi w:val="0"/>
              <w:adjustRightInd/>
              <w:snapToGrid/>
              <w:spacing w:line="360" w:lineRule="auto"/>
              <w:textAlignment w:val="auto"/>
              <w:rPr>
                <w:rFonts w:hAnsi="宋体" w:cs="宋体"/>
                <w:b/>
                <w:color w:val="auto"/>
                <w:szCs w:val="21"/>
                <w:highlight w:val="none"/>
              </w:rPr>
            </w:pPr>
            <w:r>
              <w:rPr>
                <w:rFonts w:hint="eastAsia" w:hAnsi="宋体" w:cs="宋体"/>
                <w:b/>
                <w:color w:val="auto"/>
                <w:szCs w:val="21"/>
                <w:highlight w:val="none"/>
              </w:rPr>
              <w:t>正本</w:t>
            </w:r>
            <w:r>
              <w:rPr>
                <w:rFonts w:hint="eastAsia" w:hAnsi="宋体" w:cs="宋体"/>
                <w:b/>
                <w:color w:val="auto"/>
                <w:szCs w:val="21"/>
                <w:highlight w:val="none"/>
                <w:u w:val="single"/>
              </w:rPr>
              <w:t>1</w:t>
            </w:r>
            <w:r>
              <w:rPr>
                <w:rFonts w:hint="eastAsia" w:hAnsi="宋体" w:cs="宋体"/>
                <w:b/>
                <w:color w:val="auto"/>
                <w:szCs w:val="21"/>
                <w:highlight w:val="none"/>
              </w:rPr>
              <w:t>份、副本</w:t>
            </w:r>
            <w:r>
              <w:rPr>
                <w:rFonts w:hint="eastAsia" w:hAnsi="宋体" w:cs="宋体"/>
                <w:b/>
                <w:color w:val="auto"/>
                <w:szCs w:val="21"/>
                <w:highlight w:val="none"/>
                <w:u w:val="single"/>
              </w:rPr>
              <w:t>2</w:t>
            </w:r>
            <w:r>
              <w:rPr>
                <w:rFonts w:hint="eastAsia" w:hAnsi="宋体" w:cs="宋体"/>
                <w:b/>
                <w:color w:val="auto"/>
                <w:szCs w:val="21"/>
                <w:highlight w:val="none"/>
              </w:rPr>
              <w:t>份，唱标信封</w:t>
            </w:r>
            <w:r>
              <w:rPr>
                <w:rFonts w:hint="eastAsia" w:hAnsi="宋体" w:cs="宋体"/>
                <w:b/>
                <w:color w:val="auto"/>
                <w:szCs w:val="21"/>
                <w:highlight w:val="none"/>
                <w:u w:val="single"/>
              </w:rPr>
              <w:t>1</w:t>
            </w:r>
            <w:r>
              <w:rPr>
                <w:rFonts w:hint="eastAsia" w:hAnsi="宋体" w:cs="宋体"/>
                <w:b/>
                <w:color w:val="auto"/>
                <w:szCs w:val="21"/>
                <w:highlight w:val="none"/>
              </w:rPr>
              <w:t>份。</w:t>
            </w:r>
          </w:p>
        </w:tc>
      </w:tr>
      <w:tr w14:paraId="1011A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087D6B9">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color w:val="auto"/>
                <w:szCs w:val="21"/>
                <w:highlight w:val="none"/>
              </w:rPr>
              <w:t>3.</w:t>
            </w:r>
            <w:r>
              <w:rPr>
                <w:rFonts w:hint="eastAsia"/>
                <w:color w:val="auto"/>
                <w:szCs w:val="21"/>
                <w:highlight w:val="none"/>
              </w:rPr>
              <w:t>6</w:t>
            </w:r>
            <w:r>
              <w:rPr>
                <w:color w:val="auto"/>
                <w:szCs w:val="21"/>
                <w:highlight w:val="none"/>
              </w:rPr>
              <w:t>.</w:t>
            </w:r>
            <w:r>
              <w:rPr>
                <w:rFonts w:hint="eastAsia"/>
                <w:color w:val="auto"/>
                <w:szCs w:val="21"/>
                <w:highlight w:val="none"/>
              </w:rPr>
              <w:t>6</w:t>
            </w:r>
          </w:p>
        </w:tc>
        <w:tc>
          <w:tcPr>
            <w:tcW w:w="1843" w:type="dxa"/>
            <w:vAlign w:val="center"/>
          </w:tcPr>
          <w:p w14:paraId="69B7E1BE">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响应文件的密封和标记要求</w:t>
            </w:r>
          </w:p>
        </w:tc>
        <w:tc>
          <w:tcPr>
            <w:tcW w:w="6095" w:type="dxa"/>
            <w:vAlign w:val="center"/>
          </w:tcPr>
          <w:p w14:paraId="766FA05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本条款增加规定：</w:t>
            </w:r>
          </w:p>
          <w:p w14:paraId="31EA6E30">
            <w:pPr>
              <w:keepNext w:val="0"/>
              <w:keepLines w:val="0"/>
              <w:pageBreakBefore w:val="0"/>
              <w:widowControl w:val="0"/>
              <w:kinsoku/>
              <w:wordWrap/>
              <w:overflowPunct/>
              <w:topLinePunct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1）商务技术响应文件、经济响应文件应分别装订，密封后，加贴封条，在封口处加盖骑缝章</w:t>
            </w:r>
            <w:r>
              <w:rPr>
                <w:rFonts w:hint="eastAsia"/>
                <w:color w:val="auto"/>
                <w:szCs w:val="21"/>
                <w:highlight w:val="none"/>
              </w:rPr>
              <w:t>或者由响应人的法定代表人</w:t>
            </w:r>
            <w:r>
              <w:rPr>
                <w:rFonts w:hint="eastAsia"/>
                <w:color w:val="auto"/>
                <w:szCs w:val="21"/>
                <w:highlight w:val="none"/>
                <w:lang w:eastAsia="zh-CN"/>
              </w:rPr>
              <w:t>（</w:t>
            </w:r>
            <w:r>
              <w:rPr>
                <w:rFonts w:hint="eastAsia"/>
                <w:color w:val="auto"/>
                <w:szCs w:val="21"/>
                <w:highlight w:val="none"/>
              </w:rPr>
              <w:t>或其委托代理人</w:t>
            </w:r>
            <w:r>
              <w:rPr>
                <w:rFonts w:hint="eastAsia"/>
                <w:color w:val="auto"/>
                <w:szCs w:val="21"/>
                <w:highlight w:val="none"/>
                <w:lang w:eastAsia="zh-CN"/>
              </w:rPr>
              <w:t>）</w:t>
            </w:r>
            <w:r>
              <w:rPr>
                <w:rFonts w:hint="eastAsia"/>
                <w:color w:val="auto"/>
                <w:szCs w:val="21"/>
                <w:highlight w:val="none"/>
              </w:rPr>
              <w:t>签字</w:t>
            </w:r>
            <w:r>
              <w:rPr>
                <w:rFonts w:hint="eastAsia"/>
                <w:color w:val="auto"/>
                <w:szCs w:val="21"/>
                <w:highlight w:val="none"/>
                <w:lang w:val="en-US" w:eastAsia="zh-CN"/>
              </w:rPr>
              <w:t>或盖章</w:t>
            </w:r>
            <w:r>
              <w:rPr>
                <w:rFonts w:hint="eastAsia" w:ascii="宋体" w:hAnsi="宋体" w:cs="宋体"/>
                <w:color w:val="auto"/>
                <w:szCs w:val="21"/>
                <w:highlight w:val="none"/>
              </w:rPr>
              <w:t>。</w:t>
            </w:r>
          </w:p>
          <w:p w14:paraId="20D0525F">
            <w:pPr>
              <w:keepNext w:val="0"/>
              <w:keepLines w:val="0"/>
              <w:pageBreakBefore w:val="0"/>
              <w:widowControl w:val="0"/>
              <w:kinsoku/>
              <w:wordWrap/>
              <w:overflowPunct/>
              <w:topLinePunct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2）商务技术竞争性谈判响应文件里不能含有任何有关谈判报价信息。</w:t>
            </w:r>
          </w:p>
          <w:p w14:paraId="38DF955C">
            <w:pPr>
              <w:keepNext w:val="0"/>
              <w:keepLines w:val="0"/>
              <w:pageBreakBefore w:val="0"/>
              <w:widowControl w:val="0"/>
              <w:kinsoku/>
              <w:wordWrap/>
              <w:overflowPunct/>
              <w:topLinePunct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szCs w:val="21"/>
                <w:highlight w:val="none"/>
              </w:rPr>
              <w:t>3）响应文件</w:t>
            </w:r>
            <w:r>
              <w:rPr>
                <w:rFonts w:hint="eastAsia"/>
                <w:color w:val="auto"/>
                <w:szCs w:val="21"/>
                <w:highlight w:val="none"/>
              </w:rPr>
              <w:t>外层包封</w:t>
            </w:r>
            <w:r>
              <w:rPr>
                <w:rFonts w:hint="eastAsia" w:ascii="宋体" w:hAnsi="宋体" w:cs="宋体"/>
                <w:color w:val="auto"/>
                <w:szCs w:val="21"/>
                <w:highlight w:val="none"/>
              </w:rPr>
              <w:t>上应写明的内容如下：</w:t>
            </w:r>
          </w:p>
          <w:p w14:paraId="7645F2F7">
            <w:pPr>
              <w:keepNext w:val="0"/>
              <w:keepLines w:val="0"/>
              <w:pageBreakBefore w:val="0"/>
              <w:widowControl w:val="0"/>
              <w:kinsoku/>
              <w:wordWrap/>
              <w:overflowPunct/>
              <w:topLinePunct w:val="0"/>
              <w:bidi w:val="0"/>
              <w:adjustRightInd/>
              <w:snapToGrid/>
              <w:spacing w:line="360" w:lineRule="auto"/>
              <w:textAlignment w:val="auto"/>
              <w:rPr>
                <w:rFonts w:ascii="宋体" w:hAnsi="宋体"/>
                <w:b/>
                <w:color w:val="auto"/>
                <w:szCs w:val="21"/>
                <w:highlight w:val="none"/>
              </w:rPr>
            </w:pPr>
            <w:r>
              <w:rPr>
                <w:rFonts w:hint="eastAsia" w:ascii="宋体" w:hAnsi="宋体"/>
                <w:b/>
                <w:color w:val="auto"/>
                <w:szCs w:val="21"/>
                <w:highlight w:val="none"/>
              </w:rPr>
              <w:t>采购人名称：</w:t>
            </w:r>
            <w:r>
              <w:rPr>
                <w:rFonts w:hint="eastAsia" w:ascii="宋体" w:hAnsi="宋体"/>
                <w:b w:val="0"/>
                <w:bCs/>
                <w:color w:val="auto"/>
                <w:szCs w:val="21"/>
                <w:highlight w:val="none"/>
                <w:lang w:eastAsia="zh-CN"/>
              </w:rPr>
              <w:t>东莞迎宾馆酒店有限公司松山湖分公司</w:t>
            </w:r>
            <w:r>
              <w:rPr>
                <w:rFonts w:hint="eastAsia" w:ascii="宋体" w:hAnsi="宋体"/>
                <w:b/>
                <w:color w:val="auto"/>
                <w:szCs w:val="21"/>
                <w:highlight w:val="none"/>
              </w:rPr>
              <w:t xml:space="preserve"> </w:t>
            </w:r>
          </w:p>
          <w:p w14:paraId="13B4BCB3">
            <w:pPr>
              <w:keepNext w:val="0"/>
              <w:keepLines w:val="0"/>
              <w:pageBreakBefore w:val="0"/>
              <w:widowControl w:val="0"/>
              <w:kinsoku/>
              <w:wordWrap/>
              <w:overflowPunct/>
              <w:topLinePunct w:val="0"/>
              <w:bidi w:val="0"/>
              <w:adjustRightInd/>
              <w:snapToGrid/>
              <w:spacing w:line="360" w:lineRule="auto"/>
              <w:textAlignment w:val="auto"/>
              <w:rPr>
                <w:rFonts w:hint="eastAsia" w:ascii="宋体" w:hAnsi="宋体" w:eastAsia="宋体"/>
                <w:b/>
                <w:color w:val="auto"/>
                <w:szCs w:val="21"/>
                <w:highlight w:val="none"/>
                <w:lang w:eastAsia="zh-CN"/>
              </w:rPr>
            </w:pPr>
            <w:r>
              <w:rPr>
                <w:rFonts w:hint="eastAsia" w:ascii="宋体" w:hAnsi="宋体"/>
                <w:b/>
                <w:color w:val="auto"/>
                <w:szCs w:val="21"/>
                <w:highlight w:val="none"/>
              </w:rPr>
              <w:t>采购代理机构名称：</w:t>
            </w:r>
            <w:r>
              <w:rPr>
                <w:rFonts w:hint="eastAsia" w:ascii="宋体" w:hAnsi="宋体"/>
                <w:b w:val="0"/>
                <w:bCs/>
                <w:color w:val="auto"/>
                <w:szCs w:val="21"/>
                <w:highlight w:val="none"/>
                <w:lang w:eastAsia="zh-CN"/>
              </w:rPr>
              <w:t>建成工程咨询股份有限公司</w:t>
            </w:r>
          </w:p>
          <w:p w14:paraId="04252184">
            <w:pPr>
              <w:keepNext w:val="0"/>
              <w:keepLines w:val="0"/>
              <w:pageBreakBefore w:val="0"/>
              <w:widowControl w:val="0"/>
              <w:kinsoku/>
              <w:wordWrap/>
              <w:overflowPunct/>
              <w:topLinePunct w:val="0"/>
              <w:bidi w:val="0"/>
              <w:adjustRightInd/>
              <w:snapToGrid/>
              <w:spacing w:line="360" w:lineRule="auto"/>
              <w:textAlignment w:val="auto"/>
              <w:rPr>
                <w:rFonts w:hint="eastAsia" w:ascii="宋体" w:hAnsi="宋体" w:eastAsia="宋体"/>
                <w:b w:val="0"/>
                <w:bCs/>
                <w:color w:val="auto"/>
                <w:szCs w:val="21"/>
                <w:highlight w:val="none"/>
                <w:lang w:eastAsia="zh-CN"/>
              </w:rPr>
            </w:pPr>
            <w:r>
              <w:rPr>
                <w:rFonts w:hint="eastAsia" w:ascii="宋体" w:hAnsi="宋体"/>
                <w:b/>
                <w:color w:val="auto"/>
                <w:szCs w:val="21"/>
                <w:highlight w:val="none"/>
              </w:rPr>
              <w:t>递交响应文件地址：</w:t>
            </w:r>
            <w:r>
              <w:rPr>
                <w:rFonts w:hint="eastAsia" w:ascii="宋体" w:hAnsi="宋体"/>
                <w:b w:val="0"/>
                <w:bCs/>
                <w:color w:val="auto"/>
                <w:szCs w:val="21"/>
                <w:highlight w:val="none"/>
                <w:lang w:eastAsia="zh-CN"/>
              </w:rPr>
              <w:t>广东省东莞市南城街道西平宏伟三路39号联景商业大厦16层会议01室</w:t>
            </w:r>
          </w:p>
          <w:p w14:paraId="573EBDAD">
            <w:pPr>
              <w:keepNext w:val="0"/>
              <w:keepLines w:val="0"/>
              <w:pageBreakBefore w:val="0"/>
              <w:widowControl w:val="0"/>
              <w:kinsoku/>
              <w:wordWrap/>
              <w:overflowPunct/>
              <w:topLinePunct w:val="0"/>
              <w:bidi w:val="0"/>
              <w:adjustRightInd/>
              <w:snapToGrid/>
              <w:spacing w:line="360" w:lineRule="auto"/>
              <w:textAlignment w:val="auto"/>
              <w:rPr>
                <w:rFonts w:ascii="宋体" w:hAnsi="宋体"/>
                <w:b/>
                <w:color w:val="auto"/>
                <w:szCs w:val="21"/>
                <w:highlight w:val="none"/>
              </w:rPr>
            </w:pPr>
            <w:r>
              <w:rPr>
                <w:rFonts w:hint="eastAsia" w:ascii="宋体" w:hAnsi="宋体"/>
                <w:b/>
                <w:color w:val="auto"/>
                <w:szCs w:val="21"/>
                <w:highlight w:val="none"/>
                <w:u w:val="single"/>
                <w:lang w:eastAsia="zh-CN"/>
              </w:rPr>
              <w:t>大湾区大学学术交流中心室内改造项目—4层至19层楼顶排烟管道系统工程</w:t>
            </w:r>
            <w:r>
              <w:rPr>
                <w:rFonts w:hint="eastAsia" w:ascii="宋体" w:hAnsi="宋体"/>
                <w:b/>
                <w:color w:val="auto"/>
                <w:szCs w:val="21"/>
                <w:highlight w:val="none"/>
              </w:rPr>
              <w:t>响应文件</w:t>
            </w:r>
          </w:p>
          <w:p w14:paraId="0B113597">
            <w:pPr>
              <w:keepNext w:val="0"/>
              <w:keepLines w:val="0"/>
              <w:pageBreakBefore w:val="0"/>
              <w:widowControl w:val="0"/>
              <w:kinsoku/>
              <w:wordWrap/>
              <w:overflowPunct/>
              <w:topLinePunct w:val="0"/>
              <w:bidi w:val="0"/>
              <w:adjustRightInd/>
              <w:snapToGrid/>
              <w:spacing w:line="360" w:lineRule="auto"/>
              <w:textAlignment w:val="auto"/>
              <w:rPr>
                <w:rFonts w:ascii="宋体" w:hAnsi="宋体"/>
                <w:b/>
                <w:color w:val="auto"/>
                <w:szCs w:val="21"/>
                <w:highlight w:val="none"/>
              </w:rPr>
            </w:pPr>
            <w:r>
              <w:rPr>
                <w:rFonts w:hint="eastAsia" w:ascii="宋体" w:hAnsi="宋体"/>
                <w:b/>
                <w:color w:val="auto"/>
                <w:szCs w:val="21"/>
                <w:highlight w:val="none"/>
              </w:rPr>
              <w:t>响应人名称：</w:t>
            </w:r>
          </w:p>
          <w:p w14:paraId="1ED89F85">
            <w:pPr>
              <w:keepNext w:val="0"/>
              <w:keepLines w:val="0"/>
              <w:pageBreakBefore w:val="0"/>
              <w:widowControl w:val="0"/>
              <w:kinsoku/>
              <w:wordWrap/>
              <w:overflowPunct/>
              <w:topLinePunct w:val="0"/>
              <w:bidi w:val="0"/>
              <w:adjustRightInd/>
              <w:snapToGrid/>
              <w:spacing w:line="360" w:lineRule="auto"/>
              <w:textAlignment w:val="auto"/>
              <w:rPr>
                <w:rFonts w:ascii="宋体" w:hAnsi="宋体"/>
                <w:b/>
                <w:color w:val="auto"/>
                <w:szCs w:val="21"/>
                <w:highlight w:val="none"/>
              </w:rPr>
            </w:pPr>
            <w:r>
              <w:rPr>
                <w:rFonts w:hint="eastAsia" w:ascii="宋体" w:hAnsi="宋体"/>
                <w:b/>
                <w:color w:val="auto"/>
                <w:szCs w:val="21"/>
                <w:highlight w:val="none"/>
              </w:rPr>
              <w:t>联系人：</w:t>
            </w:r>
          </w:p>
          <w:p w14:paraId="48FAF2B0">
            <w:pPr>
              <w:keepNext w:val="0"/>
              <w:keepLines w:val="0"/>
              <w:pageBreakBefore w:val="0"/>
              <w:widowControl w:val="0"/>
              <w:kinsoku/>
              <w:wordWrap/>
              <w:overflowPunct/>
              <w:topLinePunct w:val="0"/>
              <w:bidi w:val="0"/>
              <w:adjustRightInd/>
              <w:snapToGrid/>
              <w:spacing w:line="360" w:lineRule="auto"/>
              <w:textAlignment w:val="auto"/>
              <w:rPr>
                <w:rFonts w:ascii="宋体" w:hAnsi="宋体"/>
                <w:b/>
                <w:color w:val="auto"/>
                <w:szCs w:val="21"/>
                <w:highlight w:val="none"/>
              </w:rPr>
            </w:pPr>
            <w:r>
              <w:rPr>
                <w:rFonts w:hint="eastAsia" w:ascii="宋体" w:hAnsi="宋体"/>
                <w:b/>
                <w:color w:val="auto"/>
                <w:szCs w:val="21"/>
                <w:highlight w:val="none"/>
              </w:rPr>
              <w:t>联系方式：</w:t>
            </w:r>
          </w:p>
          <w:p w14:paraId="31EBDBA5">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rFonts w:hint="eastAsia" w:ascii="宋体" w:hAnsi="宋体"/>
                <w:b/>
                <w:color w:val="auto"/>
                <w:szCs w:val="21"/>
                <w:highlight w:val="none"/>
              </w:rPr>
              <w:t>在</w:t>
            </w:r>
            <w:r>
              <w:rPr>
                <w:rFonts w:hint="eastAsia" w:ascii="宋体" w:hAnsi="宋体"/>
                <w:b/>
                <w:color w:val="auto"/>
                <w:szCs w:val="21"/>
                <w:highlight w:val="none"/>
                <w:u w:val="single"/>
              </w:rPr>
              <w:t xml:space="preserve">  </w:t>
            </w:r>
            <w:r>
              <w:rPr>
                <w:rFonts w:hint="eastAsia" w:ascii="宋体" w:hAnsi="宋体"/>
                <w:b/>
                <w:color w:val="auto"/>
                <w:szCs w:val="21"/>
                <w:highlight w:val="none"/>
              </w:rPr>
              <w:t>年</w:t>
            </w:r>
            <w:r>
              <w:rPr>
                <w:rFonts w:hint="eastAsia" w:ascii="宋体" w:hAnsi="宋体"/>
                <w:b/>
                <w:color w:val="auto"/>
                <w:szCs w:val="21"/>
                <w:highlight w:val="none"/>
                <w:u w:val="single"/>
              </w:rPr>
              <w:t xml:space="preserve">  </w:t>
            </w:r>
            <w:r>
              <w:rPr>
                <w:rFonts w:hint="eastAsia" w:ascii="宋体" w:hAnsi="宋体"/>
                <w:b/>
                <w:color w:val="auto"/>
                <w:szCs w:val="21"/>
                <w:highlight w:val="none"/>
              </w:rPr>
              <w:t>月</w:t>
            </w:r>
            <w:r>
              <w:rPr>
                <w:rFonts w:hint="eastAsia" w:ascii="宋体" w:hAnsi="宋体"/>
                <w:b/>
                <w:color w:val="auto"/>
                <w:szCs w:val="21"/>
                <w:highlight w:val="none"/>
                <w:u w:val="single"/>
              </w:rPr>
              <w:t xml:space="preserve">  </w:t>
            </w:r>
            <w:r>
              <w:rPr>
                <w:rFonts w:hint="eastAsia" w:ascii="宋体" w:hAnsi="宋体"/>
                <w:b/>
                <w:color w:val="auto"/>
                <w:szCs w:val="21"/>
                <w:highlight w:val="none"/>
              </w:rPr>
              <w:t>日</w:t>
            </w:r>
            <w:r>
              <w:rPr>
                <w:rFonts w:hint="eastAsia" w:ascii="宋体" w:hAnsi="宋体"/>
                <w:b/>
                <w:color w:val="auto"/>
                <w:szCs w:val="21"/>
                <w:highlight w:val="none"/>
                <w:u w:val="single"/>
              </w:rPr>
              <w:t xml:space="preserve">  </w:t>
            </w:r>
            <w:r>
              <w:rPr>
                <w:rFonts w:hint="eastAsia" w:ascii="宋体" w:hAnsi="宋体"/>
                <w:b/>
                <w:color w:val="auto"/>
                <w:szCs w:val="21"/>
                <w:highlight w:val="none"/>
              </w:rPr>
              <w:t>时</w:t>
            </w:r>
            <w:r>
              <w:rPr>
                <w:rFonts w:hint="eastAsia" w:ascii="宋体" w:hAnsi="宋体"/>
                <w:b/>
                <w:color w:val="auto"/>
                <w:szCs w:val="21"/>
                <w:highlight w:val="none"/>
                <w:u w:val="single"/>
              </w:rPr>
              <w:t xml:space="preserve">  </w:t>
            </w:r>
            <w:r>
              <w:rPr>
                <w:rFonts w:hint="eastAsia" w:ascii="宋体" w:hAnsi="宋体"/>
                <w:b/>
                <w:color w:val="auto"/>
                <w:szCs w:val="21"/>
                <w:highlight w:val="none"/>
              </w:rPr>
              <w:t>分前不得开启</w:t>
            </w:r>
          </w:p>
        </w:tc>
      </w:tr>
      <w:tr w14:paraId="3B7BB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DD610F4">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4.1.1</w:t>
            </w:r>
          </w:p>
        </w:tc>
        <w:tc>
          <w:tcPr>
            <w:tcW w:w="1843" w:type="dxa"/>
            <w:vAlign w:val="center"/>
          </w:tcPr>
          <w:p w14:paraId="05F2B82D">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hAnsi="宋体"/>
                <w:color w:val="auto"/>
                <w:szCs w:val="21"/>
                <w:highlight w:val="none"/>
              </w:rPr>
              <w:t>响应文件递交截止时间</w:t>
            </w:r>
          </w:p>
        </w:tc>
        <w:tc>
          <w:tcPr>
            <w:tcW w:w="6095" w:type="dxa"/>
            <w:vAlign w:val="center"/>
          </w:tcPr>
          <w:p w14:paraId="6507EE36">
            <w:pPr>
              <w:pStyle w:val="72"/>
              <w:keepNext w:val="0"/>
              <w:keepLines w:val="0"/>
              <w:pageBreakBefore w:val="0"/>
              <w:widowControl w:val="0"/>
              <w:kinsoku/>
              <w:wordWrap/>
              <w:overflowPunct/>
              <w:topLinePunct w:val="0"/>
              <w:bidi w:val="0"/>
              <w:adjustRightInd/>
              <w:snapToGrid/>
              <w:spacing w:line="360" w:lineRule="auto"/>
              <w:ind w:firstLine="0" w:firstLineChars="0"/>
              <w:textAlignment w:val="auto"/>
              <w:rPr>
                <w:rFonts w:hAnsi="宋体"/>
                <w:color w:val="auto"/>
                <w:szCs w:val="21"/>
                <w:highlight w:val="none"/>
              </w:rPr>
            </w:pPr>
            <w:r>
              <w:rPr>
                <w:rFonts w:hint="eastAsia" w:ascii="宋体" w:hAnsi="宋体" w:cs="宋体"/>
                <w:color w:val="auto"/>
                <w:szCs w:val="21"/>
                <w:highlight w:val="none"/>
              </w:rPr>
              <w:t>详见竞争性谈判公告</w:t>
            </w:r>
          </w:p>
        </w:tc>
      </w:tr>
      <w:tr w14:paraId="0F83B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497A6A59">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4.1.2</w:t>
            </w:r>
          </w:p>
        </w:tc>
        <w:tc>
          <w:tcPr>
            <w:tcW w:w="1843" w:type="dxa"/>
            <w:vAlign w:val="center"/>
          </w:tcPr>
          <w:p w14:paraId="2985C3F2">
            <w:pPr>
              <w:keepNext w:val="0"/>
              <w:keepLines w:val="0"/>
              <w:pageBreakBefore w:val="0"/>
              <w:widowControl w:val="0"/>
              <w:kinsoku/>
              <w:wordWrap/>
              <w:overflowPunct/>
              <w:topLinePunct w:val="0"/>
              <w:bidi w:val="0"/>
              <w:adjustRightInd/>
              <w:snapToGrid/>
              <w:spacing w:line="360" w:lineRule="auto"/>
              <w:jc w:val="left"/>
              <w:textAlignment w:val="auto"/>
              <w:rPr>
                <w:rFonts w:hAnsi="宋体"/>
                <w:color w:val="auto"/>
                <w:szCs w:val="21"/>
                <w:highlight w:val="none"/>
              </w:rPr>
            </w:pPr>
            <w:r>
              <w:rPr>
                <w:rFonts w:hint="eastAsia" w:hAnsi="宋体"/>
                <w:color w:val="auto"/>
                <w:szCs w:val="21"/>
                <w:highlight w:val="none"/>
              </w:rPr>
              <w:t>响应文件递交地点</w:t>
            </w:r>
          </w:p>
        </w:tc>
        <w:tc>
          <w:tcPr>
            <w:tcW w:w="6095" w:type="dxa"/>
            <w:vAlign w:val="center"/>
          </w:tcPr>
          <w:p w14:paraId="44A74A14">
            <w:pPr>
              <w:pStyle w:val="72"/>
              <w:keepNext w:val="0"/>
              <w:keepLines w:val="0"/>
              <w:pageBreakBefore w:val="0"/>
              <w:widowControl w:val="0"/>
              <w:kinsoku/>
              <w:wordWrap/>
              <w:overflowPunct/>
              <w:topLinePunct w:val="0"/>
              <w:bidi w:val="0"/>
              <w:adjustRightInd/>
              <w:snapToGrid/>
              <w:spacing w:line="360" w:lineRule="auto"/>
              <w:ind w:firstLine="0" w:firstLineChars="0"/>
              <w:textAlignment w:val="auto"/>
              <w:rPr>
                <w:rFonts w:ascii="宋体" w:hAnsi="宋体" w:cs="宋体"/>
                <w:color w:val="auto"/>
                <w:szCs w:val="21"/>
                <w:highlight w:val="none"/>
                <w:u w:val="single"/>
              </w:rPr>
            </w:pPr>
            <w:r>
              <w:rPr>
                <w:rFonts w:hint="eastAsia" w:ascii="宋体" w:hAnsi="宋体" w:cs="宋体"/>
                <w:color w:val="auto"/>
                <w:szCs w:val="21"/>
                <w:highlight w:val="none"/>
              </w:rPr>
              <w:t>详见竞争性谈判公告</w:t>
            </w:r>
          </w:p>
        </w:tc>
      </w:tr>
      <w:tr w14:paraId="795A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076F9553">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4.1.4</w:t>
            </w:r>
          </w:p>
        </w:tc>
        <w:tc>
          <w:tcPr>
            <w:tcW w:w="1843" w:type="dxa"/>
            <w:vAlign w:val="center"/>
          </w:tcPr>
          <w:p w14:paraId="542590B8">
            <w:pPr>
              <w:keepNext w:val="0"/>
              <w:keepLines w:val="0"/>
              <w:pageBreakBefore w:val="0"/>
              <w:widowControl w:val="0"/>
              <w:kinsoku/>
              <w:wordWrap/>
              <w:overflowPunct/>
              <w:topLinePunct w:val="0"/>
              <w:bidi w:val="0"/>
              <w:adjustRightInd/>
              <w:snapToGrid/>
              <w:spacing w:line="360" w:lineRule="auto"/>
              <w:jc w:val="left"/>
              <w:textAlignment w:val="auto"/>
              <w:rPr>
                <w:rFonts w:hAnsi="宋体"/>
                <w:color w:val="auto"/>
                <w:szCs w:val="21"/>
                <w:highlight w:val="none"/>
              </w:rPr>
            </w:pPr>
            <w:r>
              <w:rPr>
                <w:rFonts w:hint="eastAsia" w:hAnsi="宋体"/>
                <w:color w:val="auto"/>
                <w:szCs w:val="21"/>
                <w:highlight w:val="none"/>
              </w:rPr>
              <w:t>响应文件退还</w:t>
            </w:r>
          </w:p>
        </w:tc>
        <w:tc>
          <w:tcPr>
            <w:tcW w:w="6095" w:type="dxa"/>
            <w:vAlign w:val="center"/>
          </w:tcPr>
          <w:p w14:paraId="6C47FA5D">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u w:val="single"/>
              </w:rPr>
            </w:pPr>
            <w:r>
              <w:rPr>
                <w:rFonts w:hint="eastAsia" w:ascii="宋体" w:hAnsi="宋体" w:cs="宋体"/>
                <w:color w:val="auto"/>
                <w:szCs w:val="21"/>
                <w:highlight w:val="none"/>
              </w:rPr>
              <w:t>不退还</w:t>
            </w:r>
          </w:p>
        </w:tc>
      </w:tr>
      <w:tr w14:paraId="24EC9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14:paraId="59B8E0BB">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color w:val="auto"/>
                <w:szCs w:val="21"/>
                <w:highlight w:val="none"/>
              </w:rPr>
              <w:t>5.1</w:t>
            </w:r>
          </w:p>
        </w:tc>
        <w:tc>
          <w:tcPr>
            <w:tcW w:w="1843" w:type="dxa"/>
            <w:vAlign w:val="center"/>
          </w:tcPr>
          <w:p w14:paraId="6E2A08EE">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color w:val="auto"/>
                <w:szCs w:val="21"/>
                <w:highlight w:val="none"/>
              </w:rPr>
              <w:t>唱标时间和地点</w:t>
            </w:r>
          </w:p>
        </w:tc>
        <w:tc>
          <w:tcPr>
            <w:tcW w:w="6095" w:type="dxa"/>
            <w:vAlign w:val="center"/>
          </w:tcPr>
          <w:p w14:paraId="75E854AD">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rFonts w:hint="eastAsia" w:ascii="宋体" w:hAnsi="宋体" w:cs="宋体"/>
                <w:color w:val="auto"/>
                <w:szCs w:val="21"/>
                <w:highlight w:val="none"/>
              </w:rPr>
              <w:t>同响应文件递交截止时间和地点</w:t>
            </w:r>
          </w:p>
        </w:tc>
      </w:tr>
      <w:tr w14:paraId="68EA6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14:paraId="7F144701">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6.1.1</w:t>
            </w:r>
          </w:p>
        </w:tc>
        <w:tc>
          <w:tcPr>
            <w:tcW w:w="1843" w:type="dxa"/>
            <w:vAlign w:val="center"/>
          </w:tcPr>
          <w:p w14:paraId="075F904F">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color w:val="auto"/>
                <w:szCs w:val="21"/>
                <w:highlight w:val="none"/>
              </w:rPr>
              <w:t>谈判小组组成人数</w:t>
            </w:r>
          </w:p>
        </w:tc>
        <w:tc>
          <w:tcPr>
            <w:tcW w:w="6095" w:type="dxa"/>
            <w:vAlign w:val="center"/>
          </w:tcPr>
          <w:p w14:paraId="6A8B84BE">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rFonts w:hint="eastAsia" w:ascii="宋体" w:hAnsi="宋体" w:cs="宋体"/>
                <w:color w:val="auto"/>
                <w:szCs w:val="21"/>
                <w:highlight w:val="none"/>
              </w:rPr>
              <w:t>3人以上单数</w:t>
            </w:r>
          </w:p>
        </w:tc>
      </w:tr>
      <w:tr w14:paraId="07ACF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14:paraId="6DCA087C">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6.3</w:t>
            </w:r>
          </w:p>
        </w:tc>
        <w:tc>
          <w:tcPr>
            <w:tcW w:w="1843" w:type="dxa"/>
            <w:vAlign w:val="center"/>
          </w:tcPr>
          <w:p w14:paraId="0FE1CF1E">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color w:val="auto"/>
                <w:szCs w:val="21"/>
                <w:highlight w:val="none"/>
              </w:rPr>
              <w:t>评审方法</w:t>
            </w:r>
          </w:p>
        </w:tc>
        <w:tc>
          <w:tcPr>
            <w:tcW w:w="6095" w:type="dxa"/>
            <w:vAlign w:val="center"/>
          </w:tcPr>
          <w:p w14:paraId="15126C05">
            <w:pPr>
              <w:keepNext w:val="0"/>
              <w:keepLines w:val="0"/>
              <w:pageBreakBefore w:val="0"/>
              <w:widowControl w:val="0"/>
              <w:kinsoku/>
              <w:wordWrap/>
              <w:overflowPunct/>
              <w:topLinePunct w:val="0"/>
              <w:bidi w:val="0"/>
              <w:adjustRightInd/>
              <w:snapToGrid/>
              <w:spacing w:line="360" w:lineRule="auto"/>
              <w:textAlignment w:val="auto"/>
              <w:rPr>
                <w:rFonts w:ascii="宋体" w:hAnsi="宋体" w:cs="宋体"/>
                <w:color w:val="auto"/>
                <w:szCs w:val="21"/>
                <w:highlight w:val="none"/>
              </w:rPr>
            </w:pPr>
            <w:r>
              <w:rPr>
                <w:rFonts w:hint="eastAsia" w:ascii="宋体" w:hAnsi="宋体"/>
                <w:color w:val="auto"/>
                <w:szCs w:val="21"/>
                <w:highlight w:val="none"/>
              </w:rPr>
              <w:t>最低评标价法</w:t>
            </w:r>
          </w:p>
        </w:tc>
      </w:tr>
      <w:tr w14:paraId="0343F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14:paraId="024F527A">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6.4</w:t>
            </w:r>
          </w:p>
        </w:tc>
        <w:tc>
          <w:tcPr>
            <w:tcW w:w="1843" w:type="dxa"/>
            <w:vAlign w:val="center"/>
          </w:tcPr>
          <w:p w14:paraId="3BBA40DC">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推荐成交候选人原则</w:t>
            </w:r>
          </w:p>
        </w:tc>
        <w:tc>
          <w:tcPr>
            <w:tcW w:w="6095" w:type="dxa"/>
            <w:vAlign w:val="center"/>
          </w:tcPr>
          <w:p w14:paraId="256D608A">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s="宋体"/>
                <w:color w:val="auto"/>
                <w:kern w:val="0"/>
                <w:sz w:val="21"/>
                <w:szCs w:val="21"/>
                <w:highlight w:val="none"/>
              </w:rPr>
              <w:t>本项目推荐</w:t>
            </w:r>
            <w:r>
              <w:rPr>
                <w:rFonts w:hint="eastAsia" w:ascii="宋体" w:hAnsi="宋体" w:cs="宋体"/>
                <w:color w:val="auto"/>
                <w:kern w:val="0"/>
                <w:sz w:val="21"/>
                <w:szCs w:val="21"/>
                <w:highlight w:val="none"/>
                <w:lang w:val="en-US" w:eastAsia="zh-CN"/>
              </w:rPr>
              <w:t>3</w:t>
            </w:r>
            <w:r>
              <w:rPr>
                <w:rFonts w:hint="eastAsia" w:ascii="宋体" w:hAnsi="宋体" w:cs="宋体"/>
                <w:color w:val="auto"/>
                <w:kern w:val="0"/>
                <w:sz w:val="21"/>
                <w:szCs w:val="21"/>
                <w:highlight w:val="none"/>
              </w:rPr>
              <w:t>名成交候选人。</w:t>
            </w:r>
            <w:r>
              <w:rPr>
                <w:rFonts w:hint="eastAsia" w:ascii="宋体" w:hAnsi="宋体" w:cs="宋体"/>
                <w:color w:val="auto"/>
                <w:kern w:val="0"/>
                <w:highlight w:val="none"/>
              </w:rPr>
              <w:t>竞争性谈判以响应人最后一轮谈判的</w:t>
            </w:r>
            <w:r>
              <w:rPr>
                <w:rFonts w:hint="eastAsia" w:ascii="宋体" w:hAnsi="宋体" w:cs="宋体"/>
                <w:b/>
                <w:bCs/>
                <w:color w:val="auto"/>
                <w:kern w:val="0"/>
                <w:sz w:val="21"/>
                <w:szCs w:val="21"/>
                <w:highlight w:val="none"/>
              </w:rPr>
              <w:t>报价（不含税）</w:t>
            </w:r>
            <w:r>
              <w:rPr>
                <w:rFonts w:hint="eastAsia" w:ascii="宋体" w:hAnsi="宋体" w:cs="宋体"/>
                <w:color w:val="auto"/>
                <w:kern w:val="0"/>
                <w:highlight w:val="none"/>
              </w:rPr>
              <w:t>及承诺作为谈判小组向采购人推荐成交候选人的依据，谈判小组应当</w:t>
            </w:r>
            <w:r>
              <w:rPr>
                <w:rFonts w:hint="eastAsia"/>
                <w:color w:val="auto"/>
                <w:szCs w:val="21"/>
                <w:highlight w:val="none"/>
              </w:rPr>
              <w:t>根据符合采购需求、质量和服务相等且</w:t>
            </w:r>
            <w:r>
              <w:rPr>
                <w:rFonts w:hint="eastAsia"/>
                <w:b/>
                <w:bCs/>
                <w:color w:val="auto"/>
                <w:szCs w:val="21"/>
                <w:highlight w:val="none"/>
              </w:rPr>
              <w:t>报价（不含税）</w:t>
            </w:r>
            <w:r>
              <w:rPr>
                <w:rFonts w:hint="eastAsia" w:ascii="宋体" w:hAnsi="宋体" w:cs="Courier New"/>
                <w:color w:val="auto"/>
                <w:szCs w:val="21"/>
                <w:highlight w:val="none"/>
              </w:rPr>
              <w:t>最低的原则按顺序排列推荐成交侯选响应人</w:t>
            </w:r>
            <w:r>
              <w:rPr>
                <w:rFonts w:hint="eastAsia" w:ascii="宋体" w:hAnsi="宋体" w:cs="宋体"/>
                <w:color w:val="auto"/>
                <w:kern w:val="0"/>
                <w:highlight w:val="none"/>
              </w:rPr>
              <w:t>。如最低</w:t>
            </w:r>
            <w:r>
              <w:rPr>
                <w:rFonts w:hint="eastAsia" w:ascii="宋体" w:hAnsi="宋体" w:cs="宋体"/>
                <w:b/>
                <w:bCs/>
                <w:color w:val="auto"/>
                <w:kern w:val="0"/>
                <w:highlight w:val="none"/>
              </w:rPr>
              <w:t>报价（不含税）</w:t>
            </w:r>
            <w:r>
              <w:rPr>
                <w:rFonts w:hint="eastAsia" w:ascii="宋体" w:hAnsi="宋体" w:cs="宋体"/>
                <w:color w:val="auto"/>
                <w:kern w:val="0"/>
                <w:highlight w:val="none"/>
              </w:rPr>
              <w:t>相同，由谈判小组按技术指标优劣顺序排列。如果无法进行合理排序，则采用现场随机抽签方式确定。</w:t>
            </w:r>
          </w:p>
        </w:tc>
      </w:tr>
      <w:tr w14:paraId="6CF0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14:paraId="03855D0E">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7.1</w:t>
            </w:r>
          </w:p>
        </w:tc>
        <w:tc>
          <w:tcPr>
            <w:tcW w:w="1843" w:type="dxa"/>
            <w:vAlign w:val="center"/>
          </w:tcPr>
          <w:p w14:paraId="0F44A241">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Style w:val="85"/>
                <w:rFonts w:hint="eastAsia"/>
                <w:color w:val="auto"/>
                <w:szCs w:val="21"/>
                <w:highlight w:val="none"/>
              </w:rPr>
              <w:t>成交候选人公示媒介</w:t>
            </w:r>
          </w:p>
        </w:tc>
        <w:tc>
          <w:tcPr>
            <w:tcW w:w="6095" w:type="dxa"/>
            <w:vAlign w:val="center"/>
          </w:tcPr>
          <w:p w14:paraId="409D75A8">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kern w:val="0"/>
                <w:highlight w:val="none"/>
              </w:rPr>
            </w:pPr>
            <w:r>
              <w:rPr>
                <w:rFonts w:hint="eastAsia"/>
                <w:color w:val="auto"/>
                <w:highlight w:val="none"/>
                <w:u w:val="single"/>
              </w:rPr>
              <w:t>东莞实业投资控股集团有限公司网站</w:t>
            </w:r>
            <w:r>
              <w:rPr>
                <w:color w:val="auto"/>
                <w:highlight w:val="none"/>
                <w:u w:val="single"/>
              </w:rPr>
              <w:t>（</w:t>
            </w:r>
            <w:r>
              <w:rPr>
                <w:rFonts w:hint="eastAsia"/>
                <w:color w:val="auto"/>
                <w:highlight w:val="none"/>
                <w:u w:val="single"/>
              </w:rPr>
              <w:t>网址：http://www.dgsy.com.cn/</w:t>
            </w:r>
            <w:r>
              <w:rPr>
                <w:color w:val="auto"/>
                <w:highlight w:val="none"/>
                <w:u w:val="single"/>
              </w:rPr>
              <w:t>）</w:t>
            </w:r>
          </w:p>
        </w:tc>
      </w:tr>
      <w:tr w14:paraId="7CA63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14:paraId="7F9C84E3">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7.3.1</w:t>
            </w:r>
          </w:p>
        </w:tc>
        <w:tc>
          <w:tcPr>
            <w:tcW w:w="1843" w:type="dxa"/>
            <w:vAlign w:val="center"/>
          </w:tcPr>
          <w:p w14:paraId="7011729F">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成交人确定</w:t>
            </w:r>
          </w:p>
        </w:tc>
        <w:tc>
          <w:tcPr>
            <w:tcW w:w="6095" w:type="dxa"/>
            <w:vAlign w:val="center"/>
          </w:tcPr>
          <w:p w14:paraId="5864894F">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ascii="宋体" w:hAnsi="宋体"/>
                <w:color w:val="auto"/>
                <w:szCs w:val="21"/>
                <w:highlight w:val="none"/>
              </w:rPr>
              <w:t>□</w:t>
            </w:r>
            <w:r>
              <w:rPr>
                <w:rFonts w:hint="eastAsia" w:hAnsi="宋体"/>
                <w:color w:val="auto"/>
                <w:szCs w:val="21"/>
                <w:highlight w:val="none"/>
              </w:rPr>
              <w:t>谈判小组直接确定成交人</w:t>
            </w:r>
            <w:r>
              <w:rPr>
                <w:rFonts w:hint="eastAsia" w:ascii="宋体" w:hAnsi="宋体" w:cs="宋体"/>
                <w:color w:val="auto"/>
                <w:szCs w:val="21"/>
                <w:highlight w:val="none"/>
              </w:rPr>
              <w:t>，</w:t>
            </w:r>
            <w:r>
              <w:rPr>
                <w:rFonts w:hint="eastAsia" w:hAnsi="宋体"/>
                <w:color w:val="auto"/>
                <w:szCs w:val="21"/>
                <w:highlight w:val="none"/>
              </w:rPr>
              <w:t>成交人数量：</w:t>
            </w:r>
            <w:r>
              <w:rPr>
                <w:rFonts w:ascii="宋体" w:hAnsi="宋体" w:cs="宋体"/>
                <w:color w:val="auto"/>
                <w:szCs w:val="21"/>
                <w:highlight w:val="none"/>
                <w:u w:val="single"/>
              </w:rPr>
              <w:t xml:space="preserve">    </w:t>
            </w:r>
            <w:r>
              <w:rPr>
                <w:rFonts w:hint="eastAsia" w:ascii="宋体" w:hAnsi="宋体" w:cs="宋体"/>
                <w:color w:val="auto"/>
                <w:szCs w:val="21"/>
                <w:highlight w:val="none"/>
              </w:rPr>
              <w:t>人</w:t>
            </w:r>
          </w:p>
          <w:p w14:paraId="1F6DE6B5">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color w:val="auto"/>
                <w:szCs w:val="21"/>
                <w:highlight w:val="none"/>
              </w:rPr>
              <w:t>■</w:t>
            </w:r>
            <w:r>
              <w:rPr>
                <w:rFonts w:hint="eastAsia" w:ascii="宋体" w:hAnsi="宋体" w:cs="宋体"/>
                <w:color w:val="auto"/>
                <w:szCs w:val="21"/>
                <w:highlight w:val="none"/>
              </w:rPr>
              <w:t>采购人确定成交人，</w:t>
            </w:r>
            <w:r>
              <w:rPr>
                <w:rFonts w:hint="eastAsia" w:hAnsi="宋体"/>
                <w:color w:val="auto"/>
                <w:szCs w:val="21"/>
                <w:highlight w:val="none"/>
              </w:rPr>
              <w:t>成交人数量：</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rPr>
              <w:t>人</w:t>
            </w:r>
          </w:p>
        </w:tc>
      </w:tr>
      <w:tr w14:paraId="167A3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14:paraId="0DFA55C3">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7.3.2</w:t>
            </w:r>
          </w:p>
        </w:tc>
        <w:tc>
          <w:tcPr>
            <w:tcW w:w="1843" w:type="dxa"/>
            <w:vAlign w:val="center"/>
          </w:tcPr>
          <w:p w14:paraId="7114BD97">
            <w:pPr>
              <w:keepNext w:val="0"/>
              <w:keepLines w:val="0"/>
              <w:pageBreakBefore w:val="0"/>
              <w:widowControl w:val="0"/>
              <w:kinsoku/>
              <w:wordWrap/>
              <w:overflowPunct/>
              <w:topLinePunct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成交原则</w:t>
            </w:r>
          </w:p>
        </w:tc>
        <w:tc>
          <w:tcPr>
            <w:tcW w:w="6095" w:type="dxa"/>
            <w:vAlign w:val="center"/>
          </w:tcPr>
          <w:p w14:paraId="64DFE6F4">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color w:val="auto"/>
                <w:szCs w:val="21"/>
                <w:highlight w:val="none"/>
              </w:rPr>
              <w:t>采购人</w:t>
            </w:r>
            <w:r>
              <w:rPr>
                <w:rFonts w:hint="eastAsia"/>
                <w:color w:val="auto"/>
                <w:szCs w:val="21"/>
                <w:highlight w:val="none"/>
              </w:rPr>
              <w:t>根据谈判小组推荐的</w:t>
            </w:r>
            <w:r>
              <w:rPr>
                <w:color w:val="auto"/>
                <w:szCs w:val="21"/>
                <w:highlight w:val="none"/>
              </w:rPr>
              <w:t>成交候选人</w:t>
            </w:r>
            <w:r>
              <w:rPr>
                <w:rFonts w:hint="eastAsia"/>
                <w:color w:val="auto"/>
                <w:szCs w:val="21"/>
                <w:highlight w:val="none"/>
              </w:rPr>
              <w:t>名单排序</w:t>
            </w:r>
            <w:r>
              <w:rPr>
                <w:color w:val="auto"/>
                <w:szCs w:val="21"/>
                <w:highlight w:val="none"/>
              </w:rPr>
              <w:t>依次确定成交人</w:t>
            </w:r>
            <w:r>
              <w:rPr>
                <w:rFonts w:hint="eastAsia"/>
                <w:color w:val="auto"/>
                <w:szCs w:val="21"/>
                <w:highlight w:val="none"/>
              </w:rPr>
              <w:t>。</w:t>
            </w:r>
          </w:p>
        </w:tc>
      </w:tr>
      <w:tr w14:paraId="1E072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5CBB2646">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8.1.1</w:t>
            </w:r>
          </w:p>
        </w:tc>
        <w:tc>
          <w:tcPr>
            <w:tcW w:w="1843" w:type="dxa"/>
            <w:vAlign w:val="center"/>
          </w:tcPr>
          <w:p w14:paraId="101E5F5A">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ascii="宋体" w:hAnsi="宋体" w:cs="宋体"/>
                <w:color w:val="auto"/>
                <w:szCs w:val="21"/>
                <w:highlight w:val="none"/>
              </w:rPr>
              <w:t>履约担保金额、缴纳方式及要求</w:t>
            </w:r>
          </w:p>
        </w:tc>
        <w:tc>
          <w:tcPr>
            <w:tcW w:w="6095" w:type="dxa"/>
            <w:vAlign w:val="center"/>
          </w:tcPr>
          <w:p w14:paraId="75748AE2">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宋体" w:hAnsi="宋体" w:cs="宋体"/>
                <w:color w:val="auto"/>
                <w:szCs w:val="21"/>
                <w:highlight w:val="none"/>
              </w:rPr>
            </w:pPr>
            <w:r>
              <w:rPr>
                <w:rFonts w:hint="eastAsia" w:ascii="宋体" w:hAnsi="宋体" w:cs="宋体"/>
                <w:color w:val="auto"/>
                <w:szCs w:val="21"/>
                <w:highlight w:val="none"/>
              </w:rPr>
              <w:t>1.履约担保金额：合同金额的</w:t>
            </w:r>
            <w:r>
              <w:rPr>
                <w:rFonts w:hint="eastAsia" w:ascii="宋体" w:hAnsi="宋体" w:cs="宋体"/>
                <w:color w:val="auto"/>
                <w:szCs w:val="21"/>
                <w:highlight w:val="none"/>
                <w:u w:val="single"/>
                <w:lang w:val="en-US" w:eastAsia="zh-CN"/>
              </w:rPr>
              <w:t>10</w:t>
            </w:r>
            <w:r>
              <w:rPr>
                <w:rFonts w:ascii="宋体" w:hAnsi="宋体" w:cs="宋体"/>
                <w:color w:val="auto"/>
                <w:szCs w:val="21"/>
                <w:highlight w:val="none"/>
              </w:rPr>
              <w:t>%</w:t>
            </w:r>
          </w:p>
          <w:p w14:paraId="46E35AE6">
            <w:pPr>
              <w:keepNext w:val="0"/>
              <w:keepLines w:val="0"/>
              <w:pageBreakBefore w:val="0"/>
              <w:widowControl w:val="0"/>
              <w:kinsoku/>
              <w:wordWrap/>
              <w:overflowPunct/>
              <w:topLinePunct w:val="0"/>
              <w:bidi w:val="0"/>
              <w:adjustRightInd/>
              <w:snapToGrid/>
              <w:spacing w:line="360" w:lineRule="auto"/>
              <w:textAlignment w:val="auto"/>
              <w:rPr>
                <w:rFonts w:ascii="宋体" w:hAnsi="宋体" w:cs="宋体"/>
                <w:color w:val="auto"/>
                <w:szCs w:val="21"/>
                <w:highlight w:val="none"/>
                <w:u w:val="single"/>
              </w:rPr>
            </w:pPr>
            <w:r>
              <w:rPr>
                <w:rFonts w:hint="eastAsia" w:ascii="宋体" w:hAnsi="宋体" w:cs="宋体"/>
                <w:color w:val="auto"/>
                <w:szCs w:val="21"/>
                <w:highlight w:val="none"/>
              </w:rPr>
              <w:t>2.履约担保方式：</w:t>
            </w:r>
            <w:r>
              <w:rPr>
                <w:rFonts w:hint="eastAsia" w:ascii="宋体" w:hAnsi="宋体" w:cs="宋体"/>
                <w:color w:val="auto"/>
                <w:szCs w:val="21"/>
                <w:highlight w:val="none"/>
                <w:u w:val="single"/>
              </w:rPr>
              <w:t>（银行</w:t>
            </w:r>
            <w:r>
              <w:rPr>
                <w:rFonts w:hint="eastAsia" w:ascii="宋体" w:hAnsi="宋体" w:cs="宋体"/>
                <w:color w:val="auto"/>
                <w:szCs w:val="21"/>
                <w:highlight w:val="none"/>
                <w:u w:val="single"/>
                <w:lang w:val="en-US" w:eastAsia="zh-CN"/>
              </w:rPr>
              <w:t>转账</w:t>
            </w:r>
            <w:r>
              <w:rPr>
                <w:rFonts w:hint="eastAsia" w:ascii="宋体" w:hAnsi="宋体" w:cs="宋体"/>
                <w:color w:val="auto"/>
                <w:szCs w:val="21"/>
                <w:highlight w:val="none"/>
                <w:u w:val="single"/>
              </w:rPr>
              <w:t>/银行保函）</w:t>
            </w:r>
          </w:p>
          <w:p w14:paraId="54803C06">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3.响应人在合同签订</w:t>
            </w:r>
            <w:r>
              <w:rPr>
                <w:rFonts w:hint="eastAsia" w:hAnsi="宋体"/>
                <w:color w:val="auto"/>
                <w:szCs w:val="21"/>
                <w:highlight w:val="none"/>
                <w:lang w:val="en-US" w:eastAsia="zh-CN"/>
              </w:rPr>
              <w:t>时</w:t>
            </w:r>
            <w:r>
              <w:rPr>
                <w:rFonts w:hint="eastAsia" w:hAnsi="宋体"/>
                <w:color w:val="auto"/>
                <w:szCs w:val="21"/>
                <w:highlight w:val="none"/>
                <w:lang w:val="zh-CN"/>
              </w:rPr>
              <w:t>提交履约担保，履约担保金额</w:t>
            </w:r>
            <w:r>
              <w:rPr>
                <w:rFonts w:hint="eastAsia" w:hAnsi="宋体"/>
                <w:color w:val="auto"/>
                <w:szCs w:val="21"/>
                <w:highlight w:val="none"/>
                <w:lang w:val="en-US" w:eastAsia="zh-CN"/>
              </w:rPr>
              <w:t>为</w:t>
            </w:r>
            <w:r>
              <w:rPr>
                <w:rFonts w:hint="eastAsia" w:hAnsi="宋体"/>
                <w:color w:val="auto"/>
                <w:szCs w:val="21"/>
                <w:highlight w:val="none"/>
                <w:lang w:val="zh-CN"/>
              </w:rPr>
              <w:t>成交合同金额的10%，如果成交人提交的履约保函的有效期先于合同要求的履约保函有效期到达，成交人应在原提交的履约保函有效期满前15天，无条件办理保函延期手续。否则，视为成交人违约，采购人可在保函到期前将保函金额转为现金存入履约保证金帐户。</w:t>
            </w:r>
          </w:p>
          <w:p w14:paraId="5C0E8301">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4.履约担保期限</w:t>
            </w:r>
            <w:r>
              <w:rPr>
                <w:rFonts w:hint="eastAsia" w:hAnsi="宋体"/>
                <w:color w:val="auto"/>
                <w:szCs w:val="21"/>
                <w:highlight w:val="none"/>
                <w:u w:val="single"/>
                <w:lang w:val="zh-CN"/>
              </w:rPr>
              <w:t>从合同签订之日起至项目完工验收合格并结算完毕后，经双方签字</w:t>
            </w:r>
            <w:r>
              <w:rPr>
                <w:rFonts w:hint="eastAsia" w:hAnsi="宋体"/>
                <w:color w:val="auto"/>
                <w:szCs w:val="21"/>
                <w:highlight w:val="none"/>
                <w:u w:val="single"/>
                <w:lang w:val="en-US" w:eastAsia="zh-CN"/>
              </w:rPr>
              <w:t>30</w:t>
            </w:r>
            <w:r>
              <w:rPr>
                <w:rFonts w:hint="eastAsia" w:hAnsi="宋体"/>
                <w:color w:val="auto"/>
                <w:szCs w:val="21"/>
                <w:highlight w:val="none"/>
                <w:u w:val="single"/>
                <w:lang w:val="zh-CN"/>
              </w:rPr>
              <w:t>天内保持有效</w:t>
            </w:r>
            <w:r>
              <w:rPr>
                <w:rFonts w:hint="eastAsia" w:hAnsi="宋体"/>
                <w:color w:val="auto"/>
                <w:szCs w:val="21"/>
                <w:highlight w:val="none"/>
                <w:lang w:val="zh-CN"/>
              </w:rPr>
              <w:t>。</w:t>
            </w:r>
          </w:p>
          <w:p w14:paraId="034D4672">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5.履约担保要求：</w:t>
            </w:r>
          </w:p>
          <w:p w14:paraId="088969EC">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（1）履约保函。如果响应人的履约担保是以银行保函形式提供的，则该银行保函应：</w:t>
            </w:r>
          </w:p>
          <w:p w14:paraId="0AA2B0C8">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①保函应由银行支行</w:t>
            </w:r>
            <w:r>
              <w:rPr>
                <w:rFonts w:hint="eastAsia" w:hAnsi="宋体"/>
                <w:color w:val="auto"/>
                <w:szCs w:val="21"/>
                <w:highlight w:val="none"/>
              </w:rPr>
              <w:t>一级</w:t>
            </w:r>
            <w:r>
              <w:rPr>
                <w:rFonts w:hint="eastAsia" w:hAnsi="宋体"/>
                <w:color w:val="auto"/>
                <w:szCs w:val="21"/>
                <w:highlight w:val="none"/>
                <w:lang w:val="zh-CN"/>
              </w:rPr>
              <w:t>或以上银行机构开具。</w:t>
            </w:r>
          </w:p>
          <w:p w14:paraId="45DCAC86">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②保函的格式参考竞争性谈判文件中提供的无条件不可撤销履约保函格式，保函担保期内若项目未能按期竣工，保函必须延期，办理延期手续时在银行方面所产生费用由报价人负责。</w:t>
            </w:r>
          </w:p>
          <w:p w14:paraId="03F0E27A">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③履约保函必须打印，手写、涂改无效。</w:t>
            </w:r>
          </w:p>
          <w:p w14:paraId="0A8AB779">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（2）履约保证金。可采用银行转</w:t>
            </w:r>
            <w:r>
              <w:rPr>
                <w:rFonts w:hint="eastAsia" w:hAnsi="宋体"/>
                <w:color w:val="auto"/>
                <w:szCs w:val="21"/>
                <w:highlight w:val="none"/>
                <w:lang w:val="en-US" w:eastAsia="zh-CN"/>
              </w:rPr>
              <w:t>账</w:t>
            </w:r>
            <w:r>
              <w:rPr>
                <w:rFonts w:hint="eastAsia" w:hAnsi="宋体"/>
                <w:color w:val="auto"/>
                <w:szCs w:val="21"/>
                <w:highlight w:val="none"/>
                <w:lang w:val="zh-CN"/>
              </w:rPr>
              <w:t>方式提交，但不可以采用现金方式提交。响应人必须保证履约保证金以响应人名称在</w:t>
            </w:r>
            <w:r>
              <w:rPr>
                <w:rFonts w:hint="eastAsia" w:hAnsi="宋体"/>
                <w:color w:val="auto"/>
                <w:szCs w:val="21"/>
                <w:highlight w:val="none"/>
                <w:u w:val="single"/>
                <w:lang w:val="zh-CN"/>
              </w:rPr>
              <w:t>签订合同</w:t>
            </w:r>
            <w:r>
              <w:rPr>
                <w:rFonts w:hint="eastAsia" w:hAnsi="宋体"/>
                <w:color w:val="auto"/>
                <w:szCs w:val="21"/>
                <w:highlight w:val="none"/>
                <w:lang w:val="zh-CN"/>
              </w:rPr>
              <w:t>前提交至采购人指定账户。</w:t>
            </w:r>
          </w:p>
          <w:p w14:paraId="5239BD65">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3）若成交人不能按本竞争性谈判文件的规定提交履约保证金的，采购人将有权取消成交人的成交资格（采购人可以按照谈判小组提出的成交候选人名单排序依次确定其他成交候选人为成交人，也可以重新采购），谈判保证金不予退还，给采购人造成的损失如果超过谈判保证金数额的，还应当对超过部分予以赔偿。</w:t>
            </w:r>
          </w:p>
          <w:p w14:paraId="20380A0F">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（4）为取得履约担保所需的费用，由成交人承担；若工期延误，履约担保时间延长，延长费用由成交人承担。</w:t>
            </w:r>
          </w:p>
          <w:p w14:paraId="786CE4E2">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5）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14:paraId="2B207451">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（6）下列任何情况发生时，采购人有权行使享有的担保权利：</w:t>
            </w:r>
          </w:p>
          <w:p w14:paraId="277E79D2">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①成交人将本项目转让给他人，或者在报价文件中未说明，且未经采购人同意，将成交项目分包给他人的；</w:t>
            </w:r>
          </w:p>
          <w:p w14:paraId="79289CD8">
            <w:pPr>
              <w:keepNext w:val="0"/>
              <w:keepLines w:val="0"/>
              <w:pageBreakBefore w:val="0"/>
              <w:widowControl w:val="0"/>
              <w:kinsoku/>
              <w:wordWrap/>
              <w:overflowPunct/>
              <w:topLinePunct w:val="0"/>
              <w:bidi w:val="0"/>
              <w:adjustRightInd/>
              <w:snapToGrid/>
              <w:spacing w:line="360" w:lineRule="auto"/>
              <w:textAlignment w:val="auto"/>
              <w:rPr>
                <w:rFonts w:hAnsi="宋体"/>
                <w:color w:val="auto"/>
                <w:szCs w:val="21"/>
                <w:highlight w:val="none"/>
                <w:lang w:val="zh-CN"/>
              </w:rPr>
            </w:pPr>
            <w:r>
              <w:rPr>
                <w:rFonts w:hint="eastAsia" w:hAnsi="宋体"/>
                <w:color w:val="auto"/>
                <w:szCs w:val="21"/>
                <w:highlight w:val="none"/>
                <w:lang w:val="zh-CN"/>
              </w:rPr>
              <w:t>②成交人在履行采购合同期间，违反有关法律法规的规定及合同约定的条款，损害了采购人的利益。</w:t>
            </w:r>
          </w:p>
          <w:p w14:paraId="28C3471F">
            <w:pPr>
              <w:keepNext w:val="0"/>
              <w:keepLines w:val="0"/>
              <w:pageBreakBefore w:val="0"/>
              <w:widowControl w:val="0"/>
              <w:kinsoku/>
              <w:wordWrap/>
              <w:overflowPunct/>
              <w:topLinePunct w:val="0"/>
              <w:bidi w:val="0"/>
              <w:adjustRightInd/>
              <w:snapToGrid/>
              <w:spacing w:line="360" w:lineRule="auto"/>
              <w:textAlignment w:val="auto"/>
              <w:rPr>
                <w:color w:val="auto"/>
                <w:szCs w:val="21"/>
                <w:highlight w:val="none"/>
              </w:rPr>
            </w:pPr>
            <w:r>
              <w:rPr>
                <w:rFonts w:hint="eastAsia" w:hAnsi="宋体"/>
                <w:color w:val="auto"/>
                <w:szCs w:val="21"/>
                <w:highlight w:val="none"/>
                <w:lang w:val="zh-CN"/>
              </w:rPr>
              <w:t>（7）在整个项目验收合格后，成交人向采购人提交退回履约担保的申请，采购人办理履约担保退还手续。</w:t>
            </w:r>
          </w:p>
        </w:tc>
      </w:tr>
      <w:tr w14:paraId="727A1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69D5C3B0">
            <w:pPr>
              <w:keepNext w:val="0"/>
              <w:keepLines w:val="0"/>
              <w:pageBreakBefore w:val="0"/>
              <w:widowControl w:val="0"/>
              <w:kinsoku/>
              <w:wordWrap/>
              <w:overflowPunct/>
              <w:topLinePunct w:val="0"/>
              <w:bidi w:val="0"/>
              <w:adjustRightInd/>
              <w:snapToGrid/>
              <w:spacing w:line="360" w:lineRule="auto"/>
              <w:jc w:val="center"/>
              <w:textAlignment w:val="auto"/>
              <w:rPr>
                <w:color w:val="auto"/>
                <w:szCs w:val="21"/>
                <w:highlight w:val="none"/>
              </w:rPr>
            </w:pPr>
            <w:r>
              <w:rPr>
                <w:rFonts w:hint="eastAsia"/>
                <w:color w:val="auto"/>
                <w:szCs w:val="21"/>
                <w:highlight w:val="none"/>
              </w:rPr>
              <w:t>9</w:t>
            </w:r>
          </w:p>
        </w:tc>
        <w:tc>
          <w:tcPr>
            <w:tcW w:w="1843" w:type="dxa"/>
            <w:vAlign w:val="center"/>
          </w:tcPr>
          <w:p w14:paraId="56393850">
            <w:pPr>
              <w:keepNext w:val="0"/>
              <w:keepLines w:val="0"/>
              <w:pageBreakBefore w:val="0"/>
              <w:widowControl w:val="0"/>
              <w:kinsoku/>
              <w:wordWrap/>
              <w:overflowPunct/>
              <w:topLinePunct w:val="0"/>
              <w:bidi w:val="0"/>
              <w:adjustRightInd/>
              <w:snapToGrid/>
              <w:spacing w:line="360" w:lineRule="auto"/>
              <w:jc w:val="left"/>
              <w:textAlignment w:val="auto"/>
              <w:rPr>
                <w:color w:val="auto"/>
                <w:szCs w:val="21"/>
                <w:highlight w:val="none"/>
              </w:rPr>
            </w:pPr>
            <w:r>
              <w:rPr>
                <w:rFonts w:hint="eastAsia" w:ascii="宋体" w:hAnsi="宋体" w:cs="宋体"/>
                <w:color w:val="auto"/>
                <w:szCs w:val="21"/>
                <w:highlight w:val="none"/>
              </w:rPr>
              <w:t>采购代理服务费</w:t>
            </w:r>
          </w:p>
        </w:tc>
        <w:tc>
          <w:tcPr>
            <w:tcW w:w="6095" w:type="dxa"/>
            <w:vAlign w:val="center"/>
          </w:tcPr>
          <w:p w14:paraId="4AD7EF47">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s="宋体"/>
                <w:color w:val="auto"/>
                <w:szCs w:val="21"/>
                <w:highlight w:val="none"/>
              </w:rPr>
            </w:pPr>
            <w:r>
              <w:rPr>
                <w:rFonts w:hint="eastAsia"/>
                <w:color w:val="auto"/>
                <w:szCs w:val="21"/>
                <w:highlight w:val="none"/>
              </w:rPr>
              <w:t>■</w:t>
            </w:r>
            <w:r>
              <w:rPr>
                <w:rFonts w:hint="eastAsia" w:hAnsi="宋体"/>
                <w:color w:val="auto"/>
                <w:szCs w:val="21"/>
                <w:highlight w:val="none"/>
              </w:rPr>
              <w:t>由采购人支付</w:t>
            </w:r>
          </w:p>
          <w:p w14:paraId="1B310C3D">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olor w:val="auto"/>
                <w:szCs w:val="21"/>
                <w:highlight w:val="none"/>
              </w:rPr>
            </w:pPr>
            <w:r>
              <w:rPr>
                <w:rFonts w:hint="eastAsia" w:ascii="宋体" w:hAnsi="宋体"/>
                <w:color w:val="auto"/>
                <w:szCs w:val="21"/>
                <w:highlight w:val="none"/>
              </w:rPr>
              <w:t>□</w:t>
            </w:r>
            <w:r>
              <w:rPr>
                <w:rFonts w:hint="eastAsia"/>
                <w:color w:val="auto"/>
                <w:szCs w:val="21"/>
                <w:highlight w:val="none"/>
              </w:rPr>
              <w:t>由成交人支付，具体如下：</w:t>
            </w:r>
          </w:p>
          <w:p w14:paraId="7BBA58BC">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宋体" w:hAnsi="宋体"/>
                <w:color w:val="auto"/>
                <w:szCs w:val="21"/>
                <w:highlight w:val="none"/>
              </w:rPr>
            </w:pPr>
            <w:r>
              <w:rPr>
                <w:rFonts w:hint="eastAsia" w:ascii="宋体" w:hAnsi="宋体"/>
                <w:b/>
                <w:color w:val="auto"/>
                <w:szCs w:val="21"/>
                <w:highlight w:val="none"/>
              </w:rPr>
              <w:t>采购代理服务费的金额：</w:t>
            </w:r>
            <w:r>
              <w:rPr>
                <w:rFonts w:hint="eastAsia" w:ascii="宋体" w:hAnsi="宋体"/>
                <w:b/>
                <w:color w:val="auto"/>
                <w:szCs w:val="21"/>
                <w:highlight w:val="none"/>
                <w:u w:val="single"/>
                <w:lang w:val="en-US" w:eastAsia="zh-CN"/>
              </w:rPr>
              <w:t>按照合同金额进行计算</w:t>
            </w:r>
            <w:r>
              <w:rPr>
                <w:rFonts w:hint="eastAsia" w:ascii="宋体" w:hAnsi="宋体"/>
                <w:b/>
                <w:color w:val="auto"/>
                <w:szCs w:val="21"/>
                <w:highlight w:val="none"/>
              </w:rPr>
              <w:t>。</w:t>
            </w:r>
          </w:p>
        </w:tc>
      </w:tr>
    </w:tbl>
    <w:p w14:paraId="347F4354">
      <w:pPr>
        <w:widowControl/>
        <w:jc w:val="left"/>
        <w:rPr>
          <w:b/>
          <w:color w:val="auto"/>
          <w:highlight w:val="none"/>
        </w:rPr>
      </w:pPr>
    </w:p>
    <w:p w14:paraId="6A88725C">
      <w:pPr>
        <w:widowControl/>
        <w:jc w:val="left"/>
        <w:rPr>
          <w:b/>
          <w:color w:val="auto"/>
          <w:highlight w:val="none"/>
        </w:rPr>
      </w:pPr>
      <w:r>
        <w:rPr>
          <w:b/>
          <w:color w:val="auto"/>
          <w:highlight w:val="none"/>
        </w:rPr>
        <w:br w:type="page"/>
      </w:r>
    </w:p>
    <w:p w14:paraId="521E85BF">
      <w:pPr>
        <w:pStyle w:val="3"/>
        <w:pageBreakBefore w:val="0"/>
        <w:widowControl w:val="0"/>
        <w:kinsoku/>
        <w:wordWrap/>
        <w:overflowPunct/>
        <w:topLinePunct w:val="0"/>
        <w:autoSpaceDE/>
        <w:autoSpaceDN/>
        <w:bidi w:val="0"/>
        <w:spacing w:before="0" w:after="0" w:line="400" w:lineRule="exact"/>
        <w:textAlignment w:val="auto"/>
        <w:rPr>
          <w:rFonts w:ascii="黑体" w:hAnsi="黑体"/>
          <w:color w:val="auto"/>
          <w:highlight w:val="none"/>
        </w:rPr>
      </w:pPr>
      <w:bookmarkStart w:id="8" w:name="_Toc456551876"/>
      <w:bookmarkStart w:id="9" w:name="_Toc30718"/>
      <w:r>
        <w:rPr>
          <w:rFonts w:hint="eastAsia" w:ascii="黑体" w:hAnsi="黑体"/>
          <w:color w:val="auto"/>
          <w:highlight w:val="none"/>
        </w:rPr>
        <w:t>1. 总则</w:t>
      </w:r>
      <w:bookmarkEnd w:id="8"/>
      <w:bookmarkEnd w:id="9"/>
    </w:p>
    <w:p w14:paraId="326B8EBE">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0" w:name="_Toc456551877"/>
      <w:bookmarkStart w:id="11" w:name="_Toc475552123"/>
      <w:r>
        <w:rPr>
          <w:rFonts w:hint="eastAsia" w:ascii="宋体" w:hAnsi="宋体"/>
          <w:b/>
          <w:color w:val="auto"/>
          <w:sz w:val="32"/>
          <w:szCs w:val="32"/>
          <w:highlight w:val="none"/>
        </w:rPr>
        <w:t>1.1 项目概况</w:t>
      </w:r>
      <w:bookmarkEnd w:id="10"/>
      <w:bookmarkEnd w:id="11"/>
    </w:p>
    <w:p w14:paraId="6D4534A5">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1.1.1本项目根据东实集团及采购人相关招标采购管理规定执行，本项目已具备竞争性谈判条件，现对本项目进行竞争性谈判。</w:t>
      </w:r>
    </w:p>
    <w:p w14:paraId="33913DC8">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 本项目采购人：见竞争性谈判公告或竞争性谈判响应须知前附表。</w:t>
      </w:r>
    </w:p>
    <w:p w14:paraId="2B3716A5">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1.1.3 本项目名称：见竞争性谈判公告或竞争性谈判响应须知前附表。</w:t>
      </w:r>
    </w:p>
    <w:p w14:paraId="5F0A8B00">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1.1.4 本项目地点：见竞争性谈判公告或竞争性谈判响应须知前附表。</w:t>
      </w:r>
    </w:p>
    <w:p w14:paraId="5950420C">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1.1.5本项目承包方式：见竞争性谈判公告或竞争性谈判响应须知前附表。</w:t>
      </w:r>
    </w:p>
    <w:p w14:paraId="08781097">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2" w:name="_Toc456551878"/>
      <w:bookmarkStart w:id="13" w:name="_Toc475552124"/>
      <w:r>
        <w:rPr>
          <w:rFonts w:hint="eastAsia" w:ascii="宋体" w:hAnsi="宋体"/>
          <w:b/>
          <w:color w:val="auto"/>
          <w:sz w:val="32"/>
          <w:szCs w:val="32"/>
          <w:highlight w:val="none"/>
        </w:rPr>
        <w:t>1.2 资金来源和落实情况</w:t>
      </w:r>
      <w:bookmarkEnd w:id="12"/>
      <w:bookmarkEnd w:id="13"/>
    </w:p>
    <w:p w14:paraId="6D82BBB5">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本项目资金已落实，资金来源见竞争性谈判公告或竞争性谈判响应须知前附表。</w:t>
      </w:r>
    </w:p>
    <w:p w14:paraId="6AA61D64">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4" w:name="_Toc456551879"/>
      <w:bookmarkStart w:id="15" w:name="_Toc475552125"/>
      <w:r>
        <w:rPr>
          <w:rFonts w:hint="eastAsia" w:ascii="宋体" w:hAnsi="宋体"/>
          <w:b/>
          <w:color w:val="auto"/>
          <w:sz w:val="32"/>
          <w:szCs w:val="32"/>
          <w:highlight w:val="none"/>
        </w:rPr>
        <w:t>1.3 竞争性谈判范围、服务时间和质量要求</w:t>
      </w:r>
      <w:bookmarkEnd w:id="14"/>
      <w:bookmarkEnd w:id="15"/>
    </w:p>
    <w:p w14:paraId="1FB176AD">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1.3.1 本次竞争性谈判范围：见竞争性谈判公告或竞争性谈判响应须知前附表。</w:t>
      </w:r>
    </w:p>
    <w:p w14:paraId="6776CA09">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1.3.2 本项目的服务时间：见竞争性谈判公告或竞争性谈判响应须知前附表。</w:t>
      </w:r>
    </w:p>
    <w:p w14:paraId="5AFECD3D">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1.3.4 本项目的标包划分情况：见竞争性谈判公告或竞争性谈判响应须知前附表。</w:t>
      </w:r>
    </w:p>
    <w:p w14:paraId="770C4376">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1.3.5本项目的质量要求：见竞争性谈判公告或竞争性谈判响应须知前附表。</w:t>
      </w:r>
    </w:p>
    <w:p w14:paraId="6AC41988">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6" w:name="_Toc456551880"/>
      <w:bookmarkStart w:id="17" w:name="_Toc475552126"/>
      <w:r>
        <w:rPr>
          <w:rFonts w:hint="eastAsia" w:ascii="宋体" w:hAnsi="宋体"/>
          <w:b/>
          <w:color w:val="auto"/>
          <w:sz w:val="32"/>
          <w:szCs w:val="32"/>
          <w:highlight w:val="none"/>
        </w:rPr>
        <w:t>1.4 竞争性谈判方式</w:t>
      </w:r>
      <w:bookmarkEnd w:id="16"/>
      <w:bookmarkEnd w:id="17"/>
    </w:p>
    <w:p w14:paraId="6D37DF6E">
      <w:pPr>
        <w:pageBreakBefore w:val="0"/>
        <w:widowControl w:val="0"/>
        <w:kinsoku/>
        <w:wordWrap/>
        <w:overflowPunct/>
        <w:topLinePunct w:val="0"/>
        <w:autoSpaceDE/>
        <w:autoSpaceDN/>
        <w:bidi w:val="0"/>
        <w:adjustRightInd w:val="0"/>
        <w:snapToGrid w:val="0"/>
        <w:spacing w:line="400" w:lineRule="exact"/>
        <w:ind w:firstLine="420" w:firstLineChars="200"/>
        <w:textAlignment w:val="auto"/>
        <w:rPr>
          <w:color w:val="auto"/>
          <w:highlight w:val="none"/>
        </w:rPr>
      </w:pPr>
      <w:r>
        <w:rPr>
          <w:rFonts w:hint="eastAsia"/>
          <w:color w:val="auto"/>
          <w:highlight w:val="none"/>
        </w:rPr>
        <w:t>公开竞争性谈判：</w:t>
      </w:r>
      <w:r>
        <w:rPr>
          <w:rFonts w:ascii="Arial" w:hAnsi="Arial" w:cs="Arial"/>
          <w:color w:val="auto"/>
          <w:szCs w:val="21"/>
          <w:highlight w:val="none"/>
        </w:rPr>
        <w:t>是指采购人以竞争性谈判公告的方式邀请不特定的法人或者其他组织竞争性谈判。</w:t>
      </w:r>
    </w:p>
    <w:p w14:paraId="2D28C74A">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18" w:name="_Toc475552127"/>
      <w:bookmarkStart w:id="19" w:name="_Toc456551881"/>
      <w:r>
        <w:rPr>
          <w:rFonts w:hint="eastAsia" w:ascii="宋体" w:hAnsi="宋体"/>
          <w:b/>
          <w:color w:val="auto"/>
          <w:sz w:val="32"/>
          <w:szCs w:val="32"/>
          <w:highlight w:val="none"/>
        </w:rPr>
        <w:t>1.5 竞争性谈判组织形式</w:t>
      </w:r>
      <w:bookmarkEnd w:id="18"/>
      <w:bookmarkEnd w:id="19"/>
    </w:p>
    <w:p w14:paraId="435B9EF5">
      <w:pPr>
        <w:pageBreakBefore w:val="0"/>
        <w:widowControl w:val="0"/>
        <w:kinsoku/>
        <w:wordWrap/>
        <w:overflowPunct/>
        <w:topLinePunct w:val="0"/>
        <w:autoSpaceDE/>
        <w:autoSpaceDN/>
        <w:bidi w:val="0"/>
        <w:adjustRightInd w:val="0"/>
        <w:snapToGrid w:val="0"/>
        <w:spacing w:line="400" w:lineRule="exact"/>
        <w:ind w:firstLine="420" w:firstLineChars="200"/>
        <w:textAlignment w:val="auto"/>
        <w:rPr>
          <w:color w:val="auto"/>
          <w:highlight w:val="none"/>
        </w:rPr>
      </w:pPr>
      <w:r>
        <w:rPr>
          <w:rFonts w:hint="eastAsia"/>
          <w:color w:val="auto"/>
          <w:highlight w:val="none"/>
        </w:rPr>
        <w:t>本次竞争性谈判由采购人自行组织或委托采购代理机构的方式进行，竞争性谈判组织形式、代理机构名称及联系方式见</w:t>
      </w:r>
      <w:r>
        <w:rPr>
          <w:rFonts w:hint="eastAsia"/>
          <w:bCs/>
          <w:color w:val="auto"/>
          <w:highlight w:val="none"/>
        </w:rPr>
        <w:t>第一章 “竞争性谈判公告”</w:t>
      </w:r>
      <w:r>
        <w:rPr>
          <w:rFonts w:hint="eastAsia"/>
          <w:color w:val="auto"/>
          <w:highlight w:val="none"/>
        </w:rPr>
        <w:t>。</w:t>
      </w:r>
    </w:p>
    <w:p w14:paraId="5DF133C5">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0" w:name="_Toc475552128"/>
      <w:bookmarkStart w:id="21" w:name="_Toc456551882"/>
      <w:r>
        <w:rPr>
          <w:rFonts w:hint="eastAsia" w:ascii="宋体" w:hAnsi="宋体"/>
          <w:b/>
          <w:color w:val="auto"/>
          <w:sz w:val="32"/>
          <w:szCs w:val="32"/>
          <w:highlight w:val="none"/>
        </w:rPr>
        <w:t>1.6</w:t>
      </w:r>
      <w:bookmarkEnd w:id="20"/>
      <w:bookmarkEnd w:id="21"/>
      <w:r>
        <w:rPr>
          <w:rFonts w:hint="eastAsia" w:ascii="宋体" w:hAnsi="宋体"/>
          <w:b/>
          <w:color w:val="auto"/>
          <w:sz w:val="32"/>
          <w:szCs w:val="32"/>
          <w:highlight w:val="none"/>
        </w:rPr>
        <w:t>响应人资格要求</w:t>
      </w:r>
    </w:p>
    <w:p w14:paraId="3E470298">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1.6.1</w:t>
      </w:r>
      <w:r>
        <w:rPr>
          <w:rFonts w:hint="eastAsia" w:ascii="宋体" w:hAnsi="宋体" w:cs="宋体"/>
          <w:color w:val="auto"/>
          <w:szCs w:val="21"/>
          <w:highlight w:val="none"/>
        </w:rPr>
        <w:t>响应人应具备承担本项目服务的资格要求：</w:t>
      </w:r>
      <w:r>
        <w:rPr>
          <w:rFonts w:hint="eastAsia"/>
          <w:color w:val="auto"/>
          <w:highlight w:val="none"/>
        </w:rPr>
        <w:t>见竞争性谈判公告或竞争性谈判响应须知前附表。</w:t>
      </w:r>
    </w:p>
    <w:p w14:paraId="61603DCB">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1.6.2</w:t>
      </w:r>
      <w:r>
        <w:rPr>
          <w:rFonts w:hint="eastAsia" w:ascii="宋体" w:hAnsi="宋体" w:cs="宋体"/>
          <w:color w:val="auto"/>
          <w:szCs w:val="21"/>
          <w:highlight w:val="none"/>
        </w:rPr>
        <w:t>本项目采用资格后审的审查方式</w:t>
      </w:r>
      <w:r>
        <w:rPr>
          <w:rFonts w:hint="eastAsia"/>
          <w:color w:val="auto"/>
          <w:highlight w:val="none"/>
        </w:rPr>
        <w:t>。</w:t>
      </w:r>
    </w:p>
    <w:p w14:paraId="78187DF2">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1.6.3本须知前附表规定接受联合体响应的，除本须知前附表的要求外，还应遵守以下规定：</w:t>
      </w:r>
    </w:p>
    <w:p w14:paraId="57A7E36F">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（1）联合体各方应按竞争性谈判文件提供的格式签订联合体协议书，明确联合体牵头人和各方权利义务；</w:t>
      </w:r>
    </w:p>
    <w:p w14:paraId="2AC75A4C">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（2）联合体各方不得再以自己名义单独或参加其他联合体在同一标包中响应；</w:t>
      </w:r>
    </w:p>
    <w:p w14:paraId="2435D57F">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（3）联合体牵头人须在响应文件上按要求加盖公司法人公章及法定代表人签名（或盖私章），无需联合体共同加盖公司法人公章及法定代表人签名（或盖私章）；</w:t>
      </w:r>
    </w:p>
    <w:p w14:paraId="49E290BA">
      <w:pPr>
        <w:pageBreakBefore w:val="0"/>
        <w:widowControl w:val="0"/>
        <w:kinsoku/>
        <w:wordWrap/>
        <w:overflowPunct/>
        <w:topLinePunct w:val="0"/>
        <w:autoSpaceDE/>
        <w:autoSpaceDN/>
        <w:bidi w:val="0"/>
        <w:spacing w:line="400" w:lineRule="exact"/>
        <w:ind w:firstLine="359" w:firstLineChars="171"/>
        <w:textAlignment w:val="auto"/>
        <w:rPr>
          <w:rFonts w:hAnsi="宋体"/>
          <w:color w:val="auto"/>
          <w:highlight w:val="none"/>
        </w:rPr>
      </w:pPr>
      <w:r>
        <w:rPr>
          <w:rFonts w:hint="eastAsia"/>
          <w:color w:val="auto"/>
          <w:highlight w:val="none"/>
        </w:rPr>
        <w:t>（4）本须知前附表规定的其他要求。</w:t>
      </w:r>
    </w:p>
    <w:p w14:paraId="26444805">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2" w:name="_Toc456551883"/>
      <w:bookmarkStart w:id="23" w:name="_Toc475552129"/>
      <w:r>
        <w:rPr>
          <w:rFonts w:hint="eastAsia" w:ascii="宋体" w:hAnsi="宋体"/>
          <w:b/>
          <w:color w:val="auto"/>
          <w:sz w:val="32"/>
          <w:szCs w:val="32"/>
          <w:highlight w:val="none"/>
        </w:rPr>
        <w:t>1.</w:t>
      </w:r>
      <w:r>
        <w:rPr>
          <w:rFonts w:ascii="宋体" w:hAnsi="宋体"/>
          <w:b/>
          <w:color w:val="auto"/>
          <w:sz w:val="32"/>
          <w:szCs w:val="32"/>
          <w:highlight w:val="none"/>
        </w:rPr>
        <w:t>7</w:t>
      </w:r>
      <w:r>
        <w:rPr>
          <w:rFonts w:hint="eastAsia" w:ascii="宋体" w:hAnsi="宋体"/>
          <w:b/>
          <w:color w:val="auto"/>
          <w:sz w:val="32"/>
          <w:szCs w:val="32"/>
          <w:highlight w:val="none"/>
        </w:rPr>
        <w:t xml:space="preserve"> 响应人不得存在的情形</w:t>
      </w:r>
      <w:bookmarkEnd w:id="22"/>
      <w:bookmarkEnd w:id="23"/>
    </w:p>
    <w:p w14:paraId="74BEE787">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w:t>
      </w:r>
      <w:r>
        <w:rPr>
          <w:color w:val="auto"/>
          <w:highlight w:val="none"/>
        </w:rPr>
        <w:t>7</w:t>
      </w:r>
      <w:r>
        <w:rPr>
          <w:rFonts w:hint="eastAsia"/>
          <w:color w:val="auto"/>
          <w:highlight w:val="none"/>
        </w:rPr>
        <w:t>.1 响应人不得存在下列情形之一，否则采购人有权取消其参与响应资格或成交资格：</w:t>
      </w:r>
    </w:p>
    <w:p w14:paraId="264448BE">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（1）为采购人不具有独立法人资格的附属机构（单位）；</w:t>
      </w:r>
    </w:p>
    <w:p w14:paraId="6DC0E95B">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2</w:t>
      </w:r>
      <w:r>
        <w:rPr>
          <w:rFonts w:hint="eastAsia"/>
          <w:color w:val="auto"/>
          <w:highlight w:val="none"/>
        </w:rPr>
        <w:t xml:space="preserve">）被责令停业的； </w:t>
      </w:r>
    </w:p>
    <w:p w14:paraId="185C6B07">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3</w:t>
      </w:r>
      <w:r>
        <w:rPr>
          <w:rFonts w:hint="eastAsia"/>
          <w:color w:val="auto"/>
          <w:highlight w:val="none"/>
        </w:rPr>
        <w:t xml:space="preserve">）被暂停或取消投标资格的； </w:t>
      </w:r>
    </w:p>
    <w:p w14:paraId="41AE8D52">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4</w:t>
      </w:r>
      <w:r>
        <w:rPr>
          <w:rFonts w:hint="eastAsia"/>
          <w:color w:val="auto"/>
          <w:highlight w:val="none"/>
        </w:rPr>
        <w:t>）财产被接管或冻结的；</w:t>
      </w:r>
    </w:p>
    <w:p w14:paraId="444F429B">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5</w:t>
      </w:r>
      <w:r>
        <w:rPr>
          <w:rFonts w:hint="eastAsia"/>
          <w:color w:val="auto"/>
          <w:highlight w:val="none"/>
        </w:rPr>
        <w:t>）在最近三年内有骗取中标、严重违约、重大质量或安全问题的；</w:t>
      </w:r>
    </w:p>
    <w:p w14:paraId="0BFE3E91">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6</w:t>
      </w:r>
      <w:r>
        <w:rPr>
          <w:rFonts w:hint="eastAsia"/>
          <w:color w:val="auto"/>
          <w:highlight w:val="none"/>
        </w:rPr>
        <w:t>）法律法规规定的其他情形；</w:t>
      </w:r>
    </w:p>
    <w:p w14:paraId="2FE3575A">
      <w:pPr>
        <w:pageBreakBefore w:val="0"/>
        <w:widowControl w:val="0"/>
        <w:kinsoku/>
        <w:wordWrap/>
        <w:overflowPunct/>
        <w:topLinePunct w:val="0"/>
        <w:autoSpaceDE/>
        <w:autoSpaceDN/>
        <w:bidi w:val="0"/>
        <w:spacing w:line="400" w:lineRule="exact"/>
        <w:ind w:firstLine="359" w:firstLineChars="171"/>
        <w:textAlignment w:val="auto"/>
        <w:rPr>
          <w:color w:val="auto"/>
          <w:highlight w:val="none"/>
        </w:rPr>
      </w:pPr>
      <w:r>
        <w:rPr>
          <w:rFonts w:hint="eastAsia"/>
          <w:color w:val="auto"/>
          <w:highlight w:val="none"/>
        </w:rPr>
        <w:t>（</w:t>
      </w:r>
      <w:r>
        <w:rPr>
          <w:color w:val="auto"/>
          <w:highlight w:val="none"/>
        </w:rPr>
        <w:t>7</w:t>
      </w:r>
      <w:r>
        <w:rPr>
          <w:rFonts w:hint="eastAsia"/>
          <w:color w:val="auto"/>
          <w:highlight w:val="none"/>
        </w:rPr>
        <w:t>）竞争性谈判文件规定的其他情形：见竞争性谈判公告或竞争性谈判响应须知前附表。</w:t>
      </w:r>
    </w:p>
    <w:p w14:paraId="48776093">
      <w:pPr>
        <w:pageBreakBefore w:val="0"/>
        <w:widowControl w:val="0"/>
        <w:kinsoku/>
        <w:wordWrap/>
        <w:overflowPunct/>
        <w:topLinePunct w:val="0"/>
        <w:autoSpaceDE/>
        <w:autoSpaceDN/>
        <w:bidi w:val="0"/>
        <w:spacing w:line="400" w:lineRule="exact"/>
        <w:ind w:firstLine="359" w:firstLineChars="171"/>
        <w:textAlignment w:val="auto"/>
        <w:rPr>
          <w:rFonts w:hAnsi="宋体"/>
          <w:color w:val="auto"/>
          <w:szCs w:val="21"/>
          <w:highlight w:val="none"/>
        </w:rPr>
      </w:pPr>
      <w:r>
        <w:rPr>
          <w:rFonts w:hint="eastAsia"/>
          <w:color w:val="auto"/>
          <w:highlight w:val="none"/>
        </w:rPr>
        <w:t>1.</w:t>
      </w:r>
      <w:r>
        <w:rPr>
          <w:color w:val="auto"/>
          <w:highlight w:val="none"/>
        </w:rPr>
        <w:t>7</w:t>
      </w:r>
      <w:r>
        <w:rPr>
          <w:rFonts w:hint="eastAsia"/>
          <w:color w:val="auto"/>
          <w:highlight w:val="none"/>
        </w:rPr>
        <w:t>.</w:t>
      </w:r>
      <w:r>
        <w:rPr>
          <w:color w:val="auto"/>
          <w:highlight w:val="none"/>
        </w:rPr>
        <w:t>2</w:t>
      </w:r>
      <w:r>
        <w:rPr>
          <w:rFonts w:hint="eastAsia"/>
          <w:color w:val="auto"/>
          <w:highlight w:val="none"/>
        </w:rPr>
        <w:t xml:space="preserve"> </w:t>
      </w:r>
      <w:r>
        <w:rPr>
          <w:rFonts w:hint="eastAsia" w:hAnsi="宋体"/>
          <w:color w:val="auto"/>
          <w:szCs w:val="21"/>
          <w:highlight w:val="none"/>
        </w:rPr>
        <w:t>响应人在竞争性谈判活动中有下列行为之一的，应视情节轻重，暂停或取消其参与采购人及东实集团旗下采购项目的资格：</w:t>
      </w:r>
    </w:p>
    <w:p w14:paraId="47AA821D">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（1）响应人之间相互串通、或与采购人、代理机构、谈判小组成员串通谈判，损害采购人或者其他响应人的合法权益的； </w:t>
      </w:r>
    </w:p>
    <w:p w14:paraId="6E9C8456">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（2）向采购人、代理机构、评审委会成员或其他相关工作人员行贿的； </w:t>
      </w:r>
    </w:p>
    <w:p w14:paraId="758B3C3F">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（3）以他人名义谈判或以其他方式弄虚作假，骗取成交的； </w:t>
      </w:r>
    </w:p>
    <w:p w14:paraId="06898ED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（4）成交人私自将成交项目转让给他人的，将成交项目肢解后分别转让给他人的； </w:t>
      </w:r>
    </w:p>
    <w:p w14:paraId="53EECAB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（5）成交人无正当理由不与采购人订立合同，在签订合同时向采购人提出附加条件，或者不按照竞争性谈判文件要求提交履约担保的；</w:t>
      </w:r>
    </w:p>
    <w:p w14:paraId="227231E8">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（6）响应人捏造事实、伪造材料或者以非法手段取得证明材料进行投诉，给他人造成损失的； </w:t>
      </w:r>
    </w:p>
    <w:p w14:paraId="2EA8A07D">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（7）相关工作人员应当回避而不回避的； </w:t>
      </w:r>
    </w:p>
    <w:p w14:paraId="1635D821">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（8）其他违法违规的行为。</w:t>
      </w:r>
    </w:p>
    <w:p w14:paraId="4E16F6DA">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3</w:t>
      </w:r>
      <w:r>
        <w:rPr>
          <w:rFonts w:hint="eastAsia" w:ascii="宋体" w:hAnsi="宋体"/>
          <w:color w:val="auto"/>
          <w:szCs w:val="21"/>
          <w:highlight w:val="none"/>
        </w:rPr>
        <w:t>有下列情形之一的，视为响应人串通谈判，其响应无效：</w:t>
      </w:r>
    </w:p>
    <w:p w14:paraId="6F013385">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（1）不同响应人的响应文件由同一单位或者个人编制；</w:t>
      </w:r>
    </w:p>
    <w:p w14:paraId="189CFA57">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（2）不同响应人委托同一单位或者个人办理响应事宜；</w:t>
      </w:r>
    </w:p>
    <w:p w14:paraId="4CD68B24">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（3）不同响应人的响应文件载明的项目管理成员或者联系人员为同一人；</w:t>
      </w:r>
    </w:p>
    <w:p w14:paraId="0893F1A1">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（4）不同响应人的响应文件异常一致或者响应报价呈规律性差异；</w:t>
      </w:r>
    </w:p>
    <w:p w14:paraId="02A31586">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（5）不同响应人的响应文件相互混装；</w:t>
      </w:r>
    </w:p>
    <w:p w14:paraId="4714D24E">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（6）不同响应人的响应保证金从同一单位或者个人的账户转出。</w:t>
      </w:r>
    </w:p>
    <w:p w14:paraId="57C5B31A">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4</w:t>
      </w:r>
      <w:r>
        <w:rPr>
          <w:rFonts w:hint="eastAsia" w:ascii="宋体" w:hAnsi="宋体"/>
          <w:color w:val="auto"/>
          <w:szCs w:val="21"/>
          <w:highlight w:val="none"/>
        </w:rPr>
        <w:t>使用通过受让或者租借等方式获取的资格、资质证书响应的，属于以他人名义谈判，其响应无效：</w:t>
      </w:r>
    </w:p>
    <w:p w14:paraId="0C0EE8C7">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bCs/>
          <w:color w:val="auto"/>
          <w:highlight w:val="none"/>
        </w:rPr>
        <w:t>1.7.</w:t>
      </w:r>
      <w:r>
        <w:rPr>
          <w:rFonts w:hint="eastAsia"/>
          <w:bCs/>
          <w:color w:val="auto"/>
          <w:highlight w:val="none"/>
        </w:rPr>
        <w:t>5</w:t>
      </w:r>
      <w:r>
        <w:rPr>
          <w:rFonts w:hint="eastAsia" w:ascii="宋体" w:hAnsi="宋体"/>
          <w:color w:val="auto"/>
          <w:szCs w:val="21"/>
          <w:highlight w:val="none"/>
        </w:rPr>
        <w:t>有下列情形之一的，属于以其他方式弄虚作假的行为，其响应无效：</w:t>
      </w:r>
    </w:p>
    <w:p w14:paraId="770931A9">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（1）使用伪造、变造的许可证件；</w:t>
      </w:r>
    </w:p>
    <w:p w14:paraId="01CF189D">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（2）提供虚假的财务状况或者业绩； </w:t>
      </w:r>
    </w:p>
    <w:p w14:paraId="6D7A1EBB">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 xml:space="preserve">（3）提供虚假的项目负责人或者主要技术人员简历、劳动关系证明； </w:t>
      </w:r>
    </w:p>
    <w:p w14:paraId="1E466B29">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（4）提供虚假的信用状况；</w:t>
      </w:r>
    </w:p>
    <w:p w14:paraId="69F5CB73">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highlight w:val="none"/>
        </w:rPr>
      </w:pPr>
      <w:r>
        <w:rPr>
          <w:rFonts w:hint="eastAsia" w:ascii="宋体" w:hAnsi="宋体"/>
          <w:color w:val="auto"/>
          <w:szCs w:val="21"/>
          <w:highlight w:val="none"/>
        </w:rPr>
        <w:t>（5）其他弄虚作假的行为。</w:t>
      </w:r>
    </w:p>
    <w:p w14:paraId="09128B2B">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bCs/>
          <w:color w:val="auto"/>
          <w:highlight w:val="none"/>
        </w:rPr>
        <w:t>1.7.</w:t>
      </w:r>
      <w:r>
        <w:rPr>
          <w:rFonts w:hint="eastAsia"/>
          <w:bCs/>
          <w:color w:val="auto"/>
          <w:highlight w:val="none"/>
        </w:rPr>
        <w:t xml:space="preserve">6响应人相关工作人员与采购人或采购代理机构有以下利害关系之一的，应当回避： </w:t>
      </w:r>
    </w:p>
    <w:p w14:paraId="49CAAF66">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（一）是其主要负责人的近亲属的；</w:t>
      </w:r>
    </w:p>
    <w:p w14:paraId="090F1094">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（二）竞争性谈判活动前3年内与其存在劳动关系，担任其董事、监事，是其控股股东或实际控制人，或存在其他经济利益关系，可能影响竞争性谈判活动公平公正的；</w:t>
      </w:r>
    </w:p>
    <w:p w14:paraId="5866BBD5">
      <w:pPr>
        <w:pageBreakBefore w:val="0"/>
        <w:widowControl w:val="0"/>
        <w:kinsoku/>
        <w:wordWrap/>
        <w:overflowPunct/>
        <w:topLinePunct w:val="0"/>
        <w:autoSpaceDE/>
        <w:autoSpaceDN/>
        <w:bidi w:val="0"/>
        <w:spacing w:line="400" w:lineRule="exact"/>
        <w:ind w:firstLine="359" w:firstLineChars="171"/>
        <w:textAlignment w:val="auto"/>
        <w:rPr>
          <w:bCs/>
          <w:color w:val="auto"/>
          <w:highlight w:val="none"/>
        </w:rPr>
      </w:pPr>
      <w:r>
        <w:rPr>
          <w:rFonts w:hint="eastAsia"/>
          <w:bCs/>
          <w:color w:val="auto"/>
          <w:highlight w:val="none"/>
        </w:rPr>
        <w:t>（三）其他可能影响竞争性谈判活动公平、公正进行的关系。</w:t>
      </w:r>
    </w:p>
    <w:p w14:paraId="6A68F879">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4" w:name="_Toc456551884"/>
      <w:bookmarkStart w:id="25" w:name="_Toc475552130"/>
      <w:r>
        <w:rPr>
          <w:rFonts w:hint="eastAsia" w:ascii="宋体" w:hAnsi="宋体"/>
          <w:b/>
          <w:color w:val="auto"/>
          <w:sz w:val="32"/>
          <w:szCs w:val="32"/>
          <w:highlight w:val="none"/>
        </w:rPr>
        <w:t>1.</w:t>
      </w:r>
      <w:r>
        <w:rPr>
          <w:rFonts w:ascii="宋体" w:hAnsi="宋体"/>
          <w:b/>
          <w:color w:val="auto"/>
          <w:sz w:val="32"/>
          <w:szCs w:val="32"/>
          <w:highlight w:val="none"/>
        </w:rPr>
        <w:t>8</w:t>
      </w:r>
      <w:r>
        <w:rPr>
          <w:rFonts w:hint="eastAsia" w:ascii="宋体" w:hAnsi="宋体"/>
          <w:b/>
          <w:color w:val="auto"/>
          <w:sz w:val="32"/>
          <w:szCs w:val="32"/>
          <w:highlight w:val="none"/>
        </w:rPr>
        <w:t xml:space="preserve"> 费用承担</w:t>
      </w:r>
      <w:bookmarkEnd w:id="24"/>
      <w:bookmarkEnd w:id="25"/>
    </w:p>
    <w:p w14:paraId="2DD132F6">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ascii="宋体" w:hAnsi="宋体" w:cs="宋体"/>
          <w:color w:val="auto"/>
          <w:szCs w:val="21"/>
          <w:highlight w:val="none"/>
        </w:rPr>
        <w:t>响应人准备和参加竞争性谈判活动发生的费用自理</w:t>
      </w:r>
      <w:r>
        <w:rPr>
          <w:rFonts w:hint="eastAsia"/>
          <w:color w:val="auto"/>
          <w:highlight w:val="none"/>
        </w:rPr>
        <w:t>。</w:t>
      </w:r>
    </w:p>
    <w:p w14:paraId="1DA8953A">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6" w:name="_Toc456551885"/>
      <w:bookmarkStart w:id="27" w:name="_Toc475552131"/>
      <w:r>
        <w:rPr>
          <w:rFonts w:hint="eastAsia" w:ascii="宋体" w:hAnsi="宋体"/>
          <w:b/>
          <w:color w:val="auto"/>
          <w:sz w:val="32"/>
          <w:szCs w:val="32"/>
          <w:highlight w:val="none"/>
        </w:rPr>
        <w:t>1.</w:t>
      </w:r>
      <w:r>
        <w:rPr>
          <w:rFonts w:ascii="宋体" w:hAnsi="宋体"/>
          <w:b/>
          <w:color w:val="auto"/>
          <w:sz w:val="32"/>
          <w:szCs w:val="32"/>
          <w:highlight w:val="none"/>
        </w:rPr>
        <w:t>9</w:t>
      </w:r>
      <w:r>
        <w:rPr>
          <w:rFonts w:hint="eastAsia" w:ascii="宋体" w:hAnsi="宋体"/>
          <w:b/>
          <w:color w:val="auto"/>
          <w:sz w:val="32"/>
          <w:szCs w:val="32"/>
          <w:highlight w:val="none"/>
        </w:rPr>
        <w:t xml:space="preserve"> 保密</w:t>
      </w:r>
      <w:bookmarkEnd w:id="26"/>
      <w:bookmarkEnd w:id="27"/>
    </w:p>
    <w:p w14:paraId="02677574">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 xml:space="preserve">参与竞争性谈判活动的各方应对竞争性谈判文件和响应文件中的商业和技术等秘密保密，违者应对由此造成的后果承担法律责任。 </w:t>
      </w:r>
    </w:p>
    <w:p w14:paraId="75196630">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28" w:name="_Toc456551887"/>
      <w:bookmarkStart w:id="29" w:name="_Toc475552133"/>
      <w:bookmarkStart w:id="30" w:name="_Toc456551886"/>
      <w:bookmarkStart w:id="31" w:name="_Toc475552132"/>
      <w:r>
        <w:rPr>
          <w:rFonts w:hint="eastAsia" w:ascii="宋体" w:hAnsi="宋体"/>
          <w:b/>
          <w:color w:val="auto"/>
          <w:sz w:val="32"/>
          <w:szCs w:val="32"/>
          <w:highlight w:val="none"/>
        </w:rPr>
        <w:t>1.10 语言文字</w:t>
      </w:r>
      <w:bookmarkEnd w:id="28"/>
      <w:bookmarkEnd w:id="29"/>
    </w:p>
    <w:p w14:paraId="3295C07D">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ascii="宋体" w:hAnsi="宋体" w:cs="宋体"/>
          <w:color w:val="auto"/>
          <w:szCs w:val="21"/>
          <w:highlight w:val="none"/>
        </w:rPr>
        <w:t>除专用术语外，与竞争性谈判有关的语言均使用简体中文。必要时专用术语应附有中文注释。</w:t>
      </w:r>
    </w:p>
    <w:p w14:paraId="25551E00">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r>
        <w:rPr>
          <w:rFonts w:hint="eastAsia" w:ascii="宋体" w:hAnsi="宋体"/>
          <w:b/>
          <w:color w:val="auto"/>
          <w:sz w:val="32"/>
          <w:szCs w:val="32"/>
          <w:highlight w:val="none"/>
        </w:rPr>
        <w:t>1.11 计量单位</w:t>
      </w:r>
      <w:bookmarkEnd w:id="30"/>
      <w:bookmarkEnd w:id="31"/>
    </w:p>
    <w:p w14:paraId="4A3C4D6D">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所有计量均采用中华人民共和国法定计量单位。</w:t>
      </w:r>
    </w:p>
    <w:p w14:paraId="564B118D">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highlight w:val="none"/>
        </w:rPr>
      </w:pPr>
      <w:bookmarkStart w:id="32" w:name="_Toc475552136"/>
      <w:bookmarkStart w:id="33" w:name="_Toc456551892"/>
      <w:r>
        <w:rPr>
          <w:rFonts w:hint="eastAsia" w:ascii="宋体" w:hAnsi="宋体"/>
          <w:b/>
          <w:color w:val="auto"/>
          <w:sz w:val="32"/>
          <w:szCs w:val="32"/>
          <w:highlight w:val="none"/>
        </w:rPr>
        <w:t>1.12 踏勘现场</w:t>
      </w:r>
      <w:bookmarkEnd w:id="32"/>
      <w:bookmarkEnd w:id="33"/>
    </w:p>
    <w:p w14:paraId="39F345E4">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1.12.1 竞争性谈判响应须知前附表规定组织踏勘现场的，采购人按竞争性谈判响应须知前附表规定的时间、地点组织响应人踏勘项目现场。</w:t>
      </w:r>
    </w:p>
    <w:p w14:paraId="02C58EBD">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1.12.2 响应人踏勘现场发生的费用自理。</w:t>
      </w:r>
    </w:p>
    <w:p w14:paraId="521F8E03">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1.12.3 除采购人的原因外，响应人自行负责在踏勘现场中所发生的人员伤亡和财产损失。</w:t>
      </w:r>
    </w:p>
    <w:p w14:paraId="136F4291">
      <w:pPr>
        <w:pageBreakBefore w:val="0"/>
        <w:widowControl w:val="0"/>
        <w:kinsoku/>
        <w:wordWrap/>
        <w:overflowPunct/>
        <w:topLinePunct w:val="0"/>
        <w:autoSpaceDE/>
        <w:autoSpaceDN/>
        <w:bidi w:val="0"/>
        <w:spacing w:line="400" w:lineRule="exact"/>
        <w:ind w:firstLine="420" w:firstLineChars="200"/>
        <w:textAlignment w:val="auto"/>
        <w:rPr>
          <w:color w:val="auto"/>
          <w:highlight w:val="none"/>
        </w:rPr>
      </w:pPr>
      <w:r>
        <w:rPr>
          <w:rFonts w:hint="eastAsia"/>
          <w:color w:val="auto"/>
          <w:highlight w:val="none"/>
        </w:rPr>
        <w:t>1.12.4 采购人在踏勘现场中介绍的实施地点和相关的周边环境情况，供响应人在编制响应文件时参考，采购人不对响应人据此作出的判断和决策负责。</w:t>
      </w:r>
    </w:p>
    <w:p w14:paraId="5B4C2C58">
      <w:pPr>
        <w:pageBreakBefore w:val="0"/>
        <w:widowControl w:val="0"/>
        <w:kinsoku/>
        <w:wordWrap/>
        <w:overflowPunct/>
        <w:topLinePunct w:val="0"/>
        <w:autoSpaceDE/>
        <w:autoSpaceDN/>
        <w:bidi w:val="0"/>
        <w:spacing w:line="400" w:lineRule="exact"/>
        <w:textAlignment w:val="auto"/>
        <w:rPr>
          <w:color w:val="auto"/>
          <w:highlight w:val="none"/>
        </w:rPr>
      </w:pPr>
    </w:p>
    <w:p w14:paraId="4ACF3CD3">
      <w:pPr>
        <w:pStyle w:val="3"/>
        <w:pageBreakBefore w:val="0"/>
        <w:widowControl w:val="0"/>
        <w:kinsoku/>
        <w:wordWrap/>
        <w:overflowPunct/>
        <w:topLinePunct w:val="0"/>
        <w:autoSpaceDE/>
        <w:autoSpaceDN/>
        <w:bidi w:val="0"/>
        <w:adjustRightInd/>
        <w:snapToGrid/>
        <w:spacing w:line="400" w:lineRule="exact"/>
        <w:textAlignment w:val="auto"/>
        <w:rPr>
          <w:rFonts w:ascii="黑体" w:hAnsi="黑体"/>
          <w:color w:val="auto"/>
          <w:highlight w:val="none"/>
        </w:rPr>
      </w:pPr>
      <w:bookmarkStart w:id="34" w:name="_Toc30247"/>
      <w:bookmarkStart w:id="35" w:name="_Toc456551890"/>
      <w:r>
        <w:rPr>
          <w:rFonts w:hint="eastAsia" w:ascii="黑体" w:hAnsi="黑体"/>
          <w:color w:val="auto"/>
          <w:highlight w:val="none"/>
        </w:rPr>
        <w:t>2. 竞争性谈判文件</w:t>
      </w:r>
      <w:bookmarkEnd w:id="34"/>
      <w:bookmarkEnd w:id="35"/>
    </w:p>
    <w:p w14:paraId="71A412D2">
      <w:pPr>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32"/>
          <w:szCs w:val="32"/>
          <w:highlight w:val="none"/>
        </w:rPr>
      </w:pPr>
      <w:bookmarkStart w:id="36" w:name="_Toc475552135"/>
      <w:bookmarkStart w:id="37" w:name="_Toc456551891"/>
      <w:r>
        <w:rPr>
          <w:rFonts w:hint="eastAsia" w:ascii="宋体" w:hAnsi="宋体"/>
          <w:b/>
          <w:color w:val="auto"/>
          <w:sz w:val="32"/>
          <w:szCs w:val="32"/>
          <w:highlight w:val="none"/>
        </w:rPr>
        <w:t>2.1 竞争性谈判文件的组成</w:t>
      </w:r>
      <w:bookmarkEnd w:id="36"/>
      <w:bookmarkEnd w:id="37"/>
    </w:p>
    <w:p w14:paraId="599801DE">
      <w:pPr>
        <w:pageBreakBefore w:val="0"/>
        <w:widowControl w:val="0"/>
        <w:kinsoku/>
        <w:wordWrap/>
        <w:overflowPunct/>
        <w:topLinePunct w:val="0"/>
        <w:autoSpaceDE/>
        <w:autoSpaceDN/>
        <w:bidi w:val="0"/>
        <w:adjustRightInd/>
        <w:snapToGrid/>
        <w:spacing w:line="400" w:lineRule="exact"/>
        <w:textAlignment w:val="auto"/>
        <w:rPr>
          <w:color w:val="auto"/>
          <w:highlight w:val="none"/>
        </w:rPr>
      </w:pPr>
      <w:r>
        <w:rPr>
          <w:rFonts w:hint="eastAsia"/>
          <w:color w:val="auto"/>
          <w:highlight w:val="none"/>
        </w:rPr>
        <w:t>　　2.1.1 本竞争性谈判文件一般由以下部分组成：</w:t>
      </w:r>
    </w:p>
    <w:p w14:paraId="440C848F">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第一章 竞争性谈判公告</w:t>
      </w:r>
    </w:p>
    <w:p w14:paraId="2A138C75">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第二章 竞争性谈判响应须知</w:t>
      </w:r>
    </w:p>
    <w:p w14:paraId="595DAF5C">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第三章 评审办法</w:t>
      </w:r>
    </w:p>
    <w:p w14:paraId="4ABAD129">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第四章 用户需求书；</w:t>
      </w:r>
    </w:p>
    <w:p w14:paraId="59F57880">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第五章 合同模板</w:t>
      </w:r>
    </w:p>
    <w:p w14:paraId="00ABA7EA">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第六章 响应文件格式</w:t>
      </w:r>
    </w:p>
    <w:p w14:paraId="54516770">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color w:val="auto"/>
          <w:highlight w:val="none"/>
        </w:rPr>
        <w:t>采购人另有要求的，见竞争性谈判响应须知前附表。</w:t>
      </w:r>
    </w:p>
    <w:p w14:paraId="260FDCBD">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highlight w:val="none"/>
        </w:rPr>
      </w:pPr>
      <w:r>
        <w:rPr>
          <w:rFonts w:hint="eastAsia" w:ascii="宋体" w:hAnsi="宋体" w:cs="宋体"/>
          <w:color w:val="auto"/>
          <w:szCs w:val="21"/>
          <w:highlight w:val="none"/>
        </w:rPr>
        <w:t>根据本章第2.2款对竞争性谈判文件所作的澄清、修改，构成竞争性谈判文件的组成部分。</w:t>
      </w:r>
    </w:p>
    <w:p w14:paraId="48F13953">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2.1.2竞争性谈判文件对同一内容的表述应当一致。第一章 “竞争性谈判公告”与竞争性谈判文件在同一内容的表述上有矛盾或冲突时，以第一章 “竞争性谈判公告”为准；竞争性谈判响应须知前附表与正文在同一内容的表述上有矛盾或冲突时，以竞争性谈判响应须知前附表为准。</w:t>
      </w:r>
    </w:p>
    <w:p w14:paraId="3F5AEEDE">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2.1.3</w:t>
      </w:r>
      <w:r>
        <w:rPr>
          <w:rFonts w:hint="eastAsia" w:ascii="宋体" w:hAnsi="宋体" w:cs="宋体"/>
          <w:b/>
          <w:color w:val="auto"/>
          <w:szCs w:val="21"/>
          <w:highlight w:val="none"/>
        </w:rPr>
        <w:t>竞争性谈判文件中标识“</w:t>
      </w:r>
      <w:r>
        <w:rPr>
          <w:rFonts w:eastAsia="黑体"/>
          <w:b/>
          <w:color w:val="auto"/>
          <w:sz w:val="32"/>
          <w:szCs w:val="32"/>
          <w:highlight w:val="none"/>
        </w:rPr>
        <w:sym w:font="Wingdings" w:char="00AB"/>
      </w:r>
      <w:r>
        <w:rPr>
          <w:rFonts w:hint="eastAsia" w:ascii="宋体" w:hAnsi="宋体" w:cs="宋体"/>
          <w:b/>
          <w:color w:val="auto"/>
          <w:szCs w:val="21"/>
          <w:highlight w:val="none"/>
        </w:rPr>
        <w:t>”的条款，均为实质性条款，任何不满足实质性条款的谈判将被否决</w:t>
      </w:r>
      <w:r>
        <w:rPr>
          <w:rFonts w:hint="eastAsia"/>
          <w:b/>
          <w:color w:val="auto"/>
          <w:highlight w:val="none"/>
        </w:rPr>
        <w:t>；</w:t>
      </w:r>
      <w:r>
        <w:rPr>
          <w:rFonts w:hint="eastAsia"/>
          <w:color w:val="auto"/>
          <w:highlight w:val="none"/>
        </w:rPr>
        <w:t>对于非实质性要求和条件，</w:t>
      </w:r>
      <w:r>
        <w:rPr>
          <w:rFonts w:hint="eastAsia" w:ascii="宋体" w:hAnsi="宋体" w:cs="宋体"/>
          <w:color w:val="auto"/>
          <w:szCs w:val="21"/>
          <w:highlight w:val="none"/>
        </w:rPr>
        <w:t>偏离应当符合</w:t>
      </w:r>
      <w:r>
        <w:rPr>
          <w:rFonts w:hint="eastAsia" w:hAnsi="宋体" w:cs="宋体"/>
          <w:bCs/>
          <w:color w:val="auto"/>
          <w:sz w:val="21"/>
          <w:szCs w:val="21"/>
          <w:highlight w:val="none"/>
        </w:rPr>
        <w:t>竞争性谈判</w:t>
      </w:r>
      <w:r>
        <w:rPr>
          <w:rFonts w:hint="eastAsia" w:ascii="宋体" w:hAnsi="宋体" w:cs="宋体"/>
          <w:color w:val="auto"/>
          <w:szCs w:val="21"/>
          <w:highlight w:val="none"/>
        </w:rPr>
        <w:t>文件规定的偏离范围和幅度</w:t>
      </w:r>
      <w:r>
        <w:rPr>
          <w:rFonts w:hint="eastAsia"/>
          <w:color w:val="auto"/>
          <w:highlight w:val="none"/>
        </w:rPr>
        <w:t>。</w:t>
      </w:r>
    </w:p>
    <w:p w14:paraId="1AC270A9">
      <w:pPr>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32"/>
          <w:szCs w:val="32"/>
          <w:highlight w:val="none"/>
        </w:rPr>
      </w:pPr>
      <w:bookmarkStart w:id="38" w:name="_Toc475552138"/>
      <w:bookmarkStart w:id="39" w:name="_Toc456551894"/>
      <w:r>
        <w:rPr>
          <w:rFonts w:hint="eastAsia" w:ascii="宋体" w:hAnsi="宋体"/>
          <w:b/>
          <w:color w:val="auto"/>
          <w:sz w:val="32"/>
          <w:szCs w:val="32"/>
          <w:highlight w:val="none"/>
        </w:rPr>
        <w:t>2.2 竞争性谈判文件的澄清和修改</w:t>
      </w:r>
      <w:bookmarkEnd w:id="38"/>
      <w:bookmarkEnd w:id="39"/>
    </w:p>
    <w:p w14:paraId="2243B344">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2.2.1响应人对竞争性谈判文件有任何疑问的，应当按照竞争性谈判响应须知前附表规定的时间和方式，向采购人提出澄清要求。</w:t>
      </w:r>
    </w:p>
    <w:p w14:paraId="79785730">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2.2.2</w:t>
      </w:r>
      <w:r>
        <w:rPr>
          <w:rFonts w:hint="eastAsia" w:ascii="宋体" w:hAnsi="宋体" w:cs="宋体"/>
          <w:color w:val="auto"/>
          <w:szCs w:val="21"/>
          <w:highlight w:val="none"/>
        </w:rPr>
        <w:t>无论是采购人根据需要主动对竞争性谈判文件进行必要的澄清，或是根据响应人的要求对竞争性谈判文件做出澄清，</w:t>
      </w:r>
      <w:r>
        <w:rPr>
          <w:rFonts w:hint="eastAsia"/>
          <w:color w:val="auto"/>
          <w:highlight w:val="none"/>
        </w:rPr>
        <w:t>采购人都应当按照竞争性谈判响应须知前附表规定的时间和方式，将澄清或修改内容发给所有潜在竞争性谈判响应人，但不指明问题的来源。</w:t>
      </w:r>
    </w:p>
    <w:p w14:paraId="26D88391">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2.2.3如澄清或修改的内容可能影响响应文件编制的，应当在递交响应文件截止时间至少3日前发出，不足3日的，采购人应相应顺延递交响应文件的截止时间。</w:t>
      </w:r>
    </w:p>
    <w:p w14:paraId="675FAD34">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2.2.4所有关于竞争性谈判文件的澄清和修改均作为竞争性谈判文件的补充部分。当竞争性谈判文件、竞争性谈判文件的澄清或修改等在同一内容的表述上不一致时，以最后发出的书面文件为准。</w:t>
      </w:r>
    </w:p>
    <w:p w14:paraId="2730D240">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highlight w:val="none"/>
        </w:rPr>
      </w:pPr>
      <w:r>
        <w:rPr>
          <w:rFonts w:hint="eastAsia"/>
          <w:color w:val="auto"/>
          <w:highlight w:val="none"/>
        </w:rPr>
        <w:t>2.2.5</w:t>
      </w:r>
      <w:r>
        <w:rPr>
          <w:rFonts w:hint="eastAsia" w:ascii="宋体" w:hAnsi="宋体" w:cs="宋体"/>
          <w:color w:val="auto"/>
          <w:szCs w:val="21"/>
          <w:highlight w:val="none"/>
        </w:rPr>
        <w:t>响应人对采购人提供的竞争性谈判文件所作出的推论、解释和结论，采购人概不负责；响应人由于对竞争性谈判文件的任何推论和误解以及采购人对有关问题的口头解释所造成的后果，均由响应人自行负责。</w:t>
      </w:r>
    </w:p>
    <w:p w14:paraId="5FF8F500">
      <w:pPr>
        <w:spacing w:line="400" w:lineRule="exact"/>
        <w:ind w:firstLine="420" w:firstLineChars="200"/>
        <w:rPr>
          <w:color w:val="auto"/>
          <w:highlight w:val="none"/>
        </w:rPr>
      </w:pPr>
    </w:p>
    <w:p w14:paraId="52C35911">
      <w:pPr>
        <w:pStyle w:val="3"/>
        <w:rPr>
          <w:rFonts w:ascii="黑体" w:hAnsi="黑体"/>
          <w:color w:val="auto"/>
          <w:highlight w:val="none"/>
        </w:rPr>
      </w:pPr>
      <w:bookmarkStart w:id="40" w:name="_Toc27392"/>
      <w:bookmarkStart w:id="41" w:name="_Toc456551895"/>
      <w:r>
        <w:rPr>
          <w:rFonts w:hint="eastAsia" w:ascii="黑体" w:hAnsi="黑体"/>
          <w:color w:val="auto"/>
          <w:highlight w:val="none"/>
        </w:rPr>
        <w:t>3. 响应文件</w:t>
      </w:r>
      <w:bookmarkEnd w:id="40"/>
      <w:bookmarkEnd w:id="41"/>
    </w:p>
    <w:p w14:paraId="22B9240A">
      <w:pPr>
        <w:spacing w:line="400" w:lineRule="exact"/>
        <w:rPr>
          <w:rFonts w:ascii="宋体" w:hAnsi="宋体"/>
          <w:b/>
          <w:color w:val="auto"/>
          <w:sz w:val="32"/>
          <w:szCs w:val="32"/>
          <w:highlight w:val="none"/>
        </w:rPr>
      </w:pPr>
      <w:bookmarkStart w:id="42" w:name="_Toc456551896"/>
      <w:bookmarkStart w:id="43" w:name="_Toc475552140"/>
      <w:r>
        <w:rPr>
          <w:rFonts w:hint="eastAsia" w:ascii="宋体" w:hAnsi="宋体"/>
          <w:b/>
          <w:color w:val="auto"/>
          <w:sz w:val="32"/>
          <w:szCs w:val="32"/>
          <w:highlight w:val="none"/>
        </w:rPr>
        <w:t>3.1 响应文件的组成</w:t>
      </w:r>
      <w:bookmarkEnd w:id="42"/>
      <w:bookmarkEnd w:id="43"/>
    </w:p>
    <w:p w14:paraId="4DC95C78">
      <w:pPr>
        <w:spacing w:line="400" w:lineRule="exact"/>
        <w:ind w:firstLine="359" w:firstLineChars="171"/>
        <w:rPr>
          <w:rFonts w:ascii="宋体" w:hAnsi="宋体" w:cs="宋体"/>
          <w:color w:val="auto"/>
          <w:szCs w:val="21"/>
          <w:highlight w:val="none"/>
        </w:rPr>
      </w:pPr>
      <w:r>
        <w:rPr>
          <w:rFonts w:hint="eastAsia" w:ascii="宋体" w:hAnsi="宋体" w:cs="宋体"/>
          <w:color w:val="auto"/>
          <w:szCs w:val="21"/>
          <w:highlight w:val="none"/>
        </w:rPr>
        <w:t>响应人应当按照竞争性谈判文件的要求编制并提交响应文件。</w:t>
      </w:r>
    </w:p>
    <w:p w14:paraId="14265CDB">
      <w:pPr>
        <w:spacing w:line="400" w:lineRule="exact"/>
        <w:rPr>
          <w:rFonts w:ascii="宋体" w:hAnsi="宋体"/>
          <w:b/>
          <w:color w:val="auto"/>
          <w:sz w:val="32"/>
          <w:szCs w:val="32"/>
          <w:highlight w:val="none"/>
        </w:rPr>
      </w:pPr>
      <w:bookmarkStart w:id="44" w:name="_Toc475552141"/>
      <w:bookmarkStart w:id="45" w:name="_Toc456551897"/>
      <w:r>
        <w:rPr>
          <w:rFonts w:hint="eastAsia" w:ascii="宋体" w:hAnsi="宋体"/>
          <w:b/>
          <w:color w:val="auto"/>
          <w:sz w:val="32"/>
          <w:szCs w:val="32"/>
          <w:highlight w:val="none"/>
        </w:rPr>
        <w:t>3.2响应文件的编制</w:t>
      </w:r>
      <w:bookmarkEnd w:id="44"/>
      <w:bookmarkEnd w:id="45"/>
    </w:p>
    <w:p w14:paraId="433E3397">
      <w:pPr>
        <w:spacing w:line="400" w:lineRule="exact"/>
        <w:ind w:firstLine="420" w:firstLineChars="200"/>
        <w:rPr>
          <w:color w:val="auto"/>
          <w:szCs w:val="21"/>
          <w:highlight w:val="none"/>
        </w:rPr>
      </w:pPr>
      <w:r>
        <w:rPr>
          <w:rFonts w:hint="eastAsia"/>
          <w:color w:val="auto"/>
          <w:szCs w:val="21"/>
          <w:highlight w:val="none"/>
        </w:rPr>
        <w:t>3.2.1响应人应当按照竞争性谈判文件的要求编制响应文件，响应文件应当对竞争性谈判文件提出的实质性要求和条件作出响应。</w:t>
      </w:r>
      <w:r>
        <w:rPr>
          <w:color w:val="auto"/>
          <w:szCs w:val="21"/>
          <w:highlight w:val="none"/>
        </w:rPr>
        <w:t xml:space="preserve"> </w:t>
      </w:r>
    </w:p>
    <w:p w14:paraId="52FE61CB">
      <w:pPr>
        <w:spacing w:line="400" w:lineRule="exact"/>
        <w:ind w:firstLine="420" w:firstLineChars="200"/>
        <w:rPr>
          <w:color w:val="auto"/>
          <w:szCs w:val="21"/>
          <w:highlight w:val="none"/>
        </w:rPr>
      </w:pPr>
      <w:r>
        <w:rPr>
          <w:rFonts w:hint="eastAsia"/>
          <w:color w:val="auto"/>
          <w:szCs w:val="21"/>
          <w:highlight w:val="none"/>
        </w:rPr>
        <w:t>3.2.2</w:t>
      </w:r>
      <w:r>
        <w:rPr>
          <w:rFonts w:hint="eastAsia" w:ascii="宋体" w:hAnsi="宋体" w:cs="宋体"/>
          <w:color w:val="auto"/>
          <w:szCs w:val="21"/>
          <w:highlight w:val="none"/>
        </w:rPr>
        <w:t>响应人应认真阅读竞争性谈判文件中所有的事项、格式、条款和技术规范等。响应人没有按照竞争性谈判文件要求递交全部资料，或者响应人没有对竞争性谈判文件的所有实质性要求作出全面响应是采购人的风险，并可能导致其竞争性谈判被否决。响应文件响应和编写的具体要求见竞争性谈判响应须知前附表。</w:t>
      </w:r>
    </w:p>
    <w:p w14:paraId="7F17E47A">
      <w:pPr>
        <w:spacing w:line="400" w:lineRule="exact"/>
        <w:ind w:firstLine="420" w:firstLineChars="200"/>
        <w:rPr>
          <w:color w:val="auto"/>
          <w:szCs w:val="21"/>
          <w:highlight w:val="none"/>
        </w:rPr>
      </w:pPr>
      <w:r>
        <w:rPr>
          <w:rFonts w:hint="eastAsia"/>
          <w:color w:val="auto"/>
          <w:szCs w:val="21"/>
          <w:highlight w:val="none"/>
        </w:rPr>
        <w:t>3.2.3响应人提交的响应文件以及响应人与采购人就有关竞争性谈判的所有往来函电均应使用中文。响应人提交的证明文件和印刷的文献如使用其他语言的，相应内容应译成中文，在解释响应文件时以中文译本为准。</w:t>
      </w:r>
    </w:p>
    <w:p w14:paraId="064D1ECA">
      <w:pPr>
        <w:spacing w:line="400" w:lineRule="exact"/>
        <w:ind w:firstLine="420" w:firstLineChars="200"/>
        <w:rPr>
          <w:color w:val="auto"/>
          <w:szCs w:val="21"/>
          <w:highlight w:val="none"/>
        </w:rPr>
      </w:pPr>
      <w:r>
        <w:rPr>
          <w:rFonts w:hint="eastAsia"/>
          <w:color w:val="auto"/>
          <w:szCs w:val="21"/>
          <w:highlight w:val="none"/>
        </w:rPr>
        <w:t>3.2.4响应文件应当使用不褪色的材料书写或打印，并盖单位公章。委托代理人签字</w:t>
      </w:r>
      <w:r>
        <w:rPr>
          <w:rFonts w:hint="eastAsia"/>
          <w:color w:val="auto"/>
          <w:szCs w:val="21"/>
          <w:highlight w:val="none"/>
          <w:lang w:val="en-US" w:eastAsia="zh-CN"/>
        </w:rPr>
        <w:t>或盖章</w:t>
      </w:r>
      <w:r>
        <w:rPr>
          <w:rFonts w:hint="eastAsia"/>
          <w:color w:val="auto"/>
          <w:szCs w:val="21"/>
          <w:highlight w:val="none"/>
        </w:rPr>
        <w:t>的，响应文件应附法定代表人签署的授权委托书。响应文件应尽量避免涂改、行间插字或删除。如果出现上述情况，改动之处应加盖单位公章或由响应人的法定代表人</w:t>
      </w:r>
      <w:r>
        <w:rPr>
          <w:rFonts w:hint="eastAsia"/>
          <w:color w:val="auto"/>
          <w:szCs w:val="21"/>
          <w:highlight w:val="none"/>
          <w:lang w:eastAsia="zh-CN"/>
        </w:rPr>
        <w:t>（</w:t>
      </w:r>
      <w:r>
        <w:rPr>
          <w:rFonts w:hint="eastAsia"/>
          <w:color w:val="auto"/>
          <w:szCs w:val="21"/>
          <w:highlight w:val="none"/>
        </w:rPr>
        <w:t>或其委托代理人</w:t>
      </w:r>
      <w:r>
        <w:rPr>
          <w:rFonts w:hint="eastAsia"/>
          <w:color w:val="auto"/>
          <w:szCs w:val="21"/>
          <w:highlight w:val="none"/>
          <w:lang w:eastAsia="zh-CN"/>
        </w:rPr>
        <w:t>）</w:t>
      </w:r>
      <w:r>
        <w:rPr>
          <w:rFonts w:hint="eastAsia"/>
          <w:color w:val="auto"/>
          <w:szCs w:val="21"/>
          <w:highlight w:val="none"/>
        </w:rPr>
        <w:t>签字</w:t>
      </w:r>
      <w:r>
        <w:rPr>
          <w:rFonts w:hint="eastAsia"/>
          <w:color w:val="auto"/>
          <w:szCs w:val="21"/>
          <w:highlight w:val="none"/>
          <w:lang w:val="en-US" w:eastAsia="zh-CN"/>
        </w:rPr>
        <w:t>或盖章</w:t>
      </w:r>
      <w:r>
        <w:rPr>
          <w:rFonts w:hint="eastAsia"/>
          <w:color w:val="auto"/>
          <w:szCs w:val="21"/>
          <w:highlight w:val="none"/>
        </w:rPr>
        <w:t>确认。响应文件盖章或者</w:t>
      </w:r>
      <w:r>
        <w:rPr>
          <w:rFonts w:hint="eastAsia"/>
          <w:color w:val="auto"/>
          <w:szCs w:val="21"/>
          <w:highlight w:val="none"/>
          <w:lang w:val="en-US" w:eastAsia="zh-CN"/>
        </w:rPr>
        <w:t>签署</w:t>
      </w:r>
      <w:r>
        <w:rPr>
          <w:rFonts w:hint="eastAsia"/>
          <w:color w:val="auto"/>
          <w:szCs w:val="21"/>
          <w:highlight w:val="none"/>
        </w:rPr>
        <w:t>另有要求的，见竞争性谈判响应须知前附表。</w:t>
      </w:r>
    </w:p>
    <w:p w14:paraId="5D132188">
      <w:pPr>
        <w:spacing w:line="400" w:lineRule="exact"/>
        <w:rPr>
          <w:rFonts w:ascii="宋体" w:hAnsi="宋体"/>
          <w:b/>
          <w:color w:val="auto"/>
          <w:sz w:val="32"/>
          <w:szCs w:val="32"/>
          <w:highlight w:val="none"/>
        </w:rPr>
      </w:pPr>
      <w:bookmarkStart w:id="46" w:name="_Toc456551898"/>
      <w:bookmarkStart w:id="47" w:name="_Toc475552142"/>
      <w:r>
        <w:rPr>
          <w:rFonts w:hint="eastAsia" w:ascii="宋体" w:hAnsi="宋体"/>
          <w:b/>
          <w:color w:val="auto"/>
          <w:sz w:val="32"/>
          <w:szCs w:val="32"/>
          <w:highlight w:val="none"/>
        </w:rPr>
        <w:t>3.3 竞争性谈判报价</w:t>
      </w:r>
      <w:bookmarkEnd w:id="46"/>
      <w:bookmarkEnd w:id="47"/>
    </w:p>
    <w:p w14:paraId="47D601F9">
      <w:pPr>
        <w:spacing w:line="400" w:lineRule="exact"/>
        <w:ind w:firstLine="420" w:firstLineChars="200"/>
        <w:rPr>
          <w:color w:val="auto"/>
          <w:highlight w:val="none"/>
        </w:rPr>
      </w:pPr>
      <w:r>
        <w:rPr>
          <w:rFonts w:hint="eastAsia"/>
          <w:color w:val="auto"/>
          <w:highlight w:val="none"/>
        </w:rPr>
        <w:t>3.3.1</w:t>
      </w:r>
      <w:r>
        <w:rPr>
          <w:rFonts w:hint="eastAsia"/>
          <w:bCs/>
          <w:color w:val="auto"/>
          <w:highlight w:val="none"/>
        </w:rPr>
        <w:t>竞争性谈判报价的具体要求见竞争性谈判响应须知前附表</w:t>
      </w:r>
      <w:r>
        <w:rPr>
          <w:rFonts w:hint="eastAsia" w:ascii="宋体" w:hAnsi="宋体"/>
          <w:color w:val="auto"/>
          <w:szCs w:val="21"/>
          <w:highlight w:val="none"/>
        </w:rPr>
        <w:t>。</w:t>
      </w:r>
    </w:p>
    <w:p w14:paraId="60B3CD6C">
      <w:pPr>
        <w:spacing w:line="400" w:lineRule="exact"/>
        <w:ind w:firstLine="420" w:firstLineChars="200"/>
        <w:rPr>
          <w:color w:val="auto"/>
          <w:highlight w:val="none"/>
        </w:rPr>
      </w:pPr>
      <w:r>
        <w:rPr>
          <w:rFonts w:hint="eastAsia"/>
          <w:color w:val="auto"/>
          <w:highlight w:val="none"/>
        </w:rPr>
        <w:t>3.3.2竞争性谈判货币：人民币</w:t>
      </w:r>
      <w:r>
        <w:rPr>
          <w:rFonts w:hint="eastAsia" w:ascii="宋体" w:hAnsi="宋体"/>
          <w:color w:val="auto"/>
          <w:szCs w:val="21"/>
          <w:highlight w:val="none"/>
        </w:rPr>
        <w:t>。响应文件中如出现其他币种，一律以唱标当天中国人民银行公布的汇率折算为人民币。</w:t>
      </w:r>
    </w:p>
    <w:p w14:paraId="5D5995A1">
      <w:pPr>
        <w:spacing w:line="400" w:lineRule="exact"/>
        <w:ind w:firstLine="420" w:firstLineChars="200"/>
        <w:rPr>
          <w:color w:val="auto"/>
          <w:highlight w:val="none"/>
        </w:rPr>
      </w:pPr>
      <w:r>
        <w:rPr>
          <w:rFonts w:hint="eastAsia"/>
          <w:color w:val="auto"/>
          <w:highlight w:val="none"/>
        </w:rPr>
        <w:t xml:space="preserve">3.3.3 </w:t>
      </w:r>
      <w:r>
        <w:rPr>
          <w:rFonts w:hint="eastAsia"/>
          <w:b/>
          <w:color w:val="auto"/>
          <w:highlight w:val="none"/>
        </w:rPr>
        <w:t>采购人设有最高谈判限价的，响应人的竞争性谈判</w:t>
      </w:r>
      <w:r>
        <w:rPr>
          <w:rFonts w:hint="eastAsia"/>
          <w:b/>
          <w:color w:val="auto"/>
          <w:highlight w:val="none"/>
          <w:lang w:val="en-US" w:eastAsia="zh-CN"/>
        </w:rPr>
        <w:t>含税</w:t>
      </w:r>
      <w:r>
        <w:rPr>
          <w:rFonts w:hint="eastAsia"/>
          <w:b/>
          <w:color w:val="auto"/>
          <w:highlight w:val="none"/>
        </w:rPr>
        <w:t>报价不得超过最高限价（含税），否则其谈判将被否决。</w:t>
      </w:r>
      <w:r>
        <w:rPr>
          <w:rFonts w:hint="eastAsia"/>
          <w:color w:val="auto"/>
          <w:highlight w:val="none"/>
        </w:rPr>
        <w:t>最高竞争性谈判限价或其计算方法见竞争性谈判响应须知前附表。</w:t>
      </w:r>
    </w:p>
    <w:p w14:paraId="3ED1ACC3">
      <w:pPr>
        <w:spacing w:line="400" w:lineRule="exact"/>
        <w:ind w:firstLine="420" w:firstLineChars="200"/>
        <w:rPr>
          <w:color w:val="auto"/>
          <w:highlight w:val="none"/>
        </w:rPr>
      </w:pPr>
      <w:r>
        <w:rPr>
          <w:rFonts w:hint="eastAsia"/>
          <w:color w:val="auto"/>
          <w:highlight w:val="none"/>
        </w:rPr>
        <w:t>3.3.4 采购人不接受响应人的任何低于成本报价的不正当竞争方式。</w:t>
      </w:r>
    </w:p>
    <w:p w14:paraId="438A49DE">
      <w:pPr>
        <w:spacing w:line="400" w:lineRule="exact"/>
        <w:rPr>
          <w:rFonts w:ascii="宋体" w:hAnsi="宋体"/>
          <w:b/>
          <w:color w:val="auto"/>
          <w:sz w:val="32"/>
          <w:szCs w:val="32"/>
          <w:highlight w:val="none"/>
        </w:rPr>
      </w:pPr>
      <w:bookmarkStart w:id="48" w:name="_Toc475552143"/>
      <w:bookmarkStart w:id="49" w:name="_Toc456551899"/>
      <w:r>
        <w:rPr>
          <w:rFonts w:hint="eastAsia" w:ascii="宋体" w:hAnsi="宋体"/>
          <w:b/>
          <w:color w:val="auto"/>
          <w:sz w:val="32"/>
          <w:szCs w:val="32"/>
          <w:highlight w:val="none"/>
        </w:rPr>
        <w:t>3.4 竞争性谈判有效期</w:t>
      </w:r>
      <w:bookmarkEnd w:id="48"/>
      <w:bookmarkEnd w:id="49"/>
    </w:p>
    <w:p w14:paraId="11DBE052">
      <w:pPr>
        <w:spacing w:line="400" w:lineRule="exact"/>
        <w:ind w:firstLine="420" w:firstLineChars="200"/>
        <w:rPr>
          <w:color w:val="auto"/>
          <w:highlight w:val="none"/>
        </w:rPr>
      </w:pPr>
      <w:r>
        <w:rPr>
          <w:rFonts w:hint="eastAsia"/>
          <w:color w:val="auto"/>
          <w:highlight w:val="none"/>
        </w:rPr>
        <w:t>3.4.1谈判有效期从递交响应文件截止日起计算，竞争性谈判有效期的具体时间见竞争性谈判响应须知前附表，在此期间，响应人不得要求撤销或修改其响应文件。</w:t>
      </w:r>
      <w:r>
        <w:rPr>
          <w:rFonts w:hint="eastAsia"/>
          <w:b/>
          <w:color w:val="auto"/>
          <w:highlight w:val="none"/>
        </w:rPr>
        <w:t>谈判有效期不满足竞争性谈判文件要求的谈判将被否决。</w:t>
      </w:r>
    </w:p>
    <w:p w14:paraId="500B81A7">
      <w:pPr>
        <w:spacing w:line="400" w:lineRule="exact"/>
        <w:ind w:firstLine="420" w:firstLineChars="200"/>
        <w:rPr>
          <w:color w:val="auto"/>
          <w:highlight w:val="none"/>
        </w:rPr>
      </w:pPr>
      <w:r>
        <w:rPr>
          <w:rFonts w:hint="eastAsia"/>
          <w:color w:val="auto"/>
          <w:highlight w:val="none"/>
        </w:rPr>
        <w:t>3.4.2</w:t>
      </w:r>
      <w:r>
        <w:rPr>
          <w:rFonts w:hint="eastAsia" w:ascii="宋体" w:hAnsi="宋体" w:cs="宋体"/>
          <w:color w:val="auto"/>
          <w:szCs w:val="21"/>
          <w:highlight w:val="none"/>
        </w:rPr>
        <w:t>出现特殊情况需要延长谈判有效期的，采购人以书面形式通知所有响应人延长竞争性谈判有效期。响应人同意延长的，应相应延长其竞争性谈判保证金的有效期，但不得要求或被允许修改或撤销其响应文件；响应人拒绝延长的，其响应失效，但响应人有权收回其响应保证金。</w:t>
      </w:r>
    </w:p>
    <w:p w14:paraId="0759B899">
      <w:pPr>
        <w:spacing w:line="400" w:lineRule="exact"/>
        <w:rPr>
          <w:rFonts w:ascii="宋体" w:hAnsi="宋体"/>
          <w:b/>
          <w:color w:val="auto"/>
          <w:sz w:val="32"/>
          <w:szCs w:val="32"/>
          <w:highlight w:val="none"/>
        </w:rPr>
      </w:pPr>
      <w:bookmarkStart w:id="50" w:name="_Toc456551900"/>
      <w:bookmarkStart w:id="51" w:name="_Toc475552144"/>
      <w:r>
        <w:rPr>
          <w:rFonts w:hint="eastAsia" w:ascii="宋体" w:hAnsi="宋体"/>
          <w:b/>
          <w:color w:val="auto"/>
          <w:sz w:val="32"/>
          <w:szCs w:val="32"/>
          <w:highlight w:val="none"/>
        </w:rPr>
        <w:t>3.5 竞争性谈判保证金</w:t>
      </w:r>
      <w:bookmarkEnd w:id="50"/>
      <w:bookmarkEnd w:id="51"/>
    </w:p>
    <w:p w14:paraId="65449DAF">
      <w:pPr>
        <w:spacing w:line="400" w:lineRule="exact"/>
        <w:ind w:firstLine="420" w:firstLineChars="200"/>
        <w:rPr>
          <w:color w:val="auto"/>
          <w:highlight w:val="none"/>
        </w:rPr>
      </w:pPr>
      <w:r>
        <w:rPr>
          <w:rFonts w:hint="eastAsia"/>
          <w:color w:val="auto"/>
          <w:highlight w:val="none"/>
        </w:rPr>
        <w:t>3.5.1 采购人要求响应人提交竞争性谈判保证金的，响应人必须在提交响应文件的同时，按照竞争性谈判响应须知前附表的规定提交竞争性谈判保证金。</w:t>
      </w:r>
    </w:p>
    <w:p w14:paraId="3B5F9146">
      <w:pPr>
        <w:spacing w:line="400" w:lineRule="exact"/>
        <w:ind w:firstLine="420" w:firstLineChars="200"/>
        <w:rPr>
          <w:color w:val="auto"/>
          <w:highlight w:val="none"/>
        </w:rPr>
      </w:pPr>
      <w:r>
        <w:rPr>
          <w:rFonts w:hint="eastAsia"/>
          <w:color w:val="auto"/>
          <w:highlight w:val="none"/>
        </w:rPr>
        <w:t>3.5.2 采购人可以规定竞争性谈判保证金是以现金、支票、银行汇票、中国注册的银行出具的银行保函等方式递交。竞争性谈判保证金的形式见竞争性谈判响应须知前附表。</w:t>
      </w:r>
    </w:p>
    <w:p w14:paraId="53771F0D">
      <w:pPr>
        <w:spacing w:line="400" w:lineRule="exact"/>
        <w:ind w:firstLine="420" w:firstLineChars="200"/>
        <w:rPr>
          <w:color w:val="auto"/>
          <w:highlight w:val="none"/>
        </w:rPr>
      </w:pPr>
      <w:r>
        <w:rPr>
          <w:rFonts w:hint="eastAsia"/>
          <w:color w:val="auto"/>
          <w:highlight w:val="none"/>
        </w:rPr>
        <w:t>3.5.3 采购人应当在项目书面合同签订后5日内向成交人和未成交的响应人无息退还竞争性谈判保证金，退还至响应人原转出账户。</w:t>
      </w:r>
    </w:p>
    <w:p w14:paraId="539BCCB5">
      <w:pPr>
        <w:spacing w:line="400" w:lineRule="exact"/>
        <w:ind w:firstLine="420" w:firstLineChars="200"/>
        <w:rPr>
          <w:color w:val="auto"/>
          <w:highlight w:val="none"/>
        </w:rPr>
      </w:pPr>
      <w:r>
        <w:rPr>
          <w:rFonts w:hint="eastAsia"/>
          <w:color w:val="auto"/>
          <w:highlight w:val="none"/>
        </w:rPr>
        <w:t xml:space="preserve">3.5.4 有下列情形之一的，竞争性谈判保证金可不予退还： </w:t>
      </w:r>
    </w:p>
    <w:p w14:paraId="0BDEFFFA">
      <w:pPr>
        <w:spacing w:line="400" w:lineRule="exact"/>
        <w:ind w:firstLine="718" w:firstLineChars="342"/>
        <w:rPr>
          <w:color w:val="auto"/>
          <w:highlight w:val="none"/>
        </w:rPr>
      </w:pPr>
      <w:r>
        <w:rPr>
          <w:rFonts w:hint="eastAsia"/>
          <w:color w:val="auto"/>
          <w:highlight w:val="none"/>
        </w:rPr>
        <w:t>（1）</w:t>
      </w:r>
      <w:r>
        <w:rPr>
          <w:rFonts w:hint="eastAsia"/>
          <w:color w:val="auto"/>
          <w:szCs w:val="18"/>
          <w:highlight w:val="none"/>
        </w:rPr>
        <w:t>响应人在规定的竞争性谈判有效期内撤销或修改其响应文件的；</w:t>
      </w:r>
    </w:p>
    <w:p w14:paraId="4394EA11">
      <w:pPr>
        <w:spacing w:line="400" w:lineRule="exact"/>
        <w:ind w:firstLine="718" w:firstLineChars="342"/>
        <w:rPr>
          <w:color w:val="auto"/>
          <w:szCs w:val="18"/>
          <w:highlight w:val="none"/>
        </w:rPr>
      </w:pPr>
      <w:r>
        <w:rPr>
          <w:rFonts w:hint="eastAsia"/>
          <w:color w:val="auto"/>
          <w:szCs w:val="18"/>
          <w:highlight w:val="none"/>
        </w:rPr>
        <w:t>（2）成交人未能在规定期限内提交履约担保或签订合同协议的；</w:t>
      </w:r>
    </w:p>
    <w:p w14:paraId="45DDDA2C">
      <w:pPr>
        <w:spacing w:line="400" w:lineRule="exact"/>
        <w:ind w:firstLine="718" w:firstLineChars="342"/>
        <w:rPr>
          <w:color w:val="auto"/>
          <w:szCs w:val="18"/>
          <w:highlight w:val="none"/>
        </w:rPr>
      </w:pPr>
      <w:r>
        <w:rPr>
          <w:rFonts w:hint="eastAsia"/>
          <w:color w:val="auto"/>
          <w:szCs w:val="18"/>
          <w:highlight w:val="none"/>
        </w:rPr>
        <w:t>（3）响应人有串通竞争性谈判、弄虚作假等行为的；</w:t>
      </w:r>
    </w:p>
    <w:p w14:paraId="52EF4366">
      <w:pPr>
        <w:spacing w:line="400" w:lineRule="exact"/>
        <w:ind w:firstLine="718" w:firstLineChars="342"/>
        <w:rPr>
          <w:color w:val="auto"/>
          <w:szCs w:val="18"/>
          <w:highlight w:val="none"/>
        </w:rPr>
      </w:pPr>
      <w:r>
        <w:rPr>
          <w:rFonts w:hint="eastAsia"/>
          <w:color w:val="auto"/>
          <w:szCs w:val="18"/>
          <w:highlight w:val="none"/>
        </w:rPr>
        <w:t>（4）响应人以他人名义响应、与他人串通响应、以行贿手段谋取成交、弄虚作假等行为。</w:t>
      </w:r>
    </w:p>
    <w:p w14:paraId="607326CC">
      <w:pPr>
        <w:spacing w:line="400" w:lineRule="exact"/>
        <w:ind w:firstLine="718" w:firstLineChars="342"/>
        <w:rPr>
          <w:color w:val="auto"/>
          <w:szCs w:val="18"/>
          <w:highlight w:val="none"/>
        </w:rPr>
      </w:pPr>
      <w:r>
        <w:rPr>
          <w:rFonts w:hint="eastAsia"/>
          <w:color w:val="auto"/>
          <w:szCs w:val="18"/>
          <w:highlight w:val="none"/>
        </w:rPr>
        <w:t>（5）成交人提交虚假资料或无效资料成交，影响成交结果的。</w:t>
      </w:r>
    </w:p>
    <w:p w14:paraId="55EF3D9D">
      <w:pPr>
        <w:spacing w:line="400" w:lineRule="exact"/>
        <w:ind w:firstLine="718" w:firstLineChars="342"/>
        <w:rPr>
          <w:color w:val="auto"/>
          <w:szCs w:val="18"/>
          <w:highlight w:val="none"/>
        </w:rPr>
      </w:pPr>
      <w:r>
        <w:rPr>
          <w:rFonts w:hint="eastAsia"/>
          <w:color w:val="auto"/>
          <w:szCs w:val="18"/>
          <w:highlight w:val="none"/>
        </w:rPr>
        <w:t>（7）成交人无正当理由拒绝提交相关证件原件核对的。</w:t>
      </w:r>
    </w:p>
    <w:p w14:paraId="17952FAE">
      <w:pPr>
        <w:spacing w:line="400" w:lineRule="exact"/>
        <w:ind w:firstLine="718" w:firstLineChars="342"/>
        <w:rPr>
          <w:color w:val="auto"/>
          <w:szCs w:val="18"/>
          <w:highlight w:val="none"/>
        </w:rPr>
      </w:pPr>
      <w:r>
        <w:rPr>
          <w:rFonts w:hint="eastAsia"/>
          <w:color w:val="auto"/>
          <w:szCs w:val="18"/>
          <w:highlight w:val="none"/>
        </w:rPr>
        <w:t>（8）成交人将本项目转让给他人，或者在响应文件中未说明，且未经采购人同意，将成交项目分包给他人的；</w:t>
      </w:r>
    </w:p>
    <w:p w14:paraId="511C2D65">
      <w:pPr>
        <w:spacing w:line="400" w:lineRule="exact"/>
        <w:ind w:firstLine="718" w:firstLineChars="342"/>
        <w:rPr>
          <w:color w:val="auto"/>
          <w:szCs w:val="18"/>
          <w:highlight w:val="none"/>
        </w:rPr>
      </w:pPr>
      <w:r>
        <w:rPr>
          <w:rFonts w:hint="eastAsia"/>
          <w:color w:val="auto"/>
          <w:szCs w:val="18"/>
          <w:highlight w:val="none"/>
        </w:rPr>
        <w:t>（9）其他规定见竞争性谈判响应须知前附表。</w:t>
      </w:r>
    </w:p>
    <w:p w14:paraId="4F0D78A1">
      <w:pPr>
        <w:spacing w:line="400" w:lineRule="exact"/>
        <w:ind w:firstLine="422" w:firstLineChars="200"/>
        <w:rPr>
          <w:b/>
          <w:color w:val="auto"/>
          <w:highlight w:val="none"/>
        </w:rPr>
      </w:pPr>
      <w:r>
        <w:rPr>
          <w:rFonts w:hint="eastAsia"/>
          <w:b/>
          <w:color w:val="auto"/>
          <w:highlight w:val="none"/>
        </w:rPr>
        <w:t>3.5.5 未按要求提交竞争性谈判保证金或提交的竞争性谈判保证金不足的竞争性谈判将被否决。</w:t>
      </w:r>
    </w:p>
    <w:p w14:paraId="69EFE495">
      <w:pPr>
        <w:spacing w:line="400" w:lineRule="exact"/>
        <w:rPr>
          <w:rFonts w:ascii="宋体" w:hAnsi="宋体"/>
          <w:b/>
          <w:color w:val="auto"/>
          <w:sz w:val="32"/>
          <w:szCs w:val="32"/>
          <w:highlight w:val="none"/>
        </w:rPr>
      </w:pPr>
      <w:bookmarkStart w:id="52" w:name="_Toc226969298"/>
      <w:bookmarkStart w:id="53" w:name="_Toc227057904"/>
      <w:bookmarkStart w:id="54" w:name="_Toc456551902"/>
      <w:bookmarkStart w:id="55" w:name="_Toc475552146"/>
      <w:r>
        <w:rPr>
          <w:rFonts w:hint="eastAsia" w:ascii="宋体" w:hAnsi="宋体"/>
          <w:b/>
          <w:color w:val="auto"/>
          <w:sz w:val="32"/>
          <w:szCs w:val="32"/>
          <w:highlight w:val="none"/>
        </w:rPr>
        <w:t>3.6 响应文件的式样</w:t>
      </w:r>
      <w:bookmarkEnd w:id="52"/>
      <w:bookmarkEnd w:id="53"/>
      <w:r>
        <w:rPr>
          <w:rFonts w:hint="eastAsia" w:ascii="宋体" w:hAnsi="宋体"/>
          <w:b/>
          <w:color w:val="auto"/>
          <w:sz w:val="32"/>
          <w:szCs w:val="32"/>
          <w:highlight w:val="none"/>
        </w:rPr>
        <w:t>、密封和标记</w:t>
      </w:r>
      <w:bookmarkEnd w:id="54"/>
      <w:bookmarkEnd w:id="55"/>
    </w:p>
    <w:p w14:paraId="5D416DBA">
      <w:pPr>
        <w:spacing w:line="400" w:lineRule="exact"/>
        <w:ind w:firstLine="420" w:firstLineChars="200"/>
        <w:rPr>
          <w:color w:val="auto"/>
          <w:szCs w:val="21"/>
          <w:highlight w:val="none"/>
        </w:rPr>
      </w:pPr>
      <w:r>
        <w:rPr>
          <w:rFonts w:hint="eastAsia"/>
          <w:color w:val="auto"/>
          <w:szCs w:val="21"/>
          <w:highlight w:val="none"/>
        </w:rPr>
        <w:t>3.6.1响应人应当编制一份响应文件“正本”和竞争性谈判响应须知前附表所述份数的“副本”，副本为正本复印件。响应文件正本和副本如有不一致之处，以正本为准。</w:t>
      </w:r>
    </w:p>
    <w:p w14:paraId="12B1F28D">
      <w:pPr>
        <w:spacing w:line="400" w:lineRule="exact"/>
        <w:ind w:firstLine="420" w:firstLineChars="200"/>
        <w:rPr>
          <w:color w:val="auto"/>
          <w:szCs w:val="21"/>
          <w:highlight w:val="none"/>
        </w:rPr>
      </w:pPr>
      <w:r>
        <w:rPr>
          <w:rFonts w:hint="eastAsia"/>
          <w:color w:val="auto"/>
          <w:szCs w:val="21"/>
          <w:highlight w:val="none"/>
        </w:rPr>
        <w:t>3.6.2每份响应文件的正本、副本及唱标信封应当分别装订，并于封面上明确标明“正本”、“副本”和“唱标信封”字样。</w:t>
      </w:r>
      <w:r>
        <w:rPr>
          <w:rFonts w:hint="eastAsia" w:ascii="宋体" w:hAnsi="宋体"/>
          <w:color w:val="auto"/>
          <w:szCs w:val="21"/>
          <w:highlight w:val="none"/>
        </w:rPr>
        <w:t>正本或副本应按目录顺序要求排列并牢固装订成册。不能有脱页，不能使用活页夹装订。</w:t>
      </w:r>
    </w:p>
    <w:p w14:paraId="76D74EAB">
      <w:pPr>
        <w:spacing w:line="400" w:lineRule="exact"/>
        <w:ind w:firstLine="420" w:firstLineChars="200"/>
        <w:rPr>
          <w:color w:val="auto"/>
          <w:szCs w:val="21"/>
          <w:highlight w:val="none"/>
        </w:rPr>
      </w:pPr>
      <w:r>
        <w:rPr>
          <w:rFonts w:hint="eastAsia"/>
          <w:color w:val="auto"/>
          <w:szCs w:val="21"/>
          <w:highlight w:val="none"/>
        </w:rPr>
        <w:t>3.6.3响应文件应当按照竞争性谈判文件规定密封包装，并于封装封面上明确标明“正本”、“副本”和“唱标信封”字样。密封的所有粘接缝隙必须加盖单位章或者由响应人的法定代表人</w:t>
      </w:r>
      <w:r>
        <w:rPr>
          <w:rFonts w:hint="eastAsia"/>
          <w:color w:val="auto"/>
          <w:szCs w:val="21"/>
          <w:highlight w:val="none"/>
          <w:lang w:eastAsia="zh-CN"/>
        </w:rPr>
        <w:t>（</w:t>
      </w:r>
      <w:r>
        <w:rPr>
          <w:rFonts w:hint="eastAsia"/>
          <w:color w:val="auto"/>
          <w:szCs w:val="21"/>
          <w:highlight w:val="none"/>
        </w:rPr>
        <w:t>或其委托代理人</w:t>
      </w:r>
      <w:r>
        <w:rPr>
          <w:rFonts w:hint="eastAsia"/>
          <w:color w:val="auto"/>
          <w:szCs w:val="21"/>
          <w:highlight w:val="none"/>
          <w:lang w:eastAsia="zh-CN"/>
        </w:rPr>
        <w:t>）</w:t>
      </w:r>
      <w:r>
        <w:rPr>
          <w:rFonts w:hint="eastAsia"/>
          <w:color w:val="auto"/>
          <w:szCs w:val="21"/>
          <w:highlight w:val="none"/>
        </w:rPr>
        <w:t>签字</w:t>
      </w:r>
      <w:r>
        <w:rPr>
          <w:rFonts w:hint="eastAsia"/>
          <w:color w:val="auto"/>
          <w:szCs w:val="21"/>
          <w:highlight w:val="none"/>
          <w:lang w:val="en-US" w:eastAsia="zh-CN"/>
        </w:rPr>
        <w:t>或盖章</w:t>
      </w:r>
      <w:r>
        <w:rPr>
          <w:rFonts w:hint="eastAsia"/>
          <w:color w:val="auto"/>
          <w:szCs w:val="21"/>
          <w:highlight w:val="none"/>
        </w:rPr>
        <w:t>。</w:t>
      </w:r>
    </w:p>
    <w:p w14:paraId="78D4097D">
      <w:pPr>
        <w:spacing w:line="400" w:lineRule="exact"/>
        <w:ind w:firstLine="420" w:firstLineChars="200"/>
        <w:rPr>
          <w:color w:val="auto"/>
          <w:szCs w:val="21"/>
          <w:highlight w:val="none"/>
        </w:rPr>
      </w:pPr>
      <w:r>
        <w:rPr>
          <w:rFonts w:hint="eastAsia"/>
          <w:color w:val="auto"/>
          <w:szCs w:val="21"/>
          <w:highlight w:val="none"/>
        </w:rPr>
        <w:t>3.6.4外层包封应当写明采购人名称</w:t>
      </w:r>
      <w:r>
        <w:rPr>
          <w:rFonts w:hint="eastAsia"/>
          <w:color w:val="auto"/>
          <w:szCs w:val="21"/>
          <w:highlight w:val="none"/>
          <w:lang w:eastAsia="zh-CN"/>
        </w:rPr>
        <w:t>、采购代理机构名称</w:t>
      </w:r>
      <w:r>
        <w:rPr>
          <w:rFonts w:hint="eastAsia"/>
          <w:color w:val="auto"/>
          <w:szCs w:val="21"/>
          <w:highlight w:val="none"/>
        </w:rPr>
        <w:t>、递交响应文件地址并注明唱标时间以前不得开封。还应当写明响应人的名称、联系方式，以便竞争性谈判出现逾期送达时能原封退回。</w:t>
      </w:r>
    </w:p>
    <w:p w14:paraId="4497263B">
      <w:pPr>
        <w:spacing w:line="400" w:lineRule="exact"/>
        <w:ind w:firstLine="420" w:firstLineChars="200"/>
        <w:rPr>
          <w:color w:val="auto"/>
          <w:szCs w:val="21"/>
          <w:highlight w:val="none"/>
        </w:rPr>
      </w:pPr>
      <w:r>
        <w:rPr>
          <w:rFonts w:hint="eastAsia"/>
          <w:color w:val="auto"/>
          <w:szCs w:val="21"/>
          <w:highlight w:val="none"/>
        </w:rPr>
        <w:t>3.6.5提交响应文件时，采购人应当对符合竞争性谈判文件规定密封和标记的响应文件进行签收。</w:t>
      </w:r>
    </w:p>
    <w:p w14:paraId="74E52316">
      <w:pPr>
        <w:spacing w:line="400" w:lineRule="exact"/>
        <w:ind w:firstLine="420" w:firstLineChars="200"/>
        <w:rPr>
          <w:color w:val="auto"/>
          <w:szCs w:val="21"/>
          <w:highlight w:val="none"/>
        </w:rPr>
      </w:pPr>
      <w:r>
        <w:rPr>
          <w:rFonts w:hint="eastAsia"/>
          <w:color w:val="auto"/>
          <w:szCs w:val="21"/>
          <w:highlight w:val="none"/>
        </w:rPr>
        <w:t>3.6.6采购人对于响应文件密封、标记另有要求的，见竞争性谈判响应须知前附表。</w:t>
      </w:r>
    </w:p>
    <w:p w14:paraId="796CB759">
      <w:pPr>
        <w:pStyle w:val="3"/>
        <w:rPr>
          <w:rFonts w:ascii="黑体" w:hAnsi="黑体"/>
          <w:color w:val="auto"/>
          <w:highlight w:val="none"/>
        </w:rPr>
      </w:pPr>
      <w:bookmarkStart w:id="56" w:name="_Toc456551904"/>
      <w:bookmarkStart w:id="57" w:name="_Toc17767"/>
      <w:r>
        <w:rPr>
          <w:rFonts w:hint="eastAsia" w:ascii="黑体" w:hAnsi="黑体"/>
          <w:color w:val="auto"/>
          <w:highlight w:val="none"/>
        </w:rPr>
        <w:t xml:space="preserve">4. </w:t>
      </w:r>
      <w:bookmarkEnd w:id="56"/>
      <w:r>
        <w:rPr>
          <w:rFonts w:hint="eastAsia" w:ascii="黑体" w:hAnsi="黑体"/>
          <w:color w:val="auto"/>
          <w:highlight w:val="none"/>
        </w:rPr>
        <w:t>竞争性谈判</w:t>
      </w:r>
      <w:bookmarkEnd w:id="57"/>
    </w:p>
    <w:p w14:paraId="1F538F09">
      <w:pPr>
        <w:spacing w:line="400" w:lineRule="exact"/>
        <w:rPr>
          <w:rFonts w:ascii="宋体" w:hAnsi="宋体"/>
          <w:b/>
          <w:color w:val="auto"/>
          <w:sz w:val="32"/>
          <w:szCs w:val="32"/>
          <w:highlight w:val="none"/>
        </w:rPr>
      </w:pPr>
      <w:bookmarkStart w:id="58" w:name="_Toc456551905"/>
      <w:bookmarkStart w:id="59" w:name="_Toc475552148"/>
      <w:r>
        <w:rPr>
          <w:rFonts w:hint="eastAsia" w:ascii="宋体" w:hAnsi="宋体"/>
          <w:b/>
          <w:color w:val="auto"/>
          <w:sz w:val="32"/>
          <w:szCs w:val="32"/>
          <w:highlight w:val="none"/>
        </w:rPr>
        <w:t>4.1 响应文件的递交</w:t>
      </w:r>
      <w:bookmarkEnd w:id="58"/>
      <w:bookmarkEnd w:id="59"/>
    </w:p>
    <w:p w14:paraId="72F0184B">
      <w:pPr>
        <w:spacing w:line="400" w:lineRule="exact"/>
        <w:ind w:firstLine="420" w:firstLineChars="200"/>
        <w:rPr>
          <w:color w:val="auto"/>
          <w:highlight w:val="none"/>
        </w:rPr>
      </w:pPr>
      <w:r>
        <w:rPr>
          <w:rFonts w:hint="eastAsia"/>
          <w:color w:val="auto"/>
          <w:highlight w:val="none"/>
        </w:rPr>
        <w:t>4.1.1响应文件递交截止时间：见竞争性谈判响应须知前附表。</w:t>
      </w:r>
    </w:p>
    <w:p w14:paraId="5E439760">
      <w:pPr>
        <w:spacing w:line="400" w:lineRule="exact"/>
        <w:ind w:firstLine="420" w:firstLineChars="200"/>
        <w:rPr>
          <w:color w:val="auto"/>
          <w:highlight w:val="none"/>
        </w:rPr>
      </w:pPr>
      <w:r>
        <w:rPr>
          <w:rFonts w:hint="eastAsia"/>
          <w:color w:val="auto"/>
          <w:highlight w:val="none"/>
        </w:rPr>
        <w:t>4.1.2 响应人递交响应文件的地点：见竞争性谈判响应须知前附表。</w:t>
      </w:r>
    </w:p>
    <w:p w14:paraId="19BAB5AB">
      <w:pPr>
        <w:spacing w:line="400" w:lineRule="exact"/>
        <w:ind w:firstLine="420" w:firstLineChars="200"/>
        <w:rPr>
          <w:color w:val="auto"/>
          <w:highlight w:val="none"/>
        </w:rPr>
      </w:pPr>
      <w:r>
        <w:rPr>
          <w:rFonts w:hint="eastAsia"/>
          <w:color w:val="auto"/>
          <w:highlight w:val="none"/>
        </w:rPr>
        <w:t>4.1.3采购人/采购代理机构收到响应文件后，向响应人分别进行签收（唱标前不得提前公开已签收的响应人信息）。</w:t>
      </w:r>
    </w:p>
    <w:p w14:paraId="10B4FDD2">
      <w:pPr>
        <w:spacing w:line="400" w:lineRule="exact"/>
        <w:ind w:firstLine="420" w:firstLineChars="200"/>
        <w:rPr>
          <w:color w:val="auto"/>
          <w:highlight w:val="none"/>
        </w:rPr>
      </w:pPr>
      <w:r>
        <w:rPr>
          <w:rFonts w:hint="eastAsia"/>
          <w:color w:val="auto"/>
          <w:highlight w:val="none"/>
        </w:rPr>
        <w:t>4.1.4除竞争性谈判响应须知前附表另有规定外，响应人所递交的响应文件不予退还。</w:t>
      </w:r>
    </w:p>
    <w:p w14:paraId="39D4CB7C">
      <w:pPr>
        <w:spacing w:line="400" w:lineRule="exact"/>
        <w:ind w:firstLine="420" w:firstLineChars="200"/>
        <w:rPr>
          <w:color w:val="auto"/>
          <w:highlight w:val="none"/>
        </w:rPr>
      </w:pPr>
      <w:r>
        <w:rPr>
          <w:rFonts w:hint="eastAsia"/>
          <w:color w:val="auto"/>
          <w:highlight w:val="none"/>
        </w:rPr>
        <w:t>4.1.5出现以下情形时，采购人不予接收响应文件：</w:t>
      </w:r>
    </w:p>
    <w:p w14:paraId="022B8D53">
      <w:pPr>
        <w:spacing w:line="400" w:lineRule="exact"/>
        <w:ind w:firstLine="420" w:firstLineChars="200"/>
        <w:rPr>
          <w:color w:val="auto"/>
          <w:highlight w:val="none"/>
        </w:rPr>
      </w:pPr>
      <w:r>
        <w:rPr>
          <w:rFonts w:hint="eastAsia"/>
          <w:color w:val="auto"/>
          <w:highlight w:val="none"/>
        </w:rPr>
        <w:t>（1）逾期送达或者未送达指定地点的；</w:t>
      </w:r>
    </w:p>
    <w:p w14:paraId="5BEE4748">
      <w:pPr>
        <w:spacing w:line="400" w:lineRule="exact"/>
        <w:ind w:firstLine="420" w:firstLineChars="200"/>
        <w:rPr>
          <w:color w:val="auto"/>
          <w:highlight w:val="none"/>
        </w:rPr>
      </w:pPr>
      <w:r>
        <w:rPr>
          <w:rFonts w:hint="eastAsia"/>
          <w:color w:val="auto"/>
          <w:highlight w:val="none"/>
        </w:rPr>
        <w:t>（2）未按竞争性谈判文件要求密封的。</w:t>
      </w:r>
    </w:p>
    <w:p w14:paraId="32765BEC">
      <w:pPr>
        <w:spacing w:line="400" w:lineRule="exact"/>
        <w:rPr>
          <w:rFonts w:ascii="宋体" w:hAnsi="宋体"/>
          <w:b/>
          <w:color w:val="auto"/>
          <w:sz w:val="32"/>
          <w:szCs w:val="32"/>
          <w:highlight w:val="none"/>
        </w:rPr>
      </w:pPr>
      <w:bookmarkStart w:id="60" w:name="_Toc475552149"/>
      <w:bookmarkStart w:id="61" w:name="_Toc456551906"/>
      <w:r>
        <w:rPr>
          <w:rFonts w:hint="eastAsia" w:ascii="宋体" w:hAnsi="宋体"/>
          <w:b/>
          <w:color w:val="auto"/>
          <w:sz w:val="32"/>
          <w:szCs w:val="32"/>
          <w:highlight w:val="none"/>
        </w:rPr>
        <w:t>4.2 响应文件的修改、撤回和撤销</w:t>
      </w:r>
      <w:bookmarkEnd w:id="60"/>
      <w:bookmarkEnd w:id="61"/>
    </w:p>
    <w:p w14:paraId="43A2E236">
      <w:pPr>
        <w:spacing w:line="400" w:lineRule="exact"/>
        <w:ind w:firstLine="420" w:firstLineChars="200"/>
        <w:rPr>
          <w:color w:val="auto"/>
          <w:highlight w:val="none"/>
        </w:rPr>
      </w:pPr>
      <w:r>
        <w:rPr>
          <w:rFonts w:hint="eastAsia"/>
          <w:color w:val="auto"/>
          <w:highlight w:val="none"/>
        </w:rPr>
        <w:t>4.2.1 在规定的竞争性谈判截止时间前，响应人可以修改或撤回已递交的响应文件。</w:t>
      </w:r>
    </w:p>
    <w:p w14:paraId="01327680">
      <w:pPr>
        <w:spacing w:line="400" w:lineRule="exact"/>
        <w:ind w:firstLine="420" w:firstLineChars="200"/>
        <w:rPr>
          <w:color w:val="auto"/>
          <w:highlight w:val="none"/>
        </w:rPr>
      </w:pPr>
      <w:r>
        <w:rPr>
          <w:rFonts w:hint="eastAsia"/>
          <w:color w:val="auto"/>
          <w:highlight w:val="none"/>
        </w:rPr>
        <w:t>4.2.2响应人修改后的响应文件，应当在规定的竞争性谈判截止时间前按竞争性谈判文件的规定编制、密封、标记、提交和送达。</w:t>
      </w:r>
    </w:p>
    <w:p w14:paraId="55AB3BB3">
      <w:pPr>
        <w:spacing w:line="400" w:lineRule="exact"/>
        <w:ind w:firstLine="420" w:firstLineChars="200"/>
        <w:rPr>
          <w:color w:val="auto"/>
          <w:highlight w:val="none"/>
        </w:rPr>
      </w:pPr>
      <w:r>
        <w:rPr>
          <w:rFonts w:hint="eastAsia"/>
          <w:color w:val="auto"/>
          <w:highlight w:val="none"/>
        </w:rPr>
        <w:t>4.2.3 响应人撤回已递交的响应文件，应当书面通知采购人。采购人已收取竞争性谈判保证金的，应当自收到响应人书面撤回通知之日起5日内退还。</w:t>
      </w:r>
    </w:p>
    <w:p w14:paraId="2ED0BE84">
      <w:pPr>
        <w:spacing w:line="400" w:lineRule="exact"/>
        <w:ind w:firstLine="420" w:firstLineChars="200"/>
        <w:rPr>
          <w:color w:val="auto"/>
          <w:highlight w:val="none"/>
        </w:rPr>
      </w:pPr>
      <w:r>
        <w:rPr>
          <w:rFonts w:hint="eastAsia"/>
          <w:color w:val="auto"/>
          <w:highlight w:val="none"/>
        </w:rPr>
        <w:t>4.2.4 响应人在规定的竞争性谈判截止时间后，不得在竞争性谈判有效期内撤销其竞争性谈判，否则采购人有权不退还其竞争性谈判保证金。</w:t>
      </w:r>
    </w:p>
    <w:p w14:paraId="05A8F233">
      <w:pPr>
        <w:pStyle w:val="3"/>
        <w:rPr>
          <w:color w:val="auto"/>
          <w:highlight w:val="none"/>
        </w:rPr>
      </w:pPr>
      <w:bookmarkStart w:id="62" w:name="_Toc456551907"/>
      <w:bookmarkStart w:id="63" w:name="_Toc13966"/>
      <w:r>
        <w:rPr>
          <w:rFonts w:hint="eastAsia"/>
          <w:color w:val="auto"/>
          <w:highlight w:val="none"/>
        </w:rPr>
        <w:t xml:space="preserve">5. </w:t>
      </w:r>
      <w:bookmarkEnd w:id="62"/>
      <w:r>
        <w:rPr>
          <w:rFonts w:hint="eastAsia"/>
          <w:color w:val="auto"/>
          <w:highlight w:val="none"/>
        </w:rPr>
        <w:t>公开唱标</w:t>
      </w:r>
      <w:bookmarkEnd w:id="63"/>
    </w:p>
    <w:p w14:paraId="01A1A880">
      <w:pPr>
        <w:spacing w:line="400" w:lineRule="exact"/>
        <w:rPr>
          <w:rFonts w:ascii="宋体" w:hAnsi="宋体"/>
          <w:b/>
          <w:color w:val="auto"/>
          <w:sz w:val="32"/>
          <w:szCs w:val="32"/>
          <w:highlight w:val="none"/>
        </w:rPr>
      </w:pPr>
      <w:bookmarkStart w:id="64" w:name="_Toc475552151"/>
      <w:bookmarkStart w:id="65" w:name="_Toc456551908"/>
      <w:r>
        <w:rPr>
          <w:rFonts w:hint="eastAsia" w:ascii="宋体" w:hAnsi="宋体"/>
          <w:b/>
          <w:color w:val="auto"/>
          <w:sz w:val="32"/>
          <w:szCs w:val="32"/>
          <w:highlight w:val="none"/>
        </w:rPr>
        <w:t>5.1 唱标时间和地点</w:t>
      </w:r>
      <w:bookmarkEnd w:id="64"/>
      <w:bookmarkEnd w:id="65"/>
    </w:p>
    <w:p w14:paraId="4245278F">
      <w:pPr>
        <w:spacing w:line="400" w:lineRule="exact"/>
        <w:ind w:firstLine="420" w:firstLineChars="200"/>
        <w:rPr>
          <w:color w:val="auto"/>
          <w:highlight w:val="none"/>
        </w:rPr>
      </w:pPr>
      <w:r>
        <w:rPr>
          <w:rFonts w:hint="eastAsia"/>
          <w:color w:val="auto"/>
          <w:highlight w:val="none"/>
        </w:rPr>
        <w:t>采购人将按照竞争性谈判响应须知前附表规定的时间和地点公开唱标，参加唱标的响应人代表应当签名报到，以证明其出席唱标。</w:t>
      </w:r>
    </w:p>
    <w:p w14:paraId="7B8A4DC5">
      <w:pPr>
        <w:spacing w:line="400" w:lineRule="exact"/>
        <w:rPr>
          <w:rFonts w:ascii="宋体" w:hAnsi="宋体"/>
          <w:b/>
          <w:color w:val="auto"/>
          <w:sz w:val="32"/>
          <w:szCs w:val="32"/>
          <w:highlight w:val="none"/>
        </w:rPr>
      </w:pPr>
      <w:bookmarkStart w:id="66" w:name="_Toc456551909"/>
      <w:bookmarkStart w:id="67" w:name="_Toc475552152"/>
      <w:r>
        <w:rPr>
          <w:rFonts w:hint="eastAsia" w:ascii="宋体" w:hAnsi="宋体"/>
          <w:b/>
          <w:color w:val="auto"/>
          <w:sz w:val="32"/>
          <w:szCs w:val="32"/>
          <w:highlight w:val="none"/>
        </w:rPr>
        <w:t>5.2 唱标程序</w:t>
      </w:r>
      <w:bookmarkEnd w:id="66"/>
      <w:bookmarkEnd w:id="67"/>
    </w:p>
    <w:p w14:paraId="652BFE73">
      <w:pPr>
        <w:spacing w:line="400" w:lineRule="exact"/>
        <w:ind w:firstLine="359" w:firstLineChars="171"/>
        <w:rPr>
          <w:color w:val="auto"/>
          <w:highlight w:val="none"/>
        </w:rPr>
      </w:pPr>
      <w:r>
        <w:rPr>
          <w:rFonts w:hint="eastAsia"/>
          <w:color w:val="auto"/>
          <w:highlight w:val="none"/>
        </w:rPr>
        <w:t>5.2.1唱标会议由采购人或其委托的采购代理机构组织并主持，响应人代表对响应文件密封性进行检查。</w:t>
      </w:r>
    </w:p>
    <w:p w14:paraId="1EC401C7">
      <w:pPr>
        <w:spacing w:line="400" w:lineRule="exact"/>
        <w:ind w:firstLine="359" w:firstLineChars="171"/>
        <w:rPr>
          <w:color w:val="auto"/>
          <w:highlight w:val="none"/>
        </w:rPr>
      </w:pPr>
      <w:r>
        <w:rPr>
          <w:rFonts w:hint="eastAsia"/>
          <w:color w:val="auto"/>
          <w:highlight w:val="none"/>
        </w:rPr>
        <w:t>5.2.2 采购人在递交响应文件截止时间前收到的所有响应文件在唱标时都应当当众予以拆封宣读。</w:t>
      </w:r>
    </w:p>
    <w:p w14:paraId="0A72D9D9">
      <w:pPr>
        <w:spacing w:line="400" w:lineRule="exact"/>
        <w:ind w:firstLine="359" w:firstLineChars="171"/>
        <w:rPr>
          <w:color w:val="auto"/>
          <w:highlight w:val="none"/>
        </w:rPr>
      </w:pPr>
      <w:r>
        <w:rPr>
          <w:rFonts w:hint="eastAsia"/>
          <w:color w:val="auto"/>
          <w:highlight w:val="none"/>
        </w:rPr>
        <w:t>5.2.3 唱标时，采购人应当当众宣布参加本次竞争性谈判的响应人个数及响应文件的密封情况，并宣读有效竞争性谈判的“报价一览表”中的内容，“报价一览表”一般包括：唱标时间和地点、响应人名称、价格等唱标内容、唱标过程监督记录、响应人提出的异议以及竞争性谈判文件中规定的其他内容。</w:t>
      </w:r>
    </w:p>
    <w:p w14:paraId="772F9491">
      <w:pPr>
        <w:spacing w:line="400" w:lineRule="exact"/>
        <w:ind w:firstLine="359" w:firstLineChars="171"/>
        <w:rPr>
          <w:color w:val="auto"/>
          <w:highlight w:val="none"/>
        </w:rPr>
      </w:pPr>
      <w:r>
        <w:rPr>
          <w:rFonts w:hint="eastAsia"/>
          <w:color w:val="auto"/>
          <w:highlight w:val="none"/>
        </w:rPr>
        <w:t>5.2.4唱标内容填写在“唱标记录表”中，由唱标人、记录人、采购人代表、监督人、响应人代表签字确认，存档备查。</w:t>
      </w:r>
    </w:p>
    <w:p w14:paraId="4009FE52">
      <w:pPr>
        <w:spacing w:line="400" w:lineRule="exact"/>
        <w:rPr>
          <w:rFonts w:ascii="宋体" w:hAnsi="宋体"/>
          <w:b/>
          <w:color w:val="auto"/>
          <w:sz w:val="32"/>
          <w:szCs w:val="32"/>
          <w:highlight w:val="none"/>
        </w:rPr>
      </w:pPr>
      <w:bookmarkStart w:id="68" w:name="_Toc456551910"/>
      <w:bookmarkStart w:id="69" w:name="_Toc475552153"/>
      <w:r>
        <w:rPr>
          <w:rFonts w:hint="eastAsia" w:ascii="宋体" w:hAnsi="宋体"/>
          <w:b/>
          <w:color w:val="auto"/>
          <w:sz w:val="32"/>
          <w:szCs w:val="32"/>
          <w:highlight w:val="none"/>
        </w:rPr>
        <w:t>5.3 唱标异议</w:t>
      </w:r>
      <w:bookmarkEnd w:id="68"/>
      <w:bookmarkEnd w:id="69"/>
    </w:p>
    <w:p w14:paraId="21458E98">
      <w:pPr>
        <w:spacing w:line="400" w:lineRule="exact"/>
        <w:ind w:firstLine="359" w:firstLineChars="171"/>
        <w:rPr>
          <w:color w:val="auto"/>
          <w:highlight w:val="none"/>
        </w:rPr>
      </w:pPr>
      <w:r>
        <w:rPr>
          <w:rFonts w:hint="eastAsia"/>
          <w:color w:val="auto"/>
          <w:highlight w:val="none"/>
        </w:rPr>
        <w:t>响应人对唱标有异议的，应当在唱标现场提出，采购人应当当场作出答复，并制作记录。</w:t>
      </w:r>
    </w:p>
    <w:p w14:paraId="4E4131A2">
      <w:pPr>
        <w:pStyle w:val="3"/>
        <w:rPr>
          <w:color w:val="auto"/>
          <w:highlight w:val="none"/>
        </w:rPr>
      </w:pPr>
      <w:bookmarkStart w:id="70" w:name="_Toc456551912"/>
      <w:bookmarkStart w:id="71" w:name="_Toc8307"/>
      <w:r>
        <w:rPr>
          <w:rFonts w:hint="eastAsia"/>
          <w:color w:val="auto"/>
          <w:highlight w:val="none"/>
        </w:rPr>
        <w:t xml:space="preserve">6. </w:t>
      </w:r>
      <w:bookmarkEnd w:id="70"/>
      <w:r>
        <w:rPr>
          <w:rFonts w:hint="eastAsia"/>
          <w:color w:val="auto"/>
          <w:highlight w:val="none"/>
        </w:rPr>
        <w:t>评审</w:t>
      </w:r>
      <w:bookmarkEnd w:id="71"/>
    </w:p>
    <w:p w14:paraId="4FB3EBF7">
      <w:pPr>
        <w:spacing w:line="400" w:lineRule="exact"/>
        <w:rPr>
          <w:rFonts w:ascii="宋体" w:hAnsi="宋体"/>
          <w:b/>
          <w:color w:val="auto"/>
          <w:sz w:val="32"/>
          <w:szCs w:val="32"/>
          <w:highlight w:val="none"/>
        </w:rPr>
      </w:pPr>
      <w:bookmarkStart w:id="72" w:name="_Toc456551913"/>
      <w:bookmarkStart w:id="73" w:name="_Toc475552155"/>
      <w:r>
        <w:rPr>
          <w:rFonts w:hint="eastAsia" w:ascii="宋体" w:hAnsi="宋体"/>
          <w:b/>
          <w:color w:val="auto"/>
          <w:sz w:val="32"/>
          <w:szCs w:val="32"/>
          <w:highlight w:val="none"/>
        </w:rPr>
        <w:t xml:space="preserve">6.1 </w:t>
      </w:r>
      <w:bookmarkEnd w:id="72"/>
      <w:bookmarkEnd w:id="73"/>
      <w:r>
        <w:rPr>
          <w:rFonts w:hint="eastAsia" w:ascii="宋体" w:hAnsi="宋体"/>
          <w:b/>
          <w:color w:val="auto"/>
          <w:sz w:val="32"/>
          <w:szCs w:val="32"/>
          <w:highlight w:val="none"/>
        </w:rPr>
        <w:t>谈判小组</w:t>
      </w:r>
    </w:p>
    <w:p w14:paraId="6120322C">
      <w:pPr>
        <w:spacing w:line="400" w:lineRule="exact"/>
        <w:ind w:firstLine="420" w:firstLineChars="200"/>
        <w:rPr>
          <w:color w:val="auto"/>
          <w:szCs w:val="21"/>
          <w:highlight w:val="none"/>
        </w:rPr>
      </w:pPr>
      <w:r>
        <w:rPr>
          <w:rFonts w:hint="eastAsia"/>
          <w:color w:val="auto"/>
          <w:szCs w:val="21"/>
          <w:highlight w:val="none"/>
        </w:rPr>
        <w:t>6.1.1评审由依法组建的谈判小组负责，具体人数见竞争性谈判响应须知前附表。</w:t>
      </w:r>
    </w:p>
    <w:p w14:paraId="13D5E1B7">
      <w:pPr>
        <w:spacing w:line="400" w:lineRule="exact"/>
        <w:ind w:firstLine="420" w:firstLineChars="200"/>
        <w:rPr>
          <w:color w:val="auto"/>
          <w:szCs w:val="21"/>
          <w:highlight w:val="none"/>
        </w:rPr>
      </w:pPr>
      <w:r>
        <w:rPr>
          <w:rFonts w:hint="eastAsia"/>
          <w:color w:val="auto"/>
          <w:szCs w:val="21"/>
          <w:highlight w:val="none"/>
        </w:rPr>
        <w:t>6.1.2评审期间，任何单位和个人不得非法干预或者影响评审的过程和结果。</w:t>
      </w:r>
    </w:p>
    <w:p w14:paraId="62699C7C">
      <w:pPr>
        <w:spacing w:line="400" w:lineRule="exact"/>
        <w:ind w:firstLine="420" w:firstLineChars="200"/>
        <w:rPr>
          <w:color w:val="auto"/>
          <w:szCs w:val="21"/>
          <w:highlight w:val="none"/>
        </w:rPr>
      </w:pPr>
      <w:r>
        <w:rPr>
          <w:rFonts w:hint="eastAsia"/>
          <w:color w:val="auto"/>
          <w:szCs w:val="21"/>
          <w:highlight w:val="none"/>
        </w:rPr>
        <w:t>6.1.3谈判小组成员名单在成交结果确定前保密。</w:t>
      </w:r>
    </w:p>
    <w:p w14:paraId="048338E2">
      <w:pPr>
        <w:spacing w:line="400" w:lineRule="exact"/>
        <w:rPr>
          <w:rFonts w:ascii="宋体" w:hAnsi="宋体"/>
          <w:b/>
          <w:color w:val="auto"/>
          <w:sz w:val="32"/>
          <w:szCs w:val="32"/>
          <w:highlight w:val="none"/>
        </w:rPr>
      </w:pPr>
      <w:bookmarkStart w:id="74" w:name="_Toc475552156"/>
      <w:bookmarkStart w:id="75" w:name="_Toc456551914"/>
      <w:r>
        <w:rPr>
          <w:rFonts w:hint="eastAsia" w:ascii="宋体" w:hAnsi="宋体"/>
          <w:b/>
          <w:color w:val="auto"/>
          <w:sz w:val="32"/>
          <w:szCs w:val="32"/>
          <w:highlight w:val="none"/>
        </w:rPr>
        <w:t>6.2 评审原则</w:t>
      </w:r>
      <w:bookmarkEnd w:id="74"/>
      <w:bookmarkEnd w:id="75"/>
    </w:p>
    <w:p w14:paraId="3F95F270">
      <w:pPr>
        <w:spacing w:line="400" w:lineRule="exact"/>
        <w:ind w:firstLine="420" w:firstLineChars="200"/>
        <w:rPr>
          <w:color w:val="auto"/>
          <w:highlight w:val="none"/>
        </w:rPr>
      </w:pPr>
      <w:r>
        <w:rPr>
          <w:rFonts w:hint="eastAsia"/>
          <w:color w:val="auto"/>
          <w:highlight w:val="none"/>
        </w:rPr>
        <w:t>6.2.1评审活动遵循公平、公正、科学和择优的原则。</w:t>
      </w:r>
    </w:p>
    <w:p w14:paraId="7AB11646">
      <w:pPr>
        <w:spacing w:line="400" w:lineRule="exact"/>
        <w:ind w:firstLine="420" w:firstLineChars="200"/>
        <w:rPr>
          <w:color w:val="auto"/>
          <w:highlight w:val="none"/>
        </w:rPr>
      </w:pPr>
      <w:r>
        <w:rPr>
          <w:rFonts w:hint="eastAsia"/>
          <w:color w:val="auto"/>
          <w:highlight w:val="none"/>
        </w:rPr>
        <w:t>6.2.2谈判小组按照第三章“评审办法”规定的方法、评审因素、标准和程序对响应文件进行评审。第三章“评审办法”没有规定的方法、评审因素和标准，不作为评审依据。</w:t>
      </w:r>
    </w:p>
    <w:p w14:paraId="77E59773">
      <w:pPr>
        <w:spacing w:line="400" w:lineRule="exact"/>
        <w:rPr>
          <w:rFonts w:ascii="宋体" w:hAnsi="宋体"/>
          <w:b/>
          <w:color w:val="auto"/>
          <w:sz w:val="32"/>
          <w:szCs w:val="32"/>
          <w:highlight w:val="none"/>
        </w:rPr>
      </w:pPr>
      <w:bookmarkStart w:id="76" w:name="_Toc475552157"/>
      <w:bookmarkStart w:id="77" w:name="_Toc456551915"/>
      <w:r>
        <w:rPr>
          <w:rFonts w:hint="eastAsia" w:ascii="宋体" w:hAnsi="宋体"/>
          <w:b/>
          <w:color w:val="auto"/>
          <w:sz w:val="32"/>
          <w:szCs w:val="32"/>
          <w:highlight w:val="none"/>
        </w:rPr>
        <w:t>6.3 评审方法</w:t>
      </w:r>
      <w:bookmarkEnd w:id="76"/>
      <w:bookmarkEnd w:id="77"/>
    </w:p>
    <w:p w14:paraId="7E959162">
      <w:pPr>
        <w:spacing w:line="400" w:lineRule="exact"/>
        <w:ind w:firstLine="420" w:firstLineChars="200"/>
        <w:rPr>
          <w:color w:val="auto"/>
          <w:szCs w:val="21"/>
          <w:highlight w:val="none"/>
        </w:rPr>
      </w:pPr>
      <w:r>
        <w:rPr>
          <w:rFonts w:hint="eastAsia"/>
          <w:color w:val="auto"/>
          <w:szCs w:val="21"/>
          <w:highlight w:val="none"/>
        </w:rPr>
        <w:t>6.3.1 竞争性谈判文件中详细载明评审方法作为本次评审所采用的评审方法。评审方法见竞争性谈判响应须知前附表。</w:t>
      </w:r>
    </w:p>
    <w:p w14:paraId="5CD8320B">
      <w:pPr>
        <w:spacing w:line="400" w:lineRule="exact"/>
        <w:ind w:firstLine="420" w:firstLineChars="200"/>
        <w:rPr>
          <w:color w:val="auto"/>
          <w:szCs w:val="21"/>
          <w:highlight w:val="none"/>
        </w:rPr>
      </w:pPr>
      <w:r>
        <w:rPr>
          <w:rFonts w:hint="eastAsia"/>
          <w:color w:val="auto"/>
          <w:szCs w:val="21"/>
          <w:highlight w:val="none"/>
        </w:rPr>
        <w:t>6.3.2 法律、法规允许的其他评审方法。</w:t>
      </w:r>
    </w:p>
    <w:p w14:paraId="43E9AE97">
      <w:pPr>
        <w:spacing w:line="400" w:lineRule="exact"/>
        <w:rPr>
          <w:rFonts w:ascii="宋体" w:hAnsi="宋体"/>
          <w:b/>
          <w:color w:val="auto"/>
          <w:sz w:val="32"/>
          <w:szCs w:val="32"/>
          <w:highlight w:val="none"/>
        </w:rPr>
      </w:pPr>
      <w:bookmarkStart w:id="78" w:name="_Toc475552158"/>
      <w:bookmarkStart w:id="79" w:name="_Toc456551916"/>
      <w:r>
        <w:rPr>
          <w:rFonts w:hint="eastAsia" w:ascii="宋体" w:hAnsi="宋体"/>
          <w:b/>
          <w:color w:val="auto"/>
          <w:sz w:val="32"/>
          <w:szCs w:val="32"/>
          <w:highlight w:val="none"/>
        </w:rPr>
        <w:t>6.4 推荐成交候选人原则</w:t>
      </w:r>
      <w:bookmarkEnd w:id="78"/>
      <w:bookmarkEnd w:id="79"/>
    </w:p>
    <w:p w14:paraId="78C6F286">
      <w:pPr>
        <w:spacing w:line="400" w:lineRule="exact"/>
        <w:ind w:firstLine="420" w:firstLineChars="200"/>
        <w:rPr>
          <w:color w:val="auto"/>
          <w:szCs w:val="21"/>
          <w:highlight w:val="none"/>
        </w:rPr>
      </w:pPr>
      <w:r>
        <w:rPr>
          <w:rFonts w:hint="eastAsia"/>
          <w:color w:val="auto"/>
          <w:szCs w:val="21"/>
          <w:highlight w:val="none"/>
        </w:rPr>
        <w:t>谈判小组应当根据竞争性谈判文件的规定推荐成交候选人，具体推荐原则见竞争性谈判响应须知前附表。</w:t>
      </w:r>
    </w:p>
    <w:p w14:paraId="05B18EAF">
      <w:pPr>
        <w:spacing w:line="400" w:lineRule="exact"/>
        <w:rPr>
          <w:rFonts w:ascii="宋体" w:hAnsi="宋体"/>
          <w:b/>
          <w:color w:val="auto"/>
          <w:sz w:val="32"/>
          <w:szCs w:val="32"/>
          <w:highlight w:val="none"/>
        </w:rPr>
      </w:pPr>
      <w:bookmarkStart w:id="80" w:name="_Toc475552159"/>
      <w:bookmarkStart w:id="81" w:name="_Toc456551917"/>
      <w:r>
        <w:rPr>
          <w:rFonts w:hint="eastAsia" w:ascii="宋体" w:hAnsi="宋体"/>
          <w:b/>
          <w:color w:val="auto"/>
          <w:sz w:val="32"/>
          <w:szCs w:val="32"/>
          <w:highlight w:val="none"/>
        </w:rPr>
        <w:t>6.5 评审报告</w:t>
      </w:r>
      <w:bookmarkEnd w:id="80"/>
      <w:bookmarkEnd w:id="81"/>
    </w:p>
    <w:p w14:paraId="1F88BBA6">
      <w:pPr>
        <w:ind w:firstLine="420" w:firstLineChars="200"/>
        <w:rPr>
          <w:color w:val="auto"/>
          <w:highlight w:val="none"/>
        </w:rPr>
      </w:pPr>
      <w:r>
        <w:rPr>
          <w:rFonts w:hint="eastAsia"/>
          <w:bCs/>
          <w:color w:val="auto"/>
          <w:highlight w:val="none"/>
        </w:rPr>
        <w:t>评审完成后，谈判小组应当及时向采购人提交评审报告和成交候选人名单。</w:t>
      </w:r>
    </w:p>
    <w:p w14:paraId="19B0964B">
      <w:pPr>
        <w:pStyle w:val="3"/>
        <w:rPr>
          <w:color w:val="auto"/>
          <w:highlight w:val="none"/>
        </w:rPr>
      </w:pPr>
      <w:bookmarkStart w:id="82" w:name="_Toc456551918"/>
      <w:bookmarkStart w:id="83" w:name="_Toc12136"/>
      <w:r>
        <w:rPr>
          <w:rFonts w:hint="eastAsia"/>
          <w:color w:val="auto"/>
          <w:highlight w:val="none"/>
        </w:rPr>
        <w:t xml:space="preserve">7. </w:t>
      </w:r>
      <w:bookmarkEnd w:id="82"/>
      <w:r>
        <w:rPr>
          <w:rFonts w:hint="eastAsia"/>
          <w:color w:val="auto"/>
          <w:highlight w:val="none"/>
        </w:rPr>
        <w:t>成交</w:t>
      </w:r>
      <w:bookmarkEnd w:id="83"/>
    </w:p>
    <w:p w14:paraId="43886374">
      <w:pPr>
        <w:spacing w:line="400" w:lineRule="exact"/>
        <w:rPr>
          <w:rFonts w:ascii="宋体" w:hAnsi="宋体"/>
          <w:b/>
          <w:color w:val="auto"/>
          <w:sz w:val="32"/>
          <w:szCs w:val="32"/>
          <w:highlight w:val="none"/>
        </w:rPr>
      </w:pPr>
      <w:bookmarkStart w:id="84" w:name="_Toc456551919"/>
      <w:bookmarkStart w:id="85" w:name="_Toc475552161"/>
      <w:r>
        <w:rPr>
          <w:rFonts w:hint="eastAsia" w:ascii="宋体" w:hAnsi="宋体"/>
          <w:b/>
          <w:color w:val="auto"/>
          <w:sz w:val="32"/>
          <w:szCs w:val="32"/>
          <w:highlight w:val="none"/>
        </w:rPr>
        <w:t>7.1 成交候选人公示</w:t>
      </w:r>
      <w:bookmarkEnd w:id="84"/>
      <w:bookmarkEnd w:id="85"/>
    </w:p>
    <w:p w14:paraId="6C2FD95B">
      <w:pPr>
        <w:spacing w:line="400" w:lineRule="exact"/>
        <w:ind w:firstLine="420" w:firstLineChars="200"/>
        <w:rPr>
          <w:color w:val="auto"/>
          <w:szCs w:val="21"/>
          <w:highlight w:val="none"/>
        </w:rPr>
      </w:pPr>
      <w:bookmarkStart w:id="86" w:name="_Toc456551920"/>
      <w:bookmarkStart w:id="87" w:name="_Toc475552162"/>
      <w:r>
        <w:rPr>
          <w:color w:val="auto"/>
          <w:szCs w:val="21"/>
          <w:highlight w:val="none"/>
        </w:rPr>
        <w:t>7.1.1</w:t>
      </w:r>
      <w:r>
        <w:rPr>
          <w:rFonts w:hint="eastAsia"/>
          <w:color w:val="auto"/>
          <w:szCs w:val="21"/>
          <w:highlight w:val="none"/>
        </w:rPr>
        <w:t>进行公开竞争性谈判的项目，评审结果按照采购人内控管理规定确认后，在成交候选人公示发布的媒介公示全部成交候选人，公示期不得少于</w:t>
      </w:r>
      <w:r>
        <w:rPr>
          <w:color w:val="auto"/>
          <w:szCs w:val="21"/>
          <w:highlight w:val="none"/>
        </w:rPr>
        <w:t>3</w:t>
      </w:r>
      <w:r>
        <w:rPr>
          <w:rFonts w:hint="eastAsia"/>
          <w:color w:val="auto"/>
          <w:szCs w:val="21"/>
          <w:highlight w:val="none"/>
        </w:rPr>
        <w:t>日。</w:t>
      </w:r>
    </w:p>
    <w:p w14:paraId="5B6613FF">
      <w:pPr>
        <w:spacing w:line="400" w:lineRule="exact"/>
        <w:ind w:firstLine="420" w:firstLineChars="200"/>
        <w:rPr>
          <w:color w:val="auto"/>
          <w:szCs w:val="21"/>
          <w:highlight w:val="none"/>
        </w:rPr>
      </w:pPr>
      <w:r>
        <w:rPr>
          <w:color w:val="auto"/>
          <w:szCs w:val="21"/>
          <w:highlight w:val="none"/>
        </w:rPr>
        <w:t>7.1.2</w:t>
      </w:r>
      <w:r>
        <w:rPr>
          <w:rFonts w:hint="eastAsia"/>
          <w:color w:val="auto"/>
          <w:szCs w:val="21"/>
          <w:highlight w:val="none"/>
        </w:rPr>
        <w:t>响应人或者其他利害关系人对项目的评审结果有异议的，应在成交候选人公示期间提出。</w:t>
      </w:r>
    </w:p>
    <w:p w14:paraId="2CF37A94">
      <w:pPr>
        <w:spacing w:line="400" w:lineRule="exact"/>
        <w:rPr>
          <w:rFonts w:ascii="宋体" w:hAnsi="宋体"/>
          <w:b/>
          <w:color w:val="auto"/>
          <w:sz w:val="32"/>
          <w:szCs w:val="32"/>
          <w:highlight w:val="none"/>
        </w:rPr>
      </w:pPr>
      <w:r>
        <w:rPr>
          <w:rFonts w:hint="eastAsia" w:ascii="宋体" w:hAnsi="宋体"/>
          <w:b/>
          <w:color w:val="auto"/>
          <w:sz w:val="32"/>
          <w:szCs w:val="32"/>
          <w:highlight w:val="none"/>
        </w:rPr>
        <w:t>7.2资格后审（履约能力审查）</w:t>
      </w:r>
    </w:p>
    <w:p w14:paraId="549CA94C">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.1采购人</w:t>
      </w:r>
      <w:r>
        <w:rPr>
          <w:rFonts w:hint="eastAsia"/>
          <w:color w:val="auto"/>
          <w:szCs w:val="21"/>
          <w:highlight w:val="none"/>
          <w:lang w:val="en-US" w:eastAsia="zh-CN"/>
        </w:rPr>
        <w:t>有权</w:t>
      </w:r>
      <w:r>
        <w:rPr>
          <w:rFonts w:hint="eastAsia"/>
          <w:color w:val="auto"/>
          <w:szCs w:val="21"/>
          <w:highlight w:val="none"/>
        </w:rPr>
        <w:t>根据竞争性谈判文件中的要求，对评委会推荐的成交候选人进行资格后审。</w:t>
      </w:r>
    </w:p>
    <w:p w14:paraId="450A5F23">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.2成交候选人须无条件配合资格后审，否则采购人有权取消中标资格，且谈判保证金可不予退还。</w:t>
      </w:r>
    </w:p>
    <w:p w14:paraId="2ECE86F9">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3资格后审须提供包括但不限于营业执照、税务登记证和在响应文件中提供的资质证明文件、合同等重要证明文件的原件进行核对，综合考察成交人的履约能力。如采购人要求还须提供业绩证明的其他材料,成交候选人须配合提供。如授权其分支机构进行项目实施或提供售后服务的，亦应提供其与分支机构关系的法律证明材料。</w:t>
      </w:r>
    </w:p>
    <w:p w14:paraId="4E1E5504">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.4如发现响应人以他人名义谈判或者以其他方式弄虚作假，骗取成交的，采购人有权取消其成交资格，且谈判保证金可不予退还；给采购人造成损失的，应依法承担赔偿责任。</w:t>
      </w:r>
    </w:p>
    <w:p w14:paraId="4E4FAED2">
      <w:pPr>
        <w:spacing w:line="400" w:lineRule="exact"/>
        <w:ind w:firstLine="420" w:firstLineChars="200"/>
        <w:rPr>
          <w:color w:val="auto"/>
          <w:szCs w:val="21"/>
          <w:highlight w:val="none"/>
        </w:rPr>
      </w:pPr>
      <w:r>
        <w:rPr>
          <w:color w:val="auto"/>
          <w:szCs w:val="21"/>
          <w:highlight w:val="none"/>
        </w:rPr>
        <w:t>7.2</w:t>
      </w:r>
      <w:r>
        <w:rPr>
          <w:rFonts w:hint="eastAsia"/>
          <w:color w:val="auto"/>
          <w:szCs w:val="21"/>
          <w:highlight w:val="none"/>
        </w:rPr>
        <w:t>.5如果审查通过，采购人将把合同授予该成交人；如果审查没有通过，采购人有权取消其成交资格，且谈判保证金可不予退还，并依次审查下一名成交候选人是否具备履行合同的能力或重新采购。</w:t>
      </w:r>
    </w:p>
    <w:p w14:paraId="2C1B11C8">
      <w:pPr>
        <w:spacing w:line="400" w:lineRule="exact"/>
        <w:rPr>
          <w:rFonts w:ascii="宋体" w:hAnsi="宋体"/>
          <w:b/>
          <w:color w:val="auto"/>
          <w:sz w:val="32"/>
          <w:szCs w:val="32"/>
          <w:highlight w:val="none"/>
        </w:rPr>
      </w:pPr>
      <w:r>
        <w:rPr>
          <w:rFonts w:hint="eastAsia" w:ascii="宋体" w:hAnsi="宋体"/>
          <w:b/>
          <w:color w:val="auto"/>
          <w:sz w:val="32"/>
          <w:szCs w:val="32"/>
          <w:highlight w:val="none"/>
        </w:rPr>
        <w:t>7.3确定成交人</w:t>
      </w:r>
      <w:bookmarkEnd w:id="86"/>
      <w:bookmarkEnd w:id="87"/>
    </w:p>
    <w:p w14:paraId="0EA9421B">
      <w:pPr>
        <w:spacing w:line="400" w:lineRule="exact"/>
        <w:ind w:firstLine="420" w:firstLineChars="200"/>
        <w:rPr>
          <w:color w:val="auto"/>
          <w:szCs w:val="21"/>
          <w:highlight w:val="none"/>
        </w:rPr>
      </w:pPr>
      <w:r>
        <w:rPr>
          <w:rFonts w:hint="eastAsia"/>
          <w:color w:val="auto"/>
          <w:szCs w:val="21"/>
          <w:highlight w:val="none"/>
        </w:rPr>
        <w:t>7.3.1除竞争性谈判响应须知前附表规定谈判小组直接确定成交人外，采购人依据谈判小组推荐的成交候选人确定成交人，成交人数量见竞争性谈判响应须知前附表。</w:t>
      </w:r>
    </w:p>
    <w:p w14:paraId="73C60C76">
      <w:pPr>
        <w:spacing w:line="400" w:lineRule="exact"/>
        <w:ind w:firstLine="420" w:firstLineChars="200"/>
        <w:rPr>
          <w:color w:val="auto"/>
          <w:szCs w:val="21"/>
          <w:highlight w:val="none"/>
        </w:rPr>
      </w:pPr>
      <w:r>
        <w:rPr>
          <w:rFonts w:hint="eastAsia"/>
          <w:color w:val="auto"/>
          <w:szCs w:val="21"/>
          <w:highlight w:val="none"/>
        </w:rPr>
        <w:t>7.3.2</w:t>
      </w:r>
      <w:r>
        <w:rPr>
          <w:color w:val="auto"/>
          <w:szCs w:val="21"/>
          <w:highlight w:val="none"/>
        </w:rPr>
        <w:t>采购人</w:t>
      </w:r>
      <w:r>
        <w:rPr>
          <w:rFonts w:hint="eastAsia"/>
          <w:color w:val="auto"/>
          <w:szCs w:val="21"/>
          <w:highlight w:val="none"/>
        </w:rPr>
        <w:t>根据谈判小组推荐的</w:t>
      </w:r>
      <w:r>
        <w:rPr>
          <w:color w:val="auto"/>
          <w:szCs w:val="21"/>
          <w:highlight w:val="none"/>
        </w:rPr>
        <w:t>成交候选人</w:t>
      </w:r>
      <w:r>
        <w:rPr>
          <w:rFonts w:hint="eastAsia"/>
          <w:color w:val="auto"/>
          <w:szCs w:val="21"/>
          <w:highlight w:val="none"/>
        </w:rPr>
        <w:t>名单排序</w:t>
      </w:r>
      <w:r>
        <w:rPr>
          <w:color w:val="auto"/>
          <w:szCs w:val="21"/>
          <w:highlight w:val="none"/>
        </w:rPr>
        <w:t>依次确定成交人，</w:t>
      </w:r>
      <w:r>
        <w:rPr>
          <w:rFonts w:hint="eastAsia"/>
          <w:color w:val="auto"/>
          <w:szCs w:val="21"/>
          <w:highlight w:val="none"/>
        </w:rPr>
        <w:t>具体成交原则见竞争性谈判响应须知前附表。</w:t>
      </w:r>
    </w:p>
    <w:p w14:paraId="3B3D3116">
      <w:pPr>
        <w:spacing w:line="400" w:lineRule="exact"/>
        <w:ind w:firstLine="420" w:firstLineChars="200"/>
        <w:rPr>
          <w:color w:val="auto"/>
          <w:szCs w:val="21"/>
          <w:highlight w:val="none"/>
        </w:rPr>
      </w:pPr>
      <w:r>
        <w:rPr>
          <w:rFonts w:hint="eastAsia"/>
          <w:color w:val="auto"/>
          <w:szCs w:val="21"/>
          <w:highlight w:val="none"/>
        </w:rPr>
        <w:t>7.3.3在签订合同之前，</w:t>
      </w:r>
      <w:r>
        <w:rPr>
          <w:color w:val="auto"/>
          <w:szCs w:val="21"/>
          <w:highlight w:val="none"/>
        </w:rPr>
        <w:t>成交人</w:t>
      </w:r>
      <w:r>
        <w:rPr>
          <w:rFonts w:hint="eastAsia"/>
          <w:color w:val="auto"/>
          <w:szCs w:val="21"/>
          <w:highlight w:val="none"/>
        </w:rPr>
        <w:t>放弃成交或者</w:t>
      </w:r>
      <w:r>
        <w:rPr>
          <w:color w:val="auto"/>
          <w:szCs w:val="21"/>
          <w:highlight w:val="none"/>
        </w:rPr>
        <w:t>不能履行合同的，采购人可以按照谈判小组提出的成交候选人名单排序依次确定其他成交候选人为成交人，也可以</w:t>
      </w:r>
      <w:r>
        <w:rPr>
          <w:rFonts w:hint="eastAsia"/>
          <w:color w:val="auto"/>
          <w:szCs w:val="21"/>
          <w:highlight w:val="none"/>
        </w:rPr>
        <w:t>重新竞争性谈判。</w:t>
      </w:r>
    </w:p>
    <w:p w14:paraId="6C4870BB">
      <w:pPr>
        <w:spacing w:line="400" w:lineRule="exact"/>
        <w:rPr>
          <w:rFonts w:ascii="宋体" w:hAnsi="宋体"/>
          <w:b/>
          <w:color w:val="auto"/>
          <w:sz w:val="32"/>
          <w:szCs w:val="32"/>
          <w:highlight w:val="none"/>
        </w:rPr>
      </w:pPr>
      <w:bookmarkStart w:id="88" w:name="_Toc456551921"/>
      <w:bookmarkStart w:id="89" w:name="_Toc475552163"/>
      <w:r>
        <w:rPr>
          <w:rFonts w:hint="eastAsia" w:ascii="宋体" w:hAnsi="宋体"/>
          <w:b/>
          <w:color w:val="auto"/>
          <w:sz w:val="32"/>
          <w:szCs w:val="32"/>
          <w:highlight w:val="none"/>
        </w:rPr>
        <w:t>7.4 成交通知</w:t>
      </w:r>
      <w:bookmarkEnd w:id="88"/>
      <w:bookmarkEnd w:id="89"/>
    </w:p>
    <w:p w14:paraId="388B7419">
      <w:pPr>
        <w:spacing w:line="400" w:lineRule="exact"/>
        <w:ind w:firstLine="420" w:firstLineChars="200"/>
        <w:rPr>
          <w:color w:val="auto"/>
          <w:szCs w:val="21"/>
          <w:highlight w:val="none"/>
        </w:rPr>
      </w:pPr>
      <w:r>
        <w:rPr>
          <w:rFonts w:hint="eastAsia"/>
          <w:color w:val="auto"/>
          <w:szCs w:val="21"/>
          <w:highlight w:val="none"/>
        </w:rPr>
        <w:t>7.4.1</w:t>
      </w:r>
      <w:r>
        <w:rPr>
          <w:color w:val="auto"/>
          <w:szCs w:val="21"/>
          <w:highlight w:val="none"/>
        </w:rPr>
        <w:t>在成交通知书发出前</w:t>
      </w:r>
      <w:r>
        <w:rPr>
          <w:rFonts w:hint="eastAsia"/>
          <w:color w:val="auto"/>
          <w:szCs w:val="21"/>
          <w:highlight w:val="none"/>
        </w:rPr>
        <w:t>，</w:t>
      </w:r>
      <w:r>
        <w:rPr>
          <w:color w:val="auto"/>
          <w:szCs w:val="21"/>
          <w:highlight w:val="none"/>
        </w:rPr>
        <w:t>成交候选人的经营、财务状况发生较大变化或者存在违法行为，可能影响其履约能力的，成交候选人应</w:t>
      </w:r>
      <w:r>
        <w:rPr>
          <w:rFonts w:hint="eastAsia"/>
          <w:color w:val="auto"/>
          <w:szCs w:val="21"/>
          <w:highlight w:val="none"/>
        </w:rPr>
        <w:t>当主动告知采购人</w:t>
      </w:r>
      <w:r>
        <w:rPr>
          <w:color w:val="auto"/>
          <w:szCs w:val="21"/>
          <w:highlight w:val="none"/>
        </w:rPr>
        <w:t>。</w:t>
      </w:r>
    </w:p>
    <w:p w14:paraId="3D1C55E5">
      <w:pPr>
        <w:spacing w:line="400" w:lineRule="exact"/>
        <w:ind w:firstLine="420" w:firstLineChars="200"/>
        <w:rPr>
          <w:color w:val="auto"/>
          <w:szCs w:val="21"/>
          <w:highlight w:val="none"/>
        </w:rPr>
      </w:pPr>
      <w:r>
        <w:rPr>
          <w:rFonts w:hint="eastAsia"/>
          <w:color w:val="auto"/>
          <w:szCs w:val="21"/>
          <w:highlight w:val="none"/>
        </w:rPr>
        <w:t>7.4.2成交人确定后，采购人应当自行或委托采购代理机构向成交人发出成交通知书，同时通知未成交人。</w:t>
      </w:r>
    </w:p>
    <w:p w14:paraId="0F185B75">
      <w:pPr>
        <w:spacing w:line="400" w:lineRule="exact"/>
        <w:ind w:firstLine="420" w:firstLineChars="200"/>
        <w:rPr>
          <w:color w:val="auto"/>
          <w:szCs w:val="21"/>
          <w:highlight w:val="none"/>
        </w:rPr>
      </w:pPr>
      <w:r>
        <w:rPr>
          <w:rFonts w:hint="eastAsia"/>
          <w:color w:val="auto"/>
          <w:szCs w:val="21"/>
          <w:highlight w:val="none"/>
        </w:rPr>
        <w:t>7.4.3成交通知书是竞争性谈判档案和合同的组成部分。</w:t>
      </w:r>
    </w:p>
    <w:p w14:paraId="5BE0D8F8">
      <w:pPr>
        <w:spacing w:line="400" w:lineRule="exact"/>
        <w:ind w:firstLine="420" w:firstLineChars="200"/>
        <w:rPr>
          <w:color w:val="auto"/>
          <w:szCs w:val="21"/>
          <w:highlight w:val="none"/>
        </w:rPr>
      </w:pPr>
      <w:r>
        <w:rPr>
          <w:rFonts w:hint="eastAsia"/>
          <w:color w:val="auto"/>
          <w:szCs w:val="21"/>
          <w:highlight w:val="none"/>
        </w:rPr>
        <w:t>7.4.4成交通知书对采购人和成交人具有法律约束力。成交通知书发出后，采购人改变成交结果或者成交人放弃成交的，应当承担法律责任。</w:t>
      </w:r>
    </w:p>
    <w:p w14:paraId="46328452">
      <w:pPr>
        <w:pStyle w:val="3"/>
        <w:rPr>
          <w:color w:val="auto"/>
          <w:highlight w:val="none"/>
        </w:rPr>
      </w:pPr>
      <w:bookmarkStart w:id="90" w:name="_Toc456551922"/>
      <w:bookmarkStart w:id="91" w:name="_Toc20110"/>
      <w:r>
        <w:rPr>
          <w:rFonts w:hint="eastAsia"/>
          <w:color w:val="auto"/>
          <w:highlight w:val="none"/>
        </w:rPr>
        <w:t>8.合同签订</w:t>
      </w:r>
      <w:bookmarkEnd w:id="90"/>
      <w:bookmarkEnd w:id="91"/>
    </w:p>
    <w:p w14:paraId="242ECAF9">
      <w:pPr>
        <w:spacing w:line="400" w:lineRule="exact"/>
        <w:rPr>
          <w:rFonts w:ascii="宋体" w:hAnsi="宋体"/>
          <w:b/>
          <w:color w:val="auto"/>
          <w:sz w:val="32"/>
          <w:szCs w:val="32"/>
          <w:highlight w:val="none"/>
        </w:rPr>
      </w:pPr>
      <w:bookmarkStart w:id="92" w:name="_Toc456551923"/>
      <w:bookmarkStart w:id="93" w:name="_Toc475552165"/>
      <w:r>
        <w:rPr>
          <w:rFonts w:hint="eastAsia" w:ascii="宋体" w:hAnsi="宋体"/>
          <w:b/>
          <w:color w:val="auto"/>
          <w:sz w:val="32"/>
          <w:szCs w:val="32"/>
          <w:highlight w:val="none"/>
        </w:rPr>
        <w:t>8.1 履约担保</w:t>
      </w:r>
      <w:bookmarkEnd w:id="92"/>
      <w:bookmarkEnd w:id="93"/>
    </w:p>
    <w:p w14:paraId="3F8B4C98">
      <w:pPr>
        <w:spacing w:line="400" w:lineRule="exact"/>
        <w:ind w:firstLine="420" w:firstLineChars="200"/>
        <w:rPr>
          <w:color w:val="auto"/>
          <w:szCs w:val="21"/>
          <w:highlight w:val="none"/>
        </w:rPr>
      </w:pPr>
      <w:r>
        <w:rPr>
          <w:rFonts w:hint="eastAsia"/>
          <w:color w:val="auto"/>
          <w:szCs w:val="21"/>
          <w:highlight w:val="none"/>
        </w:rPr>
        <w:t>8.1.1在签订合同前，成交人应当按照“竞争性谈判响应须知前附表”中规定的履约担保金额和方式向采购人提交履约担保。</w:t>
      </w:r>
    </w:p>
    <w:p w14:paraId="0DD06180">
      <w:pPr>
        <w:spacing w:line="400" w:lineRule="exact"/>
        <w:ind w:firstLine="420" w:firstLineChars="200"/>
        <w:rPr>
          <w:color w:val="auto"/>
          <w:szCs w:val="21"/>
          <w:highlight w:val="none"/>
        </w:rPr>
      </w:pPr>
      <w:r>
        <w:rPr>
          <w:rFonts w:hint="eastAsia"/>
          <w:color w:val="auto"/>
          <w:szCs w:val="21"/>
          <w:highlight w:val="none"/>
        </w:rPr>
        <w:t>8.1.2 成交人不能按照竞争性谈判文件要求提交履约担保的，视为放弃成交，其竞争性谈判保证金不予退还，给采购人造成的损失超过竞争性谈判保证金数额的，成交人还应当对超过部分予以赔偿。</w:t>
      </w:r>
    </w:p>
    <w:p w14:paraId="2898DFEC">
      <w:pPr>
        <w:spacing w:line="400" w:lineRule="exact"/>
        <w:rPr>
          <w:rFonts w:ascii="宋体" w:hAnsi="宋体"/>
          <w:b/>
          <w:color w:val="auto"/>
          <w:sz w:val="32"/>
          <w:szCs w:val="32"/>
          <w:highlight w:val="none"/>
        </w:rPr>
      </w:pPr>
      <w:bookmarkStart w:id="94" w:name="_Toc456551924"/>
      <w:bookmarkStart w:id="95" w:name="_Toc475552166"/>
      <w:r>
        <w:rPr>
          <w:rFonts w:hint="eastAsia" w:ascii="宋体" w:hAnsi="宋体"/>
          <w:b/>
          <w:color w:val="auto"/>
          <w:sz w:val="32"/>
          <w:szCs w:val="32"/>
          <w:highlight w:val="none"/>
        </w:rPr>
        <w:t>8.2合同签订</w:t>
      </w:r>
      <w:bookmarkEnd w:id="94"/>
      <w:bookmarkEnd w:id="95"/>
    </w:p>
    <w:p w14:paraId="21950DDA">
      <w:pPr>
        <w:spacing w:line="400" w:lineRule="exact"/>
        <w:ind w:firstLine="420" w:firstLineChars="200"/>
        <w:rPr>
          <w:color w:val="auto"/>
          <w:szCs w:val="21"/>
          <w:highlight w:val="none"/>
        </w:rPr>
      </w:pPr>
      <w:r>
        <w:rPr>
          <w:rFonts w:hint="eastAsia"/>
          <w:color w:val="auto"/>
          <w:szCs w:val="21"/>
          <w:highlight w:val="none"/>
        </w:rPr>
        <w:t>8.2.1采购人和成交人应当自成交通知书发出之日起30日内，根据竞争性谈判文件和成交人的响应文件订立书面合同。</w:t>
      </w:r>
      <w:r>
        <w:rPr>
          <w:color w:val="auto"/>
          <w:szCs w:val="21"/>
          <w:highlight w:val="none"/>
        </w:rPr>
        <w:t>采购人和成交人不得再行订立背离合同实质性内容的其他协议。</w:t>
      </w:r>
    </w:p>
    <w:p w14:paraId="4A3AA6F0">
      <w:pPr>
        <w:spacing w:line="400" w:lineRule="exact"/>
        <w:ind w:firstLine="420" w:firstLineChars="200"/>
        <w:rPr>
          <w:color w:val="auto"/>
          <w:szCs w:val="21"/>
          <w:highlight w:val="none"/>
        </w:rPr>
      </w:pPr>
      <w:r>
        <w:rPr>
          <w:rFonts w:hint="eastAsia"/>
          <w:color w:val="auto"/>
          <w:szCs w:val="21"/>
          <w:highlight w:val="none"/>
        </w:rPr>
        <w:t>8.2.2成交人无正当理由拒签合同的，采购人取消其成交资格，其竞争性谈判保证金不予退还；给采购人造成的损失超过竞争性谈判保证金数额的，成交人还应当对超过部分予以赔偿。</w:t>
      </w:r>
    </w:p>
    <w:p w14:paraId="64930282">
      <w:pPr>
        <w:spacing w:line="400" w:lineRule="exact"/>
        <w:ind w:firstLine="420" w:firstLineChars="200"/>
        <w:rPr>
          <w:color w:val="auto"/>
          <w:szCs w:val="21"/>
          <w:highlight w:val="none"/>
        </w:rPr>
      </w:pPr>
    </w:p>
    <w:p w14:paraId="25B3A9D6">
      <w:pPr>
        <w:pStyle w:val="3"/>
        <w:spacing w:before="240" w:after="120"/>
        <w:rPr>
          <w:color w:val="auto"/>
          <w:highlight w:val="none"/>
        </w:rPr>
      </w:pPr>
      <w:bookmarkStart w:id="96" w:name="_Toc456551926"/>
      <w:bookmarkStart w:id="97" w:name="_Toc14140"/>
      <w:r>
        <w:rPr>
          <w:rFonts w:hint="eastAsia"/>
          <w:color w:val="auto"/>
          <w:highlight w:val="none"/>
        </w:rPr>
        <w:t>9.采购代理服务费</w:t>
      </w:r>
      <w:bookmarkEnd w:id="96"/>
      <w:bookmarkEnd w:id="97"/>
    </w:p>
    <w:p w14:paraId="656DFEF1">
      <w:pPr>
        <w:spacing w:line="400" w:lineRule="exact"/>
        <w:ind w:firstLine="420" w:firstLineChars="200"/>
        <w:rPr>
          <w:color w:val="auto"/>
          <w:szCs w:val="21"/>
          <w:highlight w:val="none"/>
        </w:rPr>
      </w:pPr>
      <w:r>
        <w:rPr>
          <w:rFonts w:hint="eastAsia"/>
          <w:color w:val="auto"/>
          <w:szCs w:val="21"/>
          <w:highlight w:val="none"/>
        </w:rPr>
        <w:t>采购代理服务费限见竞争性谈判响应须知前附表。</w:t>
      </w:r>
    </w:p>
    <w:p w14:paraId="49B216AE">
      <w:pPr>
        <w:pStyle w:val="3"/>
        <w:rPr>
          <w:color w:val="auto"/>
          <w:highlight w:val="none"/>
        </w:rPr>
      </w:pPr>
      <w:bookmarkStart w:id="98" w:name="_Toc27709"/>
      <w:bookmarkStart w:id="99" w:name="_Toc456551927"/>
      <w:r>
        <w:rPr>
          <w:rFonts w:hint="eastAsia"/>
          <w:color w:val="auto"/>
          <w:highlight w:val="none"/>
        </w:rPr>
        <w:t>10. 纪律和监督</w:t>
      </w:r>
      <w:bookmarkEnd w:id="98"/>
      <w:bookmarkEnd w:id="99"/>
    </w:p>
    <w:p w14:paraId="6DD6E6DE">
      <w:pPr>
        <w:spacing w:line="400" w:lineRule="exact"/>
        <w:rPr>
          <w:rFonts w:ascii="宋体" w:hAnsi="宋体"/>
          <w:b/>
          <w:color w:val="auto"/>
          <w:sz w:val="32"/>
          <w:szCs w:val="32"/>
          <w:highlight w:val="none"/>
        </w:rPr>
      </w:pPr>
      <w:bookmarkStart w:id="100" w:name="_Toc475552169"/>
      <w:bookmarkStart w:id="101" w:name="_Toc456551928"/>
      <w:r>
        <w:rPr>
          <w:rFonts w:hint="eastAsia" w:ascii="宋体" w:hAnsi="宋体"/>
          <w:b/>
          <w:color w:val="auto"/>
          <w:sz w:val="32"/>
          <w:szCs w:val="32"/>
          <w:highlight w:val="none"/>
        </w:rPr>
        <w:t>10.1 对采购人的纪律要求</w:t>
      </w:r>
      <w:bookmarkEnd w:id="100"/>
      <w:bookmarkEnd w:id="101"/>
    </w:p>
    <w:p w14:paraId="5DEADCE2">
      <w:pPr>
        <w:spacing w:line="400" w:lineRule="exact"/>
        <w:ind w:firstLine="420" w:firstLineChars="200"/>
        <w:rPr>
          <w:color w:val="auto"/>
          <w:szCs w:val="21"/>
          <w:highlight w:val="none"/>
        </w:rPr>
      </w:pPr>
      <w:r>
        <w:rPr>
          <w:rFonts w:hint="eastAsia"/>
          <w:color w:val="auto"/>
          <w:szCs w:val="21"/>
          <w:highlight w:val="none"/>
        </w:rPr>
        <w:t>采购人不得泄漏竞争性谈判活动中应当保密的情况和资料，不得与响应人串通损害国家利益、社会公共利益或者他人合法权益。</w:t>
      </w:r>
    </w:p>
    <w:p w14:paraId="71DD7E44">
      <w:pPr>
        <w:spacing w:line="400" w:lineRule="exact"/>
        <w:rPr>
          <w:rFonts w:ascii="宋体" w:hAnsi="宋体"/>
          <w:b/>
          <w:color w:val="auto"/>
          <w:sz w:val="32"/>
          <w:szCs w:val="32"/>
          <w:highlight w:val="none"/>
        </w:rPr>
      </w:pPr>
      <w:bookmarkStart w:id="102" w:name="_Toc475552170"/>
      <w:bookmarkStart w:id="103" w:name="_Toc456551929"/>
      <w:r>
        <w:rPr>
          <w:rFonts w:hint="eastAsia" w:ascii="宋体" w:hAnsi="宋体"/>
          <w:b/>
          <w:color w:val="auto"/>
          <w:sz w:val="32"/>
          <w:szCs w:val="32"/>
          <w:highlight w:val="none"/>
        </w:rPr>
        <w:t>10.2 对响应人的纪律要求</w:t>
      </w:r>
      <w:bookmarkEnd w:id="102"/>
      <w:bookmarkEnd w:id="103"/>
    </w:p>
    <w:p w14:paraId="3ABD8CD2">
      <w:pPr>
        <w:spacing w:line="400" w:lineRule="exact"/>
        <w:ind w:firstLine="420" w:firstLineChars="200"/>
        <w:rPr>
          <w:color w:val="auto"/>
          <w:szCs w:val="21"/>
          <w:highlight w:val="none"/>
        </w:rPr>
      </w:pPr>
      <w:r>
        <w:rPr>
          <w:rFonts w:hint="eastAsia"/>
          <w:color w:val="auto"/>
          <w:szCs w:val="21"/>
          <w:highlight w:val="none"/>
        </w:rPr>
        <w:t>响应人不得相互串通竞争性谈判或者与采购人串通竞争性谈判，不得向采购人或者谈判小组成员行贿谋取成交，不得以他人名义竞争性谈判或者以其他方式弄虚作假骗取成交；响应人不得以任何方式干扰、影响评审工作。</w:t>
      </w:r>
    </w:p>
    <w:p w14:paraId="47ACB76F">
      <w:pPr>
        <w:spacing w:line="400" w:lineRule="exact"/>
        <w:rPr>
          <w:rFonts w:ascii="宋体" w:hAnsi="宋体"/>
          <w:b/>
          <w:color w:val="auto"/>
          <w:sz w:val="32"/>
          <w:szCs w:val="32"/>
          <w:highlight w:val="none"/>
        </w:rPr>
      </w:pPr>
      <w:bookmarkStart w:id="104" w:name="_Toc475552171"/>
      <w:bookmarkStart w:id="105" w:name="_Toc456551930"/>
      <w:r>
        <w:rPr>
          <w:rFonts w:hint="eastAsia" w:ascii="宋体" w:hAnsi="宋体"/>
          <w:b/>
          <w:color w:val="auto"/>
          <w:sz w:val="32"/>
          <w:szCs w:val="32"/>
          <w:highlight w:val="none"/>
        </w:rPr>
        <w:t>10.3 对谈判小组成员的纪律要求</w:t>
      </w:r>
      <w:bookmarkEnd w:id="104"/>
      <w:bookmarkEnd w:id="105"/>
    </w:p>
    <w:p w14:paraId="421F00BF">
      <w:pPr>
        <w:spacing w:line="400" w:lineRule="exact"/>
        <w:ind w:firstLine="420" w:firstLineChars="200"/>
        <w:rPr>
          <w:color w:val="auto"/>
          <w:szCs w:val="21"/>
          <w:highlight w:val="none"/>
        </w:rPr>
      </w:pPr>
      <w:r>
        <w:rPr>
          <w:rFonts w:hint="eastAsia"/>
          <w:color w:val="auto"/>
          <w:szCs w:val="21"/>
          <w:highlight w:val="none"/>
        </w:rPr>
        <w:t>谈判小组成员不得收受他人的财物或者其他好处，不得向他人透漏对响应文件的评审和比较、成交候选人的推荐情况以及评审有关的其他情况。在评审活动中，谈判小组成员应当客观、公正地履行职责，遵守职业道德，不得擅离职守，影响评审程序正常进行，不得使用第三章“评审办法”没有规定的评审因素和标准进行评审。</w:t>
      </w:r>
    </w:p>
    <w:p w14:paraId="064B269A">
      <w:pPr>
        <w:spacing w:line="400" w:lineRule="exact"/>
        <w:rPr>
          <w:rFonts w:ascii="宋体" w:hAnsi="宋体"/>
          <w:b/>
          <w:color w:val="auto"/>
          <w:sz w:val="32"/>
          <w:szCs w:val="32"/>
          <w:highlight w:val="none"/>
        </w:rPr>
      </w:pPr>
      <w:bookmarkStart w:id="106" w:name="_Toc456551931"/>
      <w:bookmarkStart w:id="107" w:name="_Toc475552172"/>
      <w:r>
        <w:rPr>
          <w:rFonts w:hint="eastAsia" w:ascii="宋体" w:hAnsi="宋体"/>
          <w:b/>
          <w:color w:val="auto"/>
          <w:sz w:val="32"/>
          <w:szCs w:val="32"/>
          <w:highlight w:val="none"/>
        </w:rPr>
        <w:t>10.4 对与评审活动有关的工作人员的纪律要求</w:t>
      </w:r>
      <w:bookmarkEnd w:id="106"/>
      <w:bookmarkEnd w:id="107"/>
    </w:p>
    <w:p w14:paraId="6A47FF79">
      <w:pPr>
        <w:spacing w:line="400" w:lineRule="exact"/>
        <w:ind w:firstLine="420" w:firstLineChars="200"/>
        <w:rPr>
          <w:color w:val="auto"/>
          <w:szCs w:val="21"/>
          <w:highlight w:val="none"/>
        </w:rPr>
      </w:pPr>
      <w:r>
        <w:rPr>
          <w:rFonts w:hint="eastAsia"/>
          <w:color w:val="auto"/>
          <w:szCs w:val="21"/>
          <w:highlight w:val="none"/>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14:paraId="715FF148">
      <w:pPr>
        <w:spacing w:line="400" w:lineRule="exact"/>
        <w:rPr>
          <w:rFonts w:ascii="宋体" w:hAnsi="宋体"/>
          <w:b/>
          <w:color w:val="auto"/>
          <w:sz w:val="32"/>
          <w:szCs w:val="32"/>
          <w:highlight w:val="none"/>
        </w:rPr>
      </w:pPr>
      <w:r>
        <w:rPr>
          <w:rFonts w:hint="eastAsia" w:ascii="宋体" w:hAnsi="宋体"/>
          <w:b/>
          <w:color w:val="auto"/>
          <w:sz w:val="32"/>
          <w:szCs w:val="32"/>
          <w:highlight w:val="none"/>
        </w:rPr>
        <w:t>10.5 采购监督小组</w:t>
      </w:r>
    </w:p>
    <w:p w14:paraId="720B3F49">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1采购人应当组建采购监督小组对竞争性谈判过程进行监督，及时指出、制止违反程序及纪律的行为，但不得就资格审查或者评标涉及的实质内容发表意见或者参与资格审查委员会、谈判小组的讨论。</w:t>
      </w:r>
    </w:p>
    <w:p w14:paraId="4CB3D3F2">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2特殊情况导致开标、评标无法继续进行的、相关人员存在违反程序及纪律的行为被指出后仍拒绝纠正的、发现竞争性谈判活动存在其他违反相关规定行为的，采购监督小组应当及时报告监督部门。</w:t>
      </w:r>
    </w:p>
    <w:p w14:paraId="6DDBD82C">
      <w:pPr>
        <w:spacing w:line="400" w:lineRule="exact"/>
        <w:ind w:firstLine="420" w:firstLineChars="200"/>
        <w:rPr>
          <w:color w:val="auto"/>
          <w:szCs w:val="21"/>
          <w:highlight w:val="none"/>
        </w:rPr>
      </w:pPr>
      <w:r>
        <w:rPr>
          <w:color w:val="auto"/>
          <w:szCs w:val="21"/>
          <w:highlight w:val="none"/>
        </w:rPr>
        <w:t>10.5.</w:t>
      </w:r>
      <w:r>
        <w:rPr>
          <w:rFonts w:hint="eastAsia"/>
          <w:color w:val="auto"/>
          <w:szCs w:val="21"/>
          <w:highlight w:val="none"/>
        </w:rPr>
        <w:t>3采购监督小组可以通过检查、随机抽查、现场监督、网络在线监督等方式对竞争性谈判活动进行监督，竞争性谈判活动各方应当自觉接受监督检查。</w:t>
      </w:r>
    </w:p>
    <w:p w14:paraId="1FEEA7B1">
      <w:pPr>
        <w:pStyle w:val="3"/>
        <w:rPr>
          <w:color w:val="auto"/>
          <w:highlight w:val="none"/>
        </w:rPr>
      </w:pPr>
      <w:bookmarkStart w:id="108" w:name="_Toc31689"/>
      <w:bookmarkStart w:id="109" w:name="_Toc456551933"/>
      <w:bookmarkStart w:id="110" w:name="_Toc296602420"/>
      <w:bookmarkStart w:id="111" w:name="_Toc246996918"/>
      <w:bookmarkStart w:id="112" w:name="_Toc179632546"/>
      <w:bookmarkStart w:id="113" w:name="_Toc246996175"/>
      <w:bookmarkStart w:id="114" w:name="_Toc152042305"/>
      <w:bookmarkStart w:id="115" w:name="_Toc152045529"/>
      <w:bookmarkStart w:id="116" w:name="_Toc144974497"/>
      <w:bookmarkStart w:id="117" w:name="_Toc247085689"/>
      <w:r>
        <w:rPr>
          <w:rFonts w:hint="eastAsia"/>
          <w:color w:val="auto"/>
          <w:highlight w:val="none"/>
        </w:rPr>
        <w:t>1</w:t>
      </w:r>
      <w:r>
        <w:rPr>
          <w:rFonts w:hint="eastAsia"/>
          <w:color w:val="auto"/>
          <w:highlight w:val="none"/>
          <w:lang w:val="en-US" w:eastAsia="zh-CN"/>
        </w:rPr>
        <w:t>1</w:t>
      </w:r>
      <w:r>
        <w:rPr>
          <w:rFonts w:hint="eastAsia"/>
          <w:color w:val="auto"/>
          <w:highlight w:val="none"/>
        </w:rPr>
        <w:t>. 需要补充的其他内容</w:t>
      </w:r>
      <w:bookmarkEnd w:id="108"/>
      <w:bookmarkEnd w:id="109"/>
    </w:p>
    <w:p w14:paraId="4D0F2E48">
      <w:pPr>
        <w:spacing w:line="400" w:lineRule="exact"/>
        <w:ind w:firstLine="420" w:firstLineChars="200"/>
        <w:rPr>
          <w:rFonts w:hint="eastAsia"/>
          <w:color w:val="auto"/>
          <w:szCs w:val="21"/>
          <w:highlight w:val="none"/>
        </w:rPr>
      </w:pPr>
      <w:r>
        <w:rPr>
          <w:rFonts w:hint="eastAsia"/>
          <w:color w:val="auto"/>
          <w:szCs w:val="21"/>
          <w:highlight w:val="none"/>
        </w:rPr>
        <w:t>需要补充的其他内容：见竞争性谈判响应须知前附表。</w:t>
      </w:r>
    </w:p>
    <w:p w14:paraId="7B220582">
      <w:pPr>
        <w:rPr>
          <w:rFonts w:hint="eastAsia"/>
          <w:color w:val="auto"/>
          <w:szCs w:val="21"/>
          <w:highlight w:val="none"/>
        </w:rPr>
      </w:pPr>
      <w:r>
        <w:rPr>
          <w:rFonts w:hint="eastAsia"/>
          <w:color w:val="auto"/>
          <w:szCs w:val="21"/>
          <w:highlight w:val="none"/>
        </w:rPr>
        <w:br w:type="page"/>
      </w:r>
    </w:p>
    <w:p w14:paraId="570BE934">
      <w:pPr>
        <w:spacing w:line="400" w:lineRule="exact"/>
        <w:ind w:firstLine="420" w:firstLineChars="200"/>
        <w:rPr>
          <w:rFonts w:hint="eastAsia"/>
          <w:color w:val="auto"/>
          <w:szCs w:val="21"/>
          <w:highlight w:val="none"/>
        </w:rPr>
      </w:pPr>
    </w:p>
    <w:p w14:paraId="35F31986">
      <w:pPr>
        <w:pStyle w:val="2"/>
        <w:spacing w:before="0"/>
        <w:jc w:val="center"/>
        <w:rPr>
          <w:rFonts w:ascii="宋体" w:hAnsi="宋体"/>
          <w:color w:val="auto"/>
          <w:sz w:val="28"/>
          <w:szCs w:val="28"/>
          <w:highlight w:val="none"/>
        </w:rPr>
      </w:pPr>
      <w:bookmarkStart w:id="118" w:name="_Toc456551939"/>
      <w:bookmarkStart w:id="119" w:name="_Toc3691"/>
      <w:r>
        <w:rPr>
          <w:rFonts w:hint="eastAsia" w:ascii="宋体" w:hAnsi="宋体"/>
          <w:color w:val="auto"/>
          <w:sz w:val="28"/>
          <w:szCs w:val="28"/>
          <w:highlight w:val="none"/>
        </w:rPr>
        <w:t>第三章 评审办法</w:t>
      </w:r>
      <w:bookmarkEnd w:id="118"/>
      <w:bookmarkEnd w:id="119"/>
    </w:p>
    <w:p w14:paraId="28BAD14E">
      <w:pPr>
        <w:pStyle w:val="3"/>
        <w:spacing w:before="0" w:after="120" w:line="415" w:lineRule="auto"/>
        <w:jc w:val="left"/>
        <w:outlineLvl w:val="1"/>
        <w:rPr>
          <w:rFonts w:ascii="黑体" w:hAnsi="黑体" w:eastAsia="黑体"/>
          <w:color w:val="auto"/>
          <w:sz w:val="28"/>
          <w:szCs w:val="28"/>
          <w:highlight w:val="none"/>
        </w:rPr>
      </w:pPr>
      <w:bookmarkStart w:id="120" w:name="_Toc15141"/>
      <w:bookmarkStart w:id="121" w:name="_Toc27623"/>
      <w:bookmarkStart w:id="122" w:name="_Toc456551940"/>
      <w:r>
        <w:rPr>
          <w:rFonts w:hint="eastAsia" w:ascii="黑体" w:hAnsi="黑体" w:eastAsia="黑体"/>
          <w:color w:val="auto"/>
          <w:sz w:val="28"/>
          <w:szCs w:val="28"/>
          <w:highlight w:val="none"/>
        </w:rPr>
        <w:t>一、评审办法前附表</w:t>
      </w:r>
      <w:bookmarkEnd w:id="120"/>
      <w:bookmarkEnd w:id="121"/>
    </w:p>
    <w:tbl>
      <w:tblPr>
        <w:tblStyle w:val="40"/>
        <w:tblW w:w="9216"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2054"/>
        <w:gridCol w:w="5536"/>
        <w:gridCol w:w="960"/>
      </w:tblGrid>
      <w:tr w14:paraId="426DE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66" w:type="dxa"/>
            <w:tcBorders>
              <w:top w:val="single" w:color="auto" w:sz="4" w:space="0"/>
              <w:left w:val="single" w:color="auto" w:sz="4" w:space="0"/>
              <w:bottom w:val="single" w:color="auto" w:sz="4" w:space="0"/>
              <w:right w:val="single" w:color="auto" w:sz="4" w:space="0"/>
            </w:tcBorders>
            <w:vAlign w:val="center"/>
          </w:tcPr>
          <w:p w14:paraId="63CFDA1A">
            <w:pPr>
              <w:snapToGrid w:val="0"/>
              <w:spacing w:line="360" w:lineRule="auto"/>
              <w:jc w:val="center"/>
              <w:rPr>
                <w:rFonts w:ascii="宋体" w:hAnsi="宋体" w:cs="宋体"/>
                <w:color w:val="auto"/>
                <w:kern w:val="0"/>
                <w:sz w:val="21"/>
                <w:szCs w:val="21"/>
                <w:highlight w:val="none"/>
              </w:rPr>
            </w:pPr>
            <w:r>
              <w:rPr>
                <w:rFonts w:hint="eastAsia" w:ascii="宋体" w:hAnsi="宋体" w:cs="宋体"/>
                <w:color w:val="auto"/>
                <w:sz w:val="21"/>
                <w:szCs w:val="21"/>
                <w:highlight w:val="none"/>
              </w:rPr>
              <w:t>序号</w:t>
            </w:r>
          </w:p>
        </w:tc>
        <w:tc>
          <w:tcPr>
            <w:tcW w:w="2054" w:type="dxa"/>
            <w:tcBorders>
              <w:top w:val="single" w:color="auto" w:sz="4" w:space="0"/>
              <w:left w:val="single" w:color="auto" w:sz="4" w:space="0"/>
              <w:bottom w:val="single" w:color="auto" w:sz="4" w:space="0"/>
              <w:right w:val="single" w:color="auto" w:sz="4" w:space="0"/>
            </w:tcBorders>
            <w:vAlign w:val="center"/>
          </w:tcPr>
          <w:p w14:paraId="1184247A">
            <w:pPr>
              <w:snapToGrid w:val="0"/>
              <w:spacing w:line="360" w:lineRule="auto"/>
              <w:jc w:val="center"/>
              <w:rPr>
                <w:rFonts w:ascii="宋体" w:hAnsi="宋体" w:cs="宋体"/>
                <w:color w:val="auto"/>
                <w:sz w:val="21"/>
                <w:szCs w:val="21"/>
                <w:highlight w:val="none"/>
              </w:rPr>
            </w:pPr>
            <w:r>
              <w:rPr>
                <w:rFonts w:hint="eastAsia" w:ascii="宋体" w:hAnsi="宋体" w:cs="宋体"/>
                <w:color w:val="auto"/>
                <w:kern w:val="0"/>
                <w:sz w:val="21"/>
                <w:szCs w:val="21"/>
                <w:highlight w:val="none"/>
              </w:rPr>
              <w:t>评审内容</w:t>
            </w:r>
          </w:p>
        </w:tc>
        <w:tc>
          <w:tcPr>
            <w:tcW w:w="5536" w:type="dxa"/>
            <w:tcBorders>
              <w:top w:val="single" w:color="auto" w:sz="4" w:space="0"/>
              <w:left w:val="single" w:color="auto" w:sz="4" w:space="0"/>
              <w:bottom w:val="single" w:color="auto" w:sz="4" w:space="0"/>
              <w:right w:val="single" w:color="auto" w:sz="4" w:space="0"/>
            </w:tcBorders>
            <w:vAlign w:val="center"/>
          </w:tcPr>
          <w:p w14:paraId="73D73A30">
            <w:pPr>
              <w:snapToGrid w:val="0"/>
              <w:spacing w:line="360" w:lineRule="auto"/>
              <w:jc w:val="center"/>
              <w:rPr>
                <w:rFonts w:ascii="宋体" w:hAnsi="宋体" w:cs="宋体"/>
                <w:color w:val="auto"/>
                <w:sz w:val="21"/>
                <w:szCs w:val="21"/>
                <w:highlight w:val="none"/>
              </w:rPr>
            </w:pPr>
            <w:r>
              <w:rPr>
                <w:rFonts w:hint="eastAsia" w:ascii="宋体" w:hAnsi="宋体" w:cs="宋体"/>
                <w:color w:val="auto"/>
                <w:kern w:val="0"/>
                <w:sz w:val="21"/>
                <w:szCs w:val="21"/>
                <w:highlight w:val="none"/>
              </w:rPr>
              <w:t>评审标准</w:t>
            </w:r>
          </w:p>
        </w:tc>
        <w:tc>
          <w:tcPr>
            <w:tcW w:w="960" w:type="dxa"/>
            <w:tcBorders>
              <w:top w:val="single" w:color="auto" w:sz="4" w:space="0"/>
              <w:left w:val="single" w:color="auto" w:sz="4" w:space="0"/>
              <w:bottom w:val="single" w:color="auto" w:sz="4" w:space="0"/>
              <w:right w:val="single" w:color="auto" w:sz="4" w:space="0"/>
            </w:tcBorders>
            <w:vAlign w:val="center"/>
          </w:tcPr>
          <w:p w14:paraId="7DB96012">
            <w:pPr>
              <w:snapToGrid w:val="0"/>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竞争性谈判文件索引页码</w:t>
            </w:r>
          </w:p>
        </w:tc>
      </w:tr>
      <w:tr w14:paraId="01043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66" w:type="dxa"/>
            <w:tcBorders>
              <w:top w:val="single" w:color="auto" w:sz="4" w:space="0"/>
              <w:left w:val="single" w:color="auto" w:sz="4" w:space="0"/>
              <w:bottom w:val="single" w:color="auto" w:sz="4" w:space="0"/>
              <w:right w:val="single" w:color="auto" w:sz="4" w:space="0"/>
            </w:tcBorders>
            <w:vAlign w:val="center"/>
          </w:tcPr>
          <w:p w14:paraId="0C3833AD">
            <w:pPr>
              <w:snapToGrid w:val="0"/>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1</w:t>
            </w:r>
          </w:p>
        </w:tc>
        <w:tc>
          <w:tcPr>
            <w:tcW w:w="2054" w:type="dxa"/>
            <w:tcBorders>
              <w:top w:val="single" w:color="auto" w:sz="4" w:space="0"/>
              <w:left w:val="single" w:color="auto" w:sz="4" w:space="0"/>
              <w:bottom w:val="single" w:color="auto" w:sz="4" w:space="0"/>
              <w:right w:val="single" w:color="auto" w:sz="4" w:space="0"/>
            </w:tcBorders>
            <w:vAlign w:val="center"/>
          </w:tcPr>
          <w:p w14:paraId="3F6C2039">
            <w:pPr>
              <w:snapToGrid w:val="0"/>
              <w:spacing w:line="360" w:lineRule="auto"/>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响应人资格要求</w:t>
            </w:r>
          </w:p>
        </w:tc>
        <w:tc>
          <w:tcPr>
            <w:tcW w:w="5536" w:type="dxa"/>
            <w:tcBorders>
              <w:top w:val="single" w:color="auto" w:sz="4" w:space="0"/>
              <w:left w:val="single" w:color="auto" w:sz="4" w:space="0"/>
              <w:bottom w:val="single" w:color="auto" w:sz="4" w:space="0"/>
              <w:right w:val="single" w:color="auto" w:sz="4" w:space="0"/>
            </w:tcBorders>
            <w:vAlign w:val="center"/>
          </w:tcPr>
          <w:p w14:paraId="446D7577">
            <w:pPr>
              <w:snapToGrid w:val="0"/>
              <w:spacing w:line="360" w:lineRule="auto"/>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符合响应人资格要求</w:t>
            </w:r>
          </w:p>
        </w:tc>
        <w:tc>
          <w:tcPr>
            <w:tcW w:w="960" w:type="dxa"/>
            <w:tcBorders>
              <w:top w:val="single" w:color="auto" w:sz="4" w:space="0"/>
              <w:left w:val="single" w:color="auto" w:sz="4" w:space="0"/>
              <w:bottom w:val="single" w:color="auto" w:sz="4" w:space="0"/>
              <w:right w:val="single" w:color="auto" w:sz="4" w:space="0"/>
            </w:tcBorders>
            <w:vAlign w:val="center"/>
          </w:tcPr>
          <w:p w14:paraId="23290DF7">
            <w:pPr>
              <w:snapToGrid w:val="0"/>
              <w:spacing w:line="360" w:lineRule="auto"/>
              <w:jc w:val="center"/>
              <w:rPr>
                <w:rFonts w:ascii="宋体" w:hAnsi="宋体" w:cs="宋体"/>
                <w:color w:val="auto"/>
                <w:kern w:val="0"/>
                <w:sz w:val="21"/>
                <w:szCs w:val="21"/>
                <w:highlight w:val="none"/>
              </w:rPr>
            </w:pPr>
          </w:p>
        </w:tc>
      </w:tr>
      <w:tr w14:paraId="5F39E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66" w:type="dxa"/>
            <w:tcBorders>
              <w:top w:val="single" w:color="auto" w:sz="4" w:space="0"/>
              <w:left w:val="single" w:color="auto" w:sz="4" w:space="0"/>
              <w:bottom w:val="single" w:color="auto" w:sz="4" w:space="0"/>
              <w:right w:val="single" w:color="auto" w:sz="4" w:space="0"/>
            </w:tcBorders>
            <w:vAlign w:val="center"/>
          </w:tcPr>
          <w:p w14:paraId="17E974C7">
            <w:pPr>
              <w:snapToGrid w:val="0"/>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2</w:t>
            </w:r>
          </w:p>
        </w:tc>
        <w:tc>
          <w:tcPr>
            <w:tcW w:w="2054" w:type="dxa"/>
            <w:tcBorders>
              <w:top w:val="single" w:color="auto" w:sz="4" w:space="0"/>
              <w:left w:val="single" w:color="auto" w:sz="4" w:space="0"/>
              <w:bottom w:val="single" w:color="auto" w:sz="4" w:space="0"/>
              <w:right w:val="single" w:color="auto" w:sz="4" w:space="0"/>
            </w:tcBorders>
            <w:vAlign w:val="center"/>
          </w:tcPr>
          <w:p w14:paraId="2EFBA9EF">
            <w:pPr>
              <w:snapToGrid w:val="0"/>
              <w:spacing w:line="360" w:lineRule="auto"/>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竞争性谈判保证金</w:t>
            </w:r>
          </w:p>
        </w:tc>
        <w:tc>
          <w:tcPr>
            <w:tcW w:w="5536" w:type="dxa"/>
            <w:tcBorders>
              <w:top w:val="single" w:color="auto" w:sz="4" w:space="0"/>
              <w:left w:val="single" w:color="auto" w:sz="4" w:space="0"/>
              <w:bottom w:val="single" w:color="auto" w:sz="4" w:space="0"/>
              <w:right w:val="single" w:color="auto" w:sz="4" w:space="0"/>
            </w:tcBorders>
            <w:vAlign w:val="center"/>
          </w:tcPr>
          <w:p w14:paraId="39B7F106">
            <w:pPr>
              <w:snapToGrid w:val="0"/>
              <w:spacing w:line="360" w:lineRule="auto"/>
              <w:jc w:val="center"/>
              <w:rPr>
                <w:rFonts w:ascii="宋体" w:hAnsi="宋体" w:cs="宋体"/>
                <w:color w:val="auto"/>
                <w:kern w:val="0"/>
                <w:sz w:val="21"/>
                <w:szCs w:val="21"/>
                <w:highlight w:val="none"/>
              </w:rPr>
            </w:pPr>
            <w:r>
              <w:rPr>
                <w:rFonts w:hint="eastAsia" w:hAnsi="宋体" w:cs="宋体"/>
                <w:bCs/>
                <w:color w:val="auto"/>
                <w:sz w:val="21"/>
                <w:szCs w:val="21"/>
                <w:highlight w:val="none"/>
              </w:rPr>
              <w:t>按竞争性谈判文件的规定提交竞争性谈判保证金的</w:t>
            </w:r>
          </w:p>
        </w:tc>
        <w:tc>
          <w:tcPr>
            <w:tcW w:w="960" w:type="dxa"/>
            <w:tcBorders>
              <w:top w:val="single" w:color="auto" w:sz="4" w:space="0"/>
              <w:left w:val="single" w:color="auto" w:sz="4" w:space="0"/>
              <w:bottom w:val="single" w:color="auto" w:sz="4" w:space="0"/>
              <w:right w:val="single" w:color="auto" w:sz="4" w:space="0"/>
            </w:tcBorders>
            <w:vAlign w:val="center"/>
          </w:tcPr>
          <w:p w14:paraId="2CF926AD">
            <w:pPr>
              <w:snapToGrid w:val="0"/>
              <w:spacing w:line="360" w:lineRule="auto"/>
              <w:jc w:val="center"/>
              <w:rPr>
                <w:rFonts w:ascii="宋体" w:hAnsi="宋体" w:cs="宋体"/>
                <w:color w:val="auto"/>
                <w:kern w:val="0"/>
                <w:sz w:val="21"/>
                <w:szCs w:val="21"/>
                <w:highlight w:val="none"/>
              </w:rPr>
            </w:pPr>
          </w:p>
        </w:tc>
      </w:tr>
      <w:tr w14:paraId="77AA7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66" w:type="dxa"/>
            <w:tcBorders>
              <w:top w:val="single" w:color="auto" w:sz="4" w:space="0"/>
              <w:left w:val="single" w:color="auto" w:sz="4" w:space="0"/>
              <w:bottom w:val="single" w:color="auto" w:sz="4" w:space="0"/>
              <w:right w:val="single" w:color="auto" w:sz="4" w:space="0"/>
            </w:tcBorders>
            <w:vAlign w:val="center"/>
          </w:tcPr>
          <w:p w14:paraId="5B31790F">
            <w:pPr>
              <w:snapToGrid w:val="0"/>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3</w:t>
            </w:r>
          </w:p>
        </w:tc>
        <w:tc>
          <w:tcPr>
            <w:tcW w:w="2054" w:type="dxa"/>
            <w:tcBorders>
              <w:top w:val="single" w:color="auto" w:sz="4" w:space="0"/>
              <w:left w:val="single" w:color="auto" w:sz="4" w:space="0"/>
              <w:bottom w:val="single" w:color="auto" w:sz="4" w:space="0"/>
              <w:right w:val="single" w:color="auto" w:sz="4" w:space="0"/>
            </w:tcBorders>
            <w:vAlign w:val="center"/>
          </w:tcPr>
          <w:p w14:paraId="12B0EF5E">
            <w:pPr>
              <w:snapToGrid w:val="0"/>
              <w:spacing w:line="360" w:lineRule="auto"/>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响应文件盖章、签署</w:t>
            </w:r>
          </w:p>
        </w:tc>
        <w:tc>
          <w:tcPr>
            <w:tcW w:w="5536" w:type="dxa"/>
            <w:tcBorders>
              <w:top w:val="single" w:color="auto" w:sz="4" w:space="0"/>
              <w:left w:val="single" w:color="auto" w:sz="4" w:space="0"/>
              <w:bottom w:val="single" w:color="auto" w:sz="4" w:space="0"/>
              <w:right w:val="single" w:color="auto" w:sz="4" w:space="0"/>
            </w:tcBorders>
            <w:vAlign w:val="center"/>
          </w:tcPr>
          <w:p w14:paraId="50FC7DF1">
            <w:pPr>
              <w:snapToGrid w:val="0"/>
              <w:spacing w:line="360" w:lineRule="auto"/>
              <w:jc w:val="center"/>
              <w:rPr>
                <w:rFonts w:ascii="宋体" w:hAnsi="宋体" w:cs="宋体"/>
                <w:color w:val="auto"/>
                <w:kern w:val="0"/>
                <w:sz w:val="21"/>
                <w:szCs w:val="21"/>
                <w:highlight w:val="none"/>
              </w:rPr>
            </w:pPr>
            <w:r>
              <w:rPr>
                <w:rFonts w:hint="eastAsia" w:hAnsi="宋体" w:cs="宋体"/>
                <w:bCs/>
                <w:color w:val="auto"/>
                <w:sz w:val="21"/>
                <w:szCs w:val="21"/>
                <w:highlight w:val="none"/>
              </w:rPr>
              <w:t>响应文件按竞争性谈判文件要求签署、盖章的</w:t>
            </w:r>
          </w:p>
        </w:tc>
        <w:tc>
          <w:tcPr>
            <w:tcW w:w="960" w:type="dxa"/>
            <w:tcBorders>
              <w:top w:val="single" w:color="auto" w:sz="4" w:space="0"/>
              <w:left w:val="single" w:color="auto" w:sz="4" w:space="0"/>
              <w:bottom w:val="single" w:color="auto" w:sz="4" w:space="0"/>
              <w:right w:val="single" w:color="auto" w:sz="4" w:space="0"/>
            </w:tcBorders>
            <w:vAlign w:val="center"/>
          </w:tcPr>
          <w:p w14:paraId="02339562">
            <w:pPr>
              <w:snapToGrid w:val="0"/>
              <w:spacing w:line="360" w:lineRule="auto"/>
              <w:jc w:val="center"/>
              <w:rPr>
                <w:rFonts w:ascii="宋体" w:hAnsi="宋体" w:cs="宋体"/>
                <w:color w:val="auto"/>
                <w:kern w:val="0"/>
                <w:sz w:val="21"/>
                <w:szCs w:val="21"/>
                <w:highlight w:val="none"/>
              </w:rPr>
            </w:pPr>
          </w:p>
        </w:tc>
      </w:tr>
      <w:tr w14:paraId="541D8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66" w:type="dxa"/>
            <w:tcBorders>
              <w:top w:val="single" w:color="auto" w:sz="4" w:space="0"/>
              <w:left w:val="single" w:color="auto" w:sz="4" w:space="0"/>
              <w:bottom w:val="single" w:color="auto" w:sz="4" w:space="0"/>
              <w:right w:val="single" w:color="auto" w:sz="4" w:space="0"/>
            </w:tcBorders>
            <w:vAlign w:val="center"/>
          </w:tcPr>
          <w:p w14:paraId="60633CB3">
            <w:pPr>
              <w:snapToGrid w:val="0"/>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4</w:t>
            </w:r>
          </w:p>
        </w:tc>
        <w:tc>
          <w:tcPr>
            <w:tcW w:w="2054" w:type="dxa"/>
            <w:tcBorders>
              <w:top w:val="single" w:color="auto" w:sz="4" w:space="0"/>
              <w:left w:val="single" w:color="auto" w:sz="4" w:space="0"/>
              <w:bottom w:val="single" w:color="auto" w:sz="4" w:space="0"/>
              <w:right w:val="single" w:color="auto" w:sz="4" w:space="0"/>
            </w:tcBorders>
            <w:vAlign w:val="center"/>
          </w:tcPr>
          <w:p w14:paraId="7FDCF541">
            <w:pPr>
              <w:snapToGrid w:val="0"/>
              <w:spacing w:line="360" w:lineRule="auto"/>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报价</w:t>
            </w:r>
          </w:p>
        </w:tc>
        <w:tc>
          <w:tcPr>
            <w:tcW w:w="5536" w:type="dxa"/>
            <w:tcBorders>
              <w:top w:val="single" w:color="auto" w:sz="4" w:space="0"/>
              <w:left w:val="single" w:color="auto" w:sz="4" w:space="0"/>
              <w:bottom w:val="single" w:color="auto" w:sz="4" w:space="0"/>
              <w:right w:val="single" w:color="auto" w:sz="4" w:space="0"/>
            </w:tcBorders>
            <w:vAlign w:val="center"/>
          </w:tcPr>
          <w:p w14:paraId="4231CB02">
            <w:pPr>
              <w:snapToGrid w:val="0"/>
              <w:spacing w:line="360" w:lineRule="auto"/>
              <w:jc w:val="center"/>
              <w:rPr>
                <w:rFonts w:ascii="宋体" w:hAnsi="宋体" w:cs="宋体"/>
                <w:color w:val="auto"/>
                <w:kern w:val="0"/>
                <w:sz w:val="21"/>
                <w:szCs w:val="21"/>
                <w:highlight w:val="none"/>
              </w:rPr>
            </w:pPr>
            <w:r>
              <w:rPr>
                <w:rFonts w:hint="eastAsia" w:hAnsi="宋体" w:cs="宋体"/>
                <w:bCs/>
                <w:color w:val="auto"/>
                <w:sz w:val="21"/>
                <w:szCs w:val="21"/>
                <w:highlight w:val="none"/>
              </w:rPr>
              <w:t>按照竞争性谈判文件的规定进行报价的</w:t>
            </w:r>
          </w:p>
        </w:tc>
        <w:tc>
          <w:tcPr>
            <w:tcW w:w="960" w:type="dxa"/>
            <w:tcBorders>
              <w:top w:val="single" w:color="auto" w:sz="4" w:space="0"/>
              <w:left w:val="single" w:color="auto" w:sz="4" w:space="0"/>
              <w:bottom w:val="single" w:color="auto" w:sz="4" w:space="0"/>
              <w:right w:val="single" w:color="auto" w:sz="4" w:space="0"/>
            </w:tcBorders>
            <w:vAlign w:val="center"/>
          </w:tcPr>
          <w:p w14:paraId="71C7256E">
            <w:pPr>
              <w:snapToGrid w:val="0"/>
              <w:spacing w:line="360" w:lineRule="auto"/>
              <w:jc w:val="center"/>
              <w:rPr>
                <w:rFonts w:ascii="宋体" w:hAnsi="宋体" w:cs="宋体"/>
                <w:color w:val="auto"/>
                <w:kern w:val="0"/>
                <w:sz w:val="21"/>
                <w:szCs w:val="21"/>
                <w:highlight w:val="none"/>
              </w:rPr>
            </w:pPr>
          </w:p>
        </w:tc>
      </w:tr>
      <w:tr w14:paraId="28AF7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66" w:type="dxa"/>
            <w:tcBorders>
              <w:top w:val="single" w:color="auto" w:sz="4" w:space="0"/>
              <w:left w:val="single" w:color="auto" w:sz="4" w:space="0"/>
              <w:bottom w:val="single" w:color="auto" w:sz="4" w:space="0"/>
              <w:right w:val="single" w:color="auto" w:sz="4" w:space="0"/>
            </w:tcBorders>
            <w:vAlign w:val="center"/>
          </w:tcPr>
          <w:p w14:paraId="48C5EFF8">
            <w:pPr>
              <w:snapToGrid w:val="0"/>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5</w:t>
            </w:r>
          </w:p>
        </w:tc>
        <w:tc>
          <w:tcPr>
            <w:tcW w:w="2054" w:type="dxa"/>
            <w:tcBorders>
              <w:top w:val="single" w:color="auto" w:sz="4" w:space="0"/>
              <w:left w:val="single" w:color="auto" w:sz="4" w:space="0"/>
              <w:bottom w:val="single" w:color="auto" w:sz="4" w:space="0"/>
              <w:right w:val="single" w:color="auto" w:sz="4" w:space="0"/>
            </w:tcBorders>
            <w:vAlign w:val="center"/>
          </w:tcPr>
          <w:p w14:paraId="2A44FDA3">
            <w:pPr>
              <w:snapToGrid w:val="0"/>
              <w:spacing w:line="360" w:lineRule="auto"/>
              <w:jc w:val="center"/>
              <w:rPr>
                <w:rFonts w:ascii="宋体" w:hAnsi="宋体" w:cs="宋体"/>
                <w:color w:val="auto"/>
                <w:kern w:val="0"/>
                <w:sz w:val="21"/>
                <w:szCs w:val="21"/>
                <w:highlight w:val="none"/>
              </w:rPr>
            </w:pPr>
            <w:r>
              <w:rPr>
                <w:rFonts w:hint="eastAsia" w:hAnsi="宋体" w:cs="宋体"/>
                <w:bCs/>
                <w:color w:val="auto"/>
                <w:sz w:val="21"/>
                <w:szCs w:val="21"/>
                <w:highlight w:val="none"/>
              </w:rPr>
              <w:t>“★”符号的条款</w:t>
            </w:r>
          </w:p>
        </w:tc>
        <w:tc>
          <w:tcPr>
            <w:tcW w:w="5536" w:type="dxa"/>
            <w:tcBorders>
              <w:top w:val="single" w:color="auto" w:sz="4" w:space="0"/>
              <w:left w:val="single" w:color="auto" w:sz="4" w:space="0"/>
              <w:bottom w:val="single" w:color="auto" w:sz="4" w:space="0"/>
              <w:right w:val="single" w:color="auto" w:sz="4" w:space="0"/>
            </w:tcBorders>
            <w:vAlign w:val="center"/>
          </w:tcPr>
          <w:p w14:paraId="1C90EA20">
            <w:pPr>
              <w:snapToGrid w:val="0"/>
              <w:spacing w:line="360" w:lineRule="auto"/>
              <w:jc w:val="center"/>
              <w:rPr>
                <w:rFonts w:hAnsi="宋体" w:cs="宋体"/>
                <w:bCs/>
                <w:color w:val="auto"/>
                <w:sz w:val="21"/>
                <w:szCs w:val="21"/>
                <w:highlight w:val="none"/>
              </w:rPr>
            </w:pPr>
            <w:r>
              <w:rPr>
                <w:rFonts w:hint="eastAsia" w:hAnsi="宋体" w:cs="宋体"/>
                <w:bCs/>
                <w:color w:val="auto"/>
                <w:sz w:val="21"/>
                <w:szCs w:val="21"/>
                <w:highlight w:val="none"/>
              </w:rPr>
              <w:t>无负偏离标注“★”符号的条款</w:t>
            </w:r>
          </w:p>
        </w:tc>
        <w:tc>
          <w:tcPr>
            <w:tcW w:w="960" w:type="dxa"/>
            <w:tcBorders>
              <w:top w:val="single" w:color="auto" w:sz="4" w:space="0"/>
              <w:left w:val="single" w:color="auto" w:sz="4" w:space="0"/>
              <w:bottom w:val="single" w:color="auto" w:sz="4" w:space="0"/>
              <w:right w:val="single" w:color="auto" w:sz="4" w:space="0"/>
            </w:tcBorders>
            <w:vAlign w:val="center"/>
          </w:tcPr>
          <w:p w14:paraId="43EB4D85">
            <w:pPr>
              <w:snapToGrid w:val="0"/>
              <w:spacing w:line="360" w:lineRule="auto"/>
              <w:jc w:val="center"/>
              <w:rPr>
                <w:rFonts w:ascii="宋体" w:hAnsi="宋体" w:cs="宋体"/>
                <w:color w:val="auto"/>
                <w:kern w:val="0"/>
                <w:sz w:val="21"/>
                <w:szCs w:val="21"/>
                <w:highlight w:val="none"/>
              </w:rPr>
            </w:pPr>
          </w:p>
        </w:tc>
      </w:tr>
      <w:tr w14:paraId="4C9D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66" w:type="dxa"/>
            <w:tcBorders>
              <w:top w:val="single" w:color="auto" w:sz="4" w:space="0"/>
              <w:left w:val="single" w:color="auto" w:sz="4" w:space="0"/>
              <w:bottom w:val="single" w:color="auto" w:sz="4" w:space="0"/>
              <w:right w:val="single" w:color="auto" w:sz="4" w:space="0"/>
            </w:tcBorders>
            <w:vAlign w:val="center"/>
          </w:tcPr>
          <w:p w14:paraId="23E359DB">
            <w:pPr>
              <w:snapToGrid w:val="0"/>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6</w:t>
            </w:r>
          </w:p>
        </w:tc>
        <w:tc>
          <w:tcPr>
            <w:tcW w:w="2054" w:type="dxa"/>
            <w:tcBorders>
              <w:top w:val="single" w:color="auto" w:sz="4" w:space="0"/>
              <w:left w:val="single" w:color="auto" w:sz="4" w:space="0"/>
              <w:bottom w:val="single" w:color="auto" w:sz="4" w:space="0"/>
              <w:right w:val="single" w:color="auto" w:sz="4" w:space="0"/>
            </w:tcBorders>
            <w:vAlign w:val="center"/>
          </w:tcPr>
          <w:p w14:paraId="17F71578">
            <w:pPr>
              <w:snapToGrid w:val="0"/>
              <w:spacing w:line="360" w:lineRule="auto"/>
              <w:jc w:val="center"/>
              <w:rPr>
                <w:rFonts w:hAnsi="宋体" w:cs="宋体"/>
                <w:bCs/>
                <w:color w:val="auto"/>
                <w:sz w:val="21"/>
                <w:szCs w:val="21"/>
                <w:highlight w:val="none"/>
              </w:rPr>
            </w:pPr>
            <w:r>
              <w:rPr>
                <w:rFonts w:hint="eastAsia" w:hAnsi="宋体" w:cs="宋体"/>
                <w:bCs/>
                <w:color w:val="auto"/>
                <w:sz w:val="21"/>
                <w:szCs w:val="21"/>
                <w:highlight w:val="none"/>
              </w:rPr>
              <w:t>附加条件</w:t>
            </w:r>
          </w:p>
        </w:tc>
        <w:tc>
          <w:tcPr>
            <w:tcW w:w="5536" w:type="dxa"/>
            <w:tcBorders>
              <w:top w:val="single" w:color="auto" w:sz="4" w:space="0"/>
              <w:left w:val="single" w:color="auto" w:sz="4" w:space="0"/>
              <w:bottom w:val="single" w:color="auto" w:sz="4" w:space="0"/>
              <w:right w:val="single" w:color="auto" w:sz="4" w:space="0"/>
            </w:tcBorders>
            <w:vAlign w:val="center"/>
          </w:tcPr>
          <w:p w14:paraId="6888C752">
            <w:pPr>
              <w:snapToGrid w:val="0"/>
              <w:spacing w:line="360" w:lineRule="auto"/>
              <w:jc w:val="center"/>
              <w:rPr>
                <w:rFonts w:hAnsi="宋体" w:cs="宋体"/>
                <w:bCs/>
                <w:color w:val="auto"/>
                <w:sz w:val="21"/>
                <w:szCs w:val="21"/>
                <w:highlight w:val="none"/>
              </w:rPr>
            </w:pPr>
            <w:r>
              <w:rPr>
                <w:rFonts w:hint="eastAsia" w:hAnsi="宋体" w:cs="宋体"/>
                <w:bCs/>
                <w:color w:val="auto"/>
                <w:sz w:val="21"/>
                <w:szCs w:val="21"/>
                <w:highlight w:val="none"/>
              </w:rPr>
              <w:t>响应文件未含有采购人不能接受的附加条件的</w:t>
            </w:r>
          </w:p>
        </w:tc>
        <w:tc>
          <w:tcPr>
            <w:tcW w:w="960" w:type="dxa"/>
            <w:tcBorders>
              <w:top w:val="single" w:color="auto" w:sz="4" w:space="0"/>
              <w:left w:val="single" w:color="auto" w:sz="4" w:space="0"/>
              <w:bottom w:val="single" w:color="auto" w:sz="4" w:space="0"/>
              <w:right w:val="single" w:color="auto" w:sz="4" w:space="0"/>
            </w:tcBorders>
            <w:vAlign w:val="center"/>
          </w:tcPr>
          <w:p w14:paraId="078B5E53">
            <w:pPr>
              <w:snapToGrid w:val="0"/>
              <w:spacing w:line="360" w:lineRule="auto"/>
              <w:jc w:val="center"/>
              <w:rPr>
                <w:rFonts w:ascii="宋体" w:hAnsi="宋体" w:cs="宋体"/>
                <w:color w:val="auto"/>
                <w:kern w:val="0"/>
                <w:sz w:val="21"/>
                <w:szCs w:val="21"/>
                <w:highlight w:val="none"/>
              </w:rPr>
            </w:pPr>
          </w:p>
        </w:tc>
      </w:tr>
      <w:tr w14:paraId="68D97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66" w:type="dxa"/>
            <w:tcBorders>
              <w:top w:val="single" w:color="auto" w:sz="4" w:space="0"/>
              <w:left w:val="single" w:color="auto" w:sz="4" w:space="0"/>
              <w:bottom w:val="single" w:color="auto" w:sz="4" w:space="0"/>
              <w:right w:val="single" w:color="auto" w:sz="4" w:space="0"/>
            </w:tcBorders>
            <w:vAlign w:val="center"/>
          </w:tcPr>
          <w:p w14:paraId="07D58D2D">
            <w:pPr>
              <w:snapToGrid w:val="0"/>
              <w:spacing w:line="360" w:lineRule="auto"/>
              <w:jc w:val="center"/>
              <w:rPr>
                <w:rFonts w:ascii="宋体" w:hAnsi="宋体" w:cs="宋体"/>
                <w:color w:val="auto"/>
                <w:sz w:val="21"/>
                <w:szCs w:val="21"/>
                <w:highlight w:val="none"/>
              </w:rPr>
            </w:pPr>
            <w:r>
              <w:rPr>
                <w:rFonts w:hint="eastAsia" w:ascii="宋体" w:hAnsi="宋体" w:cs="宋体"/>
                <w:color w:val="auto"/>
                <w:sz w:val="21"/>
                <w:szCs w:val="21"/>
                <w:highlight w:val="none"/>
              </w:rPr>
              <w:t>7</w:t>
            </w:r>
          </w:p>
        </w:tc>
        <w:tc>
          <w:tcPr>
            <w:tcW w:w="2054" w:type="dxa"/>
            <w:tcBorders>
              <w:top w:val="single" w:color="auto" w:sz="4" w:space="0"/>
              <w:left w:val="single" w:color="auto" w:sz="4" w:space="0"/>
              <w:bottom w:val="single" w:color="auto" w:sz="4" w:space="0"/>
              <w:right w:val="single" w:color="auto" w:sz="4" w:space="0"/>
            </w:tcBorders>
            <w:vAlign w:val="center"/>
          </w:tcPr>
          <w:p w14:paraId="30A3C851">
            <w:pPr>
              <w:snapToGrid w:val="0"/>
              <w:spacing w:line="360" w:lineRule="auto"/>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其他</w:t>
            </w:r>
          </w:p>
        </w:tc>
        <w:tc>
          <w:tcPr>
            <w:tcW w:w="5536" w:type="dxa"/>
            <w:tcBorders>
              <w:top w:val="single" w:color="auto" w:sz="4" w:space="0"/>
              <w:left w:val="single" w:color="auto" w:sz="4" w:space="0"/>
              <w:bottom w:val="single" w:color="auto" w:sz="4" w:space="0"/>
              <w:right w:val="single" w:color="auto" w:sz="4" w:space="0"/>
            </w:tcBorders>
            <w:vAlign w:val="center"/>
          </w:tcPr>
          <w:p w14:paraId="67739992">
            <w:pPr>
              <w:snapToGrid w:val="0"/>
              <w:spacing w:line="360" w:lineRule="auto"/>
              <w:jc w:val="center"/>
              <w:rPr>
                <w:rFonts w:hAnsi="宋体" w:cs="宋体"/>
                <w:bCs/>
                <w:color w:val="auto"/>
                <w:sz w:val="21"/>
                <w:szCs w:val="21"/>
                <w:highlight w:val="none"/>
              </w:rPr>
            </w:pPr>
            <w:r>
              <w:rPr>
                <w:rFonts w:hint="eastAsia" w:hAnsi="宋体" w:cs="宋体"/>
                <w:color w:val="auto"/>
                <w:sz w:val="21"/>
                <w:szCs w:val="21"/>
                <w:highlight w:val="none"/>
              </w:rPr>
              <w:t>未出现</w:t>
            </w:r>
            <w:r>
              <w:rPr>
                <w:rFonts w:hint="eastAsia" w:hAnsi="宋体" w:cs="宋体"/>
                <w:bCs/>
                <w:color w:val="auto"/>
                <w:sz w:val="21"/>
                <w:szCs w:val="21"/>
                <w:highlight w:val="none"/>
              </w:rPr>
              <w:t>法律、法规和竞争性谈判文件规定的其他无效情形。</w:t>
            </w:r>
          </w:p>
        </w:tc>
        <w:tc>
          <w:tcPr>
            <w:tcW w:w="960" w:type="dxa"/>
            <w:tcBorders>
              <w:top w:val="single" w:color="auto" w:sz="4" w:space="0"/>
              <w:left w:val="single" w:color="auto" w:sz="4" w:space="0"/>
              <w:bottom w:val="single" w:color="auto" w:sz="4" w:space="0"/>
              <w:right w:val="single" w:color="auto" w:sz="4" w:space="0"/>
            </w:tcBorders>
            <w:vAlign w:val="center"/>
          </w:tcPr>
          <w:p w14:paraId="1F9EA0B3">
            <w:pPr>
              <w:snapToGrid w:val="0"/>
              <w:spacing w:line="360" w:lineRule="auto"/>
              <w:jc w:val="center"/>
              <w:rPr>
                <w:rFonts w:ascii="宋体" w:hAnsi="宋体" w:cs="宋体"/>
                <w:color w:val="auto"/>
                <w:kern w:val="0"/>
                <w:sz w:val="21"/>
                <w:szCs w:val="21"/>
                <w:highlight w:val="none"/>
              </w:rPr>
            </w:pPr>
          </w:p>
        </w:tc>
      </w:tr>
      <w:tr w14:paraId="4541D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720" w:type="dxa"/>
            <w:gridSpan w:val="2"/>
            <w:tcBorders>
              <w:top w:val="single" w:color="auto" w:sz="4" w:space="0"/>
              <w:left w:val="single" w:color="auto" w:sz="4" w:space="0"/>
              <w:bottom w:val="single" w:color="auto" w:sz="4" w:space="0"/>
              <w:right w:val="single" w:color="auto" w:sz="4" w:space="0"/>
            </w:tcBorders>
            <w:vAlign w:val="center"/>
          </w:tcPr>
          <w:p w14:paraId="1492A3BD">
            <w:pPr>
              <w:widowControl/>
              <w:spacing w:line="360" w:lineRule="auto"/>
              <w:jc w:val="center"/>
              <w:rPr>
                <w:color w:val="auto"/>
                <w:sz w:val="21"/>
                <w:szCs w:val="21"/>
                <w:highlight w:val="none"/>
              </w:rPr>
            </w:pPr>
            <w:r>
              <w:rPr>
                <w:rFonts w:hint="eastAsia" w:ascii="宋体" w:hAnsi="宋体" w:cs="宋体"/>
                <w:color w:val="auto"/>
                <w:kern w:val="0"/>
                <w:sz w:val="21"/>
                <w:szCs w:val="21"/>
                <w:highlight w:val="none"/>
              </w:rPr>
              <w:t>成交候选人推荐原则</w:t>
            </w:r>
          </w:p>
        </w:tc>
        <w:tc>
          <w:tcPr>
            <w:tcW w:w="6496" w:type="dxa"/>
            <w:gridSpan w:val="2"/>
            <w:tcBorders>
              <w:top w:val="single" w:color="auto" w:sz="4" w:space="0"/>
              <w:left w:val="single" w:color="auto" w:sz="4" w:space="0"/>
              <w:bottom w:val="single" w:color="auto" w:sz="4" w:space="0"/>
              <w:right w:val="single" w:color="auto" w:sz="4" w:space="0"/>
            </w:tcBorders>
          </w:tcPr>
          <w:p w14:paraId="7FB751F9">
            <w:pPr>
              <w:widowControl/>
              <w:spacing w:line="360" w:lineRule="auto"/>
              <w:jc w:val="left"/>
              <w:rPr>
                <w:rFonts w:ascii="宋体" w:hAnsi="宋体" w:cs="宋体"/>
                <w:color w:val="auto"/>
                <w:kern w:val="0"/>
                <w:sz w:val="21"/>
                <w:szCs w:val="21"/>
                <w:highlight w:val="none"/>
              </w:rPr>
            </w:pPr>
            <w:r>
              <w:rPr>
                <w:rFonts w:hint="eastAsia" w:ascii="宋体" w:hAnsi="宋体" w:cs="宋体"/>
                <w:color w:val="auto"/>
                <w:kern w:val="0"/>
                <w:sz w:val="21"/>
                <w:szCs w:val="21"/>
                <w:highlight w:val="none"/>
              </w:rPr>
              <w:t>本项目推荐</w:t>
            </w:r>
            <w:r>
              <w:rPr>
                <w:rFonts w:hint="eastAsia" w:ascii="宋体" w:hAnsi="宋体" w:cs="宋体"/>
                <w:color w:val="auto"/>
                <w:kern w:val="0"/>
                <w:sz w:val="21"/>
                <w:szCs w:val="21"/>
                <w:highlight w:val="none"/>
                <w:lang w:val="en-US" w:eastAsia="zh-CN"/>
              </w:rPr>
              <w:t>3</w:t>
            </w:r>
            <w:r>
              <w:rPr>
                <w:rFonts w:hint="eastAsia" w:ascii="宋体" w:hAnsi="宋体" w:cs="宋体"/>
                <w:color w:val="auto"/>
                <w:kern w:val="0"/>
                <w:sz w:val="21"/>
                <w:szCs w:val="21"/>
                <w:highlight w:val="none"/>
              </w:rPr>
              <w:t>名成交候选人。竞争性谈判以响应人最后一轮谈判的</w:t>
            </w:r>
            <w:r>
              <w:rPr>
                <w:rFonts w:hint="eastAsia" w:ascii="宋体" w:hAnsi="宋体" w:cs="宋体"/>
                <w:b/>
                <w:bCs/>
                <w:color w:val="auto"/>
                <w:kern w:val="0"/>
                <w:sz w:val="21"/>
                <w:szCs w:val="21"/>
                <w:highlight w:val="none"/>
              </w:rPr>
              <w:t>报价（不含税）</w:t>
            </w:r>
            <w:r>
              <w:rPr>
                <w:rFonts w:hint="eastAsia" w:ascii="宋体" w:hAnsi="宋体" w:cs="宋体"/>
                <w:color w:val="auto"/>
                <w:kern w:val="0"/>
                <w:sz w:val="21"/>
                <w:szCs w:val="21"/>
                <w:highlight w:val="none"/>
              </w:rPr>
              <w:t>及承诺作为谈判小组向采购人推荐成交候选人的依据，谈判小组应当</w:t>
            </w:r>
            <w:r>
              <w:rPr>
                <w:rFonts w:hint="eastAsia"/>
                <w:color w:val="auto"/>
                <w:sz w:val="21"/>
                <w:szCs w:val="21"/>
                <w:highlight w:val="none"/>
              </w:rPr>
              <w:t>根据符合采购需求、质量和</w:t>
            </w:r>
            <w:r>
              <w:rPr>
                <w:rFonts w:hint="eastAsia"/>
                <w:color w:val="auto"/>
                <w:szCs w:val="21"/>
                <w:highlight w:val="none"/>
              </w:rPr>
              <w:t>服务相等且</w:t>
            </w:r>
            <w:r>
              <w:rPr>
                <w:rFonts w:hint="eastAsia"/>
                <w:b/>
                <w:bCs/>
                <w:color w:val="auto"/>
                <w:szCs w:val="21"/>
                <w:highlight w:val="none"/>
              </w:rPr>
              <w:t>报价（不含税）</w:t>
            </w:r>
            <w:r>
              <w:rPr>
                <w:rFonts w:hint="eastAsia" w:ascii="宋体" w:hAnsi="宋体" w:cs="Courier New"/>
                <w:color w:val="auto"/>
                <w:szCs w:val="21"/>
                <w:highlight w:val="none"/>
              </w:rPr>
              <w:t>最低的原则按顺序排列推荐成交侯选响应人</w:t>
            </w:r>
            <w:r>
              <w:rPr>
                <w:rFonts w:hint="eastAsia" w:ascii="宋体" w:hAnsi="宋体" w:cs="宋体"/>
                <w:color w:val="auto"/>
                <w:kern w:val="0"/>
                <w:highlight w:val="none"/>
              </w:rPr>
              <w:t>。如最低</w:t>
            </w:r>
            <w:r>
              <w:rPr>
                <w:rFonts w:hint="eastAsia" w:ascii="宋体" w:hAnsi="宋体" w:cs="宋体"/>
                <w:b/>
                <w:bCs/>
                <w:color w:val="auto"/>
                <w:kern w:val="0"/>
                <w:highlight w:val="none"/>
              </w:rPr>
              <w:t>报价（不含税）</w:t>
            </w:r>
            <w:r>
              <w:rPr>
                <w:rFonts w:hint="eastAsia" w:ascii="宋体" w:hAnsi="宋体" w:cs="宋体"/>
                <w:color w:val="auto"/>
                <w:kern w:val="0"/>
                <w:highlight w:val="none"/>
              </w:rPr>
              <w:t>相同，由谈判小组按技术指标优劣顺序排列。如果无法进行合理排序，则采用现场随机抽签方式确定。</w:t>
            </w:r>
          </w:p>
        </w:tc>
      </w:tr>
    </w:tbl>
    <w:p w14:paraId="571A4AF9">
      <w:pPr>
        <w:pStyle w:val="3"/>
        <w:outlineLvl w:val="1"/>
        <w:rPr>
          <w:rFonts w:ascii="黑体" w:hAnsi="黑体" w:eastAsia="黑体"/>
          <w:color w:val="auto"/>
          <w:sz w:val="28"/>
          <w:szCs w:val="28"/>
          <w:highlight w:val="none"/>
        </w:rPr>
      </w:pPr>
      <w:bookmarkStart w:id="123" w:name="_Toc18362"/>
      <w:bookmarkStart w:id="124" w:name="_Toc19519"/>
      <w:r>
        <w:rPr>
          <w:rFonts w:hint="eastAsia" w:ascii="黑体" w:hAnsi="黑体" w:eastAsia="黑体"/>
          <w:color w:val="auto"/>
          <w:sz w:val="28"/>
          <w:szCs w:val="28"/>
          <w:highlight w:val="none"/>
        </w:rPr>
        <w:t>1．评审方法</w:t>
      </w:r>
      <w:bookmarkEnd w:id="123"/>
      <w:bookmarkEnd w:id="124"/>
    </w:p>
    <w:p w14:paraId="364A5A8E">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本次评审采用最低评标价法。</w:t>
      </w:r>
      <w:r>
        <w:rPr>
          <w:rFonts w:hint="eastAsia" w:ascii="宋体" w:hAnsi="宋体" w:cs="宋体"/>
          <w:color w:val="auto"/>
          <w:kern w:val="0"/>
          <w:highlight w:val="none"/>
        </w:rPr>
        <w:t>竞争性谈判以响应人最后一轮谈判的</w:t>
      </w:r>
      <w:r>
        <w:rPr>
          <w:rFonts w:hint="eastAsia" w:ascii="宋体" w:hAnsi="宋体" w:cs="宋体"/>
          <w:b/>
          <w:bCs/>
          <w:color w:val="auto"/>
          <w:kern w:val="0"/>
          <w:sz w:val="21"/>
          <w:szCs w:val="21"/>
          <w:highlight w:val="none"/>
        </w:rPr>
        <w:t>报价（不含税）</w:t>
      </w:r>
      <w:r>
        <w:rPr>
          <w:rFonts w:hint="eastAsia" w:ascii="宋体" w:hAnsi="宋体" w:cs="宋体"/>
          <w:color w:val="auto"/>
          <w:kern w:val="0"/>
          <w:highlight w:val="none"/>
        </w:rPr>
        <w:t>及承诺作为谈判小组向采购人推荐成交候选人的依据，谈判小组应当</w:t>
      </w:r>
      <w:r>
        <w:rPr>
          <w:rFonts w:hint="eastAsia"/>
          <w:color w:val="auto"/>
          <w:szCs w:val="21"/>
          <w:highlight w:val="none"/>
        </w:rPr>
        <w:t>根据符合采购需求、质量和服务相等且</w:t>
      </w:r>
      <w:r>
        <w:rPr>
          <w:rFonts w:hint="eastAsia"/>
          <w:b/>
          <w:bCs/>
          <w:color w:val="auto"/>
          <w:szCs w:val="21"/>
          <w:highlight w:val="none"/>
        </w:rPr>
        <w:t>报价（不含税）</w:t>
      </w:r>
      <w:r>
        <w:rPr>
          <w:rFonts w:hint="eastAsia" w:ascii="宋体" w:hAnsi="宋体" w:cs="Courier New"/>
          <w:color w:val="auto"/>
          <w:szCs w:val="21"/>
          <w:highlight w:val="none"/>
        </w:rPr>
        <w:t>最低的原则按顺序排列推荐成交侯选响应人</w:t>
      </w:r>
      <w:r>
        <w:rPr>
          <w:rFonts w:hint="eastAsia" w:ascii="宋体" w:hAnsi="宋体" w:cs="宋体"/>
          <w:color w:val="auto"/>
          <w:kern w:val="0"/>
          <w:highlight w:val="none"/>
        </w:rPr>
        <w:t>。如最低</w:t>
      </w:r>
      <w:r>
        <w:rPr>
          <w:rFonts w:hint="eastAsia" w:ascii="宋体" w:hAnsi="宋体" w:cs="宋体"/>
          <w:b/>
          <w:bCs/>
          <w:color w:val="auto"/>
          <w:kern w:val="0"/>
          <w:highlight w:val="none"/>
        </w:rPr>
        <w:t>报价（不含税）</w:t>
      </w:r>
      <w:r>
        <w:rPr>
          <w:rFonts w:hint="eastAsia" w:ascii="宋体" w:hAnsi="宋体" w:cs="宋体"/>
          <w:color w:val="auto"/>
          <w:kern w:val="0"/>
          <w:highlight w:val="none"/>
        </w:rPr>
        <w:t>相同，由谈判小组按技术指标优劣顺序排列。如果无法进行合理排序，则采用现场随机抽签方式确定。</w:t>
      </w:r>
    </w:p>
    <w:p w14:paraId="5A415B52">
      <w:pPr>
        <w:pStyle w:val="3"/>
        <w:outlineLvl w:val="1"/>
        <w:rPr>
          <w:rFonts w:ascii="黑体" w:hAnsi="黑体" w:eastAsia="黑体"/>
          <w:color w:val="auto"/>
          <w:sz w:val="28"/>
          <w:szCs w:val="28"/>
          <w:highlight w:val="none"/>
        </w:rPr>
      </w:pPr>
      <w:bookmarkStart w:id="125" w:name="_Toc31255"/>
      <w:bookmarkStart w:id="126" w:name="_Toc25573"/>
      <w:r>
        <w:rPr>
          <w:rFonts w:hint="eastAsia" w:ascii="黑体" w:hAnsi="黑体" w:eastAsia="黑体"/>
          <w:color w:val="auto"/>
          <w:sz w:val="28"/>
          <w:szCs w:val="28"/>
          <w:highlight w:val="none"/>
        </w:rPr>
        <w:t>2．评审标准</w:t>
      </w:r>
      <w:bookmarkEnd w:id="125"/>
      <w:bookmarkEnd w:id="126"/>
    </w:p>
    <w:p w14:paraId="37C261F0">
      <w:pPr>
        <w:spacing w:line="360" w:lineRule="auto"/>
        <w:ind w:firstLine="420" w:firstLineChars="200"/>
        <w:rPr>
          <w:rFonts w:ascii="宋体" w:hAnsi="宋体"/>
          <w:color w:val="auto"/>
          <w:szCs w:val="21"/>
          <w:highlight w:val="none"/>
        </w:rPr>
      </w:pPr>
      <w:r>
        <w:rPr>
          <w:rFonts w:hint="eastAsia"/>
          <w:color w:val="auto"/>
          <w:highlight w:val="none"/>
        </w:rPr>
        <w:t>评审标准：</w:t>
      </w:r>
      <w:r>
        <w:rPr>
          <w:rFonts w:hint="eastAsia" w:ascii="宋体" w:hAnsi="宋体"/>
          <w:color w:val="auto"/>
          <w:szCs w:val="21"/>
          <w:highlight w:val="none"/>
        </w:rPr>
        <w:t>见评审办法前附表。</w:t>
      </w:r>
    </w:p>
    <w:p w14:paraId="50A6D108">
      <w:pPr>
        <w:pStyle w:val="3"/>
        <w:outlineLvl w:val="1"/>
        <w:rPr>
          <w:rFonts w:ascii="黑体" w:hAnsi="黑体" w:eastAsia="黑体"/>
          <w:color w:val="auto"/>
          <w:sz w:val="28"/>
          <w:szCs w:val="28"/>
          <w:highlight w:val="none"/>
        </w:rPr>
      </w:pPr>
      <w:bookmarkStart w:id="127" w:name="_Toc26992"/>
      <w:bookmarkStart w:id="128" w:name="_Toc7110"/>
      <w:r>
        <w:rPr>
          <w:rFonts w:hint="eastAsia" w:ascii="黑体" w:hAnsi="黑体" w:eastAsia="黑体"/>
          <w:color w:val="auto"/>
          <w:sz w:val="28"/>
          <w:szCs w:val="28"/>
          <w:highlight w:val="none"/>
        </w:rPr>
        <w:t>3．评审程序</w:t>
      </w:r>
      <w:bookmarkEnd w:id="127"/>
      <w:bookmarkEnd w:id="128"/>
    </w:p>
    <w:p w14:paraId="2FEAC749">
      <w:pPr>
        <w:outlineLvl w:val="9"/>
        <w:rPr>
          <w:color w:val="auto"/>
          <w:highlight w:val="none"/>
        </w:rPr>
      </w:pPr>
      <w:r>
        <w:rPr>
          <w:rFonts w:hint="eastAsia"/>
          <w:color w:val="auto"/>
          <w:highlight w:val="none"/>
        </w:rPr>
        <w:t>3.1 初步评审</w:t>
      </w:r>
    </w:p>
    <w:p w14:paraId="014D0FE5">
      <w:pPr>
        <w:spacing w:line="360" w:lineRule="auto"/>
        <w:ind w:firstLine="422" w:firstLineChars="200"/>
        <w:outlineLvl w:val="9"/>
        <w:rPr>
          <w:rFonts w:ascii="宋体" w:hAnsi="宋体"/>
          <w:b/>
          <w:color w:val="auto"/>
          <w:szCs w:val="21"/>
          <w:highlight w:val="none"/>
        </w:rPr>
      </w:pPr>
      <w:r>
        <w:rPr>
          <w:rFonts w:hint="eastAsia" w:ascii="宋体" w:hAnsi="宋体"/>
          <w:b/>
          <w:color w:val="auto"/>
          <w:szCs w:val="21"/>
          <w:highlight w:val="none"/>
        </w:rPr>
        <w:t>3.1.1</w:t>
      </w:r>
      <w:r>
        <w:rPr>
          <w:rFonts w:hint="eastAsia" w:ascii="宋体" w:hAnsi="宋体"/>
          <w:color w:val="auto"/>
          <w:szCs w:val="21"/>
          <w:highlight w:val="none"/>
        </w:rPr>
        <w:t>谈判小组根据评审办法前附表规定的标准对响应文件进行评审。有一项不符合评审标准的，</w:t>
      </w:r>
      <w:r>
        <w:rPr>
          <w:rFonts w:hint="eastAsia"/>
          <w:color w:val="auto"/>
          <w:highlight w:val="none"/>
        </w:rPr>
        <w:t>谈判小组应当否决其竞争性谈判。</w:t>
      </w:r>
      <w:r>
        <w:rPr>
          <w:rFonts w:hint="eastAsia" w:ascii="宋体" w:hAnsi="宋体"/>
          <w:b/>
          <w:color w:val="auto"/>
          <w:szCs w:val="21"/>
          <w:highlight w:val="none"/>
        </w:rPr>
        <w:t xml:space="preserve"> </w:t>
      </w:r>
    </w:p>
    <w:p w14:paraId="13EBEE4E">
      <w:pPr>
        <w:spacing w:line="360" w:lineRule="auto"/>
        <w:ind w:firstLine="422" w:firstLineChars="200"/>
        <w:outlineLvl w:val="9"/>
        <w:rPr>
          <w:rFonts w:ascii="宋体" w:hAnsi="宋体"/>
          <w:color w:val="auto"/>
          <w:szCs w:val="21"/>
          <w:highlight w:val="none"/>
        </w:rPr>
      </w:pPr>
      <w:r>
        <w:rPr>
          <w:rFonts w:hint="eastAsia" w:ascii="宋体" w:hAnsi="宋体"/>
          <w:b/>
          <w:color w:val="auto"/>
          <w:szCs w:val="21"/>
          <w:highlight w:val="none"/>
        </w:rPr>
        <w:t>3.1.2</w:t>
      </w:r>
      <w:r>
        <w:rPr>
          <w:rFonts w:hint="eastAsia" w:ascii="宋体" w:hAnsi="宋体"/>
          <w:color w:val="auto"/>
          <w:szCs w:val="21"/>
          <w:highlight w:val="none"/>
        </w:rPr>
        <w:t xml:space="preserve">谈判小组可以要求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竞争性谈判文件的实质性要求和条件的，不允许响应人通过澄清等方式使之成为具有响应性的竞争性谈判。 </w:t>
      </w:r>
    </w:p>
    <w:p w14:paraId="4D1F7053">
      <w:pPr>
        <w:spacing w:line="360" w:lineRule="auto"/>
        <w:ind w:firstLine="422" w:firstLineChars="200"/>
        <w:outlineLvl w:val="9"/>
        <w:rPr>
          <w:rFonts w:ascii="宋体" w:hAnsi="宋体"/>
          <w:color w:val="auto"/>
          <w:szCs w:val="21"/>
          <w:highlight w:val="none"/>
        </w:rPr>
      </w:pPr>
      <w:r>
        <w:rPr>
          <w:rFonts w:hint="eastAsia" w:ascii="宋体" w:hAnsi="宋体"/>
          <w:b/>
          <w:color w:val="auto"/>
          <w:szCs w:val="21"/>
          <w:highlight w:val="none"/>
        </w:rPr>
        <w:t>3.1.3</w:t>
      </w:r>
      <w:r>
        <w:rPr>
          <w:rFonts w:hint="eastAsia" w:ascii="宋体" w:hAnsi="宋体"/>
          <w:color w:val="auto"/>
          <w:szCs w:val="21"/>
          <w:highlight w:val="none"/>
        </w:rPr>
        <w:t>谈判小组不得向响应人提出带有暗示性或诱导性的问题或向其明确响应文件中的遗漏和错误，不得接受响应人主动提出的澄清、说明、修正和补充。</w:t>
      </w:r>
    </w:p>
    <w:p w14:paraId="0244258F">
      <w:pPr>
        <w:spacing w:line="360" w:lineRule="auto"/>
        <w:ind w:firstLine="422" w:firstLineChars="200"/>
        <w:outlineLvl w:val="9"/>
        <w:rPr>
          <w:rFonts w:ascii="宋体" w:hAnsi="宋体"/>
          <w:b/>
          <w:color w:val="auto"/>
          <w:szCs w:val="21"/>
          <w:highlight w:val="none"/>
        </w:rPr>
      </w:pPr>
      <w:r>
        <w:rPr>
          <w:rFonts w:hint="eastAsia" w:ascii="宋体" w:hAnsi="宋体"/>
          <w:b/>
          <w:color w:val="auto"/>
          <w:szCs w:val="21"/>
          <w:highlight w:val="none"/>
        </w:rPr>
        <w:t>3.1.</w:t>
      </w:r>
      <w:r>
        <w:rPr>
          <w:rFonts w:ascii="宋体" w:hAnsi="宋体"/>
          <w:b/>
          <w:color w:val="auto"/>
          <w:szCs w:val="21"/>
          <w:highlight w:val="none"/>
        </w:rPr>
        <w:t>4</w:t>
      </w:r>
      <w:r>
        <w:rPr>
          <w:rFonts w:hint="eastAsia" w:ascii="宋体" w:hAnsi="宋体"/>
          <w:b/>
          <w:color w:val="auto"/>
          <w:szCs w:val="21"/>
          <w:highlight w:val="none"/>
        </w:rPr>
        <w:t xml:space="preserve"> 响应人有以下情形之一的，</w:t>
      </w:r>
      <w:r>
        <w:rPr>
          <w:rFonts w:hint="eastAsia"/>
          <w:b/>
          <w:color w:val="auto"/>
          <w:highlight w:val="none"/>
        </w:rPr>
        <w:t>谈判小组应当否决其竞争性谈判</w:t>
      </w:r>
      <w:r>
        <w:rPr>
          <w:rFonts w:hint="eastAsia" w:ascii="宋体" w:hAnsi="宋体"/>
          <w:b/>
          <w:color w:val="auto"/>
          <w:szCs w:val="21"/>
          <w:highlight w:val="none"/>
        </w:rPr>
        <w:t>：</w:t>
      </w:r>
    </w:p>
    <w:p w14:paraId="7BD8B9C0">
      <w:pPr>
        <w:widowControl/>
        <w:numPr>
          <w:ilvl w:val="0"/>
          <w:numId w:val="4"/>
        </w:numPr>
        <w:spacing w:after="109" w:line="259" w:lineRule="auto"/>
        <w:jc w:val="left"/>
        <w:outlineLvl w:val="9"/>
        <w:rPr>
          <w:b/>
          <w:color w:val="auto"/>
          <w:highlight w:val="none"/>
        </w:rPr>
      </w:pPr>
      <w:r>
        <w:rPr>
          <w:rFonts w:hint="eastAsia"/>
          <w:b/>
          <w:color w:val="auto"/>
          <w:highlight w:val="none"/>
        </w:rPr>
        <w:t>未按竞争性谈判文件规定加盖公章和签署；</w:t>
      </w:r>
    </w:p>
    <w:p w14:paraId="3F1C6A63">
      <w:pPr>
        <w:widowControl/>
        <w:numPr>
          <w:ilvl w:val="0"/>
          <w:numId w:val="4"/>
        </w:numPr>
        <w:spacing w:after="109" w:line="259" w:lineRule="auto"/>
        <w:jc w:val="left"/>
        <w:outlineLvl w:val="9"/>
        <w:rPr>
          <w:b/>
          <w:color w:val="auto"/>
          <w:highlight w:val="none"/>
        </w:rPr>
      </w:pPr>
      <w:r>
        <w:rPr>
          <w:b/>
          <w:color w:val="auto"/>
          <w:highlight w:val="none"/>
        </w:rPr>
        <w:t>响应人提交两份以上不同内容的响应文件，或在一份响应文件中有两个或多个报价，且未声明哪一个为最终报价的，但按竞争性谈判文件规定提交备选竞争性谈判方案的除外；</w:t>
      </w:r>
    </w:p>
    <w:p w14:paraId="1F47C12A">
      <w:pPr>
        <w:widowControl/>
        <w:numPr>
          <w:ilvl w:val="0"/>
          <w:numId w:val="4"/>
        </w:numPr>
        <w:spacing w:after="109" w:line="259" w:lineRule="auto"/>
        <w:jc w:val="left"/>
        <w:outlineLvl w:val="9"/>
        <w:rPr>
          <w:b/>
          <w:color w:val="auto"/>
          <w:highlight w:val="none"/>
        </w:rPr>
      </w:pPr>
      <w:r>
        <w:rPr>
          <w:b/>
          <w:color w:val="auto"/>
          <w:highlight w:val="none"/>
        </w:rPr>
        <w:t xml:space="preserve">响应人以他人名义竞争性谈判或者响应人经资格审查不符合资格条件的； </w:t>
      </w:r>
    </w:p>
    <w:p w14:paraId="50A1B4C6">
      <w:pPr>
        <w:widowControl/>
        <w:numPr>
          <w:ilvl w:val="0"/>
          <w:numId w:val="4"/>
        </w:numPr>
        <w:spacing w:after="109" w:line="259" w:lineRule="auto"/>
        <w:jc w:val="left"/>
        <w:outlineLvl w:val="9"/>
        <w:rPr>
          <w:b/>
          <w:color w:val="auto"/>
          <w:highlight w:val="none"/>
        </w:rPr>
      </w:pPr>
      <w:r>
        <w:rPr>
          <w:rFonts w:hint="eastAsia"/>
          <w:b/>
          <w:color w:val="auto"/>
          <w:highlight w:val="none"/>
        </w:rPr>
        <w:t>未按要求提交竞争性谈判保证金或提交的竞争性谈判保证金不足的；</w:t>
      </w:r>
    </w:p>
    <w:p w14:paraId="4A23F1F6">
      <w:pPr>
        <w:widowControl/>
        <w:numPr>
          <w:ilvl w:val="0"/>
          <w:numId w:val="4"/>
        </w:numPr>
        <w:spacing w:after="109" w:line="259" w:lineRule="auto"/>
        <w:jc w:val="left"/>
        <w:outlineLvl w:val="9"/>
        <w:rPr>
          <w:b/>
          <w:color w:val="auto"/>
          <w:highlight w:val="none"/>
        </w:rPr>
      </w:pPr>
      <w:r>
        <w:rPr>
          <w:b/>
          <w:color w:val="auto"/>
          <w:highlight w:val="none"/>
        </w:rPr>
        <w:t>竞争性谈判有效期不满足竞争性谈判文件要求的；</w:t>
      </w:r>
    </w:p>
    <w:p w14:paraId="4F35E22F">
      <w:pPr>
        <w:widowControl/>
        <w:numPr>
          <w:ilvl w:val="0"/>
          <w:numId w:val="4"/>
        </w:numPr>
        <w:spacing w:after="109" w:line="259" w:lineRule="auto"/>
        <w:jc w:val="left"/>
        <w:outlineLvl w:val="9"/>
        <w:rPr>
          <w:b/>
          <w:color w:val="auto"/>
          <w:highlight w:val="none"/>
        </w:rPr>
      </w:pPr>
      <w:r>
        <w:rPr>
          <w:b/>
          <w:color w:val="auto"/>
          <w:highlight w:val="none"/>
        </w:rPr>
        <w:t>竞争性谈判</w:t>
      </w:r>
      <w:r>
        <w:rPr>
          <w:rFonts w:hint="eastAsia"/>
          <w:b/>
          <w:color w:val="auto"/>
          <w:highlight w:val="none"/>
          <w:lang w:val="en-US" w:eastAsia="zh-CN"/>
        </w:rPr>
        <w:t>含税</w:t>
      </w:r>
      <w:r>
        <w:rPr>
          <w:b/>
          <w:color w:val="auto"/>
          <w:highlight w:val="none"/>
        </w:rPr>
        <w:t xml:space="preserve">报价低于成本价，且响应人不能按谈判小组要求对其报价进行合理说明或提供相关证明材料的； </w:t>
      </w:r>
    </w:p>
    <w:p w14:paraId="7D228E5B">
      <w:pPr>
        <w:widowControl/>
        <w:numPr>
          <w:ilvl w:val="0"/>
          <w:numId w:val="4"/>
        </w:numPr>
        <w:spacing w:after="109" w:line="259" w:lineRule="auto"/>
        <w:jc w:val="left"/>
        <w:outlineLvl w:val="9"/>
        <w:rPr>
          <w:b/>
          <w:color w:val="auto"/>
          <w:highlight w:val="none"/>
        </w:rPr>
      </w:pPr>
      <w:r>
        <w:rPr>
          <w:b/>
          <w:color w:val="auto"/>
          <w:highlight w:val="none"/>
        </w:rPr>
        <w:t>竞争性谈判</w:t>
      </w:r>
      <w:r>
        <w:rPr>
          <w:rFonts w:hint="eastAsia"/>
          <w:b/>
          <w:color w:val="auto"/>
          <w:highlight w:val="none"/>
          <w:lang w:val="en-US" w:eastAsia="zh-CN"/>
        </w:rPr>
        <w:t>含税</w:t>
      </w:r>
      <w:r>
        <w:rPr>
          <w:b/>
          <w:color w:val="auto"/>
          <w:highlight w:val="none"/>
        </w:rPr>
        <w:t>报价高于竞争性谈判文件设定的最高限价</w:t>
      </w:r>
      <w:r>
        <w:rPr>
          <w:rFonts w:hint="eastAsia"/>
          <w:b/>
          <w:color w:val="auto"/>
          <w:highlight w:val="none"/>
        </w:rPr>
        <w:t>（含税）</w:t>
      </w:r>
      <w:r>
        <w:rPr>
          <w:b/>
          <w:color w:val="auto"/>
          <w:highlight w:val="none"/>
        </w:rPr>
        <w:t>的；</w:t>
      </w:r>
    </w:p>
    <w:p w14:paraId="527CCEB7">
      <w:pPr>
        <w:widowControl/>
        <w:numPr>
          <w:ilvl w:val="0"/>
          <w:numId w:val="4"/>
        </w:numPr>
        <w:spacing w:after="109" w:line="259" w:lineRule="auto"/>
        <w:jc w:val="left"/>
        <w:outlineLvl w:val="9"/>
        <w:rPr>
          <w:b/>
          <w:color w:val="auto"/>
          <w:highlight w:val="none"/>
        </w:rPr>
      </w:pPr>
      <w:r>
        <w:rPr>
          <w:b/>
          <w:color w:val="auto"/>
          <w:highlight w:val="none"/>
        </w:rPr>
        <w:t>响应文件未能对竞争性谈判文件中提出的实质性要求和条件做出实质性响应的；</w:t>
      </w:r>
    </w:p>
    <w:p w14:paraId="08FE3985">
      <w:pPr>
        <w:widowControl/>
        <w:numPr>
          <w:ilvl w:val="0"/>
          <w:numId w:val="4"/>
        </w:numPr>
        <w:spacing w:after="109" w:line="259" w:lineRule="auto"/>
        <w:jc w:val="left"/>
        <w:outlineLvl w:val="9"/>
        <w:rPr>
          <w:b/>
          <w:color w:val="auto"/>
          <w:highlight w:val="none"/>
        </w:rPr>
      </w:pPr>
      <w:r>
        <w:rPr>
          <w:b/>
          <w:color w:val="auto"/>
          <w:highlight w:val="none"/>
        </w:rPr>
        <w:t xml:space="preserve">响应人有串通竞争性谈判、弄虚作假、行贿等违法行为的； </w:t>
      </w:r>
    </w:p>
    <w:p w14:paraId="6983B1D1">
      <w:pPr>
        <w:widowControl/>
        <w:numPr>
          <w:ilvl w:val="0"/>
          <w:numId w:val="4"/>
        </w:numPr>
        <w:spacing w:after="109" w:line="259" w:lineRule="auto"/>
        <w:jc w:val="left"/>
        <w:outlineLvl w:val="9"/>
        <w:rPr>
          <w:b/>
          <w:color w:val="auto"/>
          <w:highlight w:val="none"/>
        </w:rPr>
      </w:pPr>
      <w:r>
        <w:rPr>
          <w:rFonts w:hint="eastAsia"/>
          <w:b/>
          <w:color w:val="auto"/>
          <w:highlight w:val="none"/>
        </w:rPr>
        <w:t>不按谈判小组要求澄清、说明或补正；</w:t>
      </w:r>
    </w:p>
    <w:p w14:paraId="2BEE9371">
      <w:pPr>
        <w:widowControl/>
        <w:numPr>
          <w:ilvl w:val="0"/>
          <w:numId w:val="4"/>
        </w:numPr>
        <w:spacing w:after="109" w:line="259" w:lineRule="auto"/>
        <w:jc w:val="left"/>
        <w:outlineLvl w:val="9"/>
        <w:rPr>
          <w:b/>
          <w:color w:val="auto"/>
          <w:highlight w:val="none"/>
        </w:rPr>
      </w:pPr>
      <w:r>
        <w:rPr>
          <w:b/>
          <w:color w:val="auto"/>
          <w:highlight w:val="none"/>
        </w:rPr>
        <w:t xml:space="preserve">竞争性谈判文件明确规定可以否决竞争性谈判的其他情形。 </w:t>
      </w:r>
    </w:p>
    <w:p w14:paraId="2E167D38">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5</w:t>
      </w:r>
      <w:r>
        <w:rPr>
          <w:rFonts w:hint="eastAsia" w:ascii="宋体" w:hAnsi="宋体"/>
          <w:color w:val="auto"/>
          <w:szCs w:val="21"/>
          <w:highlight w:val="none"/>
        </w:rPr>
        <w:t>评审过程中，谈判小组收到低于成本价竞争性谈判的书面质疑材料、发现响应人的</w:t>
      </w:r>
      <w:r>
        <w:rPr>
          <w:rFonts w:hint="eastAsia" w:ascii="宋体" w:hAnsi="宋体"/>
          <w:color w:val="auto"/>
          <w:szCs w:val="21"/>
          <w:highlight w:val="none"/>
          <w:lang w:val="en-US" w:eastAsia="zh-CN"/>
        </w:rPr>
        <w:t>谈判含税</w:t>
      </w:r>
      <w:r>
        <w:rPr>
          <w:rFonts w:hint="eastAsia" w:ascii="宋体" w:hAnsi="宋体"/>
          <w:color w:val="auto"/>
          <w:szCs w:val="21"/>
          <w:highlight w:val="none"/>
        </w:rPr>
        <w:t>报价明显低于其他竞争性谈判含税报价或者设有标底时明显低于标底，认为竞争性</w:t>
      </w:r>
      <w:r>
        <w:rPr>
          <w:rFonts w:hint="eastAsia" w:ascii="宋体" w:hAnsi="宋体"/>
          <w:color w:val="auto"/>
          <w:szCs w:val="21"/>
          <w:highlight w:val="none"/>
          <w:lang w:val="en-US" w:eastAsia="zh-CN"/>
        </w:rPr>
        <w:t>含税</w:t>
      </w:r>
      <w:r>
        <w:rPr>
          <w:rFonts w:hint="eastAsia" w:ascii="宋体" w:hAnsi="宋体"/>
          <w:color w:val="auto"/>
          <w:szCs w:val="21"/>
          <w:highlight w:val="none"/>
        </w:rPr>
        <w:t>谈判报价可能低于成本的，应当书面要求该响应人作出书面说明并提供相关证明材料。响应人不能合理说明或者不能提供相应证明材料的，由谈判小组认定该响应人以低于成本报价竞标，</w:t>
      </w:r>
      <w:r>
        <w:rPr>
          <w:rFonts w:hint="eastAsia"/>
          <w:color w:val="auto"/>
          <w:szCs w:val="21"/>
          <w:highlight w:val="none"/>
        </w:rPr>
        <w:t>谈判小组应当否决其竞争性谈判</w:t>
      </w:r>
      <w:r>
        <w:rPr>
          <w:rFonts w:hint="eastAsia" w:ascii="宋体" w:hAnsi="宋体"/>
          <w:color w:val="auto"/>
          <w:szCs w:val="21"/>
          <w:highlight w:val="none"/>
        </w:rPr>
        <w:t>。</w:t>
      </w:r>
    </w:p>
    <w:p w14:paraId="293730CA">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6</w:t>
      </w:r>
      <w:r>
        <w:rPr>
          <w:rFonts w:hint="eastAsia" w:ascii="宋体" w:hAnsi="宋体"/>
          <w:color w:val="auto"/>
          <w:szCs w:val="21"/>
          <w:highlight w:val="none"/>
        </w:rPr>
        <w:t xml:space="preserve"> 竞争性谈判报价有算术错误的，谈判小组按照以下原则对竞争性谈判报价进行修正，修正的价格经响应人书面确认后具有约束力。响应人不接受修正价格的，</w:t>
      </w:r>
      <w:r>
        <w:rPr>
          <w:rFonts w:hint="eastAsia"/>
          <w:color w:val="auto"/>
          <w:szCs w:val="21"/>
          <w:highlight w:val="none"/>
        </w:rPr>
        <w:t>谈判小组应当否决其竞争性谈判</w:t>
      </w:r>
      <w:r>
        <w:rPr>
          <w:rFonts w:hint="eastAsia" w:ascii="宋体" w:hAnsi="宋体"/>
          <w:color w:val="auto"/>
          <w:szCs w:val="21"/>
          <w:highlight w:val="none"/>
        </w:rPr>
        <w:t>。如有补充其他价格修正方式，详见竞争性谈判须知前附表。</w:t>
      </w:r>
    </w:p>
    <w:p w14:paraId="62E9BB01">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rPr>
        <w:t>(1）响应文件中的大写金额与小写金额不一致的，以大写金额为准；</w:t>
      </w:r>
    </w:p>
    <w:p w14:paraId="1C57155B">
      <w:pPr>
        <w:spacing w:line="360" w:lineRule="auto"/>
        <w:ind w:firstLine="420" w:firstLineChars="200"/>
        <w:outlineLvl w:val="9"/>
        <w:rPr>
          <w:rFonts w:ascii="宋体" w:hAnsi="宋体"/>
          <w:color w:val="auto"/>
          <w:szCs w:val="21"/>
          <w:highlight w:val="none"/>
        </w:rPr>
      </w:pPr>
      <w:r>
        <w:rPr>
          <w:rFonts w:hint="eastAsia" w:ascii="宋体" w:hAnsi="宋体"/>
          <w:color w:val="auto"/>
          <w:szCs w:val="21"/>
          <w:highlight w:val="none"/>
        </w:rPr>
        <w:t>(2）总价金额与根据单价计算出的结果不一致的，以单价金额为准修正总价，但单价金额小数点有明显错误的除外。</w:t>
      </w:r>
    </w:p>
    <w:p w14:paraId="409EBD84">
      <w:pPr>
        <w:widowControl/>
        <w:tabs>
          <w:tab w:val="left" w:pos="540"/>
        </w:tabs>
        <w:spacing w:line="520" w:lineRule="exact"/>
        <w:jc w:val="left"/>
        <w:outlineLvl w:val="9"/>
        <w:rPr>
          <w:rFonts w:ascii="宋体" w:hAnsi="宋体" w:cs="Courier New"/>
          <w:b/>
          <w:color w:val="auto"/>
          <w:sz w:val="28"/>
          <w:szCs w:val="28"/>
          <w:highlight w:val="none"/>
        </w:rPr>
      </w:pPr>
      <w:r>
        <w:rPr>
          <w:rFonts w:hint="eastAsia" w:ascii="宋体" w:hAnsi="宋体" w:cs="Courier New"/>
          <w:b/>
          <w:color w:val="auto"/>
          <w:sz w:val="28"/>
          <w:szCs w:val="28"/>
          <w:highlight w:val="none"/>
        </w:rPr>
        <w:t>3.2 谈判</w:t>
      </w:r>
    </w:p>
    <w:p w14:paraId="44FAE3C9">
      <w:pPr>
        <w:pStyle w:val="23"/>
        <w:spacing w:line="520" w:lineRule="exact"/>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3.2.1确定谈判顺序</w:t>
      </w:r>
    </w:p>
    <w:p w14:paraId="1E2CA62E">
      <w:pPr>
        <w:pStyle w:val="23"/>
        <w:spacing w:line="520" w:lineRule="exact"/>
        <w:ind w:firstLine="420" w:firstLineChars="200"/>
        <w:outlineLvl w:val="9"/>
        <w:rPr>
          <w:rFonts w:ascii="宋体" w:hAnsi="宋体" w:cs="宋体"/>
          <w:color w:val="auto"/>
          <w:kern w:val="0"/>
          <w:szCs w:val="21"/>
          <w:highlight w:val="none"/>
        </w:rPr>
      </w:pPr>
      <w:r>
        <w:rPr>
          <w:rFonts w:hint="eastAsia" w:ascii="宋体" w:hAnsi="宋体" w:cs="宋体"/>
          <w:color w:val="auto"/>
          <w:kern w:val="0"/>
          <w:szCs w:val="21"/>
          <w:highlight w:val="none"/>
        </w:rPr>
        <w:t>谈判小组应当通过随机方式确定参加谈判的响应人的谈判顺序。</w:t>
      </w:r>
    </w:p>
    <w:p w14:paraId="1D96EE9B">
      <w:pPr>
        <w:pStyle w:val="23"/>
        <w:spacing w:line="520" w:lineRule="exact"/>
        <w:ind w:firstLine="420" w:firstLineChars="200"/>
        <w:outlineLvl w:val="9"/>
        <w:rPr>
          <w:rFonts w:ascii="宋体" w:hAnsi="宋体"/>
          <w:color w:val="auto"/>
          <w:szCs w:val="21"/>
          <w:highlight w:val="none"/>
        </w:rPr>
      </w:pPr>
      <w:r>
        <w:rPr>
          <w:rFonts w:hint="eastAsia" w:ascii="宋体" w:hAnsi="宋体" w:cs="宋体"/>
          <w:color w:val="auto"/>
          <w:kern w:val="0"/>
          <w:szCs w:val="21"/>
          <w:highlight w:val="none"/>
        </w:rPr>
        <w:t>3.2.2比较与评价</w:t>
      </w:r>
    </w:p>
    <w:p w14:paraId="1887FAC8">
      <w:pPr>
        <w:pStyle w:val="23"/>
        <w:spacing w:line="52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谈判小组对实质性响应文件从商务、技术参数与规格型号、性能与质量、功能或整体方案、售后服务、响应人和制造商资信、相关业绩、执行合同能力等方面进行全面比较与评价。</w:t>
      </w:r>
    </w:p>
    <w:p w14:paraId="4D7DB722">
      <w:pPr>
        <w:pStyle w:val="23"/>
        <w:spacing w:line="520" w:lineRule="exact"/>
        <w:ind w:firstLine="420" w:firstLineChars="200"/>
        <w:outlineLvl w:val="9"/>
        <w:rPr>
          <w:rFonts w:ascii="宋体" w:hAnsi="宋体"/>
          <w:color w:val="auto"/>
          <w:szCs w:val="21"/>
          <w:highlight w:val="none"/>
        </w:rPr>
      </w:pPr>
      <w:r>
        <w:rPr>
          <w:rFonts w:hint="eastAsia" w:ascii="宋体" w:hAnsi="宋体"/>
          <w:color w:val="auto"/>
          <w:szCs w:val="21"/>
          <w:highlight w:val="none"/>
        </w:rPr>
        <w:t>所有谈判小组成员集体与每位实质性响应的响应人分别进行单独谈判，在谈判中，谈判的任何一方不得透露与谈判有关的其他响应人的技术资料、价格和其他信息。</w:t>
      </w:r>
      <w:r>
        <w:rPr>
          <w:rFonts w:hint="eastAsia" w:ascii="宋体" w:hAnsi="宋体" w:cs="宋体"/>
          <w:color w:val="auto"/>
          <w:kern w:val="0"/>
          <w:szCs w:val="21"/>
          <w:highlight w:val="none"/>
        </w:rPr>
        <w:t>谈判小组所有成员集中与响应人分别进行一轮或多轮谈判。</w:t>
      </w:r>
    </w:p>
    <w:p w14:paraId="78AA66EC">
      <w:pPr>
        <w:outlineLvl w:val="9"/>
        <w:rPr>
          <w:rFonts w:ascii="宋体" w:hAnsi="宋体"/>
          <w:color w:val="auto"/>
          <w:highlight w:val="none"/>
        </w:rPr>
      </w:pPr>
      <w:r>
        <w:rPr>
          <w:rFonts w:hint="eastAsia" w:ascii="宋体" w:hAnsi="宋体"/>
          <w:color w:val="auto"/>
          <w:highlight w:val="none"/>
        </w:rPr>
        <w:t>3.3最终报价</w:t>
      </w:r>
    </w:p>
    <w:p w14:paraId="6D592F92">
      <w:pPr>
        <w:widowControl/>
        <w:tabs>
          <w:tab w:val="left" w:pos="540"/>
        </w:tabs>
        <w:spacing w:line="520" w:lineRule="exact"/>
        <w:ind w:firstLine="420" w:firstLineChars="200"/>
        <w:jc w:val="left"/>
        <w:outlineLvl w:val="9"/>
        <w:rPr>
          <w:rFonts w:ascii="宋体" w:hAnsi="宋体"/>
          <w:color w:val="auto"/>
          <w:szCs w:val="21"/>
          <w:highlight w:val="none"/>
        </w:rPr>
      </w:pPr>
      <w:r>
        <w:rPr>
          <w:rFonts w:hint="eastAsia" w:ascii="宋体" w:hAnsi="宋体"/>
          <w:color w:val="auto"/>
          <w:szCs w:val="21"/>
          <w:highlight w:val="none"/>
        </w:rPr>
        <w:t>竞争性谈判报价原则上不少于两轮报价（含唱标报价），谈判小组应要求所有参加最后一轮谈判的供应商在规定的统一截止时间前提交最终密封报价（最终报价时间视谈判进程由谈判小组决定）。原则上最后一轮报价应进行公开唱标。</w:t>
      </w:r>
    </w:p>
    <w:p w14:paraId="7A2EA06D">
      <w:pPr>
        <w:widowControl/>
        <w:tabs>
          <w:tab w:val="left" w:pos="540"/>
        </w:tabs>
        <w:spacing w:line="520" w:lineRule="exact"/>
        <w:ind w:firstLine="420" w:firstLineChars="200"/>
        <w:jc w:val="left"/>
        <w:outlineLvl w:val="9"/>
        <w:rPr>
          <w:rFonts w:ascii="宋体" w:hAnsi="宋体"/>
          <w:color w:val="auto"/>
          <w:szCs w:val="21"/>
          <w:highlight w:val="none"/>
        </w:rPr>
      </w:pPr>
      <w:r>
        <w:rPr>
          <w:rFonts w:hint="eastAsia" w:ascii="宋体" w:hAnsi="宋体"/>
          <w:color w:val="auto"/>
          <w:szCs w:val="21"/>
          <w:highlight w:val="none"/>
        </w:rPr>
        <w:t>除非在谈判中谈判小组调整或修改采购需求内容，否则采购方不接受高于前面轮次谈判报价（不含税）的最终报价（不含税）。</w:t>
      </w:r>
    </w:p>
    <w:p w14:paraId="4A20F559">
      <w:pPr>
        <w:widowControl/>
        <w:spacing w:line="520" w:lineRule="exact"/>
        <w:ind w:firstLine="422" w:firstLineChars="200"/>
        <w:jc w:val="left"/>
        <w:outlineLvl w:val="9"/>
        <w:rPr>
          <w:rFonts w:ascii="宋体" w:hAnsi="宋体"/>
          <w:b/>
          <w:color w:val="auto"/>
          <w:szCs w:val="21"/>
          <w:highlight w:val="none"/>
        </w:rPr>
      </w:pPr>
      <w:r>
        <w:rPr>
          <w:rFonts w:hint="eastAsia" w:ascii="宋体" w:hAnsi="宋体"/>
          <w:b/>
          <w:color w:val="auto"/>
          <w:szCs w:val="21"/>
          <w:highlight w:val="none"/>
        </w:rPr>
        <w:t>响应人最终报价（不含税）逾时不交的，可视为自动放弃评审资格。</w:t>
      </w:r>
    </w:p>
    <w:p w14:paraId="61147FBC">
      <w:pPr>
        <w:widowControl/>
        <w:tabs>
          <w:tab w:val="left" w:pos="540"/>
        </w:tabs>
        <w:spacing w:line="520" w:lineRule="exact"/>
        <w:jc w:val="left"/>
        <w:outlineLvl w:val="9"/>
        <w:rPr>
          <w:rFonts w:ascii="宋体" w:hAnsi="宋体"/>
          <w:b/>
          <w:color w:val="auto"/>
          <w:sz w:val="28"/>
          <w:szCs w:val="28"/>
          <w:highlight w:val="none"/>
        </w:rPr>
      </w:pPr>
      <w:r>
        <w:rPr>
          <w:rFonts w:hint="eastAsia" w:ascii="宋体" w:hAnsi="宋体" w:cs="Courier New"/>
          <w:b/>
          <w:color w:val="auto"/>
          <w:sz w:val="28"/>
          <w:szCs w:val="28"/>
          <w:highlight w:val="none"/>
        </w:rPr>
        <w:t>3.4</w:t>
      </w:r>
      <w:r>
        <w:rPr>
          <w:rFonts w:hint="eastAsia" w:ascii="宋体" w:hAnsi="宋体"/>
          <w:b/>
          <w:color w:val="auto"/>
          <w:sz w:val="28"/>
          <w:szCs w:val="28"/>
          <w:highlight w:val="none"/>
        </w:rPr>
        <w:t>推荐成交候选人</w:t>
      </w:r>
    </w:p>
    <w:p w14:paraId="0D8495F0">
      <w:pPr>
        <w:spacing w:line="520" w:lineRule="exact"/>
        <w:ind w:firstLine="420" w:firstLineChars="200"/>
        <w:outlineLvl w:val="9"/>
        <w:rPr>
          <w:rFonts w:hint="eastAsia" w:ascii="宋体" w:hAnsi="宋体" w:cs="宋体"/>
          <w:color w:val="auto"/>
          <w:kern w:val="0"/>
          <w:highlight w:val="none"/>
          <w:lang w:eastAsia="zh-CN"/>
        </w:rPr>
      </w:pPr>
      <w:r>
        <w:rPr>
          <w:rFonts w:hint="eastAsia" w:ascii="宋体" w:hAnsi="宋体" w:cs="Courier New"/>
          <w:color w:val="auto"/>
          <w:szCs w:val="21"/>
          <w:highlight w:val="none"/>
        </w:rPr>
        <w:t>竞争性谈判以响应人最后一轮谈判的</w:t>
      </w:r>
      <w:r>
        <w:rPr>
          <w:rFonts w:hint="eastAsia" w:ascii="宋体" w:hAnsi="宋体" w:cs="Courier New"/>
          <w:b/>
          <w:bCs/>
          <w:color w:val="auto"/>
          <w:szCs w:val="21"/>
          <w:highlight w:val="none"/>
        </w:rPr>
        <w:t>报价（不含税）</w:t>
      </w:r>
      <w:r>
        <w:rPr>
          <w:rFonts w:hint="eastAsia" w:ascii="宋体" w:hAnsi="宋体" w:cs="Courier New"/>
          <w:color w:val="auto"/>
          <w:szCs w:val="21"/>
          <w:highlight w:val="none"/>
        </w:rPr>
        <w:t>及承诺作为谈判小组向采购人推荐成交候选人的依据，谈判小组应当根据符合采购需求、质量和服务相等且</w:t>
      </w:r>
      <w:r>
        <w:rPr>
          <w:rFonts w:hint="eastAsia" w:ascii="宋体" w:hAnsi="宋体" w:cs="Courier New"/>
          <w:b/>
          <w:bCs/>
          <w:color w:val="auto"/>
          <w:szCs w:val="21"/>
          <w:highlight w:val="none"/>
        </w:rPr>
        <w:t>报价（不含税）</w:t>
      </w:r>
      <w:r>
        <w:rPr>
          <w:rFonts w:hint="eastAsia" w:ascii="宋体" w:hAnsi="宋体" w:cs="Courier New"/>
          <w:color w:val="auto"/>
          <w:szCs w:val="21"/>
          <w:highlight w:val="none"/>
        </w:rPr>
        <w:t>最低的原则按顺序排列推荐成交侯选响应人。</w:t>
      </w:r>
      <w:r>
        <w:rPr>
          <w:rFonts w:hint="eastAsia" w:ascii="宋体" w:hAnsi="宋体" w:cs="宋体"/>
          <w:color w:val="auto"/>
          <w:kern w:val="0"/>
          <w:highlight w:val="none"/>
        </w:rPr>
        <w:t>如最低</w:t>
      </w:r>
      <w:r>
        <w:rPr>
          <w:rFonts w:hint="eastAsia" w:ascii="宋体" w:hAnsi="宋体" w:cs="宋体"/>
          <w:b/>
          <w:bCs/>
          <w:color w:val="auto"/>
          <w:kern w:val="0"/>
          <w:highlight w:val="none"/>
        </w:rPr>
        <w:t>报价（不含税）</w:t>
      </w:r>
      <w:r>
        <w:rPr>
          <w:rFonts w:hint="eastAsia" w:ascii="宋体" w:hAnsi="宋体" w:cs="宋体"/>
          <w:color w:val="auto"/>
          <w:kern w:val="0"/>
          <w:highlight w:val="none"/>
        </w:rPr>
        <w:t>相同，由谈判小组按技术指标优劣顺序排列。如果无法进行合理排序，则采用现场随机抽签方式确定。</w:t>
      </w:r>
      <w:r>
        <w:rPr>
          <w:rFonts w:hint="eastAsia" w:ascii="宋体" w:hAnsi="宋体" w:cs="宋体"/>
          <w:color w:val="auto"/>
          <w:kern w:val="0"/>
          <w:highlight w:val="none"/>
          <w:lang w:eastAsia="zh-CN"/>
        </w:rPr>
        <w:t>（</w:t>
      </w:r>
      <w:r>
        <w:rPr>
          <w:rFonts w:hint="eastAsia" w:ascii="宋体" w:hAnsi="宋体" w:cs="宋体"/>
          <w:color w:val="auto"/>
          <w:kern w:val="0"/>
          <w:highlight w:val="none"/>
          <w:lang w:val="en-US" w:eastAsia="zh-CN"/>
        </w:rPr>
        <w:t>若出现次低报价（不含税）相同影响评审结果的，同样按上述程序执行。</w:t>
      </w:r>
      <w:r>
        <w:rPr>
          <w:rFonts w:hint="eastAsia" w:ascii="宋体" w:hAnsi="宋体" w:cs="宋体"/>
          <w:color w:val="auto"/>
          <w:kern w:val="0"/>
          <w:highlight w:val="none"/>
          <w:lang w:eastAsia="zh-CN"/>
        </w:rPr>
        <w:t>）</w:t>
      </w:r>
    </w:p>
    <w:p w14:paraId="2039EF24">
      <w:pPr>
        <w:spacing w:line="520" w:lineRule="exact"/>
        <w:ind w:firstLine="420" w:firstLineChars="200"/>
        <w:outlineLvl w:val="9"/>
        <w:rPr>
          <w:rFonts w:ascii="宋体" w:hAnsi="宋体" w:cs="Courier New"/>
          <w:color w:val="auto"/>
          <w:szCs w:val="21"/>
          <w:highlight w:val="none"/>
        </w:rPr>
      </w:pPr>
      <w:r>
        <w:rPr>
          <w:rFonts w:hint="eastAsia" w:ascii="宋体" w:hAnsi="宋体" w:cs="Courier New"/>
          <w:color w:val="auto"/>
          <w:szCs w:val="21"/>
          <w:highlight w:val="none"/>
        </w:rPr>
        <w:t>谈判小组推荐非报价（不含税）最低的谈判响应人为成交响应人的，须附书面报告说明理由且由谈判小组全体成员签字确认。</w:t>
      </w:r>
    </w:p>
    <w:p w14:paraId="76070262">
      <w:pPr>
        <w:spacing w:line="520" w:lineRule="exact"/>
        <w:ind w:firstLine="420" w:firstLineChars="200"/>
        <w:outlineLvl w:val="9"/>
        <w:rPr>
          <w:rFonts w:ascii="宋体" w:hAnsi="宋体" w:cs="Courier New"/>
          <w:color w:val="auto"/>
          <w:szCs w:val="21"/>
          <w:highlight w:val="none"/>
        </w:rPr>
      </w:pPr>
      <w:r>
        <w:rPr>
          <w:rFonts w:hint="eastAsia" w:ascii="宋体" w:hAnsi="宋体" w:cs="Courier New"/>
          <w:color w:val="auto"/>
          <w:szCs w:val="21"/>
          <w:highlight w:val="none"/>
        </w:rPr>
        <w:t>在推荐确定成交候选人之前，谈判小组认为，排在前面的成交候选人的最终报价或者某些分项报价明显不合理或者低于成本，有可能影响商品质量和不能诚信履约的，应当要求其在规定的期限内提供书面文件予以说明理由，并提交相关证明材料。否则，谈判小组可以取消该响应人的成交候选资格，按顺序由排在其次的成交候选人递补，以此类推。</w:t>
      </w:r>
    </w:p>
    <w:p w14:paraId="12DDFC2B">
      <w:pPr>
        <w:widowControl/>
        <w:tabs>
          <w:tab w:val="left" w:pos="540"/>
        </w:tabs>
        <w:spacing w:line="520" w:lineRule="exact"/>
        <w:jc w:val="left"/>
        <w:outlineLvl w:val="9"/>
        <w:rPr>
          <w:rFonts w:ascii="宋体" w:hAnsi="宋体"/>
          <w:b/>
          <w:color w:val="auto"/>
          <w:sz w:val="28"/>
          <w:szCs w:val="28"/>
          <w:highlight w:val="none"/>
        </w:rPr>
      </w:pPr>
      <w:r>
        <w:rPr>
          <w:rFonts w:hint="eastAsia" w:ascii="宋体" w:hAnsi="宋体"/>
          <w:b/>
          <w:color w:val="auto"/>
          <w:sz w:val="28"/>
          <w:szCs w:val="28"/>
          <w:highlight w:val="none"/>
        </w:rPr>
        <w:t>3.5编写评审报告</w:t>
      </w:r>
    </w:p>
    <w:p w14:paraId="21E61932">
      <w:pPr>
        <w:spacing w:line="520" w:lineRule="exact"/>
        <w:ind w:firstLine="570"/>
        <w:outlineLvl w:val="9"/>
        <w:rPr>
          <w:rFonts w:ascii="宋体" w:hAnsi="宋体"/>
          <w:color w:val="auto"/>
          <w:szCs w:val="21"/>
          <w:highlight w:val="none"/>
        </w:rPr>
      </w:pPr>
      <w:r>
        <w:rPr>
          <w:rFonts w:hint="eastAsia" w:ascii="宋体" w:hAnsi="宋体"/>
          <w:color w:val="auto"/>
          <w:szCs w:val="21"/>
          <w:highlight w:val="none"/>
        </w:rPr>
        <w:t>竞争性谈判工作结束后，谈判小组根据全体成员签字的原始记录和结果编写评审报告。评审报告内容主要包括：(1)项目基本情况；(2)竞争性谈判过程介绍；(3)谈判小组构成；(4)谈判评审情况说明（包括详细评审评分、无效响应人名单及原因）；(5)响应人最终报价情况；(6)推荐成交候选人建议等。</w:t>
      </w:r>
    </w:p>
    <w:p w14:paraId="0A2D971D">
      <w:pPr>
        <w:widowControl/>
        <w:jc w:val="left"/>
        <w:rPr>
          <w:color w:val="auto"/>
          <w:sz w:val="28"/>
          <w:szCs w:val="28"/>
          <w:highlight w:val="none"/>
        </w:rPr>
        <w:sectPr>
          <w:pgSz w:w="11906" w:h="16838"/>
          <w:pgMar w:top="1440" w:right="1800" w:bottom="1440" w:left="1800" w:header="851" w:footer="992" w:gutter="0"/>
          <w:pgNumType w:fmt="decimal"/>
          <w:cols w:space="720" w:num="1"/>
          <w:docGrid w:type="lines" w:linePitch="312" w:charSpace="0"/>
        </w:sectPr>
      </w:pPr>
      <w:r>
        <w:rPr>
          <w:rFonts w:ascii="宋体" w:hAnsi="宋体"/>
          <w:color w:val="auto"/>
          <w:szCs w:val="21"/>
          <w:highlight w:val="none"/>
        </w:rPr>
        <w:br w:type="page"/>
      </w:r>
      <w:bookmarkEnd w:id="110"/>
      <w:bookmarkEnd w:id="111"/>
      <w:bookmarkEnd w:id="112"/>
      <w:bookmarkEnd w:id="113"/>
      <w:bookmarkEnd w:id="114"/>
      <w:bookmarkEnd w:id="115"/>
      <w:bookmarkEnd w:id="116"/>
      <w:bookmarkEnd w:id="117"/>
      <w:bookmarkEnd w:id="122"/>
      <w:bookmarkStart w:id="129" w:name="_Toc456551944"/>
    </w:p>
    <w:bookmarkEnd w:id="129"/>
    <w:p w14:paraId="04ECD4B6">
      <w:pPr>
        <w:pStyle w:val="2"/>
        <w:jc w:val="center"/>
        <w:rPr>
          <w:rFonts w:hint="eastAsia" w:ascii="宋体" w:hAnsi="宋体"/>
          <w:color w:val="auto"/>
          <w:sz w:val="28"/>
          <w:szCs w:val="28"/>
          <w:highlight w:val="none"/>
        </w:rPr>
      </w:pPr>
      <w:bookmarkStart w:id="130" w:name="_3._其他说明_4."/>
      <w:bookmarkEnd w:id="130"/>
      <w:bookmarkStart w:id="131" w:name="_Toc246997096"/>
      <w:bookmarkStart w:id="132" w:name="_Toc246996353"/>
      <w:bookmarkStart w:id="133" w:name="_Toc338661803"/>
      <w:bookmarkStart w:id="134" w:name="_Toc247085870"/>
      <w:bookmarkStart w:id="135" w:name="_Toc456552075"/>
      <w:bookmarkStart w:id="136" w:name="_Toc179632804"/>
      <w:bookmarkStart w:id="137" w:name="_Toc16454"/>
      <w:r>
        <w:rPr>
          <w:rFonts w:hint="eastAsia" w:ascii="宋体" w:hAnsi="宋体"/>
          <w:color w:val="auto"/>
          <w:sz w:val="28"/>
          <w:szCs w:val="28"/>
          <w:highlight w:val="none"/>
        </w:rPr>
        <w:t xml:space="preserve">第四章 </w:t>
      </w:r>
      <w:bookmarkEnd w:id="131"/>
      <w:bookmarkEnd w:id="132"/>
      <w:bookmarkEnd w:id="133"/>
      <w:bookmarkEnd w:id="134"/>
      <w:bookmarkEnd w:id="135"/>
      <w:bookmarkEnd w:id="136"/>
      <w:r>
        <w:rPr>
          <w:rFonts w:hint="eastAsia" w:ascii="宋体" w:hAnsi="宋体"/>
          <w:color w:val="auto"/>
          <w:sz w:val="28"/>
          <w:szCs w:val="28"/>
          <w:highlight w:val="none"/>
        </w:rPr>
        <w:t>用户需求书</w:t>
      </w:r>
      <w:bookmarkEnd w:id="137"/>
    </w:p>
    <w:p w14:paraId="2AAF2D6D">
      <w:pPr>
        <w:spacing w:line="360" w:lineRule="auto"/>
        <w:ind w:firstLine="210" w:firstLineChars="100"/>
        <w:rPr>
          <w:rFonts w:hint="eastAsia" w:ascii="宋体" w:hAnsi="宋体" w:eastAsia="宋体" w:cs="宋体"/>
          <w:color w:val="auto"/>
          <w:sz w:val="21"/>
          <w:szCs w:val="21"/>
          <w:highlight w:val="none"/>
          <w:lang w:val="en-US" w:eastAsia="zh-CN"/>
        </w:rPr>
      </w:pPr>
      <w:bookmarkStart w:id="138" w:name="_Toc438143778"/>
      <w:bookmarkStart w:id="139" w:name="_Toc456552076"/>
      <w:bookmarkStart w:id="140" w:name="_Toc435779386"/>
      <w:bookmarkStart w:id="141" w:name="_Toc438039969"/>
      <w:r>
        <w:rPr>
          <w:rFonts w:hint="eastAsia" w:ascii="宋体" w:hAnsi="宋体" w:eastAsia="宋体" w:cs="宋体"/>
          <w:color w:val="auto"/>
          <w:sz w:val="21"/>
          <w:szCs w:val="21"/>
          <w:highlight w:val="none"/>
          <w:lang w:val="en-US" w:eastAsia="zh-CN"/>
        </w:rPr>
        <w:t>一、</w:t>
      </w:r>
      <w:r>
        <w:rPr>
          <w:rFonts w:hint="eastAsia" w:ascii="宋体" w:hAnsi="宋体" w:eastAsia="宋体" w:cs="宋体"/>
          <w:b/>
          <w:bCs/>
          <w:color w:val="auto"/>
          <w:sz w:val="21"/>
          <w:szCs w:val="21"/>
          <w:highlight w:val="none"/>
          <w:lang w:val="en-US" w:eastAsia="zh-CN"/>
        </w:rPr>
        <w:t>项目概况</w:t>
      </w:r>
    </w:p>
    <w:p w14:paraId="4DBD61AF">
      <w:pPr>
        <w:numPr>
          <w:ilvl w:val="0"/>
          <w:numId w:val="0"/>
        </w:num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1.项目名称：</w:t>
      </w:r>
      <w:r>
        <w:rPr>
          <w:rFonts w:hint="eastAsia" w:ascii="宋体" w:hAnsi="宋体" w:cs="宋体"/>
          <w:color w:val="auto"/>
          <w:sz w:val="21"/>
          <w:szCs w:val="21"/>
          <w:highlight w:val="none"/>
          <w:lang w:val="en-US" w:eastAsia="zh-CN"/>
        </w:rPr>
        <w:t>大湾区大学学术交流中心室内改造项目—4层至19层楼顶排烟管道系统工程</w:t>
      </w:r>
      <w:r>
        <w:rPr>
          <w:rFonts w:hint="eastAsia" w:ascii="宋体" w:hAnsi="宋体" w:eastAsia="宋体" w:cs="宋体"/>
          <w:color w:val="auto"/>
          <w:sz w:val="21"/>
          <w:szCs w:val="21"/>
          <w:highlight w:val="none"/>
          <w:lang w:val="en-US" w:eastAsia="zh-CN"/>
        </w:rPr>
        <w:t>；</w:t>
      </w:r>
    </w:p>
    <w:p w14:paraId="31EE6C30">
      <w:pPr>
        <w:numPr>
          <w:ilvl w:val="0"/>
          <w:numId w:val="0"/>
        </w:num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2.项目地点：大湾区大学学术交流中心</w:t>
      </w:r>
      <w:r>
        <w:rPr>
          <w:rFonts w:hint="eastAsia" w:ascii="宋体" w:hAnsi="宋体" w:eastAsia="宋体" w:cs="宋体"/>
          <w:color w:val="auto"/>
          <w:sz w:val="21"/>
          <w:szCs w:val="21"/>
          <w:highlight w:val="none"/>
          <w:lang w:val="en-US" w:eastAsia="zh-CN"/>
        </w:rPr>
        <w:t>；</w:t>
      </w:r>
    </w:p>
    <w:p w14:paraId="5DF1AC71">
      <w:pPr>
        <w:numPr>
          <w:ilvl w:val="0"/>
          <w:numId w:val="0"/>
        </w:numPr>
        <w:spacing w:line="360" w:lineRule="auto"/>
        <w:ind w:firstLine="210" w:firstLine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3.管道用途：专项解决一层、二层、三层厨房烹饪产生的油烟、废气排放问题，实现油烟净化后高空达标排放</w:t>
      </w:r>
      <w:r>
        <w:rPr>
          <w:rFonts w:hint="eastAsia" w:ascii="宋体" w:hAnsi="宋体" w:eastAsia="宋体" w:cs="宋体"/>
          <w:color w:val="auto"/>
          <w:sz w:val="21"/>
          <w:szCs w:val="21"/>
          <w:highlight w:val="none"/>
          <w:lang w:val="en-US" w:eastAsia="zh-CN"/>
        </w:rPr>
        <w:t>；</w:t>
      </w:r>
    </w:p>
    <w:p w14:paraId="23C91CE2">
      <w:pPr>
        <w:numPr>
          <w:ilvl w:val="0"/>
          <w:numId w:val="0"/>
        </w:numPr>
        <w:spacing w:line="360" w:lineRule="auto"/>
        <w:ind w:left="0" w:leftChars="0" w:firstLine="210" w:firstLineChars="1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4.施工范围：建筑总层数19层，管道需从三层厨房油烟井道出发，沿建筑井道内部敷设至19层楼顶（含楼顶横管），共3条排烟管道。每条管道敷设高度59.35米</w:t>
      </w:r>
      <w:r>
        <w:rPr>
          <w:rFonts w:hint="eastAsia" w:ascii="宋体" w:hAnsi="宋体" w:cs="宋体"/>
          <w:color w:val="auto"/>
          <w:sz w:val="21"/>
          <w:szCs w:val="21"/>
          <w:highlight w:val="none"/>
          <w:lang w:val="en-US" w:eastAsia="zh-CN"/>
        </w:rPr>
        <w:t>；</w:t>
      </w:r>
    </w:p>
    <w:p w14:paraId="495E71A6">
      <w:pPr>
        <w:numPr>
          <w:ilvl w:val="0"/>
          <w:numId w:val="0"/>
        </w:numPr>
        <w:spacing w:line="360" w:lineRule="auto"/>
        <w:ind w:left="0" w:leftChars="0" w:firstLine="210" w:firstLineChars="1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5.其它：屋顶净化设备所需的相关配电工程</w:t>
      </w:r>
      <w:r>
        <w:rPr>
          <w:rFonts w:hint="eastAsia" w:ascii="宋体" w:hAnsi="宋体" w:cs="宋体"/>
          <w:color w:val="auto"/>
          <w:sz w:val="21"/>
          <w:szCs w:val="21"/>
          <w:highlight w:val="none"/>
          <w:lang w:val="en-US" w:eastAsia="zh-CN"/>
        </w:rPr>
        <w:t>。</w:t>
      </w:r>
    </w:p>
    <w:p w14:paraId="2C0D2D5C">
      <w:pPr>
        <w:numPr>
          <w:ilvl w:val="0"/>
          <w:numId w:val="0"/>
        </w:numPr>
        <w:spacing w:line="360" w:lineRule="auto"/>
        <w:ind w:left="0" w:leftChars="0" w:firstLine="240" w:firstLineChars="100"/>
        <w:jc w:val="left"/>
        <w:rPr>
          <w:rFonts w:hint="eastAsia" w:ascii="宋体" w:hAnsi="宋体" w:eastAsia="宋体" w:cs="宋体"/>
          <w:color w:val="auto"/>
          <w:sz w:val="21"/>
          <w:szCs w:val="21"/>
          <w:highlight w:val="none"/>
          <w:lang w:val="en-US" w:eastAsia="zh-CN"/>
        </w:rPr>
      </w:pPr>
      <w:r>
        <w:rPr>
          <w:rFonts w:hint="default"/>
          <w:color w:val="auto"/>
          <w:sz w:val="24"/>
          <w:szCs w:val="32"/>
          <w:highlight w:val="none"/>
          <w:lang w:val="en-US" w:eastAsia="zh-CN"/>
        </w:rPr>
        <w:drawing>
          <wp:inline distT="0" distB="0" distL="114300" distR="114300">
            <wp:extent cx="5523230" cy="5935980"/>
            <wp:effectExtent l="0" t="0" r="1270" b="7620"/>
            <wp:docPr id="6" name="图片 6" descr="77549cb0-9c7d-404b-a0e4-64536ae732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7549cb0-9c7d-404b-a0e4-64536ae732f2"/>
                    <pic:cNvPicPr>
                      <a:picLocks noChangeAspect="1"/>
                    </pic:cNvPicPr>
                  </pic:nvPicPr>
                  <pic:blipFill>
                    <a:blip r:embed="rId12"/>
                    <a:stretch>
                      <a:fillRect/>
                    </a:stretch>
                  </pic:blipFill>
                  <pic:spPr>
                    <a:xfrm>
                      <a:off x="0" y="0"/>
                      <a:ext cx="5523230" cy="5935980"/>
                    </a:xfrm>
                    <a:prstGeom prst="rect">
                      <a:avLst/>
                    </a:prstGeom>
                  </pic:spPr>
                </pic:pic>
              </a:graphicData>
            </a:graphic>
          </wp:inline>
        </w:drawing>
      </w:r>
    </w:p>
    <w:p w14:paraId="29FCF109">
      <w:pPr>
        <w:numPr>
          <w:ilvl w:val="0"/>
          <w:numId w:val="0"/>
        </w:numPr>
        <w:spacing w:line="360" w:lineRule="auto"/>
        <w:ind w:left="0" w:leftChars="0" w:firstLine="210" w:firstLineChars="100"/>
        <w:jc w:val="left"/>
        <w:rPr>
          <w:rFonts w:hint="eastAsia" w:ascii="宋体" w:hAnsi="宋体" w:eastAsia="宋体" w:cs="宋体"/>
          <w:color w:val="auto"/>
          <w:sz w:val="21"/>
          <w:szCs w:val="21"/>
          <w:highlight w:val="none"/>
          <w:lang w:val="en-US" w:eastAsia="zh-CN"/>
        </w:rPr>
      </w:pPr>
    </w:p>
    <w:p w14:paraId="68C2B416">
      <w:pPr>
        <w:numPr>
          <w:ilvl w:val="0"/>
          <w:numId w:val="0"/>
        </w:numPr>
        <w:spacing w:line="360" w:lineRule="auto"/>
        <w:ind w:leftChars="100"/>
        <w:rPr>
          <w:rFonts w:hint="eastAsia" w:ascii="宋体" w:hAnsi="宋体" w:eastAsia="宋体" w:cs="宋体"/>
          <w:b/>
          <w:bCs/>
          <w:color w:val="auto"/>
          <w:sz w:val="21"/>
          <w:szCs w:val="21"/>
          <w:highlight w:val="none"/>
          <w:lang w:val="en-US" w:eastAsia="zh-CN"/>
        </w:rPr>
      </w:pPr>
      <w:r>
        <w:rPr>
          <w:rFonts w:hint="default"/>
          <w:color w:val="auto"/>
          <w:sz w:val="24"/>
          <w:szCs w:val="32"/>
          <w:highlight w:val="none"/>
          <w:lang w:val="en-US" w:eastAsia="zh-CN"/>
        </w:rPr>
        <w:drawing>
          <wp:inline distT="0" distB="0" distL="114300" distR="114300">
            <wp:extent cx="5518150" cy="3091815"/>
            <wp:effectExtent l="0" t="0" r="6350" b="13335"/>
            <wp:docPr id="7" name="图片 7" descr="c054107f6b6e4a2f7fa05b03948a8c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054107f6b6e4a2f7fa05b03948a8c69"/>
                    <pic:cNvPicPr>
                      <a:picLocks noChangeAspect="1"/>
                    </pic:cNvPicPr>
                  </pic:nvPicPr>
                  <pic:blipFill>
                    <a:blip r:embed="rId13"/>
                    <a:stretch>
                      <a:fillRect/>
                    </a:stretch>
                  </pic:blipFill>
                  <pic:spPr>
                    <a:xfrm>
                      <a:off x="0" y="0"/>
                      <a:ext cx="5518150" cy="3091815"/>
                    </a:xfrm>
                    <a:prstGeom prst="rect">
                      <a:avLst/>
                    </a:prstGeom>
                  </pic:spPr>
                </pic:pic>
              </a:graphicData>
            </a:graphic>
          </wp:inline>
        </w:drawing>
      </w:r>
    </w:p>
    <w:p w14:paraId="0F1D5767">
      <w:pPr>
        <w:pStyle w:val="111"/>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br w:type="page"/>
      </w:r>
      <w:r>
        <w:rPr>
          <w:rFonts w:hint="eastAsia" w:ascii="宋体" w:hAnsi="宋体" w:eastAsia="宋体" w:cs="宋体"/>
          <w:b/>
          <w:color w:val="auto"/>
          <w:sz w:val="21"/>
          <w:szCs w:val="21"/>
          <w:highlight w:val="none"/>
          <w:lang w:val="en-US" w:eastAsia="zh-CN"/>
        </w:rPr>
        <w:t>二、商务需求书</w:t>
      </w:r>
    </w:p>
    <w:tbl>
      <w:tblPr>
        <w:tblStyle w:val="40"/>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31"/>
        <w:gridCol w:w="5991"/>
      </w:tblGrid>
      <w:tr w14:paraId="795C4C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31" w:type="dxa"/>
          </w:tcPr>
          <w:p w14:paraId="2CB81B9D">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lang w:eastAsia="zh-CN"/>
              </w:rPr>
            </w:pPr>
            <w:r>
              <w:rPr>
                <w:rFonts w:hint="eastAsia" w:ascii="宋体" w:hAnsi="宋体"/>
                <w:b w:val="0"/>
                <w:bCs/>
                <w:color w:val="auto"/>
                <w:szCs w:val="21"/>
                <w:highlight w:val="none"/>
                <w:lang w:val="en-US" w:eastAsia="zh-CN"/>
              </w:rPr>
              <w:t>★</w:t>
            </w:r>
            <w:r>
              <w:rPr>
                <w:rFonts w:hint="eastAsia" w:ascii="宋体" w:hAnsi="宋体" w:eastAsia="宋体" w:cs="宋体"/>
                <w:color w:val="auto"/>
                <w:sz w:val="21"/>
                <w:szCs w:val="21"/>
                <w:highlight w:val="none"/>
                <w:lang w:val="en-US" w:eastAsia="zh-CN"/>
              </w:rPr>
              <w:t>完工期</w:t>
            </w:r>
          </w:p>
        </w:tc>
        <w:tc>
          <w:tcPr>
            <w:tcW w:w="5991" w:type="dxa"/>
          </w:tcPr>
          <w:p w14:paraId="5C216BC0">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2025年12月27日</w:t>
            </w:r>
            <w:r>
              <w:rPr>
                <w:rFonts w:hint="eastAsia" w:ascii="宋体" w:hAnsi="宋体" w:eastAsia="宋体" w:cs="宋体"/>
                <w:color w:val="auto"/>
                <w:sz w:val="21"/>
                <w:szCs w:val="21"/>
                <w:highlight w:val="none"/>
                <w:lang w:eastAsia="zh-CN"/>
              </w:rPr>
              <w:t>前完成施工、安装、调试及验收。</w:t>
            </w:r>
          </w:p>
        </w:tc>
      </w:tr>
      <w:tr w14:paraId="34EB71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31" w:type="dxa"/>
          </w:tcPr>
          <w:p w14:paraId="65E059EB">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5991" w:type="dxa"/>
          </w:tcPr>
          <w:p w14:paraId="376E4382">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、合同签订后，成交响应人向采购人提供合法等额的增值税专用发票和其他请款资料经采购人确认无误</w:t>
            </w:r>
            <w:r>
              <w:rPr>
                <w:rFonts w:hint="eastAsia" w:ascii="宋体" w:hAnsi="宋体" w:cs="宋体"/>
                <w:color w:val="auto"/>
                <w:sz w:val="21"/>
                <w:szCs w:val="21"/>
                <w:highlight w:val="none"/>
                <w:lang w:val="en-US" w:eastAsia="zh-CN"/>
              </w:rPr>
              <w:t>后</w:t>
            </w:r>
            <w:r>
              <w:rPr>
                <w:rFonts w:hint="eastAsia" w:ascii="宋体" w:hAnsi="宋体" w:eastAsia="宋体" w:cs="宋体"/>
                <w:color w:val="auto"/>
                <w:sz w:val="21"/>
                <w:szCs w:val="21"/>
                <w:highlight w:val="none"/>
              </w:rPr>
              <w:t>，采购人向成交响应人支付合同总金额的</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w:t>
            </w:r>
            <w:r>
              <w:rPr>
                <w:rFonts w:hint="eastAsia" w:ascii="宋体" w:hAnsi="宋体" w:eastAsia="宋体" w:cs="宋体"/>
                <w:color w:val="auto"/>
                <w:sz w:val="21"/>
                <w:szCs w:val="21"/>
                <w:highlight w:val="none"/>
                <w:lang w:val="en-US" w:eastAsia="zh-CN"/>
              </w:rPr>
              <w:t>作为定金。</w:t>
            </w:r>
          </w:p>
          <w:p w14:paraId="133F1063">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成交响应人完成本合同约定的全部内容并经采购人验收合格，且成交响应人提交结算资料经双方确认签字，并且乙方提交完整的请款资料及合法的增值税专用发票后，采购人支付至结算价款的97%；</w:t>
            </w:r>
          </w:p>
          <w:p w14:paraId="46888A42">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、质保期结束并提交完整的请款资料及合法的增值税专用发票后，如未发生质保金扣除事项的，采购人支付结算价款剩余的3%，如发生质保金扣除事项的，由双方核算处理。</w:t>
            </w:r>
          </w:p>
          <w:p w14:paraId="18AF2787">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cs="宋体"/>
                <w:color w:val="auto"/>
                <w:sz w:val="21"/>
                <w:szCs w:val="21"/>
                <w:highlight w:val="none"/>
                <w:lang w:eastAsia="zh-CN"/>
              </w:rPr>
              <w:t>成交响应人</w:t>
            </w:r>
            <w:r>
              <w:rPr>
                <w:rFonts w:hint="eastAsia" w:ascii="宋体" w:hAnsi="宋体" w:eastAsia="宋体" w:cs="宋体"/>
                <w:color w:val="auto"/>
                <w:sz w:val="21"/>
                <w:szCs w:val="21"/>
                <w:highlight w:val="none"/>
              </w:rPr>
              <w:t>提交的增值税专用发票须备注栏写明项目名称、合同名称及项目地址。按照现行税收政策规定，每次付款前，</w:t>
            </w:r>
            <w:r>
              <w:rPr>
                <w:rFonts w:hint="eastAsia" w:ascii="宋体" w:hAnsi="宋体" w:cs="宋体"/>
                <w:color w:val="auto"/>
                <w:sz w:val="21"/>
                <w:szCs w:val="21"/>
                <w:highlight w:val="none"/>
                <w:lang w:eastAsia="zh-CN"/>
              </w:rPr>
              <w:t>成交响应人</w:t>
            </w:r>
            <w:r>
              <w:rPr>
                <w:rFonts w:hint="eastAsia" w:ascii="宋体" w:hAnsi="宋体" w:eastAsia="宋体" w:cs="宋体"/>
                <w:color w:val="auto"/>
                <w:sz w:val="21"/>
                <w:szCs w:val="21"/>
                <w:highlight w:val="none"/>
              </w:rPr>
              <w:t>必须提供合法、有效、与本合同总价款条款中增值税税率一致的增值税专用发票给</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，否则</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有权拒绝付款且不构成违约；在</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除支付质保金（若有）外的最后一期款项前，</w:t>
            </w:r>
            <w:r>
              <w:rPr>
                <w:rFonts w:hint="eastAsia" w:ascii="宋体" w:hAnsi="宋体" w:cs="宋体"/>
                <w:color w:val="auto"/>
                <w:sz w:val="21"/>
                <w:szCs w:val="21"/>
                <w:highlight w:val="none"/>
                <w:lang w:eastAsia="zh-CN"/>
              </w:rPr>
              <w:t>成交响应人</w:t>
            </w:r>
            <w:r>
              <w:rPr>
                <w:rFonts w:hint="eastAsia" w:ascii="宋体" w:hAnsi="宋体" w:eastAsia="宋体" w:cs="宋体"/>
                <w:color w:val="auto"/>
                <w:sz w:val="21"/>
                <w:szCs w:val="21"/>
                <w:highlight w:val="none"/>
              </w:rPr>
              <w:t>须连同当期支付款项发票和质保金（若有）发票一并提交给</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若后期出现质保问题，按照质保责任和条款，部分或全部扣除质保金（若有）的，不退还相应金额的发票。若合同执行期间，遇国家税务政策调整所引起的合同价格变化，按照不含税价格调整结算价格。如因成交响应人未及时提供发票导致采购人未能按照约定支付款项的，采购人不承担逾期支付的责任。</w:t>
            </w:r>
          </w:p>
        </w:tc>
      </w:tr>
      <w:tr w14:paraId="456BDA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31" w:type="dxa"/>
          </w:tcPr>
          <w:p w14:paraId="00867891">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施工与验收要求</w:t>
            </w:r>
          </w:p>
        </w:tc>
        <w:tc>
          <w:tcPr>
            <w:tcW w:w="5991" w:type="dxa"/>
          </w:tcPr>
          <w:p w14:paraId="22DA98E1">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1.施工前提交详细的施工组织设计，包括管道敷设路径图、配电图、支架安装图、设备布置图及安全防护方案，经</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及监理单位审核通过后方可施工。</w:t>
            </w:r>
          </w:p>
          <w:p w14:paraId="51E59199">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施工过程中严格遵守建筑施工安全规范，做好成品保护，避免对建筑结构、原有设施造成损坏。各楼层井道施工造成的破坏由</w:t>
            </w:r>
            <w:r>
              <w:rPr>
                <w:rFonts w:hint="eastAsia" w:ascii="宋体" w:hAnsi="宋体" w:cs="宋体"/>
                <w:color w:val="auto"/>
                <w:sz w:val="21"/>
                <w:szCs w:val="21"/>
                <w:highlight w:val="none"/>
                <w:lang w:eastAsia="zh-CN"/>
              </w:rPr>
              <w:t>成交响应人</w:t>
            </w:r>
            <w:r>
              <w:rPr>
                <w:rFonts w:hint="eastAsia" w:ascii="宋体" w:hAnsi="宋体" w:eastAsia="宋体" w:cs="宋体"/>
                <w:color w:val="auto"/>
                <w:sz w:val="21"/>
                <w:szCs w:val="21"/>
                <w:highlight w:val="none"/>
              </w:rPr>
              <w:t>自行恢复；</w:t>
            </w:r>
          </w:p>
          <w:p w14:paraId="6B92E6C3">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验收标准：施工完成后需进行排烟效率测试、油烟浓度检测（委托第三方检测机构）、噪音检测及密封性试验，所有指标需符合本需求书及相关国家标准，检测费用由</w:t>
            </w:r>
            <w:r>
              <w:rPr>
                <w:rFonts w:hint="eastAsia" w:ascii="宋体" w:hAnsi="宋体" w:cs="宋体"/>
                <w:color w:val="auto"/>
                <w:sz w:val="21"/>
                <w:szCs w:val="21"/>
                <w:highlight w:val="none"/>
                <w:lang w:eastAsia="zh-CN"/>
              </w:rPr>
              <w:t>成交响应人</w:t>
            </w:r>
            <w:r>
              <w:rPr>
                <w:rFonts w:hint="eastAsia" w:ascii="宋体" w:hAnsi="宋体" w:eastAsia="宋体" w:cs="宋体"/>
                <w:color w:val="auto"/>
                <w:sz w:val="21"/>
                <w:szCs w:val="21"/>
                <w:highlight w:val="none"/>
              </w:rPr>
              <w:t>承担。</w:t>
            </w:r>
          </w:p>
          <w:p w14:paraId="608E9FF0">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lang w:eastAsia="zh-CN"/>
              </w:rPr>
              <w:t>成交响应人</w:t>
            </w:r>
            <w:r>
              <w:rPr>
                <w:rFonts w:hint="eastAsia" w:ascii="宋体" w:hAnsi="宋体" w:eastAsia="宋体" w:cs="宋体"/>
                <w:color w:val="auto"/>
                <w:sz w:val="21"/>
                <w:szCs w:val="21"/>
                <w:highlight w:val="none"/>
              </w:rPr>
              <w:t>需提供完整的竣工资料，包括竣工图、产品合格证、检测报告等。</w:t>
            </w:r>
          </w:p>
        </w:tc>
      </w:tr>
      <w:tr w14:paraId="2B9AC7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2531" w:type="dxa"/>
          </w:tcPr>
          <w:p w14:paraId="65E37A5D">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5991" w:type="dxa"/>
          </w:tcPr>
          <w:p w14:paraId="07623F45">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eastAsia="zh-CN"/>
              </w:rPr>
              <w:t>响应人</w:t>
            </w:r>
            <w:r>
              <w:rPr>
                <w:rFonts w:hint="eastAsia" w:ascii="宋体" w:hAnsi="宋体" w:eastAsia="宋体" w:cs="宋体"/>
                <w:color w:val="auto"/>
                <w:sz w:val="21"/>
                <w:szCs w:val="21"/>
                <w:highlight w:val="none"/>
              </w:rPr>
              <w:t>根据竞争性谈判文件、图纸、方案或说明、采购清单等有关资料等对本项目进行施工总承包。合同费用总价包干：包括但不限于包工、包料、包质量、包安全生产、包文明施工、包工期、验收通过、包移交、包结算、包</w:t>
            </w:r>
            <w:r>
              <w:rPr>
                <w:rFonts w:hint="eastAsia" w:ascii="宋体" w:hAnsi="宋体" w:cs="宋体"/>
                <w:color w:val="auto"/>
                <w:sz w:val="21"/>
                <w:szCs w:val="21"/>
                <w:highlight w:val="none"/>
                <w:lang w:eastAsia="zh-CN"/>
              </w:rPr>
              <w:t>成交响应人</w:t>
            </w:r>
            <w:r>
              <w:rPr>
                <w:rFonts w:hint="eastAsia" w:ascii="宋体" w:hAnsi="宋体" w:eastAsia="宋体" w:cs="宋体"/>
                <w:color w:val="auto"/>
                <w:sz w:val="21"/>
                <w:szCs w:val="21"/>
                <w:highlight w:val="none"/>
              </w:rPr>
              <w:t>应当购买的保险、包竣工图和竣工资料编制（须满足规划等各专项验收要求），包竣工资料收集整理移交档案、包保修及其他不可预见等。</w:t>
            </w:r>
            <w:r>
              <w:rPr>
                <w:rFonts w:hint="eastAsia" w:ascii="宋体" w:hAnsi="宋体" w:cs="宋体"/>
                <w:color w:val="auto"/>
                <w:sz w:val="21"/>
                <w:szCs w:val="21"/>
                <w:highlight w:val="none"/>
                <w:lang w:eastAsia="zh-CN"/>
              </w:rPr>
              <w:t>成交响应人</w:t>
            </w:r>
            <w:r>
              <w:rPr>
                <w:rFonts w:hint="eastAsia" w:ascii="宋体" w:hAnsi="宋体" w:eastAsia="宋体" w:cs="宋体"/>
                <w:color w:val="auto"/>
                <w:sz w:val="21"/>
                <w:szCs w:val="21"/>
                <w:highlight w:val="none"/>
              </w:rPr>
              <w:t>因踏勘现场及充分研读竞争性谈判文件后，对于项目达成所需全部工作内容已清晰，根据竞争性谈判文件等采购相关资料，在完成整个承包范围工作时，如有因达成目的而采取的任何其它辅助或增加项目，均视同优惠并在结算时不予调整合同总价。</w:t>
            </w:r>
          </w:p>
          <w:p w14:paraId="56DBAEB7">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2、响应报价应以人民币为结算单位（含税），依照采购人提供的方案，以用户需求书内的</w:t>
            </w:r>
            <w:r>
              <w:rPr>
                <w:rFonts w:hint="eastAsia" w:ascii="宋体" w:hAnsi="宋体" w:cs="宋体"/>
                <w:color w:val="auto"/>
                <w:sz w:val="21"/>
                <w:szCs w:val="21"/>
                <w:highlight w:val="none"/>
                <w:lang w:val="en-US" w:eastAsia="zh-CN"/>
              </w:rPr>
              <w:t>实施范围</w:t>
            </w:r>
            <w:r>
              <w:rPr>
                <w:rFonts w:hint="eastAsia" w:ascii="宋体" w:hAnsi="宋体" w:eastAsia="宋体" w:cs="宋体"/>
                <w:color w:val="auto"/>
                <w:sz w:val="21"/>
                <w:szCs w:val="21"/>
                <w:highlight w:val="none"/>
              </w:rPr>
              <w:t>，人工及工作中所需的材料费、</w:t>
            </w:r>
            <w:r>
              <w:rPr>
                <w:rFonts w:hint="eastAsia" w:ascii="宋体" w:hAnsi="宋体" w:cs="宋体"/>
                <w:color w:val="auto"/>
                <w:sz w:val="21"/>
                <w:szCs w:val="21"/>
                <w:highlight w:val="none"/>
                <w:lang w:val="en-US" w:eastAsia="zh-CN"/>
              </w:rPr>
              <w:t>保修</w:t>
            </w:r>
            <w:r>
              <w:rPr>
                <w:rFonts w:hint="eastAsia" w:ascii="宋体" w:hAnsi="宋体" w:eastAsia="宋体" w:cs="宋体"/>
                <w:color w:val="auto"/>
                <w:sz w:val="21"/>
                <w:szCs w:val="21"/>
                <w:highlight w:val="none"/>
              </w:rPr>
              <w:t>费用、包安全、包文明施工，包税收的方式进行报价，按本次采购范围总价包干，详见本用户需求书</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清单。</w:t>
            </w:r>
          </w:p>
          <w:p w14:paraId="26FDF4B4">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、合同条款，投标人实质响应合同各项条款。</w:t>
            </w:r>
          </w:p>
          <w:p w14:paraId="3AE83EC3">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4、售后服务要求</w:t>
            </w:r>
          </w:p>
          <w:p w14:paraId="5EBEC592">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质保期：整体系统质保期不少于2年，质保期内免费提供维修、更换故障部件服务，接到报修通知后4小时内响应，12小时内到场处理。</w:t>
            </w:r>
          </w:p>
          <w:p w14:paraId="485B1638">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运维支持：质保期内每6个月提供一次上门巡检、清洗保养服务；质保期满后，提供终身维护服务，收取合理的材料及人工费用。</w:t>
            </w:r>
          </w:p>
          <w:p w14:paraId="230A43D2">
            <w:pPr>
              <w:pStyle w:val="1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培训服务：向</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操作人员提供设备使用、日常维护及简单故障排查培训，确保能独立正常操作。</w:t>
            </w:r>
          </w:p>
        </w:tc>
      </w:tr>
    </w:tbl>
    <w:p w14:paraId="07908DC9">
      <w:pPr>
        <w:rPr>
          <w:rFonts w:hint="eastAsia" w:ascii="宋体" w:hAnsi="宋体" w:eastAsia="宋体" w:cs="宋体"/>
          <w:b/>
          <w:bCs/>
          <w:color w:val="auto"/>
          <w:sz w:val="21"/>
          <w:szCs w:val="21"/>
          <w:highlight w:val="none"/>
          <w:lang w:val="en-US" w:eastAsia="zh-CN"/>
        </w:rPr>
      </w:pPr>
    </w:p>
    <w:p w14:paraId="72778E49">
      <w:pPr>
        <w:numPr>
          <w:ilvl w:val="0"/>
          <w:numId w:val="0"/>
        </w:numPr>
        <w:spacing w:line="360" w:lineRule="auto"/>
        <w:ind w:left="210" w:leftChars="100"/>
        <w:rPr>
          <w:rFonts w:hint="eastAsia" w:ascii="宋体" w:hAnsi="宋体" w:eastAsia="宋体" w:cs="宋体"/>
          <w:b/>
          <w:color w:val="auto"/>
          <w:sz w:val="21"/>
          <w:szCs w:val="21"/>
          <w:highlight w:val="none"/>
        </w:rPr>
      </w:pPr>
      <w:r>
        <w:rPr>
          <w:rFonts w:hint="eastAsia" w:ascii="宋体" w:hAnsi="宋体"/>
          <w:b w:val="0"/>
          <w:bCs/>
          <w:color w:val="auto"/>
          <w:szCs w:val="21"/>
          <w:highlight w:val="none"/>
          <w:lang w:val="en-US" w:eastAsia="zh-CN"/>
        </w:rPr>
        <w:t>★</w:t>
      </w:r>
      <w:r>
        <w:rPr>
          <w:rFonts w:hint="eastAsia" w:ascii="宋体" w:hAnsi="宋体" w:eastAsia="宋体" w:cs="宋体"/>
          <w:b/>
          <w:color w:val="auto"/>
          <w:kern w:val="2"/>
          <w:sz w:val="21"/>
          <w:szCs w:val="21"/>
          <w:highlight w:val="none"/>
          <w:lang w:val="en-US" w:eastAsia="zh-CN" w:bidi="ar-SA"/>
        </w:rPr>
        <w:t>三、</w:t>
      </w:r>
      <w:r>
        <w:rPr>
          <w:rFonts w:hint="eastAsia" w:ascii="宋体" w:hAnsi="宋体" w:cs="宋体"/>
          <w:b/>
          <w:color w:val="auto"/>
          <w:kern w:val="2"/>
          <w:sz w:val="21"/>
          <w:szCs w:val="21"/>
          <w:highlight w:val="none"/>
          <w:lang w:val="en-US" w:eastAsia="zh-CN" w:bidi="ar-SA"/>
        </w:rPr>
        <w:t>技术</w:t>
      </w:r>
      <w:r>
        <w:rPr>
          <w:rFonts w:hint="eastAsia" w:ascii="宋体" w:hAnsi="宋体" w:eastAsia="宋体" w:cs="宋体"/>
          <w:b/>
          <w:color w:val="auto"/>
          <w:kern w:val="2"/>
          <w:sz w:val="21"/>
          <w:szCs w:val="21"/>
          <w:highlight w:val="none"/>
          <w:lang w:val="en-US" w:eastAsia="zh-CN" w:bidi="ar-SA"/>
        </w:rPr>
        <w:t>需求书</w:t>
      </w:r>
    </w:p>
    <w:p w14:paraId="6D02A9F9">
      <w:pPr>
        <w:numPr>
          <w:ilvl w:val="0"/>
          <w:numId w:val="0"/>
        </w:numPr>
        <w:spacing w:line="360" w:lineRule="auto"/>
        <w:ind w:left="210" w:leftChars="10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（一）核心功能需求</w:t>
      </w:r>
    </w:p>
    <w:p w14:paraId="15D2F02C">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1.排烟效率：厨房满负荷运行时排烟风量分别不低于：A管（图纸标400mm*1400mm)6000㎥/h；B管(图纸标1000mm*1250mm）57500㎥/h；C管（图纸标630mm*1400mm)24500㎥/h，能在30秒内排出厨房内积聚油烟，无倒灌、滞留现象。</w:t>
      </w:r>
    </w:p>
    <w:p w14:paraId="6AF809D8">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2.净化标准：配套油烟净化设备需符合《饮食业油烟排放标准》（GB 18483-2001），净化后油烟排放浓度≤2.0mg/m³，无明显异味。</w:t>
      </w:r>
    </w:p>
    <w:p w14:paraId="7D32CE55">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3.高空排放：排烟口设置于19层楼顶，避开人员活动区域及敏感朝向，排放气流不影响周边建筑及居民生活。</w:t>
      </w:r>
    </w:p>
    <w:p w14:paraId="453B062B">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4.</w:t>
      </w:r>
      <w:r>
        <w:rPr>
          <w:rFonts w:hint="eastAsia" w:ascii="宋体" w:hAnsi="宋体" w:eastAsia="宋体" w:cs="宋体"/>
          <w:color w:val="auto"/>
          <w:sz w:val="21"/>
          <w:szCs w:val="21"/>
          <w:highlight w:val="none"/>
          <w:lang w:val="en-US" w:eastAsia="zh-CN"/>
        </w:rPr>
        <w:t>降噪要求：管道运行时（含风机），三层厨房内噪音≤65dB(A)，楼内公共区域及19层周边噪音≤55dB(A)。</w:t>
      </w:r>
    </w:p>
    <w:p w14:paraId="0AF27218">
      <w:pPr>
        <w:spacing w:line="360" w:lineRule="auto"/>
        <w:ind w:firstLine="210" w:firstLineChars="100"/>
        <w:rPr>
          <w:rFonts w:hint="eastAsia" w:ascii="宋体" w:hAnsi="宋体" w:eastAsia="宋体" w:cs="宋体"/>
          <w:color w:val="auto"/>
          <w:sz w:val="21"/>
          <w:szCs w:val="21"/>
          <w:highlight w:val="none"/>
          <w:lang w:val="en-US" w:eastAsia="zh-CN"/>
        </w:rPr>
      </w:pPr>
    </w:p>
    <w:p w14:paraId="591DAD6C">
      <w:pPr>
        <w:spacing w:line="360" w:lineRule="auto"/>
        <w:ind w:firstLine="211" w:firstLineChars="10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（二）技术参数要求</w:t>
      </w:r>
    </w:p>
    <w:p w14:paraId="0C84C6A5">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1.管道材质：选用304不锈钢钢板，厚度根据敷设高度及风压计算确定，最小厚度不低于设计标准1.2mm和1.5mm两种规格；</w:t>
      </w:r>
    </w:p>
    <w:p w14:paraId="292499F9">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2.管道规格：按照设计要求管径，A管400mm*1400mm；B管1000mm*1400mm；C管630mm*1400mm，管道接口采用满焊接方式连接，密封性能良好，无油烟泄漏</w:t>
      </w:r>
      <w:r>
        <w:rPr>
          <w:rFonts w:hint="eastAsia" w:ascii="宋体" w:hAnsi="宋体" w:cs="宋体"/>
          <w:color w:val="auto"/>
          <w:sz w:val="21"/>
          <w:szCs w:val="21"/>
          <w:highlight w:val="none"/>
          <w:lang w:val="en-US" w:eastAsia="zh-CN"/>
        </w:rPr>
        <w:t>；</w:t>
      </w:r>
    </w:p>
    <w:p w14:paraId="50EA1789">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3.风机配置/净化设备：风机及净化设备由装修总包单位提供； </w:t>
      </w:r>
    </w:p>
    <w:p w14:paraId="4230268E">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4.辅助设施：管道设置必要的检修口（间距≤10米）、防火阀（靠近厨房及楼顶排放口处）、冷凝液收集装置；楼顶排烟口安装防雨帽、防鸟网及止回阀，防止雨水倒灌、异物进入及油烟回流</w:t>
      </w:r>
      <w:r>
        <w:rPr>
          <w:rFonts w:hint="eastAsia" w:ascii="宋体" w:hAnsi="宋体" w:cs="宋体"/>
          <w:color w:val="auto"/>
          <w:sz w:val="21"/>
          <w:szCs w:val="21"/>
          <w:highlight w:val="none"/>
          <w:lang w:val="en-US" w:eastAsia="zh-CN"/>
        </w:rPr>
        <w:t>；</w:t>
      </w:r>
    </w:p>
    <w:p w14:paraId="7C7D88D8">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5.敷设要求：管道敷设路径按照原建筑排烟井道内壁最大尺寸施工，固定支架间距≤4米，支架采用防腐、防震处理，与管道接触处设置减震垫；做好防水防油密封处理。</w:t>
      </w:r>
    </w:p>
    <w:p w14:paraId="5E28937F">
      <w:pPr>
        <w:spacing w:line="360" w:lineRule="auto"/>
        <w:ind w:firstLine="210" w:firstLineChars="100"/>
        <w:rPr>
          <w:rFonts w:hint="eastAsia" w:ascii="宋体" w:hAnsi="宋体" w:eastAsia="宋体" w:cs="宋体"/>
          <w:color w:val="auto"/>
          <w:sz w:val="21"/>
          <w:szCs w:val="21"/>
          <w:highlight w:val="none"/>
          <w:lang w:val="en-US" w:eastAsia="zh-CN"/>
        </w:rPr>
      </w:pPr>
    </w:p>
    <w:p w14:paraId="4CB06D09">
      <w:pPr>
        <w:spacing w:line="360" w:lineRule="auto"/>
        <w:ind w:firstLine="211"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（三）其他要求</w:t>
      </w:r>
    </w:p>
    <w:p w14:paraId="09224E61">
      <w:pPr>
        <w:numPr>
          <w:ilvl w:val="0"/>
          <w:numId w:val="0"/>
        </w:num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sz w:val="21"/>
          <w:szCs w:val="21"/>
          <w:highlight w:val="none"/>
          <w:lang w:val="en-US" w:eastAsia="zh-CN"/>
        </w:rPr>
        <w:t>本项目为后补充项，关于排油烟风机、油烟净化器需对接现装修总包；</w:t>
      </w:r>
    </w:p>
    <w:p w14:paraId="0CABC889">
      <w:pPr>
        <w:spacing w:line="360" w:lineRule="auto"/>
        <w:ind w:firstLine="210" w:firstLineChars="10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.安全环保：施工过程中产生的建筑垃圾需及时清理，避免环境污染；所有设备及材料需符合国家环保标准，无有毒有害物质。</w:t>
      </w:r>
    </w:p>
    <w:p w14:paraId="5DE75EB5">
      <w:pPr>
        <w:rPr>
          <w:rFonts w:hint="eastAsia" w:ascii="宋体" w:hAnsi="宋体" w:cs="宋体"/>
          <w:b/>
          <w:color w:val="auto"/>
          <w:kern w:val="2"/>
          <w:sz w:val="21"/>
          <w:szCs w:val="21"/>
          <w:highlight w:val="none"/>
          <w:lang w:val="en-US" w:eastAsia="zh-CN" w:bidi="ar-SA"/>
        </w:rPr>
      </w:pPr>
      <w:r>
        <w:rPr>
          <w:rFonts w:hint="eastAsia" w:ascii="宋体" w:hAnsi="宋体" w:cs="宋体"/>
          <w:b/>
          <w:color w:val="auto"/>
          <w:kern w:val="2"/>
          <w:sz w:val="21"/>
          <w:szCs w:val="21"/>
          <w:highlight w:val="none"/>
          <w:lang w:val="en-US" w:eastAsia="zh-CN" w:bidi="ar-SA"/>
        </w:rPr>
        <w:br w:type="page"/>
      </w:r>
    </w:p>
    <w:p w14:paraId="2E9FCBD3">
      <w:pPr>
        <w:numPr>
          <w:ilvl w:val="0"/>
          <w:numId w:val="0"/>
        </w:numPr>
        <w:spacing w:line="360" w:lineRule="auto"/>
        <w:ind w:left="210" w:leftChars="100"/>
        <w:rPr>
          <w:rFonts w:hint="default" w:ascii="宋体" w:hAnsi="宋体" w:eastAsia="宋体" w:cs="宋体"/>
          <w:b/>
          <w:color w:val="auto"/>
          <w:kern w:val="2"/>
          <w:sz w:val="21"/>
          <w:szCs w:val="21"/>
          <w:highlight w:val="none"/>
          <w:lang w:val="en-US" w:eastAsia="zh-CN" w:bidi="ar-SA"/>
        </w:rPr>
      </w:pPr>
      <w:r>
        <w:rPr>
          <w:rFonts w:hint="eastAsia" w:ascii="宋体" w:hAnsi="宋体" w:cs="宋体"/>
          <w:b/>
          <w:color w:val="auto"/>
          <w:kern w:val="2"/>
          <w:sz w:val="21"/>
          <w:szCs w:val="21"/>
          <w:highlight w:val="none"/>
          <w:lang w:val="en-US" w:eastAsia="zh-CN" w:bidi="ar-SA"/>
        </w:rPr>
        <w:t>（四）</w:t>
      </w:r>
      <w:r>
        <w:rPr>
          <w:rFonts w:hint="eastAsia" w:ascii="宋体" w:hAnsi="宋体" w:eastAsia="宋体" w:cs="宋体"/>
          <w:b/>
          <w:color w:val="auto"/>
          <w:kern w:val="2"/>
          <w:sz w:val="21"/>
          <w:szCs w:val="21"/>
          <w:highlight w:val="none"/>
          <w:lang w:val="en-US" w:eastAsia="zh-CN" w:bidi="ar-SA"/>
        </w:rPr>
        <w:t>采购清单</w:t>
      </w:r>
    </w:p>
    <w:tbl>
      <w:tblPr>
        <w:tblStyle w:val="40"/>
        <w:tblW w:w="8389" w:type="dxa"/>
        <w:tblInd w:w="53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1"/>
        <w:gridCol w:w="1299"/>
        <w:gridCol w:w="3953"/>
        <w:gridCol w:w="1173"/>
        <w:gridCol w:w="993"/>
      </w:tblGrid>
      <w:tr w14:paraId="084DE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971"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70E00A0E">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序号</w:t>
            </w:r>
          </w:p>
        </w:tc>
        <w:tc>
          <w:tcPr>
            <w:tcW w:w="1299"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21B4A506">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项目名称</w:t>
            </w:r>
          </w:p>
        </w:tc>
        <w:tc>
          <w:tcPr>
            <w:tcW w:w="3953"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EE318B0">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项目特征描述</w:t>
            </w:r>
          </w:p>
        </w:tc>
        <w:tc>
          <w:tcPr>
            <w:tcW w:w="1173"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BA7BDB6">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计量单位</w:t>
            </w:r>
          </w:p>
        </w:tc>
        <w:tc>
          <w:tcPr>
            <w:tcW w:w="993"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79BE5B41">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工程量</w:t>
            </w:r>
          </w:p>
        </w:tc>
      </w:tr>
      <w:tr w14:paraId="2909B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971"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64E5ADD5">
            <w:pPr>
              <w:jc w:val="center"/>
              <w:rPr>
                <w:rFonts w:hint="eastAsia" w:ascii="宋体" w:hAnsi="宋体" w:eastAsia="宋体" w:cs="宋体"/>
                <w:i w:val="0"/>
                <w:iCs w:val="0"/>
                <w:color w:val="auto"/>
                <w:sz w:val="21"/>
                <w:szCs w:val="21"/>
                <w:highlight w:val="none"/>
                <w:u w:val="none"/>
              </w:rPr>
            </w:pPr>
          </w:p>
        </w:tc>
        <w:tc>
          <w:tcPr>
            <w:tcW w:w="1299"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6B0B6CB3">
            <w:pPr>
              <w:jc w:val="center"/>
              <w:rPr>
                <w:rFonts w:hint="eastAsia" w:ascii="宋体" w:hAnsi="宋体" w:eastAsia="宋体" w:cs="宋体"/>
                <w:i w:val="0"/>
                <w:iCs w:val="0"/>
                <w:color w:val="auto"/>
                <w:sz w:val="21"/>
                <w:szCs w:val="21"/>
                <w:highlight w:val="none"/>
                <w:u w:val="none"/>
              </w:rPr>
            </w:pPr>
          </w:p>
        </w:tc>
        <w:tc>
          <w:tcPr>
            <w:tcW w:w="3953"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CF22EB4">
            <w:pPr>
              <w:jc w:val="center"/>
              <w:rPr>
                <w:rFonts w:hint="eastAsia" w:ascii="宋体" w:hAnsi="宋体" w:eastAsia="宋体" w:cs="宋体"/>
                <w:i w:val="0"/>
                <w:iCs w:val="0"/>
                <w:color w:val="auto"/>
                <w:sz w:val="21"/>
                <w:szCs w:val="21"/>
                <w:highlight w:val="none"/>
                <w:u w:val="none"/>
              </w:rPr>
            </w:pPr>
          </w:p>
        </w:tc>
        <w:tc>
          <w:tcPr>
            <w:tcW w:w="1173"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0741CA32">
            <w:pPr>
              <w:jc w:val="center"/>
              <w:rPr>
                <w:rFonts w:hint="eastAsia" w:ascii="宋体" w:hAnsi="宋体" w:eastAsia="宋体" w:cs="宋体"/>
                <w:i w:val="0"/>
                <w:iCs w:val="0"/>
                <w:color w:val="auto"/>
                <w:sz w:val="21"/>
                <w:szCs w:val="21"/>
                <w:highlight w:val="none"/>
                <w:u w:val="none"/>
              </w:rPr>
            </w:pPr>
          </w:p>
        </w:tc>
        <w:tc>
          <w:tcPr>
            <w:tcW w:w="993"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2071A583">
            <w:pPr>
              <w:jc w:val="right"/>
              <w:rPr>
                <w:rFonts w:hint="eastAsia" w:ascii="宋体" w:hAnsi="宋体" w:eastAsia="宋体" w:cs="宋体"/>
                <w:i w:val="0"/>
                <w:iCs w:val="0"/>
                <w:color w:val="auto"/>
                <w:sz w:val="21"/>
                <w:szCs w:val="21"/>
                <w:highlight w:val="none"/>
                <w:u w:val="none"/>
              </w:rPr>
            </w:pPr>
          </w:p>
        </w:tc>
      </w:tr>
      <w:tr w14:paraId="706AE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971"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65FC22E2">
            <w:pPr>
              <w:jc w:val="center"/>
              <w:rPr>
                <w:rFonts w:hint="eastAsia" w:ascii="宋体" w:hAnsi="宋体" w:eastAsia="宋体" w:cs="宋体"/>
                <w:i w:val="0"/>
                <w:iCs w:val="0"/>
                <w:color w:val="auto"/>
                <w:sz w:val="21"/>
                <w:szCs w:val="21"/>
                <w:highlight w:val="none"/>
                <w:u w:val="none"/>
              </w:rPr>
            </w:pPr>
          </w:p>
        </w:tc>
        <w:tc>
          <w:tcPr>
            <w:tcW w:w="1299"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3B45662F">
            <w:pPr>
              <w:jc w:val="center"/>
              <w:rPr>
                <w:rFonts w:hint="eastAsia" w:ascii="宋体" w:hAnsi="宋体" w:eastAsia="宋体" w:cs="宋体"/>
                <w:i w:val="0"/>
                <w:iCs w:val="0"/>
                <w:color w:val="auto"/>
                <w:sz w:val="21"/>
                <w:szCs w:val="21"/>
                <w:highlight w:val="none"/>
                <w:u w:val="none"/>
              </w:rPr>
            </w:pPr>
          </w:p>
        </w:tc>
        <w:tc>
          <w:tcPr>
            <w:tcW w:w="3953"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36CDA484">
            <w:pPr>
              <w:jc w:val="center"/>
              <w:rPr>
                <w:rFonts w:hint="eastAsia" w:ascii="宋体" w:hAnsi="宋体" w:eastAsia="宋体" w:cs="宋体"/>
                <w:i w:val="0"/>
                <w:iCs w:val="0"/>
                <w:color w:val="auto"/>
                <w:sz w:val="21"/>
                <w:szCs w:val="21"/>
                <w:highlight w:val="none"/>
                <w:u w:val="none"/>
              </w:rPr>
            </w:pPr>
          </w:p>
        </w:tc>
        <w:tc>
          <w:tcPr>
            <w:tcW w:w="1173"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3A15828D">
            <w:pPr>
              <w:jc w:val="center"/>
              <w:rPr>
                <w:rFonts w:hint="eastAsia" w:ascii="宋体" w:hAnsi="宋体" w:eastAsia="宋体" w:cs="宋体"/>
                <w:i w:val="0"/>
                <w:iCs w:val="0"/>
                <w:color w:val="auto"/>
                <w:sz w:val="21"/>
                <w:szCs w:val="21"/>
                <w:highlight w:val="none"/>
                <w:u w:val="none"/>
              </w:rPr>
            </w:pPr>
          </w:p>
        </w:tc>
        <w:tc>
          <w:tcPr>
            <w:tcW w:w="993"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4834FD32">
            <w:pPr>
              <w:jc w:val="right"/>
              <w:rPr>
                <w:rFonts w:hint="eastAsia" w:ascii="宋体" w:hAnsi="宋体" w:eastAsia="宋体" w:cs="宋体"/>
                <w:i w:val="0"/>
                <w:iCs w:val="0"/>
                <w:color w:val="auto"/>
                <w:sz w:val="21"/>
                <w:szCs w:val="21"/>
                <w:highlight w:val="none"/>
                <w:u w:val="none"/>
              </w:rPr>
            </w:pPr>
          </w:p>
        </w:tc>
      </w:tr>
      <w:tr w14:paraId="4BCEC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2" w:hRule="atLeast"/>
        </w:trPr>
        <w:tc>
          <w:tcPr>
            <w:tcW w:w="97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D8E2AC">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 xml:space="preserve">1 </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92810">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304不锈钢排油烟风管</w:t>
            </w:r>
          </w:p>
        </w:tc>
        <w:tc>
          <w:tcPr>
            <w:tcW w:w="3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CF7A">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1.名称:304不锈钢排油烟风管</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2.材质:不锈钢</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3.形状:矩形</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4.板材厚度:1.2mm</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5.含风管除锈、刷油、风管支架</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6.风管试验:满足验收要求</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7.高层增加费、竖井施工费、脚手架等一切所需费用</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8.其他:满足图纸设计、施工规范要求、用户需求书</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4884">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A29BE">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495.28</w:t>
            </w:r>
          </w:p>
        </w:tc>
      </w:tr>
      <w:tr w14:paraId="543C7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12" w:hRule="atLeast"/>
        </w:trPr>
        <w:tc>
          <w:tcPr>
            <w:tcW w:w="97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8C7D53">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 xml:space="preserve">2 </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6DF23">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304不锈钢排油烟风管</w:t>
            </w:r>
          </w:p>
        </w:tc>
        <w:tc>
          <w:tcPr>
            <w:tcW w:w="3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0EF98">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1.名称:304不锈钢排油烟风管</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2.材质:不锈钢</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3.形状:矩形</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4.板材厚度:1.5mm</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5.含风管除锈、刷油、风管支架</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6.风管试验:满足验收要求</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7.高层增加费、竖井施工费、脚手架等一切所需费用</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8.其他:满足图纸设计、施工规范要求、用户需求书</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3E43">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1CDC9">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284.16</w:t>
            </w:r>
          </w:p>
        </w:tc>
      </w:tr>
      <w:tr w14:paraId="262C7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1" w:hRule="atLeast"/>
        </w:trPr>
        <w:tc>
          <w:tcPr>
            <w:tcW w:w="97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CEB2E8">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 xml:space="preserve">3 </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AC4E">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配管</w:t>
            </w:r>
          </w:p>
        </w:tc>
        <w:tc>
          <w:tcPr>
            <w:tcW w:w="3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8FEE">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1.名称:镀锌钢管</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2.规格:DN100</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3.其他:满足图纸设计及施工规范要求</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BAEE5">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EE1FF">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200</w:t>
            </w:r>
          </w:p>
        </w:tc>
      </w:tr>
      <w:tr w14:paraId="2F2D5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1" w:hRule="atLeast"/>
        </w:trPr>
        <w:tc>
          <w:tcPr>
            <w:tcW w:w="97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209227">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 xml:space="preserve">4 </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19544">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电力电缆</w:t>
            </w:r>
          </w:p>
        </w:tc>
        <w:tc>
          <w:tcPr>
            <w:tcW w:w="3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6A3A">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1.名称:铜芯电缆</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2.规格:WDZB-YJY-4*70+1*35</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3.其他:满足图纸设计及施工规范要求</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82929">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B6520">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200</w:t>
            </w:r>
          </w:p>
        </w:tc>
      </w:tr>
      <w:tr w14:paraId="30D65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1" w:hRule="atLeast"/>
        </w:trPr>
        <w:tc>
          <w:tcPr>
            <w:tcW w:w="97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F89A75">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 xml:space="preserve">5 </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4D36">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电力电缆头</w:t>
            </w:r>
          </w:p>
        </w:tc>
        <w:tc>
          <w:tcPr>
            <w:tcW w:w="39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EBD91">
            <w:pPr>
              <w:keepNext w:val="0"/>
              <w:keepLines w:val="0"/>
              <w:widowControl/>
              <w:suppressLineNumbers w:val="0"/>
              <w:jc w:val="left"/>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1.名称:电力电缆头</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2.规格:70mm2以下</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3.其他:满足图纸设计及施工规范要求</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4BE91">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9C86">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2</w:t>
            </w:r>
          </w:p>
        </w:tc>
      </w:tr>
    </w:tbl>
    <w:p w14:paraId="2422B2C5">
      <w:pPr>
        <w:rPr>
          <w:rFonts w:hint="eastAsia"/>
          <w:color w:val="auto"/>
          <w:sz w:val="28"/>
          <w:szCs w:val="28"/>
          <w:highlight w:val="none"/>
        </w:rPr>
      </w:pPr>
      <w:r>
        <w:rPr>
          <w:rFonts w:hint="eastAsia"/>
          <w:color w:val="auto"/>
          <w:sz w:val="28"/>
          <w:szCs w:val="28"/>
          <w:highlight w:val="none"/>
        </w:rPr>
        <w:br w:type="page"/>
      </w:r>
    </w:p>
    <w:p w14:paraId="54BAF817">
      <w:pPr>
        <w:pStyle w:val="2"/>
        <w:jc w:val="center"/>
        <w:rPr>
          <w:color w:val="auto"/>
          <w:sz w:val="28"/>
          <w:szCs w:val="28"/>
          <w:highlight w:val="none"/>
        </w:rPr>
      </w:pPr>
      <w:bookmarkStart w:id="142" w:name="_Toc25749"/>
      <w:r>
        <w:rPr>
          <w:rFonts w:hint="eastAsia"/>
          <w:color w:val="auto"/>
          <w:sz w:val="28"/>
          <w:szCs w:val="28"/>
          <w:highlight w:val="none"/>
        </w:rPr>
        <w:t>第五章 合同条款格式</w:t>
      </w:r>
      <w:bookmarkEnd w:id="142"/>
    </w:p>
    <w:p w14:paraId="7617C5EC">
      <w:pPr>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br w:type="page"/>
      </w:r>
    </w:p>
    <w:p w14:paraId="10BA4CFD">
      <w:pPr>
        <w:widowControl/>
        <w:tabs>
          <w:tab w:val="left" w:pos="851"/>
          <w:tab w:val="left" w:pos="993"/>
          <w:tab w:val="left" w:pos="1276"/>
        </w:tabs>
        <w:wordWrap w:val="0"/>
        <w:spacing w:line="360" w:lineRule="auto"/>
        <w:ind w:right="418" w:rightChars="199"/>
        <w:jc w:val="left"/>
        <w:outlineLvl w:val="0"/>
        <w:rPr>
          <w:rFonts w:hAnsi="宋体"/>
          <w:b/>
          <w:bCs/>
          <w:color w:val="auto"/>
          <w:sz w:val="52"/>
          <w:szCs w:val="52"/>
          <w:highlight w:val="none"/>
        </w:rPr>
      </w:pPr>
      <w:bookmarkStart w:id="143" w:name="_Toc32498"/>
      <w:bookmarkStart w:id="144" w:name="_Toc30434"/>
      <w:bookmarkStart w:id="145" w:name="_Toc303084284"/>
      <w:r>
        <w:rPr>
          <w:rFonts w:hint="eastAsia" w:hAnsi="宋体"/>
          <w:b/>
          <w:bCs/>
          <w:color w:val="auto"/>
          <w:sz w:val="28"/>
          <w:szCs w:val="28"/>
          <w:highlight w:val="none"/>
        </w:rPr>
        <w:t>合同编号：</w:t>
      </w:r>
      <w:bookmarkEnd w:id="143"/>
      <w:bookmarkEnd w:id="144"/>
    </w:p>
    <w:p w14:paraId="6121C497">
      <w:pPr>
        <w:widowControl/>
        <w:tabs>
          <w:tab w:val="left" w:pos="851"/>
          <w:tab w:val="left" w:pos="993"/>
          <w:tab w:val="left" w:pos="1276"/>
          <w:tab w:val="center" w:pos="4274"/>
          <w:tab w:val="left" w:pos="7210"/>
        </w:tabs>
        <w:wordWrap w:val="0"/>
        <w:spacing w:line="360" w:lineRule="auto"/>
        <w:ind w:right="418" w:rightChars="199"/>
        <w:jc w:val="center"/>
        <w:rPr>
          <w:rFonts w:hAnsi="宋体"/>
          <w:b/>
          <w:bCs/>
          <w:color w:val="auto"/>
          <w:sz w:val="52"/>
          <w:szCs w:val="52"/>
          <w:highlight w:val="none"/>
        </w:rPr>
      </w:pPr>
    </w:p>
    <w:p w14:paraId="122659BA">
      <w:pPr>
        <w:pStyle w:val="14"/>
        <w:rPr>
          <w:rFonts w:ascii="Times New Roman" w:hAnsi="Times New Roman"/>
          <w:color w:val="auto"/>
          <w:sz w:val="15"/>
          <w:szCs w:val="13"/>
          <w:highlight w:val="none"/>
        </w:rPr>
      </w:pPr>
    </w:p>
    <w:p w14:paraId="7AEADBEA">
      <w:pPr>
        <w:rPr>
          <w:color w:val="auto"/>
          <w:sz w:val="15"/>
          <w:szCs w:val="18"/>
          <w:highlight w:val="none"/>
        </w:rPr>
      </w:pPr>
    </w:p>
    <w:p w14:paraId="4C82DDB9">
      <w:pPr>
        <w:widowControl/>
        <w:tabs>
          <w:tab w:val="left" w:pos="851"/>
          <w:tab w:val="left" w:pos="993"/>
          <w:tab w:val="left" w:pos="1276"/>
          <w:tab w:val="center" w:pos="4274"/>
          <w:tab w:val="left" w:pos="7210"/>
        </w:tabs>
        <w:wordWrap w:val="0"/>
        <w:spacing w:line="360" w:lineRule="auto"/>
        <w:ind w:right="418" w:rightChars="199"/>
        <w:jc w:val="center"/>
        <w:rPr>
          <w:rFonts w:hAnsi="宋体"/>
          <w:b/>
          <w:bCs/>
          <w:color w:val="auto"/>
          <w:sz w:val="44"/>
          <w:szCs w:val="44"/>
          <w:highlight w:val="none"/>
        </w:rPr>
      </w:pPr>
    </w:p>
    <w:p w14:paraId="350BF794">
      <w:pPr>
        <w:pStyle w:val="17"/>
        <w:wordWrap w:val="0"/>
        <w:ind w:left="0" w:right="1680"/>
        <w:jc w:val="center"/>
        <w:rPr>
          <w:rFonts w:hint="eastAsia" w:hAnsi="宋体" w:eastAsia="宋体"/>
          <w:color w:val="auto"/>
          <w:sz w:val="40"/>
          <w:szCs w:val="20"/>
          <w:highlight w:val="none"/>
          <w:lang w:eastAsia="zh-CN"/>
        </w:rPr>
      </w:pPr>
      <w:r>
        <w:rPr>
          <w:rFonts w:hint="eastAsia" w:hAnsi="宋体"/>
          <w:color w:val="auto"/>
          <w:sz w:val="40"/>
          <w:szCs w:val="20"/>
          <w:highlight w:val="none"/>
          <w:lang w:eastAsia="zh-CN"/>
        </w:rPr>
        <w:t>大湾区大学学术交流中心室内改造项目—4层至19层楼顶排烟管道系统工程</w:t>
      </w:r>
    </w:p>
    <w:p w14:paraId="2285178C">
      <w:pPr>
        <w:pStyle w:val="17"/>
        <w:wordWrap w:val="0"/>
        <w:ind w:left="0" w:right="1680"/>
        <w:jc w:val="center"/>
        <w:rPr>
          <w:rFonts w:hAnsi="宋体"/>
          <w:color w:val="auto"/>
          <w:sz w:val="40"/>
          <w:szCs w:val="20"/>
          <w:highlight w:val="none"/>
        </w:rPr>
      </w:pPr>
      <w:r>
        <w:rPr>
          <w:rFonts w:hint="eastAsia" w:hAnsi="宋体"/>
          <w:color w:val="auto"/>
          <w:sz w:val="40"/>
          <w:szCs w:val="20"/>
          <w:highlight w:val="none"/>
          <w:lang w:val="en-US" w:eastAsia="zh-CN"/>
        </w:rPr>
        <w:t>施工</w:t>
      </w:r>
      <w:r>
        <w:rPr>
          <w:rFonts w:hint="eastAsia" w:hAnsi="宋体"/>
          <w:color w:val="auto"/>
          <w:sz w:val="40"/>
          <w:szCs w:val="20"/>
          <w:highlight w:val="none"/>
        </w:rPr>
        <w:t>合同</w:t>
      </w:r>
    </w:p>
    <w:p w14:paraId="3DF5235D">
      <w:pPr>
        <w:rPr>
          <w:color w:val="auto"/>
          <w:highlight w:val="none"/>
        </w:rPr>
      </w:pPr>
    </w:p>
    <w:p w14:paraId="33B74CC7">
      <w:pPr>
        <w:pStyle w:val="14"/>
        <w:rPr>
          <w:rFonts w:ascii="Times New Roman" w:hAnsi="Times New Roman"/>
          <w:color w:val="auto"/>
          <w:highlight w:val="none"/>
        </w:rPr>
      </w:pPr>
    </w:p>
    <w:p w14:paraId="536EA7D0">
      <w:pPr>
        <w:rPr>
          <w:color w:val="auto"/>
          <w:highlight w:val="none"/>
        </w:rPr>
      </w:pPr>
    </w:p>
    <w:p w14:paraId="2B74360E">
      <w:pPr>
        <w:pStyle w:val="17"/>
        <w:wordWrap w:val="0"/>
        <w:spacing w:before="10"/>
        <w:ind w:left="1680" w:right="1680"/>
        <w:rPr>
          <w:rFonts w:hAnsi="宋体"/>
          <w:color w:val="auto"/>
          <w:sz w:val="60"/>
          <w:highlight w:val="none"/>
        </w:rPr>
      </w:pPr>
    </w:p>
    <w:p w14:paraId="7B5A318B">
      <w:pPr>
        <w:tabs>
          <w:tab w:val="left" w:pos="7518"/>
        </w:tabs>
        <w:spacing w:before="1" w:line="600" w:lineRule="auto"/>
        <w:ind w:left="559"/>
        <w:jc w:val="left"/>
        <w:rPr>
          <w:rFonts w:hAnsi="宋体"/>
          <w:color w:val="auto"/>
          <w:sz w:val="28"/>
          <w:szCs w:val="28"/>
          <w:highlight w:val="none"/>
          <w:u w:val="single"/>
        </w:rPr>
      </w:pPr>
      <w:r>
        <w:rPr>
          <w:rFonts w:hint="eastAsia" w:hAnsi="宋体"/>
          <w:color w:val="auto"/>
          <w:sz w:val="28"/>
          <w:szCs w:val="28"/>
          <w:highlight w:val="none"/>
        </w:rPr>
        <w:t>项目名称：</w:t>
      </w:r>
      <w:r>
        <w:rPr>
          <w:rFonts w:hint="eastAsia" w:hAnsi="宋体"/>
          <w:color w:val="auto"/>
          <w:sz w:val="28"/>
          <w:szCs w:val="28"/>
          <w:highlight w:val="none"/>
          <w:u w:val="single"/>
          <w:lang w:eastAsia="zh-CN"/>
        </w:rPr>
        <w:t>大湾区大学学术交流中心室内改造项目—4层至19层楼顶排烟管道系统工程</w:t>
      </w:r>
    </w:p>
    <w:p w14:paraId="42274F6B">
      <w:pPr>
        <w:tabs>
          <w:tab w:val="left" w:pos="7518"/>
        </w:tabs>
        <w:wordWrap w:val="0"/>
        <w:spacing w:before="26" w:line="600" w:lineRule="auto"/>
        <w:ind w:left="559"/>
        <w:jc w:val="left"/>
        <w:rPr>
          <w:rFonts w:hAnsi="宋体"/>
          <w:color w:val="auto"/>
          <w:sz w:val="28"/>
          <w:szCs w:val="28"/>
          <w:highlight w:val="none"/>
        </w:rPr>
      </w:pPr>
      <w:r>
        <w:rPr>
          <w:rFonts w:hint="eastAsia" w:hAnsi="宋体"/>
          <w:color w:val="auto"/>
          <w:sz w:val="28"/>
          <w:szCs w:val="28"/>
          <w:highlight w:val="none"/>
        </w:rPr>
        <w:t xml:space="preserve">项目地点: </w:t>
      </w:r>
      <w:r>
        <w:rPr>
          <w:rFonts w:hint="eastAsia" w:hAnsi="宋体"/>
          <w:color w:val="auto"/>
          <w:sz w:val="28"/>
          <w:szCs w:val="28"/>
          <w:highlight w:val="none"/>
          <w:u w:val="single"/>
        </w:rPr>
        <w:t xml:space="preserve">        </w:t>
      </w:r>
      <w:r>
        <w:rPr>
          <w:rFonts w:hint="eastAsia" w:ascii="宋体" w:hAnsi="宋体" w:cs="宋体"/>
          <w:bCs/>
          <w:color w:val="auto"/>
          <w:sz w:val="28"/>
          <w:szCs w:val="28"/>
          <w:highlight w:val="none"/>
          <w:u w:val="single"/>
        </w:rPr>
        <w:t xml:space="preserve">     </w:t>
      </w:r>
    </w:p>
    <w:p w14:paraId="11BE1090">
      <w:pPr>
        <w:tabs>
          <w:tab w:val="left" w:pos="1279"/>
          <w:tab w:val="left" w:pos="7518"/>
        </w:tabs>
        <w:wordWrap w:val="0"/>
        <w:spacing w:before="26" w:line="600" w:lineRule="auto"/>
        <w:ind w:left="559"/>
        <w:jc w:val="left"/>
        <w:rPr>
          <w:rFonts w:hAnsi="宋体"/>
          <w:color w:val="auto"/>
          <w:sz w:val="28"/>
          <w:szCs w:val="28"/>
          <w:highlight w:val="none"/>
        </w:rPr>
      </w:pPr>
      <w:r>
        <w:rPr>
          <w:rFonts w:hint="eastAsia" w:hAnsi="宋体"/>
          <w:color w:val="auto"/>
          <w:sz w:val="28"/>
          <w:szCs w:val="28"/>
          <w:highlight w:val="none"/>
        </w:rPr>
        <w:t>发包人：</w:t>
      </w:r>
      <w:r>
        <w:rPr>
          <w:rFonts w:hint="eastAsia" w:ascii="宋体" w:hAnsi="宋体"/>
          <w:color w:val="auto"/>
          <w:sz w:val="28"/>
          <w:szCs w:val="28"/>
          <w:highlight w:val="none"/>
          <w:u w:val="single"/>
        </w:rPr>
        <w:t xml:space="preserve">     </w:t>
      </w:r>
    </w:p>
    <w:p w14:paraId="54D340B7">
      <w:pPr>
        <w:tabs>
          <w:tab w:val="left" w:pos="1279"/>
          <w:tab w:val="left" w:pos="7518"/>
        </w:tabs>
        <w:wordWrap w:val="0"/>
        <w:spacing w:before="26" w:line="600" w:lineRule="auto"/>
        <w:ind w:left="559"/>
        <w:jc w:val="left"/>
        <w:rPr>
          <w:rFonts w:hAnsi="宋体"/>
          <w:color w:val="auto"/>
          <w:sz w:val="28"/>
          <w:szCs w:val="28"/>
          <w:highlight w:val="none"/>
          <w:u w:val="single"/>
        </w:rPr>
      </w:pPr>
      <w:r>
        <w:rPr>
          <w:rFonts w:hint="eastAsia" w:hAnsi="宋体"/>
          <w:color w:val="auto"/>
          <w:sz w:val="28"/>
          <w:szCs w:val="28"/>
          <w:highlight w:val="none"/>
        </w:rPr>
        <w:t>承包人：</w:t>
      </w:r>
      <w:r>
        <w:rPr>
          <w:rFonts w:hint="eastAsia" w:hAnsi="宋体"/>
          <w:color w:val="auto"/>
          <w:sz w:val="28"/>
          <w:szCs w:val="28"/>
          <w:highlight w:val="none"/>
          <w:u w:val="single"/>
        </w:rPr>
        <w:t xml:space="preserve">         </w:t>
      </w:r>
    </w:p>
    <w:p w14:paraId="4B19FDBE">
      <w:pPr>
        <w:tabs>
          <w:tab w:val="left" w:pos="632"/>
          <w:tab w:val="left" w:pos="9240"/>
        </w:tabs>
        <w:wordWrap w:val="0"/>
        <w:spacing w:line="600" w:lineRule="auto"/>
        <w:ind w:left="565" w:leftChars="269"/>
        <w:jc w:val="left"/>
        <w:rPr>
          <w:rFonts w:hAnsi="宋体"/>
          <w:color w:val="auto"/>
          <w:sz w:val="28"/>
          <w:szCs w:val="28"/>
          <w:highlight w:val="none"/>
        </w:rPr>
      </w:pPr>
      <w:r>
        <w:rPr>
          <w:rFonts w:hint="eastAsia" w:hAnsi="宋体"/>
          <w:color w:val="auto"/>
          <w:sz w:val="28"/>
          <w:szCs w:val="28"/>
          <w:highlight w:val="none"/>
        </w:rPr>
        <w:t>签约地点：</w:t>
      </w:r>
      <w:r>
        <w:rPr>
          <w:rFonts w:hint="eastAsia" w:hAnsi="宋体"/>
          <w:color w:val="auto"/>
          <w:sz w:val="28"/>
          <w:szCs w:val="28"/>
          <w:highlight w:val="none"/>
          <w:u w:val="single"/>
        </w:rPr>
        <w:t xml:space="preserve">            广东省东莞市           </w:t>
      </w:r>
    </w:p>
    <w:p w14:paraId="3A3479F4">
      <w:pPr>
        <w:tabs>
          <w:tab w:val="left" w:pos="632"/>
          <w:tab w:val="left" w:pos="9240"/>
        </w:tabs>
        <w:wordWrap w:val="0"/>
        <w:spacing w:line="600" w:lineRule="auto"/>
        <w:ind w:left="565" w:leftChars="269"/>
        <w:jc w:val="left"/>
        <w:rPr>
          <w:rFonts w:hAnsi="宋体"/>
          <w:color w:val="auto"/>
          <w:sz w:val="28"/>
          <w:szCs w:val="28"/>
          <w:highlight w:val="none"/>
        </w:rPr>
      </w:pPr>
      <w:r>
        <w:rPr>
          <w:rFonts w:hint="eastAsia" w:hAnsi="宋体"/>
          <w:color w:val="auto"/>
          <w:sz w:val="28"/>
          <w:szCs w:val="28"/>
          <w:highlight w:val="none"/>
        </w:rPr>
        <w:t>签订日期：     年</w:t>
      </w:r>
      <w:r>
        <w:rPr>
          <w:rFonts w:hAnsi="宋体"/>
          <w:color w:val="auto"/>
          <w:sz w:val="28"/>
          <w:szCs w:val="28"/>
          <w:highlight w:val="none"/>
        </w:rPr>
        <w:t xml:space="preserve"> </w:t>
      </w:r>
      <w:r>
        <w:rPr>
          <w:rFonts w:hint="eastAsia" w:hAnsi="宋体"/>
          <w:color w:val="auto"/>
          <w:sz w:val="28"/>
          <w:szCs w:val="28"/>
          <w:highlight w:val="none"/>
        </w:rPr>
        <w:t xml:space="preserve"> </w:t>
      </w:r>
      <w:r>
        <w:rPr>
          <w:rFonts w:hAnsi="宋体"/>
          <w:color w:val="auto"/>
          <w:sz w:val="28"/>
          <w:szCs w:val="28"/>
          <w:highlight w:val="none"/>
        </w:rPr>
        <w:t xml:space="preserve"> </w:t>
      </w:r>
      <w:r>
        <w:rPr>
          <w:rFonts w:hint="eastAsia" w:hAnsi="宋体"/>
          <w:color w:val="auto"/>
          <w:sz w:val="28"/>
          <w:szCs w:val="28"/>
          <w:highlight w:val="none"/>
        </w:rPr>
        <w:t>月</w:t>
      </w:r>
      <w:r>
        <w:rPr>
          <w:rFonts w:hAnsi="宋体"/>
          <w:color w:val="auto"/>
          <w:sz w:val="28"/>
          <w:szCs w:val="28"/>
          <w:highlight w:val="none"/>
        </w:rPr>
        <w:t xml:space="preserve"> </w:t>
      </w:r>
      <w:r>
        <w:rPr>
          <w:rFonts w:hint="eastAsia" w:hAnsi="宋体"/>
          <w:color w:val="auto"/>
          <w:sz w:val="28"/>
          <w:szCs w:val="28"/>
          <w:highlight w:val="none"/>
        </w:rPr>
        <w:t xml:space="preserve"> </w:t>
      </w:r>
      <w:r>
        <w:rPr>
          <w:rFonts w:hAnsi="宋体"/>
          <w:color w:val="auto"/>
          <w:sz w:val="28"/>
          <w:szCs w:val="28"/>
          <w:highlight w:val="none"/>
        </w:rPr>
        <w:t xml:space="preserve"> </w:t>
      </w:r>
      <w:r>
        <w:rPr>
          <w:rFonts w:hint="eastAsia" w:hAnsi="宋体"/>
          <w:color w:val="auto"/>
          <w:sz w:val="28"/>
          <w:szCs w:val="28"/>
          <w:highlight w:val="none"/>
        </w:rPr>
        <w:t>日</w:t>
      </w:r>
    </w:p>
    <w:p w14:paraId="563740CA">
      <w:pPr>
        <w:widowControl/>
        <w:spacing w:line="480" w:lineRule="exact"/>
        <w:jc w:val="center"/>
        <w:outlineLvl w:val="0"/>
        <w:rPr>
          <w:rFonts w:hint="eastAsia" w:eastAsia="宋体"/>
          <w:b/>
          <w:bCs/>
          <w:color w:val="auto"/>
          <w:sz w:val="28"/>
          <w:szCs w:val="28"/>
          <w:highlight w:val="none"/>
          <w:u w:val="single"/>
          <w:lang w:eastAsia="zh-CN"/>
        </w:rPr>
      </w:pPr>
      <w:r>
        <w:rPr>
          <w:rFonts w:hint="eastAsia" w:hAnsi="宋体"/>
          <w:b/>
          <w:bCs/>
          <w:color w:val="auto"/>
          <w:szCs w:val="21"/>
          <w:highlight w:val="none"/>
        </w:rPr>
        <w:br w:type="page"/>
      </w:r>
      <w:r>
        <w:rPr>
          <w:rFonts w:hint="eastAsia" w:cs="Times New Roman"/>
          <w:b/>
          <w:bCs/>
          <w:color w:val="auto"/>
          <w:sz w:val="28"/>
          <w:szCs w:val="28"/>
          <w:highlight w:val="none"/>
          <w:u w:val="single"/>
          <w:lang w:eastAsia="zh-CN"/>
        </w:rPr>
        <w:t>大湾区大学学术交流中心室内改造项目—4层至19层楼顶排烟管道系统工程</w:t>
      </w:r>
    </w:p>
    <w:p w14:paraId="00F47948">
      <w:pPr>
        <w:widowControl/>
        <w:spacing w:line="480" w:lineRule="exact"/>
        <w:jc w:val="center"/>
        <w:outlineLvl w:val="0"/>
        <w:rPr>
          <w:b/>
          <w:bCs/>
          <w:color w:val="auto"/>
          <w:sz w:val="28"/>
          <w:szCs w:val="28"/>
          <w:highlight w:val="none"/>
        </w:rPr>
      </w:pPr>
      <w:bookmarkStart w:id="146" w:name="_Toc380"/>
      <w:bookmarkStart w:id="147" w:name="_Toc20135"/>
      <w:r>
        <w:rPr>
          <w:rFonts w:hint="eastAsia"/>
          <w:b/>
          <w:bCs/>
          <w:color w:val="auto"/>
          <w:sz w:val="28"/>
          <w:szCs w:val="28"/>
          <w:highlight w:val="none"/>
          <w:u w:val="single"/>
          <w:lang w:val="en-US" w:eastAsia="zh-CN"/>
        </w:rPr>
        <w:t>施工</w:t>
      </w:r>
      <w:r>
        <w:rPr>
          <w:rFonts w:hint="eastAsia"/>
          <w:b/>
          <w:bCs/>
          <w:color w:val="auto"/>
          <w:sz w:val="28"/>
          <w:szCs w:val="28"/>
          <w:highlight w:val="none"/>
        </w:rPr>
        <w:t>合同</w:t>
      </w:r>
      <w:bookmarkEnd w:id="146"/>
      <w:bookmarkEnd w:id="147"/>
    </w:p>
    <w:p w14:paraId="51C695B0">
      <w:pPr>
        <w:pStyle w:val="14"/>
        <w:spacing w:line="480" w:lineRule="exact"/>
        <w:rPr>
          <w:rFonts w:ascii="Times New Roman" w:hAnsi="Times New Roman"/>
          <w:color w:val="auto"/>
          <w:highlight w:val="none"/>
        </w:rPr>
      </w:pPr>
    </w:p>
    <w:p w14:paraId="2C2F5A1A">
      <w:pPr>
        <w:snapToGrid w:val="0"/>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发包人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eastAsia="zh-CN"/>
        </w:rPr>
        <w:t>东莞迎宾馆酒店有限公司松山湖分公司</w:t>
      </w:r>
      <w:r>
        <w:rPr>
          <w:rFonts w:hint="eastAsia" w:ascii="宋体" w:hAnsi="宋体" w:eastAsia="宋体" w:cs="宋体"/>
          <w:color w:val="auto"/>
          <w:sz w:val="21"/>
          <w:szCs w:val="21"/>
          <w:highlight w:val="none"/>
          <w:u w:val="single"/>
        </w:rPr>
        <w:t xml:space="preserve">  </w:t>
      </w:r>
    </w:p>
    <w:p w14:paraId="32FE9162">
      <w:pPr>
        <w:spacing w:line="360" w:lineRule="auto"/>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w:t>
      </w:r>
      <w:r>
        <w:rPr>
          <w:rFonts w:hint="eastAsia" w:ascii="宋体" w:hAnsi="宋体" w:eastAsia="宋体" w:cs="宋体"/>
          <w:color w:val="auto"/>
          <w:sz w:val="21"/>
          <w:szCs w:val="21"/>
          <w:highlight w:val="none"/>
          <w:u w:val="single"/>
        </w:rPr>
        <w:t xml:space="preserve">                         </w:t>
      </w:r>
    </w:p>
    <w:p w14:paraId="108BFBD6">
      <w:pPr>
        <w:spacing w:line="360" w:lineRule="auto"/>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联系地址：</w:t>
      </w:r>
    </w:p>
    <w:p w14:paraId="7F7ADE46">
      <w:pPr>
        <w:snapToGrid w:val="0"/>
        <w:spacing w:line="360" w:lineRule="auto"/>
        <w:ind w:left="210" w:leftChars="100"/>
        <w:rPr>
          <w:rFonts w:hint="eastAsia" w:ascii="宋体" w:hAnsi="宋体" w:eastAsia="宋体" w:cs="宋体"/>
          <w:color w:val="auto"/>
          <w:sz w:val="21"/>
          <w:szCs w:val="21"/>
          <w:highlight w:val="none"/>
          <w:u w:val="single"/>
        </w:rPr>
      </w:pPr>
    </w:p>
    <w:p w14:paraId="5A8BD1C8">
      <w:pPr>
        <w:snapToGrid w:val="0"/>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承包人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p>
    <w:p w14:paraId="13245F0F">
      <w:pPr>
        <w:spacing w:line="360" w:lineRule="auto"/>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w:t>
      </w:r>
      <w:r>
        <w:rPr>
          <w:rFonts w:hint="eastAsia" w:ascii="宋体" w:hAnsi="宋体" w:eastAsia="宋体" w:cs="宋体"/>
          <w:color w:val="auto"/>
          <w:sz w:val="21"/>
          <w:szCs w:val="21"/>
          <w:highlight w:val="none"/>
          <w:u w:val="single"/>
        </w:rPr>
        <w:t xml:space="preserve">                        </w:t>
      </w:r>
    </w:p>
    <w:p w14:paraId="33807FC6">
      <w:pPr>
        <w:spacing w:line="360" w:lineRule="auto"/>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联系地址：</w:t>
      </w:r>
      <w:r>
        <w:rPr>
          <w:rFonts w:hint="eastAsia" w:ascii="宋体" w:hAnsi="宋体" w:eastAsia="宋体" w:cs="宋体"/>
          <w:color w:val="auto"/>
          <w:sz w:val="21"/>
          <w:szCs w:val="21"/>
          <w:highlight w:val="none"/>
          <w:u w:val="single"/>
        </w:rPr>
        <w:t xml:space="preserve">   </w:t>
      </w:r>
    </w:p>
    <w:p w14:paraId="2EB72AE6">
      <w:pPr>
        <w:tabs>
          <w:tab w:val="left" w:pos="0"/>
        </w:tabs>
        <w:spacing w:line="360" w:lineRule="auto"/>
        <w:ind w:firstLine="420" w:firstLineChars="200"/>
        <w:rPr>
          <w:rFonts w:hint="eastAsia" w:ascii="宋体" w:hAnsi="宋体" w:eastAsia="宋体" w:cs="宋体"/>
          <w:bCs/>
          <w:color w:val="auto"/>
          <w:sz w:val="21"/>
          <w:szCs w:val="21"/>
          <w:highlight w:val="none"/>
        </w:rPr>
      </w:pPr>
      <w:bookmarkStart w:id="148" w:name="_Toc10795"/>
    </w:p>
    <w:p w14:paraId="116A5D6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发包人将 </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eastAsia="zh-CN"/>
        </w:rPr>
        <w:t>大湾区大学学术交流中心室内改造项目—4层至19层楼顶排烟管道系统工程</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委托承包人进行施工。为明确双方权利义务关系，根据《中华人民共和国民法典》《中华人民共和国建筑法》及其他相关法律规定，结合本工程的具体情况，经双方友好协商达成一致，签订本合同。</w:t>
      </w:r>
    </w:p>
    <w:p w14:paraId="426827C7">
      <w:pPr>
        <w:spacing w:line="360" w:lineRule="auto"/>
        <w:ind w:firstLine="422" w:firstLineChars="200"/>
        <w:rPr>
          <w:rFonts w:hint="eastAsia" w:ascii="宋体" w:hAnsi="宋体" w:eastAsia="宋体" w:cs="宋体"/>
          <w:b/>
          <w:color w:val="auto"/>
          <w:sz w:val="21"/>
          <w:szCs w:val="21"/>
          <w:highlight w:val="none"/>
        </w:rPr>
      </w:pPr>
    </w:p>
    <w:p w14:paraId="0A67B988">
      <w:pPr>
        <w:spacing w:line="360" w:lineRule="auto"/>
        <w:outlineLvl w:val="0"/>
        <w:rPr>
          <w:rFonts w:hint="eastAsia" w:ascii="宋体" w:hAnsi="宋体" w:eastAsia="宋体" w:cs="宋体"/>
          <w:b/>
          <w:color w:val="auto"/>
          <w:sz w:val="21"/>
          <w:szCs w:val="21"/>
          <w:highlight w:val="none"/>
        </w:rPr>
      </w:pPr>
      <w:bookmarkStart w:id="149" w:name="_Toc20787"/>
      <w:bookmarkStart w:id="150" w:name="_Toc3774"/>
      <w:r>
        <w:rPr>
          <w:rFonts w:hint="eastAsia" w:ascii="宋体" w:hAnsi="宋体" w:eastAsia="宋体" w:cs="宋体"/>
          <w:b/>
          <w:color w:val="auto"/>
          <w:sz w:val="21"/>
          <w:szCs w:val="21"/>
          <w:highlight w:val="none"/>
        </w:rPr>
        <w:t>一、 工程概况及承包范围</w:t>
      </w:r>
      <w:bookmarkEnd w:id="149"/>
      <w:bookmarkEnd w:id="150"/>
    </w:p>
    <w:p w14:paraId="495F8AB2">
      <w:pPr>
        <w:spacing w:line="360" w:lineRule="auto"/>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1.1工程名称：</w:t>
      </w:r>
      <w:r>
        <w:rPr>
          <w:rFonts w:hint="eastAsia" w:ascii="宋体" w:hAnsi="宋体" w:cs="宋体"/>
          <w:b/>
          <w:bCs/>
          <w:color w:val="auto"/>
          <w:sz w:val="21"/>
          <w:szCs w:val="21"/>
          <w:highlight w:val="none"/>
          <w:lang w:eastAsia="zh-CN"/>
        </w:rPr>
        <w:t>大湾区大学学术交流中心室内改造项目—4层至19层楼顶排烟管道系统工程</w:t>
      </w:r>
      <w:r>
        <w:rPr>
          <w:rFonts w:hint="eastAsia" w:ascii="宋体" w:hAnsi="宋体" w:eastAsia="宋体" w:cs="宋体"/>
          <w:b/>
          <w:bCs/>
          <w:color w:val="auto"/>
          <w:sz w:val="21"/>
          <w:szCs w:val="21"/>
          <w:highlight w:val="none"/>
        </w:rPr>
        <w:t xml:space="preserve">                          </w:t>
      </w:r>
    </w:p>
    <w:p w14:paraId="5D5AD04C">
      <w:pPr>
        <w:spacing w:line="360" w:lineRule="auto"/>
        <w:ind w:firstLine="422" w:firstLineChars="200"/>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1.2工程地点： 大湾区大学学术交流中心</w:t>
      </w:r>
    </w:p>
    <w:p w14:paraId="54C7C053">
      <w:pPr>
        <w:spacing w:line="360" w:lineRule="auto"/>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1.3 工程范围和</w:t>
      </w:r>
      <w:r>
        <w:rPr>
          <w:rFonts w:hint="eastAsia" w:ascii="宋体" w:hAnsi="宋体" w:eastAsia="宋体" w:cs="宋体"/>
          <w:b/>
          <w:bCs/>
          <w:color w:val="auto"/>
          <w:sz w:val="21"/>
          <w:szCs w:val="21"/>
          <w:highlight w:val="none"/>
          <w:lang w:val="en-US"/>
        </w:rPr>
        <w:t>内容</w:t>
      </w:r>
      <w:r>
        <w:rPr>
          <w:rFonts w:hint="eastAsia" w:ascii="宋体" w:hAnsi="宋体" w:eastAsia="宋体" w:cs="宋体"/>
          <w:b/>
          <w:bCs/>
          <w:color w:val="auto"/>
          <w:sz w:val="21"/>
          <w:szCs w:val="21"/>
          <w:highlight w:val="none"/>
        </w:rPr>
        <w:t>：</w:t>
      </w:r>
    </w:p>
    <w:p w14:paraId="5E81B359">
      <w:pPr>
        <w:spacing w:line="360" w:lineRule="auto"/>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.1 工程的承包</w:t>
      </w:r>
      <w:bookmarkEnd w:id="148"/>
      <w:r>
        <w:rPr>
          <w:rFonts w:hint="eastAsia" w:ascii="宋体" w:hAnsi="宋体" w:eastAsia="宋体" w:cs="宋体"/>
          <w:b/>
          <w:bCs/>
          <w:color w:val="auto"/>
          <w:sz w:val="21"/>
          <w:szCs w:val="21"/>
          <w:highlight w:val="none"/>
        </w:rPr>
        <w:t>范围：详见谈判文件《用户需求书》</w:t>
      </w:r>
    </w:p>
    <w:p w14:paraId="797D7D6E">
      <w:pPr>
        <w:spacing w:line="360" w:lineRule="auto"/>
        <w:ind w:firstLine="422" w:firstLineChars="200"/>
        <w:jc w:val="left"/>
        <w:rPr>
          <w:rFonts w:hint="eastAsia" w:ascii="宋体" w:hAnsi="宋体" w:eastAsia="宋体" w:cs="宋体"/>
          <w:b/>
          <w:bCs/>
          <w:color w:val="auto"/>
          <w:sz w:val="21"/>
          <w:szCs w:val="21"/>
          <w:highlight w:val="none"/>
        </w:rPr>
      </w:pPr>
      <w:bookmarkStart w:id="151" w:name="_Toc171365298"/>
      <w:bookmarkStart w:id="152" w:name="_Toc15572"/>
      <w:r>
        <w:rPr>
          <w:rFonts w:hint="eastAsia"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 xml:space="preserve">2 </w:t>
      </w:r>
      <w:bookmarkEnd w:id="151"/>
      <w:r>
        <w:rPr>
          <w:rFonts w:hint="eastAsia" w:ascii="宋体" w:hAnsi="宋体" w:eastAsia="宋体" w:cs="宋体"/>
          <w:b/>
          <w:bCs/>
          <w:color w:val="auto"/>
          <w:sz w:val="21"/>
          <w:szCs w:val="21"/>
          <w:highlight w:val="none"/>
        </w:rPr>
        <w:t>质量要求：</w:t>
      </w:r>
      <w:r>
        <w:rPr>
          <w:rFonts w:hint="eastAsia" w:ascii="宋体" w:hAnsi="宋体" w:eastAsia="宋体" w:cs="宋体"/>
          <w:b/>
          <w:bCs/>
          <w:color w:val="auto"/>
          <w:sz w:val="21"/>
          <w:szCs w:val="21"/>
          <w:highlight w:val="none"/>
          <w:lang w:val="en-US" w:eastAsia="zh-CN"/>
        </w:rPr>
        <w:t>达到国家或行业质量检验评定的合格标准。</w:t>
      </w:r>
    </w:p>
    <w:p w14:paraId="0FFDC298">
      <w:pPr>
        <w:spacing w:line="360" w:lineRule="auto"/>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 保密协议</w:t>
      </w:r>
    </w:p>
    <w:p w14:paraId="4BDA052E">
      <w:pPr>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在本项目合同履行期间，承包人从发包人处所获得的文件、资料及在项目实施过程中所取得的与履行合同有关的工作成果属发包人所有，承包人负有保密义务。未经发包人书面同意，承包人不得在合同期内或合同履行完毕后以任何方式泄露。</w:t>
      </w:r>
    </w:p>
    <w:p w14:paraId="17E58202">
      <w:pPr>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未经发包人书面同意，承包人不得把与项目有关的资料给出版社和新闻机构发表或学术引用，或者使用本合同任何部分进行促销和做广告宣传。</w:t>
      </w:r>
    </w:p>
    <w:p w14:paraId="571EF41F">
      <w:pPr>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对于承包人使用的新技术和新方法，发包人负有保密义务，未经承包人书面同意，不得以任何方式泄露，但依法或依据有权机构的指令进行公开的除外。</w:t>
      </w:r>
    </w:p>
    <w:p w14:paraId="20428311">
      <w:pPr>
        <w:spacing w:line="360" w:lineRule="auto"/>
        <w:ind w:firstLine="42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本合同的保密条款在合同终止后同样具有约束力。</w:t>
      </w:r>
      <w:bookmarkEnd w:id="152"/>
      <w:bookmarkStart w:id="153" w:name="_Toc280"/>
    </w:p>
    <w:p w14:paraId="123D9058">
      <w:pPr>
        <w:spacing w:line="360" w:lineRule="auto"/>
        <w:ind w:firstLine="420" w:firstLineChars="200"/>
        <w:rPr>
          <w:rFonts w:hint="eastAsia" w:ascii="宋体" w:hAnsi="宋体" w:eastAsia="宋体" w:cs="宋体"/>
          <w:color w:val="auto"/>
          <w:sz w:val="21"/>
          <w:szCs w:val="21"/>
          <w:highlight w:val="none"/>
        </w:rPr>
      </w:pPr>
    </w:p>
    <w:p w14:paraId="68D43525">
      <w:pPr>
        <w:spacing w:line="360" w:lineRule="auto"/>
        <w:outlineLvl w:val="0"/>
        <w:rPr>
          <w:rFonts w:hint="eastAsia" w:ascii="宋体" w:hAnsi="宋体" w:eastAsia="宋体" w:cs="宋体"/>
          <w:b/>
          <w:color w:val="auto"/>
          <w:sz w:val="21"/>
          <w:szCs w:val="21"/>
          <w:highlight w:val="none"/>
        </w:rPr>
      </w:pPr>
      <w:bookmarkStart w:id="154" w:name="_Toc9606"/>
      <w:bookmarkStart w:id="155" w:name="_Toc9685"/>
      <w:r>
        <w:rPr>
          <w:rFonts w:hint="eastAsia" w:ascii="宋体" w:hAnsi="宋体" w:eastAsia="宋体" w:cs="宋体"/>
          <w:b/>
          <w:color w:val="auto"/>
          <w:sz w:val="21"/>
          <w:szCs w:val="21"/>
          <w:highlight w:val="none"/>
        </w:rPr>
        <w:t>二、承包方式</w:t>
      </w:r>
      <w:bookmarkEnd w:id="154"/>
      <w:bookmarkEnd w:id="155"/>
    </w:p>
    <w:p w14:paraId="06AE9D9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承包人根据</w:t>
      </w:r>
      <w:r>
        <w:rPr>
          <w:rFonts w:hint="eastAsia" w:ascii="宋体" w:hAnsi="宋体" w:eastAsia="宋体" w:cs="宋体"/>
          <w:color w:val="auto"/>
          <w:sz w:val="21"/>
          <w:szCs w:val="21"/>
          <w:highlight w:val="none"/>
          <w:lang w:eastAsia="zh-CN"/>
        </w:rPr>
        <w:t>竞争性谈判文件</w:t>
      </w:r>
      <w:r>
        <w:rPr>
          <w:rFonts w:hint="eastAsia" w:ascii="宋体" w:hAnsi="宋体" w:eastAsia="宋体" w:cs="宋体"/>
          <w:color w:val="auto"/>
          <w:sz w:val="21"/>
          <w:szCs w:val="21"/>
          <w:highlight w:val="none"/>
        </w:rPr>
        <w:t>、图纸、方案或说明、采购清单等有关资料等对本项目进行施工总承包。合同费用总价包干：包括但不限于包工、包料、包质量、包安全生产、包文明施工、包工期、验收通过、包移交、包结算、包承包人应当购买的保险、包竣工图和竣工资料编制（须满足规划等各专项验收要求），包竣工资料收集整理移交档案、包保修及其他不可预见等。承包人因踏勘现场及充分研读</w:t>
      </w:r>
      <w:r>
        <w:rPr>
          <w:rFonts w:hint="eastAsia" w:ascii="宋体" w:hAnsi="宋体" w:eastAsia="宋体" w:cs="宋体"/>
          <w:color w:val="auto"/>
          <w:sz w:val="21"/>
          <w:szCs w:val="21"/>
          <w:highlight w:val="none"/>
          <w:lang w:eastAsia="zh-CN"/>
        </w:rPr>
        <w:t>竞争性谈判文件</w:t>
      </w:r>
      <w:r>
        <w:rPr>
          <w:rFonts w:hint="eastAsia" w:ascii="宋体" w:hAnsi="宋体" w:eastAsia="宋体" w:cs="宋体"/>
          <w:color w:val="auto"/>
          <w:sz w:val="21"/>
          <w:szCs w:val="21"/>
          <w:highlight w:val="none"/>
        </w:rPr>
        <w:t>后，对于项目达成所需全部工作内容已清晰，根据</w:t>
      </w:r>
      <w:r>
        <w:rPr>
          <w:rFonts w:hint="eastAsia" w:ascii="宋体" w:hAnsi="宋体" w:eastAsia="宋体" w:cs="宋体"/>
          <w:color w:val="auto"/>
          <w:sz w:val="21"/>
          <w:szCs w:val="21"/>
          <w:highlight w:val="none"/>
          <w:lang w:eastAsia="zh-CN"/>
        </w:rPr>
        <w:t>竞争性谈判文件</w:t>
      </w:r>
      <w:r>
        <w:rPr>
          <w:rFonts w:hint="eastAsia" w:ascii="宋体" w:hAnsi="宋体" w:eastAsia="宋体" w:cs="宋体"/>
          <w:color w:val="auto"/>
          <w:sz w:val="21"/>
          <w:szCs w:val="21"/>
          <w:highlight w:val="none"/>
        </w:rPr>
        <w:t>等采购相关资料，在完成整个承包范围工作时，如有因达成目的而采取的任何其它辅助或增加项目，均视同优惠并在结算时不予调整合同总价。</w:t>
      </w:r>
    </w:p>
    <w:p w14:paraId="6ADA3D1A">
      <w:pPr>
        <w:spacing w:line="360" w:lineRule="auto"/>
        <w:ind w:firstLine="420" w:firstLineChars="200"/>
        <w:rPr>
          <w:rFonts w:hint="eastAsia" w:ascii="宋体" w:hAnsi="宋体" w:eastAsia="宋体" w:cs="宋体"/>
          <w:color w:val="auto"/>
          <w:sz w:val="21"/>
          <w:szCs w:val="21"/>
          <w:highlight w:val="none"/>
        </w:rPr>
      </w:pPr>
    </w:p>
    <w:p w14:paraId="75F62497">
      <w:pPr>
        <w:spacing w:line="360" w:lineRule="auto"/>
        <w:outlineLvl w:val="0"/>
        <w:rPr>
          <w:rFonts w:hint="eastAsia" w:ascii="宋体" w:hAnsi="宋体" w:eastAsia="宋体" w:cs="宋体"/>
          <w:bCs/>
          <w:color w:val="auto"/>
          <w:sz w:val="21"/>
          <w:szCs w:val="21"/>
          <w:highlight w:val="none"/>
        </w:rPr>
      </w:pPr>
      <w:bookmarkStart w:id="156" w:name="_Toc7193"/>
      <w:bookmarkStart w:id="157" w:name="_Toc14381"/>
      <w:r>
        <w:rPr>
          <w:rFonts w:hint="eastAsia" w:ascii="宋体" w:hAnsi="宋体" w:eastAsia="宋体" w:cs="宋体"/>
          <w:b/>
          <w:color w:val="auto"/>
          <w:sz w:val="21"/>
          <w:szCs w:val="21"/>
          <w:highlight w:val="none"/>
        </w:rPr>
        <w:t>三、</w:t>
      </w:r>
      <w:bookmarkEnd w:id="153"/>
      <w:r>
        <w:rPr>
          <w:rFonts w:hint="eastAsia" w:ascii="宋体" w:hAnsi="宋体" w:eastAsia="宋体" w:cs="宋体"/>
          <w:b/>
          <w:color w:val="auto"/>
          <w:sz w:val="21"/>
          <w:szCs w:val="21"/>
          <w:highlight w:val="none"/>
        </w:rPr>
        <w:t>完工期</w:t>
      </w:r>
      <w:bookmarkEnd w:id="156"/>
      <w:bookmarkEnd w:id="157"/>
    </w:p>
    <w:p w14:paraId="3DA12516">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3.1完工期</w:t>
      </w: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eastAsia="zh-CN"/>
        </w:rPr>
        <w:t>2025年12月27日</w:t>
      </w:r>
      <w:r>
        <w:rPr>
          <w:rFonts w:hint="eastAsia" w:ascii="宋体" w:hAnsi="宋体" w:eastAsia="宋体" w:cs="宋体"/>
          <w:color w:val="auto"/>
          <w:sz w:val="21"/>
          <w:szCs w:val="21"/>
          <w:highlight w:val="none"/>
        </w:rPr>
        <w:t>前完成施工、安装、调试及验收</w:t>
      </w:r>
      <w:r>
        <w:rPr>
          <w:rFonts w:hint="eastAsia" w:ascii="宋体" w:hAnsi="宋体" w:eastAsia="宋体" w:cs="宋体"/>
          <w:color w:val="auto"/>
          <w:sz w:val="21"/>
          <w:szCs w:val="21"/>
          <w:highlight w:val="none"/>
          <w:lang w:eastAsia="zh-CN"/>
        </w:rPr>
        <w:t>。</w:t>
      </w:r>
    </w:p>
    <w:p w14:paraId="1B1603E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 如遇本合同约定的不可抗力情形或发包人原因导致工期延误的，经发包人书面确认后工期顺延。</w:t>
      </w:r>
    </w:p>
    <w:p w14:paraId="6953638E">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 xml:space="preserve">3.3 </w:t>
      </w:r>
      <w:r>
        <w:rPr>
          <w:rFonts w:hint="eastAsia" w:ascii="宋体" w:hAnsi="宋体" w:eastAsia="宋体" w:cs="宋体"/>
          <w:color w:val="auto"/>
          <w:sz w:val="21"/>
          <w:szCs w:val="21"/>
          <w:highlight w:val="none"/>
          <w:lang w:eastAsia="zh-CN"/>
        </w:rPr>
        <w:t>如若承包人因自身原因未能按照已批准的</w:t>
      </w:r>
      <w:r>
        <w:rPr>
          <w:rFonts w:hint="eastAsia" w:ascii="宋体" w:hAnsi="宋体" w:eastAsia="宋体" w:cs="宋体"/>
          <w:color w:val="auto"/>
          <w:sz w:val="21"/>
          <w:szCs w:val="21"/>
          <w:highlight w:val="none"/>
          <w:lang w:val="en-US" w:eastAsia="zh-CN"/>
        </w:rPr>
        <w:t>完工期</w:t>
      </w:r>
      <w:r>
        <w:rPr>
          <w:rFonts w:hint="eastAsia" w:ascii="宋体" w:hAnsi="宋体" w:eastAsia="宋体" w:cs="宋体"/>
          <w:color w:val="auto"/>
          <w:sz w:val="21"/>
          <w:szCs w:val="21"/>
          <w:highlight w:val="none"/>
          <w:lang w:eastAsia="zh-CN"/>
        </w:rPr>
        <w:t>完成施工工作，每延期一天</w:t>
      </w:r>
      <w:r>
        <w:rPr>
          <w:rFonts w:hint="eastAsia" w:ascii="宋体" w:hAnsi="宋体" w:eastAsia="宋体" w:cs="宋体"/>
          <w:color w:val="auto"/>
          <w:sz w:val="21"/>
          <w:szCs w:val="21"/>
          <w:highlight w:val="none"/>
          <w:lang w:val="en-US" w:eastAsia="zh-CN"/>
        </w:rPr>
        <w:t>应向发包人支付</w:t>
      </w:r>
      <w:r>
        <w:rPr>
          <w:rFonts w:hint="eastAsia" w:ascii="宋体" w:hAnsi="宋体" w:eastAsia="宋体" w:cs="宋体"/>
          <w:color w:val="auto"/>
          <w:sz w:val="21"/>
          <w:szCs w:val="21"/>
          <w:highlight w:val="none"/>
        </w:rPr>
        <w:t>违约金</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000元</w:t>
      </w:r>
      <w:r>
        <w:rPr>
          <w:rFonts w:hint="eastAsia" w:ascii="宋体" w:hAnsi="宋体" w:eastAsia="宋体" w:cs="宋体"/>
          <w:color w:val="auto"/>
          <w:sz w:val="21"/>
          <w:szCs w:val="21"/>
          <w:highlight w:val="none"/>
          <w:lang w:eastAsia="zh-CN"/>
        </w:rPr>
        <w:t>。</w:t>
      </w:r>
    </w:p>
    <w:p w14:paraId="3C7FAEC0">
      <w:pPr>
        <w:spacing w:line="360" w:lineRule="auto"/>
        <w:ind w:firstLine="420" w:firstLineChars="200"/>
        <w:rPr>
          <w:rFonts w:hint="eastAsia" w:ascii="宋体" w:hAnsi="宋体" w:eastAsia="宋体" w:cs="宋体"/>
          <w:color w:val="auto"/>
          <w:sz w:val="21"/>
          <w:szCs w:val="21"/>
          <w:highlight w:val="none"/>
          <w:lang w:val="en-US" w:eastAsia="zh-CN"/>
        </w:rPr>
      </w:pPr>
    </w:p>
    <w:p w14:paraId="241A0AAA">
      <w:pPr>
        <w:spacing w:line="360" w:lineRule="auto"/>
        <w:outlineLvl w:val="0"/>
        <w:rPr>
          <w:rFonts w:hint="eastAsia" w:ascii="宋体" w:hAnsi="宋体" w:eastAsia="宋体" w:cs="宋体"/>
          <w:b/>
          <w:color w:val="auto"/>
          <w:sz w:val="21"/>
          <w:szCs w:val="21"/>
          <w:highlight w:val="none"/>
        </w:rPr>
      </w:pPr>
      <w:bookmarkStart w:id="158" w:name="_Toc25581"/>
      <w:bookmarkStart w:id="159" w:name="_Toc8509"/>
      <w:r>
        <w:rPr>
          <w:rFonts w:hint="eastAsia" w:ascii="宋体" w:hAnsi="宋体" w:eastAsia="宋体" w:cs="宋体"/>
          <w:b/>
          <w:color w:val="auto"/>
          <w:sz w:val="21"/>
          <w:szCs w:val="21"/>
          <w:highlight w:val="none"/>
        </w:rPr>
        <w:t>四、合同价款</w:t>
      </w:r>
      <w:bookmarkEnd w:id="158"/>
      <w:bookmarkEnd w:id="159"/>
    </w:p>
    <w:p w14:paraId="005C31EC">
      <w:pPr>
        <w:spacing w:line="360" w:lineRule="auto"/>
        <w:ind w:firstLine="420" w:firstLineChars="20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4.1</w:t>
      </w:r>
      <w:r>
        <w:rPr>
          <w:rFonts w:hint="eastAsia" w:ascii="宋体" w:hAnsi="宋体" w:eastAsia="宋体" w:cs="宋体"/>
          <w:color w:val="auto"/>
          <w:kern w:val="0"/>
          <w:sz w:val="21"/>
          <w:szCs w:val="21"/>
          <w:highlight w:val="none"/>
        </w:rPr>
        <w:t xml:space="preserve">该项目施工费用包干价¥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元（大写：人民币：</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）计收,其中不含税额为¥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（大写：人民币 ），增值税金额为¥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 xml:space="preserve">元（大写：人民币 </w:t>
      </w:r>
      <w:r>
        <w:rPr>
          <w:rFonts w:hint="eastAsia" w:ascii="宋体" w:hAnsi="宋体" w:eastAsia="宋体" w:cs="宋体"/>
          <w:color w:val="auto"/>
          <w:kern w:val="0"/>
          <w:sz w:val="21"/>
          <w:szCs w:val="21"/>
          <w:highlight w:val="none"/>
          <w:u w:val="single"/>
        </w:rPr>
        <w:t xml:space="preserve"> 分</w:t>
      </w:r>
      <w:r>
        <w:rPr>
          <w:rFonts w:hint="eastAsia" w:ascii="宋体" w:hAnsi="宋体" w:eastAsia="宋体" w:cs="宋体"/>
          <w:color w:val="auto"/>
          <w:kern w:val="0"/>
          <w:sz w:val="21"/>
          <w:szCs w:val="21"/>
          <w:highlight w:val="none"/>
        </w:rPr>
        <w:t>）</w:t>
      </w:r>
      <w:r>
        <w:rPr>
          <w:rFonts w:hint="eastAsia" w:ascii="宋体" w:hAnsi="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税率</w:t>
      </w:r>
      <w:r>
        <w:rPr>
          <w:rFonts w:hint="eastAsia" w:ascii="宋体" w:hAnsi="宋体" w:cs="宋体"/>
          <w:color w:val="auto"/>
          <w:kern w:val="0"/>
          <w:sz w:val="21"/>
          <w:szCs w:val="21"/>
          <w:highlight w:val="none"/>
          <w:u w:val="single"/>
          <w:lang w:val="en-US" w:eastAsia="zh-CN"/>
        </w:rPr>
        <w:t xml:space="preserve">   </w:t>
      </w:r>
      <w:r>
        <w:rPr>
          <w:rFonts w:hint="eastAsia" w:ascii="宋体" w:hAnsi="宋体" w:cs="宋体"/>
          <w:color w:val="auto"/>
          <w:kern w:val="0"/>
          <w:sz w:val="21"/>
          <w:szCs w:val="21"/>
          <w:highlight w:val="none"/>
          <w:u w:val="none"/>
          <w:lang w:val="en-US" w:eastAsia="zh-CN"/>
        </w:rPr>
        <w:t>%</w:t>
      </w:r>
      <w:r>
        <w:rPr>
          <w:rFonts w:hint="eastAsia" w:ascii="宋体" w:hAnsi="宋体" w:eastAsia="宋体" w:cs="宋体"/>
          <w:color w:val="auto"/>
          <w:kern w:val="0"/>
          <w:sz w:val="21"/>
          <w:szCs w:val="21"/>
          <w:highlight w:val="none"/>
          <w:lang w:eastAsia="zh-CN"/>
        </w:rPr>
        <w:t>。</w:t>
      </w:r>
    </w:p>
    <w:p w14:paraId="2758BE18">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4.2价格包括承包人为完成项目的采购清单、</w:t>
      </w:r>
      <w:r>
        <w:rPr>
          <w:rFonts w:hint="eastAsia" w:ascii="宋体" w:hAnsi="宋体" w:eastAsia="宋体" w:cs="宋体"/>
          <w:bCs/>
          <w:color w:val="auto"/>
          <w:sz w:val="21"/>
          <w:szCs w:val="21"/>
          <w:highlight w:val="none"/>
        </w:rPr>
        <w:t>方案或说明、技术要求</w:t>
      </w:r>
      <w:r>
        <w:rPr>
          <w:rFonts w:hint="eastAsia" w:ascii="宋体" w:hAnsi="宋体" w:eastAsia="宋体" w:cs="宋体"/>
          <w:color w:val="auto"/>
          <w:sz w:val="21"/>
          <w:szCs w:val="21"/>
          <w:highlight w:val="none"/>
        </w:rPr>
        <w:t>及图纸等范围内全部工作所需的一切成本、费用、税金和利润等。包括但不限于以下内容：</w:t>
      </w:r>
    </w:p>
    <w:p w14:paraId="197A1350">
      <w:pPr>
        <w:numPr>
          <w:ilvl w:val="0"/>
          <w:numId w:val="0"/>
        </w:numPr>
        <w:tabs>
          <w:tab w:val="left" w:pos="420"/>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sz w:val="21"/>
          <w:szCs w:val="21"/>
          <w:highlight w:val="none"/>
        </w:rPr>
        <w:t>货物原价。含原材料、标准件、配套件及加工产品整个过程中的一切费用并包括随货物供应的易损件、备品备件、专用工具和应提供的图纸资料等价格在内。</w:t>
      </w:r>
    </w:p>
    <w:p w14:paraId="65FF8E0A">
      <w:pPr>
        <w:numPr>
          <w:ilvl w:val="0"/>
          <w:numId w:val="0"/>
        </w:numPr>
        <w:tabs>
          <w:tab w:val="left" w:pos="420"/>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sz w:val="21"/>
          <w:szCs w:val="21"/>
          <w:highlight w:val="none"/>
        </w:rPr>
        <w:t>包装费、运输费、装卸费、安装费、材料供销部门手续费、材料验收之前的保险费、服务费和各种税费（含从国外进口到境内货物应付的关税、增值税、保险费、清关费等），其中运输费系指由承包人将货物运至交货地点发生的所有运输费用。</w:t>
      </w:r>
    </w:p>
    <w:p w14:paraId="65C4A9CA">
      <w:pPr>
        <w:numPr>
          <w:ilvl w:val="0"/>
          <w:numId w:val="0"/>
        </w:numPr>
        <w:tabs>
          <w:tab w:val="left" w:pos="420"/>
        </w:tabs>
        <w:spacing w:line="360" w:lineRule="auto"/>
        <w:ind w:firstLine="420" w:firstLineChars="200"/>
        <w:rPr>
          <w:rFonts w:hint="eastAsia" w:ascii="宋体" w:hAnsi="宋体" w:eastAsia="宋体" w:cs="宋体"/>
          <w:color w:val="auto"/>
          <w:sz w:val="21"/>
          <w:szCs w:val="21"/>
          <w:highlight w:val="none"/>
        </w:rPr>
      </w:pPr>
    </w:p>
    <w:p w14:paraId="5573A54A">
      <w:pPr>
        <w:spacing w:line="360" w:lineRule="auto"/>
        <w:outlineLvl w:val="0"/>
        <w:rPr>
          <w:rFonts w:hint="eastAsia" w:ascii="宋体" w:hAnsi="宋体" w:eastAsia="宋体" w:cs="宋体"/>
          <w:b/>
          <w:color w:val="auto"/>
          <w:sz w:val="21"/>
          <w:szCs w:val="21"/>
          <w:highlight w:val="none"/>
        </w:rPr>
      </w:pPr>
      <w:bookmarkStart w:id="160" w:name="_Toc14139"/>
      <w:bookmarkStart w:id="161" w:name="_Toc8931"/>
      <w:bookmarkStart w:id="162" w:name="_Toc20721"/>
      <w:r>
        <w:rPr>
          <w:rFonts w:hint="eastAsia" w:ascii="宋体" w:hAnsi="宋体" w:eastAsia="宋体" w:cs="宋体"/>
          <w:b/>
          <w:color w:val="auto"/>
          <w:sz w:val="21"/>
          <w:szCs w:val="21"/>
          <w:highlight w:val="none"/>
        </w:rPr>
        <w:t>五、付款方式</w:t>
      </w:r>
      <w:bookmarkEnd w:id="160"/>
      <w:bookmarkEnd w:id="161"/>
      <w:bookmarkEnd w:id="162"/>
    </w:p>
    <w:p w14:paraId="3A5F20FD">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 xml:space="preserve">.1 </w:t>
      </w:r>
      <w:r>
        <w:rPr>
          <w:rFonts w:hint="eastAsia" w:ascii="宋体" w:hAnsi="宋体" w:eastAsia="宋体" w:cs="宋体"/>
          <w:color w:val="auto"/>
          <w:sz w:val="21"/>
          <w:szCs w:val="21"/>
          <w:highlight w:val="none"/>
        </w:rPr>
        <w:t>合同签订后，</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提供合法等额的增值税专用发票和其他请款资料经</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确认无误</w:t>
      </w:r>
      <w:r>
        <w:rPr>
          <w:rFonts w:hint="eastAsia" w:ascii="宋体" w:hAnsi="宋体" w:cs="宋体"/>
          <w:color w:val="auto"/>
          <w:sz w:val="21"/>
          <w:szCs w:val="21"/>
          <w:highlight w:val="none"/>
          <w:lang w:val="en-US" w:eastAsia="zh-CN"/>
        </w:rPr>
        <w:t>后</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支付合同总金额的</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w:t>
      </w:r>
      <w:r>
        <w:rPr>
          <w:rFonts w:hint="eastAsia" w:ascii="宋体" w:hAnsi="宋体" w:eastAsia="宋体" w:cs="宋体"/>
          <w:color w:val="auto"/>
          <w:sz w:val="21"/>
          <w:szCs w:val="21"/>
          <w:highlight w:val="none"/>
          <w:lang w:val="en-US" w:eastAsia="zh-CN"/>
        </w:rPr>
        <w:t>作为定金。</w:t>
      </w:r>
    </w:p>
    <w:p w14:paraId="0968258F">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5.2</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完成本合同约定的全部内容并经</w:t>
      </w:r>
      <w:r>
        <w:rPr>
          <w:rFonts w:hint="eastAsia" w:ascii="宋体" w:hAnsi="宋体" w:cs="宋体"/>
          <w:color w:val="auto"/>
          <w:sz w:val="21"/>
          <w:szCs w:val="21"/>
          <w:highlight w:val="none"/>
          <w:lang w:eastAsia="zh-CN"/>
        </w:rPr>
        <w:t>发包人</w:t>
      </w:r>
      <w:r>
        <w:rPr>
          <w:rFonts w:hint="eastAsia" w:ascii="宋体" w:hAnsi="宋体" w:eastAsia="宋体" w:cs="宋体"/>
          <w:color w:val="auto"/>
          <w:sz w:val="21"/>
          <w:szCs w:val="21"/>
          <w:highlight w:val="none"/>
        </w:rPr>
        <w:t>验收合格，且</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提交结算资料经双方确认签字，并且</w:t>
      </w:r>
      <w:r>
        <w:rPr>
          <w:rFonts w:hint="eastAsia" w:ascii="宋体" w:hAnsi="宋体" w:cs="宋体"/>
          <w:color w:val="auto"/>
          <w:sz w:val="21"/>
          <w:szCs w:val="21"/>
          <w:highlight w:val="none"/>
          <w:lang w:eastAsia="zh-CN"/>
        </w:rPr>
        <w:t>承包人</w:t>
      </w:r>
      <w:r>
        <w:rPr>
          <w:rFonts w:hint="eastAsia" w:ascii="宋体" w:hAnsi="宋体" w:eastAsia="宋体" w:cs="宋体"/>
          <w:color w:val="auto"/>
          <w:sz w:val="21"/>
          <w:szCs w:val="21"/>
          <w:highlight w:val="none"/>
        </w:rPr>
        <w:t>提交完整的请款资料及合法的增值税专用发票后，</w:t>
      </w:r>
      <w:r>
        <w:rPr>
          <w:rFonts w:hint="eastAsia" w:ascii="宋体" w:hAnsi="宋体" w:cs="宋体"/>
          <w:color w:val="auto"/>
          <w:sz w:val="21"/>
          <w:szCs w:val="21"/>
          <w:highlight w:val="none"/>
          <w:lang w:eastAsia="zh-CN"/>
        </w:rPr>
        <w:t>发包人</w:t>
      </w:r>
      <w:r>
        <w:rPr>
          <w:rFonts w:hint="eastAsia" w:ascii="宋体" w:hAnsi="宋体" w:eastAsia="宋体" w:cs="宋体"/>
          <w:color w:val="auto"/>
          <w:sz w:val="21"/>
          <w:szCs w:val="21"/>
          <w:highlight w:val="none"/>
        </w:rPr>
        <w:t>支付至结算价款的97%</w:t>
      </w:r>
      <w:r>
        <w:rPr>
          <w:rFonts w:hint="eastAsia" w:ascii="宋体" w:hAnsi="宋体" w:eastAsia="宋体" w:cs="宋体"/>
          <w:color w:val="auto"/>
          <w:kern w:val="0"/>
          <w:sz w:val="21"/>
          <w:szCs w:val="21"/>
          <w:highlight w:val="none"/>
        </w:rPr>
        <w:t>。</w:t>
      </w:r>
    </w:p>
    <w:p w14:paraId="21FFBE8E">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w:t>
      </w:r>
      <w:r>
        <w:rPr>
          <w:rFonts w:hint="eastAsia" w:ascii="宋体" w:hAnsi="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sz w:val="21"/>
          <w:szCs w:val="21"/>
          <w:highlight w:val="none"/>
        </w:rPr>
        <w:t>质保期结束并提交完整的请款资料及合法的增值税专用发票后，如未发生质保金扣除事项的，</w:t>
      </w:r>
      <w:r>
        <w:rPr>
          <w:rFonts w:hint="eastAsia" w:ascii="宋体" w:hAnsi="宋体" w:cs="宋体"/>
          <w:color w:val="auto"/>
          <w:sz w:val="21"/>
          <w:szCs w:val="21"/>
          <w:highlight w:val="none"/>
          <w:lang w:eastAsia="zh-CN"/>
        </w:rPr>
        <w:t>发包人</w:t>
      </w:r>
      <w:r>
        <w:rPr>
          <w:rFonts w:hint="eastAsia" w:ascii="宋体" w:hAnsi="宋体" w:eastAsia="宋体" w:cs="宋体"/>
          <w:color w:val="auto"/>
          <w:sz w:val="21"/>
          <w:szCs w:val="21"/>
          <w:highlight w:val="none"/>
        </w:rPr>
        <w:t>支付结算价款剩余的3%，如发生质保金扣除事项的，由双方核算处理</w:t>
      </w:r>
      <w:r>
        <w:rPr>
          <w:rFonts w:hint="eastAsia" w:ascii="宋体" w:hAnsi="宋体" w:eastAsia="宋体" w:cs="宋体"/>
          <w:color w:val="auto"/>
          <w:kern w:val="0"/>
          <w:sz w:val="21"/>
          <w:szCs w:val="21"/>
          <w:highlight w:val="none"/>
        </w:rPr>
        <w:t>。</w:t>
      </w:r>
    </w:p>
    <w:p w14:paraId="24751E4D">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承包人提交的增值税专用发票须备注栏写明项目名称、合同名称及项目地址。按照现行税收政策规定，每次付款前，承包人必须提供合法、有效、与本合同总价款条款中增值税税率一致的增值税专用发票给发包人，否则发包人有权拒绝付款且不构成违约；在发包人除支付质保金（若有）外的最后一期款项前，承包人须连同当期支付款项发票和质保金（若有）发票一并提交给发包人；若后期出现质保问题，按照质保责任和条款，部分或全部扣除质保金（若有）的，不退还相应金额的发票。若合同执行期间，遇国家税务政策调整所引起的合同价格变化，按照不含税价格调整结算价格。</w:t>
      </w:r>
      <w:r>
        <w:rPr>
          <w:rFonts w:hint="eastAsia" w:ascii="宋体" w:hAnsi="宋体" w:eastAsia="宋体" w:cs="宋体"/>
          <w:color w:val="auto"/>
          <w:sz w:val="21"/>
          <w:szCs w:val="21"/>
          <w:highlight w:val="none"/>
        </w:rPr>
        <w:t>如因</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未及时提供发票导致</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未能按照约定支付款项的，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不承担逾期支付的责任。</w:t>
      </w:r>
    </w:p>
    <w:p w14:paraId="181F6194">
      <w:pPr>
        <w:spacing w:line="360" w:lineRule="auto"/>
        <w:ind w:firstLine="420" w:firstLineChars="200"/>
        <w:outlineLvl w:val="1"/>
        <w:rPr>
          <w:rFonts w:hint="eastAsia" w:ascii="宋体" w:hAnsi="宋体" w:eastAsia="宋体" w:cs="宋体"/>
          <w:color w:val="auto"/>
          <w:sz w:val="21"/>
          <w:szCs w:val="21"/>
          <w:highlight w:val="none"/>
        </w:rPr>
      </w:pPr>
      <w:bookmarkStart w:id="163" w:name="_Toc24471"/>
      <w:bookmarkStart w:id="164" w:name="_Toc29858"/>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承包人收款账户信息如下：</w:t>
      </w:r>
      <w:bookmarkEnd w:id="163"/>
      <w:bookmarkEnd w:id="164"/>
    </w:p>
    <w:p w14:paraId="098E8BF3">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户  名： </w:t>
      </w:r>
    </w:p>
    <w:p w14:paraId="51644DDC">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账  号：</w:t>
      </w:r>
    </w:p>
    <w:p w14:paraId="62724E6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开户行： </w:t>
      </w:r>
    </w:p>
    <w:p w14:paraId="70F521B7">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统一社会信用代码：</w:t>
      </w:r>
    </w:p>
    <w:p w14:paraId="61899F65">
      <w:pPr>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住所</w:t>
      </w:r>
      <w:r>
        <w:rPr>
          <w:rFonts w:hint="eastAsia" w:ascii="宋体" w:hAnsi="宋体" w:eastAsia="宋体" w:cs="宋体"/>
          <w:color w:val="auto"/>
          <w:sz w:val="21"/>
          <w:szCs w:val="21"/>
          <w:highlight w:val="none"/>
        </w:rPr>
        <w:t xml:space="preserve">： </w:t>
      </w:r>
    </w:p>
    <w:p w14:paraId="0BF03FBC">
      <w:pPr>
        <w:spacing w:line="360" w:lineRule="auto"/>
        <w:ind w:firstLine="420" w:firstLineChars="200"/>
        <w:outlineLvl w:val="1"/>
        <w:rPr>
          <w:rFonts w:hint="eastAsia" w:ascii="宋体" w:hAnsi="宋体" w:eastAsia="宋体" w:cs="宋体"/>
          <w:color w:val="auto"/>
          <w:sz w:val="21"/>
          <w:szCs w:val="21"/>
          <w:highlight w:val="none"/>
        </w:rPr>
      </w:pPr>
      <w:bookmarkStart w:id="165" w:name="_Toc12138"/>
      <w:bookmarkStart w:id="166" w:name="_Toc32529"/>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发包人开票信息如下：</w:t>
      </w:r>
      <w:bookmarkEnd w:id="165"/>
      <w:bookmarkEnd w:id="166"/>
    </w:p>
    <w:p w14:paraId="08DC67B6">
      <w:pPr>
        <w:spacing w:line="360" w:lineRule="auto"/>
        <w:ind w:firstLine="420" w:firstLineChars="200"/>
        <w:outlineLvl w:val="1"/>
        <w:rPr>
          <w:rFonts w:hint="eastAsia" w:ascii="宋体" w:hAnsi="宋体" w:eastAsia="宋体" w:cs="宋体"/>
          <w:color w:val="auto"/>
          <w:sz w:val="21"/>
          <w:szCs w:val="21"/>
          <w:highlight w:val="none"/>
          <w:lang w:val="en-US" w:eastAsia="zh-CN"/>
        </w:rPr>
      </w:pPr>
      <w:bookmarkStart w:id="167" w:name="_Toc6991"/>
      <w:bookmarkStart w:id="168" w:name="_Toc4177"/>
      <w:r>
        <w:rPr>
          <w:rFonts w:hint="eastAsia" w:ascii="宋体" w:hAnsi="宋体" w:eastAsia="宋体" w:cs="宋体"/>
          <w:color w:val="auto"/>
          <w:sz w:val="21"/>
          <w:szCs w:val="21"/>
          <w:highlight w:val="none"/>
        </w:rPr>
        <w:t>户  名：</w:t>
      </w:r>
      <w:bookmarkEnd w:id="167"/>
      <w:bookmarkEnd w:id="168"/>
    </w:p>
    <w:p w14:paraId="757AAEF5">
      <w:pPr>
        <w:spacing w:line="360" w:lineRule="auto"/>
        <w:ind w:firstLine="420" w:firstLineChars="200"/>
        <w:outlineLvl w:val="1"/>
        <w:rPr>
          <w:rFonts w:hint="eastAsia" w:ascii="宋体" w:hAnsi="宋体" w:eastAsia="宋体" w:cs="宋体"/>
          <w:color w:val="auto"/>
          <w:sz w:val="21"/>
          <w:szCs w:val="21"/>
          <w:highlight w:val="none"/>
          <w:lang w:val="en-US" w:eastAsia="zh-CN"/>
        </w:rPr>
      </w:pPr>
      <w:bookmarkStart w:id="169" w:name="_Toc22458"/>
      <w:bookmarkStart w:id="170" w:name="_Toc25430"/>
      <w:r>
        <w:rPr>
          <w:rFonts w:hint="eastAsia" w:ascii="宋体" w:hAnsi="宋体" w:eastAsia="宋体" w:cs="宋体"/>
          <w:color w:val="auto"/>
          <w:sz w:val="21"/>
          <w:szCs w:val="21"/>
          <w:highlight w:val="none"/>
        </w:rPr>
        <w:t>账  号：</w:t>
      </w:r>
      <w:bookmarkEnd w:id="169"/>
      <w:bookmarkEnd w:id="170"/>
    </w:p>
    <w:p w14:paraId="7D7CDAE8">
      <w:pPr>
        <w:spacing w:line="360" w:lineRule="auto"/>
        <w:ind w:firstLine="420" w:firstLineChars="200"/>
        <w:outlineLvl w:val="1"/>
        <w:rPr>
          <w:rFonts w:hint="eastAsia" w:ascii="宋体" w:hAnsi="宋体" w:eastAsia="宋体" w:cs="宋体"/>
          <w:color w:val="auto"/>
          <w:sz w:val="21"/>
          <w:szCs w:val="21"/>
          <w:highlight w:val="none"/>
        </w:rPr>
      </w:pPr>
      <w:bookmarkStart w:id="171" w:name="_Toc29042"/>
      <w:bookmarkStart w:id="172" w:name="_Toc1739"/>
      <w:r>
        <w:rPr>
          <w:rFonts w:hint="eastAsia" w:ascii="宋体" w:hAnsi="宋体" w:eastAsia="宋体" w:cs="宋体"/>
          <w:color w:val="auto"/>
          <w:sz w:val="21"/>
          <w:szCs w:val="21"/>
          <w:highlight w:val="none"/>
        </w:rPr>
        <w:t>开户行：</w:t>
      </w:r>
      <w:bookmarkEnd w:id="171"/>
      <w:bookmarkEnd w:id="172"/>
      <w:r>
        <w:rPr>
          <w:rFonts w:hint="eastAsia" w:ascii="宋体" w:hAnsi="宋体" w:eastAsia="宋体" w:cs="宋体"/>
          <w:color w:val="auto"/>
          <w:sz w:val="21"/>
          <w:szCs w:val="21"/>
          <w:highlight w:val="none"/>
        </w:rPr>
        <w:t xml:space="preserve"> </w:t>
      </w:r>
    </w:p>
    <w:p w14:paraId="7E442EAB">
      <w:pPr>
        <w:spacing w:line="360" w:lineRule="auto"/>
        <w:ind w:firstLine="420" w:firstLineChars="200"/>
        <w:outlineLvl w:val="1"/>
        <w:rPr>
          <w:rFonts w:hint="eastAsia" w:ascii="宋体" w:hAnsi="宋体" w:eastAsia="宋体" w:cs="宋体"/>
          <w:color w:val="auto"/>
          <w:sz w:val="21"/>
          <w:szCs w:val="21"/>
          <w:highlight w:val="none"/>
        </w:rPr>
      </w:pPr>
      <w:bookmarkStart w:id="173" w:name="_Toc3523"/>
      <w:bookmarkStart w:id="174" w:name="_Toc28705"/>
      <w:r>
        <w:rPr>
          <w:rFonts w:hint="eastAsia" w:ascii="宋体" w:hAnsi="宋体" w:eastAsia="宋体" w:cs="宋体"/>
          <w:color w:val="auto"/>
          <w:sz w:val="21"/>
          <w:szCs w:val="21"/>
          <w:highlight w:val="none"/>
        </w:rPr>
        <w:t>统一社会信用代码：</w:t>
      </w:r>
      <w:bookmarkEnd w:id="173"/>
      <w:bookmarkEnd w:id="174"/>
    </w:p>
    <w:p w14:paraId="43E4616B">
      <w:pPr>
        <w:spacing w:line="360" w:lineRule="auto"/>
        <w:ind w:firstLine="420" w:firstLineChars="200"/>
        <w:outlineLvl w:val="1"/>
        <w:rPr>
          <w:rFonts w:hint="eastAsia" w:ascii="宋体" w:hAnsi="宋体" w:eastAsia="宋体" w:cs="宋体"/>
          <w:color w:val="auto"/>
          <w:sz w:val="21"/>
          <w:szCs w:val="21"/>
          <w:highlight w:val="none"/>
        </w:rPr>
      </w:pPr>
      <w:bookmarkStart w:id="175" w:name="_Toc14596"/>
      <w:bookmarkStart w:id="176" w:name="_Toc32127"/>
      <w:r>
        <w:rPr>
          <w:rFonts w:hint="eastAsia" w:ascii="宋体" w:hAnsi="宋体" w:eastAsia="宋体" w:cs="宋体"/>
          <w:color w:val="auto"/>
          <w:sz w:val="21"/>
          <w:szCs w:val="21"/>
          <w:highlight w:val="none"/>
          <w:lang w:val="en-US" w:eastAsia="zh-CN"/>
        </w:rPr>
        <w:t>住所：</w:t>
      </w:r>
      <w:bookmarkEnd w:id="175"/>
      <w:bookmarkEnd w:id="176"/>
    </w:p>
    <w:p w14:paraId="1301BF8F">
      <w:pPr>
        <w:spacing w:line="360" w:lineRule="auto"/>
        <w:ind w:firstLine="420" w:firstLineChars="200"/>
        <w:rPr>
          <w:rFonts w:hint="eastAsia" w:ascii="宋体" w:hAnsi="宋体" w:eastAsia="宋体" w:cs="宋体"/>
          <w:color w:val="auto"/>
          <w:sz w:val="21"/>
          <w:szCs w:val="21"/>
          <w:highlight w:val="none"/>
          <w:shd w:val="clear" w:color="auto" w:fill="FFFFFF"/>
        </w:rPr>
      </w:pPr>
    </w:p>
    <w:p w14:paraId="7888B1CB">
      <w:pPr>
        <w:tabs>
          <w:tab w:val="left" w:pos="720"/>
        </w:tabs>
        <w:spacing w:line="360" w:lineRule="auto"/>
        <w:outlineLvl w:val="0"/>
        <w:rPr>
          <w:rFonts w:hint="eastAsia" w:ascii="宋体" w:hAnsi="宋体" w:eastAsia="宋体" w:cs="宋体"/>
          <w:b/>
          <w:color w:val="auto"/>
          <w:sz w:val="21"/>
          <w:szCs w:val="21"/>
          <w:highlight w:val="none"/>
        </w:rPr>
      </w:pPr>
      <w:bookmarkStart w:id="177" w:name="_Toc31283"/>
      <w:bookmarkStart w:id="178" w:name="_Toc12879"/>
      <w:bookmarkStart w:id="179" w:name="_Toc1712"/>
      <w:r>
        <w:rPr>
          <w:rFonts w:hint="eastAsia" w:ascii="宋体" w:hAnsi="宋体" w:eastAsia="宋体" w:cs="宋体"/>
          <w:b/>
          <w:color w:val="auto"/>
          <w:sz w:val="21"/>
          <w:szCs w:val="21"/>
          <w:highlight w:val="none"/>
        </w:rPr>
        <w:t>六、履约担保</w:t>
      </w:r>
      <w:bookmarkEnd w:id="177"/>
      <w:bookmarkEnd w:id="178"/>
    </w:p>
    <w:p w14:paraId="5278EB15">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6.1合同签订</w:t>
      </w:r>
      <w:r>
        <w:rPr>
          <w:rFonts w:hint="eastAsia" w:ascii="宋体" w:hAnsi="宋体" w:cs="宋体"/>
          <w:color w:val="auto"/>
          <w:sz w:val="21"/>
          <w:szCs w:val="21"/>
          <w:highlight w:val="none"/>
          <w:lang w:val="en-US" w:eastAsia="zh-CN"/>
        </w:rPr>
        <w:t>时</w:t>
      </w:r>
      <w:r>
        <w:rPr>
          <w:rFonts w:hint="eastAsia" w:ascii="宋体" w:hAnsi="宋体" w:eastAsia="宋体" w:cs="宋体"/>
          <w:color w:val="auto"/>
          <w:sz w:val="21"/>
          <w:szCs w:val="21"/>
          <w:highlight w:val="none"/>
        </w:rPr>
        <w:t>，承包人应向发包人提交履约担保，履约担保金额为本合同</w:t>
      </w:r>
      <w:r>
        <w:rPr>
          <w:rFonts w:hint="eastAsia" w:ascii="宋体" w:hAnsi="宋体" w:eastAsia="宋体" w:cs="宋体"/>
          <w:color w:val="auto"/>
          <w:sz w:val="21"/>
          <w:szCs w:val="21"/>
          <w:highlight w:val="none"/>
          <w:lang w:val="en-US" w:eastAsia="zh-CN"/>
        </w:rPr>
        <w:t>总</w:t>
      </w:r>
      <w:r>
        <w:rPr>
          <w:rFonts w:hint="eastAsia" w:ascii="宋体" w:hAnsi="宋体" w:eastAsia="宋体" w:cs="宋体"/>
          <w:color w:val="auto"/>
          <w:sz w:val="21"/>
          <w:szCs w:val="21"/>
          <w:highlight w:val="none"/>
        </w:rPr>
        <w:t>价</w:t>
      </w:r>
      <w:r>
        <w:rPr>
          <w:rFonts w:hint="eastAsia" w:ascii="宋体" w:hAnsi="宋体" w:eastAsia="宋体" w:cs="宋体"/>
          <w:color w:val="auto"/>
          <w:kern w:val="0"/>
          <w:sz w:val="21"/>
          <w:szCs w:val="21"/>
          <w:highlight w:val="none"/>
        </w:rPr>
        <w:t>（施工费用包干价）</w:t>
      </w:r>
      <w:r>
        <w:rPr>
          <w:rFonts w:hint="eastAsia" w:ascii="宋体" w:hAnsi="宋体" w:eastAsia="宋体" w:cs="宋体"/>
          <w:color w:val="auto"/>
          <w:sz w:val="21"/>
          <w:szCs w:val="21"/>
          <w:highlight w:val="none"/>
        </w:rPr>
        <w:t>的10%。如承包人违反本合同约定，发包人有权依合同追究违约责任外，同时有权要求开具保函向银行支付担保金额或直接在履约保证金中扣除承包人的违约赔偿款。</w:t>
      </w:r>
    </w:p>
    <w:p w14:paraId="30DA30A6">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6.2履约担保形式为提供银行履约保函的，履约保函应是银行支行一级或以上银行机构出，并经发包人同意。履约保函的内容，</w:t>
      </w:r>
      <w:r>
        <w:rPr>
          <w:rFonts w:hint="eastAsia" w:ascii="宋体" w:hAnsi="宋体" w:eastAsia="宋体" w:cs="宋体"/>
          <w:color w:val="auto"/>
          <w:sz w:val="21"/>
          <w:szCs w:val="21"/>
          <w:highlight w:val="none"/>
          <w:u w:val="none"/>
        </w:rPr>
        <w:t>应符合</w:t>
      </w:r>
      <w:r>
        <w:rPr>
          <w:rFonts w:hint="eastAsia" w:ascii="宋体" w:hAnsi="宋体" w:eastAsia="宋体" w:cs="宋体"/>
          <w:color w:val="auto"/>
          <w:sz w:val="21"/>
          <w:szCs w:val="21"/>
          <w:highlight w:val="none"/>
          <w:u w:val="none"/>
          <w:lang w:eastAsia="zh-CN"/>
        </w:rPr>
        <w:t>竞争性谈判文件</w:t>
      </w:r>
      <w:r>
        <w:rPr>
          <w:rFonts w:hint="eastAsia" w:ascii="宋体" w:hAnsi="宋体" w:eastAsia="宋体" w:cs="宋体"/>
          <w:color w:val="auto"/>
          <w:sz w:val="21"/>
          <w:szCs w:val="21"/>
          <w:highlight w:val="none"/>
          <w:u w:val="none"/>
        </w:rPr>
        <w:t>和本合同的要求。履约保函应</w:t>
      </w:r>
      <w:r>
        <w:rPr>
          <w:rFonts w:hint="eastAsia" w:ascii="宋体" w:hAnsi="宋体" w:eastAsia="宋体" w:cs="宋体"/>
          <w:color w:val="auto"/>
          <w:sz w:val="21"/>
          <w:szCs w:val="21"/>
          <w:highlight w:val="none"/>
          <w:u w:val="none"/>
          <w:lang w:val="zh-CN"/>
        </w:rPr>
        <w:t>从合同签订之日起至项目完工验收合格并结算完毕后，经双方签字</w:t>
      </w:r>
      <w:r>
        <w:rPr>
          <w:rFonts w:hint="eastAsia" w:ascii="宋体" w:hAnsi="宋体" w:eastAsia="宋体" w:cs="宋体"/>
          <w:color w:val="auto"/>
          <w:sz w:val="21"/>
          <w:szCs w:val="21"/>
          <w:highlight w:val="none"/>
          <w:u w:val="none"/>
          <w:lang w:val="en-US" w:eastAsia="zh-CN"/>
        </w:rPr>
        <w:t>30</w:t>
      </w:r>
      <w:r>
        <w:rPr>
          <w:rFonts w:hint="eastAsia" w:ascii="宋体" w:hAnsi="宋体" w:eastAsia="宋体" w:cs="宋体"/>
          <w:color w:val="auto"/>
          <w:sz w:val="21"/>
          <w:szCs w:val="21"/>
          <w:highlight w:val="none"/>
          <w:u w:val="none"/>
          <w:lang w:val="zh-CN"/>
        </w:rPr>
        <w:t>天内保持有效</w:t>
      </w:r>
      <w:r>
        <w:rPr>
          <w:rFonts w:hint="eastAsia" w:ascii="宋体" w:hAnsi="宋体" w:eastAsia="宋体" w:cs="宋体"/>
          <w:color w:val="auto"/>
          <w:sz w:val="21"/>
          <w:szCs w:val="21"/>
          <w:highlight w:val="none"/>
        </w:rPr>
        <w:t>。如承包人提交的履约保函的有效期先于合同要求的履约保函有效期届满的，承包人必须在履约保函到期前15日内无条件办理办妥延期手续，否则视为承包人违约，发包人有权在保函到期前向出具履约保函的银行提取履约保证金。如发包人未在到期前向出具履约保函的银行提取履约保证金的，仍有权要求承包人限期重新提供履约保函，或按保函金额为限要求承包人承担违约金，违约金可直接从未付合同金额中扣除。</w:t>
      </w:r>
    </w:p>
    <w:p w14:paraId="5E1C9E8A">
      <w:pPr>
        <w:pStyle w:val="17"/>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6.3履约担保形式为履约保证金的，履约保证金应以承包人名义通过银行转账方式转入发包人指定的银行账户，不接受由其分支机构账户或私人账户、其他单位账户以现金、转账等方式转入的保证金。无论以何种形式转入的履约保证金，担保期结束经承包人申请，一律以银行转账的方式无息原路退回到承包人原汇入账户。</w:t>
      </w:r>
      <w:r>
        <w:rPr>
          <w:rFonts w:hint="eastAsia" w:ascii="宋体" w:hAnsi="宋体" w:eastAsia="宋体" w:cs="宋体"/>
          <w:color w:val="auto"/>
          <w:kern w:val="0"/>
          <w:sz w:val="21"/>
          <w:szCs w:val="21"/>
          <w:highlight w:val="none"/>
        </w:rPr>
        <w:t>履约保证金缴交账号如下：</w:t>
      </w:r>
    </w:p>
    <w:p w14:paraId="0C7A9656">
      <w:pPr>
        <w:pStyle w:val="17"/>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开户银行： </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rPr>
        <w:tab/>
      </w:r>
    </w:p>
    <w:p w14:paraId="49227582">
      <w:pPr>
        <w:pStyle w:val="17"/>
        <w:spacing w:line="360" w:lineRule="auto"/>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 xml:space="preserve">银行账号： </w:t>
      </w:r>
      <w:r>
        <w:rPr>
          <w:rFonts w:hint="eastAsia" w:ascii="宋体" w:hAnsi="宋体" w:eastAsia="宋体" w:cs="宋体"/>
          <w:color w:val="auto"/>
          <w:kern w:val="0"/>
          <w:sz w:val="21"/>
          <w:szCs w:val="21"/>
          <w:highlight w:val="none"/>
          <w:lang w:val="en-US" w:eastAsia="zh-CN"/>
        </w:rPr>
        <w:t xml:space="preserve"> </w:t>
      </w:r>
    </w:p>
    <w:p w14:paraId="1AE527C7">
      <w:pPr>
        <w:pStyle w:val="17"/>
        <w:spacing w:line="360" w:lineRule="auto"/>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收款人名称：</w:t>
      </w:r>
      <w:r>
        <w:rPr>
          <w:rFonts w:hint="eastAsia" w:ascii="宋体" w:hAnsi="宋体" w:eastAsia="宋体" w:cs="宋体"/>
          <w:color w:val="auto"/>
          <w:kern w:val="0"/>
          <w:sz w:val="21"/>
          <w:szCs w:val="21"/>
          <w:highlight w:val="none"/>
          <w:lang w:val="en-US" w:eastAsia="zh-CN"/>
        </w:rPr>
        <w:t xml:space="preserve"> </w:t>
      </w:r>
    </w:p>
    <w:p w14:paraId="0A00BDAF">
      <w:pPr>
        <w:pStyle w:val="17"/>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 xml:space="preserve">.4  </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在依法履行完本合同全部义务后，可向</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提交退回履约担保的申请。</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审核无异议后，办理履约担保退还手续。在扣除相应的费用（若有）后，履约保证金退回时一律以银行转账的形式无息退回到</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本合同中指定的银行账户。</w:t>
      </w:r>
    </w:p>
    <w:p w14:paraId="3A9216AC">
      <w:pPr>
        <w:pStyle w:val="17"/>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.5  下列任何情况发生时，</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有权行使享有的担保权利：</w:t>
      </w:r>
    </w:p>
    <w:p w14:paraId="021A1280">
      <w:pPr>
        <w:pStyle w:val="17"/>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将本项目转让给他人，或者在报价文件中未说明，且未经</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同意，将成交项目分包给他人的；</w:t>
      </w:r>
    </w:p>
    <w:p w14:paraId="547CD33E">
      <w:pPr>
        <w:pStyle w:val="17"/>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在履行采购合同期间，违反有关法律法规的规定及合同约定的条款，损害了</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的利益。</w:t>
      </w:r>
    </w:p>
    <w:p w14:paraId="7A1FC21A">
      <w:pPr>
        <w:pStyle w:val="18"/>
        <w:rPr>
          <w:rFonts w:hint="eastAsia"/>
          <w:color w:val="auto"/>
          <w:highlight w:val="none"/>
        </w:rPr>
      </w:pPr>
    </w:p>
    <w:p w14:paraId="2DAD2F72">
      <w:pPr>
        <w:tabs>
          <w:tab w:val="left" w:pos="720"/>
        </w:tabs>
        <w:spacing w:line="360" w:lineRule="auto"/>
        <w:outlineLvl w:val="0"/>
        <w:rPr>
          <w:rFonts w:hint="eastAsia" w:ascii="宋体" w:hAnsi="宋体" w:eastAsia="宋体" w:cs="宋体"/>
          <w:b/>
          <w:color w:val="auto"/>
          <w:sz w:val="21"/>
          <w:szCs w:val="21"/>
          <w:highlight w:val="none"/>
        </w:rPr>
      </w:pPr>
      <w:bookmarkStart w:id="180" w:name="_Toc9089"/>
      <w:bookmarkStart w:id="181" w:name="_Toc20880"/>
      <w:r>
        <w:rPr>
          <w:rFonts w:hint="eastAsia" w:ascii="宋体" w:hAnsi="宋体" w:eastAsia="宋体" w:cs="宋体"/>
          <w:b/>
          <w:color w:val="auto"/>
          <w:sz w:val="21"/>
          <w:szCs w:val="21"/>
          <w:highlight w:val="none"/>
        </w:rPr>
        <w:t>七、双方权利</w:t>
      </w:r>
      <w:bookmarkEnd w:id="179"/>
      <w:r>
        <w:rPr>
          <w:rFonts w:hint="eastAsia" w:ascii="宋体" w:hAnsi="宋体" w:eastAsia="宋体" w:cs="宋体"/>
          <w:b/>
          <w:color w:val="auto"/>
          <w:sz w:val="21"/>
          <w:szCs w:val="21"/>
          <w:highlight w:val="none"/>
        </w:rPr>
        <w:t>和义务</w:t>
      </w:r>
      <w:bookmarkEnd w:id="180"/>
      <w:bookmarkEnd w:id="181"/>
    </w:p>
    <w:p w14:paraId="29309697">
      <w:pPr>
        <w:pStyle w:val="23"/>
        <w:spacing w:before="50" w:line="360" w:lineRule="auto"/>
        <w:ind w:left="284"/>
        <w:outlineLvl w:val="1"/>
        <w:rPr>
          <w:rFonts w:hint="eastAsia" w:ascii="宋体" w:hAnsi="宋体" w:eastAsia="宋体" w:cs="宋体"/>
          <w:color w:val="auto"/>
          <w:sz w:val="21"/>
          <w:szCs w:val="21"/>
          <w:highlight w:val="none"/>
        </w:rPr>
      </w:pPr>
      <w:bookmarkStart w:id="182" w:name="_Toc32107"/>
      <w:bookmarkStart w:id="183" w:name="_Toc32759"/>
      <w:r>
        <w:rPr>
          <w:rFonts w:hint="eastAsia" w:ascii="宋体" w:hAnsi="宋体" w:eastAsia="宋体" w:cs="宋体"/>
          <w:color w:val="auto"/>
          <w:sz w:val="21"/>
          <w:szCs w:val="21"/>
          <w:highlight w:val="none"/>
        </w:rPr>
        <w:t>7.1发包人权利和义务：</w:t>
      </w:r>
      <w:bookmarkEnd w:id="182"/>
      <w:bookmarkEnd w:id="183"/>
    </w:p>
    <w:p w14:paraId="7FD8A9BA">
      <w:pPr>
        <w:tabs>
          <w:tab w:val="left" w:pos="624"/>
        </w:tabs>
        <w:spacing w:line="360" w:lineRule="auto"/>
        <w:ind w:firstLine="420" w:firstLineChars="200"/>
        <w:outlineLvl w:val="2"/>
        <w:rPr>
          <w:rFonts w:hint="eastAsia" w:ascii="宋体" w:hAnsi="宋体" w:eastAsia="宋体" w:cs="宋体"/>
          <w:color w:val="auto"/>
          <w:sz w:val="21"/>
          <w:szCs w:val="21"/>
          <w:highlight w:val="none"/>
        </w:rPr>
      </w:pPr>
      <w:bookmarkStart w:id="184" w:name="_Toc17575"/>
      <w:bookmarkStart w:id="185" w:name="_Toc21748"/>
      <w:r>
        <w:rPr>
          <w:rFonts w:hint="eastAsia" w:ascii="宋体" w:hAnsi="宋体" w:eastAsia="宋体" w:cs="宋体"/>
          <w:color w:val="auto"/>
          <w:sz w:val="21"/>
          <w:szCs w:val="21"/>
          <w:highlight w:val="none"/>
        </w:rPr>
        <w:t>7.1.1提供施工现场及工作面，现场协调等工作。</w:t>
      </w:r>
      <w:bookmarkEnd w:id="184"/>
      <w:bookmarkEnd w:id="185"/>
    </w:p>
    <w:p w14:paraId="1DC3F310">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7.1.2发包人现场代表负责协调有关工作，负责项目的进展及监控，组织发包人、承包人及有关各方参加的项目会议，及时提出施工过程中的整改意见。</w:t>
      </w:r>
    </w:p>
    <w:p w14:paraId="651FC73A">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7.1.3负责对工程进度进行核实认定，并按照合同规定办理验收、付款和结算。</w:t>
      </w:r>
    </w:p>
    <w:p w14:paraId="4AE74E56">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7.1.4发包人有义务对相关配套安装项目提供便利条件，承担质量监督义务并提出建议。</w:t>
      </w:r>
    </w:p>
    <w:p w14:paraId="3327D27B">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7.1.5 发包人有权对施工工作面进行调整以及施工人力的调度，承包人不得无理由推卸或不服从现场管理人员的管理安排。</w:t>
      </w:r>
    </w:p>
    <w:p w14:paraId="3F912C4E">
      <w:pPr>
        <w:tabs>
          <w:tab w:val="left" w:pos="624"/>
        </w:tabs>
        <w:spacing w:line="360" w:lineRule="auto"/>
        <w:ind w:left="284"/>
        <w:outlineLvl w:val="1"/>
        <w:rPr>
          <w:rFonts w:hint="eastAsia" w:ascii="宋体" w:hAnsi="宋体" w:eastAsia="宋体" w:cs="宋体"/>
          <w:color w:val="auto"/>
          <w:sz w:val="21"/>
          <w:szCs w:val="21"/>
          <w:highlight w:val="none"/>
        </w:rPr>
      </w:pPr>
      <w:bookmarkStart w:id="186" w:name="_Toc5440"/>
      <w:bookmarkStart w:id="187" w:name="_Toc32463"/>
      <w:r>
        <w:rPr>
          <w:rFonts w:hint="eastAsia" w:ascii="宋体" w:hAnsi="宋体" w:eastAsia="宋体" w:cs="宋体"/>
          <w:color w:val="auto"/>
          <w:sz w:val="21"/>
          <w:szCs w:val="21"/>
          <w:highlight w:val="none"/>
        </w:rPr>
        <w:t>7.2 承包人权利和义务：</w:t>
      </w:r>
      <w:bookmarkEnd w:id="186"/>
      <w:bookmarkEnd w:id="187"/>
    </w:p>
    <w:p w14:paraId="7DBC631E">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7.2.1</w:t>
      </w:r>
      <w:r>
        <w:rPr>
          <w:rFonts w:hint="eastAsia" w:ascii="宋体" w:hAnsi="宋体" w:eastAsia="宋体" w:cs="宋体"/>
          <w:color w:val="auto"/>
          <w:kern w:val="0"/>
          <w:sz w:val="21"/>
          <w:szCs w:val="21"/>
          <w:highlight w:val="none"/>
        </w:rPr>
        <w:t xml:space="preserve">  承包方应按照合同约定的参考品牌或同等档次的品牌做好材料、设备等的采购规划</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并</w:t>
      </w:r>
      <w:r>
        <w:rPr>
          <w:rFonts w:hint="eastAsia" w:ascii="宋体" w:hAnsi="宋体" w:eastAsia="宋体" w:cs="宋体"/>
          <w:color w:val="auto"/>
          <w:sz w:val="21"/>
          <w:szCs w:val="21"/>
          <w:highlight w:val="none"/>
          <w:lang w:val="zh-CN"/>
        </w:rPr>
        <w:t>提供材料、设备和成品的样板</w:t>
      </w:r>
      <w:r>
        <w:rPr>
          <w:rFonts w:hint="eastAsia" w:ascii="宋体" w:hAnsi="宋体" w:eastAsia="宋体" w:cs="宋体"/>
          <w:color w:val="auto"/>
          <w:kern w:val="0"/>
          <w:sz w:val="21"/>
          <w:szCs w:val="21"/>
          <w:highlight w:val="none"/>
        </w:rPr>
        <w:t>，提前报备发包方</w:t>
      </w:r>
      <w:r>
        <w:rPr>
          <w:rFonts w:hint="eastAsia" w:ascii="宋体" w:hAnsi="宋体" w:eastAsia="宋体" w:cs="宋体"/>
          <w:color w:val="auto"/>
          <w:kern w:val="0"/>
          <w:sz w:val="21"/>
          <w:szCs w:val="21"/>
          <w:highlight w:val="none"/>
          <w:lang w:val="en-US" w:eastAsia="zh-CN"/>
        </w:rPr>
        <w:t>并取得</w:t>
      </w:r>
      <w:r>
        <w:rPr>
          <w:rFonts w:hint="eastAsia" w:ascii="宋体" w:hAnsi="宋体" w:eastAsia="宋体" w:cs="宋体"/>
          <w:color w:val="auto"/>
          <w:kern w:val="0"/>
          <w:sz w:val="21"/>
          <w:szCs w:val="21"/>
          <w:highlight w:val="none"/>
        </w:rPr>
        <w:t>发包方</w:t>
      </w:r>
      <w:r>
        <w:rPr>
          <w:rFonts w:hint="eastAsia" w:ascii="宋体" w:hAnsi="宋体" w:eastAsia="宋体" w:cs="宋体"/>
          <w:color w:val="auto"/>
          <w:kern w:val="0"/>
          <w:sz w:val="21"/>
          <w:szCs w:val="21"/>
          <w:highlight w:val="none"/>
          <w:lang w:val="en-US" w:eastAsia="zh-CN"/>
        </w:rPr>
        <w:t>和设计单位的审定</w:t>
      </w:r>
      <w:r>
        <w:rPr>
          <w:rFonts w:hint="eastAsia" w:ascii="宋体" w:hAnsi="宋体" w:eastAsia="宋体" w:cs="宋体"/>
          <w:color w:val="auto"/>
          <w:kern w:val="0"/>
          <w:sz w:val="21"/>
          <w:szCs w:val="21"/>
          <w:highlight w:val="none"/>
        </w:rPr>
        <w:t>，否则因此产生的退货、退订责任由承包方自行承担。</w:t>
      </w:r>
      <w:r>
        <w:rPr>
          <w:rFonts w:hint="eastAsia" w:ascii="宋体" w:hAnsi="宋体" w:eastAsia="宋体" w:cs="宋体"/>
          <w:color w:val="auto"/>
          <w:sz w:val="21"/>
          <w:szCs w:val="21"/>
          <w:highlight w:val="none"/>
        </w:rPr>
        <w:t>除非</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同意，否则</w:t>
      </w:r>
      <w:r>
        <w:rPr>
          <w:rFonts w:hint="eastAsia" w:ascii="宋体" w:hAnsi="宋体" w:eastAsia="宋体" w:cs="宋体"/>
          <w:color w:val="auto"/>
          <w:sz w:val="21"/>
          <w:szCs w:val="21"/>
          <w:highlight w:val="none"/>
          <w:lang w:val="en-US" w:eastAsia="zh-CN"/>
        </w:rPr>
        <w:t>承包</w:t>
      </w:r>
      <w:r>
        <w:rPr>
          <w:rFonts w:hint="eastAsia" w:ascii="宋体" w:hAnsi="宋体" w:eastAsia="宋体" w:cs="宋体"/>
          <w:color w:val="auto"/>
          <w:sz w:val="21"/>
          <w:szCs w:val="21"/>
          <w:highlight w:val="none"/>
        </w:rPr>
        <w:t>人须严格遵照</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对乙供材料设备的看样定板要求，</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负责所有材料设备采购、供应和保管，保证采购的材料、型号、产品规范、产地、颜色及质量等达到</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要求。</w:t>
      </w:r>
      <w:r>
        <w:rPr>
          <w:rFonts w:hint="eastAsia" w:ascii="宋体" w:hAnsi="宋体" w:eastAsia="宋体" w:cs="宋体"/>
          <w:color w:val="auto"/>
          <w:kern w:val="0"/>
          <w:sz w:val="21"/>
          <w:szCs w:val="21"/>
          <w:highlight w:val="none"/>
        </w:rPr>
        <w:t>材料设备进场应及时通知发包方验收，原则上发包方应在双方沟通后认可的方式和时间内完成验收工作，未经发包方验收或验收不合格的材料，承包方不得使用。</w:t>
      </w:r>
      <w:r>
        <w:rPr>
          <w:rFonts w:hint="eastAsia" w:ascii="宋体" w:hAnsi="宋体" w:eastAsia="宋体" w:cs="宋体"/>
          <w:color w:val="auto"/>
          <w:sz w:val="21"/>
          <w:szCs w:val="21"/>
          <w:highlight w:val="none"/>
        </w:rPr>
        <w:t>承包人应保证材料的订货周期符合要求，价格符合成本要求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kern w:val="0"/>
          <w:sz w:val="21"/>
          <w:szCs w:val="21"/>
          <w:highlight w:val="none"/>
        </w:rPr>
        <w:t>环保要求</w:t>
      </w:r>
      <w:r>
        <w:rPr>
          <w:rFonts w:hint="eastAsia" w:ascii="宋体" w:hAnsi="宋体" w:eastAsia="宋体" w:cs="宋体"/>
          <w:color w:val="auto"/>
          <w:kern w:val="0"/>
          <w:sz w:val="21"/>
          <w:szCs w:val="21"/>
          <w:highlight w:val="none"/>
          <w:lang w:val="en-US" w:eastAsia="zh-CN"/>
        </w:rPr>
        <w:t>等合同及竞争性谈判文件要求，</w:t>
      </w:r>
      <w:r>
        <w:rPr>
          <w:rFonts w:hint="eastAsia" w:ascii="宋体" w:hAnsi="宋体" w:eastAsia="宋体" w:cs="宋体"/>
          <w:color w:val="auto"/>
          <w:sz w:val="21"/>
          <w:szCs w:val="21"/>
          <w:highlight w:val="none"/>
        </w:rPr>
        <w:t>实际效果符合发包人要求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否则由承包方承担相应责任。</w:t>
      </w:r>
    </w:p>
    <w:p w14:paraId="3FD60916">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7.2.2</w:t>
      </w:r>
      <w:r>
        <w:rPr>
          <w:rFonts w:hint="eastAsia" w:ascii="宋体" w:hAnsi="宋体" w:eastAsia="宋体" w:cs="宋体"/>
          <w:color w:val="auto"/>
          <w:kern w:val="0"/>
          <w:sz w:val="21"/>
          <w:szCs w:val="21"/>
          <w:highlight w:val="none"/>
        </w:rPr>
        <w:t>接受</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监督检查，并提供协助检查的条件。</w:t>
      </w:r>
    </w:p>
    <w:p w14:paraId="5A1A1CB4">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xml:space="preserve"> 对所有与项目有关人员进行安全教育，采取防患措施，确保施工安全和第三者安全，施工中因承包人的原因而产生的一切安全事故均由承包人承担责任，发生安全事故后应立即通知发包人现场代表并按规定上报主管单位备案。如发包人因此承担赔偿责任的，有权向承包人追偿，追偿范围包括但不限于发包人损失及维权成本等。</w:t>
      </w:r>
    </w:p>
    <w:p w14:paraId="7916FD43">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xml:space="preserve"> </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委派</w:t>
      </w:r>
      <w:r>
        <w:rPr>
          <w:rFonts w:hint="eastAsia" w:ascii="宋体" w:hAnsi="宋体" w:eastAsia="宋体" w:cs="宋体"/>
          <w:color w:val="auto"/>
          <w:kern w:val="0"/>
          <w:sz w:val="21"/>
          <w:szCs w:val="21"/>
          <w:highlight w:val="none"/>
          <w:u w:val="single"/>
          <w:lang w:val="en-US" w:eastAsia="zh-CN"/>
        </w:rPr>
        <w:t xml:space="preserve">姓名：         ，手机号码：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作为现场施工负责人，负责施工现场的全面工作，根据本合同规定处理现场有关承包工程施工进度、技术质量、安全施工、检查验收、洽商签证等事宜。施工过程中</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不得无故更换施工负责人或抽调人员，若确实需要调整，必须经</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现场负责人签名同意才能变动。</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必须开工前安排好人员，现场配备人员必须与投标时的人员一致，项目负责人与现场管理人员必须常驻现场，中途更换项目负责人或管理人员，需提前7天以书面形式通知</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并经</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同意才能更换。</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也有权就不称职的项目负责人或管理人员向</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提出更换，更换的项目负责人或管理人员资质等级必须等同或高于原有的；如因无证上岗受到行政处罚、发生工伤</w:t>
      </w:r>
      <w:r>
        <w:rPr>
          <w:rFonts w:hint="eastAsia" w:ascii="宋体" w:hAnsi="宋体" w:eastAsia="宋体" w:cs="宋体"/>
          <w:color w:val="auto"/>
          <w:kern w:val="0"/>
          <w:sz w:val="21"/>
          <w:szCs w:val="21"/>
          <w:highlight w:val="none"/>
          <w:lang w:val="en-US" w:eastAsia="zh-CN"/>
        </w:rPr>
        <w:t>或</w:t>
      </w:r>
      <w:r>
        <w:rPr>
          <w:rFonts w:hint="eastAsia" w:ascii="宋体" w:hAnsi="宋体" w:eastAsia="宋体" w:cs="宋体"/>
          <w:color w:val="auto"/>
          <w:kern w:val="0"/>
          <w:sz w:val="21"/>
          <w:szCs w:val="21"/>
          <w:highlight w:val="none"/>
        </w:rPr>
        <w:t>其他意外事故、造成的经济损失由</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承担。</w:t>
      </w:r>
    </w:p>
    <w:p w14:paraId="49CD64EE">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须全程做好消防保卫工作，现场物料分类摆放整齐，所有进场材料须符合《建筑内部装修设计防火规范》、现行国家标准《建筑材料及制品燃烧性能分级》。承包人在工作过程中，若发生漏水、失火、失窃及其他安全事故给发包人造成损失的，承包人需赔偿发包人所遭受的全部损失。施工现场不得生火、住人，承包人应自行解决施工人员住宿。</w:t>
      </w:r>
    </w:p>
    <w:p w14:paraId="35F36222">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承包人应对</w:t>
      </w:r>
      <w:r>
        <w:rPr>
          <w:rFonts w:hint="eastAsia" w:ascii="宋体" w:hAnsi="宋体" w:eastAsia="宋体" w:cs="宋体"/>
          <w:color w:val="auto"/>
          <w:kern w:val="0"/>
          <w:sz w:val="21"/>
          <w:szCs w:val="21"/>
          <w:highlight w:val="none"/>
        </w:rPr>
        <w:t>本</w:t>
      </w:r>
      <w:r>
        <w:rPr>
          <w:rFonts w:hint="eastAsia" w:ascii="宋体" w:hAnsi="宋体" w:eastAsia="宋体" w:cs="宋体"/>
          <w:color w:val="auto"/>
          <w:kern w:val="0"/>
          <w:sz w:val="21"/>
          <w:szCs w:val="21"/>
          <w:highlight w:val="none"/>
          <w:lang w:val="en-US" w:eastAsia="zh-CN"/>
        </w:rPr>
        <w:t>项目</w:t>
      </w:r>
      <w:r>
        <w:rPr>
          <w:rFonts w:hint="eastAsia" w:ascii="宋体" w:hAnsi="宋体" w:eastAsia="宋体" w:cs="宋体"/>
          <w:color w:val="auto"/>
          <w:kern w:val="0"/>
          <w:sz w:val="21"/>
          <w:szCs w:val="21"/>
          <w:highlight w:val="none"/>
        </w:rPr>
        <w:t>的安全生产及管理工作负直接责任，并必须为施工作业人员按实名投保的方式购买人身意外伤害保险。工伤保险费由承包人向社会保障部门缴纳，由承包人承担所需保险费用。</w:t>
      </w:r>
      <w:r>
        <w:rPr>
          <w:rFonts w:hint="eastAsia" w:ascii="宋体" w:hAnsi="宋体" w:eastAsia="宋体" w:cs="宋体"/>
          <w:color w:val="auto"/>
          <w:sz w:val="21"/>
          <w:szCs w:val="21"/>
          <w:highlight w:val="none"/>
        </w:rPr>
        <w:t>承包人应确保安全施工，若因承包人不当施工导致发包人财产、第三方人身或财产损失的，承包人应负责赔偿。如发包人因此承担赔偿责任的，有权向承包人追偿，追偿范围包括但不限于发包人损失及维权成本等。</w:t>
      </w:r>
    </w:p>
    <w:p w14:paraId="4086B3B5">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 xml:space="preserve"> </w:t>
      </w:r>
      <w:r>
        <w:rPr>
          <w:rFonts w:hint="eastAsia" w:ascii="宋体" w:hAnsi="宋体" w:eastAsia="宋体" w:cs="宋体"/>
          <w:color w:val="auto"/>
          <w:kern w:val="0"/>
          <w:sz w:val="21"/>
          <w:szCs w:val="21"/>
          <w:highlight w:val="none"/>
        </w:rPr>
        <w:t>每天完工后必须将现场垃圾清理，保证施工场地干净整洁，做到工完场清。如遇</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或者上级领导突击检查，</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应无条件配合</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做好施工现场的清理，文明施工费用已经包含在合同总价中，不再签证杂工或任何工程量。</w:t>
      </w:r>
    </w:p>
    <w:p w14:paraId="74516C16">
      <w:pPr>
        <w:tabs>
          <w:tab w:val="left" w:pos="624"/>
        </w:tabs>
        <w:spacing w:line="360" w:lineRule="auto"/>
        <w:ind w:left="399" w:leftChars="19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施工中须对</w:t>
      </w: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原有的材料设备进行保护，避免损坏并严格执行发包人的现场管理和监督。</w:t>
      </w:r>
    </w:p>
    <w:p w14:paraId="1DA4F562">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施工过程中承包人有对所有施工相关项目的配合义务，承包人必须有专业的施工工程师常驻现场，有专业的布局及安装人员对所施工项目进行专业安装及铺设。</w:t>
      </w:r>
    </w:p>
    <w:p w14:paraId="23BDE805">
      <w:pPr>
        <w:tabs>
          <w:tab w:val="left" w:pos="624"/>
        </w:tabs>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7.2.</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工程照管与成品、半成品保护：本项目所有</w:t>
      </w:r>
      <w:r>
        <w:rPr>
          <w:rFonts w:hint="eastAsia" w:ascii="宋体" w:hAnsi="宋体" w:eastAsia="宋体" w:cs="宋体"/>
          <w:color w:val="auto"/>
          <w:kern w:val="0"/>
          <w:sz w:val="21"/>
          <w:szCs w:val="21"/>
          <w:highlight w:val="none"/>
        </w:rPr>
        <w:t>工程、材料、设备等内容，</w:t>
      </w:r>
      <w:r>
        <w:rPr>
          <w:rFonts w:hint="eastAsia" w:ascii="宋体" w:hAnsi="宋体" w:eastAsia="宋体" w:cs="宋体"/>
          <w:color w:val="auto"/>
          <w:sz w:val="21"/>
          <w:szCs w:val="21"/>
          <w:highlight w:val="none"/>
        </w:rPr>
        <w:t>从</w:t>
      </w:r>
      <w:r>
        <w:rPr>
          <w:rFonts w:hint="eastAsia" w:ascii="宋体" w:hAnsi="宋体" w:eastAsia="宋体" w:cs="宋体"/>
          <w:color w:val="auto"/>
          <w:kern w:val="0"/>
          <w:sz w:val="21"/>
          <w:szCs w:val="21"/>
          <w:highlight w:val="none"/>
        </w:rPr>
        <w:t>进场至验收交付使用前，由承包人负责照管、保护、保修，费用由承包人承担。承包人</w:t>
      </w:r>
      <w:r>
        <w:rPr>
          <w:rFonts w:hint="eastAsia" w:ascii="宋体" w:hAnsi="宋体" w:eastAsia="宋体" w:cs="宋体"/>
          <w:color w:val="auto"/>
          <w:kern w:val="0"/>
          <w:sz w:val="21"/>
          <w:szCs w:val="21"/>
          <w:highlight w:val="none"/>
          <w:lang w:val="en-US" w:eastAsia="zh-CN"/>
        </w:rPr>
        <w:t>应</w:t>
      </w:r>
      <w:r>
        <w:rPr>
          <w:rFonts w:hint="eastAsia" w:ascii="宋体" w:hAnsi="宋体" w:eastAsia="宋体" w:cs="宋体"/>
          <w:color w:val="auto"/>
          <w:kern w:val="0"/>
          <w:sz w:val="21"/>
          <w:szCs w:val="21"/>
          <w:highlight w:val="none"/>
        </w:rPr>
        <w:t>做好施工场地地下管线和邻近建筑物、构筑物</w:t>
      </w:r>
      <w:r>
        <w:rPr>
          <w:rFonts w:hint="eastAsia" w:ascii="宋体" w:hAnsi="宋体" w:eastAsia="宋体" w:cs="宋体"/>
          <w:color w:val="auto"/>
          <w:kern w:val="0"/>
          <w:sz w:val="21"/>
          <w:szCs w:val="21"/>
          <w:highlight w:val="none"/>
          <w:lang w:val="en-US" w:eastAsia="zh-CN"/>
        </w:rPr>
        <w:t>保护工作，造成损坏的，应照损失赔偿。</w:t>
      </w:r>
      <w:r>
        <w:rPr>
          <w:rFonts w:hint="eastAsia" w:ascii="宋体" w:hAnsi="宋体" w:eastAsia="宋体" w:cs="宋体"/>
          <w:color w:val="auto"/>
          <w:kern w:val="0"/>
          <w:sz w:val="21"/>
          <w:szCs w:val="21"/>
          <w:highlight w:val="none"/>
        </w:rPr>
        <w:t>施工过程中，如发现有地上、地下各种管网（水、电、燃气、通讯等）、建（构）筑物、文物或其他不能辨认物等，要采取必要的保护措施并及时通知</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做妥善处理；若在</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不知情的情况下，</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造成损坏的，由</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承担一切责任。</w:t>
      </w:r>
    </w:p>
    <w:p w14:paraId="788726B2">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color w:val="auto"/>
          <w:kern w:val="0"/>
          <w:sz w:val="21"/>
          <w:szCs w:val="21"/>
          <w:highlight w:val="none"/>
        </w:rPr>
        <w:t>7.2.</w:t>
      </w:r>
      <w:r>
        <w:rPr>
          <w:rFonts w:hint="eastAsia" w:ascii="宋体" w:hAnsi="宋体" w:eastAsia="宋体" w:cs="宋体"/>
          <w:color w:val="auto"/>
          <w:kern w:val="0"/>
          <w:sz w:val="21"/>
          <w:szCs w:val="21"/>
          <w:highlight w:val="none"/>
          <w:lang w:val="en-US" w:eastAsia="zh-CN"/>
        </w:rPr>
        <w:t>11</w:t>
      </w:r>
      <w:r>
        <w:rPr>
          <w:rFonts w:hint="eastAsia" w:ascii="宋体" w:hAnsi="宋体" w:eastAsia="宋体" w:cs="宋体"/>
          <w:color w:val="auto"/>
          <w:kern w:val="0"/>
          <w:sz w:val="21"/>
          <w:szCs w:val="21"/>
          <w:highlight w:val="none"/>
        </w:rPr>
        <w:t>承包人应履行的其他义务：</w:t>
      </w:r>
      <w:r>
        <w:rPr>
          <w:rFonts w:hint="eastAsia" w:ascii="宋体" w:hAnsi="宋体" w:eastAsia="宋体" w:cs="宋体"/>
          <w:bCs/>
          <w:color w:val="auto"/>
          <w:sz w:val="21"/>
          <w:szCs w:val="21"/>
          <w:highlight w:val="none"/>
          <w:u w:val="single"/>
        </w:rPr>
        <w:t>以下工程项目及要求由</w:t>
      </w:r>
      <w:r>
        <w:rPr>
          <w:rFonts w:hint="eastAsia" w:ascii="宋体" w:hAnsi="宋体" w:eastAsia="宋体" w:cs="宋体"/>
          <w:bCs/>
          <w:color w:val="auto"/>
          <w:sz w:val="21"/>
          <w:szCs w:val="21"/>
          <w:highlight w:val="none"/>
          <w:u w:val="single"/>
          <w:lang w:val="en-US" w:eastAsia="zh-CN"/>
        </w:rPr>
        <w:t>投标</w:t>
      </w:r>
      <w:r>
        <w:rPr>
          <w:rFonts w:hint="eastAsia" w:ascii="宋体" w:hAnsi="宋体" w:eastAsia="宋体" w:cs="宋体"/>
          <w:bCs/>
          <w:color w:val="auto"/>
          <w:sz w:val="21"/>
          <w:szCs w:val="21"/>
          <w:highlight w:val="none"/>
          <w:u w:val="single"/>
        </w:rPr>
        <w:t>人现场踏勘确定及自行考虑，所涉及的费用计入</w:t>
      </w:r>
      <w:r>
        <w:rPr>
          <w:rFonts w:hint="eastAsia" w:ascii="宋体" w:hAnsi="宋体" w:eastAsia="宋体" w:cs="宋体"/>
          <w:bCs/>
          <w:color w:val="auto"/>
          <w:sz w:val="21"/>
          <w:szCs w:val="21"/>
          <w:highlight w:val="none"/>
          <w:u w:val="single"/>
          <w:lang w:eastAsia="zh-CN"/>
        </w:rPr>
        <w:t>合同总价</w:t>
      </w:r>
      <w:r>
        <w:rPr>
          <w:rFonts w:hint="eastAsia" w:ascii="宋体" w:hAnsi="宋体" w:eastAsia="宋体" w:cs="宋体"/>
          <w:bCs/>
          <w:color w:val="auto"/>
          <w:sz w:val="21"/>
          <w:szCs w:val="21"/>
          <w:highlight w:val="none"/>
          <w:u w:val="single"/>
        </w:rPr>
        <w:t>中，施工过程中工程量的增减不予签证，费用一次包干：</w:t>
      </w:r>
    </w:p>
    <w:p w14:paraId="00C62303">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bCs/>
          <w:color w:val="auto"/>
          <w:sz w:val="21"/>
          <w:szCs w:val="21"/>
          <w:highlight w:val="none"/>
          <w:u w:val="single"/>
        </w:rPr>
        <w:t>（1）、</w:t>
      </w:r>
      <w:r>
        <w:rPr>
          <w:rFonts w:hint="eastAsia" w:ascii="宋体" w:hAnsi="宋体" w:eastAsia="宋体" w:cs="宋体"/>
          <w:color w:val="auto"/>
          <w:sz w:val="21"/>
          <w:szCs w:val="21"/>
          <w:highlight w:val="none"/>
          <w:u w:val="single"/>
        </w:rPr>
        <w:t>承包人必须按政府规定及要求完善和办理相关报建和验收手续（即收集报建资料、送检材料和验收资料等报建、验收所需的一切资料，完成资料审核和盖章后，统一进行报建和验收），由报建验收产生的所有相关费用由承包人自行承担。</w:t>
      </w:r>
    </w:p>
    <w:p w14:paraId="4CB3832E">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bCs/>
          <w:color w:val="auto"/>
          <w:sz w:val="21"/>
          <w:szCs w:val="21"/>
          <w:highlight w:val="none"/>
          <w:u w:val="single"/>
        </w:rPr>
        <w:t>（2）、本项目已通永久用水用电，由</w:t>
      </w:r>
      <w:r>
        <w:rPr>
          <w:rFonts w:hint="eastAsia" w:ascii="宋体" w:hAnsi="宋体" w:eastAsia="宋体" w:cs="宋体"/>
          <w:bCs/>
          <w:color w:val="auto"/>
          <w:sz w:val="21"/>
          <w:szCs w:val="21"/>
          <w:highlight w:val="none"/>
          <w:u w:val="single"/>
          <w:lang w:eastAsia="zh-CN"/>
        </w:rPr>
        <w:t>投标</w:t>
      </w:r>
      <w:r>
        <w:rPr>
          <w:rFonts w:hint="eastAsia" w:ascii="宋体" w:hAnsi="宋体" w:eastAsia="宋体" w:cs="宋体"/>
          <w:bCs/>
          <w:color w:val="auto"/>
          <w:sz w:val="21"/>
          <w:szCs w:val="21"/>
          <w:highlight w:val="none"/>
          <w:u w:val="single"/>
        </w:rPr>
        <w:t>人自行踏勘接驳点，临时施工用电、用水（其中也包括了办公区、生活区等）由承包人负责自行报装及事后自行拆除处理，所涉及到所有费用由承包人负责。</w:t>
      </w:r>
    </w:p>
    <w:p w14:paraId="6B985857">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bCs/>
          <w:color w:val="auto"/>
          <w:sz w:val="21"/>
          <w:szCs w:val="21"/>
          <w:highlight w:val="none"/>
          <w:u w:val="single"/>
        </w:rPr>
        <w:t>（3）、所有的试验检测均由承包人负责，费用均包含在</w:t>
      </w:r>
      <w:r>
        <w:rPr>
          <w:rFonts w:hint="eastAsia" w:ascii="宋体" w:hAnsi="宋体" w:eastAsia="宋体" w:cs="宋体"/>
          <w:bCs/>
          <w:color w:val="auto"/>
          <w:sz w:val="21"/>
          <w:szCs w:val="21"/>
          <w:highlight w:val="none"/>
          <w:u w:val="single"/>
          <w:lang w:eastAsia="zh-CN"/>
        </w:rPr>
        <w:t>合同总价</w:t>
      </w:r>
      <w:r>
        <w:rPr>
          <w:rFonts w:hint="eastAsia" w:ascii="宋体" w:hAnsi="宋体" w:eastAsia="宋体" w:cs="宋体"/>
          <w:bCs/>
          <w:color w:val="auto"/>
          <w:sz w:val="21"/>
          <w:szCs w:val="21"/>
          <w:highlight w:val="none"/>
          <w:u w:val="single"/>
        </w:rPr>
        <w:t>中。检测过程中，承包人需提供相关机械、人员或材料，配合第三方检测单位进行现场检测，费用包含在</w:t>
      </w:r>
      <w:r>
        <w:rPr>
          <w:rFonts w:hint="eastAsia" w:ascii="宋体" w:hAnsi="宋体" w:eastAsia="宋体" w:cs="宋体"/>
          <w:bCs/>
          <w:color w:val="auto"/>
          <w:sz w:val="21"/>
          <w:szCs w:val="21"/>
          <w:highlight w:val="none"/>
          <w:u w:val="single"/>
          <w:lang w:val="en-US" w:eastAsia="zh-CN"/>
        </w:rPr>
        <w:t>合同总</w:t>
      </w:r>
      <w:r>
        <w:rPr>
          <w:rFonts w:hint="eastAsia" w:ascii="宋体" w:hAnsi="宋体" w:eastAsia="宋体" w:cs="宋体"/>
          <w:bCs/>
          <w:color w:val="auto"/>
          <w:sz w:val="21"/>
          <w:szCs w:val="21"/>
          <w:highlight w:val="none"/>
          <w:u w:val="single"/>
        </w:rPr>
        <w:t>价中。</w:t>
      </w:r>
    </w:p>
    <w:p w14:paraId="6671BE09">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bCs/>
          <w:color w:val="auto"/>
          <w:sz w:val="21"/>
          <w:szCs w:val="21"/>
          <w:highlight w:val="none"/>
          <w:u w:val="single"/>
        </w:rPr>
        <w:t>（4）、施工期间的临时办公及住宿场所、临时工棚、加工车间、加工场地、材料堆放、设备的存放、保管及保养、各种施工临时便道由承包人自行解决，费用包含在</w:t>
      </w:r>
      <w:r>
        <w:rPr>
          <w:rFonts w:hint="eastAsia" w:ascii="宋体" w:hAnsi="宋体" w:eastAsia="宋体" w:cs="宋体"/>
          <w:bCs/>
          <w:color w:val="auto"/>
          <w:sz w:val="21"/>
          <w:szCs w:val="21"/>
          <w:highlight w:val="none"/>
          <w:u w:val="single"/>
          <w:lang w:val="en-US" w:eastAsia="zh-CN"/>
        </w:rPr>
        <w:t>合同总</w:t>
      </w:r>
      <w:r>
        <w:rPr>
          <w:rFonts w:hint="eastAsia" w:ascii="宋体" w:hAnsi="宋体" w:eastAsia="宋体" w:cs="宋体"/>
          <w:bCs/>
          <w:color w:val="auto"/>
          <w:sz w:val="21"/>
          <w:szCs w:val="21"/>
          <w:highlight w:val="none"/>
          <w:u w:val="single"/>
        </w:rPr>
        <w:t>价中。</w:t>
      </w:r>
    </w:p>
    <w:p w14:paraId="35F15410">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bCs/>
          <w:color w:val="auto"/>
          <w:sz w:val="21"/>
          <w:szCs w:val="21"/>
          <w:highlight w:val="none"/>
          <w:u w:val="single"/>
        </w:rPr>
        <w:t>（5）、承包人在本合同价款中已经考虑</w:t>
      </w:r>
      <w:r>
        <w:rPr>
          <w:rFonts w:hint="eastAsia" w:ascii="宋体" w:hAnsi="宋体" w:eastAsia="宋体" w:cs="宋体"/>
          <w:bCs/>
          <w:color w:val="auto"/>
          <w:sz w:val="21"/>
          <w:szCs w:val="21"/>
          <w:highlight w:val="none"/>
          <w:u w:val="single"/>
          <w:lang w:val="en-US" w:eastAsia="zh-CN"/>
        </w:rPr>
        <w:t>夜间施工的</w:t>
      </w:r>
      <w:r>
        <w:rPr>
          <w:rFonts w:hint="eastAsia" w:ascii="宋体" w:hAnsi="宋体" w:eastAsia="宋体" w:cs="宋体"/>
          <w:bCs/>
          <w:color w:val="auto"/>
          <w:sz w:val="21"/>
          <w:szCs w:val="21"/>
          <w:highlight w:val="none"/>
          <w:u w:val="single"/>
        </w:rPr>
        <w:t>因素，并</w:t>
      </w:r>
      <w:r>
        <w:rPr>
          <w:rFonts w:hint="eastAsia" w:ascii="宋体" w:hAnsi="宋体" w:eastAsia="宋体" w:cs="宋体"/>
          <w:bCs/>
          <w:color w:val="auto"/>
          <w:sz w:val="21"/>
          <w:szCs w:val="21"/>
          <w:highlight w:val="none"/>
          <w:u w:val="single"/>
          <w:lang w:val="en-US" w:eastAsia="zh-CN"/>
        </w:rPr>
        <w:t>已</w:t>
      </w:r>
      <w:r>
        <w:rPr>
          <w:rFonts w:hint="eastAsia" w:ascii="宋体" w:hAnsi="宋体" w:eastAsia="宋体" w:cs="宋体"/>
          <w:bCs/>
          <w:color w:val="auto"/>
          <w:sz w:val="21"/>
          <w:szCs w:val="21"/>
          <w:highlight w:val="none"/>
          <w:u w:val="single"/>
        </w:rPr>
        <w:t>把夜间施工增加的费用综合考虑纳入</w:t>
      </w:r>
      <w:r>
        <w:rPr>
          <w:rFonts w:hint="eastAsia" w:ascii="宋体" w:hAnsi="宋体" w:eastAsia="宋体" w:cs="宋体"/>
          <w:bCs/>
          <w:color w:val="auto"/>
          <w:sz w:val="21"/>
          <w:szCs w:val="21"/>
          <w:highlight w:val="none"/>
          <w:u w:val="single"/>
          <w:lang w:val="en-US" w:eastAsia="zh-CN"/>
        </w:rPr>
        <w:t>合同总</w:t>
      </w:r>
      <w:r>
        <w:rPr>
          <w:rFonts w:hint="eastAsia" w:ascii="宋体" w:hAnsi="宋体" w:eastAsia="宋体" w:cs="宋体"/>
          <w:bCs/>
          <w:color w:val="auto"/>
          <w:sz w:val="21"/>
          <w:szCs w:val="21"/>
          <w:highlight w:val="none"/>
          <w:u w:val="single"/>
        </w:rPr>
        <w:t>价中，发包人对夜间的施工不给增加费用，夜间作业须按照政府主管部门的有关规定执行；还须保证夜间施工作业不影响现有居民的正常作息时间。</w:t>
      </w:r>
    </w:p>
    <w:p w14:paraId="2B0A0B34">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bCs/>
          <w:color w:val="auto"/>
          <w:sz w:val="21"/>
          <w:szCs w:val="21"/>
          <w:highlight w:val="none"/>
          <w:u w:val="single"/>
        </w:rPr>
        <w:t>（6）、承包人</w:t>
      </w:r>
      <w:r>
        <w:rPr>
          <w:rFonts w:hint="eastAsia" w:ascii="宋体" w:hAnsi="宋体" w:eastAsia="宋体" w:cs="宋体"/>
          <w:bCs/>
          <w:color w:val="auto"/>
          <w:sz w:val="21"/>
          <w:szCs w:val="21"/>
          <w:highlight w:val="none"/>
          <w:u w:val="single"/>
          <w:lang w:val="en-US" w:eastAsia="zh-CN"/>
        </w:rPr>
        <w:t>已</w:t>
      </w:r>
      <w:r>
        <w:rPr>
          <w:rFonts w:hint="eastAsia" w:ascii="宋体" w:hAnsi="宋体" w:eastAsia="宋体" w:cs="宋体"/>
          <w:bCs/>
          <w:color w:val="auto"/>
          <w:sz w:val="21"/>
          <w:szCs w:val="21"/>
          <w:highlight w:val="none"/>
          <w:u w:val="single"/>
        </w:rPr>
        <w:t>充分考虑现场的施工情况，包括施工场地及原有的管道预埋情况，费用包含在</w:t>
      </w:r>
      <w:r>
        <w:rPr>
          <w:rFonts w:hint="eastAsia" w:ascii="宋体" w:hAnsi="宋体" w:eastAsia="宋体" w:cs="宋体"/>
          <w:bCs/>
          <w:color w:val="auto"/>
          <w:sz w:val="21"/>
          <w:szCs w:val="21"/>
          <w:highlight w:val="none"/>
          <w:u w:val="single"/>
          <w:lang w:val="en-US" w:eastAsia="zh-CN"/>
        </w:rPr>
        <w:t>合同总价</w:t>
      </w:r>
      <w:r>
        <w:rPr>
          <w:rFonts w:hint="eastAsia" w:ascii="宋体" w:hAnsi="宋体" w:eastAsia="宋体" w:cs="宋体"/>
          <w:bCs/>
          <w:color w:val="auto"/>
          <w:sz w:val="21"/>
          <w:szCs w:val="21"/>
          <w:highlight w:val="none"/>
          <w:u w:val="single"/>
        </w:rPr>
        <w:t>中。</w:t>
      </w:r>
    </w:p>
    <w:p w14:paraId="1712E4D0">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bCs/>
          <w:color w:val="auto"/>
          <w:sz w:val="21"/>
          <w:szCs w:val="21"/>
          <w:highlight w:val="none"/>
          <w:u w:val="single"/>
        </w:rPr>
        <w:t>（7）、本工程在施工过程中</w:t>
      </w:r>
      <w:r>
        <w:rPr>
          <w:rFonts w:hint="eastAsia" w:ascii="宋体" w:hAnsi="宋体" w:eastAsia="宋体" w:cs="宋体"/>
          <w:bCs/>
          <w:color w:val="auto"/>
          <w:sz w:val="21"/>
          <w:szCs w:val="21"/>
          <w:highlight w:val="none"/>
          <w:u w:val="single"/>
          <w:lang w:val="en-US" w:eastAsia="zh-CN"/>
        </w:rPr>
        <w:t>如</w:t>
      </w:r>
      <w:r>
        <w:rPr>
          <w:rFonts w:hint="eastAsia" w:ascii="宋体" w:hAnsi="宋体" w:eastAsia="宋体" w:cs="宋体"/>
          <w:bCs/>
          <w:color w:val="auto"/>
          <w:sz w:val="21"/>
          <w:szCs w:val="21"/>
          <w:highlight w:val="none"/>
          <w:u w:val="single"/>
        </w:rPr>
        <w:t>需动用大型施工机械，相关费用包含在</w:t>
      </w:r>
      <w:r>
        <w:rPr>
          <w:rFonts w:hint="eastAsia" w:ascii="宋体" w:hAnsi="宋体" w:eastAsia="宋体" w:cs="宋体"/>
          <w:bCs/>
          <w:color w:val="auto"/>
          <w:sz w:val="21"/>
          <w:szCs w:val="21"/>
          <w:highlight w:val="none"/>
          <w:u w:val="single"/>
          <w:lang w:val="en-US" w:eastAsia="zh-CN"/>
        </w:rPr>
        <w:t>合同总</w:t>
      </w:r>
      <w:r>
        <w:rPr>
          <w:rFonts w:hint="eastAsia" w:ascii="宋体" w:hAnsi="宋体" w:eastAsia="宋体" w:cs="宋体"/>
          <w:bCs/>
          <w:color w:val="auto"/>
          <w:sz w:val="21"/>
          <w:szCs w:val="21"/>
          <w:highlight w:val="none"/>
          <w:u w:val="single"/>
        </w:rPr>
        <w:t>价中。</w:t>
      </w:r>
    </w:p>
    <w:p w14:paraId="1A219A3F">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8）、劳务分包单位必须具备相应资质且已在住房和城乡建设局备案、领取劳务分包企业登记证。劳务分包必须经过招标人的同意，承包人与劳务分包单位的劳务分包合同必须向发包人（或发包人的委托方）报备，由于</w:t>
      </w:r>
      <w:r>
        <w:rPr>
          <w:rFonts w:hint="eastAsia" w:ascii="宋体" w:hAnsi="宋体" w:eastAsia="宋体" w:cs="宋体"/>
          <w:color w:val="auto"/>
          <w:kern w:val="0"/>
          <w:sz w:val="21"/>
          <w:szCs w:val="21"/>
          <w:highlight w:val="none"/>
          <w:u w:val="single"/>
        </w:rPr>
        <w:t>承包人</w:t>
      </w:r>
      <w:r>
        <w:rPr>
          <w:rFonts w:hint="eastAsia" w:ascii="宋体" w:hAnsi="宋体" w:eastAsia="宋体" w:cs="宋体"/>
          <w:bCs/>
          <w:color w:val="auto"/>
          <w:sz w:val="21"/>
          <w:szCs w:val="21"/>
          <w:highlight w:val="none"/>
          <w:u w:val="single"/>
        </w:rPr>
        <w:t>的原因拖欠工人工资的，发包人有权暂缓支付承包人的工程款</w:t>
      </w:r>
      <w:r>
        <w:rPr>
          <w:rFonts w:hint="eastAsia" w:ascii="宋体" w:hAnsi="宋体" w:eastAsia="宋体" w:cs="宋体"/>
          <w:color w:val="auto"/>
          <w:sz w:val="21"/>
          <w:szCs w:val="21"/>
          <w:highlight w:val="none"/>
          <w:u w:val="single"/>
        </w:rPr>
        <w:t>。</w:t>
      </w:r>
    </w:p>
    <w:p w14:paraId="4407C777">
      <w:pPr>
        <w:spacing w:line="36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bCs/>
          <w:color w:val="auto"/>
          <w:sz w:val="21"/>
          <w:szCs w:val="21"/>
          <w:highlight w:val="none"/>
          <w:u w:val="single"/>
        </w:rPr>
        <w:t>（9）、本项目为总价包干，合同总价包含完成本次项目所有服务内容的费用，包括采购内容方案或图纸深化设计及项目实施中的所有人工费、材料费、设备使用费、管理费、各种税费、必须的辅助材料费及合同实施过程中不可预见费用等全部费用，承包方不得另行提出任何增项费用要求。</w:t>
      </w:r>
    </w:p>
    <w:p w14:paraId="1034ACBF">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（10）</w:t>
      </w:r>
      <w:r>
        <w:rPr>
          <w:rFonts w:hint="eastAsia" w:ascii="宋体" w:hAnsi="宋体" w:eastAsia="宋体" w:cs="宋体"/>
          <w:color w:val="auto"/>
          <w:sz w:val="21"/>
          <w:szCs w:val="21"/>
          <w:highlight w:val="none"/>
          <w:u w:val="single"/>
        </w:rPr>
        <w:t>、在本合同工程范围内，对</w:t>
      </w:r>
      <w:r>
        <w:rPr>
          <w:rFonts w:hint="eastAsia" w:ascii="宋体" w:hAnsi="宋体" w:eastAsia="宋体" w:cs="宋体"/>
          <w:color w:val="auto"/>
          <w:sz w:val="21"/>
          <w:szCs w:val="21"/>
          <w:highlight w:val="none"/>
          <w:u w:val="single"/>
          <w:lang w:val="en-US" w:eastAsia="zh-CN"/>
        </w:rPr>
        <w:t>发包人要求</w:t>
      </w:r>
      <w:r>
        <w:rPr>
          <w:rFonts w:hint="eastAsia" w:ascii="宋体" w:hAnsi="宋体" w:eastAsia="宋体" w:cs="宋体"/>
          <w:color w:val="auto"/>
          <w:sz w:val="21"/>
          <w:szCs w:val="21"/>
          <w:highlight w:val="none"/>
          <w:u w:val="single"/>
        </w:rPr>
        <w:t>增减的工程内容，承包人应无条件执行，所涉及的费用按合同的有关规定执行。</w:t>
      </w:r>
    </w:p>
    <w:p w14:paraId="247A6390">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（11）</w:t>
      </w:r>
      <w:r>
        <w:rPr>
          <w:rFonts w:hint="eastAsia" w:ascii="宋体" w:hAnsi="宋体" w:eastAsia="宋体" w:cs="宋体"/>
          <w:color w:val="auto"/>
          <w:sz w:val="21"/>
          <w:szCs w:val="21"/>
          <w:highlight w:val="none"/>
          <w:u w:val="single"/>
        </w:rPr>
        <w:t>、根据国家质量监督检验总局要求需实行强制性认证的产品必须通过强制性认证并有“CCC”认证标志。</w:t>
      </w:r>
    </w:p>
    <w:p w14:paraId="5FDC2B6E">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（12）</w:t>
      </w:r>
      <w:r>
        <w:rPr>
          <w:rFonts w:hint="eastAsia" w:ascii="宋体" w:hAnsi="宋体" w:eastAsia="宋体" w:cs="宋体"/>
          <w:color w:val="auto"/>
          <w:sz w:val="21"/>
          <w:szCs w:val="21"/>
          <w:highlight w:val="none"/>
          <w:u w:val="single"/>
        </w:rPr>
        <w:t>、承包人电气施工要有供电部门认可的电气施工安装许可证，且已到相关部门备案，保证系统开通，并取得验收合格证，由此产生的费用全部由承包人承担。</w:t>
      </w:r>
    </w:p>
    <w:p w14:paraId="611D413F">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w:t>
      </w:r>
      <w:r>
        <w:rPr>
          <w:rFonts w:hint="eastAsia" w:ascii="宋体" w:hAnsi="宋体" w:eastAsia="宋体" w:cs="宋体"/>
          <w:bCs/>
          <w:color w:val="auto"/>
          <w:sz w:val="21"/>
          <w:szCs w:val="21"/>
          <w:highlight w:val="none"/>
          <w:u w:val="single"/>
          <w:lang w:val="en-US" w:eastAsia="zh-CN"/>
        </w:rPr>
        <w:t>13</w:t>
      </w:r>
      <w:r>
        <w:rPr>
          <w:rFonts w:hint="eastAsia" w:ascii="宋体" w:hAnsi="宋体" w:eastAsia="宋体" w:cs="宋体"/>
          <w:bCs/>
          <w:color w:val="auto"/>
          <w:sz w:val="21"/>
          <w:szCs w:val="21"/>
          <w:highlight w:val="none"/>
          <w:u w:val="single"/>
        </w:rPr>
        <w:t>）</w:t>
      </w:r>
      <w:r>
        <w:rPr>
          <w:rFonts w:hint="eastAsia" w:ascii="宋体" w:hAnsi="宋体" w:eastAsia="宋体" w:cs="宋体"/>
          <w:color w:val="auto"/>
          <w:sz w:val="21"/>
          <w:szCs w:val="21"/>
          <w:highlight w:val="none"/>
          <w:u w:val="single"/>
        </w:rPr>
        <w:t>、</w:t>
      </w:r>
      <w:r>
        <w:rPr>
          <w:rFonts w:hint="eastAsia" w:ascii="宋体" w:hAnsi="宋体" w:eastAsia="宋体" w:cs="宋体"/>
          <w:color w:val="auto"/>
          <w:kern w:val="0"/>
          <w:sz w:val="21"/>
          <w:szCs w:val="21"/>
          <w:highlight w:val="none"/>
          <w:u w:val="single"/>
        </w:rPr>
        <w:t>承包人</w:t>
      </w:r>
      <w:r>
        <w:rPr>
          <w:rFonts w:hint="eastAsia" w:ascii="宋体" w:hAnsi="宋体" w:eastAsia="宋体" w:cs="宋体"/>
          <w:color w:val="auto"/>
          <w:kern w:val="0"/>
          <w:sz w:val="21"/>
          <w:szCs w:val="21"/>
          <w:highlight w:val="none"/>
          <w:u w:val="single"/>
          <w:lang w:val="en-US" w:eastAsia="zh-CN"/>
        </w:rPr>
        <w:t>应</w:t>
      </w:r>
      <w:r>
        <w:rPr>
          <w:rFonts w:hint="eastAsia" w:ascii="宋体" w:hAnsi="宋体" w:eastAsia="宋体" w:cs="宋体"/>
          <w:color w:val="auto"/>
          <w:kern w:val="0"/>
          <w:sz w:val="21"/>
          <w:szCs w:val="21"/>
          <w:highlight w:val="none"/>
          <w:u w:val="single"/>
        </w:rPr>
        <w:t>根据工程进度，按照有关规定，及时填写各项资料。</w:t>
      </w:r>
      <w:r>
        <w:rPr>
          <w:rFonts w:hint="eastAsia" w:ascii="宋体" w:hAnsi="宋体" w:eastAsia="宋体" w:cs="宋体"/>
          <w:color w:val="auto"/>
          <w:sz w:val="21"/>
          <w:szCs w:val="21"/>
          <w:highlight w:val="none"/>
          <w:u w:val="single"/>
        </w:rPr>
        <w:t>在竣工验收时，</w:t>
      </w:r>
      <w:r>
        <w:rPr>
          <w:rFonts w:hint="eastAsia" w:ascii="宋体" w:hAnsi="宋体" w:eastAsia="宋体" w:cs="宋体"/>
          <w:color w:val="auto"/>
          <w:kern w:val="0"/>
          <w:sz w:val="21"/>
          <w:szCs w:val="21"/>
          <w:highlight w:val="none"/>
          <w:u w:val="single"/>
        </w:rPr>
        <w:t>完善工程档案，向</w:t>
      </w:r>
      <w:r>
        <w:rPr>
          <w:rFonts w:hint="eastAsia" w:ascii="宋体" w:hAnsi="宋体" w:eastAsia="宋体" w:cs="宋体"/>
          <w:color w:val="auto"/>
          <w:kern w:val="0"/>
          <w:sz w:val="21"/>
          <w:szCs w:val="21"/>
          <w:highlight w:val="none"/>
          <w:u w:val="single"/>
          <w:lang w:eastAsia="zh-CN"/>
        </w:rPr>
        <w:t>发包人</w:t>
      </w:r>
      <w:r>
        <w:rPr>
          <w:rFonts w:hint="eastAsia" w:ascii="宋体" w:hAnsi="宋体" w:eastAsia="宋体" w:cs="宋体"/>
          <w:color w:val="auto"/>
          <w:kern w:val="0"/>
          <w:sz w:val="21"/>
          <w:szCs w:val="21"/>
          <w:highlight w:val="none"/>
          <w:u w:val="single"/>
        </w:rPr>
        <w:t>提供竣工结算资料</w:t>
      </w:r>
      <w:r>
        <w:rPr>
          <w:rFonts w:hint="eastAsia" w:ascii="宋体" w:hAnsi="宋体" w:eastAsia="宋体" w:cs="宋体"/>
          <w:color w:val="auto"/>
          <w:kern w:val="0"/>
          <w:sz w:val="21"/>
          <w:szCs w:val="21"/>
          <w:highlight w:val="none"/>
          <w:u w:val="single"/>
          <w:lang w:eastAsia="zh-CN"/>
        </w:rPr>
        <w:t>，</w:t>
      </w:r>
      <w:r>
        <w:rPr>
          <w:rFonts w:hint="eastAsia" w:ascii="宋体" w:hAnsi="宋体" w:eastAsia="宋体" w:cs="宋体"/>
          <w:color w:val="auto"/>
          <w:sz w:val="21"/>
          <w:szCs w:val="21"/>
          <w:highlight w:val="none"/>
          <w:u w:val="single"/>
        </w:rPr>
        <w:t>应向招标人提供按国家有关部门的规格要求编制成册的工程竣工图及有关的技术档案资料，并提供包含竣工图的技术档案电子光盘。</w:t>
      </w:r>
    </w:p>
    <w:p w14:paraId="2D62456F">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w:t>
      </w:r>
      <w:r>
        <w:rPr>
          <w:rFonts w:hint="eastAsia" w:ascii="宋体" w:hAnsi="宋体" w:eastAsia="宋体" w:cs="宋体"/>
          <w:bCs/>
          <w:color w:val="auto"/>
          <w:sz w:val="21"/>
          <w:szCs w:val="21"/>
          <w:highlight w:val="none"/>
          <w:u w:val="single"/>
          <w:lang w:val="en-US" w:eastAsia="zh-CN"/>
        </w:rPr>
        <w:t>14</w:t>
      </w:r>
      <w:r>
        <w:rPr>
          <w:rFonts w:hint="eastAsia" w:ascii="宋体" w:hAnsi="宋体" w:eastAsia="宋体" w:cs="宋体"/>
          <w:bCs/>
          <w:color w:val="auto"/>
          <w:sz w:val="21"/>
          <w:szCs w:val="21"/>
          <w:highlight w:val="none"/>
          <w:u w:val="single"/>
        </w:rPr>
        <w:t>）</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u w:val="single"/>
          <w:lang w:eastAsia="zh-CN"/>
        </w:rPr>
        <w:t>承包人</w:t>
      </w:r>
      <w:r>
        <w:rPr>
          <w:rFonts w:hint="eastAsia" w:ascii="宋体" w:hAnsi="宋体" w:eastAsia="宋体" w:cs="宋体"/>
          <w:color w:val="auto"/>
          <w:sz w:val="21"/>
          <w:szCs w:val="21"/>
          <w:highlight w:val="none"/>
          <w:u w:val="single"/>
        </w:rPr>
        <w:t>的施工方案须待</w:t>
      </w:r>
      <w:r>
        <w:rPr>
          <w:rFonts w:hint="eastAsia" w:ascii="宋体" w:hAnsi="宋体" w:eastAsia="宋体" w:cs="宋体"/>
          <w:color w:val="auto"/>
          <w:sz w:val="21"/>
          <w:szCs w:val="21"/>
          <w:highlight w:val="none"/>
          <w:u w:val="single"/>
          <w:lang w:eastAsia="zh-CN"/>
        </w:rPr>
        <w:t>发包人</w:t>
      </w:r>
      <w:r>
        <w:rPr>
          <w:rFonts w:hint="eastAsia" w:ascii="宋体" w:hAnsi="宋体" w:eastAsia="宋体" w:cs="宋体"/>
          <w:color w:val="auto"/>
          <w:sz w:val="21"/>
          <w:szCs w:val="21"/>
          <w:highlight w:val="none"/>
          <w:u w:val="single"/>
        </w:rPr>
        <w:t>确认后方可施工。</w:t>
      </w:r>
      <w:r>
        <w:rPr>
          <w:rFonts w:hint="eastAsia" w:ascii="宋体" w:hAnsi="宋体" w:eastAsia="宋体" w:cs="宋体"/>
          <w:color w:val="auto"/>
          <w:sz w:val="21"/>
          <w:szCs w:val="21"/>
          <w:highlight w:val="none"/>
          <w:u w:val="single"/>
          <w:lang w:val="en-US" w:eastAsia="zh-CN"/>
        </w:rPr>
        <w:t>承包人应</w:t>
      </w:r>
      <w:r>
        <w:rPr>
          <w:rFonts w:hint="eastAsia" w:ascii="宋体" w:hAnsi="宋体" w:eastAsia="宋体" w:cs="宋体"/>
          <w:color w:val="auto"/>
          <w:sz w:val="21"/>
          <w:szCs w:val="21"/>
          <w:highlight w:val="none"/>
          <w:u w:val="single"/>
          <w:lang w:val="en-US"/>
        </w:rPr>
        <w:t>强化隐蔽工程验收、中间交接验收、分局部项工程预验收管理，规范竣工验收管理。层层把关，全过程控制，到达样板工程的质量目标。隐蔽工程必须经</w:t>
      </w:r>
      <w:r>
        <w:rPr>
          <w:rFonts w:hint="eastAsia" w:ascii="宋体" w:hAnsi="宋体" w:eastAsia="宋体" w:cs="宋体"/>
          <w:color w:val="auto"/>
          <w:sz w:val="21"/>
          <w:szCs w:val="21"/>
          <w:highlight w:val="none"/>
          <w:u w:val="single"/>
          <w:lang w:val="en-US" w:eastAsia="zh-CN"/>
        </w:rPr>
        <w:t>发包人</w:t>
      </w:r>
      <w:r>
        <w:rPr>
          <w:rFonts w:hint="eastAsia" w:ascii="宋体" w:hAnsi="宋体" w:eastAsia="宋体" w:cs="宋体"/>
          <w:color w:val="auto"/>
          <w:sz w:val="21"/>
          <w:szCs w:val="21"/>
          <w:highlight w:val="none"/>
          <w:u w:val="single"/>
          <w:lang w:val="en-US"/>
        </w:rPr>
        <w:t>现场人员验收合格并签字后才可进入下一工序</w:t>
      </w:r>
      <w:r>
        <w:rPr>
          <w:rFonts w:hint="eastAsia" w:ascii="宋体" w:hAnsi="宋体" w:eastAsia="宋体" w:cs="宋体"/>
          <w:color w:val="auto"/>
          <w:sz w:val="21"/>
          <w:szCs w:val="21"/>
          <w:highlight w:val="none"/>
          <w:u w:val="single"/>
          <w:lang w:val="en-US" w:eastAsia="zh-CN"/>
        </w:rPr>
        <w:t>。</w:t>
      </w:r>
    </w:p>
    <w:p w14:paraId="132AB003">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w:t>
      </w:r>
      <w:r>
        <w:rPr>
          <w:rFonts w:hint="eastAsia" w:ascii="宋体" w:hAnsi="宋体" w:eastAsia="宋体" w:cs="宋体"/>
          <w:bCs/>
          <w:color w:val="auto"/>
          <w:sz w:val="21"/>
          <w:szCs w:val="21"/>
          <w:highlight w:val="none"/>
          <w:u w:val="single"/>
          <w:lang w:val="en-US" w:eastAsia="zh-CN"/>
        </w:rPr>
        <w:t>15</w:t>
      </w:r>
      <w:r>
        <w:rPr>
          <w:rFonts w:hint="eastAsia" w:ascii="宋体" w:hAnsi="宋体" w:eastAsia="宋体" w:cs="宋体"/>
          <w:bCs/>
          <w:color w:val="auto"/>
          <w:sz w:val="21"/>
          <w:szCs w:val="21"/>
          <w:highlight w:val="none"/>
          <w:u w:val="single"/>
        </w:rPr>
        <w:t>）</w:t>
      </w:r>
      <w:r>
        <w:rPr>
          <w:rFonts w:hint="eastAsia" w:ascii="宋体" w:hAnsi="宋体" w:eastAsia="宋体" w:cs="宋体"/>
          <w:color w:val="auto"/>
          <w:sz w:val="21"/>
          <w:szCs w:val="21"/>
          <w:highlight w:val="none"/>
          <w:u w:val="single"/>
        </w:rPr>
        <w:t>、</w:t>
      </w:r>
      <w:r>
        <w:rPr>
          <w:rFonts w:hint="eastAsia" w:ascii="宋体" w:hAnsi="宋体" w:eastAsia="宋体" w:cs="宋体"/>
          <w:color w:val="auto"/>
          <w:kern w:val="0"/>
          <w:sz w:val="21"/>
          <w:szCs w:val="21"/>
          <w:highlight w:val="none"/>
          <w:u w:val="single"/>
        </w:rPr>
        <w:t>承包人</w:t>
      </w:r>
      <w:r>
        <w:rPr>
          <w:rFonts w:hint="eastAsia" w:ascii="宋体" w:hAnsi="宋体" w:eastAsia="宋体" w:cs="宋体"/>
          <w:color w:val="auto"/>
          <w:sz w:val="21"/>
          <w:szCs w:val="21"/>
          <w:highlight w:val="none"/>
          <w:u w:val="single"/>
        </w:rPr>
        <w:t>所提供设备必须是厂商原装的、全新的，其型号、性能及指标符合招标图纸提出的有关技术、质量、安全要求及国家标准的设备。</w:t>
      </w:r>
    </w:p>
    <w:p w14:paraId="315BE11E">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w:t>
      </w:r>
      <w:r>
        <w:rPr>
          <w:rFonts w:hint="eastAsia" w:ascii="宋体" w:hAnsi="宋体" w:eastAsia="宋体" w:cs="宋体"/>
          <w:bCs/>
          <w:color w:val="auto"/>
          <w:sz w:val="21"/>
          <w:szCs w:val="21"/>
          <w:highlight w:val="none"/>
          <w:u w:val="single"/>
          <w:lang w:val="en-US" w:eastAsia="zh-CN"/>
        </w:rPr>
        <w:t>16</w:t>
      </w:r>
      <w:r>
        <w:rPr>
          <w:rFonts w:hint="eastAsia" w:ascii="宋体" w:hAnsi="宋体" w:eastAsia="宋体" w:cs="宋体"/>
          <w:bCs/>
          <w:color w:val="auto"/>
          <w:sz w:val="21"/>
          <w:szCs w:val="21"/>
          <w:highlight w:val="none"/>
          <w:u w:val="single"/>
        </w:rPr>
        <w:t>）</w:t>
      </w:r>
      <w:r>
        <w:rPr>
          <w:rFonts w:hint="eastAsia" w:ascii="宋体" w:hAnsi="宋体" w:eastAsia="宋体" w:cs="宋体"/>
          <w:color w:val="auto"/>
          <w:sz w:val="21"/>
          <w:szCs w:val="21"/>
          <w:highlight w:val="none"/>
          <w:u w:val="single"/>
        </w:rPr>
        <w:t>、</w:t>
      </w:r>
      <w:r>
        <w:rPr>
          <w:rFonts w:hint="eastAsia" w:ascii="宋体" w:hAnsi="宋体" w:eastAsia="宋体" w:cs="宋体"/>
          <w:color w:val="auto"/>
          <w:kern w:val="0"/>
          <w:sz w:val="21"/>
          <w:szCs w:val="21"/>
          <w:highlight w:val="none"/>
          <w:u w:val="single"/>
        </w:rPr>
        <w:t>承包人</w:t>
      </w:r>
      <w:r>
        <w:rPr>
          <w:rFonts w:hint="eastAsia" w:ascii="宋体" w:hAnsi="宋体" w:eastAsia="宋体" w:cs="宋体"/>
          <w:color w:val="auto"/>
          <w:sz w:val="21"/>
          <w:szCs w:val="21"/>
          <w:highlight w:val="none"/>
          <w:u w:val="single"/>
        </w:rPr>
        <w:t>所提供设备的主要技术参数、运行条件、运行环境、功能符合图纸、</w:t>
      </w:r>
      <w:r>
        <w:rPr>
          <w:rFonts w:hint="eastAsia" w:ascii="宋体" w:hAnsi="宋体" w:eastAsia="宋体" w:cs="宋体"/>
          <w:color w:val="auto"/>
          <w:sz w:val="21"/>
          <w:szCs w:val="21"/>
          <w:highlight w:val="none"/>
          <w:u w:val="single"/>
          <w:lang w:eastAsia="zh-CN"/>
        </w:rPr>
        <w:t>竞争性谈判文件</w:t>
      </w:r>
      <w:r>
        <w:rPr>
          <w:rFonts w:hint="eastAsia" w:ascii="宋体" w:hAnsi="宋体" w:eastAsia="宋体" w:cs="宋体"/>
          <w:color w:val="auto"/>
          <w:sz w:val="21"/>
          <w:szCs w:val="21"/>
          <w:highlight w:val="none"/>
          <w:u w:val="single"/>
        </w:rPr>
        <w:t>要求并达到国家有关规定及验收标准。</w:t>
      </w:r>
    </w:p>
    <w:p w14:paraId="1A8E784E">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w:t>
      </w:r>
      <w:r>
        <w:rPr>
          <w:rFonts w:hint="eastAsia" w:ascii="宋体" w:hAnsi="宋体" w:eastAsia="宋体" w:cs="宋体"/>
          <w:bCs/>
          <w:color w:val="auto"/>
          <w:sz w:val="21"/>
          <w:szCs w:val="21"/>
          <w:highlight w:val="none"/>
          <w:u w:val="single"/>
          <w:lang w:val="en-US" w:eastAsia="zh-CN"/>
        </w:rPr>
        <w:t>17</w:t>
      </w:r>
      <w:r>
        <w:rPr>
          <w:rFonts w:hint="eastAsia" w:ascii="宋体" w:hAnsi="宋体" w:eastAsia="宋体" w:cs="宋体"/>
          <w:bCs/>
          <w:color w:val="auto"/>
          <w:sz w:val="21"/>
          <w:szCs w:val="21"/>
          <w:highlight w:val="none"/>
          <w:u w:val="single"/>
        </w:rPr>
        <w:t>）</w:t>
      </w:r>
      <w:r>
        <w:rPr>
          <w:rFonts w:hint="eastAsia" w:ascii="宋体" w:hAnsi="宋体" w:eastAsia="宋体" w:cs="宋体"/>
          <w:color w:val="auto"/>
          <w:sz w:val="21"/>
          <w:szCs w:val="21"/>
          <w:highlight w:val="none"/>
          <w:u w:val="single"/>
        </w:rPr>
        <w:t>、</w:t>
      </w:r>
      <w:r>
        <w:rPr>
          <w:rFonts w:hint="eastAsia" w:ascii="宋体" w:hAnsi="宋体" w:eastAsia="宋体" w:cs="宋体"/>
          <w:color w:val="auto"/>
          <w:kern w:val="0"/>
          <w:sz w:val="21"/>
          <w:szCs w:val="21"/>
          <w:highlight w:val="none"/>
          <w:u w:val="single"/>
        </w:rPr>
        <w:t>承包人</w:t>
      </w:r>
      <w:r>
        <w:rPr>
          <w:rFonts w:hint="eastAsia" w:ascii="宋体" w:hAnsi="宋体" w:eastAsia="宋体" w:cs="宋体"/>
          <w:color w:val="auto"/>
          <w:sz w:val="21"/>
          <w:szCs w:val="21"/>
          <w:highlight w:val="none"/>
          <w:u w:val="single"/>
        </w:rPr>
        <w:t>所提供的设备品牌，必须在参阅图纸的基础上，符合图纸、</w:t>
      </w:r>
      <w:r>
        <w:rPr>
          <w:rFonts w:hint="eastAsia" w:ascii="宋体" w:hAnsi="宋体" w:eastAsia="宋体" w:cs="宋体"/>
          <w:color w:val="auto"/>
          <w:sz w:val="21"/>
          <w:szCs w:val="21"/>
          <w:highlight w:val="none"/>
          <w:u w:val="single"/>
          <w:lang w:eastAsia="zh-CN"/>
        </w:rPr>
        <w:t>竞争性谈判文件</w:t>
      </w:r>
      <w:r>
        <w:rPr>
          <w:rFonts w:hint="eastAsia" w:ascii="宋体" w:hAnsi="宋体" w:eastAsia="宋体" w:cs="宋体"/>
          <w:color w:val="auto"/>
          <w:sz w:val="21"/>
          <w:szCs w:val="21"/>
          <w:highlight w:val="none"/>
          <w:u w:val="single"/>
        </w:rPr>
        <w:t>及使用功能要求。</w:t>
      </w:r>
    </w:p>
    <w:p w14:paraId="7CD8DA51">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w:t>
      </w:r>
      <w:r>
        <w:rPr>
          <w:rFonts w:hint="eastAsia" w:ascii="宋体" w:hAnsi="宋体" w:eastAsia="宋体" w:cs="宋体"/>
          <w:bCs/>
          <w:color w:val="auto"/>
          <w:sz w:val="21"/>
          <w:szCs w:val="21"/>
          <w:highlight w:val="none"/>
          <w:u w:val="single"/>
          <w:lang w:val="en-US" w:eastAsia="zh-CN"/>
        </w:rPr>
        <w:t>18</w:t>
      </w:r>
      <w:r>
        <w:rPr>
          <w:rFonts w:hint="eastAsia" w:ascii="宋体" w:hAnsi="宋体" w:eastAsia="宋体" w:cs="宋体"/>
          <w:bCs/>
          <w:color w:val="auto"/>
          <w:sz w:val="21"/>
          <w:szCs w:val="21"/>
          <w:highlight w:val="none"/>
          <w:u w:val="single"/>
        </w:rPr>
        <w:t>）</w:t>
      </w:r>
      <w:r>
        <w:rPr>
          <w:rFonts w:hint="eastAsia" w:ascii="宋体" w:hAnsi="宋体" w:eastAsia="宋体" w:cs="宋体"/>
          <w:color w:val="auto"/>
          <w:sz w:val="21"/>
          <w:szCs w:val="21"/>
          <w:highlight w:val="none"/>
          <w:u w:val="single"/>
        </w:rPr>
        <w:t>、若在工程移交后，发现有工程需要保修而</w:t>
      </w:r>
      <w:r>
        <w:rPr>
          <w:rFonts w:hint="eastAsia" w:ascii="宋体" w:hAnsi="宋体" w:eastAsia="宋体" w:cs="宋体"/>
          <w:color w:val="auto"/>
          <w:kern w:val="0"/>
          <w:sz w:val="21"/>
          <w:szCs w:val="21"/>
          <w:highlight w:val="none"/>
          <w:u w:val="single"/>
        </w:rPr>
        <w:t>承包人</w:t>
      </w:r>
      <w:r>
        <w:rPr>
          <w:rFonts w:hint="eastAsia" w:ascii="宋体" w:hAnsi="宋体" w:eastAsia="宋体" w:cs="宋体"/>
          <w:color w:val="auto"/>
          <w:sz w:val="21"/>
          <w:szCs w:val="21"/>
          <w:highlight w:val="none"/>
          <w:u w:val="single"/>
        </w:rPr>
        <w:t>未按合同履行工程保修义务的，发包人有权直接委托第三方进行工程保修，该费用在承包人剩余工程款内扣除支付给第三方，发包人同时保留按合同有关条款对</w:t>
      </w:r>
      <w:r>
        <w:rPr>
          <w:rFonts w:hint="eastAsia" w:ascii="宋体" w:hAnsi="宋体" w:eastAsia="宋体" w:cs="宋体"/>
          <w:color w:val="auto"/>
          <w:kern w:val="0"/>
          <w:sz w:val="21"/>
          <w:szCs w:val="21"/>
          <w:highlight w:val="none"/>
          <w:u w:val="single"/>
        </w:rPr>
        <w:t>承包人</w:t>
      </w:r>
      <w:r>
        <w:rPr>
          <w:rFonts w:hint="eastAsia" w:ascii="宋体" w:hAnsi="宋体" w:eastAsia="宋体" w:cs="宋体"/>
          <w:color w:val="auto"/>
          <w:sz w:val="21"/>
          <w:szCs w:val="21"/>
          <w:highlight w:val="none"/>
          <w:u w:val="single"/>
        </w:rPr>
        <w:t>处以违约金的权利。</w:t>
      </w:r>
    </w:p>
    <w:p w14:paraId="5CBD10A5">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w:t>
      </w:r>
      <w:r>
        <w:rPr>
          <w:rFonts w:hint="eastAsia" w:ascii="宋体" w:hAnsi="宋体" w:eastAsia="宋体" w:cs="宋体"/>
          <w:bCs/>
          <w:color w:val="auto"/>
          <w:sz w:val="21"/>
          <w:szCs w:val="21"/>
          <w:highlight w:val="none"/>
          <w:u w:val="single"/>
          <w:lang w:val="en-US" w:eastAsia="zh-CN"/>
        </w:rPr>
        <w:t>19</w:t>
      </w:r>
      <w:r>
        <w:rPr>
          <w:rFonts w:hint="eastAsia" w:ascii="宋体" w:hAnsi="宋体" w:eastAsia="宋体" w:cs="宋体"/>
          <w:bCs/>
          <w:color w:val="auto"/>
          <w:sz w:val="21"/>
          <w:szCs w:val="21"/>
          <w:highlight w:val="none"/>
          <w:u w:val="single"/>
        </w:rPr>
        <w:t>）</w:t>
      </w:r>
      <w:r>
        <w:rPr>
          <w:rFonts w:hint="eastAsia" w:ascii="宋体" w:hAnsi="宋体" w:eastAsia="宋体" w:cs="宋体"/>
          <w:color w:val="auto"/>
          <w:sz w:val="21"/>
          <w:szCs w:val="21"/>
          <w:highlight w:val="none"/>
          <w:u w:val="single"/>
        </w:rPr>
        <w:t>、如</w:t>
      </w:r>
      <w:r>
        <w:rPr>
          <w:rFonts w:hint="eastAsia" w:ascii="宋体" w:hAnsi="宋体" w:eastAsia="宋体" w:cs="宋体"/>
          <w:color w:val="auto"/>
          <w:kern w:val="0"/>
          <w:sz w:val="21"/>
          <w:szCs w:val="21"/>
          <w:highlight w:val="none"/>
          <w:u w:val="single"/>
        </w:rPr>
        <w:t>承包人</w:t>
      </w:r>
      <w:r>
        <w:rPr>
          <w:rFonts w:hint="eastAsia" w:ascii="宋体" w:hAnsi="宋体" w:eastAsia="宋体" w:cs="宋体"/>
          <w:color w:val="auto"/>
          <w:sz w:val="21"/>
          <w:szCs w:val="21"/>
          <w:highlight w:val="none"/>
          <w:u w:val="single"/>
        </w:rPr>
        <w:t>拒绝与发包人签订施工合同，或不按合同规定履行职责，或在合同履行过程中出现违约情形的，发包人将有关情况上报上级主管部门，由上级主管部门根据有关规定进行处罚。</w:t>
      </w:r>
    </w:p>
    <w:p w14:paraId="6E1AA5CE">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u w:val="single"/>
        </w:rPr>
        <w:t>（</w:t>
      </w:r>
      <w:r>
        <w:rPr>
          <w:rFonts w:hint="eastAsia" w:ascii="宋体" w:hAnsi="宋体" w:eastAsia="宋体" w:cs="宋体"/>
          <w:bCs/>
          <w:color w:val="auto"/>
          <w:sz w:val="21"/>
          <w:szCs w:val="21"/>
          <w:highlight w:val="none"/>
          <w:u w:val="single"/>
          <w:lang w:val="en-US" w:eastAsia="zh-CN"/>
        </w:rPr>
        <w:t>20</w:t>
      </w:r>
      <w:r>
        <w:rPr>
          <w:rFonts w:hint="eastAsia" w:ascii="宋体" w:hAnsi="宋体" w:eastAsia="宋体" w:cs="宋体"/>
          <w:bCs/>
          <w:color w:val="auto"/>
          <w:sz w:val="21"/>
          <w:szCs w:val="21"/>
          <w:highlight w:val="none"/>
          <w:u w:val="single"/>
        </w:rPr>
        <w:t>）</w:t>
      </w:r>
      <w:r>
        <w:rPr>
          <w:rFonts w:hint="eastAsia" w:ascii="宋体" w:hAnsi="宋体" w:eastAsia="宋体" w:cs="宋体"/>
          <w:color w:val="auto"/>
          <w:sz w:val="21"/>
          <w:szCs w:val="21"/>
          <w:highlight w:val="none"/>
          <w:u w:val="single"/>
        </w:rPr>
        <w:t>、承包人要严格遵守政府主管部门的有关规定，切实履行职责，加强安全生产、文明施工的全方位管理，建立健全各管理体系，规范施工；对施工现场及操作过程应采取必要的安全技术措施，杜绝一切事故发生。</w:t>
      </w:r>
    </w:p>
    <w:p w14:paraId="33B61EA8">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lang w:eastAsia="zh-CN"/>
        </w:rPr>
        <w:t>承包人</w:t>
      </w:r>
      <w:r>
        <w:rPr>
          <w:rFonts w:hint="eastAsia" w:ascii="宋体" w:hAnsi="宋体" w:eastAsia="宋体" w:cs="宋体"/>
          <w:color w:val="auto"/>
          <w:sz w:val="21"/>
          <w:szCs w:val="21"/>
          <w:highlight w:val="none"/>
          <w:u w:val="single"/>
        </w:rPr>
        <w:t>在施工过程中，如收到</w:t>
      </w:r>
      <w:r>
        <w:rPr>
          <w:rFonts w:hint="eastAsia" w:ascii="宋体" w:hAnsi="宋体" w:eastAsia="宋体" w:cs="宋体"/>
          <w:color w:val="auto"/>
          <w:sz w:val="21"/>
          <w:szCs w:val="21"/>
          <w:highlight w:val="none"/>
          <w:u w:val="single"/>
          <w:lang w:eastAsia="zh-CN"/>
        </w:rPr>
        <w:t>发包人</w:t>
      </w:r>
      <w:r>
        <w:rPr>
          <w:rFonts w:hint="eastAsia" w:ascii="宋体" w:hAnsi="宋体" w:eastAsia="宋体" w:cs="宋体"/>
          <w:color w:val="auto"/>
          <w:sz w:val="21"/>
          <w:szCs w:val="21"/>
          <w:highlight w:val="none"/>
          <w:u w:val="single"/>
        </w:rPr>
        <w:t>通知停工撤场的，</w:t>
      </w:r>
      <w:r>
        <w:rPr>
          <w:rFonts w:hint="eastAsia" w:ascii="宋体" w:hAnsi="宋体" w:eastAsia="宋体" w:cs="宋体"/>
          <w:color w:val="auto"/>
          <w:sz w:val="21"/>
          <w:szCs w:val="21"/>
          <w:highlight w:val="none"/>
          <w:u w:val="single"/>
          <w:lang w:eastAsia="zh-CN"/>
        </w:rPr>
        <w:t>承包人</w:t>
      </w:r>
      <w:r>
        <w:rPr>
          <w:rFonts w:hint="eastAsia" w:ascii="宋体" w:hAnsi="宋体" w:eastAsia="宋体" w:cs="宋体"/>
          <w:color w:val="auto"/>
          <w:sz w:val="21"/>
          <w:szCs w:val="21"/>
          <w:highlight w:val="none"/>
          <w:u w:val="single"/>
        </w:rPr>
        <w:t>应在一个小时内停止施工且撤离施工现场，施工现场材料摆放整齐。如不能在规定时间内撤场的，</w:t>
      </w:r>
      <w:r>
        <w:rPr>
          <w:rFonts w:hint="eastAsia" w:ascii="宋体" w:hAnsi="宋体" w:eastAsia="宋体" w:cs="宋体"/>
          <w:color w:val="auto"/>
          <w:sz w:val="21"/>
          <w:szCs w:val="21"/>
          <w:highlight w:val="none"/>
          <w:u w:val="single"/>
          <w:lang w:eastAsia="zh-CN"/>
        </w:rPr>
        <w:t>发包人</w:t>
      </w:r>
      <w:r>
        <w:rPr>
          <w:rFonts w:hint="eastAsia" w:ascii="宋体" w:hAnsi="宋体" w:eastAsia="宋体" w:cs="宋体"/>
          <w:color w:val="auto"/>
          <w:sz w:val="21"/>
          <w:szCs w:val="21"/>
          <w:highlight w:val="none"/>
          <w:u w:val="single"/>
        </w:rPr>
        <w:t>对</w:t>
      </w:r>
      <w:r>
        <w:rPr>
          <w:rFonts w:hint="eastAsia" w:ascii="宋体" w:hAnsi="宋体" w:eastAsia="宋体" w:cs="宋体"/>
          <w:color w:val="auto"/>
          <w:sz w:val="21"/>
          <w:szCs w:val="21"/>
          <w:highlight w:val="none"/>
          <w:u w:val="single"/>
          <w:lang w:eastAsia="zh-CN"/>
        </w:rPr>
        <w:t>承包人</w:t>
      </w:r>
      <w:r>
        <w:rPr>
          <w:rFonts w:hint="eastAsia" w:ascii="宋体" w:hAnsi="宋体" w:eastAsia="宋体" w:cs="宋体"/>
          <w:color w:val="auto"/>
          <w:sz w:val="21"/>
          <w:szCs w:val="21"/>
          <w:highlight w:val="none"/>
          <w:u w:val="single"/>
        </w:rPr>
        <w:t xml:space="preserve">处予人民币 </w:t>
      </w:r>
      <w:r>
        <w:rPr>
          <w:rFonts w:hint="eastAsia" w:ascii="宋体" w:hAnsi="宋体" w:eastAsia="宋体" w:cs="宋体"/>
          <w:color w:val="auto"/>
          <w:sz w:val="21"/>
          <w:szCs w:val="21"/>
          <w:highlight w:val="none"/>
          <w:u w:val="single"/>
          <w:lang w:val="en-US" w:eastAsia="zh-CN"/>
        </w:rPr>
        <w:t>1</w:t>
      </w:r>
      <w:r>
        <w:rPr>
          <w:rFonts w:hint="eastAsia" w:ascii="宋体" w:hAnsi="宋体" w:eastAsia="宋体" w:cs="宋体"/>
          <w:color w:val="auto"/>
          <w:sz w:val="21"/>
          <w:szCs w:val="21"/>
          <w:highlight w:val="none"/>
          <w:u w:val="single"/>
        </w:rPr>
        <w:t>0000 元/ 次的违约金。</w:t>
      </w:r>
    </w:p>
    <w:p w14:paraId="11223AA1">
      <w:pPr>
        <w:spacing w:line="360" w:lineRule="auto"/>
        <w:ind w:firstLine="420" w:firstLineChars="200"/>
        <w:rPr>
          <w:rFonts w:hint="eastAsia" w:ascii="宋体" w:hAnsi="宋体" w:eastAsia="宋体" w:cs="宋体"/>
          <w:color w:val="auto"/>
          <w:sz w:val="21"/>
          <w:szCs w:val="21"/>
          <w:highlight w:val="none"/>
        </w:rPr>
      </w:pPr>
    </w:p>
    <w:p w14:paraId="034E2325">
      <w:pPr>
        <w:spacing w:line="360" w:lineRule="auto"/>
        <w:outlineLvl w:val="0"/>
        <w:rPr>
          <w:rFonts w:hint="eastAsia" w:ascii="宋体" w:hAnsi="宋体" w:eastAsia="宋体" w:cs="宋体"/>
          <w:b/>
          <w:color w:val="auto"/>
          <w:sz w:val="21"/>
          <w:szCs w:val="21"/>
          <w:highlight w:val="none"/>
          <w:lang w:val="en-US" w:eastAsia="zh-CN"/>
        </w:rPr>
      </w:pPr>
      <w:bookmarkStart w:id="188" w:name="_Toc14102"/>
      <w:bookmarkStart w:id="189" w:name="_Toc13409"/>
      <w:r>
        <w:rPr>
          <w:rFonts w:hint="eastAsia" w:ascii="宋体" w:hAnsi="宋体" w:eastAsia="宋体" w:cs="宋体"/>
          <w:b/>
          <w:color w:val="auto"/>
          <w:sz w:val="21"/>
          <w:szCs w:val="21"/>
          <w:highlight w:val="none"/>
        </w:rPr>
        <w:t>八、分包</w:t>
      </w:r>
      <w:r>
        <w:rPr>
          <w:rFonts w:hint="eastAsia" w:ascii="宋体" w:hAnsi="宋体" w:eastAsia="宋体" w:cs="宋体"/>
          <w:b/>
          <w:color w:val="auto"/>
          <w:sz w:val="21"/>
          <w:szCs w:val="21"/>
          <w:highlight w:val="none"/>
          <w:lang w:val="en-US" w:eastAsia="zh-CN"/>
        </w:rPr>
        <w:t>和工程变更</w:t>
      </w:r>
      <w:bookmarkEnd w:id="188"/>
      <w:bookmarkEnd w:id="189"/>
    </w:p>
    <w:p w14:paraId="08E6F3D3">
      <w:pPr>
        <w:spacing w:line="360" w:lineRule="auto"/>
        <w:ind w:firstLine="420" w:firstLineChars="200"/>
        <w:outlineLvl w:val="1"/>
        <w:rPr>
          <w:rFonts w:hint="eastAsia" w:ascii="宋体" w:hAnsi="宋体" w:eastAsia="宋体" w:cs="宋体"/>
          <w:color w:val="auto"/>
          <w:sz w:val="21"/>
          <w:szCs w:val="21"/>
          <w:highlight w:val="none"/>
        </w:rPr>
      </w:pPr>
      <w:bookmarkStart w:id="190" w:name="_Toc12668"/>
      <w:bookmarkStart w:id="191" w:name="_Toc17172"/>
      <w:r>
        <w:rPr>
          <w:rFonts w:hint="eastAsia" w:ascii="宋体" w:hAnsi="宋体" w:eastAsia="宋体" w:cs="宋体"/>
          <w:color w:val="auto"/>
          <w:sz w:val="21"/>
          <w:szCs w:val="21"/>
          <w:highlight w:val="none"/>
          <w:lang w:val="en-US" w:eastAsia="zh-CN"/>
        </w:rPr>
        <w:t>8.1</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承包的工程项目，不得分包或转包给其他任何单位，如</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未经</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书面同意擅自把工程分包或转包给其他任何单位，</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有权解除合同，</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应按合同总价款的20％向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支付违约金，并赔偿</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因此造成的一切损失</w:t>
      </w:r>
      <w:r>
        <w:rPr>
          <w:rFonts w:hint="eastAsia" w:ascii="宋体" w:hAnsi="宋体" w:eastAsia="宋体" w:cs="宋体"/>
          <w:color w:val="auto"/>
          <w:kern w:val="0"/>
          <w:sz w:val="21"/>
          <w:szCs w:val="21"/>
          <w:highlight w:val="none"/>
        </w:rPr>
        <w:t>。</w:t>
      </w:r>
      <w:bookmarkEnd w:id="190"/>
      <w:bookmarkEnd w:id="191"/>
    </w:p>
    <w:p w14:paraId="7E9AB41B">
      <w:pPr>
        <w:spacing w:line="360" w:lineRule="auto"/>
        <w:ind w:firstLine="420" w:firstLineChars="200"/>
        <w:rPr>
          <w:rFonts w:hint="eastAsia" w:ascii="宋体" w:hAnsi="宋体" w:eastAsia="宋体" w:cs="宋体"/>
          <w:color w:val="auto"/>
          <w:kern w:val="0"/>
          <w:sz w:val="21"/>
          <w:szCs w:val="21"/>
          <w:highlight w:val="none"/>
          <w:lang w:val="zh-CN"/>
        </w:rPr>
      </w:pP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lang w:val="en-US" w:eastAsia="zh-CN"/>
        </w:rPr>
        <w:t>1.1</w:t>
      </w:r>
      <w:r>
        <w:rPr>
          <w:rFonts w:hint="eastAsia" w:ascii="宋体" w:hAnsi="宋体" w:eastAsia="宋体" w:cs="宋体"/>
          <w:color w:val="auto"/>
          <w:sz w:val="21"/>
          <w:szCs w:val="21"/>
          <w:highlight w:val="none"/>
        </w:rPr>
        <w:t>劳务分包必须经过招标人的同意，承包人与劳务分包单位的劳务分包合同必须向发包人（或发包人的委托方）报备，由于承包人的原因拖欠工人工资的，发包人有权</w:t>
      </w:r>
      <w:r>
        <w:rPr>
          <w:rFonts w:hint="eastAsia" w:ascii="宋体" w:hAnsi="宋体" w:eastAsia="宋体" w:cs="宋体"/>
          <w:color w:val="auto"/>
          <w:sz w:val="21"/>
          <w:szCs w:val="21"/>
          <w:highlight w:val="none"/>
          <w:lang w:val="en-US" w:eastAsia="zh-CN"/>
        </w:rPr>
        <w:t>采取</w:t>
      </w:r>
      <w:r>
        <w:rPr>
          <w:rFonts w:hint="eastAsia" w:ascii="宋体" w:hAnsi="宋体" w:eastAsia="宋体" w:cs="宋体"/>
          <w:color w:val="auto"/>
          <w:sz w:val="21"/>
          <w:szCs w:val="21"/>
          <w:highlight w:val="none"/>
        </w:rPr>
        <w:t>暂缓支付承包人的工程款</w:t>
      </w:r>
      <w:r>
        <w:rPr>
          <w:rFonts w:hint="eastAsia" w:ascii="宋体" w:hAnsi="宋体" w:eastAsia="宋体" w:cs="宋体"/>
          <w:color w:val="auto"/>
          <w:sz w:val="21"/>
          <w:szCs w:val="21"/>
          <w:highlight w:val="none"/>
          <w:lang w:val="en-US" w:eastAsia="zh-CN"/>
        </w:rPr>
        <w:t>等合理措施督促承包人履行工资支付义务并按合同约定追究违约责任</w:t>
      </w:r>
      <w:r>
        <w:rPr>
          <w:rFonts w:hint="eastAsia" w:ascii="宋体" w:hAnsi="宋体" w:eastAsia="宋体" w:cs="宋体"/>
          <w:color w:val="auto"/>
          <w:sz w:val="21"/>
          <w:szCs w:val="21"/>
          <w:highlight w:val="none"/>
        </w:rPr>
        <w:t>。</w:t>
      </w:r>
    </w:p>
    <w:p w14:paraId="0FCF3DA1">
      <w:pPr>
        <w:spacing w:line="360" w:lineRule="auto"/>
        <w:ind w:firstLine="420" w:firstLineChars="200"/>
        <w:rPr>
          <w:rFonts w:hint="eastAsia" w:ascii="宋体" w:hAnsi="宋体" w:eastAsia="宋体" w:cs="宋体"/>
          <w:b w:val="0"/>
          <w:color w:val="auto"/>
          <w:kern w:val="0"/>
          <w:sz w:val="21"/>
          <w:szCs w:val="21"/>
          <w:highlight w:val="none"/>
          <w:lang w:val="en-US" w:eastAsia="zh-CN"/>
        </w:rPr>
      </w:pPr>
      <w:r>
        <w:rPr>
          <w:rFonts w:hint="eastAsia" w:ascii="宋体" w:hAnsi="宋体" w:eastAsia="宋体" w:cs="宋体"/>
          <w:b w:val="0"/>
          <w:color w:val="auto"/>
          <w:kern w:val="0"/>
          <w:sz w:val="21"/>
          <w:szCs w:val="21"/>
          <w:highlight w:val="none"/>
          <w:lang w:val="en-US" w:eastAsia="zh-CN"/>
        </w:rPr>
        <w:t>8.2</w:t>
      </w:r>
      <w:bookmarkStart w:id="192" w:name="_Toc15970"/>
      <w:r>
        <w:rPr>
          <w:rFonts w:hint="eastAsia" w:ascii="宋体" w:hAnsi="宋体" w:eastAsia="宋体" w:cs="宋体"/>
          <w:b w:val="0"/>
          <w:color w:val="auto"/>
          <w:kern w:val="0"/>
          <w:sz w:val="21"/>
          <w:szCs w:val="21"/>
          <w:highlight w:val="none"/>
          <w:lang w:val="en-US" w:eastAsia="zh-CN"/>
        </w:rPr>
        <w:t>工程变更</w:t>
      </w:r>
    </w:p>
    <w:p w14:paraId="7EE99961">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8.2.1</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交付的设计图纸、说明和有关技术资料，</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应在施工前予以复核、确认，</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不得擅自修改。</w:t>
      </w:r>
    </w:p>
    <w:p w14:paraId="5B6A7C3E">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施工中如发现设计有错误或者严重不合理的地方，</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应立即停工并以书面形式通知</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（最迟不得超过发现之日起三日），由</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及时会同设计等单位作出修改意见或变更设计文件，并及时将修改或变更的设计文件送达</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应按修改或变更的设计文件进行施工。</w:t>
      </w:r>
    </w:p>
    <w:p w14:paraId="2611A38D">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3  </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如需变更设计，必须由原设计单位作出正式修改通知书和修改图纸，并送达给</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才予实施。</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在收到</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的通知后，须按</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的要求停工。如无设计变更通知或不按设计变更通知实施或设计变更通知未经</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确认先行实施的，</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一概不予付款，责任由</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自行承担。</w:t>
      </w:r>
    </w:p>
    <w:p w14:paraId="08EDCB29">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4  发生增加工程时，</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需作书面通知，</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报价经</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确认后，</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必须在所有工程量完工后15天内如实、严谨地向</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报送工程签证，否则</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有权拒收并视此增加工程不涉及合同价款的增加。</w:t>
      </w:r>
    </w:p>
    <w:p w14:paraId="187585F0">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5合同履行中，</w:t>
      </w:r>
      <w:r>
        <w:rPr>
          <w:rFonts w:hint="eastAsia" w:ascii="宋体" w:hAnsi="宋体" w:eastAsia="宋体" w:cs="宋体"/>
          <w:color w:val="auto"/>
          <w:kern w:val="0"/>
          <w:sz w:val="21"/>
          <w:szCs w:val="21"/>
          <w:highlight w:val="none"/>
          <w:lang w:eastAsia="zh-CN"/>
        </w:rPr>
        <w:t>发包人</w:t>
      </w:r>
      <w:r>
        <w:rPr>
          <w:rFonts w:hint="eastAsia" w:ascii="宋体" w:hAnsi="宋体" w:eastAsia="宋体" w:cs="宋体"/>
          <w:color w:val="auto"/>
          <w:kern w:val="0"/>
          <w:sz w:val="21"/>
          <w:szCs w:val="21"/>
          <w:highlight w:val="none"/>
        </w:rPr>
        <w:t>需追加与合同标的相同的工程、货物、服务的，在不改变合同其他条款的前提下，可以与</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协商签订补充合同，但所有补充合同的采购金额不得超过原合同采购金额的百分之十。</w:t>
      </w:r>
    </w:p>
    <w:p w14:paraId="43F73DE2">
      <w:pPr>
        <w:tabs>
          <w:tab w:val="left" w:pos="720"/>
        </w:tabs>
        <w:spacing w:line="360" w:lineRule="auto"/>
        <w:outlineLvl w:val="0"/>
        <w:rPr>
          <w:rFonts w:hint="eastAsia" w:ascii="宋体" w:hAnsi="宋体" w:eastAsia="宋体" w:cs="宋体"/>
          <w:b/>
          <w:color w:val="auto"/>
          <w:sz w:val="21"/>
          <w:szCs w:val="21"/>
          <w:highlight w:val="none"/>
        </w:rPr>
      </w:pPr>
    </w:p>
    <w:p w14:paraId="1D301F68">
      <w:pPr>
        <w:tabs>
          <w:tab w:val="left" w:pos="720"/>
        </w:tabs>
        <w:spacing w:line="360" w:lineRule="auto"/>
        <w:outlineLvl w:val="0"/>
        <w:rPr>
          <w:rFonts w:hint="eastAsia" w:ascii="宋体" w:hAnsi="宋体" w:eastAsia="宋体" w:cs="宋体"/>
          <w:b/>
          <w:color w:val="auto"/>
          <w:sz w:val="21"/>
          <w:szCs w:val="21"/>
          <w:highlight w:val="none"/>
        </w:rPr>
      </w:pPr>
      <w:bookmarkStart w:id="193" w:name="_Toc17125"/>
      <w:bookmarkStart w:id="194" w:name="_Toc15754"/>
      <w:r>
        <w:rPr>
          <w:rFonts w:hint="eastAsia" w:ascii="宋体" w:hAnsi="宋体" w:eastAsia="宋体" w:cs="宋体"/>
          <w:b/>
          <w:color w:val="auto"/>
          <w:sz w:val="21"/>
          <w:szCs w:val="21"/>
          <w:highlight w:val="none"/>
          <w:lang w:val="en-US" w:eastAsia="zh-CN"/>
        </w:rPr>
        <w:t>九、</w:t>
      </w:r>
      <w:r>
        <w:rPr>
          <w:rFonts w:hint="eastAsia" w:ascii="宋体" w:hAnsi="宋体" w:eastAsia="宋体" w:cs="宋体"/>
          <w:b/>
          <w:color w:val="auto"/>
          <w:sz w:val="21"/>
          <w:szCs w:val="21"/>
          <w:highlight w:val="none"/>
        </w:rPr>
        <w:t>项目完工验收及标准</w:t>
      </w:r>
      <w:bookmarkEnd w:id="192"/>
      <w:bookmarkEnd w:id="193"/>
      <w:bookmarkEnd w:id="194"/>
    </w:p>
    <w:p w14:paraId="0393BB0B">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9.1项目完工后承包人以书面形式通知发包人验收，由双方派代表到现场验收，验收以设计图、修改附图、报价单所载明的技术标准和数量进行。物品采购及项目质量须符合国家、广东省及</w:t>
      </w:r>
      <w:r>
        <w:rPr>
          <w:rFonts w:hint="eastAsia" w:ascii="宋体" w:hAnsi="宋体" w:eastAsia="宋体" w:cs="宋体"/>
          <w:color w:val="auto"/>
          <w:sz w:val="21"/>
          <w:szCs w:val="21"/>
          <w:highlight w:val="none"/>
          <w:lang w:eastAsia="zh-CN"/>
        </w:rPr>
        <w:t>东莞市</w:t>
      </w:r>
      <w:r>
        <w:rPr>
          <w:rFonts w:hint="eastAsia" w:ascii="宋体" w:hAnsi="宋体" w:eastAsia="宋体" w:cs="宋体"/>
          <w:color w:val="auto"/>
          <w:sz w:val="21"/>
          <w:szCs w:val="21"/>
          <w:highlight w:val="none"/>
        </w:rPr>
        <w:t>现行验收规范，经质量评定为合格及以上。如果现行的国家及</w:t>
      </w:r>
      <w:r>
        <w:rPr>
          <w:rFonts w:hint="eastAsia" w:ascii="宋体" w:hAnsi="宋体" w:eastAsia="宋体" w:cs="宋体"/>
          <w:color w:val="auto"/>
          <w:sz w:val="21"/>
          <w:szCs w:val="21"/>
          <w:highlight w:val="none"/>
          <w:lang w:eastAsia="zh-CN"/>
        </w:rPr>
        <w:t>东莞市</w:t>
      </w:r>
      <w:r>
        <w:rPr>
          <w:rFonts w:hint="eastAsia" w:ascii="宋体" w:hAnsi="宋体" w:eastAsia="宋体" w:cs="宋体"/>
          <w:color w:val="auto"/>
          <w:sz w:val="21"/>
          <w:szCs w:val="21"/>
          <w:highlight w:val="none"/>
        </w:rPr>
        <w:t>有关标准、规范之间与发包人或</w:t>
      </w:r>
      <w:r>
        <w:rPr>
          <w:rFonts w:hint="eastAsia" w:ascii="宋体" w:hAnsi="宋体" w:eastAsia="宋体" w:cs="宋体"/>
          <w:color w:val="auto"/>
          <w:sz w:val="21"/>
          <w:szCs w:val="21"/>
          <w:highlight w:val="none"/>
          <w:lang w:eastAsia="zh-CN"/>
        </w:rPr>
        <w:t>竞争性谈判文件</w:t>
      </w:r>
      <w:r>
        <w:rPr>
          <w:rFonts w:hint="eastAsia" w:ascii="宋体" w:hAnsi="宋体" w:eastAsia="宋体" w:cs="宋体"/>
          <w:color w:val="auto"/>
          <w:sz w:val="21"/>
          <w:szCs w:val="21"/>
          <w:highlight w:val="none"/>
        </w:rPr>
        <w:t>约定的要求不一致时，采用要求较高的标准。</w:t>
      </w:r>
    </w:p>
    <w:p w14:paraId="5512C962">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9.2验收标准：施工完成后需进行排烟效率测试、油烟浓度检测（委托第三方检测机构）、噪音检测及密封性试验，所有指标需符合本需求书及相关国家标准，检测费用由</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rPr>
        <w:t>承担。</w:t>
      </w:r>
    </w:p>
    <w:p w14:paraId="5EEE6453">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9.3</w:t>
      </w:r>
      <w:r>
        <w:rPr>
          <w:rFonts w:hint="eastAsia" w:ascii="宋体" w:hAnsi="宋体" w:eastAsia="宋体" w:cs="宋体"/>
          <w:color w:val="auto"/>
          <w:sz w:val="21"/>
          <w:szCs w:val="21"/>
          <w:highlight w:val="none"/>
        </w:rPr>
        <w:t>如项目经验收合格，则由发包人签发验收合格证书给承包人，承包人应立即清理项目现场，如验收不合格，承包人负责立即修正、更换或重做，如三次以上都无法达到验收合格的，发包人可以扣除相应款项，或者更换其他供应商，费用由承包人承担。</w:t>
      </w:r>
    </w:p>
    <w:p w14:paraId="3555743D">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项目完工验收合格后三日历天内，提交双方确认的验收报告及结算相关依据文件，移交场地或钥匙。</w:t>
      </w:r>
    </w:p>
    <w:p w14:paraId="7659CD02">
      <w:pPr>
        <w:tabs>
          <w:tab w:val="left" w:pos="624"/>
        </w:tabs>
        <w:spacing w:line="360" w:lineRule="auto"/>
        <w:ind w:firstLine="420" w:firstLineChars="200"/>
        <w:rPr>
          <w:rFonts w:hint="eastAsia" w:ascii="宋体" w:hAnsi="宋体" w:eastAsia="宋体" w:cs="宋体"/>
          <w:color w:val="auto"/>
          <w:sz w:val="21"/>
          <w:szCs w:val="21"/>
          <w:highlight w:val="none"/>
        </w:rPr>
      </w:pPr>
    </w:p>
    <w:p w14:paraId="37B2D789">
      <w:pPr>
        <w:tabs>
          <w:tab w:val="left" w:pos="720"/>
        </w:tabs>
        <w:spacing w:line="360" w:lineRule="auto"/>
        <w:outlineLvl w:val="0"/>
        <w:rPr>
          <w:rFonts w:hint="eastAsia" w:ascii="宋体" w:hAnsi="宋体" w:eastAsia="宋体" w:cs="宋体"/>
          <w:b/>
          <w:color w:val="auto"/>
          <w:sz w:val="21"/>
          <w:szCs w:val="21"/>
          <w:highlight w:val="none"/>
        </w:rPr>
      </w:pPr>
      <w:bookmarkStart w:id="195" w:name="_Toc638"/>
      <w:bookmarkStart w:id="196" w:name="_Toc3571"/>
      <w:bookmarkStart w:id="197" w:name="_Toc23047"/>
      <w:r>
        <w:rPr>
          <w:rFonts w:hint="eastAsia" w:ascii="宋体" w:hAnsi="宋体" w:eastAsia="宋体" w:cs="宋体"/>
          <w:b/>
          <w:color w:val="auto"/>
          <w:sz w:val="21"/>
          <w:szCs w:val="21"/>
          <w:highlight w:val="none"/>
        </w:rPr>
        <w:t>十、</w:t>
      </w:r>
      <w:bookmarkEnd w:id="195"/>
      <w:r>
        <w:rPr>
          <w:rFonts w:hint="eastAsia" w:ascii="宋体" w:hAnsi="宋体" w:eastAsia="宋体" w:cs="宋体"/>
          <w:b/>
          <w:color w:val="auto"/>
          <w:sz w:val="21"/>
          <w:szCs w:val="21"/>
          <w:highlight w:val="none"/>
        </w:rPr>
        <w:t>售后服务要求</w:t>
      </w:r>
      <w:bookmarkEnd w:id="196"/>
      <w:bookmarkEnd w:id="197"/>
    </w:p>
    <w:p w14:paraId="4339C140">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r>
        <w:rPr>
          <w:rFonts w:hint="eastAsia" w:ascii="宋体" w:hAnsi="宋体" w:eastAsia="宋体" w:cs="宋体"/>
          <w:color w:val="auto"/>
          <w:sz w:val="21"/>
          <w:szCs w:val="21"/>
          <w:highlight w:val="none"/>
          <w:lang w:val="en-US" w:eastAsia="zh-CN"/>
        </w:rPr>
        <w:t>质保期：整体系统质保期不少于2年，质保期内免费提供维修、更换故障部件服务，接到报修通知后4小时内响应，12小时内到场处理。</w:t>
      </w:r>
    </w:p>
    <w:p w14:paraId="1DF4388E">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10.2</w:t>
      </w:r>
      <w:r>
        <w:rPr>
          <w:rFonts w:hint="eastAsia" w:ascii="宋体" w:hAnsi="宋体" w:eastAsia="宋体" w:cs="宋体"/>
          <w:color w:val="auto"/>
          <w:sz w:val="21"/>
          <w:szCs w:val="21"/>
          <w:highlight w:val="none"/>
          <w:lang w:val="en-US" w:eastAsia="zh-CN"/>
        </w:rPr>
        <w:t>运维支持：质保期内每6个月提供一次上门巡检、清洗保养服务；质保期满后，提供终身维护服务，收取合理的材料及人工费用。</w:t>
      </w:r>
    </w:p>
    <w:p w14:paraId="23CF9D8C">
      <w:pPr>
        <w:tabs>
          <w:tab w:val="left" w:pos="624"/>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10.3</w:t>
      </w:r>
      <w:r>
        <w:rPr>
          <w:rFonts w:hint="eastAsia" w:ascii="宋体" w:hAnsi="宋体" w:eastAsia="宋体" w:cs="宋体"/>
          <w:color w:val="auto"/>
          <w:sz w:val="21"/>
          <w:szCs w:val="21"/>
          <w:highlight w:val="none"/>
          <w:lang w:val="en-US" w:eastAsia="zh-CN"/>
        </w:rPr>
        <w:t>培训服务：向采购人操作人员提供设备使用、日常维护及简单故障排查培训，确保能独立正常操作。</w:t>
      </w:r>
    </w:p>
    <w:p w14:paraId="6B8055BE">
      <w:pPr>
        <w:pStyle w:val="31"/>
        <w:numPr>
          <w:ilvl w:val="0"/>
          <w:numId w:val="0"/>
        </w:numPr>
        <w:spacing w:line="360" w:lineRule="auto"/>
        <w:rPr>
          <w:rFonts w:hint="eastAsia" w:ascii="宋体" w:hAnsi="宋体" w:eastAsia="宋体" w:cs="宋体"/>
          <w:color w:val="auto"/>
          <w:sz w:val="21"/>
          <w:szCs w:val="21"/>
          <w:highlight w:val="none"/>
        </w:rPr>
      </w:pPr>
    </w:p>
    <w:p w14:paraId="7ADAA8BD">
      <w:pPr>
        <w:spacing w:line="360" w:lineRule="auto"/>
        <w:outlineLvl w:val="0"/>
        <w:rPr>
          <w:rFonts w:hint="eastAsia" w:ascii="宋体" w:hAnsi="宋体" w:eastAsia="宋体" w:cs="宋体"/>
          <w:color w:val="auto"/>
          <w:sz w:val="21"/>
          <w:szCs w:val="21"/>
          <w:highlight w:val="none"/>
        </w:rPr>
      </w:pPr>
      <w:bookmarkStart w:id="198" w:name="_Toc8861"/>
      <w:bookmarkStart w:id="199" w:name="_Toc27489"/>
      <w:r>
        <w:rPr>
          <w:rFonts w:hint="eastAsia" w:ascii="宋体" w:hAnsi="宋体" w:eastAsia="宋体" w:cs="宋体"/>
          <w:b/>
          <w:bCs/>
          <w:color w:val="auto"/>
          <w:sz w:val="21"/>
          <w:szCs w:val="21"/>
          <w:highlight w:val="none"/>
        </w:rPr>
        <w:t>十一、违约责任</w:t>
      </w:r>
      <w:bookmarkEnd w:id="198"/>
      <w:bookmarkEnd w:id="199"/>
    </w:p>
    <w:p w14:paraId="78760D2E">
      <w:pPr>
        <w:spacing w:line="360" w:lineRule="auto"/>
        <w:ind w:firstLine="420" w:firstLineChars="200"/>
        <w:outlineLvl w:val="1"/>
        <w:rPr>
          <w:rFonts w:hint="eastAsia" w:ascii="宋体" w:hAnsi="宋体" w:eastAsia="宋体" w:cs="宋体"/>
          <w:color w:val="auto"/>
          <w:sz w:val="21"/>
          <w:szCs w:val="21"/>
          <w:highlight w:val="none"/>
        </w:rPr>
      </w:pPr>
      <w:bookmarkStart w:id="200" w:name="_Toc9105"/>
      <w:bookmarkStart w:id="201" w:name="_Toc26641"/>
      <w:r>
        <w:rPr>
          <w:rFonts w:hint="eastAsia" w:ascii="宋体" w:hAnsi="宋体" w:eastAsia="宋体" w:cs="宋体"/>
          <w:color w:val="auto"/>
          <w:sz w:val="21"/>
          <w:szCs w:val="21"/>
          <w:highlight w:val="none"/>
        </w:rPr>
        <w:t>11.1 发包人违约责任</w:t>
      </w:r>
      <w:bookmarkEnd w:id="200"/>
      <w:bookmarkEnd w:id="201"/>
    </w:p>
    <w:p w14:paraId="3A8B4470">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11.1.1因发包人原因未能在计划开工日期下达开工通知的责任：</w:t>
      </w:r>
      <w:r>
        <w:rPr>
          <w:rFonts w:hint="eastAsia" w:ascii="宋体" w:hAnsi="宋体" w:eastAsia="宋体" w:cs="宋体"/>
          <w:color w:val="auto"/>
          <w:sz w:val="21"/>
          <w:szCs w:val="21"/>
          <w:highlight w:val="none"/>
          <w:u w:val="single"/>
        </w:rPr>
        <w:t>工期</w:t>
      </w:r>
      <w:r>
        <w:rPr>
          <w:rFonts w:hint="eastAsia" w:ascii="宋体" w:hAnsi="宋体" w:eastAsia="宋体" w:cs="宋体"/>
          <w:color w:val="auto"/>
          <w:sz w:val="21"/>
          <w:szCs w:val="21"/>
          <w:highlight w:val="none"/>
          <w:u w:val="single"/>
          <w:lang w:val="en-US" w:eastAsia="zh-CN"/>
        </w:rPr>
        <w:t>相应</w:t>
      </w:r>
      <w:r>
        <w:rPr>
          <w:rFonts w:hint="eastAsia" w:ascii="宋体" w:hAnsi="宋体" w:eastAsia="宋体" w:cs="宋体"/>
          <w:color w:val="auto"/>
          <w:sz w:val="21"/>
          <w:szCs w:val="21"/>
          <w:highlight w:val="none"/>
          <w:u w:val="single"/>
        </w:rPr>
        <w:t>顺延，除此之外承包人不得追究发包人其他违约责任</w:t>
      </w:r>
      <w:r>
        <w:rPr>
          <w:rFonts w:hint="eastAsia" w:ascii="宋体" w:hAnsi="宋体" w:eastAsia="宋体" w:cs="宋体"/>
          <w:color w:val="auto"/>
          <w:sz w:val="21"/>
          <w:szCs w:val="21"/>
          <w:highlight w:val="none"/>
        </w:rPr>
        <w:t>。</w:t>
      </w:r>
    </w:p>
    <w:p w14:paraId="0C77F745">
      <w:pPr>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11.1.2因发包人违反合同约定造成暂停施工的违约责任：</w:t>
      </w:r>
      <w:r>
        <w:rPr>
          <w:rFonts w:hint="eastAsia" w:ascii="宋体" w:hAnsi="宋体" w:eastAsia="宋体" w:cs="宋体"/>
          <w:color w:val="auto"/>
          <w:sz w:val="21"/>
          <w:szCs w:val="21"/>
          <w:highlight w:val="none"/>
          <w:u w:val="single"/>
        </w:rPr>
        <w:t>工期</w:t>
      </w:r>
      <w:r>
        <w:rPr>
          <w:rFonts w:hint="eastAsia" w:ascii="宋体" w:hAnsi="宋体" w:eastAsia="宋体" w:cs="宋体"/>
          <w:color w:val="auto"/>
          <w:sz w:val="21"/>
          <w:szCs w:val="21"/>
          <w:highlight w:val="none"/>
          <w:u w:val="single"/>
          <w:lang w:val="en-US" w:eastAsia="zh-CN"/>
        </w:rPr>
        <w:t>相应</w:t>
      </w:r>
      <w:r>
        <w:rPr>
          <w:rFonts w:hint="eastAsia" w:ascii="宋体" w:hAnsi="宋体" w:eastAsia="宋体" w:cs="宋体"/>
          <w:color w:val="auto"/>
          <w:sz w:val="21"/>
          <w:szCs w:val="21"/>
          <w:highlight w:val="none"/>
          <w:u w:val="single"/>
        </w:rPr>
        <w:t>顺延，除此之外承包人不得追究发包人其他违约责任</w:t>
      </w:r>
      <w:r>
        <w:rPr>
          <w:rFonts w:hint="eastAsia" w:ascii="宋体" w:hAnsi="宋体" w:eastAsia="宋体" w:cs="宋体"/>
          <w:color w:val="auto"/>
          <w:sz w:val="21"/>
          <w:szCs w:val="21"/>
          <w:highlight w:val="none"/>
        </w:rPr>
        <w:t>。</w:t>
      </w:r>
    </w:p>
    <w:p w14:paraId="1C0A8E05">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11.1.3发包人无正当理由没有在约定期限内发出复工指示，导致承包人无法复工的违约责任：</w:t>
      </w:r>
      <w:r>
        <w:rPr>
          <w:rFonts w:hint="eastAsia" w:ascii="宋体" w:hAnsi="宋体" w:eastAsia="宋体" w:cs="宋体"/>
          <w:color w:val="auto"/>
          <w:sz w:val="21"/>
          <w:szCs w:val="21"/>
          <w:highlight w:val="none"/>
          <w:u w:val="single"/>
        </w:rPr>
        <w:t>工期</w:t>
      </w:r>
      <w:r>
        <w:rPr>
          <w:rFonts w:hint="eastAsia" w:ascii="宋体" w:hAnsi="宋体" w:eastAsia="宋体" w:cs="宋体"/>
          <w:color w:val="auto"/>
          <w:sz w:val="21"/>
          <w:szCs w:val="21"/>
          <w:highlight w:val="none"/>
          <w:u w:val="single"/>
          <w:lang w:val="en-US" w:eastAsia="zh-CN"/>
        </w:rPr>
        <w:t>相应</w:t>
      </w:r>
      <w:r>
        <w:rPr>
          <w:rFonts w:hint="eastAsia" w:ascii="宋体" w:hAnsi="宋体" w:eastAsia="宋体" w:cs="宋体"/>
          <w:color w:val="auto"/>
          <w:sz w:val="21"/>
          <w:szCs w:val="21"/>
          <w:highlight w:val="none"/>
          <w:u w:val="single"/>
        </w:rPr>
        <w:t>顺延，除此之外承包人不得追究发包人其他违约责任</w:t>
      </w:r>
      <w:r>
        <w:rPr>
          <w:rFonts w:hint="eastAsia" w:ascii="宋体" w:hAnsi="宋体" w:eastAsia="宋体" w:cs="宋体"/>
          <w:color w:val="auto"/>
          <w:sz w:val="21"/>
          <w:szCs w:val="21"/>
          <w:highlight w:val="none"/>
        </w:rPr>
        <w:t>。</w:t>
      </w:r>
    </w:p>
    <w:p w14:paraId="29BC3F65">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11.1.4发包人未按本合同约定，延迟支付工程款（如有）的，承包人有权要求发包人以应付未付金额为基数按同期全国银行间同业拆借中心公布的贷款市场报价利率支付违约金，逾期违约金总额不超过应付未付总金额的10%。</w:t>
      </w:r>
    </w:p>
    <w:p w14:paraId="0AAFC9E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11.1.5在合同履行期间，因发包人原因造成合同终止或解除，承包人未开始施工或采购</w:t>
      </w:r>
      <w:r>
        <w:rPr>
          <w:rFonts w:hint="eastAsia" w:ascii="宋体" w:hAnsi="宋体" w:eastAsia="宋体" w:cs="宋体"/>
          <w:color w:val="auto"/>
          <w:sz w:val="21"/>
          <w:szCs w:val="21"/>
          <w:highlight w:val="none"/>
          <w:lang w:val="en-US" w:eastAsia="zh-CN"/>
        </w:rPr>
        <w:t>定制物料</w:t>
      </w:r>
      <w:r>
        <w:rPr>
          <w:rFonts w:hint="eastAsia" w:ascii="宋体" w:hAnsi="宋体" w:eastAsia="宋体" w:cs="宋体"/>
          <w:color w:val="auto"/>
          <w:sz w:val="21"/>
          <w:szCs w:val="21"/>
          <w:highlight w:val="none"/>
        </w:rPr>
        <w:t>的，承包人应向发包人退还工程款。承包人已开始施工或采购</w:t>
      </w:r>
      <w:r>
        <w:rPr>
          <w:rFonts w:hint="eastAsia" w:ascii="宋体" w:hAnsi="宋体" w:eastAsia="宋体" w:cs="宋体"/>
          <w:color w:val="auto"/>
          <w:sz w:val="21"/>
          <w:szCs w:val="21"/>
          <w:highlight w:val="none"/>
          <w:lang w:val="en-US" w:eastAsia="zh-CN"/>
        </w:rPr>
        <w:t>定制物料</w:t>
      </w:r>
      <w:r>
        <w:rPr>
          <w:rFonts w:hint="eastAsia" w:ascii="宋体" w:hAnsi="宋体" w:eastAsia="宋体" w:cs="宋体"/>
          <w:color w:val="auto"/>
          <w:sz w:val="21"/>
          <w:szCs w:val="21"/>
          <w:highlight w:val="none"/>
        </w:rPr>
        <w:t>的，双方根据承包人实际完成工程量及</w:t>
      </w:r>
      <w:r>
        <w:rPr>
          <w:rFonts w:hint="eastAsia" w:ascii="宋体" w:hAnsi="宋体" w:eastAsia="宋体" w:cs="宋体"/>
          <w:color w:val="auto"/>
          <w:sz w:val="21"/>
          <w:szCs w:val="21"/>
          <w:highlight w:val="none"/>
          <w:lang w:val="en-US" w:eastAsia="zh-CN"/>
        </w:rPr>
        <w:t>定制物料</w:t>
      </w:r>
      <w:r>
        <w:rPr>
          <w:rFonts w:hint="eastAsia" w:ascii="宋体" w:hAnsi="宋体" w:eastAsia="宋体" w:cs="宋体"/>
          <w:color w:val="auto"/>
          <w:sz w:val="21"/>
          <w:szCs w:val="21"/>
          <w:highlight w:val="none"/>
        </w:rPr>
        <w:t>结算相关费用，承包人不得追究发包人其他违约责任。</w:t>
      </w:r>
    </w:p>
    <w:p w14:paraId="04E5609F">
      <w:pPr>
        <w:spacing w:line="360" w:lineRule="auto"/>
        <w:ind w:firstLine="420" w:firstLineChars="200"/>
        <w:outlineLvl w:val="1"/>
        <w:rPr>
          <w:rFonts w:hint="eastAsia" w:ascii="宋体" w:hAnsi="宋体" w:eastAsia="宋体" w:cs="宋体"/>
          <w:color w:val="auto"/>
          <w:sz w:val="21"/>
          <w:szCs w:val="21"/>
          <w:highlight w:val="none"/>
        </w:rPr>
      </w:pPr>
      <w:bookmarkStart w:id="202" w:name="_Toc5172"/>
      <w:bookmarkStart w:id="203" w:name="_Toc7822"/>
      <w:r>
        <w:rPr>
          <w:rFonts w:hint="eastAsia" w:ascii="宋体" w:hAnsi="宋体" w:eastAsia="宋体" w:cs="宋体"/>
          <w:color w:val="auto"/>
          <w:sz w:val="21"/>
          <w:szCs w:val="21"/>
          <w:highlight w:val="none"/>
        </w:rPr>
        <w:t>11.2 承包人违约责任</w:t>
      </w:r>
      <w:bookmarkEnd w:id="202"/>
      <w:bookmarkEnd w:id="203"/>
    </w:p>
    <w:p w14:paraId="6D9C3B7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11.2.1 承包人提供的材料</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设备</w:t>
      </w:r>
      <w:r>
        <w:rPr>
          <w:rFonts w:hint="eastAsia" w:ascii="宋体" w:hAnsi="宋体" w:eastAsia="宋体" w:cs="宋体"/>
          <w:color w:val="auto"/>
          <w:sz w:val="21"/>
          <w:szCs w:val="21"/>
          <w:highlight w:val="none"/>
        </w:rPr>
        <w:t>是假冒伪劣产品或质量不合格的，</w:t>
      </w:r>
      <w:r>
        <w:rPr>
          <w:rFonts w:hint="eastAsia" w:ascii="宋体" w:hAnsi="宋体" w:eastAsia="宋体" w:cs="宋体"/>
          <w:color w:val="auto"/>
          <w:sz w:val="21"/>
          <w:szCs w:val="21"/>
          <w:highlight w:val="none"/>
          <w:lang w:val="en-US" w:eastAsia="zh-CN"/>
        </w:rPr>
        <w:t>或者未按发包人确认的标准采购的，</w:t>
      </w:r>
      <w:r>
        <w:rPr>
          <w:rFonts w:hint="eastAsia" w:ascii="宋体" w:hAnsi="宋体" w:eastAsia="宋体" w:cs="宋体"/>
          <w:color w:val="auto"/>
          <w:sz w:val="21"/>
          <w:szCs w:val="21"/>
          <w:highlight w:val="none"/>
        </w:rPr>
        <w:t>应按</w:t>
      </w:r>
      <w:r>
        <w:rPr>
          <w:rFonts w:hint="eastAsia" w:ascii="宋体" w:hAnsi="宋体" w:eastAsia="宋体" w:cs="宋体"/>
          <w:color w:val="auto"/>
          <w:sz w:val="21"/>
          <w:szCs w:val="21"/>
          <w:highlight w:val="none"/>
          <w:lang w:val="en-US" w:eastAsia="zh-CN"/>
        </w:rPr>
        <w:t>不符合</w:t>
      </w:r>
      <w:r>
        <w:rPr>
          <w:rFonts w:hint="eastAsia" w:ascii="宋体" w:hAnsi="宋体" w:eastAsia="宋体" w:cs="宋体"/>
          <w:color w:val="auto"/>
          <w:sz w:val="21"/>
          <w:szCs w:val="21"/>
          <w:highlight w:val="none"/>
        </w:rPr>
        <w:t>材料、</w:t>
      </w:r>
      <w:r>
        <w:rPr>
          <w:rFonts w:hint="eastAsia" w:ascii="宋体" w:hAnsi="宋体" w:eastAsia="宋体" w:cs="宋体"/>
          <w:color w:val="auto"/>
          <w:sz w:val="21"/>
          <w:szCs w:val="21"/>
          <w:highlight w:val="none"/>
          <w:lang w:val="en-US" w:eastAsia="zh-CN"/>
        </w:rPr>
        <w:t>设备</w:t>
      </w:r>
      <w:r>
        <w:rPr>
          <w:rFonts w:hint="eastAsia" w:ascii="宋体" w:hAnsi="宋体" w:eastAsia="宋体" w:cs="宋体"/>
          <w:color w:val="auto"/>
          <w:sz w:val="21"/>
          <w:szCs w:val="21"/>
          <w:highlight w:val="none"/>
        </w:rPr>
        <w:t>价款的双倍赔偿给发包人。</w:t>
      </w:r>
    </w:p>
    <w:p w14:paraId="20054DA3">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11.2.2 对于不符合施工质量验收标准中的部分项目，发包人提出施工质量整改要求，承包人未</w:t>
      </w:r>
      <w:r>
        <w:rPr>
          <w:rFonts w:hint="eastAsia" w:ascii="宋体" w:hAnsi="宋体" w:eastAsia="宋体" w:cs="宋体"/>
          <w:color w:val="auto"/>
          <w:sz w:val="21"/>
          <w:szCs w:val="21"/>
          <w:highlight w:val="none"/>
          <w:lang w:eastAsia="zh-CN"/>
        </w:rPr>
        <w:t>在</w:t>
      </w:r>
      <w:r>
        <w:rPr>
          <w:rFonts w:hint="eastAsia" w:ascii="宋体" w:hAnsi="宋体" w:eastAsia="宋体" w:cs="宋体"/>
          <w:color w:val="auto"/>
          <w:sz w:val="21"/>
          <w:szCs w:val="21"/>
          <w:highlight w:val="none"/>
        </w:rPr>
        <w:t>规定时间内履行整改工作或无正当理由拒绝整改。每逾期一天，处以1000-10000 元/次（视情节严重性）违约金。承包人逾期超过7日或项目经两次整改仍未验收合格的，发包人有权解除合同并要求承包人向发包人支付相当于合同总价款10%的违约金；如发包人的损失超出违约金数额的，发包人还有权就超出部分损失向承包人主张赔偿责任。</w:t>
      </w:r>
    </w:p>
    <w:p w14:paraId="13D2661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 xml:space="preserve">11.2.3由于承包方原因，逾期竣工，每逾期一天，承包方支付发包方 </w:t>
      </w:r>
      <w:r>
        <w:rPr>
          <w:rFonts w:hint="eastAsia" w:ascii="宋体" w:hAnsi="宋体" w:eastAsia="宋体" w:cs="宋体"/>
          <w:bCs/>
          <w:color w:val="auto"/>
          <w:sz w:val="21"/>
          <w:szCs w:val="21"/>
          <w:highlight w:val="none"/>
          <w:lang w:val="en-US" w:eastAsia="zh-CN"/>
        </w:rPr>
        <w:t>5</w:t>
      </w:r>
      <w:r>
        <w:rPr>
          <w:rFonts w:hint="eastAsia" w:ascii="宋体" w:hAnsi="宋体" w:eastAsia="宋体" w:cs="宋体"/>
          <w:bCs/>
          <w:color w:val="auto"/>
          <w:sz w:val="21"/>
          <w:szCs w:val="21"/>
          <w:highlight w:val="none"/>
        </w:rPr>
        <w:t>000 元违约金，承包方逾期超过20天，发包方有权解除合同，结算工程，并要求承包方按合同总价的20%向发包方支付违约金，违约金在工程结算款中抵扣。</w:t>
      </w:r>
    </w:p>
    <w:p w14:paraId="31FDE07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11.2.4</w:t>
      </w:r>
      <w:r>
        <w:rPr>
          <w:rFonts w:hint="eastAsia" w:ascii="宋体" w:hAnsi="宋体" w:eastAsia="宋体" w:cs="宋体"/>
          <w:bCs/>
          <w:color w:val="auto"/>
          <w:sz w:val="21"/>
          <w:szCs w:val="21"/>
          <w:highlight w:val="none"/>
          <w:lang w:val="en-US" w:eastAsia="zh-CN"/>
        </w:rPr>
        <w:t>未经发包方书面同意，承包人将</w:t>
      </w:r>
      <w:r>
        <w:rPr>
          <w:rFonts w:hint="eastAsia" w:ascii="宋体" w:hAnsi="宋体" w:eastAsia="宋体" w:cs="宋体"/>
          <w:color w:val="auto"/>
          <w:sz w:val="21"/>
          <w:szCs w:val="21"/>
          <w:highlight w:val="none"/>
        </w:rPr>
        <w:t>将合同或合同的任何部分转包给第三方</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，发包人有权解除合同并要求承包人向发包人支付相当于合同总价款</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0%的违约金，如发包人的损失超出违约金数额的，发包人还有权就超出部分损失向承包人主张赔偿责任。</w:t>
      </w:r>
    </w:p>
    <w:p w14:paraId="3C442B4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11.2.5 本工程质量达不到中华人民共和国现行国家标准、国家工程质量验收标准合格</w:t>
      </w:r>
      <w:r>
        <w:rPr>
          <w:rFonts w:hint="eastAsia" w:ascii="宋体" w:hAnsi="宋体" w:eastAsia="宋体" w:cs="宋体"/>
          <w:color w:val="auto"/>
          <w:sz w:val="21"/>
          <w:szCs w:val="21"/>
          <w:highlight w:val="none"/>
          <w:lang w:val="en-US" w:eastAsia="zh-CN"/>
        </w:rPr>
        <w:t>且经整改2次后仍然无法达合格标准</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应按合同总价的20％向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支付违约金，并赔偿</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由此遭受的损失</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发包人并有权解除合同</w:t>
      </w:r>
      <w:r>
        <w:rPr>
          <w:rFonts w:hint="eastAsia" w:ascii="宋体" w:hAnsi="宋体" w:eastAsia="宋体" w:cs="宋体"/>
          <w:color w:val="auto"/>
          <w:sz w:val="21"/>
          <w:szCs w:val="21"/>
          <w:highlight w:val="none"/>
        </w:rPr>
        <w:t>。</w:t>
      </w:r>
    </w:p>
    <w:p w14:paraId="6C1BBA9B">
      <w:pPr>
        <w:spacing w:line="360" w:lineRule="auto"/>
        <w:ind w:firstLine="420" w:firstLineChars="200"/>
        <w:outlineLvl w:val="2"/>
        <w:rPr>
          <w:rFonts w:hint="eastAsia" w:ascii="宋体" w:hAnsi="宋体" w:eastAsia="宋体" w:cs="宋体"/>
          <w:color w:val="auto"/>
          <w:sz w:val="21"/>
          <w:szCs w:val="21"/>
          <w:highlight w:val="none"/>
        </w:rPr>
      </w:pPr>
      <w:bookmarkStart w:id="204" w:name="_Toc7392"/>
      <w:bookmarkStart w:id="205" w:name="_Toc29438"/>
      <w:r>
        <w:rPr>
          <w:rFonts w:hint="eastAsia" w:ascii="宋体" w:hAnsi="宋体" w:eastAsia="宋体" w:cs="宋体"/>
          <w:color w:val="auto"/>
          <w:sz w:val="21"/>
          <w:szCs w:val="21"/>
          <w:highlight w:val="none"/>
        </w:rPr>
        <w:t>11.2.6承包人的其他违约行为：</w:t>
      </w:r>
      <w:bookmarkEnd w:id="204"/>
      <w:bookmarkEnd w:id="205"/>
    </w:p>
    <w:p w14:paraId="5DBFA0B3">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（1）承包人违反合同约定违法分包的，每次处以违约金人民币5万元，责令改正，若拒不改正发包人有权解除合同；</w:t>
      </w:r>
    </w:p>
    <w:p w14:paraId="217DD26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未能按《安全文明施工管理细则》的要求进行安全文明施工的，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 xml:space="preserve"> (或监理公司) 将发出书面通知要求整改；整改不合格的视为</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违约，</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对</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处予人民币2000-5000元/次的违约金。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有权按有关规定，报主管部门予以处罚，并保留终止合同的权利。</w:t>
      </w:r>
    </w:p>
    <w:p w14:paraId="7F7458BC">
      <w:pPr>
        <w:spacing w:line="360" w:lineRule="auto"/>
        <w:ind w:firstLine="420" w:firstLineChars="200"/>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3）承包人明确表示或者以其行为表明不履行合同主要义务的，发包人有权解除合同并要求承包人向发包人支付相当于合同总价款10%的违约金；如发包人的损失超出违约金数额的，发包人还有权就超出部分损失向承包人主张赔偿责任。</w:t>
      </w:r>
    </w:p>
    <w:p w14:paraId="1CA0B45C">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（4）承包人未能按照合同约定履行其他义务的，每发现一次视情节严重情况处以违约金人民币2000-5000元。</w:t>
      </w:r>
    </w:p>
    <w:p w14:paraId="7803E66C">
      <w:pPr>
        <w:spacing w:line="360" w:lineRule="auto"/>
        <w:ind w:firstLine="420" w:firstLineChars="200"/>
        <w:outlineLvl w:val="2"/>
        <w:rPr>
          <w:rFonts w:hint="eastAsia" w:ascii="宋体" w:hAnsi="宋体" w:eastAsia="宋体" w:cs="宋体"/>
          <w:color w:val="auto"/>
          <w:sz w:val="21"/>
          <w:szCs w:val="21"/>
          <w:highlight w:val="none"/>
        </w:rPr>
      </w:pPr>
      <w:bookmarkStart w:id="206" w:name="_Toc16527"/>
      <w:bookmarkStart w:id="207" w:name="_Toc10410"/>
      <w:r>
        <w:rPr>
          <w:rFonts w:hint="eastAsia" w:ascii="宋体" w:hAnsi="宋体" w:eastAsia="宋体" w:cs="宋体"/>
          <w:color w:val="auto"/>
          <w:sz w:val="21"/>
          <w:szCs w:val="21"/>
          <w:highlight w:val="none"/>
        </w:rPr>
        <w:t>11.2.7因承包人违约解除合同</w:t>
      </w:r>
      <w:bookmarkEnd w:id="206"/>
      <w:bookmarkEnd w:id="207"/>
    </w:p>
    <w:p w14:paraId="138C4D84">
      <w:pPr>
        <w:numPr>
          <w:ilvl w:val="0"/>
          <w:numId w:val="5"/>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上述合同条款另有约定外，承包人出现违约情形经发包人发出整改通知后，承包人在指定的合理期限内仍不纠正违约行为并致使合同目的不能实现的，发包人有权解除合同并要求承包人向发包人支付相当于合同总价款10%的违约金；如发包人的损失超出违约金数额的，发包人还有权就超出部分损失向承包人主张赔偿责任。</w:t>
      </w:r>
    </w:p>
    <w:p w14:paraId="1D7E740B">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（2）因承包人违约解除合同后的处理：承包人</w:t>
      </w:r>
      <w:r>
        <w:rPr>
          <w:rFonts w:hint="eastAsia" w:ascii="宋体" w:hAnsi="宋体" w:eastAsia="宋体" w:cs="宋体"/>
          <w:color w:val="auto"/>
          <w:sz w:val="21"/>
          <w:szCs w:val="21"/>
          <w:highlight w:val="none"/>
          <w:lang w:val="en-US" w:eastAsia="zh-CN"/>
        </w:rPr>
        <w:t>无权向发包人主张该阶段的款项，并</w:t>
      </w:r>
      <w:r>
        <w:rPr>
          <w:rFonts w:hint="eastAsia" w:ascii="宋体" w:hAnsi="宋体" w:eastAsia="宋体" w:cs="宋体"/>
          <w:color w:val="auto"/>
          <w:sz w:val="21"/>
          <w:szCs w:val="21"/>
          <w:highlight w:val="none"/>
        </w:rPr>
        <w:t>应向发包人支付相当于合同总价款</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0%的违约金；如发包人的损失超出违约金数额的，发包人还有权就超出部分损失向承包人主张赔偿责任；</w:t>
      </w:r>
      <w:r>
        <w:rPr>
          <w:rFonts w:hint="eastAsia" w:ascii="宋体" w:hAnsi="宋体" w:eastAsia="宋体" w:cs="宋体"/>
          <w:color w:val="auto"/>
          <w:sz w:val="21"/>
          <w:szCs w:val="21"/>
          <w:highlight w:val="none"/>
          <w:lang w:val="en-US" w:eastAsia="zh-CN"/>
        </w:rPr>
        <w:t>此外，</w:t>
      </w:r>
      <w:r>
        <w:rPr>
          <w:rFonts w:hint="eastAsia" w:ascii="宋体" w:hAnsi="宋体" w:eastAsia="宋体" w:cs="宋体"/>
          <w:color w:val="auto"/>
          <w:sz w:val="21"/>
          <w:szCs w:val="21"/>
          <w:highlight w:val="none"/>
        </w:rPr>
        <w:t>承包人</w:t>
      </w:r>
      <w:r>
        <w:rPr>
          <w:rFonts w:hint="eastAsia" w:ascii="宋体" w:hAnsi="宋体" w:eastAsia="宋体" w:cs="宋体"/>
          <w:color w:val="auto"/>
          <w:sz w:val="21"/>
          <w:szCs w:val="21"/>
          <w:highlight w:val="none"/>
          <w:lang w:val="en-US" w:eastAsia="zh-CN"/>
        </w:rPr>
        <w:t>还</w:t>
      </w:r>
      <w:r>
        <w:rPr>
          <w:rFonts w:hint="eastAsia" w:ascii="宋体" w:hAnsi="宋体" w:eastAsia="宋体" w:cs="宋体"/>
          <w:color w:val="auto"/>
          <w:sz w:val="21"/>
          <w:szCs w:val="21"/>
          <w:highlight w:val="none"/>
        </w:rPr>
        <w:t>应按照发包人要求完成现场的清理和撤离</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否则，每逾期一日应向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支付人民币</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000元的违约金。</w:t>
      </w:r>
    </w:p>
    <w:p w14:paraId="1CE4110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11.2.8如承包人违约的，发包人除有权要求承包人承担违约责任外，还有权要求承包人支付维权成本，包括但不限于诉讼/仲裁费、调查取证费/公证费/鉴定费、律师费、保全费、担保费、差旅费等维权费用及其他合理费用。</w:t>
      </w:r>
    </w:p>
    <w:p w14:paraId="73815CB1">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11.2.9 因承包人原因所产生的违约金、赔偿或其他应付费用，发包人有权从承包人提供的履约担保金额或发包人应支付的合同价款中直接扣除。</w:t>
      </w:r>
    </w:p>
    <w:p w14:paraId="4E97128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11.2.10如</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配备的现场人员与投标时人员不一致，</w:t>
      </w:r>
      <w:r>
        <w:rPr>
          <w:rFonts w:hint="eastAsia" w:ascii="宋体" w:hAnsi="宋体" w:eastAsia="宋体" w:cs="宋体"/>
          <w:color w:val="auto"/>
          <w:sz w:val="21"/>
          <w:szCs w:val="21"/>
          <w:highlight w:val="none"/>
          <w:lang w:val="en-US" w:eastAsia="zh-CN"/>
        </w:rPr>
        <w:t>或</w:t>
      </w:r>
      <w:r>
        <w:rPr>
          <w:rFonts w:hint="eastAsia" w:ascii="宋体" w:hAnsi="宋体" w:eastAsia="宋体" w:cs="宋体"/>
          <w:color w:val="auto"/>
          <w:sz w:val="21"/>
          <w:szCs w:val="21"/>
          <w:highlight w:val="none"/>
        </w:rPr>
        <w:t>中途擅自更换</w:t>
      </w: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主要负责人，或</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现场代表不配合</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工作或不能胜任工作的，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有权要求</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更换相应人员，</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应在</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要求更换之日起五日内更换。否则，</w:t>
      </w:r>
      <w:r>
        <w:rPr>
          <w:rFonts w:hint="eastAsia" w:ascii="宋体" w:hAnsi="宋体" w:eastAsia="宋体" w:cs="宋体"/>
          <w:color w:val="auto"/>
          <w:sz w:val="21"/>
          <w:szCs w:val="21"/>
          <w:highlight w:val="none"/>
          <w:lang w:val="en-US" w:eastAsia="zh-CN"/>
        </w:rPr>
        <w:t>承包人应向发包人</w:t>
      </w:r>
      <w:r>
        <w:rPr>
          <w:rFonts w:hint="eastAsia" w:ascii="宋体" w:hAnsi="宋体" w:eastAsia="宋体" w:cs="宋体"/>
          <w:color w:val="auto"/>
          <w:sz w:val="21"/>
          <w:szCs w:val="21"/>
          <w:highlight w:val="none"/>
        </w:rPr>
        <w:t>支付10000/次的违约金，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lang w:val="en-US" w:eastAsia="zh-CN"/>
        </w:rPr>
        <w:t>并</w:t>
      </w:r>
      <w:r>
        <w:rPr>
          <w:rFonts w:hint="eastAsia" w:ascii="宋体" w:hAnsi="宋体" w:eastAsia="宋体" w:cs="宋体"/>
          <w:color w:val="auto"/>
          <w:sz w:val="21"/>
          <w:szCs w:val="21"/>
          <w:highlight w:val="none"/>
        </w:rPr>
        <w:t>有权要求停工，工期不得顺延，由此造成的工期延误的违约责任及</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的损失由</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承担</w:t>
      </w:r>
      <w:r>
        <w:rPr>
          <w:rFonts w:hint="eastAsia" w:ascii="宋体" w:hAnsi="宋体" w:eastAsia="宋体" w:cs="宋体"/>
          <w:color w:val="auto"/>
          <w:kern w:val="0"/>
          <w:sz w:val="21"/>
          <w:szCs w:val="21"/>
          <w:highlight w:val="none"/>
        </w:rPr>
        <w:t>。</w:t>
      </w:r>
    </w:p>
    <w:p w14:paraId="6301E02E">
      <w:pPr>
        <w:spacing w:line="360" w:lineRule="auto"/>
        <w:ind w:firstLine="426"/>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11.2.11 如</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在施工时候项目负责人或现场管理人员不在岗，</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有权要求</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支付10000/次的违约金，如发现项目负责人或现场管理人员不在岗次数超过3次时，</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有权要求</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按合同总价款20%向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支付违约金。</w:t>
      </w:r>
      <w:bookmarkStart w:id="208" w:name="_Toc52106050"/>
      <w:bookmarkStart w:id="209" w:name="_Toc48916307"/>
      <w:bookmarkStart w:id="210" w:name="_Toc53139984"/>
      <w:bookmarkStart w:id="211" w:name="_Toc49376904"/>
    </w:p>
    <w:p w14:paraId="50F8AC2B">
      <w:pPr>
        <w:spacing w:line="360" w:lineRule="auto"/>
        <w:ind w:firstLine="426"/>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11.2.12</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在施工过程中，除不可抗力或</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原因外不得以任何理由停工，非上述原因连续停工两个工作日以上的或在合同履行过程中停工超过2次，</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有权解除合同，</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支付工程合同总价款的20％作为违约金，造成</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工期延误或其他损失的，</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应予赔偿。</w:t>
      </w:r>
      <w:bookmarkEnd w:id="208"/>
      <w:bookmarkEnd w:id="209"/>
      <w:bookmarkEnd w:id="210"/>
      <w:bookmarkEnd w:id="211"/>
    </w:p>
    <w:p w14:paraId="20E236E0">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11.2.13 </w:t>
      </w:r>
      <w:r>
        <w:rPr>
          <w:rFonts w:hint="eastAsia" w:ascii="宋体" w:hAnsi="宋体" w:eastAsia="宋体" w:cs="宋体"/>
          <w:color w:val="auto"/>
          <w:sz w:val="21"/>
          <w:szCs w:val="21"/>
          <w:highlight w:val="none"/>
          <w:lang w:val="en-US" w:eastAsia="zh-CN"/>
        </w:rPr>
        <w:t>在施工期间，如</w:t>
      </w:r>
      <w:r>
        <w:rPr>
          <w:rFonts w:hint="eastAsia" w:ascii="宋体" w:hAnsi="宋体" w:eastAsia="宋体" w:cs="宋体"/>
          <w:color w:val="auto"/>
          <w:sz w:val="21"/>
          <w:szCs w:val="21"/>
          <w:highlight w:val="none"/>
        </w:rPr>
        <w:t>承包人</w:t>
      </w:r>
      <w:r>
        <w:rPr>
          <w:rFonts w:hint="eastAsia" w:ascii="宋体" w:hAnsi="宋体" w:eastAsia="宋体" w:cs="宋体"/>
          <w:color w:val="auto"/>
          <w:sz w:val="21"/>
          <w:szCs w:val="21"/>
          <w:highlight w:val="none"/>
          <w:lang w:val="en-US" w:eastAsia="zh-CN"/>
        </w:rPr>
        <w:t>项目负责人或</w:t>
      </w:r>
      <w:r>
        <w:rPr>
          <w:rFonts w:hint="eastAsia" w:ascii="宋体" w:hAnsi="宋体" w:eastAsia="宋体" w:cs="宋体"/>
          <w:color w:val="auto"/>
          <w:sz w:val="21"/>
          <w:szCs w:val="21"/>
          <w:highlight w:val="none"/>
        </w:rPr>
        <w:t>主要施工管理人员未经发包人同意擅自离开施工现场</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有权要求</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支付10000/次的违约金。</w:t>
      </w:r>
    </w:p>
    <w:p w14:paraId="06047C6A">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11.2.14</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完成的内容</w:t>
      </w:r>
      <w:r>
        <w:rPr>
          <w:rFonts w:hint="eastAsia" w:ascii="宋体" w:hAnsi="宋体" w:eastAsia="宋体" w:cs="宋体"/>
          <w:color w:val="auto"/>
          <w:sz w:val="21"/>
          <w:szCs w:val="21"/>
          <w:highlight w:val="none"/>
          <w:lang w:val="en-US" w:eastAsia="zh-CN"/>
        </w:rPr>
        <w:t>未</w:t>
      </w:r>
      <w:r>
        <w:rPr>
          <w:rFonts w:hint="eastAsia" w:ascii="宋体" w:hAnsi="宋体" w:eastAsia="宋体" w:cs="宋体"/>
          <w:color w:val="auto"/>
          <w:sz w:val="21"/>
          <w:szCs w:val="21"/>
          <w:highlight w:val="none"/>
        </w:rPr>
        <w:t>达</w:t>
      </w:r>
      <w:r>
        <w:rPr>
          <w:rFonts w:hint="eastAsia" w:ascii="宋体" w:hAnsi="宋体" w:eastAsia="宋体" w:cs="宋体"/>
          <w:color w:val="auto"/>
          <w:sz w:val="21"/>
          <w:szCs w:val="21"/>
          <w:highlight w:val="none"/>
          <w:lang w:eastAsia="zh-CN"/>
        </w:rPr>
        <w:t>用户</w:t>
      </w:r>
      <w:r>
        <w:rPr>
          <w:rFonts w:hint="eastAsia" w:ascii="宋体" w:hAnsi="宋体" w:eastAsia="宋体" w:cs="宋体"/>
          <w:color w:val="auto"/>
          <w:sz w:val="21"/>
          <w:szCs w:val="21"/>
          <w:highlight w:val="none"/>
        </w:rPr>
        <w:t>需求书效果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且未能</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允许的时间内进行</w:t>
      </w:r>
      <w:r>
        <w:rPr>
          <w:rFonts w:hint="eastAsia" w:ascii="宋体" w:hAnsi="宋体" w:eastAsia="宋体" w:cs="宋体"/>
          <w:color w:val="auto"/>
          <w:sz w:val="21"/>
          <w:szCs w:val="21"/>
          <w:highlight w:val="none"/>
          <w:lang w:val="en-US" w:eastAsia="zh-CN"/>
        </w:rPr>
        <w:t>整改并经发包人验收通过的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有权不支付该项费用并</w:t>
      </w:r>
      <w:r>
        <w:rPr>
          <w:rFonts w:hint="eastAsia" w:ascii="宋体" w:hAnsi="宋体" w:eastAsia="宋体" w:cs="宋体"/>
          <w:color w:val="auto"/>
          <w:sz w:val="21"/>
          <w:szCs w:val="21"/>
          <w:highlight w:val="none"/>
          <w:lang w:val="en-US" w:eastAsia="zh-CN"/>
        </w:rPr>
        <w:t>按合同约定追究承包人违约责任</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如造成发包人损失的，承包人还应承担赔偿</w:t>
      </w:r>
      <w:r>
        <w:rPr>
          <w:rFonts w:hint="eastAsia" w:ascii="宋体" w:hAnsi="宋体" w:eastAsia="宋体" w:cs="宋体"/>
          <w:color w:val="auto"/>
          <w:sz w:val="21"/>
          <w:szCs w:val="21"/>
          <w:highlight w:val="none"/>
        </w:rPr>
        <w:t>责任。</w:t>
      </w:r>
    </w:p>
    <w:p w14:paraId="66F32364">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11.2.15</w:t>
      </w:r>
      <w:r>
        <w:rPr>
          <w:rFonts w:hint="eastAsia" w:ascii="宋体" w:hAnsi="宋体" w:eastAsia="宋体" w:cs="宋体"/>
          <w:color w:val="auto"/>
          <w:sz w:val="21"/>
          <w:szCs w:val="21"/>
          <w:highlight w:val="none"/>
          <w:lang w:val="zh-CN"/>
        </w:rPr>
        <w:t>因工程建设需要而产生的工程变更，承包人应按发包人有关工程变更的相关规定提交工程变更资料，属承包人原因未按规定时间提交工程变更资料的，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lang w:val="zh-CN"/>
        </w:rPr>
        <w:t>将对承包人每次处违约金5000元，导致工程进度受阻的，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lang w:val="zh-CN"/>
        </w:rPr>
        <w:t>有权暂停支付工程进度款，同时追究承包人违约责任。</w:t>
      </w:r>
    </w:p>
    <w:p w14:paraId="4A31057A">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11.2.16在采购供应前，承包人须向发包人提交材料设备采购清单报发包人审查并经批准后方可实施采购，发包人可随时对承包人所购买的材料、设备进行监督、检查。一经查实不符合设计和技术要求的，发包人可勒令承包人暂停材料和设备的安装和施工，由此产生工程费用一律由承包人自行承担，并将视为承包人违约，发包人对承包人每次处予人民币 5000 元的违约金。</w:t>
      </w:r>
    </w:p>
    <w:p w14:paraId="0015B0FE">
      <w:pPr>
        <w:spacing w:line="360" w:lineRule="auto"/>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11.2.17  如承包人存在偷工减料、不按图施工行为但不违反国家强制性规定且不影响工程质量验收的，发包人将扣除偷工减料、不按图施工部分对应核减金额的工程款，并对承包人进行处罚，违约处罚金额为偷工减料、不按图施工部分对应核减金额;如承包人存在偷工减料、不按图施工行为导致工程质量不符合国家强制性规定或影响工程质量验收的,承包人须无条件免费返工整改至合格，且发包人将对承包人进行处罚，违约处罚金额为偷工减料、不按图施工部分对应核减金额。</w:t>
      </w:r>
    </w:p>
    <w:p w14:paraId="19FECCA2">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11.2.1</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 xml:space="preserve"> 承包人未能准时、足额发放工人工资的：承包人每次申请支付工程款前，必须将每次的工人工资支付情况报表上报发包人，否则暂停支付工程款。由于承包人未按发放工人工资的约定和有关规定支付工人工资（包括未足额支付和未及时支付、分包人的工人工资支付等）所造成的一切后果由承包人承担。经发包人查证核实后，发包人有权对承包人处予拖欠工资总额的30%的违约金，同时监督承包人全额发放拖欠的工人工资，若承包人未能在发包人要求的时限内支付应付的工人工资，发包人有权代为支付所拖欠的工人工资，并从未付工程款中扣除相应款额。对于造成严重后果者，报有关行政主管部门处理，并保留终止合同的权利，同时发包人将追究承包人的违约责任，没收其履约担保。由于承包人的劳务分包单位没按相关发放工人工资的约定而拖欠或克扣工人工资，造成上访事件或引起劳资纠纷的，经发包人及有关行政主管部门查证核实后，如情况属实，无正当理由的，承包人除如数返还被拖欠人工资外，发包人将按照被拖欠人工资总额的30%对承包人处以违约金。对于后果严重者，报有关行政主管部门处理，并保留终止合同的权利，同时发包人将追究承包人的违约责任，没收其履约担保金。</w:t>
      </w:r>
    </w:p>
    <w:p w14:paraId="4955BE76">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11.2.1</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 xml:space="preserve"> 由于承包人的原因使其员工(包括承包人使用的劳务分包员工等)引发上访、闹事、围堵、在公共场所非法聚集及其他群体性事件，造成社会影响的，视为承包人违约并由承包人承担相应的后果；承包人每次违约应向发包人支付人民币 5000 元的违约金。</w:t>
      </w:r>
    </w:p>
    <w:p w14:paraId="77878E5A">
      <w:pPr>
        <w:spacing w:line="360" w:lineRule="auto"/>
        <w:ind w:firstLine="420" w:firstLineChars="200"/>
        <w:jc w:val="left"/>
        <w:rPr>
          <w:rFonts w:hint="eastAsia" w:ascii="宋体" w:hAnsi="宋体" w:eastAsia="宋体" w:cs="宋体"/>
          <w:color w:val="auto"/>
          <w:sz w:val="21"/>
          <w:szCs w:val="21"/>
          <w:highlight w:val="none"/>
        </w:rPr>
      </w:pPr>
    </w:p>
    <w:p w14:paraId="242E1968">
      <w:pPr>
        <w:spacing w:line="360" w:lineRule="auto"/>
        <w:outlineLvl w:val="0"/>
        <w:rPr>
          <w:rFonts w:hint="eastAsia" w:ascii="宋体" w:hAnsi="宋体" w:eastAsia="宋体" w:cs="宋体"/>
          <w:b/>
          <w:bCs/>
          <w:color w:val="auto"/>
          <w:sz w:val="21"/>
          <w:szCs w:val="21"/>
          <w:highlight w:val="none"/>
        </w:rPr>
      </w:pPr>
      <w:bookmarkStart w:id="212" w:name="_Toc24227"/>
      <w:bookmarkStart w:id="213" w:name="_Toc29722"/>
      <w:r>
        <w:rPr>
          <w:rFonts w:hint="eastAsia" w:ascii="宋体" w:hAnsi="宋体" w:eastAsia="宋体" w:cs="宋体"/>
          <w:b/>
          <w:bCs/>
          <w:color w:val="auto"/>
          <w:sz w:val="21"/>
          <w:szCs w:val="21"/>
          <w:highlight w:val="none"/>
        </w:rPr>
        <w:t>十二、不可抗力</w:t>
      </w:r>
      <w:bookmarkEnd w:id="212"/>
      <w:bookmarkEnd w:id="213"/>
    </w:p>
    <w:p w14:paraId="4D0FF829">
      <w:pPr>
        <w:spacing w:line="360" w:lineRule="auto"/>
        <w:ind w:firstLine="420" w:firstLineChars="200"/>
        <w:contextualSpacing/>
        <w:outlineLvl w:val="1"/>
        <w:rPr>
          <w:rFonts w:hint="eastAsia" w:ascii="宋体" w:hAnsi="宋体" w:eastAsia="宋体" w:cs="宋体"/>
          <w:color w:val="auto"/>
          <w:sz w:val="21"/>
          <w:szCs w:val="21"/>
          <w:highlight w:val="none"/>
        </w:rPr>
      </w:pPr>
      <w:bookmarkStart w:id="214" w:name="_Toc10219"/>
      <w:bookmarkStart w:id="215" w:name="_Toc13981"/>
      <w:r>
        <w:rPr>
          <w:rFonts w:hint="eastAsia" w:ascii="宋体" w:hAnsi="宋体" w:eastAsia="宋体" w:cs="宋体"/>
          <w:color w:val="auto"/>
          <w:sz w:val="21"/>
          <w:szCs w:val="21"/>
          <w:highlight w:val="none"/>
        </w:rPr>
        <w:t>12.1不可抗力的确认</w:t>
      </w:r>
      <w:bookmarkEnd w:id="214"/>
      <w:bookmarkEnd w:id="215"/>
    </w:p>
    <w:p w14:paraId="40C2270B">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不可抗力是指双方（发包人、承包人）在订立合同时不可预见，在履行合同过程中不可避免发生并不能克服的自然灾害、政策的调整和社会性突发事件，如地震、海啸、瘟疫、水灾、骚乱、暴动、战争等。</w:t>
      </w:r>
    </w:p>
    <w:p w14:paraId="231455AC">
      <w:pPr>
        <w:spacing w:line="360" w:lineRule="auto"/>
        <w:ind w:firstLine="420" w:firstLineChars="200"/>
        <w:contextualSpacing/>
        <w:outlineLvl w:val="1"/>
        <w:rPr>
          <w:rFonts w:hint="eastAsia" w:ascii="宋体" w:hAnsi="宋体" w:eastAsia="宋体" w:cs="宋体"/>
          <w:color w:val="auto"/>
          <w:sz w:val="21"/>
          <w:szCs w:val="21"/>
          <w:highlight w:val="none"/>
        </w:rPr>
      </w:pPr>
      <w:bookmarkStart w:id="216" w:name="_Toc27867"/>
      <w:bookmarkStart w:id="217" w:name="_Toc31204"/>
      <w:r>
        <w:rPr>
          <w:rFonts w:hint="eastAsia" w:ascii="宋体" w:hAnsi="宋体" w:eastAsia="宋体" w:cs="宋体"/>
          <w:color w:val="auto"/>
          <w:sz w:val="21"/>
          <w:szCs w:val="21"/>
          <w:highlight w:val="none"/>
        </w:rPr>
        <w:t>12.2、不可抗力的通知</w:t>
      </w:r>
      <w:bookmarkEnd w:id="216"/>
      <w:bookmarkEnd w:id="217"/>
    </w:p>
    <w:p w14:paraId="21F3D7DB">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合同一方当事人遇到不可抗力事件，使其履行合同义务受到阻碍时，应立即通知合同另一方当事人，书面说明不可抗力和受阻碍的详细情况，并提供必要的证明。</w:t>
      </w:r>
    </w:p>
    <w:p w14:paraId="61BBC6C9">
      <w:pPr>
        <w:spacing w:line="360" w:lineRule="auto"/>
        <w:ind w:firstLine="420" w:firstLineChars="200"/>
        <w:contextualSpacing/>
        <w:outlineLvl w:val="1"/>
        <w:rPr>
          <w:rFonts w:hint="eastAsia" w:ascii="宋体" w:hAnsi="宋体" w:eastAsia="宋体" w:cs="宋体"/>
          <w:color w:val="auto"/>
          <w:sz w:val="21"/>
          <w:szCs w:val="21"/>
          <w:highlight w:val="none"/>
        </w:rPr>
      </w:pPr>
      <w:bookmarkStart w:id="218" w:name="_Toc20802"/>
      <w:bookmarkStart w:id="219" w:name="_Toc27704"/>
      <w:r>
        <w:rPr>
          <w:rFonts w:hint="eastAsia" w:ascii="宋体" w:hAnsi="宋体" w:eastAsia="宋体" w:cs="宋体"/>
          <w:color w:val="auto"/>
          <w:sz w:val="21"/>
          <w:szCs w:val="21"/>
          <w:highlight w:val="none"/>
        </w:rPr>
        <w:t>12.3、不可抗力后果及其处理</w:t>
      </w:r>
      <w:bookmarkEnd w:id="218"/>
      <w:bookmarkEnd w:id="219"/>
    </w:p>
    <w:p w14:paraId="2DAED4D0">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（1）合同一方延迟履行，在延迟履行期间发生不可抗力的，不免除其责任。</w:t>
      </w:r>
    </w:p>
    <w:p w14:paraId="436A8B1C">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（2）不可抗力发生后，合同双方均应采取措施尽量避免和减少损失的扩大，任何一方没有采取有效措施导致损失扩大的，应对扩大的损失承担责任。</w:t>
      </w:r>
    </w:p>
    <w:p w14:paraId="412CB018">
      <w:pPr>
        <w:spacing w:line="360" w:lineRule="auto"/>
        <w:ind w:firstLine="420" w:firstLineChars="2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（3）合同一方因不可抗力不能履行合同的，应当及时通知对方解除合同。双方根据承包人实际完成工作量据实结算合同费用。</w:t>
      </w:r>
    </w:p>
    <w:p w14:paraId="4AD80703">
      <w:pPr>
        <w:spacing w:line="360" w:lineRule="auto"/>
        <w:ind w:firstLine="420" w:firstLineChars="200"/>
        <w:outlineLvl w:val="1"/>
        <w:rPr>
          <w:rFonts w:hint="eastAsia" w:ascii="宋体" w:hAnsi="宋体" w:eastAsia="宋体" w:cs="宋体"/>
          <w:color w:val="auto"/>
          <w:sz w:val="21"/>
          <w:szCs w:val="21"/>
          <w:highlight w:val="none"/>
        </w:rPr>
      </w:pPr>
      <w:bookmarkStart w:id="220" w:name="_Toc18290"/>
      <w:bookmarkStart w:id="221" w:name="_Toc19804"/>
      <w:r>
        <w:rPr>
          <w:rFonts w:hint="eastAsia" w:ascii="宋体" w:hAnsi="宋体" w:eastAsia="宋体" w:cs="宋体"/>
          <w:color w:val="auto"/>
          <w:sz w:val="21"/>
          <w:szCs w:val="21"/>
          <w:highlight w:val="none"/>
        </w:rPr>
        <w:t>12.4因不可抗力解除合同</w:t>
      </w:r>
      <w:bookmarkEnd w:id="220"/>
      <w:bookmarkEnd w:id="221"/>
    </w:p>
    <w:p w14:paraId="4729F77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一方当事人因不可抗力不能履行合同的，应当及时通知对方解除合同。合同解除后，承包人应按照合同约定撤离施工场地。已经订货的材料、设备由订货方负责退货或解除订货合同，不能退还的货款和因退货、解除订货合同发生的费用，由发包人与承包人另行协商解决，因未及时退货造成的损失由责任方承担。</w:t>
      </w:r>
    </w:p>
    <w:p w14:paraId="435E0C52">
      <w:pPr>
        <w:spacing w:line="360" w:lineRule="auto"/>
        <w:ind w:firstLine="422" w:firstLineChars="200"/>
        <w:rPr>
          <w:rFonts w:hint="eastAsia" w:ascii="宋体" w:hAnsi="宋体" w:eastAsia="宋体" w:cs="宋体"/>
          <w:b/>
          <w:bCs/>
          <w:color w:val="auto"/>
          <w:sz w:val="21"/>
          <w:szCs w:val="21"/>
          <w:highlight w:val="none"/>
        </w:rPr>
      </w:pPr>
    </w:p>
    <w:p w14:paraId="1F090239">
      <w:pPr>
        <w:spacing w:line="360" w:lineRule="auto"/>
        <w:outlineLvl w:val="0"/>
        <w:rPr>
          <w:rFonts w:hint="eastAsia" w:ascii="宋体" w:hAnsi="宋体" w:eastAsia="宋体" w:cs="宋体"/>
          <w:b/>
          <w:bCs/>
          <w:color w:val="auto"/>
          <w:sz w:val="21"/>
          <w:szCs w:val="21"/>
          <w:highlight w:val="none"/>
        </w:rPr>
      </w:pPr>
      <w:bookmarkStart w:id="222" w:name="_Toc7763"/>
      <w:bookmarkStart w:id="223" w:name="_Toc24844"/>
      <w:r>
        <w:rPr>
          <w:rFonts w:hint="eastAsia" w:ascii="宋体" w:hAnsi="宋体" w:eastAsia="宋体" w:cs="宋体"/>
          <w:b/>
          <w:bCs/>
          <w:color w:val="auto"/>
          <w:sz w:val="21"/>
          <w:szCs w:val="21"/>
          <w:highlight w:val="none"/>
        </w:rPr>
        <w:t>第十三条 争议解决</w:t>
      </w:r>
      <w:bookmarkEnd w:id="222"/>
      <w:bookmarkEnd w:id="223"/>
    </w:p>
    <w:p w14:paraId="182CD3BD">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本合同发生争议，双方当事人应及时协商解决；经双方协商无法解决的争议，双方同意按照以方式解决：凡因本合同引起的或与本合同有关的任何争议，均</w:t>
      </w:r>
      <w:r>
        <w:rPr>
          <w:rFonts w:hint="eastAsia" w:ascii="宋体" w:hAnsi="宋体" w:eastAsia="宋体" w:cs="宋体"/>
          <w:color w:val="auto"/>
          <w:sz w:val="21"/>
          <w:szCs w:val="21"/>
          <w:highlight w:val="none"/>
          <w:lang w:val="en-US" w:eastAsia="zh-CN"/>
        </w:rPr>
        <w:t>可向项目所在地</w:t>
      </w:r>
      <w:r>
        <w:rPr>
          <w:rFonts w:hint="eastAsia" w:ascii="宋体" w:hAnsi="宋体" w:eastAsia="宋体" w:cs="宋体"/>
          <w:color w:val="auto"/>
          <w:sz w:val="21"/>
          <w:szCs w:val="21"/>
          <w:highlight w:val="none"/>
        </w:rPr>
        <w:t>有管辖权的人民法院</w:t>
      </w:r>
      <w:r>
        <w:rPr>
          <w:rFonts w:hint="eastAsia" w:ascii="宋体" w:hAnsi="宋体" w:eastAsia="宋体" w:cs="宋体"/>
          <w:color w:val="auto"/>
          <w:sz w:val="21"/>
          <w:szCs w:val="21"/>
          <w:highlight w:val="none"/>
          <w:lang w:val="en-US" w:eastAsia="zh-CN"/>
        </w:rPr>
        <w:t>提起诉讼</w:t>
      </w:r>
      <w:r>
        <w:rPr>
          <w:rFonts w:hint="eastAsia" w:ascii="宋体" w:hAnsi="宋体" w:eastAsia="宋体" w:cs="宋体"/>
          <w:color w:val="auto"/>
          <w:sz w:val="21"/>
          <w:szCs w:val="21"/>
          <w:highlight w:val="none"/>
        </w:rPr>
        <w:t>。</w:t>
      </w:r>
    </w:p>
    <w:p w14:paraId="76A30136">
      <w:pPr>
        <w:spacing w:line="360" w:lineRule="auto"/>
        <w:outlineLvl w:val="0"/>
        <w:rPr>
          <w:rFonts w:hint="eastAsia" w:ascii="宋体" w:hAnsi="宋体" w:eastAsia="宋体" w:cs="宋体"/>
          <w:b/>
          <w:bCs/>
          <w:color w:val="auto"/>
          <w:sz w:val="21"/>
          <w:szCs w:val="21"/>
          <w:highlight w:val="none"/>
        </w:rPr>
      </w:pPr>
      <w:bookmarkStart w:id="224" w:name="_Toc29523"/>
    </w:p>
    <w:p w14:paraId="14D140E4">
      <w:pPr>
        <w:spacing w:line="360" w:lineRule="auto"/>
        <w:outlineLvl w:val="0"/>
        <w:rPr>
          <w:rFonts w:hint="eastAsia" w:ascii="宋体" w:hAnsi="宋体" w:eastAsia="宋体" w:cs="宋体"/>
          <w:b/>
          <w:bCs/>
          <w:color w:val="auto"/>
          <w:sz w:val="21"/>
          <w:szCs w:val="21"/>
          <w:highlight w:val="none"/>
        </w:rPr>
      </w:pPr>
      <w:bookmarkStart w:id="225" w:name="_Toc8823"/>
      <w:bookmarkStart w:id="226" w:name="_Toc16943"/>
      <w:r>
        <w:rPr>
          <w:rFonts w:hint="eastAsia" w:ascii="宋体" w:hAnsi="宋体" w:eastAsia="宋体" w:cs="宋体"/>
          <w:b/>
          <w:bCs/>
          <w:color w:val="auto"/>
          <w:sz w:val="21"/>
          <w:szCs w:val="21"/>
          <w:highlight w:val="none"/>
        </w:rPr>
        <w:t>第十</w:t>
      </w: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条 通知</w:t>
      </w:r>
      <w:bookmarkEnd w:id="225"/>
      <w:bookmarkEnd w:id="226"/>
    </w:p>
    <w:p w14:paraId="400F78E8">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双方各自指定履行本合同的联系人，一方资料、文件之交接及意见之传达、接收均通过联系人进行。</w:t>
      </w:r>
    </w:p>
    <w:p w14:paraId="2928B121">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发包人指定联系人：                                                          </w:t>
      </w:r>
    </w:p>
    <w:p w14:paraId="5836B041">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    名：________________</w:t>
      </w:r>
    </w:p>
    <w:p w14:paraId="3E0F2150">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联系电话：________________</w:t>
      </w:r>
    </w:p>
    <w:p w14:paraId="648EDA7F">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电子邮箱：________________</w:t>
      </w:r>
    </w:p>
    <w:p w14:paraId="63F24331">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通讯地址：________________   </w:t>
      </w:r>
    </w:p>
    <w:p w14:paraId="79000270">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承包人指定联系人：                                                          </w:t>
      </w:r>
    </w:p>
    <w:p w14:paraId="350066BE">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    名：</w:t>
      </w:r>
    </w:p>
    <w:p w14:paraId="2E2C6566">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p>
    <w:p w14:paraId="6A27D81F">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w:t>
      </w:r>
    </w:p>
    <w:p w14:paraId="2E838B30">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通讯地址：</w:t>
      </w:r>
    </w:p>
    <w:p w14:paraId="21B116A1">
      <w:pPr>
        <w:spacing w:line="360" w:lineRule="auto"/>
        <w:ind w:firstLine="630" w:firstLineChars="300"/>
        <w:contextualSpacing/>
        <w:rPr>
          <w:rFonts w:hint="eastAsia" w:ascii="宋体" w:hAnsi="宋体" w:eastAsia="宋体" w:cs="宋体"/>
          <w:color w:val="auto"/>
          <w:sz w:val="21"/>
          <w:szCs w:val="21"/>
          <w:highlight w:val="none"/>
        </w:rPr>
      </w:pPr>
    </w:p>
    <w:p w14:paraId="035E00B8">
      <w:pPr>
        <w:spacing w:line="360" w:lineRule="auto"/>
        <w:outlineLvl w:val="0"/>
        <w:rPr>
          <w:rFonts w:hint="eastAsia" w:ascii="宋体" w:hAnsi="宋体" w:eastAsia="宋体" w:cs="宋体"/>
          <w:b/>
          <w:bCs/>
          <w:color w:val="auto"/>
          <w:sz w:val="21"/>
          <w:szCs w:val="21"/>
          <w:highlight w:val="none"/>
        </w:rPr>
      </w:pPr>
      <w:bookmarkStart w:id="227" w:name="_Toc28064"/>
      <w:bookmarkStart w:id="228" w:name="_Toc29799"/>
      <w:r>
        <w:rPr>
          <w:rFonts w:hint="eastAsia" w:ascii="宋体" w:hAnsi="宋体" w:eastAsia="宋体" w:cs="宋体"/>
          <w:b/>
          <w:bCs/>
          <w:color w:val="auto"/>
          <w:sz w:val="21"/>
          <w:szCs w:val="21"/>
          <w:highlight w:val="none"/>
        </w:rPr>
        <w:t>第十</w:t>
      </w: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条 其他条款</w:t>
      </w:r>
      <w:bookmarkEnd w:id="224"/>
      <w:bookmarkEnd w:id="227"/>
      <w:bookmarkEnd w:id="228"/>
    </w:p>
    <w:p w14:paraId="622C09B2">
      <w:pPr>
        <w:spacing w:line="360" w:lineRule="auto"/>
        <w:ind w:firstLine="630" w:firstLineChars="30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15.1</w:t>
      </w:r>
      <w:r>
        <w:rPr>
          <w:rFonts w:hint="eastAsia" w:ascii="宋体" w:hAnsi="宋体" w:eastAsia="宋体" w:cs="宋体"/>
          <w:color w:val="auto"/>
          <w:sz w:val="21"/>
          <w:szCs w:val="21"/>
          <w:highlight w:val="none"/>
        </w:rPr>
        <w:t>如因政府政策、</w:t>
      </w:r>
      <w:r>
        <w:rPr>
          <w:rFonts w:hint="eastAsia" w:ascii="宋体" w:hAnsi="宋体" w:eastAsia="宋体" w:cs="宋体"/>
          <w:color w:val="auto"/>
          <w:sz w:val="21"/>
          <w:szCs w:val="21"/>
          <w:highlight w:val="none"/>
          <w:lang w:val="en-US" w:eastAsia="zh-CN"/>
        </w:rPr>
        <w:t>发包</w:t>
      </w:r>
      <w:r>
        <w:rPr>
          <w:rFonts w:hint="eastAsia" w:ascii="宋体" w:hAnsi="宋体" w:eastAsia="宋体" w:cs="宋体"/>
          <w:color w:val="auto"/>
          <w:sz w:val="21"/>
          <w:szCs w:val="21"/>
          <w:highlight w:val="none"/>
        </w:rPr>
        <w:t>人经营调整或其他原因导致项目搁置的，</w:t>
      </w:r>
      <w:r>
        <w:rPr>
          <w:rFonts w:hint="eastAsia" w:ascii="宋体" w:hAnsi="宋体" w:eastAsia="宋体" w:cs="宋体"/>
          <w:color w:val="auto"/>
          <w:sz w:val="21"/>
          <w:szCs w:val="21"/>
          <w:highlight w:val="none"/>
          <w:lang w:val="en-US" w:eastAsia="zh-CN"/>
        </w:rPr>
        <w:t>发包</w:t>
      </w:r>
      <w:r>
        <w:rPr>
          <w:rFonts w:hint="eastAsia" w:ascii="宋体" w:hAnsi="宋体" w:eastAsia="宋体" w:cs="宋体"/>
          <w:color w:val="auto"/>
          <w:sz w:val="21"/>
          <w:szCs w:val="21"/>
          <w:highlight w:val="none"/>
        </w:rPr>
        <w:t>人有权取消采购项目或解除合同而不视为违约</w:t>
      </w:r>
      <w:r>
        <w:rPr>
          <w:rFonts w:hint="eastAsia" w:ascii="宋体" w:hAnsi="宋体" w:eastAsia="宋体" w:cs="宋体"/>
          <w:color w:val="auto"/>
          <w:sz w:val="21"/>
          <w:szCs w:val="21"/>
          <w:highlight w:val="none"/>
          <w:lang w:eastAsia="zh-CN"/>
        </w:rPr>
        <w:t>。</w:t>
      </w:r>
    </w:p>
    <w:p w14:paraId="68274723">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15.</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本合同未尽事宜，经双方平等友好协商一致，可签订补充协议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补充协议与本合同具有同等法律效力</w:t>
      </w:r>
      <w:r>
        <w:rPr>
          <w:rFonts w:hint="eastAsia" w:ascii="宋体" w:hAnsi="宋体" w:eastAsia="宋体" w:cs="宋体"/>
          <w:color w:val="auto"/>
          <w:sz w:val="21"/>
          <w:szCs w:val="21"/>
          <w:highlight w:val="none"/>
        </w:rPr>
        <w:t>。</w:t>
      </w:r>
    </w:p>
    <w:p w14:paraId="7AFC7B32">
      <w:pPr>
        <w:spacing w:line="360" w:lineRule="auto"/>
        <w:ind w:firstLine="630" w:firstLineChars="30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15.</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本合同自双方有权代表签字、单位盖章后生效</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一式【伍】份，发包人执【贰】份，承包人执【贰】份，</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代理执【壹】份，各份具有同等法律效力。</w:t>
      </w:r>
    </w:p>
    <w:p w14:paraId="15F509EF">
      <w:pPr>
        <w:pStyle w:val="17"/>
        <w:spacing w:before="45"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附件</w:t>
      </w:r>
      <w:r>
        <w:rPr>
          <w:rFonts w:hint="eastAsia" w:ascii="宋体" w:hAnsi="宋体" w:eastAsia="宋体" w:cs="宋体"/>
          <w:color w:val="auto"/>
          <w:kern w:val="0"/>
          <w:sz w:val="21"/>
          <w:szCs w:val="21"/>
          <w:highlight w:val="none"/>
        </w:rPr>
        <w:t>1：阳光合作协议</w:t>
      </w:r>
    </w:p>
    <w:p w14:paraId="0F9E98A9">
      <w:pPr>
        <w:pStyle w:val="17"/>
        <w:spacing w:before="45"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附件2：工程质量保修书</w:t>
      </w:r>
    </w:p>
    <w:p w14:paraId="29A00BFA">
      <w:pPr>
        <w:pStyle w:val="17"/>
        <w:spacing w:before="45"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附件3：安全作业协议书</w:t>
      </w:r>
    </w:p>
    <w:p w14:paraId="672A5102">
      <w:pPr>
        <w:pStyle w:val="17"/>
        <w:spacing w:before="45"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附件</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：营业执照（</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w:t>
      </w:r>
    </w:p>
    <w:p w14:paraId="423D7F82">
      <w:pPr>
        <w:pStyle w:val="17"/>
        <w:spacing w:before="45"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附件</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：法</w:t>
      </w:r>
      <w:r>
        <w:rPr>
          <w:rFonts w:hint="eastAsia" w:ascii="宋体" w:hAnsi="宋体" w:cs="宋体"/>
          <w:color w:val="auto"/>
          <w:kern w:val="0"/>
          <w:sz w:val="21"/>
          <w:szCs w:val="21"/>
          <w:highlight w:val="none"/>
          <w:lang w:val="en-US" w:eastAsia="zh-CN"/>
        </w:rPr>
        <w:t>定</w:t>
      </w:r>
      <w:r>
        <w:rPr>
          <w:rFonts w:hint="eastAsia" w:ascii="宋体" w:hAnsi="宋体" w:eastAsia="宋体" w:cs="宋体"/>
          <w:color w:val="auto"/>
          <w:kern w:val="0"/>
          <w:sz w:val="21"/>
          <w:szCs w:val="21"/>
          <w:highlight w:val="none"/>
        </w:rPr>
        <w:t>代表人身份证（</w:t>
      </w:r>
      <w:r>
        <w:rPr>
          <w:rFonts w:hint="eastAsia" w:ascii="宋体" w:hAnsi="宋体" w:eastAsia="宋体" w:cs="宋体"/>
          <w:color w:val="auto"/>
          <w:kern w:val="0"/>
          <w:sz w:val="21"/>
          <w:szCs w:val="21"/>
          <w:highlight w:val="none"/>
          <w:lang w:eastAsia="zh-CN"/>
        </w:rPr>
        <w:t>承包人</w:t>
      </w:r>
      <w:r>
        <w:rPr>
          <w:rFonts w:hint="eastAsia" w:ascii="宋体" w:hAnsi="宋体" w:eastAsia="宋体" w:cs="宋体"/>
          <w:color w:val="auto"/>
          <w:kern w:val="0"/>
          <w:sz w:val="21"/>
          <w:szCs w:val="21"/>
          <w:highlight w:val="none"/>
        </w:rPr>
        <w:t>）</w:t>
      </w:r>
    </w:p>
    <w:p w14:paraId="79043A2C">
      <w:pPr>
        <w:pStyle w:val="17"/>
        <w:spacing w:before="45"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附件</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中标</w:t>
      </w:r>
      <w:r>
        <w:rPr>
          <w:rFonts w:hint="eastAsia" w:ascii="宋体" w:hAnsi="宋体" w:eastAsia="宋体" w:cs="宋体"/>
          <w:color w:val="auto"/>
          <w:kern w:val="0"/>
          <w:sz w:val="21"/>
          <w:szCs w:val="21"/>
          <w:highlight w:val="none"/>
        </w:rPr>
        <w:t>通知书</w:t>
      </w:r>
    </w:p>
    <w:p w14:paraId="3B1EE50B">
      <w:pPr>
        <w:pStyle w:val="17"/>
        <w:spacing w:before="45" w:line="360" w:lineRule="auto"/>
        <w:ind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附件7：竞争性谈判文件（含澄清通知）</w:t>
      </w:r>
    </w:p>
    <w:p w14:paraId="7641C07F">
      <w:pPr>
        <w:pStyle w:val="18"/>
        <w:spacing w:line="360" w:lineRule="auto"/>
        <w:ind w:left="0" w:leftChars="0"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附件8：投标文件、投标清单</w:t>
      </w:r>
    </w:p>
    <w:p w14:paraId="28231DF1">
      <w:pPr>
        <w:pStyle w:val="17"/>
        <w:spacing w:before="45"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附件</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：履约保证金或履约保函缴纳凭证复印件</w:t>
      </w:r>
    </w:p>
    <w:p w14:paraId="7221EDF7">
      <w:pPr>
        <w:rPr>
          <w:rFonts w:hint="default" w:hAnsi="宋体" w:eastAsia="宋体"/>
          <w:color w:val="auto"/>
          <w:szCs w:val="21"/>
          <w:highlight w:val="none"/>
          <w:lang w:val="en-US" w:eastAsia="zh-CN"/>
        </w:rPr>
      </w:pPr>
      <w:r>
        <w:rPr>
          <w:rFonts w:hint="default" w:hAnsi="宋体" w:eastAsia="宋体"/>
          <w:color w:val="auto"/>
          <w:szCs w:val="21"/>
          <w:highlight w:val="none"/>
          <w:lang w:val="en-US" w:eastAsia="zh-CN"/>
        </w:rPr>
        <w:br w:type="page"/>
      </w:r>
    </w:p>
    <w:p w14:paraId="200E36DA">
      <w:pPr>
        <w:spacing w:line="360" w:lineRule="auto"/>
        <w:ind w:firstLine="630" w:firstLineChars="300"/>
        <w:contextualSpacing/>
        <w:rPr>
          <w:rFonts w:hint="default" w:hAnsi="宋体" w:eastAsia="宋体"/>
          <w:color w:val="auto"/>
          <w:szCs w:val="21"/>
          <w:highlight w:val="none"/>
          <w:lang w:val="en-US" w:eastAsia="zh-CN"/>
        </w:rPr>
      </w:pPr>
    </w:p>
    <w:p w14:paraId="461FBF7A">
      <w:pPr>
        <w:pStyle w:val="17"/>
        <w:spacing w:before="45"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（本页为签署页）</w:t>
      </w:r>
    </w:p>
    <w:p w14:paraId="63142565">
      <w:pPr>
        <w:pStyle w:val="18"/>
        <w:rPr>
          <w:rFonts w:hint="eastAsia"/>
          <w:color w:val="auto"/>
          <w:highlight w:val="none"/>
        </w:rPr>
      </w:pPr>
    </w:p>
    <w:tbl>
      <w:tblPr>
        <w:tblStyle w:val="40"/>
        <w:tblW w:w="8946" w:type="dxa"/>
        <w:jc w:val="center"/>
        <w:tblLayout w:type="fixed"/>
        <w:tblCellMar>
          <w:top w:w="0" w:type="dxa"/>
          <w:left w:w="108" w:type="dxa"/>
          <w:bottom w:w="0" w:type="dxa"/>
          <w:right w:w="108" w:type="dxa"/>
        </w:tblCellMar>
      </w:tblPr>
      <w:tblGrid>
        <w:gridCol w:w="4514"/>
        <w:gridCol w:w="4432"/>
      </w:tblGrid>
      <w:tr w14:paraId="4304FFF7">
        <w:tblPrEx>
          <w:tblCellMar>
            <w:top w:w="0" w:type="dxa"/>
            <w:left w:w="108" w:type="dxa"/>
            <w:bottom w:w="0" w:type="dxa"/>
            <w:right w:w="108" w:type="dxa"/>
          </w:tblCellMar>
        </w:tblPrEx>
        <w:trPr>
          <w:trHeight w:val="1134" w:hRule="atLeast"/>
          <w:jc w:val="center"/>
        </w:trPr>
        <w:tc>
          <w:tcPr>
            <w:tcW w:w="4514" w:type="dxa"/>
          </w:tcPr>
          <w:p w14:paraId="1B8638D0">
            <w:pPr>
              <w:adjustRightInd w:val="0"/>
              <w:snapToGrid w:val="0"/>
              <w:spacing w:line="360" w:lineRule="auto"/>
              <w:ind w:left="1739" w:hanging="1738" w:hangingChars="828"/>
              <w:rPr>
                <w:rFonts w:hint="eastAsia" w:ascii="宋体" w:hAnsi="宋体"/>
                <w:color w:val="auto"/>
                <w:kern w:val="0"/>
                <w:szCs w:val="21"/>
                <w:highlight w:val="none"/>
              </w:rPr>
            </w:pPr>
            <w:r>
              <w:rPr>
                <w:rFonts w:hint="eastAsia" w:ascii="宋体" w:hAnsi="宋体"/>
                <w:color w:val="auto"/>
                <w:kern w:val="0"/>
                <w:szCs w:val="21"/>
                <w:highlight w:val="none"/>
              </w:rPr>
              <w:t>发包人（盖章）：</w:t>
            </w:r>
          </w:p>
          <w:p w14:paraId="470BBC1A">
            <w:pPr>
              <w:adjustRightInd w:val="0"/>
              <w:snapToGrid w:val="0"/>
              <w:spacing w:line="360" w:lineRule="auto"/>
              <w:ind w:left="1739" w:hanging="1738" w:hangingChars="828"/>
              <w:rPr>
                <w:rFonts w:ascii="宋体" w:hAnsi="宋体"/>
                <w:color w:val="auto"/>
                <w:kern w:val="0"/>
                <w:szCs w:val="21"/>
                <w:highlight w:val="none"/>
              </w:rPr>
            </w:pPr>
            <w:r>
              <w:rPr>
                <w:rFonts w:hint="eastAsia" w:hAnsi="宋体" w:cs="宋体"/>
                <w:color w:val="auto"/>
                <w:szCs w:val="21"/>
                <w:highlight w:val="none"/>
                <w:lang w:eastAsia="zh-CN"/>
              </w:rPr>
              <w:t>东莞迎宾馆酒店有限公司松山湖分公司</w:t>
            </w:r>
          </w:p>
        </w:tc>
        <w:tc>
          <w:tcPr>
            <w:tcW w:w="4432" w:type="dxa"/>
          </w:tcPr>
          <w:p w14:paraId="1E502E50">
            <w:pPr>
              <w:adjustRightInd w:val="0"/>
              <w:snapToGrid w:val="0"/>
              <w:spacing w:line="360" w:lineRule="auto"/>
              <w:ind w:left="1680" w:hanging="1680" w:hangingChars="800"/>
              <w:rPr>
                <w:rFonts w:ascii="宋体" w:hAnsi="宋体"/>
                <w:color w:val="auto"/>
                <w:kern w:val="0"/>
                <w:szCs w:val="21"/>
                <w:highlight w:val="none"/>
              </w:rPr>
            </w:pPr>
            <w:r>
              <w:rPr>
                <w:rFonts w:hint="eastAsia" w:ascii="宋体" w:hAnsi="宋体"/>
                <w:color w:val="auto"/>
                <w:kern w:val="0"/>
                <w:szCs w:val="21"/>
                <w:highlight w:val="none"/>
              </w:rPr>
              <w:t>承包人（盖章）：</w:t>
            </w:r>
          </w:p>
        </w:tc>
      </w:tr>
      <w:tr w14:paraId="3612A620">
        <w:tblPrEx>
          <w:tblCellMar>
            <w:top w:w="0" w:type="dxa"/>
            <w:left w:w="108" w:type="dxa"/>
            <w:bottom w:w="0" w:type="dxa"/>
            <w:right w:w="108" w:type="dxa"/>
          </w:tblCellMar>
        </w:tblPrEx>
        <w:trPr>
          <w:trHeight w:val="993" w:hRule="atLeast"/>
          <w:jc w:val="center"/>
        </w:trPr>
        <w:tc>
          <w:tcPr>
            <w:tcW w:w="4514" w:type="dxa"/>
          </w:tcPr>
          <w:p w14:paraId="7B32FDB4">
            <w:pPr>
              <w:adjustRightInd w:val="0"/>
              <w:snapToGrid w:val="0"/>
              <w:spacing w:line="360" w:lineRule="auto"/>
              <w:ind w:left="630" w:hanging="630" w:hangingChars="300"/>
              <w:rPr>
                <w:rFonts w:ascii="宋体" w:hAnsi="宋体"/>
                <w:color w:val="auto"/>
                <w:kern w:val="0"/>
                <w:szCs w:val="21"/>
                <w:highlight w:val="none"/>
              </w:rPr>
            </w:pPr>
            <w:r>
              <w:rPr>
                <w:rFonts w:hint="eastAsia" w:ascii="宋体" w:hAnsi="宋体"/>
                <w:color w:val="auto"/>
                <w:kern w:val="0"/>
                <w:szCs w:val="21"/>
                <w:highlight w:val="none"/>
              </w:rPr>
              <w:t>地址：</w:t>
            </w:r>
          </w:p>
        </w:tc>
        <w:tc>
          <w:tcPr>
            <w:tcW w:w="4432" w:type="dxa"/>
          </w:tcPr>
          <w:p w14:paraId="791C61A6">
            <w:pPr>
              <w:adjustRightInd w:val="0"/>
              <w:snapToGrid w:val="0"/>
              <w:spacing w:line="360" w:lineRule="auto"/>
              <w:ind w:left="630" w:hanging="630" w:hangingChars="300"/>
              <w:rPr>
                <w:rFonts w:ascii="宋体" w:hAnsi="宋体"/>
                <w:color w:val="auto"/>
                <w:kern w:val="0"/>
                <w:szCs w:val="21"/>
                <w:highlight w:val="none"/>
              </w:rPr>
            </w:pPr>
            <w:r>
              <w:rPr>
                <w:rFonts w:hint="eastAsia" w:ascii="宋体" w:hAnsi="宋体"/>
                <w:color w:val="auto"/>
                <w:kern w:val="0"/>
                <w:szCs w:val="21"/>
                <w:highlight w:val="none"/>
              </w:rPr>
              <w:t>地址：</w:t>
            </w:r>
          </w:p>
        </w:tc>
      </w:tr>
      <w:tr w14:paraId="47EFE5E7">
        <w:tblPrEx>
          <w:tblCellMar>
            <w:top w:w="0" w:type="dxa"/>
            <w:left w:w="108" w:type="dxa"/>
            <w:bottom w:w="0" w:type="dxa"/>
            <w:right w:w="108" w:type="dxa"/>
          </w:tblCellMar>
        </w:tblPrEx>
        <w:trPr>
          <w:trHeight w:val="817" w:hRule="atLeast"/>
          <w:jc w:val="center"/>
        </w:trPr>
        <w:tc>
          <w:tcPr>
            <w:tcW w:w="4514" w:type="dxa"/>
          </w:tcPr>
          <w:p w14:paraId="3DB27149">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邮政编码：5</w:t>
            </w:r>
            <w:r>
              <w:rPr>
                <w:rFonts w:ascii="宋体" w:hAnsi="宋体"/>
                <w:color w:val="auto"/>
                <w:kern w:val="0"/>
                <w:szCs w:val="21"/>
                <w:highlight w:val="none"/>
              </w:rPr>
              <w:t>23000</w:t>
            </w:r>
          </w:p>
        </w:tc>
        <w:tc>
          <w:tcPr>
            <w:tcW w:w="4432" w:type="dxa"/>
          </w:tcPr>
          <w:p w14:paraId="6424E76D">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邮政编码：</w:t>
            </w:r>
          </w:p>
        </w:tc>
      </w:tr>
      <w:tr w14:paraId="723D6786">
        <w:tblPrEx>
          <w:tblCellMar>
            <w:top w:w="0" w:type="dxa"/>
            <w:left w:w="108" w:type="dxa"/>
            <w:bottom w:w="0" w:type="dxa"/>
            <w:right w:w="108" w:type="dxa"/>
          </w:tblCellMar>
        </w:tblPrEx>
        <w:trPr>
          <w:trHeight w:val="817" w:hRule="atLeast"/>
          <w:jc w:val="center"/>
        </w:trPr>
        <w:tc>
          <w:tcPr>
            <w:tcW w:w="4514" w:type="dxa"/>
          </w:tcPr>
          <w:p w14:paraId="469D435A">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法定代表人或其授权</w:t>
            </w:r>
          </w:p>
          <w:p w14:paraId="173498AA">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的代理人：</w:t>
            </w:r>
          </w:p>
          <w:p w14:paraId="5ED5E80F">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（签字或盖章）</w:t>
            </w:r>
            <w:r>
              <w:rPr>
                <w:rFonts w:ascii="宋体" w:hAnsi="宋体"/>
                <w:color w:val="auto"/>
                <w:kern w:val="0"/>
                <w:szCs w:val="21"/>
                <w:highlight w:val="non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rPr>
              <w:t xml:space="preserve">      </w:t>
            </w:r>
          </w:p>
        </w:tc>
        <w:tc>
          <w:tcPr>
            <w:tcW w:w="4432" w:type="dxa"/>
          </w:tcPr>
          <w:p w14:paraId="666BCDF9">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法定代表人或其授权</w:t>
            </w:r>
          </w:p>
          <w:p w14:paraId="62F3BEEF">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的代理人：</w:t>
            </w:r>
          </w:p>
          <w:p w14:paraId="29577172">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（签字或盖章）</w:t>
            </w:r>
            <w:r>
              <w:rPr>
                <w:rFonts w:ascii="宋体" w:hAnsi="宋体"/>
                <w:color w:val="auto"/>
                <w:kern w:val="0"/>
                <w:szCs w:val="21"/>
                <w:highlight w:val="non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rPr>
              <w:t xml:space="preserve">     </w:t>
            </w:r>
          </w:p>
        </w:tc>
      </w:tr>
      <w:tr w14:paraId="209B2797">
        <w:tblPrEx>
          <w:tblCellMar>
            <w:top w:w="0" w:type="dxa"/>
            <w:left w:w="108" w:type="dxa"/>
            <w:bottom w:w="0" w:type="dxa"/>
            <w:right w:w="108" w:type="dxa"/>
          </w:tblCellMar>
        </w:tblPrEx>
        <w:trPr>
          <w:trHeight w:val="817" w:hRule="atLeast"/>
          <w:jc w:val="center"/>
        </w:trPr>
        <w:tc>
          <w:tcPr>
            <w:tcW w:w="4514" w:type="dxa"/>
          </w:tcPr>
          <w:p w14:paraId="1C3074BD">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开户名称：</w:t>
            </w:r>
            <w:r>
              <w:rPr>
                <w:rFonts w:hint="eastAsia" w:hAnsi="宋体"/>
                <w:color w:val="auto"/>
                <w:kern w:val="0"/>
                <w:szCs w:val="21"/>
                <w:highlight w:val="none"/>
              </w:rPr>
              <w:t xml:space="preserve"> </w:t>
            </w:r>
          </w:p>
        </w:tc>
        <w:tc>
          <w:tcPr>
            <w:tcW w:w="4432" w:type="dxa"/>
          </w:tcPr>
          <w:p w14:paraId="4B772514">
            <w:pPr>
              <w:adjustRightInd w:val="0"/>
              <w:snapToGrid w:val="0"/>
              <w:spacing w:line="360" w:lineRule="auto"/>
              <w:ind w:left="1050" w:hanging="1050" w:hangingChars="500"/>
              <w:jc w:val="left"/>
              <w:rPr>
                <w:rFonts w:ascii="宋体" w:hAnsi="宋体"/>
                <w:color w:val="auto"/>
                <w:kern w:val="0"/>
                <w:szCs w:val="21"/>
                <w:highlight w:val="none"/>
              </w:rPr>
            </w:pPr>
            <w:r>
              <w:rPr>
                <w:rFonts w:hint="eastAsia" w:ascii="宋体" w:hAnsi="宋体"/>
                <w:color w:val="auto"/>
                <w:kern w:val="0"/>
                <w:szCs w:val="21"/>
                <w:highlight w:val="none"/>
              </w:rPr>
              <w:t>开户名称：</w:t>
            </w:r>
          </w:p>
        </w:tc>
      </w:tr>
      <w:tr w14:paraId="3B092343">
        <w:tblPrEx>
          <w:tblCellMar>
            <w:top w:w="0" w:type="dxa"/>
            <w:left w:w="108" w:type="dxa"/>
            <w:bottom w:w="0" w:type="dxa"/>
            <w:right w:w="108" w:type="dxa"/>
          </w:tblCellMar>
        </w:tblPrEx>
        <w:trPr>
          <w:trHeight w:val="817" w:hRule="atLeast"/>
          <w:jc w:val="center"/>
        </w:trPr>
        <w:tc>
          <w:tcPr>
            <w:tcW w:w="4514" w:type="dxa"/>
          </w:tcPr>
          <w:p w14:paraId="171F9F54">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开户银行：</w:t>
            </w:r>
            <w:r>
              <w:rPr>
                <w:rFonts w:hint="eastAsia" w:ascii="宋体" w:hAnsi="宋体"/>
                <w:color w:val="auto"/>
                <w:kern w:val="0"/>
                <w:szCs w:val="21"/>
                <w:highlight w:val="none"/>
                <w:lang w:val="en-US" w:eastAsia="zh-CN"/>
              </w:rPr>
              <w:t xml:space="preserve"> </w:t>
            </w:r>
            <w:r>
              <w:rPr>
                <w:rFonts w:hint="eastAsia" w:hAnsi="宋体"/>
                <w:color w:val="auto"/>
                <w:kern w:val="0"/>
                <w:szCs w:val="21"/>
                <w:highlight w:val="none"/>
              </w:rPr>
              <w:t xml:space="preserve"> </w:t>
            </w:r>
            <w:r>
              <w:rPr>
                <w:rFonts w:ascii="宋体" w:hAnsi="宋体"/>
                <w:color w:val="auto"/>
                <w:kern w:val="0"/>
                <w:szCs w:val="21"/>
                <w:highlight w:val="none"/>
              </w:rPr>
              <w:t xml:space="preserve">            </w:t>
            </w:r>
          </w:p>
        </w:tc>
        <w:tc>
          <w:tcPr>
            <w:tcW w:w="4432" w:type="dxa"/>
          </w:tcPr>
          <w:p w14:paraId="72F8608C">
            <w:pPr>
              <w:adjustRightInd w:val="0"/>
              <w:snapToGrid w:val="0"/>
              <w:spacing w:line="360" w:lineRule="auto"/>
              <w:ind w:left="1050" w:hanging="1050" w:hangingChars="500"/>
              <w:rPr>
                <w:rFonts w:ascii="宋体" w:hAnsi="宋体"/>
                <w:color w:val="auto"/>
                <w:kern w:val="0"/>
                <w:szCs w:val="21"/>
                <w:highlight w:val="none"/>
              </w:rPr>
            </w:pPr>
            <w:r>
              <w:rPr>
                <w:rFonts w:hint="eastAsia" w:ascii="宋体" w:hAnsi="宋体"/>
                <w:color w:val="auto"/>
                <w:kern w:val="0"/>
                <w:szCs w:val="21"/>
                <w:highlight w:val="none"/>
              </w:rPr>
              <w:t>开户银行：</w:t>
            </w:r>
          </w:p>
        </w:tc>
      </w:tr>
      <w:tr w14:paraId="203663A2">
        <w:tblPrEx>
          <w:tblCellMar>
            <w:top w:w="0" w:type="dxa"/>
            <w:left w:w="108" w:type="dxa"/>
            <w:bottom w:w="0" w:type="dxa"/>
            <w:right w:w="108" w:type="dxa"/>
          </w:tblCellMar>
        </w:tblPrEx>
        <w:trPr>
          <w:trHeight w:val="817" w:hRule="atLeast"/>
          <w:jc w:val="center"/>
        </w:trPr>
        <w:tc>
          <w:tcPr>
            <w:tcW w:w="4514" w:type="dxa"/>
          </w:tcPr>
          <w:p w14:paraId="109D23EB">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账号：</w:t>
            </w:r>
            <w:r>
              <w:rPr>
                <w:rFonts w:hint="eastAsia" w:ascii="宋体" w:hAnsi="宋体"/>
                <w:color w:val="auto"/>
                <w:kern w:val="0"/>
                <w:szCs w:val="21"/>
                <w:highlight w:val="none"/>
                <w:lang w:val="en-US" w:eastAsia="zh-CN"/>
              </w:rPr>
              <w:t xml:space="preserve"> </w:t>
            </w:r>
            <w:r>
              <w:rPr>
                <w:rFonts w:hint="eastAsia" w:hAnsi="宋体"/>
                <w:color w:val="auto"/>
                <w:kern w:val="0"/>
                <w:szCs w:val="21"/>
                <w:highlight w:val="none"/>
              </w:rPr>
              <w:t xml:space="preserve"> </w:t>
            </w:r>
            <w:r>
              <w:rPr>
                <w:rFonts w:ascii="宋体" w:hAnsi="宋体"/>
                <w:color w:val="auto"/>
                <w:kern w:val="0"/>
                <w:szCs w:val="21"/>
                <w:highlight w:val="none"/>
              </w:rPr>
              <w:t xml:space="preserve">                </w:t>
            </w:r>
          </w:p>
        </w:tc>
        <w:tc>
          <w:tcPr>
            <w:tcW w:w="4432" w:type="dxa"/>
          </w:tcPr>
          <w:p w14:paraId="69FF8145">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账号：</w:t>
            </w:r>
          </w:p>
        </w:tc>
      </w:tr>
      <w:tr w14:paraId="16623ECA">
        <w:tblPrEx>
          <w:tblCellMar>
            <w:top w:w="0" w:type="dxa"/>
            <w:left w:w="108" w:type="dxa"/>
            <w:bottom w:w="0" w:type="dxa"/>
            <w:right w:w="108" w:type="dxa"/>
          </w:tblCellMar>
        </w:tblPrEx>
        <w:trPr>
          <w:trHeight w:val="817" w:hRule="atLeast"/>
          <w:jc w:val="center"/>
        </w:trPr>
        <w:tc>
          <w:tcPr>
            <w:tcW w:w="4514" w:type="dxa"/>
          </w:tcPr>
          <w:p w14:paraId="1CEAE643">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电话：</w:t>
            </w:r>
            <w:r>
              <w:rPr>
                <w:rFonts w:hint="eastAsia" w:ascii="宋体" w:hAnsi="宋体"/>
                <w:color w:val="auto"/>
                <w:kern w:val="0"/>
                <w:szCs w:val="21"/>
                <w:highlight w:val="none"/>
                <w:lang w:val="en-US" w:eastAsia="zh-CN"/>
              </w:rPr>
              <w:t xml:space="preserve"> </w:t>
            </w:r>
            <w:r>
              <w:rPr>
                <w:rFonts w:hint="eastAsia" w:hAnsi="宋体"/>
                <w:color w:val="auto"/>
                <w:kern w:val="0"/>
                <w:szCs w:val="21"/>
                <w:highlight w:val="none"/>
              </w:rPr>
              <w:t xml:space="preserve"> </w:t>
            </w:r>
            <w:r>
              <w:rPr>
                <w:rFonts w:ascii="宋体" w:hAnsi="宋体"/>
                <w:color w:val="auto"/>
                <w:kern w:val="0"/>
                <w:szCs w:val="21"/>
                <w:highlight w:val="none"/>
              </w:rPr>
              <w:t xml:space="preserve">              </w:t>
            </w:r>
          </w:p>
        </w:tc>
        <w:tc>
          <w:tcPr>
            <w:tcW w:w="4432" w:type="dxa"/>
          </w:tcPr>
          <w:p w14:paraId="133A61E4">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电话：</w:t>
            </w:r>
          </w:p>
        </w:tc>
      </w:tr>
      <w:tr w14:paraId="03C8675A">
        <w:tblPrEx>
          <w:tblCellMar>
            <w:top w:w="0" w:type="dxa"/>
            <w:left w:w="108" w:type="dxa"/>
            <w:bottom w:w="0" w:type="dxa"/>
            <w:right w:w="108" w:type="dxa"/>
          </w:tblCellMar>
        </w:tblPrEx>
        <w:trPr>
          <w:trHeight w:val="817" w:hRule="atLeast"/>
          <w:jc w:val="center"/>
        </w:trPr>
        <w:tc>
          <w:tcPr>
            <w:tcW w:w="4514" w:type="dxa"/>
          </w:tcPr>
          <w:p w14:paraId="71F82BF0">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传真：</w:t>
            </w:r>
            <w:r>
              <w:rPr>
                <w:rFonts w:ascii="宋体" w:hAnsi="宋体"/>
                <w:color w:val="auto"/>
                <w:kern w:val="0"/>
                <w:szCs w:val="21"/>
                <w:highlight w:val="none"/>
              </w:rPr>
              <w:t xml:space="preserve">                       </w:t>
            </w:r>
          </w:p>
        </w:tc>
        <w:tc>
          <w:tcPr>
            <w:tcW w:w="4432" w:type="dxa"/>
          </w:tcPr>
          <w:p w14:paraId="0481B7B0">
            <w:pPr>
              <w:adjustRightInd w:val="0"/>
              <w:snapToGrid w:val="0"/>
              <w:spacing w:line="360" w:lineRule="auto"/>
              <w:rPr>
                <w:rFonts w:hint="eastAsia" w:ascii="宋体" w:hAnsi="宋体" w:eastAsia="宋体"/>
                <w:color w:val="auto"/>
                <w:kern w:val="0"/>
                <w:szCs w:val="21"/>
                <w:highlight w:val="none"/>
                <w:lang w:eastAsia="zh-CN"/>
              </w:rPr>
            </w:pPr>
            <w:r>
              <w:rPr>
                <w:rFonts w:hint="eastAsia" w:ascii="宋体" w:hAnsi="宋体"/>
                <w:color w:val="auto"/>
                <w:kern w:val="0"/>
                <w:szCs w:val="21"/>
                <w:highlight w:val="none"/>
              </w:rPr>
              <w:t>传真：</w:t>
            </w:r>
            <w:r>
              <w:rPr>
                <w:rFonts w:hint="eastAsia" w:ascii="宋体" w:hAnsi="宋体"/>
                <w:color w:val="auto"/>
                <w:kern w:val="0"/>
                <w:szCs w:val="21"/>
                <w:highlight w:val="none"/>
                <w:lang w:val="en-US" w:eastAsia="zh-CN"/>
              </w:rPr>
              <w:t xml:space="preserve"> </w:t>
            </w:r>
          </w:p>
        </w:tc>
      </w:tr>
      <w:tr w14:paraId="632605D9">
        <w:tblPrEx>
          <w:tblCellMar>
            <w:top w:w="0" w:type="dxa"/>
            <w:left w:w="108" w:type="dxa"/>
            <w:bottom w:w="0" w:type="dxa"/>
            <w:right w:w="108" w:type="dxa"/>
          </w:tblCellMar>
        </w:tblPrEx>
        <w:trPr>
          <w:trHeight w:val="817" w:hRule="atLeast"/>
          <w:jc w:val="center"/>
        </w:trPr>
        <w:tc>
          <w:tcPr>
            <w:tcW w:w="4514" w:type="dxa"/>
          </w:tcPr>
          <w:p w14:paraId="63DEBF24">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电子邮箱：</w:t>
            </w:r>
            <w:r>
              <w:rPr>
                <w:rFonts w:ascii="宋体" w:hAnsi="宋体"/>
                <w:color w:val="auto"/>
                <w:kern w:val="0"/>
                <w:szCs w:val="21"/>
                <w:highlight w:val="none"/>
              </w:rPr>
              <w:t xml:space="preserve">                   </w:t>
            </w:r>
          </w:p>
        </w:tc>
        <w:tc>
          <w:tcPr>
            <w:tcW w:w="4432" w:type="dxa"/>
          </w:tcPr>
          <w:p w14:paraId="6710644E">
            <w:pPr>
              <w:adjustRightInd w:val="0"/>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电子邮箱：</w:t>
            </w:r>
          </w:p>
          <w:p w14:paraId="0549F42C">
            <w:pPr>
              <w:adjustRightInd w:val="0"/>
              <w:snapToGrid w:val="0"/>
              <w:spacing w:line="360" w:lineRule="auto"/>
              <w:rPr>
                <w:rFonts w:ascii="宋体" w:hAnsi="宋体"/>
                <w:color w:val="auto"/>
                <w:kern w:val="0"/>
                <w:szCs w:val="21"/>
                <w:highlight w:val="none"/>
              </w:rPr>
            </w:pPr>
            <w:r>
              <w:rPr>
                <w:rFonts w:ascii="宋体" w:hAnsi="宋体"/>
                <w:color w:val="auto"/>
                <w:kern w:val="0"/>
                <w:szCs w:val="21"/>
                <w:highlight w:val="none"/>
              </w:rPr>
              <w:t xml:space="preserve">                   </w:t>
            </w:r>
          </w:p>
        </w:tc>
      </w:tr>
    </w:tbl>
    <w:p w14:paraId="4C98694B">
      <w:pPr>
        <w:spacing w:line="360" w:lineRule="auto"/>
        <w:ind w:firstLine="422" w:firstLineChars="200"/>
        <w:rPr>
          <w:rFonts w:hAnsi="宋体"/>
          <w:b/>
          <w:bCs/>
          <w:color w:val="auto"/>
          <w:szCs w:val="21"/>
          <w:highlight w:val="none"/>
        </w:rPr>
      </w:pPr>
    </w:p>
    <w:p w14:paraId="2684AD84">
      <w:pPr>
        <w:spacing w:line="360" w:lineRule="auto"/>
        <w:rPr>
          <w:rFonts w:hAnsi="宋体"/>
          <w:color w:val="auto"/>
          <w:szCs w:val="21"/>
          <w:highlight w:val="none"/>
          <w:shd w:val="clear" w:color="auto" w:fill="FFFFFF"/>
        </w:rPr>
      </w:pPr>
    </w:p>
    <w:p w14:paraId="62E7151B">
      <w:pPr>
        <w:snapToGrid w:val="0"/>
        <w:spacing w:line="360" w:lineRule="auto"/>
        <w:rPr>
          <w:rFonts w:hAnsi="宋体"/>
          <w:b/>
          <w:bCs/>
          <w:color w:val="auto"/>
          <w:szCs w:val="21"/>
          <w:highlight w:val="none"/>
        </w:rPr>
      </w:pPr>
      <w:r>
        <w:rPr>
          <w:rFonts w:hint="eastAsia" w:hAnsi="宋体"/>
          <w:b/>
          <w:bCs/>
          <w:color w:val="auto"/>
          <w:szCs w:val="21"/>
          <w:highlight w:val="none"/>
        </w:rPr>
        <w:t>合同订立时间：     年    月    日</w:t>
      </w:r>
    </w:p>
    <w:p w14:paraId="53ACF34F">
      <w:pPr>
        <w:snapToGrid w:val="0"/>
        <w:spacing w:line="360" w:lineRule="auto"/>
        <w:outlineLvl w:val="0"/>
        <w:rPr>
          <w:color w:val="auto"/>
          <w:highlight w:val="none"/>
        </w:rPr>
        <w:sectPr>
          <w:footerReference r:id="rId10" w:type="first"/>
          <w:headerReference r:id="rId7" w:type="default"/>
          <w:footerReference r:id="rId9" w:type="default"/>
          <w:headerReference r:id="rId8" w:type="even"/>
          <w:pgSz w:w="11906" w:h="16838"/>
          <w:pgMar w:top="1418" w:right="1191" w:bottom="1418" w:left="1134" w:header="964" w:footer="992" w:gutter="0"/>
          <w:pgNumType w:fmt="decimal"/>
          <w:cols w:space="720" w:num="1"/>
          <w:titlePg/>
          <w:docGrid w:type="lines" w:linePitch="312" w:charSpace="0"/>
        </w:sectPr>
      </w:pPr>
      <w:bookmarkStart w:id="229" w:name="_Toc21615"/>
      <w:bookmarkStart w:id="230" w:name="_Toc14704"/>
      <w:r>
        <w:rPr>
          <w:rFonts w:hint="eastAsia" w:hAnsi="宋体"/>
          <w:b/>
          <w:bCs/>
          <w:color w:val="auto"/>
          <w:szCs w:val="21"/>
          <w:highlight w:val="none"/>
        </w:rPr>
        <w:t>合同签订地点：东莞市</w:t>
      </w:r>
      <w:bookmarkEnd w:id="229"/>
      <w:bookmarkEnd w:id="230"/>
    </w:p>
    <w:p w14:paraId="72A32BFB">
      <w:pPr>
        <w:spacing w:line="420" w:lineRule="exact"/>
        <w:outlineLvl w:val="0"/>
        <w:rPr>
          <w:rFonts w:ascii="宋体" w:hAnsi="宋体" w:cs="宋体"/>
          <w:bCs/>
          <w:color w:val="auto"/>
          <w:sz w:val="24"/>
          <w:highlight w:val="none"/>
        </w:rPr>
      </w:pPr>
      <w:bookmarkStart w:id="231" w:name="_Toc9099"/>
      <w:bookmarkStart w:id="232" w:name="_Toc30713"/>
      <w:r>
        <w:rPr>
          <w:rFonts w:hint="eastAsia" w:ascii="宋体" w:hAnsi="宋体" w:cs="宋体"/>
          <w:bCs/>
          <w:color w:val="auto"/>
          <w:sz w:val="24"/>
          <w:highlight w:val="none"/>
        </w:rPr>
        <w:t>附件1:</w:t>
      </w:r>
      <w:bookmarkEnd w:id="231"/>
      <w:bookmarkEnd w:id="232"/>
    </w:p>
    <w:p w14:paraId="3D912877">
      <w:pPr>
        <w:pStyle w:val="17"/>
        <w:spacing w:line="420" w:lineRule="exact"/>
        <w:rPr>
          <w:rFonts w:ascii="宋体" w:hAnsi="宋体" w:cs="宋体"/>
          <w:b/>
          <w:color w:val="auto"/>
          <w:szCs w:val="21"/>
          <w:highlight w:val="none"/>
        </w:rPr>
      </w:pPr>
    </w:p>
    <w:p w14:paraId="43E426DE">
      <w:pPr>
        <w:spacing w:line="420" w:lineRule="exact"/>
        <w:ind w:firstLine="883" w:firstLineChars="200"/>
        <w:jc w:val="center"/>
        <w:rPr>
          <w:rFonts w:ascii="宋体" w:hAnsi="宋体"/>
          <w:b/>
          <w:color w:val="auto"/>
          <w:sz w:val="44"/>
          <w:szCs w:val="44"/>
          <w:highlight w:val="none"/>
        </w:rPr>
      </w:pPr>
      <w:r>
        <w:rPr>
          <w:rFonts w:hint="eastAsia" w:ascii="宋体" w:hAnsi="宋体"/>
          <w:b/>
          <w:color w:val="auto"/>
          <w:sz w:val="44"/>
          <w:szCs w:val="44"/>
          <w:highlight w:val="none"/>
        </w:rPr>
        <w:t>阳光合作协议</w:t>
      </w:r>
    </w:p>
    <w:p w14:paraId="734C1D3D">
      <w:pPr>
        <w:spacing w:line="420" w:lineRule="exact"/>
        <w:ind w:firstLine="422" w:firstLineChars="200"/>
        <w:jc w:val="center"/>
        <w:rPr>
          <w:rFonts w:ascii="宋体" w:hAnsi="宋体"/>
          <w:b/>
          <w:color w:val="auto"/>
          <w:szCs w:val="21"/>
          <w:highlight w:val="none"/>
        </w:rPr>
      </w:pPr>
    </w:p>
    <w:p w14:paraId="334CF384">
      <w:pPr>
        <w:spacing w:before="120" w:beforeLines="50" w:after="120" w:afterLines="50" w:line="420" w:lineRule="exact"/>
        <w:ind w:firstLine="420" w:firstLineChars="200"/>
        <w:contextualSpacing/>
        <w:rPr>
          <w:rFonts w:ascii="宋体" w:hAnsi="宋体"/>
          <w:color w:val="auto"/>
          <w:szCs w:val="21"/>
          <w:highlight w:val="none"/>
        </w:rPr>
      </w:pPr>
      <w:bookmarkStart w:id="233" w:name="现场签证通知单"/>
      <w:bookmarkEnd w:id="233"/>
      <w:bookmarkStart w:id="234" w:name="_MON_1652865172"/>
      <w:bookmarkEnd w:id="234"/>
      <w:bookmarkStart w:id="235" w:name="设计变更通知单"/>
      <w:bookmarkEnd w:id="235"/>
      <w:r>
        <w:rPr>
          <w:rFonts w:hint="eastAsia" w:ascii="宋体" w:hAnsi="宋体"/>
          <w:color w:val="auto"/>
          <w:szCs w:val="21"/>
          <w:highlight w:val="none"/>
        </w:rPr>
        <w:t>发包人（甲方）：</w:t>
      </w:r>
      <w:r>
        <w:rPr>
          <w:rFonts w:hint="eastAsia" w:ascii="宋体" w:hAnsi="宋体"/>
          <w:color w:val="auto"/>
          <w:szCs w:val="21"/>
          <w:highlight w:val="none"/>
          <w:u w:val="single"/>
          <w:lang w:val="en-US" w:eastAsia="zh-CN"/>
        </w:rPr>
        <w:t xml:space="preserve">                                  </w:t>
      </w:r>
      <w:r>
        <w:rPr>
          <w:rFonts w:hint="eastAsia" w:ascii="宋体" w:hAnsi="宋体" w:cs="宋体"/>
          <w:color w:val="auto"/>
          <w:highlight w:val="none"/>
          <w:u w:val="single"/>
        </w:rPr>
        <w:t xml:space="preserve"> </w:t>
      </w:r>
    </w:p>
    <w:p w14:paraId="15BB6F3A">
      <w:pPr>
        <w:spacing w:before="120" w:beforeLines="50" w:after="120" w:afterLines="50" w:line="420" w:lineRule="exact"/>
        <w:ind w:firstLine="420" w:firstLineChars="200"/>
        <w:contextualSpacing/>
        <w:rPr>
          <w:rFonts w:ascii="宋体" w:hAnsi="宋体"/>
          <w:color w:val="auto"/>
          <w:szCs w:val="21"/>
          <w:highlight w:val="none"/>
        </w:rPr>
      </w:pPr>
      <w:r>
        <w:rPr>
          <w:rFonts w:hint="eastAsia" w:ascii="宋体" w:hAnsi="宋体"/>
          <w:color w:val="auto"/>
          <w:szCs w:val="21"/>
          <w:highlight w:val="none"/>
        </w:rPr>
        <w:t>承包人（</w:t>
      </w:r>
      <w:r>
        <w:rPr>
          <w:rFonts w:hint="eastAsia" w:ascii="宋体" w:hAnsi="宋体"/>
          <w:color w:val="auto"/>
          <w:szCs w:val="21"/>
          <w:highlight w:val="none"/>
          <w:lang w:val="en-US" w:eastAsia="zh-CN"/>
        </w:rPr>
        <w:t>乙方</w:t>
      </w:r>
      <w:r>
        <w:rPr>
          <w:rFonts w:hint="eastAsia" w:ascii="宋体" w:hAnsi="宋体"/>
          <w:color w:val="auto"/>
          <w:szCs w:val="21"/>
          <w:highlight w:val="none"/>
        </w:rPr>
        <w:t>）：</w:t>
      </w:r>
      <w:r>
        <w:rPr>
          <w:rFonts w:hint="eastAsia" w:ascii="宋体" w:hAnsi="宋体"/>
          <w:color w:val="auto"/>
          <w:szCs w:val="21"/>
          <w:highlight w:val="none"/>
          <w:u w:val="single"/>
          <w:lang w:val="en-US" w:eastAsia="zh-CN"/>
        </w:rPr>
        <w:t xml:space="preserve">                                 </w:t>
      </w:r>
    </w:p>
    <w:p w14:paraId="09E4F275">
      <w:pPr>
        <w:pStyle w:val="17"/>
        <w:spacing w:line="420" w:lineRule="exact"/>
        <w:rPr>
          <w:rFonts w:ascii="宋体" w:hAnsi="宋体"/>
          <w:color w:val="auto"/>
          <w:szCs w:val="21"/>
          <w:highlight w:val="none"/>
        </w:rPr>
      </w:pPr>
    </w:p>
    <w:p w14:paraId="1523133F">
      <w:pPr>
        <w:spacing w:before="120" w:beforeLines="50" w:after="120" w:afterLines="50" w:line="420" w:lineRule="exact"/>
        <w:ind w:firstLine="420" w:firstLineChars="200"/>
        <w:contextualSpacing/>
        <w:rPr>
          <w:rFonts w:ascii="宋体" w:hAnsi="宋体"/>
          <w:color w:val="auto"/>
          <w:highlight w:val="none"/>
        </w:rPr>
      </w:pPr>
      <w:r>
        <w:rPr>
          <w:rFonts w:hint="eastAsia" w:ascii="宋体" w:hAnsi="宋体"/>
          <w:color w:val="auto"/>
          <w:highlight w:val="none"/>
        </w:rPr>
        <w:t>甲乙双方于</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日签署了《</w:t>
      </w:r>
      <w:r>
        <w:rPr>
          <w:rFonts w:hint="eastAsia" w:ascii="宋体" w:hAnsi="宋体" w:cs="宋体"/>
          <w:color w:val="auto"/>
          <w:szCs w:val="21"/>
          <w:highlight w:val="none"/>
          <w:u w:val="single"/>
          <w:lang w:eastAsia="zh-CN"/>
        </w:rPr>
        <w:t>……</w:t>
      </w:r>
      <w:r>
        <w:rPr>
          <w:rFonts w:hint="eastAsia" w:ascii="宋体" w:hAnsi="宋体" w:cs="宋体"/>
          <w:color w:val="auto"/>
          <w:szCs w:val="21"/>
          <w:highlight w:val="none"/>
          <w:u w:val="single"/>
          <w:lang w:val="en-US" w:eastAsia="zh-CN"/>
        </w:rPr>
        <w:t>合同</w:t>
      </w:r>
      <w:r>
        <w:rPr>
          <w:rFonts w:hint="eastAsia" w:ascii="宋体" w:hAnsi="宋体"/>
          <w:color w:val="auto"/>
          <w:highlight w:val="none"/>
        </w:rPr>
        <w:t>》（以下简称原合同），为加强双方阳光合作，保证职员职业安全，甲乙双方经协商签订本协议并作为双方共同遵守的阳光合作行为准则。</w:t>
      </w:r>
    </w:p>
    <w:p w14:paraId="0BA2B548">
      <w:pPr>
        <w:spacing w:before="120" w:beforeLines="50" w:after="120" w:afterLines="50" w:line="420" w:lineRule="exact"/>
        <w:ind w:left="420" w:leftChars="200"/>
        <w:contextualSpacing/>
        <w:outlineLvl w:val="0"/>
        <w:rPr>
          <w:rFonts w:ascii="宋体" w:hAnsi="宋体"/>
          <w:b/>
          <w:color w:val="auto"/>
          <w:highlight w:val="none"/>
        </w:rPr>
      </w:pPr>
      <w:bookmarkStart w:id="236" w:name="_Toc6373"/>
      <w:bookmarkStart w:id="237" w:name="_Toc11985"/>
      <w:r>
        <w:rPr>
          <w:rFonts w:hint="eastAsia" w:ascii="宋体" w:hAnsi="宋体"/>
          <w:b/>
          <w:color w:val="auto"/>
          <w:highlight w:val="none"/>
        </w:rPr>
        <w:t>一、发包人责任</w:t>
      </w:r>
      <w:bookmarkEnd w:id="236"/>
      <w:bookmarkEnd w:id="237"/>
    </w:p>
    <w:p w14:paraId="07518BFD">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1.发包人有责任向承包人介绍本单位有关采购管理通用原则和本协议的规定。</w:t>
      </w:r>
    </w:p>
    <w:p w14:paraId="72C863D2">
      <w:pPr>
        <w:spacing w:before="120" w:beforeLines="50" w:after="120" w:afterLines="50" w:line="420" w:lineRule="exact"/>
        <w:ind w:left="105" w:leftChars="50" w:firstLine="420" w:firstLineChars="200"/>
        <w:contextualSpacing/>
        <w:outlineLvl w:val="1"/>
        <w:rPr>
          <w:rFonts w:ascii="宋体" w:hAnsi="宋体"/>
          <w:color w:val="auto"/>
          <w:highlight w:val="none"/>
        </w:rPr>
      </w:pPr>
      <w:bookmarkStart w:id="238" w:name="_Toc20536"/>
      <w:bookmarkStart w:id="239" w:name="_Toc22943"/>
      <w:r>
        <w:rPr>
          <w:rFonts w:hint="eastAsia" w:ascii="宋体" w:hAnsi="宋体"/>
          <w:color w:val="auto"/>
          <w:highlight w:val="none"/>
        </w:rPr>
        <w:t>2.发包人有责任对本单位相关人员进行阳光合作教育。</w:t>
      </w:r>
      <w:bookmarkEnd w:id="238"/>
      <w:bookmarkEnd w:id="239"/>
    </w:p>
    <w:p w14:paraId="22A03AED">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 xml:space="preserve">3.发包人人员应严格遵守本单位有关阳光合作管理的规定，不得接受承包人任何形式的回扣、实物、现金、有价证券、礼券等有价物品，不得参加承包人提供的旅游或其他可能影响职务行为公正履行的活动。 </w:t>
      </w:r>
    </w:p>
    <w:p w14:paraId="46596E71">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4.发包人人员如违反阳光合作管理制度及本协议规定，发包人视情节轻重、影响大小给予行政及经济处罚。</w:t>
      </w:r>
    </w:p>
    <w:p w14:paraId="7D82CFE8">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5．对于承包人举报发包人人员违反阳光合作规定的情况，发包人应及时进行调查，根据调查情况进行处理，并将调查结果向承包人反馈。</w:t>
      </w:r>
    </w:p>
    <w:p w14:paraId="53DD4C3F">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61C72721">
      <w:pPr>
        <w:spacing w:before="120" w:beforeLines="50" w:after="120" w:afterLines="50" w:line="420" w:lineRule="exact"/>
        <w:ind w:left="420" w:leftChars="200"/>
        <w:contextualSpacing/>
        <w:outlineLvl w:val="0"/>
        <w:rPr>
          <w:rFonts w:ascii="宋体" w:hAnsi="宋体"/>
          <w:b/>
          <w:color w:val="auto"/>
          <w:highlight w:val="none"/>
        </w:rPr>
      </w:pPr>
      <w:bookmarkStart w:id="240" w:name="_Toc3305"/>
      <w:bookmarkStart w:id="241" w:name="_Toc4103"/>
      <w:r>
        <w:rPr>
          <w:rFonts w:hint="eastAsia" w:ascii="宋体" w:hAnsi="宋体"/>
          <w:b/>
          <w:color w:val="auto"/>
          <w:highlight w:val="none"/>
        </w:rPr>
        <w:t>二、承包人责任</w:t>
      </w:r>
      <w:bookmarkEnd w:id="240"/>
      <w:bookmarkEnd w:id="241"/>
    </w:p>
    <w:p w14:paraId="157C3DCD">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1.承包人应保证承包人人员了解发包人有关采购管理通用原则和及本协议的规定，并遵照执行。</w:t>
      </w:r>
    </w:p>
    <w:p w14:paraId="1EA20A2E">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2.承包人不得以任何形式给予发包人人员回扣、赠送实物、现金、有价证券、礼券等有价物品或提供旅游等其他可能影响职务行为公正履行的活动（以下统称“财物”）。</w:t>
      </w:r>
    </w:p>
    <w:p w14:paraId="6334E490">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3.承包人有责任接受发包人对承包人在合作期间阳光合作管理执行情况的监督，并对发包人相关调查工作主动配合。</w:t>
      </w:r>
    </w:p>
    <w:p w14:paraId="291AC04D">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4.承包人有义务就发包人人员任何形式的索取或收受财物行为及时向发包人（直接联系人为东莞实业投资控股集团有限公司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举报。如承包人或其人员向发包人人员给予财物，或发包人人员向承包人索取财物，承包人满足其要求并且未向发包人举报的，一经查实（包括但不限于被发包人核实属实，或者被司法机关或第三方核实属实的），发包人将在内部通报；承包人除应向发包人赔偿由此给发包人造成的损失外，承包人还应向发包人支付相当于原合同总价的10%的违约金，并对承包人知情不报人员进行相应处罚；连续出现2次及以上类似情况或者如因承包人在合作期间贿赂发包人人员，被司法机关立案查处核实属实的，发包人有权解除原合同，如发包人解除原合同的，则承包人应退还发包人所支付的所有款项并按原合同与本合同约定承担违约责任，且五年之内不得作为东实集团（东莞实业投资控股集团有限公司及下属子公司）合格供应商。</w:t>
      </w:r>
    </w:p>
    <w:p w14:paraId="4F0E253B">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 xml:space="preserve">5．发包人接受承包人实名或匿名举报，保证为举报者的信息保密，常设举报部门及电话： </w:t>
      </w:r>
    </w:p>
    <w:p w14:paraId="5535705A">
      <w:pPr>
        <w:spacing w:before="120" w:beforeLines="50" w:after="120" w:afterLines="50" w:line="420" w:lineRule="exact"/>
        <w:ind w:left="105" w:leftChars="50" w:firstLine="420" w:firstLineChars="200"/>
        <w:contextualSpacing/>
        <w:rPr>
          <w:rFonts w:hint="default" w:ascii="宋体" w:hAnsi="宋体" w:eastAsia="宋体"/>
          <w:color w:val="auto"/>
          <w:highlight w:val="none"/>
          <w:lang w:val="en-US" w:eastAsia="zh-CN"/>
        </w:rPr>
      </w:pPr>
      <w:r>
        <w:rPr>
          <w:rFonts w:hint="eastAsia" w:ascii="宋体" w:hAnsi="宋体"/>
          <w:color w:val="auto"/>
          <w:highlight w:val="none"/>
        </w:rPr>
        <w:t>举报受理部门：东莞实业投资控股集团有限公司</w:t>
      </w:r>
      <w:r>
        <w:rPr>
          <w:rFonts w:hint="eastAsia" w:ascii="宋体" w:hAnsi="宋体"/>
          <w:color w:val="auto"/>
          <w:highlight w:val="none"/>
          <w:lang w:val="en-US" w:eastAsia="zh-CN"/>
        </w:rPr>
        <w:t>风控法务部</w:t>
      </w:r>
    </w:p>
    <w:p w14:paraId="43ACF761">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东实集团举报邮箱：dgsyxf@163.com</w:t>
      </w:r>
    </w:p>
    <w:p w14:paraId="5BBF7123">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东实集团举报电话：0769-28820703（周一至周五9:00-12:00和14:00-18:00）</w:t>
      </w:r>
    </w:p>
    <w:p w14:paraId="75288CEC">
      <w:pPr>
        <w:spacing w:before="120" w:beforeLines="50" w:after="120" w:afterLines="50" w:line="420" w:lineRule="exact"/>
        <w:ind w:left="105" w:leftChars="50" w:firstLine="420" w:firstLineChars="200"/>
        <w:contextualSpacing/>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val="en-US" w:eastAsia="zh-CN"/>
        </w:rPr>
        <w:t>风控法务部</w:t>
      </w:r>
      <w:r>
        <w:rPr>
          <w:rFonts w:hint="eastAsia" w:ascii="宋体" w:hAnsi="宋体"/>
          <w:color w:val="auto"/>
          <w:highlight w:val="none"/>
        </w:rPr>
        <w:t>部收，邮编523000。</w:t>
      </w:r>
    </w:p>
    <w:p w14:paraId="090290A8">
      <w:pPr>
        <w:spacing w:before="120" w:beforeLines="50" w:after="120" w:afterLines="50" w:line="420" w:lineRule="exact"/>
        <w:ind w:left="420" w:leftChars="200"/>
        <w:contextualSpacing/>
        <w:outlineLvl w:val="0"/>
        <w:rPr>
          <w:rFonts w:ascii="宋体" w:hAnsi="宋体"/>
          <w:b/>
          <w:color w:val="auto"/>
          <w:highlight w:val="none"/>
        </w:rPr>
      </w:pPr>
      <w:bookmarkStart w:id="242" w:name="_Toc12872"/>
      <w:bookmarkStart w:id="243" w:name="_Toc23560"/>
      <w:r>
        <w:rPr>
          <w:rFonts w:hint="eastAsia" w:ascii="宋体" w:hAnsi="宋体"/>
          <w:b/>
          <w:color w:val="auto"/>
          <w:highlight w:val="none"/>
        </w:rPr>
        <w:t>三、其他</w:t>
      </w:r>
      <w:bookmarkEnd w:id="242"/>
      <w:bookmarkEnd w:id="243"/>
    </w:p>
    <w:p w14:paraId="4AB5F71C">
      <w:pPr>
        <w:spacing w:before="120" w:beforeLines="50" w:after="120" w:afterLines="50" w:line="420" w:lineRule="exact"/>
        <w:ind w:left="105" w:leftChars="50" w:firstLine="420" w:firstLineChars="200"/>
        <w:contextualSpacing/>
        <w:outlineLvl w:val="1"/>
        <w:rPr>
          <w:rFonts w:ascii="宋体" w:hAnsi="宋体"/>
          <w:color w:val="auto"/>
          <w:highlight w:val="none"/>
        </w:rPr>
      </w:pPr>
      <w:bookmarkStart w:id="244" w:name="_Toc32069"/>
      <w:bookmarkStart w:id="245" w:name="_Toc6018"/>
      <w:r>
        <w:rPr>
          <w:rFonts w:hint="eastAsia" w:ascii="宋体" w:hAnsi="宋体"/>
          <w:color w:val="auto"/>
          <w:highlight w:val="none"/>
        </w:rPr>
        <w:t>1.本协议是原合同的补充协议，与原合同有同等法律效力。</w:t>
      </w:r>
      <w:bookmarkEnd w:id="244"/>
      <w:bookmarkEnd w:id="245"/>
    </w:p>
    <w:p w14:paraId="33164910">
      <w:pPr>
        <w:spacing w:before="120" w:beforeLines="50" w:after="120" w:afterLines="50" w:line="420" w:lineRule="exact"/>
        <w:ind w:left="105" w:leftChars="50" w:firstLine="420" w:firstLineChars="200"/>
        <w:contextualSpacing/>
        <w:outlineLvl w:val="1"/>
        <w:rPr>
          <w:rFonts w:ascii="宋体" w:hAnsi="宋体"/>
          <w:color w:val="auto"/>
          <w:szCs w:val="21"/>
          <w:highlight w:val="none"/>
        </w:rPr>
      </w:pPr>
      <w:bookmarkStart w:id="246" w:name="_Toc321"/>
      <w:bookmarkStart w:id="247" w:name="_Toc16511"/>
      <w:r>
        <w:rPr>
          <w:rFonts w:hint="eastAsia" w:ascii="宋体" w:hAnsi="宋体"/>
          <w:color w:val="auto"/>
          <w:highlight w:val="none"/>
          <w:lang w:val="en-US" w:eastAsia="zh-CN"/>
        </w:rPr>
        <w:t>2</w:t>
      </w:r>
      <w:r>
        <w:rPr>
          <w:rFonts w:hint="eastAsia" w:ascii="宋体" w:hAnsi="宋体"/>
          <w:color w:val="auto"/>
          <w:highlight w:val="none"/>
        </w:rPr>
        <w:t>.本协议经双方签署后生效</w:t>
      </w:r>
      <w:r>
        <w:rPr>
          <w:rFonts w:hint="eastAsia" w:ascii="宋体" w:hAnsi="宋体"/>
          <w:color w:val="auto"/>
          <w:szCs w:val="21"/>
          <w:highlight w:val="none"/>
        </w:rPr>
        <w:t>。</w:t>
      </w:r>
      <w:bookmarkEnd w:id="246"/>
      <w:bookmarkEnd w:id="247"/>
    </w:p>
    <w:p w14:paraId="19FE83D3">
      <w:pPr>
        <w:spacing w:before="120" w:beforeLines="50" w:after="120" w:afterLines="50" w:line="420" w:lineRule="exact"/>
        <w:ind w:firstLine="420" w:firstLineChars="200"/>
        <w:contextualSpacing/>
        <w:rPr>
          <w:rFonts w:ascii="宋体" w:hAnsi="宋体"/>
          <w:color w:val="auto"/>
          <w:szCs w:val="21"/>
          <w:highlight w:val="none"/>
        </w:rPr>
      </w:pPr>
    </w:p>
    <w:p w14:paraId="6501E25F">
      <w:pPr>
        <w:pStyle w:val="17"/>
        <w:spacing w:line="420" w:lineRule="exact"/>
        <w:rPr>
          <w:rFonts w:ascii="宋体" w:hAnsi="宋体"/>
          <w:color w:val="auto"/>
          <w:szCs w:val="21"/>
          <w:highlight w:val="none"/>
        </w:rPr>
      </w:pPr>
    </w:p>
    <w:p w14:paraId="06239691">
      <w:pPr>
        <w:spacing w:before="120" w:beforeLines="50" w:after="120" w:afterLines="50" w:line="420" w:lineRule="exact"/>
        <w:ind w:firstLine="420" w:firstLineChars="200"/>
        <w:contextualSpacing/>
        <w:rPr>
          <w:rFonts w:ascii="宋体" w:hAnsi="宋体"/>
          <w:color w:val="auto"/>
          <w:szCs w:val="21"/>
          <w:highlight w:val="none"/>
        </w:rPr>
      </w:pPr>
      <w:r>
        <w:rPr>
          <w:rFonts w:hint="eastAsia" w:ascii="宋体" w:hAnsi="宋体"/>
          <w:color w:val="auto"/>
          <w:szCs w:val="21"/>
          <w:highlight w:val="none"/>
        </w:rPr>
        <w:t>发包人（盖章）：                                承包人（盖章）：</w:t>
      </w:r>
      <w:r>
        <w:rPr>
          <w:rFonts w:ascii="宋体" w:hAnsi="宋体"/>
          <w:color w:val="auto"/>
          <w:szCs w:val="21"/>
          <w:highlight w:val="none"/>
        </w:rPr>
        <w:t xml:space="preserve"> </w:t>
      </w:r>
    </w:p>
    <w:p w14:paraId="797D5337">
      <w:pPr>
        <w:pStyle w:val="15"/>
        <w:spacing w:before="120" w:beforeLines="50" w:after="120" w:afterLines="50"/>
        <w:contextualSpacing/>
        <w:rPr>
          <w:color w:val="auto"/>
          <w:highlight w:val="none"/>
        </w:rPr>
      </w:pPr>
    </w:p>
    <w:p w14:paraId="2213A123">
      <w:pPr>
        <w:spacing w:before="120" w:beforeLines="50" w:after="120" w:afterLines="50" w:line="420" w:lineRule="exact"/>
        <w:ind w:firstLine="420" w:firstLineChars="200"/>
        <w:contextualSpacing/>
        <w:rPr>
          <w:rFonts w:ascii="宋体" w:hAnsi="宋体"/>
          <w:color w:val="auto"/>
          <w:szCs w:val="21"/>
          <w:highlight w:val="none"/>
        </w:rPr>
      </w:pPr>
      <w:r>
        <w:rPr>
          <w:rFonts w:hint="eastAsia" w:ascii="宋体" w:hAnsi="宋体"/>
          <w:color w:val="auto"/>
          <w:szCs w:val="21"/>
          <w:highlight w:val="none"/>
        </w:rPr>
        <w:t>法定代表人（授权代表）：</w:t>
      </w:r>
      <w:r>
        <w:rPr>
          <w:rFonts w:hint="eastAsia" w:ascii="宋体" w:hAnsi="宋体"/>
          <w:color w:val="auto"/>
          <w:szCs w:val="21"/>
          <w:highlight w:val="none"/>
        </w:rPr>
        <w:tab/>
      </w:r>
      <w:r>
        <w:rPr>
          <w:rFonts w:hint="eastAsia" w:ascii="宋体" w:hAnsi="宋体"/>
          <w:color w:val="auto"/>
          <w:szCs w:val="21"/>
          <w:highlight w:val="none"/>
        </w:rPr>
        <w:tab/>
      </w:r>
      <w:r>
        <w:rPr>
          <w:rFonts w:hint="eastAsia" w:ascii="宋体" w:hAnsi="宋体"/>
          <w:color w:val="auto"/>
          <w:szCs w:val="21"/>
          <w:highlight w:val="none"/>
        </w:rPr>
        <w:t xml:space="preserve">                   法定代表人（授权代表）：</w:t>
      </w:r>
    </w:p>
    <w:p w14:paraId="6274F8B5">
      <w:pPr>
        <w:spacing w:before="120" w:beforeLines="50" w:after="120" w:afterLines="50" w:line="420" w:lineRule="exact"/>
        <w:ind w:firstLine="420" w:firstLineChars="200"/>
        <w:contextualSpacing/>
        <w:rPr>
          <w:rFonts w:ascii="宋体" w:hAnsi="宋体"/>
          <w:color w:val="auto"/>
          <w:szCs w:val="21"/>
          <w:highlight w:val="none"/>
        </w:rPr>
      </w:pPr>
    </w:p>
    <w:p w14:paraId="2DEFF904">
      <w:pPr>
        <w:spacing w:before="120" w:beforeLines="50" w:after="120" w:afterLines="50" w:line="420" w:lineRule="exact"/>
        <w:ind w:firstLine="420" w:firstLineChars="200"/>
        <w:contextualSpacing/>
        <w:rPr>
          <w:rFonts w:ascii="宋体" w:hAnsi="宋体"/>
          <w:color w:val="auto"/>
          <w:szCs w:val="21"/>
          <w:highlight w:val="none"/>
        </w:rPr>
      </w:pPr>
      <w:r>
        <w:rPr>
          <w:rFonts w:hint="eastAsia" w:ascii="宋体" w:hAnsi="宋体"/>
          <w:color w:val="auto"/>
          <w:szCs w:val="21"/>
          <w:highlight w:val="none"/>
        </w:rPr>
        <w:t>签约日期：   年   月   日</w:t>
      </w:r>
      <w:r>
        <w:rPr>
          <w:rFonts w:ascii="宋体" w:hAnsi="宋体"/>
          <w:color w:val="auto"/>
          <w:szCs w:val="21"/>
          <w:highlight w:val="none"/>
        </w:rPr>
        <w:tab/>
      </w:r>
      <w:r>
        <w:rPr>
          <w:rFonts w:ascii="宋体" w:hAnsi="宋体"/>
          <w:color w:val="auto"/>
          <w:szCs w:val="21"/>
          <w:highlight w:val="none"/>
        </w:rPr>
        <w:t xml:space="preserve">    </w:t>
      </w:r>
      <w:r>
        <w:rPr>
          <w:rFonts w:hint="eastAsia" w:ascii="宋体" w:hAnsi="宋体"/>
          <w:color w:val="auto"/>
          <w:szCs w:val="21"/>
          <w:highlight w:val="none"/>
        </w:rPr>
        <w:t xml:space="preserve">               签约日期：   年   月   日</w:t>
      </w:r>
    </w:p>
    <w:bookmarkEnd w:id="145"/>
    <w:p w14:paraId="45FBF365">
      <w:pPr>
        <w:rPr>
          <w:rFonts w:hint="default" w:eastAsia="宋体"/>
          <w:color w:val="auto"/>
          <w:highlight w:val="none"/>
          <w:lang w:val="en-US" w:eastAsia="zh-CN"/>
        </w:rPr>
      </w:pPr>
      <w:r>
        <w:rPr>
          <w:rFonts w:hint="default" w:eastAsia="宋体"/>
          <w:color w:val="auto"/>
          <w:highlight w:val="none"/>
          <w:lang w:val="en-US" w:eastAsia="zh-CN"/>
        </w:rPr>
        <w:br w:type="page"/>
      </w:r>
    </w:p>
    <w:p w14:paraId="55F64FDD">
      <w:pPr>
        <w:wordWrap w:val="0"/>
        <w:rPr>
          <w:rFonts w:hint="eastAsia" w:hAnsi="宋体" w:cs="宋体"/>
          <w:bCs/>
          <w:color w:val="auto"/>
          <w:sz w:val="24"/>
          <w:highlight w:val="none"/>
        </w:rPr>
      </w:pPr>
      <w:r>
        <w:rPr>
          <w:rFonts w:hint="eastAsia" w:hAnsi="宋体" w:cs="宋体"/>
          <w:bCs/>
          <w:color w:val="auto"/>
          <w:sz w:val="24"/>
          <w:highlight w:val="none"/>
        </w:rPr>
        <w:t>附件2：工程质量保修书</w:t>
      </w:r>
    </w:p>
    <w:p w14:paraId="61BED699">
      <w:pPr>
        <w:spacing w:line="360" w:lineRule="auto"/>
        <w:ind w:firstLine="482" w:firstLineChars="200"/>
        <w:jc w:val="center"/>
        <w:rPr>
          <w:b/>
          <w:color w:val="auto"/>
          <w:sz w:val="24"/>
          <w:highlight w:val="none"/>
        </w:rPr>
      </w:pPr>
      <w:r>
        <w:rPr>
          <w:rFonts w:hint="eastAsia"/>
          <w:b/>
          <w:color w:val="auto"/>
          <w:sz w:val="24"/>
          <w:highlight w:val="none"/>
        </w:rPr>
        <w:t>工程质量保修书</w:t>
      </w:r>
    </w:p>
    <w:p w14:paraId="19FF5FB2">
      <w:pPr>
        <w:adjustRightInd w:val="0"/>
        <w:snapToGrid w:val="0"/>
        <w:spacing w:line="360" w:lineRule="auto"/>
        <w:rPr>
          <w:rFonts w:ascii="仿宋_GB2312" w:eastAsia="仿宋_GB2312"/>
          <w:color w:val="auto"/>
          <w:sz w:val="24"/>
          <w:highlight w:val="none"/>
        </w:rPr>
      </w:pPr>
    </w:p>
    <w:p w14:paraId="5781A1F9">
      <w:pPr>
        <w:adjustRightInd w:val="0"/>
        <w:snapToGrid w:val="0"/>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发包人：（全称）</w:t>
      </w:r>
      <w:r>
        <w:rPr>
          <w:rFonts w:hint="eastAsia" w:ascii="宋体" w:hAnsi="宋体"/>
          <w:color w:val="auto"/>
          <w:szCs w:val="21"/>
          <w:highlight w:val="none"/>
          <w:u w:val="single"/>
          <w:lang w:eastAsia="zh-CN"/>
        </w:rPr>
        <w:t>东莞迎宾馆酒店有限公司松山湖分公司</w:t>
      </w:r>
    </w:p>
    <w:p w14:paraId="2482395A">
      <w:pPr>
        <w:autoSpaceDE w:val="0"/>
        <w:autoSpaceDN w:val="0"/>
        <w:adjustRightInd w:val="0"/>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承包人：（全称）</w:t>
      </w:r>
      <w:r>
        <w:rPr>
          <w:rFonts w:hint="eastAsia" w:ascii="宋体" w:hAnsi="宋体"/>
          <w:color w:val="auto"/>
          <w:szCs w:val="21"/>
          <w:highlight w:val="none"/>
          <w:u w:val="single"/>
        </w:rPr>
        <w:t xml:space="preserve">                          </w:t>
      </w:r>
    </w:p>
    <w:p w14:paraId="7919EFE0">
      <w:pPr>
        <w:autoSpaceDE w:val="0"/>
        <w:autoSpaceDN w:val="0"/>
        <w:adjustRightIn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为保证</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（工程名称）在合理使用期限内正常使用，合同双方当事人根据《中华人民共和国建筑法》、《建设工程质量管理条例》和《房屋建筑工程质量保修办法》等规定，经协商一致，订立本质量保修书。</w:t>
      </w:r>
      <w:r>
        <w:rPr>
          <w:rFonts w:ascii="宋体" w:hAnsi="宋体" w:cs="宋体"/>
          <w:color w:val="auto"/>
          <w:kern w:val="0"/>
          <w:szCs w:val="21"/>
          <w:highlight w:val="none"/>
        </w:rPr>
        <w:t xml:space="preserve"> </w:t>
      </w:r>
    </w:p>
    <w:p w14:paraId="66455E62">
      <w:pPr>
        <w:autoSpaceDE w:val="0"/>
        <w:autoSpaceDN w:val="0"/>
        <w:adjustRightInd w:val="0"/>
        <w:spacing w:line="360" w:lineRule="auto"/>
        <w:ind w:firstLine="422" w:firstLineChars="200"/>
        <w:rPr>
          <w:rFonts w:ascii="宋体" w:hAnsi="宋体" w:cs="宋体"/>
          <w:b/>
          <w:color w:val="auto"/>
          <w:kern w:val="0"/>
          <w:szCs w:val="21"/>
          <w:highlight w:val="none"/>
        </w:rPr>
      </w:pPr>
      <w:bookmarkStart w:id="248" w:name="_Toc398127634"/>
      <w:bookmarkStart w:id="249" w:name="_Toc1633"/>
      <w:bookmarkStart w:id="250" w:name="_Toc17999"/>
      <w:bookmarkStart w:id="251" w:name="_Toc289852460"/>
      <w:bookmarkStart w:id="252" w:name="_Toc450312669"/>
      <w:bookmarkStart w:id="253" w:name="_Toc11727"/>
      <w:bookmarkStart w:id="254" w:name="_Toc30882"/>
      <w:bookmarkStart w:id="255" w:name="_Toc26962613"/>
      <w:bookmarkStart w:id="256" w:name="_Toc15166"/>
      <w:bookmarkStart w:id="257" w:name="_Toc24830"/>
      <w:bookmarkStart w:id="258" w:name="_Toc455581279"/>
      <w:bookmarkStart w:id="259" w:name="_Toc26442"/>
      <w:bookmarkStart w:id="260" w:name="_Toc26874"/>
      <w:bookmarkStart w:id="261" w:name="_Toc5957"/>
      <w:bookmarkStart w:id="262" w:name="_Toc17256"/>
      <w:bookmarkStart w:id="263" w:name="_Toc26967289"/>
      <w:bookmarkStart w:id="264" w:name="_Toc7868"/>
      <w:bookmarkStart w:id="265" w:name="_Toc291700325"/>
      <w:bookmarkStart w:id="266" w:name="_Toc21919"/>
      <w:bookmarkStart w:id="267" w:name="_Toc20173"/>
      <w:bookmarkStart w:id="268" w:name="_Toc345147424"/>
      <w:bookmarkStart w:id="269" w:name="_Toc1676"/>
      <w:bookmarkStart w:id="270" w:name="_Toc455763372"/>
      <w:r>
        <w:rPr>
          <w:rFonts w:ascii="宋体" w:hAnsi="宋体" w:cs="宋体"/>
          <w:b/>
          <w:color w:val="auto"/>
          <w:kern w:val="0"/>
          <w:szCs w:val="21"/>
          <w:highlight w:val="none"/>
        </w:rPr>
        <w:t>1</w:t>
      </w:r>
      <w:r>
        <w:rPr>
          <w:rFonts w:hint="eastAsia" w:ascii="宋体" w:hAnsi="宋体" w:cs="宋体"/>
          <w:b/>
          <w:color w:val="auto"/>
          <w:kern w:val="0"/>
          <w:szCs w:val="21"/>
          <w:highlight w:val="none"/>
        </w:rPr>
        <w:t>．质量保修范围</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r>
        <w:rPr>
          <w:rFonts w:ascii="宋体" w:hAnsi="宋体" w:cs="宋体"/>
          <w:b/>
          <w:color w:val="auto"/>
          <w:kern w:val="0"/>
          <w:szCs w:val="21"/>
          <w:highlight w:val="none"/>
        </w:rPr>
        <w:t xml:space="preserve"> </w:t>
      </w:r>
    </w:p>
    <w:p w14:paraId="7F0B43A8">
      <w:pPr>
        <w:autoSpaceDE w:val="0"/>
        <w:autoSpaceDN w:val="0"/>
        <w:adjustRightInd w:val="0"/>
        <w:spacing w:line="360" w:lineRule="auto"/>
        <w:ind w:firstLine="420" w:firstLineChars="200"/>
        <w:rPr>
          <w:rFonts w:ascii="宋体" w:hAnsi="宋体"/>
          <w:color w:val="auto"/>
          <w:szCs w:val="21"/>
          <w:highlight w:val="none"/>
        </w:rPr>
      </w:pPr>
      <w:r>
        <w:rPr>
          <w:rFonts w:hint="eastAsia" w:ascii="宋体" w:hAnsi="宋体" w:cs="宋体"/>
          <w:color w:val="auto"/>
          <w:kern w:val="0"/>
          <w:szCs w:val="21"/>
          <w:highlight w:val="none"/>
        </w:rPr>
        <w:t>质量保修范围</w:t>
      </w:r>
      <w:r>
        <w:rPr>
          <w:rFonts w:hint="eastAsia" w:ascii="宋体" w:hAnsi="宋体" w:cs="宋体"/>
          <w:color w:val="auto"/>
          <w:kern w:val="0"/>
          <w:szCs w:val="21"/>
          <w:highlight w:val="none"/>
          <w:lang w:val="en-US" w:eastAsia="zh-CN"/>
        </w:rPr>
        <w:t>详</w:t>
      </w:r>
      <w:r>
        <w:rPr>
          <w:rFonts w:hint="eastAsia" w:ascii="宋体" w:hAnsi="宋体" w:cs="宋体"/>
          <w:color w:val="auto"/>
          <w:kern w:val="0"/>
          <w:szCs w:val="21"/>
          <w:highlight w:val="none"/>
        </w:rPr>
        <w:t>见图纸。具体质量保修范围，合同双方当事人约定如下：</w:t>
      </w:r>
      <w:bookmarkStart w:id="271" w:name="_Toc6356"/>
      <w:bookmarkStart w:id="272" w:name="_Toc450312670"/>
      <w:bookmarkStart w:id="273" w:name="_Toc11205"/>
      <w:bookmarkStart w:id="274" w:name="_Toc398127635"/>
      <w:bookmarkStart w:id="275" w:name="_Toc455763373"/>
      <w:bookmarkStart w:id="276" w:name="_Toc345147425"/>
      <w:bookmarkStart w:id="277" w:name="_Toc455581280"/>
      <w:bookmarkStart w:id="278" w:name="_Toc18236"/>
      <w:bookmarkStart w:id="279" w:name="_Toc10598"/>
      <w:bookmarkStart w:id="280" w:name="_Toc13841"/>
      <w:bookmarkStart w:id="281" w:name="_Toc22839"/>
      <w:bookmarkStart w:id="282" w:name="_Toc22101"/>
      <w:bookmarkStart w:id="283" w:name="_Toc7201"/>
      <w:bookmarkStart w:id="284" w:name="_Toc23221"/>
      <w:bookmarkStart w:id="285" w:name="_Toc10586"/>
      <w:bookmarkStart w:id="286" w:name="_Toc5860"/>
      <w:r>
        <w:rPr>
          <w:rFonts w:hint="eastAsia" w:ascii="宋体" w:hAnsi="宋体" w:cs="宋体"/>
          <w:color w:val="auto"/>
          <w:kern w:val="0"/>
          <w:szCs w:val="21"/>
          <w:highlight w:val="none"/>
          <w:u w:val="single"/>
          <w:lang w:val="en-US" w:eastAsia="zh-CN"/>
        </w:rPr>
        <w:t>详见竞争性谈判文件</w:t>
      </w:r>
      <w:r>
        <w:rPr>
          <w:rFonts w:hint="eastAsia" w:ascii="宋体" w:hAnsi="宋体"/>
          <w:color w:val="auto"/>
          <w:szCs w:val="21"/>
          <w:highlight w:val="none"/>
          <w:u w:val="single"/>
        </w:rPr>
        <w:t>。</w:t>
      </w:r>
    </w:p>
    <w:p w14:paraId="546C7A62">
      <w:pPr>
        <w:autoSpaceDE w:val="0"/>
        <w:autoSpaceDN w:val="0"/>
        <w:adjustRightInd w:val="0"/>
        <w:spacing w:line="360" w:lineRule="auto"/>
        <w:ind w:firstLine="422" w:firstLineChars="200"/>
        <w:rPr>
          <w:rFonts w:ascii="宋体" w:hAnsi="宋体" w:cs="宋体"/>
          <w:b/>
          <w:color w:val="auto"/>
          <w:kern w:val="0"/>
          <w:szCs w:val="21"/>
          <w:highlight w:val="none"/>
        </w:rPr>
      </w:pPr>
      <w:bookmarkStart w:id="287" w:name="_Toc26967290"/>
      <w:bookmarkStart w:id="288" w:name="_Toc19897"/>
      <w:bookmarkStart w:id="289" w:name="_Toc12776"/>
      <w:bookmarkStart w:id="290" w:name="_Toc26962614"/>
      <w:bookmarkStart w:id="291" w:name="_Toc20925"/>
      <w:r>
        <w:rPr>
          <w:rFonts w:hint="eastAsia" w:ascii="宋体" w:hAnsi="宋体" w:cs="宋体"/>
          <w:b/>
          <w:color w:val="auto"/>
          <w:kern w:val="0"/>
          <w:szCs w:val="21"/>
          <w:highlight w:val="none"/>
        </w:rPr>
        <w:t>2. 质量保修期</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14:paraId="6ED56678">
      <w:pPr>
        <w:autoSpaceDE w:val="0"/>
        <w:autoSpaceDN w:val="0"/>
        <w:adjustRightInd w:val="0"/>
        <w:spacing w:line="360" w:lineRule="auto"/>
        <w:ind w:firstLine="420" w:firstLineChars="200"/>
        <w:rPr>
          <w:rFonts w:ascii="宋体" w:hAnsi="宋体" w:cs="宋体"/>
          <w:color w:val="auto"/>
          <w:kern w:val="0"/>
          <w:szCs w:val="21"/>
          <w:highlight w:val="none"/>
        </w:rPr>
      </w:pPr>
      <w:r>
        <w:rPr>
          <w:rFonts w:ascii="宋体" w:hAnsi="宋体"/>
          <w:color w:val="auto"/>
          <w:kern w:val="0"/>
          <w:szCs w:val="21"/>
          <w:highlight w:val="none"/>
        </w:rPr>
        <w:t xml:space="preserve">2.1 </w:t>
      </w:r>
      <w:r>
        <w:rPr>
          <w:rFonts w:hint="eastAsia" w:ascii="宋体" w:hAnsi="宋体" w:cs="宋体"/>
          <w:color w:val="auto"/>
          <w:kern w:val="0"/>
          <w:szCs w:val="21"/>
          <w:highlight w:val="none"/>
        </w:rPr>
        <w:t>质量保修期自工程竣工验收合格(包括工程竣工验收[即政府质监部门备案的验收备案表/备案证]（如需）、三方验收的工程竣工验收报告，并以工程竣工验收合格报告书上载明的验收日期起计算。</w:t>
      </w:r>
    </w:p>
    <w:p w14:paraId="4789E3BF">
      <w:pPr>
        <w:autoSpaceDE w:val="0"/>
        <w:autoSpaceDN w:val="0"/>
        <w:adjustRightInd w:val="0"/>
        <w:spacing w:line="360" w:lineRule="auto"/>
        <w:ind w:firstLine="420" w:firstLineChars="200"/>
        <w:rPr>
          <w:rFonts w:ascii="宋体" w:hAnsi="宋体"/>
          <w:color w:val="auto"/>
          <w:kern w:val="0"/>
          <w:szCs w:val="21"/>
          <w:highlight w:val="none"/>
        </w:rPr>
      </w:pPr>
      <w:r>
        <w:rPr>
          <w:rFonts w:ascii="宋体" w:hAnsi="宋体"/>
          <w:color w:val="auto"/>
          <w:kern w:val="0"/>
          <w:szCs w:val="21"/>
          <w:highlight w:val="none"/>
        </w:rPr>
        <w:t>2.2</w:t>
      </w:r>
      <w:r>
        <w:rPr>
          <w:rFonts w:hint="eastAsia" w:ascii="宋体" w:hAnsi="宋体"/>
          <w:color w:val="auto"/>
          <w:kern w:val="0"/>
          <w:szCs w:val="21"/>
          <w:highlight w:val="none"/>
        </w:rPr>
        <w:t xml:space="preserve"> </w:t>
      </w:r>
      <w:r>
        <w:rPr>
          <w:rFonts w:hint="eastAsia" w:ascii="宋体" w:hAnsi="宋体" w:cs="宋体"/>
          <w:color w:val="auto"/>
          <w:kern w:val="0"/>
          <w:szCs w:val="21"/>
          <w:highlight w:val="none"/>
        </w:rPr>
        <w:t>合同工程质量保修期，合同双方当事人约定如下：①地基基础工程、主体结构工程为设计文件规定的合理使用年限；②屋面防水工程、有防水要求的卫生间、房间和外墙面的防渗漏工程为</w:t>
      </w:r>
      <w:r>
        <w:rPr>
          <w:rFonts w:hint="eastAsia" w:ascii="宋体" w:hAnsi="宋体" w:cs="宋体"/>
          <w:color w:val="auto"/>
          <w:kern w:val="0"/>
          <w:szCs w:val="21"/>
          <w:highlight w:val="none"/>
          <w:u w:val="single"/>
        </w:rPr>
        <w:t xml:space="preserve"> 5</w:t>
      </w:r>
      <w:r>
        <w:rPr>
          <w:rFonts w:hint="eastAsia" w:ascii="宋体" w:hAnsi="宋体" w:cs="宋体"/>
          <w:color w:val="auto"/>
          <w:kern w:val="0"/>
          <w:szCs w:val="21"/>
          <w:highlight w:val="none"/>
        </w:rPr>
        <w:t>年；③电气管线工程、给排水管道工程、设备安装工程为</w:t>
      </w:r>
      <w:r>
        <w:rPr>
          <w:rFonts w:hint="eastAsia" w:ascii="宋体" w:hAnsi="宋体" w:cs="宋体"/>
          <w:color w:val="auto"/>
          <w:kern w:val="0"/>
          <w:szCs w:val="21"/>
          <w:highlight w:val="none"/>
          <w:u w:val="single"/>
        </w:rPr>
        <w:t xml:space="preserve"> 2 </w:t>
      </w:r>
      <w:r>
        <w:rPr>
          <w:rFonts w:hint="eastAsia" w:ascii="宋体" w:hAnsi="宋体" w:cs="宋体"/>
          <w:color w:val="auto"/>
          <w:kern w:val="0"/>
          <w:szCs w:val="21"/>
          <w:highlight w:val="none"/>
        </w:rPr>
        <w:t>年；④供热、供冷系统工程为</w:t>
      </w:r>
      <w:r>
        <w:rPr>
          <w:rFonts w:hint="eastAsia" w:ascii="宋体" w:hAnsi="宋体" w:cs="宋体"/>
          <w:color w:val="auto"/>
          <w:kern w:val="0"/>
          <w:szCs w:val="21"/>
          <w:highlight w:val="none"/>
          <w:u w:val="single"/>
        </w:rPr>
        <w:t xml:space="preserve"> 2 </w:t>
      </w:r>
      <w:r>
        <w:rPr>
          <w:rFonts w:hint="eastAsia" w:ascii="宋体" w:hAnsi="宋体" w:cs="宋体"/>
          <w:color w:val="auto"/>
          <w:kern w:val="0"/>
          <w:szCs w:val="21"/>
          <w:highlight w:val="none"/>
        </w:rPr>
        <w:t>个采暖期、供冷期；⑤装饰装修工程为</w:t>
      </w:r>
      <w:r>
        <w:rPr>
          <w:rFonts w:hint="eastAsia" w:ascii="宋体" w:hAnsi="宋体" w:cs="宋体"/>
          <w:color w:val="auto"/>
          <w:kern w:val="0"/>
          <w:szCs w:val="21"/>
          <w:highlight w:val="none"/>
          <w:u w:val="single"/>
        </w:rPr>
        <w:t xml:space="preserve"> 2 </w:t>
      </w:r>
      <w:r>
        <w:rPr>
          <w:rFonts w:hint="eastAsia" w:ascii="宋体" w:hAnsi="宋体" w:cs="宋体"/>
          <w:color w:val="auto"/>
          <w:kern w:val="0"/>
          <w:szCs w:val="21"/>
          <w:highlight w:val="none"/>
        </w:rPr>
        <w:t>年；</w:t>
      </w:r>
      <w:r>
        <w:rPr>
          <w:rFonts w:ascii="宋体" w:hAnsi="宋体" w:cs="宋体"/>
          <w:color w:val="auto"/>
          <w:kern w:val="0"/>
          <w:szCs w:val="21"/>
          <w:highlight w:val="none"/>
        </w:rPr>
        <w:fldChar w:fldCharType="begin"/>
      </w:r>
      <w:r>
        <w:rPr>
          <w:rFonts w:ascii="宋体" w:hAnsi="宋体" w:cs="宋体"/>
          <w:color w:val="auto"/>
          <w:kern w:val="0"/>
          <w:szCs w:val="21"/>
          <w:highlight w:val="none"/>
        </w:rPr>
        <w:instrText xml:space="preserve"> </w:instrText>
      </w:r>
      <w:r>
        <w:rPr>
          <w:rFonts w:hint="eastAsia" w:ascii="宋体" w:hAnsi="宋体" w:cs="宋体"/>
          <w:color w:val="auto"/>
          <w:kern w:val="0"/>
          <w:szCs w:val="21"/>
          <w:highlight w:val="none"/>
        </w:rPr>
        <w:instrText xml:space="preserve">= 6 \* GB3</w:instrText>
      </w:r>
      <w:r>
        <w:rPr>
          <w:rFonts w:ascii="宋体" w:hAnsi="宋体" w:cs="宋体"/>
          <w:color w:val="auto"/>
          <w:kern w:val="0"/>
          <w:szCs w:val="21"/>
          <w:highlight w:val="none"/>
        </w:rPr>
        <w:instrText xml:space="preserve"> </w:instrText>
      </w:r>
      <w:r>
        <w:rPr>
          <w:rFonts w:ascii="宋体" w:hAnsi="宋体" w:cs="宋体"/>
          <w:color w:val="auto"/>
          <w:kern w:val="0"/>
          <w:szCs w:val="21"/>
          <w:highlight w:val="none"/>
        </w:rPr>
        <w:fldChar w:fldCharType="separate"/>
      </w:r>
      <w:r>
        <w:rPr>
          <w:rFonts w:hint="eastAsia" w:ascii="宋体" w:hAnsi="宋体" w:cs="宋体"/>
          <w:color w:val="auto"/>
          <w:kern w:val="0"/>
          <w:szCs w:val="21"/>
          <w:highlight w:val="none"/>
        </w:rPr>
        <w:t>⑥</w:t>
      </w:r>
      <w:r>
        <w:rPr>
          <w:rFonts w:ascii="宋体" w:hAnsi="宋体" w:cs="宋体"/>
          <w:color w:val="auto"/>
          <w:kern w:val="0"/>
          <w:szCs w:val="21"/>
          <w:highlight w:val="none"/>
        </w:rPr>
        <w:fldChar w:fldCharType="end"/>
      </w:r>
      <w:r>
        <w:rPr>
          <w:rFonts w:hint="eastAsia"/>
          <w:color w:val="auto"/>
          <w:highlight w:val="none"/>
        </w:rPr>
        <w:t>本项目其他工程缺陷责任期为</w:t>
      </w:r>
      <w:r>
        <w:rPr>
          <w:rFonts w:hint="eastAsia" w:ascii="宋体" w:hAnsi="宋体"/>
          <w:color w:val="auto"/>
          <w:kern w:val="0"/>
          <w:szCs w:val="21"/>
          <w:highlight w:val="none"/>
          <w:u w:val="single"/>
        </w:rPr>
        <w:t>2年</w:t>
      </w:r>
      <w:r>
        <w:rPr>
          <w:rFonts w:hint="eastAsia"/>
          <w:color w:val="auto"/>
          <w:highlight w:val="none"/>
        </w:rPr>
        <w:t>。</w:t>
      </w:r>
    </w:p>
    <w:p w14:paraId="259B1A35">
      <w:pPr>
        <w:autoSpaceDE w:val="0"/>
        <w:autoSpaceDN w:val="0"/>
        <w:adjustRightInd w:val="0"/>
        <w:spacing w:line="360" w:lineRule="auto"/>
        <w:ind w:firstLine="422" w:firstLineChars="200"/>
        <w:rPr>
          <w:rFonts w:ascii="宋体" w:hAnsi="宋体" w:cs="宋体"/>
          <w:b/>
          <w:color w:val="auto"/>
          <w:kern w:val="0"/>
          <w:szCs w:val="21"/>
          <w:highlight w:val="none"/>
        </w:rPr>
      </w:pPr>
      <w:r>
        <w:rPr>
          <w:rFonts w:ascii="宋体" w:hAnsi="宋体" w:cs="宋体"/>
          <w:b/>
          <w:color w:val="auto"/>
          <w:kern w:val="0"/>
          <w:szCs w:val="21"/>
          <w:highlight w:val="none"/>
        </w:rPr>
        <w:t>3</w:t>
      </w:r>
      <w:r>
        <w:rPr>
          <w:rFonts w:hint="eastAsia" w:ascii="宋体" w:hAnsi="宋体" w:cs="宋体"/>
          <w:b/>
          <w:color w:val="auto"/>
          <w:kern w:val="0"/>
          <w:szCs w:val="21"/>
          <w:highlight w:val="none"/>
        </w:rPr>
        <w:t>．质量保修责任</w:t>
      </w:r>
      <w:r>
        <w:rPr>
          <w:rFonts w:ascii="宋体" w:hAnsi="宋体" w:cs="宋体"/>
          <w:b/>
          <w:color w:val="auto"/>
          <w:kern w:val="0"/>
          <w:szCs w:val="21"/>
          <w:highlight w:val="none"/>
        </w:rPr>
        <w:t xml:space="preserve"> </w:t>
      </w:r>
    </w:p>
    <w:p w14:paraId="105A774E">
      <w:pPr>
        <w:autoSpaceDE w:val="0"/>
        <w:autoSpaceDN w:val="0"/>
        <w:adjustRightInd w:val="0"/>
        <w:spacing w:line="360" w:lineRule="auto"/>
        <w:ind w:firstLine="420" w:firstLineChars="200"/>
        <w:rPr>
          <w:rFonts w:ascii="宋体" w:hAnsi="宋体" w:cs="宋体"/>
          <w:color w:val="auto"/>
          <w:kern w:val="0"/>
          <w:szCs w:val="21"/>
          <w:highlight w:val="none"/>
        </w:rPr>
      </w:pPr>
      <w:r>
        <w:rPr>
          <w:rFonts w:ascii="宋体" w:hAnsi="宋体"/>
          <w:color w:val="auto"/>
          <w:kern w:val="0"/>
          <w:szCs w:val="21"/>
          <w:highlight w:val="none"/>
        </w:rPr>
        <w:t xml:space="preserve">3.1 </w:t>
      </w:r>
      <w:r>
        <w:rPr>
          <w:rFonts w:hint="eastAsia" w:ascii="宋体" w:hAnsi="宋体" w:cs="宋体"/>
          <w:color w:val="auto"/>
          <w:kern w:val="0"/>
          <w:szCs w:val="21"/>
          <w:highlight w:val="none"/>
        </w:rPr>
        <w:t>属于保修范围的项目，承包人应在接到发包人通知后的</w:t>
      </w:r>
      <w:r>
        <w:rPr>
          <w:rFonts w:hint="eastAsia" w:ascii="宋体" w:hAnsi="宋体"/>
          <w:color w:val="auto"/>
          <w:kern w:val="0"/>
          <w:szCs w:val="21"/>
          <w:highlight w:val="none"/>
        </w:rPr>
        <w:t>2</w:t>
      </w:r>
      <w:r>
        <w:rPr>
          <w:rFonts w:hint="eastAsia" w:ascii="宋体" w:hAnsi="宋体" w:cs="宋体"/>
          <w:color w:val="auto"/>
          <w:kern w:val="0"/>
          <w:szCs w:val="21"/>
          <w:highlight w:val="none"/>
        </w:rPr>
        <w:t>天内派人保修完成。承包人未能在规定时间内派人保修的，发包人可自行或委托第三方保修</w:t>
      </w:r>
      <w:r>
        <w:rPr>
          <w:rFonts w:hint="eastAsia" w:ascii="宋体" w:hAnsi="宋体"/>
          <w:color w:val="auto"/>
          <w:szCs w:val="21"/>
          <w:highlight w:val="none"/>
        </w:rPr>
        <w:t>。</w:t>
      </w:r>
      <w:r>
        <w:rPr>
          <w:rFonts w:ascii="宋体" w:hAnsi="宋体" w:cs="宋体"/>
          <w:color w:val="auto"/>
          <w:kern w:val="0"/>
          <w:szCs w:val="21"/>
          <w:highlight w:val="none"/>
        </w:rPr>
        <w:t xml:space="preserve"> </w:t>
      </w:r>
    </w:p>
    <w:p w14:paraId="123CD9C2">
      <w:pPr>
        <w:autoSpaceDE w:val="0"/>
        <w:autoSpaceDN w:val="0"/>
        <w:adjustRightInd w:val="0"/>
        <w:spacing w:line="360" w:lineRule="auto"/>
        <w:ind w:firstLine="420" w:firstLineChars="200"/>
        <w:rPr>
          <w:rFonts w:ascii="宋体" w:hAnsi="宋体" w:cs="宋体"/>
          <w:color w:val="auto"/>
          <w:kern w:val="0"/>
          <w:szCs w:val="21"/>
          <w:highlight w:val="none"/>
        </w:rPr>
      </w:pPr>
      <w:r>
        <w:rPr>
          <w:rFonts w:ascii="宋体" w:hAnsi="宋体"/>
          <w:color w:val="auto"/>
          <w:kern w:val="0"/>
          <w:szCs w:val="21"/>
          <w:highlight w:val="none"/>
        </w:rPr>
        <w:t xml:space="preserve">3.2 </w:t>
      </w:r>
      <w:r>
        <w:rPr>
          <w:rFonts w:hint="eastAsia" w:ascii="宋体" w:hAnsi="宋体" w:cs="宋体"/>
          <w:color w:val="auto"/>
          <w:kern w:val="0"/>
          <w:szCs w:val="21"/>
          <w:highlight w:val="none"/>
        </w:rPr>
        <w:t>发生紧急抢修事故的，承包人在接到通知后，应立即到达事故现场抢修。</w:t>
      </w:r>
    </w:p>
    <w:p w14:paraId="05D7C199">
      <w:pPr>
        <w:autoSpaceDE w:val="0"/>
        <w:autoSpaceDN w:val="0"/>
        <w:adjustRightInd w:val="0"/>
        <w:spacing w:line="360" w:lineRule="auto"/>
        <w:ind w:firstLine="420" w:firstLineChars="200"/>
        <w:rPr>
          <w:rFonts w:ascii="宋体" w:hAnsi="宋体" w:cs="宋体"/>
          <w:color w:val="auto"/>
          <w:kern w:val="0"/>
          <w:szCs w:val="21"/>
          <w:highlight w:val="none"/>
        </w:rPr>
      </w:pPr>
      <w:r>
        <w:rPr>
          <w:rFonts w:ascii="宋体" w:hAnsi="宋体"/>
          <w:color w:val="auto"/>
          <w:kern w:val="0"/>
          <w:szCs w:val="21"/>
          <w:highlight w:val="none"/>
        </w:rPr>
        <w:t xml:space="preserve">3.3 </w:t>
      </w:r>
      <w:r>
        <w:rPr>
          <w:rFonts w:hint="eastAsia" w:ascii="宋体" w:hAnsi="宋体" w:cs="宋体"/>
          <w:color w:val="auto"/>
          <w:kern w:val="0"/>
          <w:szCs w:val="21"/>
          <w:highlight w:val="none"/>
        </w:rPr>
        <w:t>在国家规定的合理使用期限内，承包人应确保地基基础工程和主体结构的质量和安全。凡出现质量问题，应立即报告当地建设行政主管部门，经设计人提出保修方案后，承包人应立即实施保修。</w:t>
      </w:r>
      <w:r>
        <w:rPr>
          <w:rFonts w:ascii="宋体" w:hAnsi="宋体" w:cs="宋体"/>
          <w:color w:val="auto"/>
          <w:kern w:val="0"/>
          <w:szCs w:val="21"/>
          <w:highlight w:val="none"/>
        </w:rPr>
        <w:t xml:space="preserve"> </w:t>
      </w:r>
    </w:p>
    <w:p w14:paraId="7E48537E">
      <w:pPr>
        <w:autoSpaceDE w:val="0"/>
        <w:autoSpaceDN w:val="0"/>
        <w:adjustRightInd w:val="0"/>
        <w:spacing w:line="360" w:lineRule="auto"/>
        <w:ind w:firstLine="420" w:firstLineChars="200"/>
        <w:rPr>
          <w:rFonts w:ascii="宋体" w:hAnsi="宋体" w:cs="宋体"/>
          <w:color w:val="auto"/>
          <w:kern w:val="0"/>
          <w:szCs w:val="21"/>
          <w:highlight w:val="none"/>
        </w:rPr>
      </w:pPr>
      <w:r>
        <w:rPr>
          <w:rFonts w:ascii="宋体" w:hAnsi="宋体"/>
          <w:color w:val="auto"/>
          <w:kern w:val="0"/>
          <w:szCs w:val="21"/>
          <w:highlight w:val="none"/>
        </w:rPr>
        <w:t xml:space="preserve">3.4 </w:t>
      </w:r>
      <w:r>
        <w:rPr>
          <w:rFonts w:hint="eastAsia" w:ascii="宋体" w:hAnsi="宋体" w:cs="宋体"/>
          <w:color w:val="auto"/>
          <w:kern w:val="0"/>
          <w:szCs w:val="21"/>
          <w:highlight w:val="none"/>
        </w:rPr>
        <w:t>质量保修完成后，由发包人组织验收。</w:t>
      </w:r>
      <w:r>
        <w:rPr>
          <w:rFonts w:ascii="宋体" w:hAnsi="宋体" w:cs="宋体"/>
          <w:color w:val="auto"/>
          <w:kern w:val="0"/>
          <w:szCs w:val="21"/>
          <w:highlight w:val="none"/>
        </w:rPr>
        <w:t xml:space="preserve"> </w:t>
      </w:r>
    </w:p>
    <w:p w14:paraId="6D12176F">
      <w:pPr>
        <w:autoSpaceDE w:val="0"/>
        <w:autoSpaceDN w:val="0"/>
        <w:adjustRightInd w:val="0"/>
        <w:spacing w:line="360" w:lineRule="auto"/>
        <w:ind w:firstLine="422" w:firstLineChars="200"/>
        <w:rPr>
          <w:rFonts w:ascii="宋体" w:hAnsi="宋体" w:cs="宋体"/>
          <w:b/>
          <w:color w:val="auto"/>
          <w:kern w:val="0"/>
          <w:szCs w:val="21"/>
          <w:highlight w:val="none"/>
        </w:rPr>
      </w:pPr>
      <w:r>
        <w:rPr>
          <w:rFonts w:ascii="宋体" w:hAnsi="宋体" w:cs="宋体"/>
          <w:b/>
          <w:color w:val="auto"/>
          <w:kern w:val="0"/>
          <w:szCs w:val="21"/>
          <w:highlight w:val="none"/>
        </w:rPr>
        <w:t>4</w:t>
      </w:r>
      <w:r>
        <w:rPr>
          <w:rFonts w:hint="eastAsia" w:ascii="宋体" w:hAnsi="宋体" w:cs="宋体"/>
          <w:b/>
          <w:color w:val="auto"/>
          <w:kern w:val="0"/>
          <w:szCs w:val="21"/>
          <w:highlight w:val="none"/>
        </w:rPr>
        <w:t>．质量保修费用</w:t>
      </w:r>
      <w:r>
        <w:rPr>
          <w:rFonts w:ascii="宋体" w:hAnsi="宋体" w:cs="宋体"/>
          <w:b/>
          <w:color w:val="auto"/>
          <w:kern w:val="0"/>
          <w:szCs w:val="21"/>
          <w:highlight w:val="none"/>
        </w:rPr>
        <w:t xml:space="preserve"> </w:t>
      </w:r>
    </w:p>
    <w:p w14:paraId="6530F840">
      <w:pPr>
        <w:autoSpaceDE w:val="0"/>
        <w:autoSpaceDN w:val="0"/>
        <w:adjustRightIn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质量保修等费用，由责任方承担。</w:t>
      </w:r>
      <w:r>
        <w:rPr>
          <w:rFonts w:ascii="宋体" w:hAnsi="宋体" w:cs="宋体"/>
          <w:color w:val="auto"/>
          <w:kern w:val="0"/>
          <w:szCs w:val="21"/>
          <w:highlight w:val="none"/>
        </w:rPr>
        <w:t xml:space="preserve"> </w:t>
      </w:r>
    </w:p>
    <w:p w14:paraId="16841DFA">
      <w:pPr>
        <w:autoSpaceDE w:val="0"/>
        <w:autoSpaceDN w:val="0"/>
        <w:adjustRightInd w:val="0"/>
        <w:spacing w:line="360" w:lineRule="auto"/>
        <w:ind w:firstLine="422" w:firstLineChars="200"/>
        <w:rPr>
          <w:rFonts w:ascii="宋体" w:hAnsi="宋体" w:cs="宋体"/>
          <w:b/>
          <w:color w:val="auto"/>
          <w:kern w:val="0"/>
          <w:szCs w:val="21"/>
          <w:highlight w:val="none"/>
        </w:rPr>
      </w:pPr>
      <w:bookmarkStart w:id="292" w:name="_Toc6302"/>
      <w:bookmarkStart w:id="293" w:name="_Toc20011"/>
      <w:bookmarkStart w:id="294" w:name="_Toc9714"/>
      <w:bookmarkStart w:id="295" w:name="_Toc25592"/>
      <w:bookmarkStart w:id="296" w:name="_Toc6064"/>
      <w:bookmarkStart w:id="297" w:name="_Toc26967291"/>
      <w:bookmarkStart w:id="298" w:name="_Toc27661"/>
      <w:bookmarkStart w:id="299" w:name="_Toc916"/>
      <w:bookmarkStart w:id="300" w:name="_Toc22847"/>
      <w:bookmarkStart w:id="301" w:name="_Toc11011"/>
      <w:bookmarkStart w:id="302" w:name="_Toc3258"/>
      <w:bookmarkStart w:id="303" w:name="_Toc11971"/>
      <w:bookmarkStart w:id="304" w:name="_Toc28208"/>
      <w:bookmarkStart w:id="305" w:name="_Toc455763374"/>
      <w:bookmarkStart w:id="306" w:name="_Toc26962615"/>
      <w:bookmarkStart w:id="307" w:name="_Toc2311"/>
      <w:bookmarkStart w:id="308" w:name="_Toc455581281"/>
      <w:bookmarkStart w:id="309" w:name="_Toc23475"/>
      <w:r>
        <w:rPr>
          <w:rFonts w:ascii="宋体" w:hAnsi="宋体" w:cs="宋体"/>
          <w:b/>
          <w:color w:val="auto"/>
          <w:kern w:val="0"/>
          <w:szCs w:val="21"/>
          <w:highlight w:val="none"/>
        </w:rPr>
        <w:t>5</w:t>
      </w:r>
      <w:r>
        <w:rPr>
          <w:rFonts w:hint="eastAsia" w:ascii="宋体" w:hAnsi="宋体" w:cs="宋体"/>
          <w:b/>
          <w:color w:val="auto"/>
          <w:kern w:val="0"/>
          <w:szCs w:val="21"/>
          <w:highlight w:val="none"/>
        </w:rPr>
        <w:t>．质量保证金</w:t>
      </w:r>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Pr>
          <w:rFonts w:ascii="宋体" w:hAnsi="宋体" w:cs="宋体"/>
          <w:b/>
          <w:color w:val="auto"/>
          <w:kern w:val="0"/>
          <w:szCs w:val="21"/>
          <w:highlight w:val="none"/>
        </w:rPr>
        <w:t xml:space="preserve"> </w:t>
      </w:r>
    </w:p>
    <w:p w14:paraId="5267064E">
      <w:pPr>
        <w:autoSpaceDE w:val="0"/>
        <w:autoSpaceDN w:val="0"/>
        <w:adjustRightIn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质量保证金的约定、支付和使用与本合同第二部分《通用条款》第</w:t>
      </w:r>
      <w:r>
        <w:rPr>
          <w:rFonts w:ascii="宋体" w:hAnsi="宋体"/>
          <w:color w:val="auto"/>
          <w:kern w:val="0"/>
          <w:szCs w:val="21"/>
          <w:highlight w:val="none"/>
        </w:rPr>
        <w:t>84</w:t>
      </w:r>
      <w:r>
        <w:rPr>
          <w:rFonts w:hint="eastAsia" w:ascii="宋体" w:hAnsi="宋体" w:cs="宋体"/>
          <w:color w:val="auto"/>
          <w:kern w:val="0"/>
          <w:szCs w:val="21"/>
          <w:highlight w:val="none"/>
        </w:rPr>
        <w:t>条赋予的规定一致。</w:t>
      </w:r>
      <w:r>
        <w:rPr>
          <w:rFonts w:ascii="宋体" w:hAnsi="宋体" w:cs="宋体"/>
          <w:color w:val="auto"/>
          <w:kern w:val="0"/>
          <w:szCs w:val="21"/>
          <w:highlight w:val="none"/>
        </w:rPr>
        <w:t xml:space="preserve"> </w:t>
      </w:r>
    </w:p>
    <w:p w14:paraId="31831C19">
      <w:pPr>
        <w:autoSpaceDE w:val="0"/>
        <w:autoSpaceDN w:val="0"/>
        <w:adjustRightInd w:val="0"/>
        <w:spacing w:line="360" w:lineRule="auto"/>
        <w:ind w:firstLine="422" w:firstLineChars="200"/>
        <w:rPr>
          <w:rFonts w:ascii="宋体" w:hAnsi="宋体" w:cs="宋体"/>
          <w:b/>
          <w:color w:val="auto"/>
          <w:kern w:val="0"/>
          <w:szCs w:val="21"/>
          <w:highlight w:val="none"/>
        </w:rPr>
      </w:pPr>
      <w:bookmarkStart w:id="310" w:name="_Toc26962616"/>
      <w:bookmarkStart w:id="311" w:name="_Toc27375"/>
      <w:bookmarkStart w:id="312" w:name="_Toc455581282"/>
      <w:bookmarkStart w:id="313" w:name="_Toc29926"/>
      <w:bookmarkStart w:id="314" w:name="_Toc25352"/>
      <w:bookmarkStart w:id="315" w:name="_Toc4987"/>
      <w:bookmarkStart w:id="316" w:name="_Toc7327"/>
      <w:bookmarkStart w:id="317" w:name="_Toc455763375"/>
      <w:bookmarkStart w:id="318" w:name="_Toc26664"/>
      <w:bookmarkStart w:id="319" w:name="_Toc12143"/>
      <w:bookmarkStart w:id="320" w:name="_Toc11403"/>
      <w:bookmarkStart w:id="321" w:name="_Toc994"/>
      <w:bookmarkStart w:id="322" w:name="_Toc12102"/>
      <w:bookmarkStart w:id="323" w:name="_Toc14225"/>
      <w:bookmarkStart w:id="324" w:name="_Toc26967292"/>
      <w:bookmarkStart w:id="325" w:name="_Toc16092"/>
      <w:bookmarkStart w:id="326" w:name="_Toc10009"/>
      <w:r>
        <w:rPr>
          <w:rFonts w:ascii="宋体" w:hAnsi="宋体" w:cs="宋体"/>
          <w:b/>
          <w:color w:val="auto"/>
          <w:kern w:val="0"/>
          <w:szCs w:val="21"/>
          <w:highlight w:val="none"/>
        </w:rPr>
        <w:t>6</w:t>
      </w:r>
      <w:r>
        <w:rPr>
          <w:rFonts w:hint="eastAsia" w:ascii="宋体" w:hAnsi="宋体" w:cs="宋体"/>
          <w:b/>
          <w:color w:val="auto"/>
          <w:kern w:val="0"/>
          <w:szCs w:val="21"/>
          <w:highlight w:val="none"/>
        </w:rPr>
        <w:t>．其他</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Pr>
          <w:rFonts w:ascii="宋体" w:hAnsi="宋体" w:cs="宋体"/>
          <w:b/>
          <w:color w:val="auto"/>
          <w:kern w:val="0"/>
          <w:szCs w:val="21"/>
          <w:highlight w:val="none"/>
        </w:rPr>
        <w:t xml:space="preserve"> </w:t>
      </w:r>
    </w:p>
    <w:p w14:paraId="468F6C5B">
      <w:pPr>
        <w:autoSpaceDE w:val="0"/>
        <w:autoSpaceDN w:val="0"/>
        <w:adjustRightInd w:val="0"/>
        <w:spacing w:line="360" w:lineRule="auto"/>
        <w:ind w:firstLine="420" w:firstLineChars="200"/>
        <w:rPr>
          <w:rFonts w:ascii="宋体" w:hAnsi="宋体" w:cs="宋体"/>
          <w:color w:val="auto"/>
          <w:kern w:val="0"/>
          <w:szCs w:val="21"/>
          <w:highlight w:val="none"/>
          <w:u w:val="single"/>
        </w:rPr>
      </w:pPr>
      <w:r>
        <w:rPr>
          <w:rFonts w:ascii="宋体" w:hAnsi="宋体"/>
          <w:color w:val="auto"/>
          <w:kern w:val="0"/>
          <w:szCs w:val="21"/>
          <w:highlight w:val="none"/>
        </w:rPr>
        <w:t>6.1</w:t>
      </w:r>
      <w:r>
        <w:rPr>
          <w:rFonts w:hint="eastAsia" w:ascii="宋体" w:hAnsi="宋体" w:cs="宋体"/>
          <w:color w:val="auto"/>
          <w:kern w:val="0"/>
          <w:szCs w:val="21"/>
          <w:highlight w:val="none"/>
        </w:rPr>
        <w:t>合同双方当事人约定的其他质量保修事项：</w:t>
      </w:r>
      <w:r>
        <w:rPr>
          <w:rFonts w:hint="eastAsia" w:ascii="宋体" w:hAnsi="宋体" w:cs="宋体"/>
          <w:color w:val="auto"/>
          <w:kern w:val="0"/>
          <w:szCs w:val="21"/>
          <w:highlight w:val="none"/>
          <w:u w:val="single"/>
        </w:rPr>
        <w:t xml:space="preserve">   /   </w:t>
      </w:r>
    </w:p>
    <w:p w14:paraId="5CC7FD37">
      <w:pPr>
        <w:autoSpaceDE w:val="0"/>
        <w:autoSpaceDN w:val="0"/>
        <w:adjustRightInd w:val="0"/>
        <w:spacing w:line="360" w:lineRule="auto"/>
        <w:ind w:firstLine="420" w:firstLineChars="200"/>
        <w:rPr>
          <w:rFonts w:ascii="宋体" w:hAnsi="宋体"/>
          <w:color w:val="auto"/>
          <w:kern w:val="0"/>
          <w:szCs w:val="21"/>
          <w:highlight w:val="none"/>
        </w:rPr>
      </w:pPr>
      <w:bookmarkStart w:id="327" w:name="_Toc455763376"/>
      <w:bookmarkStart w:id="328" w:name="_Toc25097"/>
      <w:bookmarkStart w:id="329" w:name="_Toc24342"/>
      <w:bookmarkStart w:id="330" w:name="_Toc25180"/>
      <w:bookmarkStart w:id="331" w:name="_Toc19475"/>
      <w:bookmarkStart w:id="332" w:name="_Toc30023"/>
      <w:bookmarkStart w:id="333" w:name="_Toc455581489"/>
      <w:bookmarkStart w:id="334" w:name="_Toc15541"/>
      <w:bookmarkStart w:id="335" w:name="_Toc26392"/>
      <w:bookmarkStart w:id="336" w:name="_Toc455581283"/>
      <w:bookmarkStart w:id="337" w:name="_Toc14425"/>
      <w:bookmarkStart w:id="338" w:name="_Toc26967293"/>
      <w:bookmarkStart w:id="339" w:name="_Toc24900"/>
      <w:bookmarkStart w:id="340" w:name="_Toc4102"/>
      <w:bookmarkStart w:id="341" w:name="_Toc4902"/>
      <w:bookmarkStart w:id="342" w:name="_Toc15983"/>
      <w:bookmarkStart w:id="343" w:name="_Toc26962617"/>
      <w:bookmarkStart w:id="344" w:name="_Toc25717"/>
      <w:bookmarkStart w:id="345" w:name="_Toc28134"/>
      <w:r>
        <w:rPr>
          <w:rFonts w:ascii="宋体" w:hAnsi="宋体"/>
          <w:color w:val="auto"/>
          <w:kern w:val="0"/>
          <w:szCs w:val="21"/>
          <w:highlight w:val="none"/>
        </w:rPr>
        <w:t xml:space="preserve">6.2 </w:t>
      </w:r>
      <w:r>
        <w:rPr>
          <w:rFonts w:hint="eastAsia" w:ascii="宋体" w:hAnsi="宋体"/>
          <w:color w:val="auto"/>
          <w:kern w:val="0"/>
          <w:szCs w:val="21"/>
          <w:highlight w:val="none"/>
        </w:rPr>
        <w:t>本质量保修书，由合同双方当事人在承包人向发包人提交竣工验收申请报告时签署，作为本合同的附件。</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ascii="宋体" w:hAnsi="宋体"/>
          <w:color w:val="auto"/>
          <w:kern w:val="0"/>
          <w:szCs w:val="21"/>
          <w:highlight w:val="none"/>
        </w:rPr>
        <w:t xml:space="preserve"> </w:t>
      </w:r>
    </w:p>
    <w:p w14:paraId="616EB02C">
      <w:pPr>
        <w:autoSpaceDE w:val="0"/>
        <w:autoSpaceDN w:val="0"/>
        <w:adjustRightInd w:val="0"/>
        <w:spacing w:line="360" w:lineRule="auto"/>
        <w:ind w:firstLine="420" w:firstLineChars="200"/>
        <w:rPr>
          <w:rFonts w:ascii="宋体" w:hAnsi="宋体" w:cs="宋体"/>
          <w:color w:val="auto"/>
          <w:kern w:val="0"/>
          <w:szCs w:val="21"/>
          <w:highlight w:val="none"/>
        </w:rPr>
      </w:pPr>
      <w:r>
        <w:rPr>
          <w:rFonts w:ascii="宋体" w:hAnsi="宋体"/>
          <w:color w:val="auto"/>
          <w:kern w:val="0"/>
          <w:szCs w:val="21"/>
          <w:highlight w:val="none"/>
        </w:rPr>
        <w:t xml:space="preserve">6.3 </w:t>
      </w:r>
      <w:r>
        <w:rPr>
          <w:rFonts w:hint="eastAsia" w:ascii="宋体" w:hAnsi="宋体" w:cs="宋体"/>
          <w:color w:val="auto"/>
          <w:kern w:val="0"/>
          <w:szCs w:val="21"/>
          <w:highlight w:val="none"/>
        </w:rPr>
        <w:t>本质量保修书，自合同双方当事人签署之日起生效，至质量保修期满后失效。</w:t>
      </w:r>
      <w:r>
        <w:rPr>
          <w:rFonts w:ascii="宋体" w:hAnsi="宋体" w:cs="宋体"/>
          <w:color w:val="auto"/>
          <w:kern w:val="0"/>
          <w:szCs w:val="21"/>
          <w:highlight w:val="none"/>
        </w:rPr>
        <w:t xml:space="preserve"> </w:t>
      </w:r>
    </w:p>
    <w:p w14:paraId="038A8015">
      <w:pPr>
        <w:autoSpaceDE w:val="0"/>
        <w:autoSpaceDN w:val="0"/>
        <w:adjustRightInd w:val="0"/>
        <w:spacing w:line="360" w:lineRule="auto"/>
        <w:rPr>
          <w:rFonts w:ascii="宋体" w:hAnsi="宋体" w:cs="宋体"/>
          <w:color w:val="auto"/>
          <w:kern w:val="0"/>
          <w:szCs w:val="21"/>
          <w:highlight w:val="none"/>
        </w:rPr>
      </w:pPr>
    </w:p>
    <w:p w14:paraId="2EAD5F85">
      <w:pPr>
        <w:autoSpaceDE w:val="0"/>
        <w:autoSpaceDN w:val="0"/>
        <w:adjustRightInd w:val="0"/>
        <w:spacing w:line="360" w:lineRule="auto"/>
        <w:rPr>
          <w:rFonts w:ascii="宋体" w:hAnsi="宋体" w:cs="宋体"/>
          <w:color w:val="auto"/>
          <w:kern w:val="0"/>
          <w:szCs w:val="21"/>
          <w:highlight w:val="none"/>
        </w:rPr>
      </w:pPr>
    </w:p>
    <w:p w14:paraId="6A2A13C3">
      <w:pPr>
        <w:autoSpaceDE w:val="0"/>
        <w:autoSpaceDN w:val="0"/>
        <w:adjustRightInd w:val="0"/>
        <w:spacing w:line="480" w:lineRule="auto"/>
        <w:ind w:firstLine="539" w:firstLineChars="257"/>
        <w:rPr>
          <w:rFonts w:ascii="宋体" w:hAnsi="宋体" w:cs="宋体"/>
          <w:color w:val="auto"/>
          <w:kern w:val="0"/>
          <w:szCs w:val="21"/>
          <w:highlight w:val="none"/>
        </w:rPr>
      </w:pPr>
      <w:r>
        <w:rPr>
          <w:rFonts w:hint="eastAsia" w:ascii="宋体" w:hAnsi="宋体" w:cs="宋体"/>
          <w:color w:val="auto"/>
          <w:kern w:val="0"/>
          <w:szCs w:val="21"/>
          <w:highlight w:val="none"/>
        </w:rPr>
        <w:t>发</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包</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人：（公章）</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 xml:space="preserve">                承</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包</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人</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：（公章）</w:t>
      </w:r>
      <w:r>
        <w:rPr>
          <w:rFonts w:ascii="宋体" w:hAnsi="宋体" w:cs="宋体"/>
          <w:color w:val="auto"/>
          <w:kern w:val="0"/>
          <w:szCs w:val="21"/>
          <w:highlight w:val="none"/>
        </w:rPr>
        <w:t xml:space="preserve"> </w:t>
      </w:r>
    </w:p>
    <w:p w14:paraId="2F737C31">
      <w:pPr>
        <w:autoSpaceDE w:val="0"/>
        <w:autoSpaceDN w:val="0"/>
        <w:adjustRightInd w:val="0"/>
        <w:spacing w:line="480" w:lineRule="auto"/>
        <w:ind w:firstLine="539" w:firstLineChars="257"/>
        <w:rPr>
          <w:rFonts w:ascii="宋体" w:hAnsi="宋体" w:cs="宋体"/>
          <w:color w:val="auto"/>
          <w:kern w:val="0"/>
          <w:szCs w:val="21"/>
          <w:highlight w:val="none"/>
        </w:rPr>
      </w:pPr>
      <w:r>
        <w:rPr>
          <w:rFonts w:hint="eastAsia" w:ascii="宋体" w:hAnsi="宋体" w:cs="宋体"/>
          <w:color w:val="auto"/>
          <w:kern w:val="0"/>
          <w:szCs w:val="21"/>
          <w:highlight w:val="none"/>
        </w:rPr>
        <w:t xml:space="preserve">法定代表人：                      法定代表人：  </w:t>
      </w:r>
    </w:p>
    <w:p w14:paraId="3814D471">
      <w:pPr>
        <w:autoSpaceDE w:val="0"/>
        <w:autoSpaceDN w:val="0"/>
        <w:adjustRightInd w:val="0"/>
        <w:spacing w:line="480" w:lineRule="auto"/>
        <w:ind w:firstLine="539" w:firstLineChars="257"/>
        <w:rPr>
          <w:rFonts w:ascii="宋体" w:hAnsi="宋体" w:cs="宋体"/>
          <w:color w:val="auto"/>
          <w:kern w:val="0"/>
          <w:szCs w:val="21"/>
          <w:highlight w:val="none"/>
        </w:rPr>
      </w:pPr>
      <w:r>
        <w:rPr>
          <w:rFonts w:hint="eastAsia" w:ascii="宋体" w:hAnsi="宋体" w:cs="宋体"/>
          <w:color w:val="auto"/>
          <w:kern w:val="0"/>
          <w:szCs w:val="21"/>
          <w:highlight w:val="none"/>
        </w:rPr>
        <w:t>或委托代表人：                   或委托代表人：</w:t>
      </w:r>
    </w:p>
    <w:p w14:paraId="4B84324B">
      <w:pPr>
        <w:autoSpaceDE w:val="0"/>
        <w:autoSpaceDN w:val="0"/>
        <w:adjustRightInd w:val="0"/>
        <w:spacing w:line="480" w:lineRule="auto"/>
        <w:ind w:firstLine="539" w:firstLineChars="257"/>
        <w:rPr>
          <w:rFonts w:ascii="宋体" w:hAnsi="宋体" w:cs="宋体"/>
          <w:color w:val="auto"/>
          <w:kern w:val="0"/>
          <w:szCs w:val="21"/>
          <w:highlight w:val="none"/>
        </w:rPr>
      </w:pPr>
      <w:r>
        <w:rPr>
          <w:rFonts w:hint="eastAsia" w:ascii="宋体" w:hAnsi="宋体" w:cs="宋体"/>
          <w:color w:val="auto"/>
          <w:kern w:val="0"/>
          <w:szCs w:val="21"/>
          <w:highlight w:val="none"/>
        </w:rPr>
        <w:t>经办人：                          经办人：</w:t>
      </w:r>
    </w:p>
    <w:p w14:paraId="3ADAA7B5">
      <w:pPr>
        <w:autoSpaceDE w:val="0"/>
        <w:autoSpaceDN w:val="0"/>
        <w:adjustRightInd w:val="0"/>
        <w:spacing w:line="480" w:lineRule="auto"/>
        <w:ind w:firstLine="539" w:firstLineChars="257"/>
        <w:rPr>
          <w:rFonts w:ascii="宋体" w:hAnsi="宋体" w:cs="宋体"/>
          <w:color w:val="auto"/>
          <w:kern w:val="0"/>
          <w:szCs w:val="21"/>
          <w:highlight w:val="none"/>
        </w:rPr>
      </w:pPr>
      <w:r>
        <w:rPr>
          <w:rFonts w:hint="eastAsia" w:ascii="宋体" w:hAnsi="宋体" w:cs="宋体"/>
          <w:color w:val="auto"/>
          <w:kern w:val="0"/>
          <w:szCs w:val="21"/>
          <w:highlight w:val="none"/>
        </w:rPr>
        <w:t xml:space="preserve">联系电话：                        联系电话： </w:t>
      </w:r>
    </w:p>
    <w:p w14:paraId="16644641">
      <w:pPr>
        <w:autoSpaceDE w:val="0"/>
        <w:autoSpaceDN w:val="0"/>
        <w:adjustRightInd w:val="0"/>
        <w:spacing w:line="480" w:lineRule="auto"/>
        <w:ind w:firstLine="539" w:firstLineChars="257"/>
        <w:rPr>
          <w:rFonts w:ascii="宋体" w:hAnsi="宋体" w:cs="宋体"/>
          <w:color w:val="auto"/>
          <w:kern w:val="0"/>
          <w:szCs w:val="21"/>
          <w:highlight w:val="none"/>
        </w:rPr>
      </w:pPr>
      <w:r>
        <w:rPr>
          <w:rFonts w:hint="eastAsia" w:ascii="宋体" w:hAnsi="宋体" w:cs="宋体"/>
          <w:color w:val="auto"/>
          <w:kern w:val="0"/>
          <w:szCs w:val="21"/>
          <w:highlight w:val="none"/>
        </w:rPr>
        <w:t xml:space="preserve">       年   月   日                      年    月    日</w:t>
      </w:r>
    </w:p>
    <w:p w14:paraId="5D66C8B4">
      <w:pPr>
        <w:ind w:firstLine="1680" w:firstLineChars="700"/>
        <w:rPr>
          <w:rFonts w:ascii="宋体" w:hAnsi="宋体"/>
          <w:color w:val="auto"/>
          <w:sz w:val="24"/>
          <w:highlight w:val="none"/>
        </w:rPr>
      </w:pPr>
    </w:p>
    <w:p w14:paraId="51DCE59E">
      <w:pPr>
        <w:spacing w:line="360" w:lineRule="auto"/>
        <w:contextualSpacing/>
        <w:rPr>
          <w:rFonts w:ascii="宋体" w:hAnsi="宋体"/>
          <w:color w:val="auto"/>
          <w:sz w:val="24"/>
          <w:highlight w:val="none"/>
        </w:rPr>
      </w:pPr>
    </w:p>
    <w:p w14:paraId="31059655">
      <w:pPr>
        <w:spacing w:line="360" w:lineRule="auto"/>
        <w:contextualSpacing/>
        <w:rPr>
          <w:rFonts w:ascii="宋体" w:hAnsi="宋体"/>
          <w:color w:val="auto"/>
          <w:sz w:val="24"/>
          <w:highlight w:val="none"/>
        </w:rPr>
      </w:pPr>
    </w:p>
    <w:p w14:paraId="04B168BE">
      <w:pPr>
        <w:pStyle w:val="17"/>
        <w:rPr>
          <w:rFonts w:ascii="宋体" w:hAnsi="宋体"/>
          <w:color w:val="auto"/>
          <w:sz w:val="24"/>
          <w:highlight w:val="none"/>
        </w:rPr>
      </w:pPr>
    </w:p>
    <w:p w14:paraId="22D7EB94">
      <w:pPr>
        <w:pStyle w:val="17"/>
        <w:rPr>
          <w:rFonts w:ascii="宋体" w:hAnsi="宋体"/>
          <w:color w:val="auto"/>
          <w:sz w:val="24"/>
          <w:highlight w:val="none"/>
        </w:rPr>
      </w:pPr>
    </w:p>
    <w:p w14:paraId="1B356357">
      <w:pPr>
        <w:wordWrap w:val="0"/>
        <w:rPr>
          <w:rFonts w:hint="eastAsia"/>
          <w:b/>
          <w:color w:val="auto"/>
          <w:sz w:val="28"/>
          <w:szCs w:val="28"/>
          <w:highlight w:val="none"/>
        </w:rPr>
      </w:pPr>
      <w:r>
        <w:rPr>
          <w:rFonts w:hint="eastAsia"/>
          <w:color w:val="auto"/>
          <w:highlight w:val="none"/>
        </w:rPr>
        <w:br w:type="page"/>
      </w:r>
      <w:r>
        <w:rPr>
          <w:rFonts w:hint="eastAsia" w:hAnsi="宋体" w:cs="宋体"/>
          <w:bCs/>
          <w:color w:val="auto"/>
          <w:sz w:val="24"/>
          <w:highlight w:val="none"/>
        </w:rPr>
        <w:t>附件3：安全作业协议书</w:t>
      </w:r>
    </w:p>
    <w:p w14:paraId="1A33AE0D">
      <w:pPr>
        <w:spacing w:line="360" w:lineRule="auto"/>
        <w:ind w:firstLine="562" w:firstLineChars="200"/>
        <w:jc w:val="center"/>
        <w:rPr>
          <w:rFonts w:ascii="仿宋_GB2312" w:eastAsia="仿宋_GB2312"/>
          <w:color w:val="auto"/>
          <w:sz w:val="32"/>
          <w:szCs w:val="32"/>
          <w:highlight w:val="none"/>
        </w:rPr>
      </w:pPr>
      <w:r>
        <w:rPr>
          <w:rFonts w:hint="eastAsia"/>
          <w:b/>
          <w:color w:val="auto"/>
          <w:sz w:val="28"/>
          <w:szCs w:val="28"/>
          <w:highlight w:val="none"/>
        </w:rPr>
        <w:t>安全作业协议书</w:t>
      </w:r>
    </w:p>
    <w:p w14:paraId="085EF8CA">
      <w:pPr>
        <w:spacing w:line="360" w:lineRule="auto"/>
        <w:rPr>
          <w:rFonts w:ascii="宋体" w:hAnsi="宋体" w:cs="宋体"/>
          <w:color w:val="auto"/>
          <w:szCs w:val="21"/>
          <w:highlight w:val="none"/>
        </w:rPr>
      </w:pPr>
      <w:r>
        <w:rPr>
          <w:rFonts w:hint="eastAsia" w:ascii="宋体" w:hAnsi="宋体"/>
          <w:color w:val="auto"/>
          <w:szCs w:val="21"/>
          <w:highlight w:val="none"/>
        </w:rPr>
        <w:t>发包人</w:t>
      </w:r>
      <w:r>
        <w:rPr>
          <w:rFonts w:hint="eastAsia" w:ascii="宋体" w:hAnsi="宋体"/>
          <w:color w:val="auto"/>
          <w:szCs w:val="21"/>
          <w:highlight w:val="none"/>
          <w:lang w:eastAsia="zh-CN"/>
        </w:rPr>
        <w:t>（</w:t>
      </w:r>
      <w:r>
        <w:rPr>
          <w:rFonts w:hint="eastAsia" w:ascii="宋体" w:hAnsi="宋体" w:cs="宋体"/>
          <w:color w:val="auto"/>
          <w:szCs w:val="21"/>
          <w:highlight w:val="none"/>
        </w:rPr>
        <w:t>甲方</w:t>
      </w:r>
      <w:r>
        <w:rPr>
          <w:rFonts w:hint="eastAsia" w:ascii="宋体" w:hAnsi="宋体"/>
          <w:color w:val="auto"/>
          <w:szCs w:val="21"/>
          <w:highlight w:val="none"/>
          <w:lang w:eastAsia="zh-CN"/>
        </w:rPr>
        <w:t>）</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w:t>
      </w:r>
      <w:r>
        <w:rPr>
          <w:rFonts w:ascii="宋体" w:hAnsi="宋体" w:cs="宋体"/>
          <w:color w:val="auto"/>
          <w:szCs w:val="21"/>
          <w:highlight w:val="none"/>
          <w:u w:val="single"/>
        </w:rPr>
        <w:t xml:space="preserve">           </w:t>
      </w:r>
      <w:r>
        <w:rPr>
          <w:rFonts w:ascii="宋体" w:hAnsi="宋体" w:cs="宋体"/>
          <w:color w:val="auto"/>
          <w:szCs w:val="21"/>
          <w:highlight w:val="none"/>
        </w:rPr>
        <w:t xml:space="preserve"> </w:t>
      </w:r>
    </w:p>
    <w:p w14:paraId="3028CD93">
      <w:pPr>
        <w:spacing w:line="360" w:lineRule="auto"/>
        <w:rPr>
          <w:rFonts w:ascii="宋体" w:hAnsi="宋体" w:cs="宋体"/>
          <w:color w:val="auto"/>
          <w:szCs w:val="21"/>
          <w:highlight w:val="none"/>
        </w:rPr>
      </w:pPr>
      <w:r>
        <w:rPr>
          <w:rFonts w:hint="eastAsia" w:ascii="宋体" w:hAnsi="宋体" w:cs="宋体"/>
          <w:color w:val="auto"/>
          <w:szCs w:val="21"/>
          <w:highlight w:val="none"/>
          <w:lang w:val="en-US" w:eastAsia="zh-CN"/>
        </w:rPr>
        <w:t>承包人（</w:t>
      </w:r>
      <w:r>
        <w:rPr>
          <w:rFonts w:hint="eastAsia" w:ascii="宋体" w:hAnsi="宋体" w:cs="宋体"/>
          <w:color w:val="auto"/>
          <w:szCs w:val="21"/>
          <w:highlight w:val="none"/>
        </w:rPr>
        <w:t>乙方</w:t>
      </w:r>
      <w:r>
        <w:rPr>
          <w:rFonts w:hint="eastAsia" w:ascii="宋体" w:hAnsi="宋体" w:cs="宋体"/>
          <w:color w:val="auto"/>
          <w:szCs w:val="21"/>
          <w:highlight w:val="none"/>
          <w:lang w:val="en-US" w:eastAsia="zh-CN"/>
        </w:rPr>
        <w:t>）</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w:t>
      </w:r>
      <w:r>
        <w:rPr>
          <w:rFonts w:ascii="宋体" w:hAnsi="宋体" w:cs="宋体"/>
          <w:color w:val="auto"/>
          <w:szCs w:val="21"/>
          <w:highlight w:val="none"/>
          <w:u w:val="single"/>
        </w:rPr>
        <w:t xml:space="preserve">           </w:t>
      </w:r>
    </w:p>
    <w:p w14:paraId="3670E299">
      <w:pPr>
        <w:spacing w:line="360" w:lineRule="auto"/>
        <w:rPr>
          <w:rFonts w:ascii="宋体" w:hAnsi="宋体" w:cs="宋体"/>
          <w:color w:val="auto"/>
          <w:szCs w:val="21"/>
          <w:highlight w:val="none"/>
        </w:rPr>
      </w:pPr>
      <w:r>
        <w:rPr>
          <w:rFonts w:hint="eastAsia" w:ascii="宋体" w:hAnsi="宋体" w:cs="宋体"/>
          <w:color w:val="auto"/>
          <w:szCs w:val="21"/>
          <w:highlight w:val="none"/>
        </w:rPr>
        <w:t>鉴于：目前乙方与第三方签订协议，将对甲方管理区域进行相关作业，由于作业位于甲方管理区域内，为了加强作业安全管理，落实安全生产作业责任，甲乙双方本着平等、自愿的原则，经甲乙双方友好协商，特订立本安全作业协议（以下简称协议书）。</w:t>
      </w:r>
    </w:p>
    <w:p w14:paraId="3F01034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一、甲方责任</w:t>
      </w:r>
    </w:p>
    <w:p w14:paraId="39CDA09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1、甲方应认真执行《中华人民共和国安全生产法》及其他政府部门的有关安全规定。</w:t>
      </w:r>
    </w:p>
    <w:p w14:paraId="02AAEB2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2、在乙方入驻前向乙方说明工作环境重点区域安全注意事项。</w:t>
      </w:r>
    </w:p>
    <w:p w14:paraId="593D606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3、对乙方提出的有关安全问题，积极协助解决。</w:t>
      </w:r>
    </w:p>
    <w:p w14:paraId="51F0EA9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二、乙方责任</w:t>
      </w:r>
    </w:p>
    <w:p w14:paraId="5F58AD9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1、乙方应认真执行《中华人民共和国安全生产法》及其他政府部门的有关安全规定。在作业过程中，定期组织职工开展安全教育，切实遵守安全作业规程，注意用电安全，确保防火防盗措施到位。</w:t>
      </w:r>
    </w:p>
    <w:p w14:paraId="08804C8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2、乙方进入作业场地前要对工作环境及作业设施设备进行检查和确定，如有问题及时与甲方联系。</w:t>
      </w:r>
    </w:p>
    <w:p w14:paraId="749B88F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乙方如需对场地进行大面积作业的，应将作业方案等相关资料报主管部门审批通过后向甲方报备，否则，由乙方承担全部法律和经济责任。乙方作业期间，须严格遵守相关安全作业规范，并自行承担作业安全责任。</w:t>
      </w:r>
    </w:p>
    <w:p w14:paraId="6E6CB54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4、乙方在作业期间应做好施工人员及现场安全的管理，避免造成人员伤亡或财产损失，如有发生该等事件的，由乙方依法自行处理和解决，并承担一切法律后果和经济损失。</w:t>
      </w:r>
    </w:p>
    <w:p w14:paraId="7E6A42E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5、乙方人员不准私自动用、拆卸原有的设施设备，否则，一切法律后果和经济损失由乙方负责。</w:t>
      </w:r>
    </w:p>
    <w:p w14:paraId="68459B2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6、乙方应指定一名安全负责人负责对本单位所有从业人员进行安全教育和培训，并依法进行管理和定期检查。</w:t>
      </w:r>
    </w:p>
    <w:p w14:paraId="2142B6F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7、乙方应认真落实本协议第七条所列相关注意事项，乙方对其作业区域安全承担全部责任。</w:t>
      </w:r>
    </w:p>
    <w:p w14:paraId="08C7AE1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三、违约责任</w:t>
      </w:r>
    </w:p>
    <w:p w14:paraId="5101E86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1、乙方怠于执行相关义务经甲方催告后仍不执行的，或不服从甲方安全管理经催告仍不对存在隐患进行整改的，甲方有权拒绝乙方进入甲方场地，由此造成的一切后果由乙方自行承担。</w:t>
      </w:r>
    </w:p>
    <w:p w14:paraId="7906D18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2、由于甲方或乙方未严格执行《协议书》约定内容，造成任何人员伤亡事故或者财产损失的，按照本协议约定及相关安全生产法律法规的有关规定，划分责任，妥善处理。</w:t>
      </w:r>
    </w:p>
    <w:p w14:paraId="3AEB399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四、其他</w:t>
      </w:r>
    </w:p>
    <w:p w14:paraId="5F37E83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1、本协议自甲乙两方签字之日起生效。本协议如有未尽事宜，由甲乙双方另行协商解决。如签订补充条款的，补充条款与本协议具有同等效力。</w:t>
      </w:r>
    </w:p>
    <w:p w14:paraId="5443B8E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因本协议产生的纠纷，由甲乙双方协商处理，协商不成的，任何一方均可向甲方所在地人民法院起诉。因一方违约，导致对方为解决纠纷追究违约责任而产生的所有费用（包括但不限于律师费、诉讼费、诉讼担保费、保全费、执行费、公证费、鉴定费、差旅费等）均由违约方承担。</w:t>
      </w:r>
    </w:p>
    <w:p w14:paraId="44EFCC0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五、附则（部分安全注意事项）</w:t>
      </w:r>
    </w:p>
    <w:p w14:paraId="10C201B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（一）用电注意事项</w:t>
      </w:r>
    </w:p>
    <w:p w14:paraId="48C9B04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1、电器方面</w:t>
      </w:r>
    </w:p>
    <w:p w14:paraId="22C2DFB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（1）不违反“停电检修安全工作制度”，进而误合闸造成维修人员触电。</w:t>
      </w:r>
    </w:p>
    <w:p w14:paraId="7517113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（2）不违反“带电检修安全操作规程”，使操作人员触电。</w:t>
      </w:r>
    </w:p>
    <w:p w14:paraId="67011E2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（3）不带电移动设备。</w:t>
      </w:r>
    </w:p>
    <w:p w14:paraId="0817191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（4）不用水冲洗或用湿布擦拭电器设备。</w:t>
      </w:r>
    </w:p>
    <w:p w14:paraId="7559A08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（5）不违章救护他人触电，造成救护者一起触电。</w:t>
      </w:r>
    </w:p>
    <w:p w14:paraId="791FB5C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（6）在对有高压电容的线路检修时要进行放电处理。</w:t>
      </w:r>
    </w:p>
    <w:p w14:paraId="2A71911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（7）不得使用超过规定负荷的大功率或超大功率电器产品。</w:t>
      </w:r>
    </w:p>
    <w:p w14:paraId="48661BF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2、作业施工方面</w:t>
      </w:r>
    </w:p>
    <w:p w14:paraId="4C23E45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（1）严禁误将电源保护接地与零线相接，且插座火线、零线位臵接反使机壳带电。</w:t>
      </w:r>
    </w:p>
    <w:p w14:paraId="4B80286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（2）严禁插头接线不合理，造成电源线外露，导致触电。</w:t>
      </w:r>
    </w:p>
    <w:p w14:paraId="5CC129E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（3）严禁供电线路架设不规范造成搭接物带电。</w:t>
      </w:r>
    </w:p>
    <w:p w14:paraId="034A93C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（4）严禁随意更换与原规格不符合的空气开关，失去短路保护作用，导致电器损坏。</w:t>
      </w:r>
    </w:p>
    <w:p w14:paraId="79F8966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（5）严禁施工中未对电器设备进行接地保护处理。</w:t>
      </w:r>
    </w:p>
    <w:p w14:paraId="74AEC60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（6）未经许可，不得擅自动用园区相关电器设备。</w:t>
      </w:r>
    </w:p>
    <w:p w14:paraId="7A194CF0">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3、电器产品、工具质量方面</w:t>
      </w:r>
    </w:p>
    <w:p w14:paraId="517FB50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（1）严禁电器设备缺少保护设施，造成电器在正常情况下损坏和触电。</w:t>
      </w:r>
    </w:p>
    <w:p w14:paraId="7CD211A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（2）严禁带电作业时，使用不合格或不合理的工具或绝缘设施造成维修人员触电。</w:t>
      </w:r>
    </w:p>
    <w:p w14:paraId="522522F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（3）严禁使用劣质材料、不符合设计要求材料做出的绝缘等级、抗老化能力低、容易触电的产品。</w:t>
      </w:r>
    </w:p>
    <w:p w14:paraId="69C2874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4、其他方面</w:t>
      </w:r>
    </w:p>
    <w:p w14:paraId="18CB224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（1）降低电器设备的对地绝缘水平。</w:t>
      </w:r>
    </w:p>
    <w:p w14:paraId="3068F8E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（2）保持电气线路和电气设备正常工作状态，防止异常高温和电火花、电弧的产生；</w:t>
      </w:r>
    </w:p>
    <w:p w14:paraId="5256EB8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（3）对正常操作可产生电火花或电弧的场合，注意远离易燃物并对电火花的飞溅做必要的防护。</w:t>
      </w:r>
    </w:p>
    <w:p w14:paraId="16234A3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（二）防雷注意事项</w:t>
      </w:r>
    </w:p>
    <w:p w14:paraId="3057DD9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1、要远离建筑物的避雷针及其接地引下线。</w:t>
      </w:r>
    </w:p>
    <w:p w14:paraId="70AE382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2、要远离各种天线、电线杆、高塔、灯杆、旗杆。</w:t>
      </w:r>
    </w:p>
    <w:p w14:paraId="4DB91DE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3、应该尽快离开山丘、湖边、水池；尽快离开铁丝网、有金属的线条绳索、孤立的树木和没有防雷的孤立小建筑物。</w:t>
      </w:r>
    </w:p>
    <w:p w14:paraId="1CAE612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4、雷雨天气不要再阔野里行走、不要骑单车及摩托车（电瓶车）。</w:t>
      </w:r>
    </w:p>
    <w:p w14:paraId="60B647E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5、严禁在大树下、电线杆旁避雨。</w:t>
      </w:r>
    </w:p>
    <w:p w14:paraId="77FBCB90">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6、人在遭遇雷击前，会有头发竖起或者皮肤颤动的感觉，这时员工躺倒在地上或者选择在低洼处蹲下，双脚并拢，双臂抱膝，头部下附，尽量缩小暴露面。</w:t>
      </w:r>
    </w:p>
    <w:p w14:paraId="6350D83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（三）溺水注意事项 </w:t>
      </w:r>
    </w:p>
    <w:p w14:paraId="48F2F6D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1、不私自下水游泳。</w:t>
      </w:r>
    </w:p>
    <w:p w14:paraId="35198A1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2、不擅自与他人结伴游泳。</w:t>
      </w:r>
    </w:p>
    <w:p w14:paraId="52481D4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3、不熟悉水性不擅自下水施救。</w:t>
      </w:r>
    </w:p>
    <w:p w14:paraId="0911E80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4、远离湖边避免失足坠湖。</w:t>
      </w:r>
    </w:p>
    <w:p w14:paraId="7DE4DE3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（四）防蛇虫咬伤注意事项</w:t>
      </w:r>
    </w:p>
    <w:p w14:paraId="566FCC5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1、作业时穿高帮鞋（水鞋），长袖、长裤，带帽，扣紧衣领袖口。</w:t>
      </w:r>
    </w:p>
    <w:p w14:paraId="72DED8D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2、在作业区域撒驱蛇虫药物。</w:t>
      </w:r>
    </w:p>
    <w:p w14:paraId="30587B20">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3、禁止徒手捕捉蛇虫等危险生物。</w:t>
      </w:r>
    </w:p>
    <w:p w14:paraId="0D09B21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4、行走间勿要在树林间、草丛中穿行。</w:t>
      </w:r>
    </w:p>
    <w:p w14:paraId="781F576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（五）电瓶车使用注意事项</w:t>
      </w:r>
    </w:p>
    <w:p w14:paraId="211B2330">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1、禁止超载、超速等危险驾驶行为。</w:t>
      </w:r>
    </w:p>
    <w:p w14:paraId="00C968B2">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2、文明驾驶礼让车辆及客人。</w:t>
      </w:r>
    </w:p>
    <w:p w14:paraId="78FC7284">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3、电瓶车切勿占用停车位及堵塞消防通道，在规定区域停放。</w:t>
      </w:r>
    </w:p>
    <w:p w14:paraId="71FCB266">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4、电瓶车请勿室内充电，应在指定地方充电。（宿舍车棚、玉兰楼车场电瓶车棚）</w:t>
      </w:r>
    </w:p>
    <w:p w14:paraId="055BD2F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5、严禁酒驾。</w:t>
      </w:r>
    </w:p>
    <w:p w14:paraId="045E08D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（六）其他作业安全</w:t>
      </w:r>
    </w:p>
    <w:p w14:paraId="2B88685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1、达到高空作业条件时必须遵守高空作业相关要求。</w:t>
      </w:r>
    </w:p>
    <w:p w14:paraId="7F89875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2、砍伐、锯断树枝作业时应该提前疏散作业区域人员，避免出现扎伤、砸伤事件。</w:t>
      </w:r>
    </w:p>
    <w:p w14:paraId="722CA8D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3、定期进行相关安全作业培训。</w:t>
      </w:r>
    </w:p>
    <w:p w14:paraId="6C7BF2B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4、组织相关人员参与甲方安全培训。</w:t>
      </w:r>
    </w:p>
    <w:p w14:paraId="51F8AE1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5、如遇台风、暴雨及其他条件恶劣情况下严禁户外作业。</w:t>
      </w:r>
    </w:p>
    <w:p w14:paraId="7D228905">
      <w:pPr>
        <w:spacing w:line="360" w:lineRule="auto"/>
        <w:ind w:firstLine="420" w:firstLineChars="200"/>
        <w:rPr>
          <w:color w:val="auto"/>
          <w:highlight w:val="none"/>
        </w:rPr>
      </w:pPr>
      <w:r>
        <w:rPr>
          <w:rFonts w:hint="eastAsia" w:ascii="宋体" w:hAnsi="宋体" w:cs="宋体"/>
          <w:color w:val="auto"/>
          <w:szCs w:val="21"/>
          <w:highlight w:val="none"/>
        </w:rPr>
        <w:t xml:space="preserve">甲方（盖章）：                     乙方（盖章）：                                                   </w:t>
      </w:r>
    </w:p>
    <w:p w14:paraId="5E43BA7F">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甲方代表：                         乙方代表：</w:t>
      </w:r>
    </w:p>
    <w:p w14:paraId="3D0B9F01">
      <w:pPr>
        <w:widowControl/>
        <w:spacing w:line="360" w:lineRule="auto"/>
        <w:jc w:val="center"/>
        <w:rPr>
          <w:rFonts w:hint="eastAsia" w:ascii="宋体" w:hAnsi="宋体"/>
          <w:color w:val="auto"/>
          <w:sz w:val="28"/>
          <w:szCs w:val="28"/>
          <w:highlight w:val="none"/>
          <w:lang w:val="en-US" w:eastAsia="zh-CN"/>
        </w:rPr>
      </w:pPr>
      <w:r>
        <w:rPr>
          <w:rFonts w:hint="eastAsia" w:ascii="宋体" w:hAnsi="宋体" w:cs="宋体"/>
          <w:color w:val="auto"/>
          <w:szCs w:val="21"/>
          <w:highlight w:val="none"/>
        </w:rPr>
        <w:t>年  月  日                         年  月  日</w:t>
      </w:r>
    </w:p>
    <w:p w14:paraId="300F874E">
      <w:pPr>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br w:type="page"/>
      </w:r>
    </w:p>
    <w:p w14:paraId="514480BC">
      <w:pPr>
        <w:widowControl/>
        <w:jc w:val="left"/>
        <w:rPr>
          <w:rFonts w:hint="default" w:ascii="宋体" w:hAnsi="宋体"/>
          <w:color w:val="auto"/>
          <w:sz w:val="28"/>
          <w:szCs w:val="28"/>
          <w:highlight w:val="none"/>
          <w:lang w:val="en-US" w:eastAsia="zh-CN"/>
        </w:rPr>
      </w:pPr>
    </w:p>
    <w:p w14:paraId="6CF1C73A">
      <w:pPr>
        <w:pStyle w:val="2"/>
        <w:jc w:val="center"/>
        <w:rPr>
          <w:rFonts w:ascii="宋体" w:hAnsi="宋体"/>
          <w:color w:val="auto"/>
          <w:sz w:val="28"/>
          <w:szCs w:val="28"/>
          <w:highlight w:val="none"/>
        </w:rPr>
      </w:pPr>
      <w:bookmarkStart w:id="346" w:name="_Toc27497"/>
      <w:r>
        <w:rPr>
          <w:rFonts w:hint="eastAsia" w:ascii="宋体" w:hAnsi="宋体"/>
          <w:color w:val="auto"/>
          <w:sz w:val="28"/>
          <w:szCs w:val="28"/>
          <w:highlight w:val="none"/>
        </w:rPr>
        <w:t>第六章 响应文件格式</w:t>
      </w:r>
      <w:bookmarkEnd w:id="138"/>
      <w:bookmarkEnd w:id="139"/>
      <w:bookmarkEnd w:id="140"/>
      <w:bookmarkEnd w:id="141"/>
      <w:bookmarkEnd w:id="346"/>
    </w:p>
    <w:p w14:paraId="4B601842">
      <w:pPr>
        <w:jc w:val="center"/>
        <w:rPr>
          <w:rFonts w:ascii="黑体" w:hAnsi="宋体" w:eastAsia="黑体"/>
          <w:color w:val="auto"/>
          <w:sz w:val="32"/>
          <w:szCs w:val="32"/>
          <w:highlight w:val="none"/>
        </w:rPr>
      </w:pPr>
    </w:p>
    <w:p w14:paraId="16DD685C">
      <w:pPr>
        <w:jc w:val="center"/>
        <w:rPr>
          <w:rFonts w:ascii="黑体" w:hAnsi="宋体" w:eastAsia="黑体"/>
          <w:color w:val="auto"/>
          <w:sz w:val="32"/>
          <w:szCs w:val="32"/>
          <w:highlight w:val="none"/>
        </w:rPr>
      </w:pPr>
    </w:p>
    <w:p w14:paraId="1EE4C3B3">
      <w:pPr>
        <w:jc w:val="center"/>
        <w:rPr>
          <w:rFonts w:ascii="黑体" w:hAnsi="宋体" w:eastAsia="黑体"/>
          <w:color w:val="auto"/>
          <w:sz w:val="32"/>
          <w:szCs w:val="32"/>
          <w:highlight w:val="none"/>
        </w:rPr>
      </w:pPr>
    </w:p>
    <w:p w14:paraId="3345ECF9">
      <w:pPr>
        <w:jc w:val="center"/>
        <w:rPr>
          <w:rFonts w:ascii="黑体" w:hAnsi="宋体" w:eastAsia="黑体"/>
          <w:color w:val="auto"/>
          <w:sz w:val="32"/>
          <w:szCs w:val="32"/>
          <w:highlight w:val="none"/>
        </w:rPr>
      </w:pPr>
    </w:p>
    <w:p w14:paraId="3EC1F38F">
      <w:pPr>
        <w:jc w:val="center"/>
        <w:rPr>
          <w:rFonts w:ascii="黑体" w:hAnsi="宋体" w:eastAsia="黑体"/>
          <w:color w:val="auto"/>
          <w:sz w:val="32"/>
          <w:szCs w:val="32"/>
          <w:highlight w:val="none"/>
        </w:rPr>
      </w:pPr>
    </w:p>
    <w:p w14:paraId="5BCA4718">
      <w:pPr>
        <w:jc w:val="center"/>
        <w:rPr>
          <w:rFonts w:ascii="黑体" w:hAnsi="宋体" w:eastAsia="黑体"/>
          <w:color w:val="auto"/>
          <w:sz w:val="32"/>
          <w:szCs w:val="32"/>
          <w:highlight w:val="none"/>
        </w:rPr>
      </w:pPr>
    </w:p>
    <w:p w14:paraId="22FCE29F">
      <w:pPr>
        <w:jc w:val="center"/>
        <w:rPr>
          <w:rFonts w:ascii="黑体" w:hAnsi="宋体" w:eastAsia="黑体"/>
          <w:color w:val="auto"/>
          <w:sz w:val="32"/>
          <w:szCs w:val="32"/>
          <w:highlight w:val="none"/>
        </w:rPr>
      </w:pPr>
    </w:p>
    <w:p w14:paraId="1FE12129">
      <w:pPr>
        <w:jc w:val="center"/>
        <w:rPr>
          <w:rFonts w:ascii="黑体" w:hAnsi="宋体" w:eastAsia="黑体"/>
          <w:color w:val="auto"/>
          <w:sz w:val="32"/>
          <w:szCs w:val="32"/>
          <w:highlight w:val="none"/>
        </w:rPr>
      </w:pPr>
    </w:p>
    <w:p w14:paraId="4DEAC5AA">
      <w:pPr>
        <w:jc w:val="center"/>
        <w:rPr>
          <w:rFonts w:ascii="黑体" w:hAnsi="宋体" w:eastAsia="黑体"/>
          <w:color w:val="auto"/>
          <w:sz w:val="32"/>
          <w:szCs w:val="32"/>
          <w:highlight w:val="none"/>
        </w:rPr>
      </w:pPr>
    </w:p>
    <w:p w14:paraId="160B6013">
      <w:pPr>
        <w:jc w:val="center"/>
        <w:rPr>
          <w:rFonts w:ascii="黑体" w:hAnsi="宋体" w:eastAsia="黑体"/>
          <w:color w:val="auto"/>
          <w:sz w:val="32"/>
          <w:szCs w:val="32"/>
          <w:highlight w:val="none"/>
        </w:rPr>
      </w:pPr>
    </w:p>
    <w:p w14:paraId="3D322B51">
      <w:pPr>
        <w:jc w:val="center"/>
        <w:rPr>
          <w:rFonts w:ascii="黑体" w:hAnsi="宋体" w:eastAsia="黑体"/>
          <w:color w:val="auto"/>
          <w:sz w:val="32"/>
          <w:szCs w:val="32"/>
          <w:highlight w:val="none"/>
        </w:rPr>
      </w:pPr>
    </w:p>
    <w:p w14:paraId="18E6416C">
      <w:pPr>
        <w:jc w:val="center"/>
        <w:rPr>
          <w:rFonts w:ascii="黑体" w:hAnsi="宋体" w:eastAsia="黑体"/>
          <w:color w:val="auto"/>
          <w:sz w:val="32"/>
          <w:szCs w:val="32"/>
          <w:highlight w:val="none"/>
        </w:rPr>
      </w:pPr>
    </w:p>
    <w:p w14:paraId="45F43CF6">
      <w:pPr>
        <w:jc w:val="center"/>
        <w:rPr>
          <w:rFonts w:ascii="黑体" w:hAnsi="宋体" w:eastAsia="黑体"/>
          <w:color w:val="auto"/>
          <w:sz w:val="32"/>
          <w:szCs w:val="32"/>
          <w:highlight w:val="none"/>
        </w:rPr>
      </w:pPr>
    </w:p>
    <w:p w14:paraId="087EF7F5">
      <w:pPr>
        <w:jc w:val="center"/>
        <w:rPr>
          <w:rFonts w:ascii="黑体" w:hAnsi="宋体" w:eastAsia="黑体"/>
          <w:color w:val="auto"/>
          <w:sz w:val="32"/>
          <w:szCs w:val="32"/>
          <w:highlight w:val="none"/>
        </w:rPr>
      </w:pPr>
    </w:p>
    <w:p w14:paraId="60DB2D3D">
      <w:pPr>
        <w:jc w:val="center"/>
        <w:rPr>
          <w:rFonts w:ascii="黑体" w:hAnsi="宋体" w:eastAsia="黑体"/>
          <w:color w:val="auto"/>
          <w:sz w:val="32"/>
          <w:szCs w:val="32"/>
          <w:highlight w:val="none"/>
        </w:rPr>
      </w:pPr>
    </w:p>
    <w:p w14:paraId="23B61C68">
      <w:pPr>
        <w:jc w:val="center"/>
        <w:rPr>
          <w:rFonts w:ascii="黑体" w:hAnsi="宋体" w:eastAsia="黑体"/>
          <w:color w:val="auto"/>
          <w:sz w:val="32"/>
          <w:szCs w:val="32"/>
          <w:highlight w:val="none"/>
        </w:rPr>
      </w:pPr>
    </w:p>
    <w:p w14:paraId="4D8EA678">
      <w:pPr>
        <w:jc w:val="center"/>
        <w:rPr>
          <w:rFonts w:ascii="黑体" w:hAnsi="宋体" w:eastAsia="黑体"/>
          <w:color w:val="auto"/>
          <w:sz w:val="32"/>
          <w:szCs w:val="32"/>
          <w:highlight w:val="none"/>
        </w:rPr>
      </w:pPr>
    </w:p>
    <w:p w14:paraId="3B93D210">
      <w:pPr>
        <w:jc w:val="center"/>
        <w:rPr>
          <w:rFonts w:ascii="黑体" w:hAnsi="宋体" w:eastAsia="黑体"/>
          <w:color w:val="auto"/>
          <w:sz w:val="32"/>
          <w:szCs w:val="32"/>
          <w:highlight w:val="none"/>
        </w:rPr>
      </w:pPr>
    </w:p>
    <w:p w14:paraId="641A4C6A">
      <w:pPr>
        <w:jc w:val="center"/>
        <w:rPr>
          <w:rFonts w:ascii="黑体" w:hAnsi="宋体" w:eastAsia="黑体"/>
          <w:color w:val="auto"/>
          <w:sz w:val="32"/>
          <w:szCs w:val="32"/>
          <w:highlight w:val="none"/>
        </w:rPr>
      </w:pPr>
    </w:p>
    <w:p w14:paraId="26051A75">
      <w:pPr>
        <w:jc w:val="center"/>
        <w:rPr>
          <w:rFonts w:ascii="黑体" w:hAnsi="宋体" w:eastAsia="黑体"/>
          <w:color w:val="auto"/>
          <w:sz w:val="32"/>
          <w:szCs w:val="32"/>
          <w:highlight w:val="none"/>
        </w:rPr>
      </w:pPr>
    </w:p>
    <w:p w14:paraId="133CD688">
      <w:pPr>
        <w:spacing w:line="480" w:lineRule="auto"/>
        <w:rPr>
          <w:rFonts w:eastAsia="黑体"/>
          <w:color w:val="auto"/>
          <w:sz w:val="20"/>
          <w:szCs w:val="20"/>
          <w:highlight w:val="none"/>
        </w:rPr>
      </w:pPr>
    </w:p>
    <w:p w14:paraId="54044568">
      <w:pPr>
        <w:spacing w:line="480" w:lineRule="auto"/>
        <w:jc w:val="center"/>
        <w:rPr>
          <w:rFonts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u w:val="single"/>
        </w:rPr>
        <w:t>（项目名称）</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p>
    <w:p w14:paraId="513BABC7">
      <w:pPr>
        <w:spacing w:line="480" w:lineRule="auto"/>
        <w:jc w:val="center"/>
        <w:rPr>
          <w:rFonts w:eastAsia="黑体"/>
          <w:color w:val="auto"/>
          <w:sz w:val="20"/>
          <w:szCs w:val="20"/>
          <w:highlight w:val="none"/>
        </w:rPr>
      </w:pPr>
    </w:p>
    <w:p w14:paraId="41F7BF99">
      <w:pPr>
        <w:spacing w:line="480" w:lineRule="auto"/>
        <w:jc w:val="center"/>
        <w:rPr>
          <w:rFonts w:eastAsia="黑体"/>
          <w:color w:val="auto"/>
          <w:sz w:val="20"/>
          <w:szCs w:val="20"/>
          <w:highlight w:val="none"/>
        </w:rPr>
      </w:pPr>
    </w:p>
    <w:p w14:paraId="5C76347D">
      <w:pPr>
        <w:spacing w:line="480" w:lineRule="auto"/>
        <w:jc w:val="center"/>
        <w:rPr>
          <w:rFonts w:hint="eastAsia" w:ascii="宋体" w:hAnsi="宋体"/>
          <w:b/>
          <w:color w:val="auto"/>
          <w:sz w:val="52"/>
          <w:szCs w:val="52"/>
          <w:highlight w:val="none"/>
        </w:rPr>
      </w:pPr>
      <w:r>
        <w:rPr>
          <w:rFonts w:hint="eastAsia" w:ascii="宋体" w:hAnsi="宋体"/>
          <w:b/>
          <w:color w:val="auto"/>
          <w:sz w:val="52"/>
          <w:szCs w:val="52"/>
          <w:highlight w:val="none"/>
        </w:rPr>
        <w:t>商</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务</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技</w:t>
      </w:r>
      <w:r>
        <w:rPr>
          <w:rFonts w:hint="eastAsia" w:ascii="宋体" w:hAnsi="宋体"/>
          <w:b/>
          <w:color w:val="auto"/>
          <w:sz w:val="52"/>
          <w:szCs w:val="52"/>
          <w:highlight w:val="none"/>
          <w:lang w:val="en-US" w:eastAsia="zh-CN"/>
        </w:rPr>
        <w:t xml:space="preserve"> </w:t>
      </w:r>
      <w:r>
        <w:rPr>
          <w:rFonts w:hint="eastAsia" w:ascii="宋体" w:hAnsi="宋体"/>
          <w:b/>
          <w:color w:val="auto"/>
          <w:sz w:val="52"/>
          <w:szCs w:val="52"/>
          <w:highlight w:val="none"/>
        </w:rPr>
        <w:t>术</w:t>
      </w:r>
    </w:p>
    <w:p w14:paraId="7584C74E">
      <w:pPr>
        <w:spacing w:line="480" w:lineRule="auto"/>
        <w:jc w:val="center"/>
        <w:rPr>
          <w:rFonts w:ascii="宋体" w:hAnsi="宋体"/>
          <w:b/>
          <w:color w:val="auto"/>
          <w:sz w:val="52"/>
          <w:szCs w:val="52"/>
          <w:highlight w:val="none"/>
        </w:rPr>
      </w:pPr>
      <w:r>
        <w:rPr>
          <w:rFonts w:hint="eastAsia" w:ascii="宋体" w:hAnsi="宋体"/>
          <w:b/>
          <w:color w:val="auto"/>
          <w:sz w:val="52"/>
          <w:szCs w:val="52"/>
          <w:highlight w:val="none"/>
        </w:rPr>
        <w:t>响</w:t>
      </w:r>
      <w:r>
        <w:rPr>
          <w:rFonts w:ascii="宋体" w:hAnsi="宋体"/>
          <w:b/>
          <w:color w:val="auto"/>
          <w:sz w:val="52"/>
          <w:szCs w:val="52"/>
          <w:highlight w:val="none"/>
        </w:rPr>
        <w:t xml:space="preserve">  </w:t>
      </w:r>
      <w:r>
        <w:rPr>
          <w:rFonts w:hint="eastAsia" w:ascii="宋体" w:hAnsi="宋体"/>
          <w:b/>
          <w:color w:val="auto"/>
          <w:sz w:val="52"/>
          <w:szCs w:val="52"/>
          <w:highlight w:val="none"/>
        </w:rPr>
        <w:t>应</w:t>
      </w:r>
      <w:r>
        <w:rPr>
          <w:rFonts w:ascii="宋体" w:hAnsi="宋体"/>
          <w:b/>
          <w:color w:val="auto"/>
          <w:sz w:val="52"/>
          <w:szCs w:val="52"/>
          <w:highlight w:val="none"/>
        </w:rPr>
        <w:t xml:space="preserve">  文  件</w:t>
      </w:r>
    </w:p>
    <w:p w14:paraId="61552121">
      <w:pPr>
        <w:jc w:val="center"/>
        <w:rPr>
          <w:rFonts w:eastAsia="黑体"/>
          <w:color w:val="auto"/>
          <w:sz w:val="28"/>
          <w:szCs w:val="28"/>
          <w:highlight w:val="none"/>
        </w:rPr>
      </w:pPr>
    </w:p>
    <w:p w14:paraId="2D60A4EE">
      <w:pPr>
        <w:rPr>
          <w:rFonts w:eastAsia="黑体"/>
          <w:color w:val="auto"/>
          <w:sz w:val="28"/>
          <w:szCs w:val="28"/>
          <w:highlight w:val="none"/>
        </w:rPr>
      </w:pPr>
    </w:p>
    <w:p w14:paraId="09966128">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3A05E5C2">
      <w:pPr>
        <w:rPr>
          <w:rFonts w:eastAsia="黑体"/>
          <w:color w:val="auto"/>
          <w:sz w:val="28"/>
          <w:szCs w:val="28"/>
          <w:highlight w:val="none"/>
        </w:rPr>
      </w:pPr>
    </w:p>
    <w:p w14:paraId="3C8D8C4A">
      <w:pPr>
        <w:rPr>
          <w:rFonts w:eastAsia="黑体"/>
          <w:color w:val="auto"/>
          <w:sz w:val="28"/>
          <w:szCs w:val="28"/>
          <w:highlight w:val="none"/>
        </w:rPr>
      </w:pPr>
    </w:p>
    <w:p w14:paraId="665B2FF7">
      <w:pPr>
        <w:rPr>
          <w:rFonts w:eastAsia="黑体"/>
          <w:color w:val="auto"/>
          <w:sz w:val="28"/>
          <w:szCs w:val="28"/>
          <w:highlight w:val="none"/>
        </w:rPr>
      </w:pPr>
    </w:p>
    <w:p w14:paraId="3DEF572E">
      <w:pPr>
        <w:rPr>
          <w:rFonts w:eastAsia="黑体"/>
          <w:color w:val="auto"/>
          <w:sz w:val="28"/>
          <w:szCs w:val="28"/>
          <w:highlight w:val="none"/>
        </w:rPr>
      </w:pPr>
    </w:p>
    <w:p w14:paraId="5A6D8F89">
      <w:pPr>
        <w:rPr>
          <w:rFonts w:eastAsia="黑体"/>
          <w:color w:val="auto"/>
          <w:sz w:val="28"/>
          <w:szCs w:val="28"/>
          <w:highlight w:val="none"/>
        </w:rPr>
      </w:pPr>
    </w:p>
    <w:p w14:paraId="40CA0DFF">
      <w:pPr>
        <w:rPr>
          <w:rFonts w:eastAsia="黑体"/>
          <w:color w:val="auto"/>
          <w:sz w:val="28"/>
          <w:szCs w:val="28"/>
          <w:highlight w:val="none"/>
        </w:rPr>
      </w:pPr>
    </w:p>
    <w:p w14:paraId="46A4C988">
      <w:pPr>
        <w:spacing w:line="360" w:lineRule="auto"/>
        <w:jc w:val="center"/>
        <w:rPr>
          <w:rFonts w:eastAsia="黑体"/>
          <w:color w:val="auto"/>
          <w:sz w:val="28"/>
          <w:szCs w:val="28"/>
          <w:highlight w:val="none"/>
          <w:u w:val="single"/>
        </w:rPr>
      </w:pPr>
      <w:r>
        <w:rPr>
          <w:rFonts w:eastAsia="黑体"/>
          <w:color w:val="auto"/>
          <w:sz w:val="28"/>
          <w:szCs w:val="28"/>
          <w:highlight w:val="none"/>
        </w:rPr>
        <w:t>响应人：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（盖单位</w:t>
      </w:r>
      <w:r>
        <w:rPr>
          <w:rFonts w:hint="eastAsia" w:eastAsia="黑体"/>
          <w:color w:val="auto"/>
          <w:sz w:val="28"/>
          <w:szCs w:val="28"/>
          <w:highlight w:val="none"/>
        </w:rPr>
        <w:t>公</w:t>
      </w:r>
      <w:r>
        <w:rPr>
          <w:rFonts w:eastAsia="黑体"/>
          <w:color w:val="auto"/>
          <w:sz w:val="28"/>
          <w:szCs w:val="28"/>
          <w:highlight w:val="none"/>
        </w:rPr>
        <w:t>章）</w:t>
      </w:r>
    </w:p>
    <w:p w14:paraId="6926E053">
      <w:pPr>
        <w:spacing w:line="360" w:lineRule="auto"/>
        <w:jc w:val="center"/>
        <w:rPr>
          <w:rFonts w:eastAsia="黑体"/>
          <w:color w:val="auto"/>
          <w:sz w:val="28"/>
          <w:szCs w:val="28"/>
          <w:highlight w:val="none"/>
        </w:rPr>
      </w:pPr>
      <w:r>
        <w:rPr>
          <w:rFonts w:eastAsia="黑体"/>
          <w:color w:val="auto"/>
          <w:sz w:val="28"/>
          <w:szCs w:val="28"/>
          <w:highlight w:val="none"/>
        </w:rPr>
        <w:t>法定代表人或其委托代理人：</w:t>
      </w:r>
      <w:r>
        <w:rPr>
          <w:rFonts w:eastAsia="黑体"/>
          <w:color w:val="auto"/>
          <w:sz w:val="28"/>
          <w:szCs w:val="28"/>
          <w:highlight w:val="none"/>
          <w:u w:val="single"/>
        </w:rPr>
        <w:t xml:space="preserve">         </w:t>
      </w:r>
      <w:r>
        <w:rPr>
          <w:rFonts w:eastAsia="黑体"/>
          <w:color w:val="auto"/>
          <w:sz w:val="28"/>
          <w:szCs w:val="28"/>
          <w:highlight w:val="none"/>
          <w:u w:val="none"/>
        </w:rPr>
        <w:t>（签字</w:t>
      </w:r>
      <w:r>
        <w:rPr>
          <w:rFonts w:hint="eastAsia" w:eastAsia="黑体"/>
          <w:color w:val="auto"/>
          <w:sz w:val="28"/>
          <w:szCs w:val="28"/>
          <w:highlight w:val="none"/>
          <w:u w:val="none"/>
          <w:lang w:val="en-US" w:eastAsia="zh-CN"/>
        </w:rPr>
        <w:t>或盖章</w:t>
      </w:r>
      <w:r>
        <w:rPr>
          <w:rFonts w:eastAsia="黑体"/>
          <w:color w:val="auto"/>
          <w:sz w:val="28"/>
          <w:szCs w:val="28"/>
          <w:highlight w:val="none"/>
          <w:u w:val="none"/>
        </w:rPr>
        <w:t>）</w:t>
      </w:r>
    </w:p>
    <w:p w14:paraId="5E17E857">
      <w:pPr>
        <w:spacing w:line="360" w:lineRule="auto"/>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3D8A0C78">
      <w:pPr>
        <w:jc w:val="center"/>
        <w:rPr>
          <w:rFonts w:eastAsia="黑体"/>
          <w:color w:val="auto"/>
          <w:sz w:val="28"/>
          <w:szCs w:val="28"/>
          <w:highlight w:val="none"/>
        </w:rPr>
      </w:pPr>
    </w:p>
    <w:p w14:paraId="01335BEE">
      <w:pPr>
        <w:widowControl/>
        <w:jc w:val="left"/>
        <w:rPr>
          <w:color w:val="auto"/>
          <w:highlight w:val="none"/>
        </w:rPr>
      </w:pPr>
      <w:r>
        <w:rPr>
          <w:color w:val="auto"/>
          <w:highlight w:val="none"/>
        </w:rPr>
        <w:br w:type="page"/>
      </w:r>
    </w:p>
    <w:p w14:paraId="58926A9C">
      <w:pPr>
        <w:pStyle w:val="3"/>
        <w:jc w:val="center"/>
        <w:rPr>
          <w:rFonts w:ascii="黑体" w:hAnsi="宋体"/>
          <w:b w:val="0"/>
          <w:color w:val="auto"/>
          <w:szCs w:val="28"/>
          <w:highlight w:val="none"/>
        </w:rPr>
      </w:pPr>
      <w:bookmarkStart w:id="347" w:name="_Toc754"/>
      <w:r>
        <w:rPr>
          <w:color w:val="auto"/>
          <w:highlight w:val="none"/>
        </w:rPr>
        <w:fldChar w:fldCharType="begin"/>
      </w:r>
      <w:r>
        <w:rPr>
          <w:color w:val="auto"/>
          <w:highlight w:val="none"/>
        </w:rPr>
        <w:instrText xml:space="preserve"> HYPERLINK \l "_Toc338661805" </w:instrText>
      </w:r>
      <w:r>
        <w:rPr>
          <w:color w:val="auto"/>
          <w:highlight w:val="none"/>
        </w:rPr>
        <w:fldChar w:fldCharType="separate"/>
      </w:r>
      <w:bookmarkStart w:id="348" w:name="_Toc475407552"/>
      <w:r>
        <w:rPr>
          <w:rFonts w:hint="eastAsia" w:ascii="黑体" w:hAnsi="宋体"/>
          <w:b w:val="0"/>
          <w:color w:val="auto"/>
          <w:szCs w:val="28"/>
          <w:highlight w:val="none"/>
        </w:rPr>
        <w:t>目    录</w:t>
      </w:r>
      <w:bookmarkEnd w:id="348"/>
      <w:r>
        <w:rPr>
          <w:rFonts w:hint="eastAsia" w:ascii="黑体" w:hAnsi="宋体"/>
          <w:b w:val="0"/>
          <w:color w:val="auto"/>
          <w:szCs w:val="28"/>
          <w:highlight w:val="none"/>
        </w:rPr>
        <w:fldChar w:fldCharType="end"/>
      </w:r>
      <w:bookmarkEnd w:id="347"/>
    </w:p>
    <w:p w14:paraId="0A1B761E">
      <w:pPr>
        <w:spacing w:line="540" w:lineRule="exact"/>
        <w:rPr>
          <w:rFonts w:eastAsia="黑体"/>
          <w:color w:val="auto"/>
          <w:sz w:val="20"/>
          <w:szCs w:val="20"/>
          <w:highlight w:val="none"/>
        </w:rPr>
      </w:pPr>
      <w:r>
        <w:rPr>
          <w:color w:val="auto"/>
          <w:highlight w:val="none"/>
        </w:rPr>
        <w:br w:type="page"/>
      </w:r>
    </w:p>
    <w:p w14:paraId="0E126B4D">
      <w:pPr>
        <w:pStyle w:val="3"/>
        <w:keepNext/>
        <w:keepLines/>
        <w:pageBreakBefore w:val="0"/>
        <w:widowControl w:val="0"/>
        <w:kinsoku/>
        <w:wordWrap/>
        <w:overflowPunct/>
        <w:topLinePunct w:val="0"/>
        <w:autoSpaceDE/>
        <w:autoSpaceDN/>
        <w:bidi w:val="0"/>
        <w:adjustRightInd/>
        <w:snapToGrid/>
        <w:spacing w:before="0" w:after="0" w:line="416" w:lineRule="auto"/>
        <w:jc w:val="center"/>
        <w:textAlignment w:val="auto"/>
        <w:rPr>
          <w:color w:val="auto"/>
          <w:highlight w:val="none"/>
        </w:rPr>
      </w:pPr>
      <w:bookmarkStart w:id="349" w:name="_Toc152042577"/>
      <w:bookmarkStart w:id="350" w:name="_Toc247085874"/>
      <w:bookmarkStart w:id="351" w:name="_Toc246996356"/>
      <w:bookmarkStart w:id="352" w:name="_Toc144974857"/>
      <w:bookmarkStart w:id="353" w:name="_Toc246997099"/>
      <w:bookmarkStart w:id="354" w:name="_Toc152045788"/>
      <w:bookmarkStart w:id="355" w:name="_Toc179632808"/>
      <w:bookmarkStart w:id="356" w:name="_Toc5576"/>
      <w:bookmarkStart w:id="357" w:name="_Toc338669152"/>
      <w:r>
        <w:rPr>
          <w:rFonts w:hint="eastAsia"/>
          <w:color w:val="auto"/>
          <w:highlight w:val="none"/>
          <w:lang w:val="en-US" w:eastAsia="zh-CN"/>
        </w:rPr>
        <w:t>一</w:t>
      </w:r>
      <w:r>
        <w:rPr>
          <w:color w:val="auto"/>
          <w:highlight w:val="none"/>
        </w:rPr>
        <w:t>、竞争性谈判</w:t>
      </w:r>
      <w:r>
        <w:rPr>
          <w:rFonts w:hint="eastAsia"/>
          <w:color w:val="auto"/>
          <w:highlight w:val="none"/>
        </w:rPr>
        <w:t>响应</w:t>
      </w:r>
      <w:r>
        <w:rPr>
          <w:color w:val="auto"/>
          <w:highlight w:val="none"/>
        </w:rPr>
        <w:t>函</w:t>
      </w:r>
      <w:bookmarkEnd w:id="349"/>
      <w:bookmarkEnd w:id="350"/>
      <w:bookmarkEnd w:id="351"/>
      <w:bookmarkEnd w:id="352"/>
      <w:bookmarkEnd w:id="353"/>
      <w:bookmarkEnd w:id="354"/>
      <w:bookmarkEnd w:id="355"/>
      <w:bookmarkEnd w:id="356"/>
      <w:bookmarkEnd w:id="357"/>
    </w:p>
    <w:p w14:paraId="34284EF5">
      <w:pPr>
        <w:spacing w:line="400" w:lineRule="exact"/>
        <w:rPr>
          <w:color w:val="auto"/>
          <w:szCs w:val="21"/>
          <w:highlight w:val="none"/>
        </w:rPr>
      </w:pPr>
      <w:r>
        <w:rPr>
          <w:rFonts w:hint="eastAsia"/>
          <w:color w:val="auto"/>
          <w:szCs w:val="21"/>
          <w:highlight w:val="none"/>
        </w:rPr>
        <w:t>致：</w:t>
      </w:r>
      <w:r>
        <w:rPr>
          <w:color w:val="auto"/>
          <w:szCs w:val="21"/>
          <w:highlight w:val="none"/>
          <w:u w:val="single"/>
        </w:rPr>
        <w:t xml:space="preserve">       （采购人名称）</w:t>
      </w:r>
      <w:r>
        <w:rPr>
          <w:rFonts w:hint="eastAsia"/>
          <w:color w:val="auto"/>
          <w:szCs w:val="21"/>
          <w:highlight w:val="none"/>
          <w:u w:val="single"/>
        </w:rPr>
        <w:t xml:space="preserve">        </w:t>
      </w:r>
      <w:r>
        <w:rPr>
          <w:color w:val="auto"/>
          <w:szCs w:val="21"/>
          <w:highlight w:val="none"/>
        </w:rPr>
        <w:t>：</w:t>
      </w:r>
    </w:p>
    <w:p w14:paraId="6F7077D9">
      <w:pPr>
        <w:spacing w:line="400" w:lineRule="exact"/>
        <w:ind w:firstLine="422" w:firstLineChars="200"/>
        <w:rPr>
          <w:color w:val="auto"/>
          <w:szCs w:val="21"/>
          <w:highlight w:val="none"/>
        </w:rPr>
      </w:pPr>
      <w:r>
        <w:rPr>
          <w:b/>
          <w:color w:val="auto"/>
          <w:szCs w:val="21"/>
          <w:highlight w:val="none"/>
          <w:u w:val="single"/>
        </w:rPr>
        <w:t xml:space="preserve"> </w:t>
      </w:r>
      <w:r>
        <w:rPr>
          <w:rFonts w:hint="eastAsia"/>
          <w:color w:val="auto"/>
          <w:szCs w:val="21"/>
          <w:highlight w:val="none"/>
          <w:u w:val="single"/>
        </w:rPr>
        <w:t>（响应人名称）（以下简称我方）</w:t>
      </w:r>
      <w:r>
        <w:rPr>
          <w:color w:val="auto"/>
          <w:szCs w:val="21"/>
          <w:highlight w:val="none"/>
        </w:rPr>
        <w:t>已仔细研究了</w:t>
      </w:r>
      <w:r>
        <w:rPr>
          <w:color w:val="auto"/>
          <w:szCs w:val="21"/>
          <w:highlight w:val="none"/>
          <w:u w:val="single"/>
        </w:rPr>
        <w:t xml:space="preserve"> （项目名称）</w:t>
      </w:r>
      <w:r>
        <w:rPr>
          <w:rFonts w:hint="eastAsia"/>
          <w:color w:val="auto"/>
          <w:szCs w:val="21"/>
          <w:highlight w:val="none"/>
          <w:u w:val="single"/>
        </w:rPr>
        <w:t>（</w:t>
      </w:r>
      <w:r>
        <w:rPr>
          <w:rFonts w:hint="eastAsia"/>
          <w:color w:val="auto"/>
          <w:szCs w:val="21"/>
          <w:highlight w:val="none"/>
          <w:lang w:val="en-US" w:eastAsia="zh-CN"/>
        </w:rPr>
        <w:t>项目</w:t>
      </w:r>
      <w:r>
        <w:rPr>
          <w:rFonts w:hint="eastAsia"/>
          <w:color w:val="auto"/>
          <w:szCs w:val="21"/>
          <w:highlight w:val="none"/>
        </w:rPr>
        <w:t>编号：</w:t>
      </w:r>
      <w:r>
        <w:rPr>
          <w:rFonts w:hint="eastAsia"/>
          <w:color w:val="auto"/>
          <w:szCs w:val="21"/>
          <w:highlight w:val="none"/>
          <w:u w:val="single"/>
        </w:rPr>
        <w:t xml:space="preserve">        ）</w:t>
      </w:r>
      <w:r>
        <w:rPr>
          <w:color w:val="auto"/>
          <w:szCs w:val="21"/>
          <w:highlight w:val="none"/>
        </w:rPr>
        <w:t>竞争性谈判文件的全部内容</w:t>
      </w:r>
      <w:r>
        <w:rPr>
          <w:rFonts w:hint="eastAsia"/>
          <w:color w:val="auto"/>
          <w:szCs w:val="21"/>
          <w:highlight w:val="none"/>
        </w:rPr>
        <w:t>，</w:t>
      </w:r>
      <w:r>
        <w:rPr>
          <w:rFonts w:hAnsi="宋体"/>
          <w:bCs/>
          <w:color w:val="auto"/>
          <w:szCs w:val="21"/>
          <w:highlight w:val="none"/>
        </w:rPr>
        <w:t>包括</w:t>
      </w:r>
      <w:r>
        <w:rPr>
          <w:rFonts w:hint="eastAsia" w:hAnsi="宋体"/>
          <w:bCs/>
          <w:color w:val="auto"/>
          <w:szCs w:val="21"/>
          <w:highlight w:val="none"/>
        </w:rPr>
        <w:t>澄清、</w:t>
      </w:r>
      <w:r>
        <w:rPr>
          <w:rFonts w:hAnsi="宋体"/>
          <w:bCs/>
          <w:color w:val="auto"/>
          <w:szCs w:val="21"/>
          <w:highlight w:val="none"/>
        </w:rPr>
        <w:t>修改文件</w:t>
      </w:r>
      <w:r>
        <w:rPr>
          <w:rFonts w:hint="eastAsia" w:hAnsi="宋体"/>
          <w:bCs/>
          <w:color w:val="auto"/>
          <w:szCs w:val="21"/>
          <w:highlight w:val="none"/>
        </w:rPr>
        <w:t>以</w:t>
      </w:r>
      <w:r>
        <w:rPr>
          <w:rFonts w:hAnsi="宋体"/>
          <w:bCs/>
          <w:color w:val="auto"/>
          <w:szCs w:val="21"/>
          <w:highlight w:val="none"/>
        </w:rPr>
        <w:t>及有关附件</w:t>
      </w:r>
      <w:r>
        <w:rPr>
          <w:color w:val="auto"/>
          <w:szCs w:val="21"/>
          <w:highlight w:val="none"/>
        </w:rPr>
        <w:t>，</w:t>
      </w:r>
      <w:r>
        <w:rPr>
          <w:color w:val="auto"/>
          <w:szCs w:val="21"/>
          <w:highlight w:val="none"/>
          <w:u w:val="single"/>
        </w:rPr>
        <w:t>愿意以</w:t>
      </w:r>
      <w:r>
        <w:rPr>
          <w:rFonts w:hint="eastAsia"/>
          <w:color w:val="auto"/>
          <w:szCs w:val="21"/>
          <w:highlight w:val="none"/>
          <w:u w:val="single"/>
        </w:rPr>
        <w:t>《报价一览表》的价格</w:t>
      </w:r>
      <w:r>
        <w:rPr>
          <w:rFonts w:hint="eastAsia"/>
          <w:color w:val="auto"/>
          <w:szCs w:val="21"/>
          <w:highlight w:val="none"/>
        </w:rPr>
        <w:t>，</w:t>
      </w:r>
      <w:r>
        <w:rPr>
          <w:color w:val="auto"/>
          <w:szCs w:val="21"/>
          <w:highlight w:val="none"/>
        </w:rPr>
        <w:t>按合同约定实施和完成</w:t>
      </w:r>
      <w:r>
        <w:rPr>
          <w:rFonts w:hint="eastAsia"/>
          <w:color w:val="auto"/>
          <w:szCs w:val="21"/>
          <w:highlight w:val="none"/>
        </w:rPr>
        <w:t>上述</w:t>
      </w:r>
      <w:r>
        <w:rPr>
          <w:color w:val="auto"/>
          <w:szCs w:val="21"/>
          <w:highlight w:val="none"/>
        </w:rPr>
        <w:t>项目的相关服务。</w:t>
      </w:r>
    </w:p>
    <w:p w14:paraId="769FB418">
      <w:pPr>
        <w:spacing w:line="400" w:lineRule="exact"/>
        <w:ind w:firstLine="420" w:firstLineChars="200"/>
        <w:rPr>
          <w:color w:val="auto"/>
          <w:szCs w:val="21"/>
          <w:highlight w:val="none"/>
        </w:rPr>
      </w:pPr>
      <w:r>
        <w:rPr>
          <w:rFonts w:hint="eastAsia"/>
          <w:color w:val="auto"/>
          <w:szCs w:val="21"/>
          <w:highlight w:val="none"/>
        </w:rPr>
        <w:t>我方承诺如下内容：</w:t>
      </w:r>
    </w:p>
    <w:p w14:paraId="2B45EC2B">
      <w:pPr>
        <w:spacing w:line="400" w:lineRule="exact"/>
        <w:ind w:firstLine="420" w:firstLineChars="200"/>
        <w:rPr>
          <w:color w:val="auto"/>
          <w:szCs w:val="21"/>
          <w:highlight w:val="none"/>
        </w:rPr>
      </w:pPr>
      <w:r>
        <w:rPr>
          <w:rFonts w:hint="eastAsia"/>
          <w:color w:val="auto"/>
          <w:szCs w:val="21"/>
          <w:highlight w:val="none"/>
        </w:rPr>
        <w:t>1.我方的响应文件包含第二章“竞争性谈判响应须知”第</w:t>
      </w:r>
      <w:r>
        <w:rPr>
          <w:color w:val="auto"/>
          <w:highlight w:val="none"/>
        </w:rPr>
        <w:t>3.1</w:t>
      </w:r>
      <w:r>
        <w:rPr>
          <w:rFonts w:hint="eastAsia"/>
          <w:color w:val="auto"/>
          <w:szCs w:val="21"/>
          <w:highlight w:val="none"/>
        </w:rPr>
        <w:t>款规定的全部内容。</w:t>
      </w:r>
    </w:p>
    <w:p w14:paraId="0EF6ECAE">
      <w:pPr>
        <w:spacing w:line="400" w:lineRule="exact"/>
        <w:ind w:firstLine="420" w:firstLineChars="200"/>
        <w:rPr>
          <w:color w:val="auto"/>
          <w:szCs w:val="21"/>
          <w:highlight w:val="none"/>
        </w:rPr>
      </w:pPr>
      <w:r>
        <w:rPr>
          <w:rFonts w:hint="eastAsia"/>
          <w:color w:val="auto"/>
          <w:szCs w:val="21"/>
          <w:highlight w:val="none"/>
        </w:rPr>
        <w:t>2.</w:t>
      </w:r>
      <w:r>
        <w:rPr>
          <w:color w:val="auto"/>
          <w:szCs w:val="21"/>
          <w:highlight w:val="none"/>
        </w:rPr>
        <w:t>我方承诺在</w:t>
      </w:r>
      <w:r>
        <w:rPr>
          <w:rFonts w:hint="eastAsia"/>
          <w:color w:val="auto"/>
          <w:szCs w:val="21"/>
          <w:highlight w:val="none"/>
        </w:rPr>
        <w:t>竞争性谈判文件规定的</w:t>
      </w:r>
      <w:r>
        <w:rPr>
          <w:color w:val="auto"/>
          <w:szCs w:val="21"/>
          <w:highlight w:val="none"/>
        </w:rPr>
        <w:t>竞争性谈判有效期</w:t>
      </w:r>
      <w:r>
        <w:rPr>
          <w:rFonts w:hint="eastAsia"/>
          <w:color w:val="auto"/>
          <w:szCs w:val="21"/>
          <w:highlight w:val="none"/>
        </w:rPr>
        <w:t>（竞争性谈判有效期为</w:t>
      </w:r>
      <w:r>
        <w:rPr>
          <w:rFonts w:hint="eastAsia"/>
          <w:color w:val="auto"/>
          <w:szCs w:val="21"/>
          <w:highlight w:val="none"/>
          <w:u w:val="single"/>
          <w:lang w:val="en-US" w:eastAsia="zh-CN"/>
        </w:rPr>
        <w:t>90</w:t>
      </w:r>
      <w:r>
        <w:rPr>
          <w:rFonts w:hint="eastAsia"/>
          <w:color w:val="auto"/>
          <w:szCs w:val="21"/>
          <w:highlight w:val="none"/>
        </w:rPr>
        <w:t>天）</w:t>
      </w:r>
      <w:r>
        <w:rPr>
          <w:color w:val="auto"/>
          <w:szCs w:val="21"/>
          <w:highlight w:val="none"/>
        </w:rPr>
        <w:t>内不修改、撤销响应文件。</w:t>
      </w:r>
    </w:p>
    <w:p w14:paraId="2B4A39B7">
      <w:pPr>
        <w:spacing w:line="400" w:lineRule="exact"/>
        <w:ind w:firstLine="420" w:firstLineChars="200"/>
        <w:jc w:val="left"/>
        <w:rPr>
          <w:color w:val="auto"/>
          <w:szCs w:val="21"/>
          <w:highlight w:val="none"/>
        </w:rPr>
      </w:pPr>
      <w:r>
        <w:rPr>
          <w:rFonts w:hint="eastAsia"/>
          <w:color w:val="auto"/>
          <w:szCs w:val="21"/>
          <w:highlight w:val="none"/>
        </w:rPr>
        <w:t>3.</w:t>
      </w:r>
      <w:r>
        <w:rPr>
          <w:color w:val="auto"/>
          <w:szCs w:val="21"/>
          <w:highlight w:val="none"/>
        </w:rPr>
        <w:t>随同本竞争性谈判响应函提交竞争性谈判保证金一份，金额为人民币（大写）</w:t>
      </w:r>
      <w:r>
        <w:rPr>
          <w:color w:val="auto"/>
          <w:szCs w:val="21"/>
          <w:highlight w:val="none"/>
          <w:u w:val="single"/>
        </w:rPr>
        <w:t xml:space="preserve">        </w:t>
      </w:r>
      <w:r>
        <w:rPr>
          <w:color w:val="auto"/>
          <w:szCs w:val="21"/>
          <w:highlight w:val="none"/>
        </w:rPr>
        <w:t>（¥</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w:t>
      </w:r>
    </w:p>
    <w:p w14:paraId="48D9CD63">
      <w:pPr>
        <w:spacing w:line="400" w:lineRule="exact"/>
        <w:ind w:firstLine="420" w:firstLineChars="200"/>
        <w:rPr>
          <w:color w:val="auto"/>
          <w:szCs w:val="21"/>
          <w:highlight w:val="none"/>
        </w:rPr>
      </w:pPr>
      <w:r>
        <w:rPr>
          <w:rFonts w:hint="eastAsia"/>
          <w:color w:val="auto"/>
          <w:szCs w:val="21"/>
          <w:highlight w:val="none"/>
        </w:rPr>
        <w:t>4.我方在评审过程中根据谈判小组要求提供的符合相关规定的澄清文件，构成响应文件的组成部分。</w:t>
      </w:r>
    </w:p>
    <w:p w14:paraId="5179C313">
      <w:pPr>
        <w:spacing w:line="400" w:lineRule="exact"/>
        <w:ind w:firstLine="420" w:firstLineChars="200"/>
        <w:rPr>
          <w:color w:val="auto"/>
          <w:szCs w:val="21"/>
          <w:highlight w:val="none"/>
        </w:rPr>
      </w:pPr>
      <w:r>
        <w:rPr>
          <w:rFonts w:hint="eastAsia"/>
          <w:color w:val="auto"/>
          <w:szCs w:val="21"/>
          <w:highlight w:val="none"/>
        </w:rPr>
        <w:t>5.我方同意提供贵方可能要求的与竞争性谈判有关的一切数据或者资料，并完全理解贵方不一定接受最低价的竞争性谈判。</w:t>
      </w:r>
    </w:p>
    <w:p w14:paraId="2AA0681B">
      <w:pPr>
        <w:spacing w:line="400" w:lineRule="exact"/>
        <w:ind w:firstLine="420" w:firstLineChars="200"/>
        <w:rPr>
          <w:color w:val="auto"/>
          <w:szCs w:val="21"/>
          <w:highlight w:val="none"/>
        </w:rPr>
      </w:pPr>
      <w:r>
        <w:rPr>
          <w:rFonts w:hint="eastAsia"/>
          <w:color w:val="auto"/>
          <w:szCs w:val="21"/>
          <w:highlight w:val="none"/>
        </w:rPr>
        <w:t>6.我方承诺不向第三方透露与竞争性谈判相关的所有信息。</w:t>
      </w:r>
    </w:p>
    <w:p w14:paraId="22062EB3">
      <w:pPr>
        <w:spacing w:line="400" w:lineRule="exact"/>
        <w:ind w:firstLine="420" w:firstLineChars="200"/>
        <w:rPr>
          <w:color w:val="auto"/>
          <w:szCs w:val="21"/>
          <w:highlight w:val="none"/>
        </w:rPr>
      </w:pPr>
      <w:r>
        <w:rPr>
          <w:rFonts w:hint="eastAsia"/>
          <w:color w:val="auto"/>
          <w:szCs w:val="21"/>
          <w:highlight w:val="none"/>
        </w:rPr>
        <w:t>7.</w:t>
      </w:r>
      <w:r>
        <w:rPr>
          <w:color w:val="auto"/>
          <w:szCs w:val="21"/>
          <w:highlight w:val="none"/>
        </w:rPr>
        <w:t>如我方成交：</w:t>
      </w:r>
    </w:p>
    <w:p w14:paraId="12269100">
      <w:pPr>
        <w:spacing w:line="400" w:lineRule="exact"/>
        <w:ind w:firstLine="422" w:firstLineChars="201"/>
        <w:rPr>
          <w:color w:val="auto"/>
          <w:szCs w:val="21"/>
          <w:highlight w:val="none"/>
        </w:rPr>
      </w:pPr>
      <w:r>
        <w:rPr>
          <w:color w:val="auto"/>
          <w:szCs w:val="21"/>
          <w:highlight w:val="none"/>
        </w:rPr>
        <w:t>（1）我方承诺在收到成交通知书后，在成交通知书规定的期限内与你方签订合同。</w:t>
      </w:r>
    </w:p>
    <w:p w14:paraId="54FC053E">
      <w:pPr>
        <w:spacing w:line="400" w:lineRule="exact"/>
        <w:ind w:firstLine="422" w:firstLineChars="201"/>
        <w:rPr>
          <w:color w:val="auto"/>
          <w:szCs w:val="21"/>
          <w:highlight w:val="none"/>
        </w:rPr>
      </w:pPr>
      <w:r>
        <w:rPr>
          <w:color w:val="auto"/>
          <w:szCs w:val="21"/>
          <w:highlight w:val="none"/>
        </w:rPr>
        <w:t>（2）我方承诺按照竞争性谈判文件规定递交履约担保。</w:t>
      </w:r>
    </w:p>
    <w:p w14:paraId="111C703C">
      <w:pPr>
        <w:spacing w:line="400" w:lineRule="exact"/>
        <w:ind w:firstLine="422" w:firstLineChars="201"/>
        <w:rPr>
          <w:color w:val="auto"/>
          <w:szCs w:val="21"/>
          <w:highlight w:val="none"/>
        </w:rPr>
      </w:pPr>
      <w:r>
        <w:rPr>
          <w:rFonts w:hint="eastAsia"/>
          <w:color w:val="auto"/>
          <w:szCs w:val="21"/>
          <w:highlight w:val="none"/>
        </w:rPr>
        <w:t>（3）按照竞争性谈判文件的规定及合同约定履行相关责任和义务。</w:t>
      </w:r>
    </w:p>
    <w:p w14:paraId="742099DF">
      <w:pPr>
        <w:spacing w:line="400" w:lineRule="exact"/>
        <w:ind w:firstLine="420" w:firstLineChars="200"/>
        <w:rPr>
          <w:b/>
          <w:color w:val="auto"/>
          <w:szCs w:val="21"/>
          <w:highlight w:val="none"/>
        </w:rPr>
      </w:pPr>
      <w:r>
        <w:rPr>
          <w:rFonts w:hint="eastAsia"/>
          <w:color w:val="auto"/>
          <w:highlight w:val="none"/>
        </w:rPr>
        <w:t>我方在此声明，所递交的响应文件以及有关资料内容完整、真实和准确，且不存在第二章“竞争性谈判响应须知”第1.</w:t>
      </w:r>
      <w:r>
        <w:rPr>
          <w:color w:val="auto"/>
          <w:highlight w:val="none"/>
        </w:rPr>
        <w:t>7</w:t>
      </w:r>
      <w:r>
        <w:rPr>
          <w:rFonts w:hint="eastAsia"/>
          <w:color w:val="auto"/>
          <w:highlight w:val="none"/>
        </w:rPr>
        <w:t>款规定的任何一种情形。</w:t>
      </w:r>
      <w:r>
        <w:rPr>
          <w:rFonts w:hAnsi="宋体"/>
          <w:bCs/>
          <w:color w:val="auto"/>
          <w:szCs w:val="21"/>
          <w:highlight w:val="none"/>
        </w:rPr>
        <w:t>如有弄虚作假，将承担相应的法律责任，并赔偿由此造成的一切损失。</w:t>
      </w:r>
    </w:p>
    <w:p w14:paraId="63B0DE80">
      <w:pPr>
        <w:spacing w:line="400" w:lineRule="exact"/>
        <w:ind w:firstLine="420" w:firstLineChars="200"/>
        <w:rPr>
          <w:color w:val="auto"/>
          <w:szCs w:val="21"/>
          <w:highlight w:val="none"/>
        </w:rPr>
      </w:pPr>
      <w:r>
        <w:rPr>
          <w:rFonts w:hint="eastAsia"/>
          <w:color w:val="auto"/>
          <w:szCs w:val="21"/>
          <w:highlight w:val="none"/>
        </w:rPr>
        <w:t>8．</w:t>
      </w:r>
      <w:r>
        <w:rPr>
          <w:color w:val="auto"/>
          <w:szCs w:val="21"/>
          <w:highlight w:val="none"/>
          <w:u w:val="single"/>
        </w:rPr>
        <w:t xml:space="preserve">    （</w:t>
      </w:r>
      <w:r>
        <w:rPr>
          <w:rFonts w:hint="eastAsia"/>
          <w:color w:val="auto"/>
          <w:szCs w:val="21"/>
          <w:highlight w:val="none"/>
          <w:u w:val="single"/>
        </w:rPr>
        <w:t>其他</w:t>
      </w:r>
      <w:r>
        <w:rPr>
          <w:color w:val="auto"/>
          <w:szCs w:val="21"/>
          <w:highlight w:val="none"/>
          <w:u w:val="single"/>
        </w:rPr>
        <w:t xml:space="preserve">补充说明）         </w:t>
      </w:r>
      <w:r>
        <w:rPr>
          <w:color w:val="auto"/>
          <w:szCs w:val="21"/>
          <w:highlight w:val="none"/>
        </w:rPr>
        <w:t>。</w:t>
      </w:r>
    </w:p>
    <w:p w14:paraId="3DC9E772">
      <w:pPr>
        <w:spacing w:line="400" w:lineRule="exact"/>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7F0E52F3">
      <w:pPr>
        <w:spacing w:line="400" w:lineRule="exact"/>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rFonts w:hAnsi="宋体"/>
          <w:color w:val="auto"/>
          <w:szCs w:val="21"/>
          <w:highlight w:val="none"/>
        </w:rPr>
        <w:t>（签字</w:t>
      </w:r>
      <w:r>
        <w:rPr>
          <w:rFonts w:hint="eastAsia" w:hAnsi="宋体"/>
          <w:color w:val="auto"/>
          <w:szCs w:val="21"/>
          <w:highlight w:val="none"/>
          <w:lang w:val="en-US" w:eastAsia="zh-CN"/>
        </w:rPr>
        <w:t>或盖章</w:t>
      </w:r>
      <w:r>
        <w:rPr>
          <w:rFonts w:hAnsi="宋体"/>
          <w:color w:val="auto"/>
          <w:szCs w:val="21"/>
          <w:highlight w:val="none"/>
        </w:rPr>
        <w:t>）</w:t>
      </w:r>
    </w:p>
    <w:p w14:paraId="2CB5BFC3">
      <w:pPr>
        <w:spacing w:line="400" w:lineRule="exact"/>
        <w:ind w:firstLine="3675" w:firstLineChars="1750"/>
        <w:rPr>
          <w:color w:val="auto"/>
          <w:szCs w:val="21"/>
          <w:highlight w:val="none"/>
        </w:rPr>
      </w:pPr>
      <w:r>
        <w:rPr>
          <w:color w:val="auto"/>
          <w:szCs w:val="21"/>
          <w:highlight w:val="none"/>
        </w:rPr>
        <w:t>地址：</w:t>
      </w:r>
      <w:r>
        <w:rPr>
          <w:color w:val="auto"/>
          <w:szCs w:val="21"/>
          <w:highlight w:val="none"/>
          <w:u w:val="single"/>
        </w:rPr>
        <w:t xml:space="preserve">                                     </w:t>
      </w:r>
    </w:p>
    <w:p w14:paraId="61FB5EE4">
      <w:pPr>
        <w:spacing w:line="400" w:lineRule="exact"/>
        <w:ind w:firstLine="3675" w:firstLineChars="1750"/>
        <w:rPr>
          <w:color w:val="auto"/>
          <w:szCs w:val="21"/>
          <w:highlight w:val="none"/>
          <w:u w:val="single"/>
        </w:rPr>
      </w:pPr>
      <w:r>
        <w:rPr>
          <w:color w:val="auto"/>
          <w:szCs w:val="21"/>
          <w:highlight w:val="none"/>
        </w:rPr>
        <w:t>邮政编码：</w:t>
      </w:r>
      <w:r>
        <w:rPr>
          <w:color w:val="auto"/>
          <w:szCs w:val="21"/>
          <w:highlight w:val="none"/>
          <w:u w:val="single"/>
        </w:rPr>
        <w:t xml:space="preserve">                                 </w:t>
      </w:r>
    </w:p>
    <w:p w14:paraId="1069CFA2">
      <w:pPr>
        <w:spacing w:line="400" w:lineRule="exact"/>
        <w:ind w:firstLine="3675" w:firstLineChars="1750"/>
        <w:rPr>
          <w:color w:val="auto"/>
          <w:szCs w:val="21"/>
          <w:highlight w:val="none"/>
        </w:rPr>
      </w:pPr>
      <w:r>
        <w:rPr>
          <w:color w:val="auto"/>
          <w:szCs w:val="21"/>
          <w:highlight w:val="none"/>
        </w:rPr>
        <w:t>电话：</w:t>
      </w:r>
      <w:r>
        <w:rPr>
          <w:color w:val="auto"/>
          <w:szCs w:val="21"/>
          <w:highlight w:val="none"/>
          <w:u w:val="single"/>
        </w:rPr>
        <w:t xml:space="preserve">                                     </w:t>
      </w:r>
    </w:p>
    <w:p w14:paraId="06DE3B06">
      <w:pPr>
        <w:spacing w:line="400" w:lineRule="exact"/>
        <w:ind w:firstLine="3675" w:firstLineChars="1750"/>
        <w:rPr>
          <w:color w:val="auto"/>
          <w:szCs w:val="21"/>
          <w:highlight w:val="none"/>
        </w:rPr>
      </w:pPr>
      <w:r>
        <w:rPr>
          <w:color w:val="auto"/>
          <w:szCs w:val="21"/>
          <w:highlight w:val="none"/>
        </w:rPr>
        <w:t>传真：</w:t>
      </w:r>
      <w:r>
        <w:rPr>
          <w:color w:val="auto"/>
          <w:szCs w:val="21"/>
          <w:highlight w:val="none"/>
          <w:u w:val="single"/>
        </w:rPr>
        <w:t xml:space="preserve">                                     </w:t>
      </w:r>
    </w:p>
    <w:p w14:paraId="6E76A57B">
      <w:pPr>
        <w:spacing w:line="400" w:lineRule="exact"/>
        <w:ind w:firstLine="3675" w:firstLineChars="1750"/>
        <w:rPr>
          <w:color w:val="auto"/>
          <w:szCs w:val="21"/>
          <w:highlight w:val="none"/>
        </w:rPr>
      </w:pPr>
      <w:r>
        <w:rPr>
          <w:rFonts w:hint="eastAsia"/>
          <w:color w:val="auto"/>
          <w:szCs w:val="21"/>
          <w:highlight w:val="none"/>
        </w:rPr>
        <w:t>电子邮箱</w:t>
      </w:r>
      <w:r>
        <w:rPr>
          <w:color w:val="auto"/>
          <w:szCs w:val="21"/>
          <w:highlight w:val="none"/>
        </w:rPr>
        <w:t>：</w:t>
      </w:r>
      <w:r>
        <w:rPr>
          <w:color w:val="auto"/>
          <w:szCs w:val="21"/>
          <w:highlight w:val="none"/>
          <w:u w:val="single"/>
        </w:rPr>
        <w:t xml:space="preserve">                                 </w:t>
      </w:r>
    </w:p>
    <w:p w14:paraId="1F50B1B8">
      <w:pPr>
        <w:spacing w:line="440" w:lineRule="exact"/>
        <w:jc w:val="right"/>
        <w:rPr>
          <w:rFonts w:eastAsia="黑体"/>
          <w:color w:val="auto"/>
          <w:szCs w:val="21"/>
          <w:highlight w:val="none"/>
        </w:rPr>
      </w:pP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6B236352">
      <w:pPr>
        <w:spacing w:line="440" w:lineRule="exact"/>
        <w:rPr>
          <w:rFonts w:eastAsia="黑体"/>
          <w:color w:val="auto"/>
          <w:sz w:val="20"/>
          <w:szCs w:val="20"/>
          <w:highlight w:val="none"/>
        </w:rPr>
      </w:pPr>
      <w:r>
        <w:rPr>
          <w:rFonts w:eastAsia="黑体"/>
          <w:color w:val="auto"/>
          <w:sz w:val="20"/>
          <w:szCs w:val="20"/>
          <w:highlight w:val="none"/>
        </w:rPr>
        <w:br w:type="page"/>
      </w:r>
    </w:p>
    <w:p w14:paraId="3E62407D">
      <w:pPr>
        <w:pStyle w:val="3"/>
        <w:jc w:val="center"/>
        <w:rPr>
          <w:rFonts w:hint="eastAsia"/>
          <w:b/>
          <w:bCs/>
          <w:color w:val="000000"/>
          <w:sz w:val="28"/>
          <w:szCs w:val="28"/>
          <w:highlight w:val="none"/>
        </w:rPr>
      </w:pPr>
      <w:bookmarkStart w:id="358" w:name="_Toc475483723"/>
      <w:bookmarkStart w:id="359" w:name="_Toc32422"/>
      <w:r>
        <w:rPr>
          <w:rFonts w:hint="eastAsia" w:ascii="黑体"/>
          <w:b w:val="0"/>
          <w:color w:val="auto"/>
          <w:highlight w:val="none"/>
          <w:lang w:val="en-US" w:eastAsia="zh-CN"/>
        </w:rPr>
        <w:t>二、声明函</w:t>
      </w:r>
    </w:p>
    <w:p w14:paraId="47D2D4CA">
      <w:pPr>
        <w:pStyle w:val="23"/>
        <w:spacing w:line="360" w:lineRule="auto"/>
        <w:jc w:val="center"/>
        <w:rPr>
          <w:rFonts w:hAnsi="宋体"/>
          <w:color w:val="000000"/>
          <w:highlight w:val="none"/>
        </w:rPr>
      </w:pPr>
    </w:p>
    <w:p w14:paraId="7510C677">
      <w:pPr>
        <w:pStyle w:val="23"/>
        <w:spacing w:line="360" w:lineRule="auto"/>
        <w:rPr>
          <w:rFonts w:hint="eastAsia" w:hAnsi="宋体"/>
          <w:color w:val="000000"/>
          <w:highlight w:val="none"/>
        </w:rPr>
      </w:pPr>
      <w:r>
        <w:rPr>
          <w:rFonts w:hint="eastAsia" w:hAnsi="宋体"/>
          <w:color w:val="000000"/>
          <w:highlight w:val="none"/>
        </w:rPr>
        <w:t>致</w:t>
      </w:r>
      <w:r>
        <w:rPr>
          <w:rFonts w:hint="eastAsia" w:hAnsi="宋体"/>
          <w:color w:val="000000"/>
          <w:highlight w:val="none"/>
          <w:lang w:eastAsia="zh-CN"/>
        </w:rPr>
        <w:t>：</w:t>
      </w:r>
      <w:r>
        <w:rPr>
          <w:rFonts w:hint="eastAsia" w:hAnsi="宋体"/>
          <w:color w:val="000000"/>
          <w:highlight w:val="none"/>
        </w:rPr>
        <w:t>东莞迎宾馆酒店有限公司松山湖分公司</w:t>
      </w:r>
    </w:p>
    <w:p w14:paraId="7C9F8722">
      <w:pPr>
        <w:pStyle w:val="23"/>
        <w:spacing w:line="360" w:lineRule="auto"/>
        <w:ind w:firstLine="420"/>
        <w:rPr>
          <w:rFonts w:hint="eastAsia" w:hAnsi="宋体"/>
          <w:color w:val="000000"/>
          <w:highlight w:val="none"/>
        </w:rPr>
      </w:pPr>
      <w:r>
        <w:rPr>
          <w:rFonts w:hint="eastAsia" w:hAnsi="宋体"/>
          <w:color w:val="000000"/>
          <w:highlight w:val="none"/>
        </w:rPr>
        <w:t>关于贵公司</w:t>
      </w:r>
      <w:r>
        <w:rPr>
          <w:rFonts w:hint="eastAsia" w:hAnsi="宋体"/>
          <w:color w:val="000000"/>
          <w:highlight w:val="none"/>
          <w:u w:val="single"/>
        </w:rPr>
        <w:t xml:space="preserve">    </w:t>
      </w:r>
      <w:r>
        <w:rPr>
          <w:rFonts w:hint="eastAsia" w:hAnsi="宋体"/>
          <w:color w:val="000000"/>
          <w:highlight w:val="none"/>
        </w:rPr>
        <w:t>年</w:t>
      </w:r>
      <w:r>
        <w:rPr>
          <w:rFonts w:hint="eastAsia" w:hAnsi="宋体"/>
          <w:color w:val="000000"/>
          <w:highlight w:val="none"/>
          <w:u w:val="single"/>
        </w:rPr>
        <w:t xml:space="preserve">    </w:t>
      </w:r>
      <w:r>
        <w:rPr>
          <w:rFonts w:hint="eastAsia" w:hAnsi="宋体"/>
          <w:color w:val="000000"/>
          <w:highlight w:val="none"/>
        </w:rPr>
        <w:t>月</w:t>
      </w:r>
      <w:r>
        <w:rPr>
          <w:rFonts w:hint="eastAsia" w:hAnsi="宋体"/>
          <w:color w:val="000000"/>
          <w:highlight w:val="none"/>
          <w:u w:val="single"/>
        </w:rPr>
        <w:t xml:space="preserve">    </w:t>
      </w:r>
      <w:r>
        <w:rPr>
          <w:rFonts w:hint="eastAsia" w:hAnsi="宋体"/>
          <w:color w:val="000000"/>
          <w:highlight w:val="none"/>
        </w:rPr>
        <w:t>日发布</w:t>
      </w:r>
      <w:r>
        <w:rPr>
          <w:rFonts w:hint="eastAsia" w:hAnsi="宋体"/>
          <w:color w:val="000000"/>
          <w:highlight w:val="none"/>
          <w:u w:val="single"/>
          <w:lang w:val="en-US" w:eastAsia="zh-CN"/>
        </w:rPr>
        <w:t xml:space="preserve"> （项目名称）</w:t>
      </w:r>
      <w:r>
        <w:rPr>
          <w:rFonts w:hint="eastAsia" w:hAnsi="宋体"/>
          <w:color w:val="000000"/>
          <w:highlight w:val="none"/>
        </w:rPr>
        <w:t>（</w:t>
      </w:r>
      <w:r>
        <w:rPr>
          <w:rFonts w:hint="eastAsia" w:hAnsi="宋体"/>
          <w:color w:val="000000"/>
          <w:highlight w:val="none"/>
          <w:lang w:val="en-US" w:eastAsia="zh-CN"/>
        </w:rPr>
        <w:t>项目</w:t>
      </w:r>
      <w:r>
        <w:rPr>
          <w:rFonts w:hint="eastAsia" w:hAnsi="宋体"/>
          <w:color w:val="000000"/>
          <w:highlight w:val="none"/>
        </w:rPr>
        <w:t>编号：</w:t>
      </w:r>
      <w:r>
        <w:rPr>
          <w:rFonts w:hint="eastAsia" w:hAnsi="宋体"/>
          <w:color w:val="000000"/>
          <w:highlight w:val="none"/>
          <w:u w:val="single"/>
        </w:rPr>
        <w:t xml:space="preserve">    </w:t>
      </w:r>
      <w:r>
        <w:rPr>
          <w:rFonts w:hint="eastAsia" w:hAnsi="宋体"/>
          <w:color w:val="000000"/>
          <w:highlight w:val="none"/>
        </w:rPr>
        <w:t>）的</w:t>
      </w:r>
      <w:r>
        <w:rPr>
          <w:rFonts w:hint="eastAsia" w:hAnsi="宋体"/>
          <w:color w:val="000000"/>
          <w:highlight w:val="none"/>
          <w:lang w:val="en-US" w:eastAsia="zh-CN"/>
        </w:rPr>
        <w:t>竞争性谈判公告</w:t>
      </w:r>
      <w:r>
        <w:rPr>
          <w:rFonts w:hint="eastAsia" w:hAnsi="宋体"/>
          <w:color w:val="000000"/>
          <w:highlight w:val="none"/>
        </w:rPr>
        <w:t>，本公司（企业）愿意参加投标，并声明：</w:t>
      </w:r>
    </w:p>
    <w:p w14:paraId="1B09E9F2">
      <w:pPr>
        <w:pStyle w:val="23"/>
        <w:spacing w:line="360" w:lineRule="auto"/>
        <w:ind w:firstLine="420"/>
        <w:rPr>
          <w:rFonts w:hint="eastAsia" w:hAnsi="宋体"/>
          <w:color w:val="000000"/>
          <w:highlight w:val="none"/>
        </w:rPr>
      </w:pPr>
      <w:r>
        <w:rPr>
          <w:rFonts w:hint="eastAsia" w:hAnsi="宋体"/>
          <w:color w:val="000000"/>
          <w:highlight w:val="none"/>
        </w:rPr>
        <w:t>一、本公司（企业）符合以下条件，具体包括：</w:t>
      </w:r>
    </w:p>
    <w:p w14:paraId="2AB1B11C">
      <w:pPr>
        <w:pStyle w:val="23"/>
        <w:spacing w:line="360" w:lineRule="auto"/>
        <w:ind w:firstLine="420"/>
        <w:rPr>
          <w:rFonts w:hint="eastAsia" w:hAnsi="宋体"/>
          <w:color w:val="000000"/>
          <w:highlight w:val="none"/>
        </w:rPr>
      </w:pPr>
      <w:r>
        <w:rPr>
          <w:rFonts w:hint="eastAsia" w:hAnsi="宋体"/>
          <w:color w:val="000000"/>
          <w:highlight w:val="none"/>
        </w:rPr>
        <w:t>（一）具有独立承担民事责任的能力；</w:t>
      </w:r>
    </w:p>
    <w:p w14:paraId="6F332BAE">
      <w:pPr>
        <w:pStyle w:val="23"/>
        <w:spacing w:line="360" w:lineRule="auto"/>
        <w:ind w:firstLine="420"/>
        <w:rPr>
          <w:rFonts w:hint="eastAsia" w:hAnsi="宋体"/>
          <w:color w:val="000000"/>
          <w:highlight w:val="none"/>
        </w:rPr>
      </w:pPr>
      <w:r>
        <w:rPr>
          <w:rFonts w:hint="eastAsia" w:hAnsi="宋体"/>
          <w:color w:val="000000"/>
          <w:highlight w:val="none"/>
        </w:rPr>
        <w:t>（</w:t>
      </w:r>
      <w:r>
        <w:rPr>
          <w:rFonts w:hint="eastAsia" w:hAnsi="宋体"/>
          <w:color w:val="000000"/>
          <w:highlight w:val="none"/>
          <w:lang w:val="en-US" w:eastAsia="zh-CN"/>
        </w:rPr>
        <w:t>二</w:t>
      </w:r>
      <w:r>
        <w:rPr>
          <w:rFonts w:hint="eastAsia" w:hAnsi="宋体"/>
          <w:color w:val="000000"/>
          <w:highlight w:val="none"/>
        </w:rPr>
        <w:t>）参加采购活动前三年内，在经营活动中没有重大违法记录；</w:t>
      </w:r>
    </w:p>
    <w:p w14:paraId="170DDAD4">
      <w:pPr>
        <w:pStyle w:val="23"/>
        <w:spacing w:line="360" w:lineRule="auto"/>
        <w:ind w:firstLine="420"/>
        <w:rPr>
          <w:rFonts w:hint="eastAsia" w:hAnsi="宋体"/>
          <w:color w:val="000000"/>
          <w:highlight w:val="none"/>
        </w:rPr>
      </w:pPr>
      <w:r>
        <w:rPr>
          <w:rFonts w:hint="eastAsia" w:hAnsi="宋体"/>
          <w:color w:val="000000"/>
          <w:highlight w:val="none"/>
        </w:rPr>
        <w:t>（</w:t>
      </w:r>
      <w:r>
        <w:rPr>
          <w:rFonts w:hint="eastAsia" w:hAnsi="宋体"/>
          <w:color w:val="000000"/>
          <w:highlight w:val="none"/>
          <w:lang w:val="en-US" w:eastAsia="zh-CN"/>
        </w:rPr>
        <w:t>三</w:t>
      </w:r>
      <w:r>
        <w:rPr>
          <w:rFonts w:hint="eastAsia" w:hAnsi="宋体"/>
          <w:color w:val="000000"/>
          <w:highlight w:val="none"/>
        </w:rPr>
        <w:t>）法律、行政法规规定的其他条件。</w:t>
      </w:r>
    </w:p>
    <w:p w14:paraId="15C2835A">
      <w:pPr>
        <w:pStyle w:val="23"/>
        <w:spacing w:line="360" w:lineRule="auto"/>
        <w:ind w:firstLine="420"/>
        <w:rPr>
          <w:rFonts w:hint="eastAsia" w:hAnsi="宋体"/>
          <w:color w:val="000000"/>
          <w:highlight w:val="none"/>
        </w:rPr>
      </w:pPr>
      <w:r>
        <w:rPr>
          <w:rFonts w:hint="eastAsia" w:hAnsi="宋体"/>
          <w:color w:val="000000"/>
          <w:highlight w:val="none"/>
        </w:rPr>
        <w:t>二、本公司（企业）的法定代表人或单位负责人与所参投的本项目的其他投标人的法定代表人或单位负责人不为同一人且与其他投标人之间不存在直接控股、管理关系。</w:t>
      </w:r>
    </w:p>
    <w:p w14:paraId="2C8A2415">
      <w:pPr>
        <w:pStyle w:val="23"/>
        <w:spacing w:line="360" w:lineRule="auto"/>
        <w:ind w:firstLine="420"/>
        <w:rPr>
          <w:rFonts w:hint="eastAsia" w:hAnsi="宋体"/>
          <w:color w:val="000000"/>
          <w:highlight w:val="none"/>
        </w:rPr>
      </w:pPr>
      <w:r>
        <w:rPr>
          <w:rFonts w:hint="eastAsia" w:hAnsi="宋体"/>
          <w:color w:val="000000"/>
          <w:highlight w:val="none"/>
          <w:lang w:val="en-US" w:eastAsia="zh-CN"/>
        </w:rPr>
        <w:t>三</w:t>
      </w:r>
      <w:r>
        <w:rPr>
          <w:rFonts w:hint="eastAsia" w:hAnsi="宋体"/>
          <w:color w:val="000000"/>
          <w:highlight w:val="none"/>
        </w:rPr>
        <w:t>、本公司（企业）承诺在本次采购活动中，如有违法、违规、弄虚作假行为，所造成的损失、不良后果及法律责任，一律由我公司（企业）承担。</w:t>
      </w:r>
    </w:p>
    <w:p w14:paraId="5B23C606">
      <w:pPr>
        <w:pStyle w:val="23"/>
        <w:spacing w:line="360" w:lineRule="auto"/>
        <w:ind w:firstLine="420"/>
        <w:rPr>
          <w:rFonts w:hint="eastAsia" w:hAnsi="宋体"/>
          <w:color w:val="000000"/>
          <w:highlight w:val="none"/>
        </w:rPr>
      </w:pPr>
      <w:r>
        <w:rPr>
          <w:rFonts w:hint="eastAsia" w:hAnsi="宋体"/>
          <w:color w:val="000000"/>
          <w:highlight w:val="none"/>
          <w:lang w:val="en-US" w:eastAsia="zh-CN"/>
        </w:rPr>
        <w:t>四</w:t>
      </w:r>
      <w:r>
        <w:rPr>
          <w:rFonts w:hint="eastAsia" w:hAnsi="宋体"/>
          <w:color w:val="000000"/>
          <w:highlight w:val="none"/>
        </w:rPr>
        <w:t>、本公司（企业）未与参与本项目的其它投标人组成联合体参与本项目投标。</w:t>
      </w:r>
    </w:p>
    <w:p w14:paraId="2B14FA9C">
      <w:pPr>
        <w:pStyle w:val="23"/>
        <w:spacing w:line="360" w:lineRule="auto"/>
        <w:ind w:firstLine="420"/>
        <w:rPr>
          <w:rFonts w:hint="eastAsia" w:hAnsi="宋体"/>
          <w:color w:val="000000"/>
          <w:highlight w:val="none"/>
        </w:rPr>
      </w:pPr>
      <w:r>
        <w:rPr>
          <w:rFonts w:hint="eastAsia" w:hAnsi="宋体"/>
          <w:color w:val="000000"/>
          <w:highlight w:val="none"/>
        </w:rPr>
        <w:t>特此声明！</w:t>
      </w:r>
    </w:p>
    <w:p w14:paraId="4BB74D2C">
      <w:pPr>
        <w:pStyle w:val="23"/>
        <w:spacing w:line="360" w:lineRule="auto"/>
        <w:rPr>
          <w:rFonts w:hAnsi="宋体"/>
          <w:color w:val="000000"/>
          <w:highlight w:val="none"/>
        </w:rPr>
      </w:pPr>
    </w:p>
    <w:p w14:paraId="38335D11">
      <w:pPr>
        <w:pStyle w:val="17"/>
        <w:spacing w:line="360" w:lineRule="auto"/>
        <w:ind w:firstLine="497"/>
        <w:rPr>
          <w:rFonts w:hint="eastAsia" w:hAnsi="宋体"/>
          <w:color w:val="000000"/>
          <w:sz w:val="21"/>
          <w:szCs w:val="21"/>
          <w:highlight w:val="none"/>
        </w:rPr>
      </w:pPr>
      <w:r>
        <w:rPr>
          <w:rFonts w:hint="eastAsia" w:hAnsi="宋体"/>
          <w:color w:val="000000"/>
          <w:sz w:val="21"/>
          <w:szCs w:val="21"/>
          <w:highlight w:val="none"/>
        </w:rPr>
        <w:t>响应人：</w:t>
      </w:r>
      <w:r>
        <w:rPr>
          <w:rFonts w:hint="eastAsia" w:hAnsi="宋体"/>
          <w:color w:val="000000"/>
          <w:sz w:val="21"/>
          <w:szCs w:val="21"/>
          <w:highlight w:val="none"/>
          <w:u w:val="single"/>
        </w:rPr>
        <w:t xml:space="preserve">                      </w:t>
      </w:r>
      <w:r>
        <w:rPr>
          <w:rFonts w:hint="eastAsia" w:hAnsi="宋体"/>
          <w:color w:val="000000"/>
          <w:sz w:val="21"/>
          <w:szCs w:val="21"/>
          <w:highlight w:val="none"/>
        </w:rPr>
        <w:t>（盖单位公章）</w:t>
      </w:r>
    </w:p>
    <w:p w14:paraId="43AC21CA">
      <w:pPr>
        <w:pStyle w:val="17"/>
        <w:spacing w:line="360" w:lineRule="auto"/>
        <w:ind w:firstLine="497"/>
        <w:rPr>
          <w:rFonts w:hint="eastAsia" w:hAnsi="宋体"/>
          <w:color w:val="000000"/>
          <w:sz w:val="21"/>
          <w:szCs w:val="21"/>
          <w:highlight w:val="none"/>
        </w:rPr>
      </w:pPr>
      <w:r>
        <w:rPr>
          <w:rFonts w:hint="eastAsia" w:hAnsi="宋体"/>
          <w:color w:val="000000"/>
          <w:sz w:val="21"/>
          <w:szCs w:val="21"/>
          <w:highlight w:val="none"/>
        </w:rPr>
        <w:t>法定代表人或其委托代理人：</w:t>
      </w:r>
      <w:r>
        <w:rPr>
          <w:rFonts w:hint="eastAsia" w:hAnsi="宋体"/>
          <w:color w:val="000000"/>
          <w:sz w:val="21"/>
          <w:szCs w:val="21"/>
          <w:highlight w:val="none"/>
          <w:u w:val="single"/>
        </w:rPr>
        <w:t xml:space="preserve">       </w:t>
      </w:r>
      <w:r>
        <w:rPr>
          <w:rFonts w:hint="eastAsia" w:hAnsi="宋体"/>
          <w:color w:val="000000"/>
          <w:sz w:val="21"/>
          <w:szCs w:val="21"/>
          <w:highlight w:val="none"/>
        </w:rPr>
        <w:t>（签字或盖章）</w:t>
      </w:r>
    </w:p>
    <w:p w14:paraId="3C6BE468">
      <w:pPr>
        <w:pStyle w:val="17"/>
        <w:spacing w:line="360" w:lineRule="auto"/>
        <w:ind w:firstLine="497"/>
        <w:rPr>
          <w:rFonts w:hint="eastAsia" w:hAnsi="宋体"/>
          <w:color w:val="000000"/>
          <w:sz w:val="21"/>
          <w:szCs w:val="21"/>
          <w:highlight w:val="none"/>
        </w:rPr>
      </w:pPr>
      <w:r>
        <w:rPr>
          <w:rFonts w:hint="eastAsia" w:hAnsi="宋体"/>
          <w:color w:val="000000"/>
          <w:sz w:val="21"/>
          <w:szCs w:val="21"/>
          <w:highlight w:val="none"/>
        </w:rPr>
        <w:t>日期：      年    月    日</w:t>
      </w:r>
    </w:p>
    <w:p w14:paraId="2F200C34">
      <w:pPr>
        <w:rPr>
          <w:rFonts w:hint="eastAsia" w:hAnsi="宋体"/>
          <w:color w:val="000000"/>
          <w:sz w:val="21"/>
          <w:szCs w:val="21"/>
          <w:highlight w:val="none"/>
        </w:rPr>
      </w:pPr>
      <w:r>
        <w:rPr>
          <w:rFonts w:hint="eastAsia" w:hAnsi="宋体"/>
          <w:color w:val="000000"/>
          <w:sz w:val="21"/>
          <w:szCs w:val="21"/>
          <w:highlight w:val="none"/>
        </w:rPr>
        <w:br w:type="page"/>
      </w:r>
    </w:p>
    <w:p w14:paraId="4D9B543D">
      <w:pPr>
        <w:rPr>
          <w:rFonts w:hint="eastAsia" w:ascii="黑体"/>
          <w:b w:val="0"/>
          <w:color w:val="auto"/>
          <w:highlight w:val="none"/>
          <w:lang w:val="en-US" w:eastAsia="zh-CN"/>
        </w:rPr>
      </w:pPr>
    </w:p>
    <w:p w14:paraId="4D8714DE">
      <w:pPr>
        <w:pStyle w:val="3"/>
        <w:jc w:val="center"/>
        <w:rPr>
          <w:rFonts w:ascii="黑体"/>
          <w:b w:val="0"/>
          <w:color w:val="auto"/>
          <w:highlight w:val="none"/>
        </w:rPr>
      </w:pPr>
      <w:r>
        <w:rPr>
          <w:rFonts w:hint="eastAsia" w:ascii="黑体"/>
          <w:b w:val="0"/>
          <w:color w:val="auto"/>
          <w:highlight w:val="none"/>
          <w:lang w:val="en-US" w:eastAsia="zh-CN"/>
        </w:rPr>
        <w:t>三</w:t>
      </w:r>
      <w:r>
        <w:rPr>
          <w:rFonts w:hint="eastAsia" w:ascii="黑体"/>
          <w:b w:val="0"/>
          <w:color w:val="auto"/>
          <w:highlight w:val="none"/>
        </w:rPr>
        <w:t>、联合体协议书（如有）</w:t>
      </w:r>
      <w:bookmarkEnd w:id="358"/>
      <w:bookmarkEnd w:id="359"/>
    </w:p>
    <w:p w14:paraId="73BE3F5E">
      <w:pPr>
        <w:pStyle w:val="11"/>
        <w:spacing w:line="440" w:lineRule="exact"/>
        <w:rPr>
          <w:color w:val="auto"/>
          <w:szCs w:val="21"/>
          <w:highlight w:val="none"/>
        </w:rPr>
      </w:pPr>
      <w:r>
        <w:rPr>
          <w:rFonts w:hint="eastAsia"/>
          <w:color w:val="auto"/>
          <w:szCs w:val="21"/>
          <w:highlight w:val="none"/>
          <w:u w:val="single"/>
        </w:rPr>
        <w:t xml:space="preserve">（所有成员单位名单）  </w:t>
      </w:r>
      <w:r>
        <w:rPr>
          <w:rFonts w:hAnsi="宋体"/>
          <w:color w:val="auto"/>
          <w:szCs w:val="21"/>
          <w:highlight w:val="none"/>
        </w:rPr>
        <w:t>自愿组成：</w:t>
      </w:r>
      <w:r>
        <w:rPr>
          <w:rFonts w:hint="eastAsia"/>
          <w:color w:val="auto"/>
          <w:szCs w:val="21"/>
          <w:highlight w:val="none"/>
          <w:u w:val="single"/>
        </w:rPr>
        <w:t xml:space="preserve">    </w:t>
      </w:r>
      <w:r>
        <w:rPr>
          <w:rFonts w:hAnsi="宋体"/>
          <w:color w:val="auto"/>
          <w:szCs w:val="21"/>
          <w:highlight w:val="none"/>
          <w:u w:val="single"/>
        </w:rPr>
        <w:t>（联合体名称）</w:t>
      </w:r>
      <w:r>
        <w:rPr>
          <w:rFonts w:hint="eastAsia" w:hAnsi="宋体"/>
          <w:color w:val="auto"/>
          <w:szCs w:val="21"/>
          <w:highlight w:val="none"/>
          <w:u w:val="single"/>
        </w:rPr>
        <w:t xml:space="preserve">  </w:t>
      </w:r>
      <w:r>
        <w:rPr>
          <w:rFonts w:hAnsi="宋体"/>
          <w:color w:val="auto"/>
          <w:szCs w:val="21"/>
          <w:highlight w:val="none"/>
        </w:rPr>
        <w:t>联合体，共同参加</w:t>
      </w:r>
      <w:r>
        <w:rPr>
          <w:rFonts w:hAnsi="宋体"/>
          <w:color w:val="auto"/>
          <w:szCs w:val="21"/>
          <w:highlight w:val="none"/>
          <w:u w:val="single"/>
        </w:rPr>
        <w:t>（竞争性谈判项目名称）</w:t>
      </w:r>
      <w:r>
        <w:rPr>
          <w:rFonts w:hAnsi="宋体"/>
          <w:color w:val="auto"/>
          <w:szCs w:val="21"/>
          <w:highlight w:val="none"/>
        </w:rPr>
        <w:t>竞争性谈判。现就联合体竞争性谈判事宜订立如下协议</w:t>
      </w:r>
      <w:r>
        <w:rPr>
          <w:rFonts w:hint="eastAsia" w:hAnsi="宋体"/>
          <w:color w:val="auto"/>
          <w:szCs w:val="21"/>
          <w:highlight w:val="none"/>
        </w:rPr>
        <w:t>：</w:t>
      </w:r>
    </w:p>
    <w:p w14:paraId="7BE31DB8">
      <w:pPr>
        <w:pStyle w:val="11"/>
        <w:spacing w:line="440" w:lineRule="exact"/>
        <w:rPr>
          <w:color w:val="auto"/>
          <w:szCs w:val="21"/>
          <w:highlight w:val="none"/>
        </w:rPr>
      </w:pPr>
      <w:r>
        <w:rPr>
          <w:color w:val="auto"/>
          <w:szCs w:val="21"/>
          <w:highlight w:val="none"/>
        </w:rPr>
        <w:t>1</w:t>
      </w:r>
      <w:r>
        <w:rPr>
          <w:rFonts w:hint="eastAsia"/>
          <w:color w:val="auto"/>
          <w:szCs w:val="21"/>
          <w:highlight w:val="none"/>
        </w:rPr>
        <w:t>．</w:t>
      </w:r>
      <w:r>
        <w:rPr>
          <w:rFonts w:hAnsi="宋体"/>
          <w:color w:val="auto"/>
          <w:szCs w:val="21"/>
          <w:highlight w:val="none"/>
          <w:u w:val="single"/>
        </w:rPr>
        <w:t>（成员单位名称）</w:t>
      </w:r>
      <w:r>
        <w:rPr>
          <w:rFonts w:hAnsi="宋体"/>
          <w:color w:val="auto"/>
          <w:szCs w:val="21"/>
          <w:highlight w:val="none"/>
        </w:rPr>
        <w:t>为</w:t>
      </w:r>
      <w:r>
        <w:rPr>
          <w:rFonts w:hAnsi="宋体"/>
          <w:color w:val="auto"/>
          <w:szCs w:val="21"/>
          <w:highlight w:val="none"/>
          <w:u w:val="single"/>
        </w:rPr>
        <w:t>（联合体名称）</w:t>
      </w:r>
      <w:r>
        <w:rPr>
          <w:rFonts w:hAnsi="宋体"/>
          <w:color w:val="auto"/>
          <w:szCs w:val="21"/>
          <w:highlight w:val="none"/>
        </w:rPr>
        <w:t>牵头人。</w:t>
      </w:r>
    </w:p>
    <w:p w14:paraId="614318A1">
      <w:pPr>
        <w:pStyle w:val="11"/>
        <w:spacing w:line="440" w:lineRule="exact"/>
        <w:rPr>
          <w:color w:val="auto"/>
          <w:szCs w:val="21"/>
          <w:highlight w:val="none"/>
        </w:rPr>
      </w:pPr>
      <w:r>
        <w:rPr>
          <w:color w:val="auto"/>
          <w:szCs w:val="21"/>
          <w:highlight w:val="none"/>
        </w:rPr>
        <w:t>2</w:t>
      </w:r>
      <w:r>
        <w:rPr>
          <w:rFonts w:hint="eastAsia"/>
          <w:color w:val="auto"/>
          <w:szCs w:val="21"/>
          <w:highlight w:val="none"/>
        </w:rPr>
        <w:t>．</w:t>
      </w:r>
      <w:r>
        <w:rPr>
          <w:rFonts w:hAnsi="宋体"/>
          <w:color w:val="auto"/>
          <w:szCs w:val="21"/>
          <w:highlight w:val="none"/>
        </w:rPr>
        <w:t>联合体牵头人合法代表联合体各成员，负责本竞争性谈判项目响应文件编制和合同谈判活动，并代表联合体成员</w:t>
      </w:r>
      <w:r>
        <w:rPr>
          <w:rFonts w:hint="eastAsia" w:hAnsi="宋体"/>
          <w:color w:val="auto"/>
          <w:szCs w:val="21"/>
          <w:highlight w:val="none"/>
        </w:rPr>
        <w:t>递</w:t>
      </w:r>
      <w:r>
        <w:rPr>
          <w:rFonts w:hAnsi="宋体"/>
          <w:color w:val="auto"/>
          <w:szCs w:val="21"/>
          <w:highlight w:val="none"/>
        </w:rPr>
        <w:t>交和接受相关的资料、信息及指示，并处理与之有关的一切事务，负责合同实施阶段的主办、组织和协调工作。</w:t>
      </w:r>
    </w:p>
    <w:p w14:paraId="3B6AD686">
      <w:pPr>
        <w:pStyle w:val="11"/>
        <w:spacing w:line="440" w:lineRule="exact"/>
        <w:rPr>
          <w:rFonts w:hAnsi="宋体"/>
          <w:color w:val="auto"/>
          <w:szCs w:val="21"/>
          <w:highlight w:val="none"/>
        </w:rPr>
      </w:pPr>
      <w:r>
        <w:rPr>
          <w:color w:val="auto"/>
          <w:szCs w:val="21"/>
          <w:highlight w:val="none"/>
        </w:rPr>
        <w:t>3</w:t>
      </w:r>
      <w:r>
        <w:rPr>
          <w:rFonts w:hint="eastAsia"/>
          <w:color w:val="auto"/>
          <w:szCs w:val="21"/>
          <w:highlight w:val="none"/>
        </w:rPr>
        <w:t>．</w:t>
      </w:r>
      <w:r>
        <w:rPr>
          <w:rFonts w:hAnsi="宋体"/>
          <w:color w:val="auto"/>
          <w:szCs w:val="21"/>
          <w:highlight w:val="none"/>
        </w:rPr>
        <w:t>联合体将严格按照竞争性谈判文件的各项要求，递交响应文件，履行合同，并对外承担连带责任。</w:t>
      </w:r>
    </w:p>
    <w:p w14:paraId="090E3F1D">
      <w:pPr>
        <w:pStyle w:val="11"/>
        <w:spacing w:line="440" w:lineRule="exact"/>
        <w:rPr>
          <w:color w:val="auto"/>
          <w:szCs w:val="21"/>
          <w:highlight w:val="none"/>
        </w:rPr>
      </w:pPr>
      <w:r>
        <w:rPr>
          <w:color w:val="auto"/>
          <w:szCs w:val="21"/>
          <w:highlight w:val="none"/>
        </w:rPr>
        <w:t>4</w:t>
      </w:r>
      <w:r>
        <w:rPr>
          <w:rFonts w:hint="eastAsia"/>
          <w:color w:val="auto"/>
          <w:szCs w:val="21"/>
          <w:highlight w:val="none"/>
        </w:rPr>
        <w:t>．</w:t>
      </w:r>
      <w:r>
        <w:rPr>
          <w:rFonts w:hAnsi="宋体"/>
          <w:color w:val="auto"/>
          <w:szCs w:val="21"/>
          <w:highlight w:val="none"/>
        </w:rPr>
        <w:t>联合体各成员单位内部的职责分工</w:t>
      </w:r>
      <w:r>
        <w:rPr>
          <w:rFonts w:hint="eastAsia" w:hAnsi="宋体"/>
          <w:color w:val="auto"/>
          <w:szCs w:val="21"/>
          <w:highlight w:val="none"/>
        </w:rPr>
        <w:t>以及资质等级</w:t>
      </w:r>
      <w:r>
        <w:rPr>
          <w:rFonts w:hAnsi="宋体"/>
          <w:color w:val="auto"/>
          <w:szCs w:val="21"/>
          <w:highlight w:val="none"/>
        </w:rPr>
        <w:t>如下：</w:t>
      </w:r>
      <w:r>
        <w:rPr>
          <w:color w:val="auto"/>
          <w:szCs w:val="21"/>
          <w:highlight w:val="none"/>
        </w:rPr>
        <w:t>_________________</w:t>
      </w:r>
      <w:r>
        <w:rPr>
          <w:rFonts w:hint="eastAsia"/>
          <w:color w:val="auto"/>
          <w:szCs w:val="21"/>
          <w:highlight w:val="none"/>
        </w:rPr>
        <w:t>。</w:t>
      </w:r>
    </w:p>
    <w:p w14:paraId="479E2722">
      <w:pPr>
        <w:pStyle w:val="11"/>
        <w:spacing w:line="440" w:lineRule="exact"/>
        <w:rPr>
          <w:rFonts w:ascii="宋体" w:hAnsi="宋体"/>
          <w:color w:val="auto"/>
          <w:szCs w:val="21"/>
          <w:highlight w:val="none"/>
        </w:rPr>
      </w:pPr>
      <w:r>
        <w:rPr>
          <w:rFonts w:hint="eastAsia" w:ascii="宋体" w:hAnsi="宋体"/>
          <w:color w:val="auto"/>
          <w:szCs w:val="21"/>
          <w:highlight w:val="none"/>
        </w:rPr>
        <w:t>按照本条上述分工，联合体成员单位各自所承担的合同工作量比例如下：</w:t>
      </w:r>
      <w:r>
        <w:rPr>
          <w:rFonts w:hint="eastAsia" w:ascii="宋体" w:hAnsi="宋体"/>
          <w:color w:val="auto"/>
          <w:szCs w:val="21"/>
          <w:highlight w:val="none"/>
          <w:u w:val="single"/>
        </w:rPr>
        <w:t xml:space="preserve">           </w:t>
      </w:r>
    </w:p>
    <w:p w14:paraId="2DCD7855">
      <w:pPr>
        <w:spacing w:line="440" w:lineRule="exact"/>
        <w:rPr>
          <w:rFonts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0ACF91F2">
      <w:pPr>
        <w:spacing w:line="440" w:lineRule="exact"/>
        <w:ind w:firstLine="424" w:firstLineChars="202"/>
        <w:rPr>
          <w:color w:val="auto"/>
          <w:szCs w:val="21"/>
          <w:highlight w:val="none"/>
        </w:rPr>
      </w:pPr>
      <w:r>
        <w:rPr>
          <w:color w:val="auto"/>
          <w:szCs w:val="21"/>
          <w:highlight w:val="none"/>
        </w:rPr>
        <w:t>5</w:t>
      </w:r>
      <w:r>
        <w:rPr>
          <w:rFonts w:hint="eastAsia"/>
          <w:color w:val="auto"/>
          <w:szCs w:val="21"/>
          <w:highlight w:val="none"/>
        </w:rPr>
        <w:t xml:space="preserve">． </w:t>
      </w:r>
      <w:r>
        <w:rPr>
          <w:color w:val="auto"/>
          <w:szCs w:val="21"/>
          <w:highlight w:val="none"/>
        </w:rPr>
        <w:t>竞争性谈判工作以及联合体在成交后</w:t>
      </w:r>
      <w:r>
        <w:rPr>
          <w:rFonts w:hint="eastAsia"/>
          <w:color w:val="auto"/>
          <w:szCs w:val="21"/>
          <w:highlight w:val="none"/>
        </w:rPr>
        <w:t>项目</w:t>
      </w:r>
      <w:r>
        <w:rPr>
          <w:color w:val="auto"/>
          <w:szCs w:val="21"/>
          <w:highlight w:val="none"/>
        </w:rPr>
        <w:t>实施过程中的有关费用按</w:t>
      </w:r>
      <w:r>
        <w:rPr>
          <w:rFonts w:hint="eastAsia"/>
          <w:color w:val="auto"/>
          <w:szCs w:val="21"/>
          <w:highlight w:val="none"/>
        </w:rPr>
        <w:t>照</w:t>
      </w:r>
      <w:r>
        <w:rPr>
          <w:color w:val="auto"/>
          <w:szCs w:val="21"/>
          <w:highlight w:val="none"/>
        </w:rPr>
        <w:t>各自承担的工作量分摊。</w:t>
      </w:r>
    </w:p>
    <w:p w14:paraId="5A7C3CE2">
      <w:pPr>
        <w:spacing w:line="440" w:lineRule="exact"/>
        <w:ind w:firstLine="424" w:firstLineChars="202"/>
        <w:rPr>
          <w:color w:val="auto"/>
          <w:szCs w:val="21"/>
          <w:highlight w:val="none"/>
        </w:rPr>
      </w:pPr>
      <w:r>
        <w:rPr>
          <w:color w:val="auto"/>
          <w:szCs w:val="21"/>
          <w:highlight w:val="none"/>
        </w:rPr>
        <w:t>6</w:t>
      </w:r>
      <w:r>
        <w:rPr>
          <w:rFonts w:hint="eastAsia"/>
          <w:color w:val="auto"/>
          <w:szCs w:val="21"/>
          <w:highlight w:val="none"/>
        </w:rPr>
        <w:t>．</w:t>
      </w:r>
      <w:r>
        <w:rPr>
          <w:color w:val="auto"/>
          <w:szCs w:val="21"/>
          <w:highlight w:val="none"/>
        </w:rPr>
        <w:t>联合体成交后，本联合体协议是合同的附件，对联合体各成员单位有合同约束力。</w:t>
      </w:r>
    </w:p>
    <w:p w14:paraId="15CA927F">
      <w:pPr>
        <w:pStyle w:val="11"/>
        <w:tabs>
          <w:tab w:val="left" w:pos="6645"/>
        </w:tabs>
        <w:spacing w:line="440" w:lineRule="exact"/>
        <w:rPr>
          <w:color w:val="auto"/>
          <w:szCs w:val="21"/>
          <w:highlight w:val="none"/>
        </w:rPr>
      </w:pPr>
      <w:r>
        <w:rPr>
          <w:rFonts w:hint="eastAsia"/>
          <w:color w:val="auto"/>
          <w:szCs w:val="21"/>
          <w:highlight w:val="none"/>
        </w:rPr>
        <w:t>7．</w:t>
      </w:r>
      <w:r>
        <w:rPr>
          <w:color w:val="auto"/>
          <w:szCs w:val="21"/>
          <w:highlight w:val="none"/>
        </w:rPr>
        <w:t>本协议书自签</w:t>
      </w:r>
      <w:r>
        <w:rPr>
          <w:rFonts w:hint="eastAsia"/>
          <w:color w:val="auto"/>
          <w:szCs w:val="21"/>
          <w:highlight w:val="none"/>
        </w:rPr>
        <w:t>署</w:t>
      </w:r>
      <w:r>
        <w:rPr>
          <w:color w:val="auto"/>
          <w:szCs w:val="21"/>
          <w:highlight w:val="none"/>
        </w:rPr>
        <w:t>之日起生效，合同履行完毕后自动失效。</w:t>
      </w:r>
    </w:p>
    <w:p w14:paraId="112552D9">
      <w:pPr>
        <w:pStyle w:val="11"/>
        <w:spacing w:line="440" w:lineRule="exact"/>
        <w:rPr>
          <w:color w:val="auto"/>
          <w:szCs w:val="21"/>
          <w:highlight w:val="none"/>
        </w:rPr>
      </w:pPr>
      <w:r>
        <w:rPr>
          <w:rFonts w:hint="eastAsia"/>
          <w:color w:val="auto"/>
          <w:szCs w:val="21"/>
          <w:highlight w:val="none"/>
        </w:rPr>
        <w:t>8．</w:t>
      </w:r>
      <w:r>
        <w:rPr>
          <w:color w:val="auto"/>
          <w:szCs w:val="21"/>
          <w:highlight w:val="none"/>
        </w:rPr>
        <w:t>本协议书一式____份，联合体成员</w:t>
      </w:r>
      <w:r>
        <w:rPr>
          <w:rFonts w:hint="eastAsia"/>
          <w:color w:val="auto"/>
          <w:szCs w:val="21"/>
          <w:highlight w:val="none"/>
        </w:rPr>
        <w:t>和</w:t>
      </w:r>
      <w:r>
        <w:rPr>
          <w:color w:val="auto"/>
          <w:szCs w:val="21"/>
          <w:highlight w:val="none"/>
        </w:rPr>
        <w:t>采购人各执一份。</w:t>
      </w:r>
    </w:p>
    <w:p w14:paraId="54D90D73">
      <w:pPr>
        <w:pStyle w:val="11"/>
        <w:spacing w:line="440" w:lineRule="exact"/>
        <w:rPr>
          <w:color w:val="auto"/>
          <w:szCs w:val="21"/>
          <w:highlight w:val="none"/>
        </w:rPr>
      </w:pPr>
      <w:r>
        <w:rPr>
          <w:rFonts w:hAnsi="宋体"/>
          <w:color w:val="auto"/>
          <w:szCs w:val="21"/>
          <w:highlight w:val="none"/>
        </w:rPr>
        <w:t>注：本协议书由委托人</w:t>
      </w:r>
      <w:r>
        <w:rPr>
          <w:rFonts w:hint="eastAsia" w:hAnsi="宋体"/>
          <w:color w:val="auto"/>
          <w:szCs w:val="21"/>
          <w:highlight w:val="none"/>
          <w:lang w:val="en-US" w:eastAsia="zh-CN"/>
        </w:rPr>
        <w:t>签署</w:t>
      </w:r>
      <w:r>
        <w:rPr>
          <w:rFonts w:hAnsi="宋体"/>
          <w:color w:val="auto"/>
          <w:szCs w:val="21"/>
          <w:highlight w:val="none"/>
        </w:rPr>
        <w:t>的，应附法定代表人</w:t>
      </w:r>
      <w:r>
        <w:rPr>
          <w:rFonts w:hint="eastAsia" w:hAnsi="宋体"/>
          <w:color w:val="auto"/>
          <w:szCs w:val="21"/>
          <w:highlight w:val="none"/>
          <w:lang w:val="en-US" w:eastAsia="zh-CN"/>
        </w:rPr>
        <w:t>签署</w:t>
      </w:r>
      <w:r>
        <w:rPr>
          <w:rFonts w:hAnsi="宋体"/>
          <w:color w:val="auto"/>
          <w:szCs w:val="21"/>
          <w:highlight w:val="none"/>
        </w:rPr>
        <w:t>的授权委托书。</w:t>
      </w:r>
    </w:p>
    <w:p w14:paraId="04EBB2B5">
      <w:pPr>
        <w:pStyle w:val="11"/>
        <w:wordWrap w:val="0"/>
        <w:spacing w:line="360" w:lineRule="auto"/>
        <w:jc w:val="right"/>
        <w:rPr>
          <w:color w:val="auto"/>
          <w:szCs w:val="21"/>
          <w:highlight w:val="none"/>
        </w:rPr>
      </w:pPr>
      <w:r>
        <w:rPr>
          <w:rFonts w:hAnsi="宋体"/>
          <w:color w:val="auto"/>
          <w:szCs w:val="21"/>
          <w:highlight w:val="none"/>
        </w:rPr>
        <w:t>牵头人名称：</w:t>
      </w:r>
      <w:r>
        <w:rPr>
          <w:color w:val="auto"/>
          <w:szCs w:val="21"/>
          <w:highlight w:val="none"/>
        </w:rPr>
        <w:t>_______________________</w:t>
      </w:r>
      <w:r>
        <w:rPr>
          <w:rFonts w:hAnsi="宋体"/>
          <w:color w:val="auto"/>
          <w:szCs w:val="21"/>
          <w:highlight w:val="none"/>
        </w:rPr>
        <w:t>（盖单位公章）</w:t>
      </w:r>
    </w:p>
    <w:p w14:paraId="6C626037">
      <w:pPr>
        <w:pStyle w:val="11"/>
        <w:spacing w:line="360" w:lineRule="auto"/>
        <w:jc w:val="right"/>
        <w:rPr>
          <w:color w:val="auto"/>
          <w:szCs w:val="21"/>
          <w:highlight w:val="none"/>
        </w:rPr>
      </w:pPr>
      <w:r>
        <w:rPr>
          <w:rFonts w:hAnsi="宋体"/>
          <w:color w:val="auto"/>
          <w:szCs w:val="21"/>
          <w:highlight w:val="none"/>
        </w:rPr>
        <w:t>法定代表人或其委托代理人：</w:t>
      </w:r>
      <w:r>
        <w:rPr>
          <w:color w:val="auto"/>
          <w:szCs w:val="21"/>
          <w:highlight w:val="none"/>
        </w:rPr>
        <w:t>_________</w:t>
      </w:r>
      <w:r>
        <w:rPr>
          <w:rFonts w:hAnsi="宋体"/>
          <w:color w:val="auto"/>
          <w:szCs w:val="21"/>
          <w:highlight w:val="none"/>
        </w:rPr>
        <w:t>（签字</w:t>
      </w:r>
      <w:r>
        <w:rPr>
          <w:rFonts w:hint="eastAsia" w:hAnsi="宋体"/>
          <w:color w:val="auto"/>
          <w:szCs w:val="21"/>
          <w:highlight w:val="none"/>
          <w:lang w:val="en-US" w:eastAsia="zh-CN"/>
        </w:rPr>
        <w:t>或盖章</w:t>
      </w:r>
      <w:r>
        <w:rPr>
          <w:rFonts w:hAnsi="宋体"/>
          <w:color w:val="auto"/>
          <w:szCs w:val="21"/>
          <w:highlight w:val="none"/>
        </w:rPr>
        <w:t>）</w:t>
      </w:r>
    </w:p>
    <w:p w14:paraId="7EFB228E">
      <w:pPr>
        <w:pStyle w:val="11"/>
        <w:spacing w:line="360" w:lineRule="auto"/>
        <w:jc w:val="right"/>
        <w:rPr>
          <w:color w:val="auto"/>
          <w:szCs w:val="21"/>
          <w:highlight w:val="none"/>
        </w:rPr>
      </w:pPr>
    </w:p>
    <w:p w14:paraId="28CC2142">
      <w:pPr>
        <w:pStyle w:val="11"/>
        <w:wordWrap w:val="0"/>
        <w:spacing w:line="360" w:lineRule="auto"/>
        <w:jc w:val="right"/>
        <w:rPr>
          <w:color w:val="auto"/>
          <w:szCs w:val="21"/>
          <w:highlight w:val="none"/>
        </w:rPr>
      </w:pPr>
      <w:r>
        <w:rPr>
          <w:rFonts w:hAnsi="宋体"/>
          <w:color w:val="auto"/>
          <w:szCs w:val="21"/>
          <w:highlight w:val="none"/>
        </w:rPr>
        <w:t>成员一名称：</w:t>
      </w:r>
      <w:r>
        <w:rPr>
          <w:color w:val="auto"/>
          <w:szCs w:val="21"/>
          <w:highlight w:val="none"/>
        </w:rPr>
        <w:t>_______________________</w:t>
      </w:r>
      <w:r>
        <w:rPr>
          <w:rFonts w:hAnsi="宋体"/>
          <w:color w:val="auto"/>
          <w:szCs w:val="21"/>
          <w:highlight w:val="none"/>
        </w:rPr>
        <w:t>（盖单位公章）</w:t>
      </w:r>
    </w:p>
    <w:p w14:paraId="67FCA5A7">
      <w:pPr>
        <w:pStyle w:val="11"/>
        <w:spacing w:line="360" w:lineRule="auto"/>
        <w:jc w:val="right"/>
        <w:rPr>
          <w:color w:val="auto"/>
          <w:szCs w:val="21"/>
          <w:highlight w:val="none"/>
        </w:rPr>
      </w:pPr>
      <w:r>
        <w:rPr>
          <w:rFonts w:hAnsi="宋体"/>
          <w:color w:val="auto"/>
          <w:szCs w:val="21"/>
          <w:highlight w:val="none"/>
        </w:rPr>
        <w:t>法定代表人或其委托代理人：</w:t>
      </w:r>
      <w:r>
        <w:rPr>
          <w:color w:val="auto"/>
          <w:szCs w:val="21"/>
          <w:highlight w:val="none"/>
        </w:rPr>
        <w:t>_________</w:t>
      </w:r>
      <w:r>
        <w:rPr>
          <w:rFonts w:hAnsi="宋体"/>
          <w:color w:val="auto"/>
          <w:szCs w:val="21"/>
          <w:highlight w:val="none"/>
        </w:rPr>
        <w:t>（签字</w:t>
      </w:r>
      <w:r>
        <w:rPr>
          <w:rFonts w:hint="eastAsia" w:hAnsi="宋体"/>
          <w:color w:val="auto"/>
          <w:szCs w:val="21"/>
          <w:highlight w:val="none"/>
          <w:lang w:val="en-US" w:eastAsia="zh-CN"/>
        </w:rPr>
        <w:t>或盖章</w:t>
      </w:r>
      <w:r>
        <w:rPr>
          <w:rFonts w:hAnsi="宋体"/>
          <w:color w:val="auto"/>
          <w:szCs w:val="21"/>
          <w:highlight w:val="none"/>
        </w:rPr>
        <w:t>）</w:t>
      </w:r>
    </w:p>
    <w:p w14:paraId="73C67179">
      <w:pPr>
        <w:pStyle w:val="11"/>
        <w:spacing w:line="360" w:lineRule="auto"/>
        <w:jc w:val="right"/>
        <w:rPr>
          <w:color w:val="auto"/>
          <w:szCs w:val="21"/>
          <w:highlight w:val="none"/>
        </w:rPr>
      </w:pPr>
    </w:p>
    <w:p w14:paraId="3E35834C">
      <w:pPr>
        <w:pStyle w:val="11"/>
        <w:spacing w:line="360" w:lineRule="auto"/>
        <w:jc w:val="right"/>
        <w:rPr>
          <w:color w:val="auto"/>
          <w:szCs w:val="21"/>
          <w:highlight w:val="none"/>
        </w:rPr>
      </w:pPr>
      <w:r>
        <w:rPr>
          <w:rFonts w:hAnsi="宋体"/>
          <w:color w:val="auto"/>
          <w:szCs w:val="21"/>
          <w:highlight w:val="none"/>
        </w:rPr>
        <w:t>成员二名称：</w:t>
      </w:r>
      <w:r>
        <w:rPr>
          <w:color w:val="auto"/>
          <w:szCs w:val="21"/>
          <w:highlight w:val="none"/>
        </w:rPr>
        <w:t>_______________________</w:t>
      </w:r>
      <w:r>
        <w:rPr>
          <w:rFonts w:hAnsi="宋体"/>
          <w:color w:val="auto"/>
          <w:szCs w:val="21"/>
          <w:highlight w:val="none"/>
        </w:rPr>
        <w:t>（盖单位公章）</w:t>
      </w:r>
    </w:p>
    <w:p w14:paraId="2565023A">
      <w:pPr>
        <w:pStyle w:val="11"/>
        <w:spacing w:line="360" w:lineRule="auto"/>
        <w:jc w:val="right"/>
        <w:rPr>
          <w:rFonts w:hAnsi="宋体"/>
          <w:color w:val="auto"/>
          <w:szCs w:val="21"/>
          <w:highlight w:val="none"/>
        </w:rPr>
      </w:pPr>
      <w:r>
        <w:rPr>
          <w:rFonts w:hAnsi="宋体"/>
          <w:color w:val="auto"/>
          <w:szCs w:val="21"/>
          <w:highlight w:val="none"/>
        </w:rPr>
        <w:t>法定代表人或其委托代理人：</w:t>
      </w:r>
      <w:r>
        <w:rPr>
          <w:color w:val="auto"/>
          <w:szCs w:val="21"/>
          <w:highlight w:val="none"/>
        </w:rPr>
        <w:t>_________</w:t>
      </w:r>
      <w:r>
        <w:rPr>
          <w:rFonts w:hAnsi="宋体"/>
          <w:color w:val="auto"/>
          <w:szCs w:val="21"/>
          <w:highlight w:val="none"/>
        </w:rPr>
        <w:t>（签字</w:t>
      </w:r>
      <w:r>
        <w:rPr>
          <w:rFonts w:hint="eastAsia" w:hAnsi="宋体"/>
          <w:color w:val="auto"/>
          <w:szCs w:val="21"/>
          <w:highlight w:val="none"/>
          <w:lang w:val="en-US" w:eastAsia="zh-CN"/>
        </w:rPr>
        <w:t>或盖章</w:t>
      </w:r>
      <w:r>
        <w:rPr>
          <w:rFonts w:hAnsi="宋体"/>
          <w:color w:val="auto"/>
          <w:szCs w:val="21"/>
          <w:highlight w:val="none"/>
        </w:rPr>
        <w:t>）</w:t>
      </w:r>
    </w:p>
    <w:p w14:paraId="4ED9B692">
      <w:pPr>
        <w:pStyle w:val="11"/>
        <w:spacing w:line="360" w:lineRule="auto"/>
        <w:ind w:right="840"/>
        <w:rPr>
          <w:rFonts w:hAnsi="宋体"/>
          <w:color w:val="auto"/>
          <w:szCs w:val="21"/>
          <w:highlight w:val="none"/>
        </w:rPr>
      </w:pPr>
      <w:r>
        <w:rPr>
          <w:rFonts w:hint="eastAsia" w:hAnsi="宋体"/>
          <w:color w:val="auto"/>
          <w:szCs w:val="21"/>
          <w:highlight w:val="none"/>
        </w:rPr>
        <w:t xml:space="preserve">                             </w:t>
      </w:r>
      <w:r>
        <w:rPr>
          <w:rFonts w:hAnsi="宋体"/>
          <w:color w:val="auto"/>
          <w:szCs w:val="21"/>
          <w:highlight w:val="none"/>
        </w:rPr>
        <w:t>……</w:t>
      </w:r>
    </w:p>
    <w:p w14:paraId="13C76BEC">
      <w:pPr>
        <w:spacing w:line="360" w:lineRule="auto"/>
        <w:ind w:firstLine="2879" w:firstLineChars="1371"/>
        <w:jc w:val="right"/>
        <w:rPr>
          <w:rFonts w:ascii="宋体" w:hAnsi="宋体"/>
          <w:color w:val="auto"/>
          <w:highlight w:val="none"/>
        </w:rPr>
      </w:pPr>
      <w:r>
        <w:rPr>
          <w:rFonts w:ascii="宋体" w:hAnsi="宋体"/>
          <w:color w:val="auto"/>
          <w:highlight w:val="none"/>
          <w:u w:val="single"/>
        </w:rPr>
        <w:t xml:space="preserve">        </w:t>
      </w:r>
      <w:r>
        <w:rPr>
          <w:rFonts w:ascii="宋体" w:hAnsi="宋体"/>
          <w:color w:val="auto"/>
          <w:highlight w:val="none"/>
        </w:rPr>
        <w:t>年</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rPr>
        <w:t>月</w:t>
      </w:r>
      <w:r>
        <w:rPr>
          <w:rFonts w:ascii="宋体" w:hAnsi="宋体"/>
          <w:color w:val="auto"/>
          <w:highlight w:val="none"/>
          <w:u w:val="single"/>
        </w:rPr>
        <w:t xml:space="preserve"> </w:t>
      </w:r>
      <w:r>
        <w:rPr>
          <w:rFonts w:hint="eastAsia" w:ascii="宋体" w:hAnsi="宋体"/>
          <w:color w:val="auto"/>
          <w:highlight w:val="none"/>
          <w:u w:val="single"/>
        </w:rPr>
        <w:t xml:space="preserve">   </w:t>
      </w:r>
      <w:r>
        <w:rPr>
          <w:rFonts w:ascii="宋体" w:hAnsi="宋体"/>
          <w:color w:val="auto"/>
          <w:highlight w:val="none"/>
          <w:u w:val="single"/>
        </w:rPr>
        <w:t xml:space="preserve"> </w:t>
      </w:r>
      <w:r>
        <w:rPr>
          <w:rFonts w:ascii="宋体" w:hAnsi="宋体"/>
          <w:color w:val="auto"/>
          <w:highlight w:val="none"/>
        </w:rPr>
        <w:t>日</w:t>
      </w:r>
    </w:p>
    <w:p w14:paraId="07425864">
      <w:pPr>
        <w:pStyle w:val="3"/>
        <w:jc w:val="center"/>
        <w:rPr>
          <w:color w:val="auto"/>
          <w:szCs w:val="21"/>
          <w:highlight w:val="none"/>
        </w:rPr>
      </w:pPr>
      <w:bookmarkStart w:id="360" w:name="_Toc475483724"/>
      <w:bookmarkStart w:id="361" w:name="_Toc5851"/>
      <w:r>
        <w:rPr>
          <w:rFonts w:hint="eastAsia"/>
          <w:b w:val="0"/>
          <w:color w:val="auto"/>
          <w:highlight w:val="none"/>
          <w:lang w:val="en-US" w:eastAsia="zh-CN"/>
        </w:rPr>
        <w:t>四</w:t>
      </w:r>
      <w:r>
        <w:rPr>
          <w:rFonts w:hint="eastAsia"/>
          <w:b w:val="0"/>
          <w:color w:val="auto"/>
          <w:highlight w:val="none"/>
        </w:rPr>
        <w:t>、法定代表人身份证明</w:t>
      </w:r>
      <w:bookmarkEnd w:id="360"/>
      <w:r>
        <w:rPr>
          <w:rStyle w:val="48"/>
          <w:rFonts w:hint="eastAsia"/>
          <w:b w:val="0"/>
          <w:color w:val="auto"/>
          <w:highlight w:val="none"/>
        </w:rPr>
        <w:footnoteReference w:id="0"/>
      </w:r>
      <w:bookmarkEnd w:id="361"/>
    </w:p>
    <w:p w14:paraId="586069CE">
      <w:pPr>
        <w:jc w:val="center"/>
        <w:rPr>
          <w:color w:val="auto"/>
          <w:szCs w:val="21"/>
          <w:highlight w:val="none"/>
        </w:rPr>
      </w:pPr>
    </w:p>
    <w:p w14:paraId="3D57A540">
      <w:pPr>
        <w:topLinePunct/>
        <w:spacing w:line="600" w:lineRule="exact"/>
        <w:rPr>
          <w:bCs/>
          <w:color w:val="auto"/>
          <w:szCs w:val="21"/>
          <w:highlight w:val="none"/>
          <w:u w:val="single"/>
        </w:rPr>
      </w:pPr>
      <w:r>
        <w:rPr>
          <w:rFonts w:hint="eastAsia"/>
          <w:bCs/>
          <w:color w:val="auto"/>
          <w:szCs w:val="21"/>
          <w:highlight w:val="none"/>
        </w:rPr>
        <w:t>响应人</w:t>
      </w:r>
      <w:r>
        <w:rPr>
          <w:bCs/>
          <w:color w:val="auto"/>
          <w:szCs w:val="21"/>
          <w:highlight w:val="none"/>
        </w:rPr>
        <w:t>名称：</w:t>
      </w:r>
      <w:r>
        <w:rPr>
          <w:bCs/>
          <w:color w:val="auto"/>
          <w:szCs w:val="21"/>
          <w:highlight w:val="none"/>
          <w:u w:val="single"/>
        </w:rPr>
        <w:t xml:space="preserve">                         </w:t>
      </w:r>
    </w:p>
    <w:p w14:paraId="0917EB61">
      <w:pPr>
        <w:topLinePunct/>
        <w:spacing w:line="600" w:lineRule="exact"/>
        <w:rPr>
          <w:bCs/>
          <w:color w:val="auto"/>
          <w:szCs w:val="21"/>
          <w:highlight w:val="none"/>
        </w:rPr>
      </w:pPr>
      <w:r>
        <w:rPr>
          <w:bCs/>
          <w:color w:val="auto"/>
          <w:szCs w:val="21"/>
          <w:highlight w:val="none"/>
        </w:rPr>
        <w:t>单位性质：</w:t>
      </w:r>
      <w:r>
        <w:rPr>
          <w:bCs/>
          <w:color w:val="auto"/>
          <w:szCs w:val="21"/>
          <w:highlight w:val="none"/>
          <w:u w:val="single"/>
        </w:rPr>
        <w:t xml:space="preserve">                           </w:t>
      </w:r>
    </w:p>
    <w:p w14:paraId="686338C5">
      <w:pPr>
        <w:topLinePunct/>
        <w:spacing w:line="600" w:lineRule="exact"/>
        <w:rPr>
          <w:bCs/>
          <w:color w:val="auto"/>
          <w:szCs w:val="21"/>
          <w:highlight w:val="none"/>
        </w:rPr>
      </w:pPr>
      <w:r>
        <w:rPr>
          <w:bCs/>
          <w:color w:val="auto"/>
          <w:szCs w:val="21"/>
          <w:highlight w:val="none"/>
        </w:rPr>
        <w:t>成立时间：</w:t>
      </w:r>
      <w:r>
        <w:rPr>
          <w:bCs/>
          <w:color w:val="auto"/>
          <w:szCs w:val="21"/>
          <w:highlight w:val="none"/>
          <w:u w:val="single"/>
        </w:rPr>
        <w:t xml:space="preserve">       </w:t>
      </w:r>
      <w:r>
        <w:rPr>
          <w:bCs/>
          <w:color w:val="auto"/>
          <w:szCs w:val="21"/>
          <w:highlight w:val="none"/>
        </w:rPr>
        <w:t>年</w:t>
      </w:r>
      <w:r>
        <w:rPr>
          <w:bCs/>
          <w:color w:val="auto"/>
          <w:szCs w:val="21"/>
          <w:highlight w:val="none"/>
          <w:u w:val="single"/>
        </w:rPr>
        <w:t xml:space="preserve">       </w:t>
      </w:r>
      <w:r>
        <w:rPr>
          <w:bCs/>
          <w:color w:val="auto"/>
          <w:szCs w:val="21"/>
          <w:highlight w:val="none"/>
        </w:rPr>
        <w:t>月</w:t>
      </w:r>
      <w:r>
        <w:rPr>
          <w:bCs/>
          <w:color w:val="auto"/>
          <w:szCs w:val="21"/>
          <w:highlight w:val="none"/>
          <w:u w:val="single"/>
        </w:rPr>
        <w:t xml:space="preserve">       </w:t>
      </w:r>
      <w:r>
        <w:rPr>
          <w:bCs/>
          <w:color w:val="auto"/>
          <w:szCs w:val="21"/>
          <w:highlight w:val="none"/>
        </w:rPr>
        <w:t>日</w:t>
      </w:r>
    </w:p>
    <w:p w14:paraId="3ED23921">
      <w:pPr>
        <w:topLinePunct/>
        <w:spacing w:line="600" w:lineRule="exact"/>
        <w:rPr>
          <w:bCs/>
          <w:color w:val="auto"/>
          <w:szCs w:val="21"/>
          <w:highlight w:val="none"/>
        </w:rPr>
      </w:pPr>
      <w:r>
        <w:rPr>
          <w:bCs/>
          <w:color w:val="auto"/>
          <w:szCs w:val="21"/>
          <w:highlight w:val="none"/>
        </w:rPr>
        <w:t>经营期限：</w:t>
      </w:r>
      <w:r>
        <w:rPr>
          <w:bCs/>
          <w:color w:val="auto"/>
          <w:szCs w:val="21"/>
          <w:highlight w:val="none"/>
          <w:u w:val="single"/>
        </w:rPr>
        <w:t xml:space="preserve">            </w:t>
      </w:r>
    </w:p>
    <w:p w14:paraId="4CC4B837">
      <w:pPr>
        <w:topLinePunct/>
        <w:spacing w:line="600" w:lineRule="exact"/>
        <w:rPr>
          <w:bCs/>
          <w:color w:val="auto"/>
          <w:szCs w:val="21"/>
          <w:highlight w:val="none"/>
          <w:u w:val="single"/>
        </w:rPr>
      </w:pPr>
      <w:r>
        <w:rPr>
          <w:bCs/>
          <w:color w:val="auto"/>
          <w:szCs w:val="21"/>
          <w:highlight w:val="none"/>
        </w:rPr>
        <w:t>姓名：</w:t>
      </w:r>
      <w:r>
        <w:rPr>
          <w:bCs/>
          <w:color w:val="auto"/>
          <w:szCs w:val="21"/>
          <w:highlight w:val="none"/>
          <w:u w:val="single"/>
        </w:rPr>
        <w:t xml:space="preserve">         </w:t>
      </w:r>
      <w:r>
        <w:rPr>
          <w:bCs/>
          <w:color w:val="auto"/>
          <w:szCs w:val="21"/>
          <w:highlight w:val="none"/>
        </w:rPr>
        <w:t>性别：</w:t>
      </w:r>
      <w:r>
        <w:rPr>
          <w:bCs/>
          <w:color w:val="auto"/>
          <w:szCs w:val="21"/>
          <w:highlight w:val="none"/>
          <w:u w:val="single"/>
        </w:rPr>
        <w:t xml:space="preserve">          </w:t>
      </w:r>
      <w:r>
        <w:rPr>
          <w:bCs/>
          <w:color w:val="auto"/>
          <w:szCs w:val="21"/>
          <w:highlight w:val="none"/>
        </w:rPr>
        <w:t>年龄：</w:t>
      </w:r>
      <w:r>
        <w:rPr>
          <w:bCs/>
          <w:color w:val="auto"/>
          <w:szCs w:val="21"/>
          <w:highlight w:val="none"/>
          <w:u w:val="single"/>
        </w:rPr>
        <w:t xml:space="preserve">        </w:t>
      </w:r>
      <w:r>
        <w:rPr>
          <w:rFonts w:hint="eastAsia"/>
          <w:bCs/>
          <w:color w:val="auto"/>
          <w:szCs w:val="21"/>
          <w:highlight w:val="none"/>
          <w:u w:val="single"/>
        </w:rPr>
        <w:t xml:space="preserve"> </w:t>
      </w:r>
      <w:r>
        <w:rPr>
          <w:bCs/>
          <w:color w:val="auto"/>
          <w:szCs w:val="21"/>
          <w:highlight w:val="none"/>
        </w:rPr>
        <w:t>职务：</w:t>
      </w:r>
      <w:r>
        <w:rPr>
          <w:bCs/>
          <w:color w:val="auto"/>
          <w:szCs w:val="21"/>
          <w:highlight w:val="none"/>
          <w:u w:val="single"/>
        </w:rPr>
        <w:t xml:space="preserve">        </w:t>
      </w:r>
      <w:r>
        <w:rPr>
          <w:rFonts w:hint="eastAsia"/>
          <w:bCs/>
          <w:color w:val="auto"/>
          <w:szCs w:val="21"/>
          <w:highlight w:val="none"/>
          <w:u w:val="single"/>
        </w:rPr>
        <w:t xml:space="preserve"> </w:t>
      </w:r>
    </w:p>
    <w:p w14:paraId="372BF04E">
      <w:pPr>
        <w:topLinePunct/>
        <w:spacing w:line="600" w:lineRule="exact"/>
        <w:rPr>
          <w:bCs/>
          <w:color w:val="auto"/>
          <w:szCs w:val="21"/>
          <w:highlight w:val="none"/>
        </w:rPr>
      </w:pPr>
      <w:r>
        <w:rPr>
          <w:bCs/>
          <w:color w:val="auto"/>
          <w:szCs w:val="21"/>
          <w:highlight w:val="none"/>
        </w:rPr>
        <w:t>系</w:t>
      </w:r>
      <w:r>
        <w:rPr>
          <w:bCs/>
          <w:color w:val="auto"/>
          <w:szCs w:val="21"/>
          <w:highlight w:val="none"/>
          <w:u w:val="single"/>
        </w:rPr>
        <w:t xml:space="preserve">                   </w:t>
      </w:r>
      <w:r>
        <w:rPr>
          <w:rFonts w:hint="eastAsia"/>
          <w:bCs/>
          <w:color w:val="auto"/>
          <w:szCs w:val="21"/>
          <w:highlight w:val="none"/>
        </w:rPr>
        <w:t>（响应人</w:t>
      </w:r>
      <w:r>
        <w:rPr>
          <w:bCs/>
          <w:color w:val="auto"/>
          <w:szCs w:val="21"/>
          <w:highlight w:val="none"/>
        </w:rPr>
        <w:t>名称</w:t>
      </w:r>
      <w:r>
        <w:rPr>
          <w:rFonts w:hint="eastAsia"/>
          <w:bCs/>
          <w:color w:val="auto"/>
          <w:szCs w:val="21"/>
          <w:highlight w:val="none"/>
        </w:rPr>
        <w:t>）</w:t>
      </w:r>
      <w:r>
        <w:rPr>
          <w:bCs/>
          <w:color w:val="auto"/>
          <w:szCs w:val="21"/>
          <w:highlight w:val="none"/>
        </w:rPr>
        <w:t>的法定代表人。</w:t>
      </w:r>
    </w:p>
    <w:p w14:paraId="086BD5B7">
      <w:pPr>
        <w:topLinePunct/>
        <w:spacing w:line="600" w:lineRule="exact"/>
        <w:ind w:firstLine="420" w:firstLineChars="200"/>
        <w:rPr>
          <w:bCs/>
          <w:color w:val="auto"/>
          <w:szCs w:val="21"/>
          <w:highlight w:val="none"/>
        </w:rPr>
      </w:pPr>
      <w:r>
        <w:rPr>
          <w:bCs/>
          <w:color w:val="auto"/>
          <w:szCs w:val="21"/>
          <w:highlight w:val="none"/>
        </w:rPr>
        <w:t>特此证明。</w:t>
      </w:r>
    </w:p>
    <w:p w14:paraId="300B81E4">
      <w:pPr>
        <w:topLinePunct/>
        <w:spacing w:line="440" w:lineRule="exact"/>
        <w:rPr>
          <w:color w:val="auto"/>
          <w:highlight w:val="none"/>
        </w:rPr>
      </w:pPr>
      <w:r>
        <w:rPr>
          <w:color w:val="auto"/>
          <w:highlight w:val="none"/>
        </w:rPr>
        <w:t>附：法定代表人身份证复印件</w:t>
      </w:r>
      <w:r>
        <w:rPr>
          <w:rFonts w:hint="eastAsia"/>
          <w:color w:val="auto"/>
          <w:highlight w:val="none"/>
        </w:rPr>
        <w:t>（</w:t>
      </w:r>
      <w:r>
        <w:rPr>
          <w:rFonts w:hint="eastAsia" w:ascii="宋体" w:hAnsi="宋体"/>
          <w:color w:val="auto"/>
          <w:szCs w:val="21"/>
          <w:highlight w:val="none"/>
        </w:rPr>
        <w:t>需同时提供正面及背面</w:t>
      </w:r>
      <w:r>
        <w:rPr>
          <w:rFonts w:hint="eastAsia"/>
          <w:color w:val="auto"/>
          <w:highlight w:val="none"/>
        </w:rPr>
        <w:t>）</w:t>
      </w:r>
    </w:p>
    <w:p w14:paraId="30F42E74">
      <w:pPr>
        <w:spacing w:line="440" w:lineRule="exact"/>
        <w:rPr>
          <w:color w:val="auto"/>
          <w:szCs w:val="21"/>
          <w:highlight w:val="none"/>
        </w:rPr>
      </w:pPr>
    </w:p>
    <w:p w14:paraId="685605A0">
      <w:pPr>
        <w:spacing w:line="500" w:lineRule="exact"/>
        <w:rPr>
          <w:rFonts w:ascii="宋体" w:hAnsi="宋体"/>
          <w:color w:val="auto"/>
          <w:szCs w:val="21"/>
          <w:highlight w:val="none"/>
        </w:rPr>
      </w:pPr>
    </w:p>
    <w:p w14:paraId="01BF2B52">
      <w:pPr>
        <w:spacing w:line="440" w:lineRule="exact"/>
        <w:rPr>
          <w:color w:val="auto"/>
          <w:szCs w:val="21"/>
          <w:highlight w:val="none"/>
        </w:rPr>
      </w:pPr>
    </w:p>
    <w:p w14:paraId="3D81DFBA">
      <w:pPr>
        <w:spacing w:line="500" w:lineRule="exact"/>
        <w:rPr>
          <w:rFonts w:ascii="宋体" w:hAnsi="宋体"/>
          <w:color w:val="auto"/>
          <w:szCs w:val="21"/>
          <w:highlight w:val="none"/>
        </w:rPr>
      </w:pPr>
    </w:p>
    <w:p w14:paraId="224B4AB5">
      <w:pPr>
        <w:spacing w:line="440" w:lineRule="exact"/>
        <w:rPr>
          <w:color w:val="auto"/>
          <w:szCs w:val="21"/>
          <w:highlight w:val="none"/>
        </w:rPr>
      </w:pPr>
    </w:p>
    <w:p w14:paraId="120A4221">
      <w:pPr>
        <w:spacing w:line="500" w:lineRule="exact"/>
        <w:rPr>
          <w:rFonts w:ascii="宋体" w:hAnsi="宋体"/>
          <w:color w:val="auto"/>
          <w:szCs w:val="21"/>
          <w:highlight w:val="none"/>
        </w:rPr>
      </w:pPr>
    </w:p>
    <w:p w14:paraId="62041A92">
      <w:pPr>
        <w:spacing w:line="440" w:lineRule="exact"/>
        <w:rPr>
          <w:color w:val="auto"/>
          <w:szCs w:val="21"/>
          <w:highlight w:val="none"/>
        </w:rPr>
      </w:pPr>
    </w:p>
    <w:p w14:paraId="7B41C969">
      <w:pPr>
        <w:spacing w:line="500" w:lineRule="exact"/>
        <w:rPr>
          <w:rFonts w:ascii="宋体" w:hAnsi="宋体"/>
          <w:color w:val="auto"/>
          <w:szCs w:val="21"/>
          <w:highlight w:val="none"/>
        </w:rPr>
      </w:pPr>
    </w:p>
    <w:p w14:paraId="7B8EE77B">
      <w:pPr>
        <w:spacing w:line="440" w:lineRule="exact"/>
        <w:rPr>
          <w:color w:val="auto"/>
          <w:szCs w:val="21"/>
          <w:highlight w:val="none"/>
        </w:rPr>
      </w:pPr>
    </w:p>
    <w:p w14:paraId="033F3EBC">
      <w:pPr>
        <w:spacing w:line="440" w:lineRule="exact"/>
        <w:rPr>
          <w:color w:val="auto"/>
          <w:szCs w:val="21"/>
          <w:highlight w:val="none"/>
        </w:rPr>
      </w:pPr>
    </w:p>
    <w:p w14:paraId="4E6B3C4F">
      <w:pPr>
        <w:spacing w:line="440" w:lineRule="exact"/>
        <w:rPr>
          <w:color w:val="auto"/>
          <w:szCs w:val="21"/>
          <w:highlight w:val="none"/>
        </w:rPr>
      </w:pPr>
    </w:p>
    <w:p w14:paraId="706260A6">
      <w:pPr>
        <w:spacing w:line="440" w:lineRule="exact"/>
        <w:ind w:firstLine="4305" w:firstLineChars="2050"/>
        <w:rPr>
          <w:color w:val="auto"/>
          <w:szCs w:val="21"/>
          <w:highlight w:val="none"/>
        </w:rPr>
      </w:pPr>
    </w:p>
    <w:p w14:paraId="48571B8C">
      <w:pPr>
        <w:spacing w:line="440" w:lineRule="exact"/>
        <w:ind w:firstLine="4305" w:firstLineChars="2050"/>
        <w:rPr>
          <w:color w:val="auto"/>
          <w:szCs w:val="21"/>
          <w:highlight w:val="none"/>
        </w:rPr>
      </w:pPr>
      <w:r>
        <w:rPr>
          <w:color w:val="auto"/>
          <w:szCs w:val="21"/>
          <w:highlight w:val="none"/>
        </w:rPr>
        <w:t>响应人：</w:t>
      </w:r>
      <w:r>
        <w:rPr>
          <w:color w:val="auto"/>
          <w:szCs w:val="21"/>
          <w:highlight w:val="none"/>
          <w:u w:val="single"/>
        </w:rPr>
        <w:t xml:space="preserve">                 </w:t>
      </w:r>
      <w:r>
        <w:rPr>
          <w:color w:val="auto"/>
          <w:szCs w:val="21"/>
          <w:highlight w:val="none"/>
        </w:rPr>
        <w:t>（盖单位公章）</w:t>
      </w:r>
    </w:p>
    <w:p w14:paraId="31194662">
      <w:pPr>
        <w:spacing w:line="440" w:lineRule="exact"/>
        <w:rPr>
          <w:color w:val="auto"/>
          <w:szCs w:val="21"/>
          <w:highlight w:val="none"/>
        </w:rPr>
      </w:pPr>
      <w:r>
        <w:rPr>
          <w:color w:val="auto"/>
          <w:szCs w:val="21"/>
          <w:highlight w:val="none"/>
        </w:rPr>
        <w:t xml:space="preserve">                                </w:t>
      </w:r>
      <w:r>
        <w:rPr>
          <w:rFonts w:hint="eastAsia"/>
          <w:color w:val="auto"/>
          <w:szCs w:val="21"/>
          <w:highlight w:val="none"/>
        </w:rPr>
        <w:t xml:space="preserve">                  </w:t>
      </w:r>
      <w:r>
        <w:rPr>
          <w:color w:val="auto"/>
          <w:szCs w:val="21"/>
          <w:highlight w:val="none"/>
          <w:u w:val="single"/>
        </w:rPr>
        <w:t xml:space="preserve">       </w:t>
      </w:r>
      <w:r>
        <w:rPr>
          <w:color w:val="auto"/>
          <w:szCs w:val="21"/>
          <w:highlight w:val="none"/>
        </w:rPr>
        <w:t>年</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color w:val="auto"/>
          <w:szCs w:val="21"/>
          <w:highlight w:val="none"/>
        </w:rPr>
        <w:t xml:space="preserve">日 </w:t>
      </w:r>
    </w:p>
    <w:p w14:paraId="36FF586D">
      <w:pPr>
        <w:widowControl/>
        <w:jc w:val="left"/>
        <w:rPr>
          <w:rFonts w:ascii="Arial" w:hAnsi="Arial" w:eastAsia="黑体"/>
          <w:bCs/>
          <w:color w:val="auto"/>
          <w:sz w:val="32"/>
          <w:szCs w:val="32"/>
          <w:highlight w:val="none"/>
        </w:rPr>
      </w:pPr>
      <w:bookmarkStart w:id="362" w:name="_Toc475483725"/>
      <w:r>
        <w:rPr>
          <w:b/>
          <w:color w:val="auto"/>
          <w:highlight w:val="none"/>
        </w:rPr>
        <w:br w:type="page"/>
      </w:r>
    </w:p>
    <w:p w14:paraId="1AA5A736">
      <w:pPr>
        <w:pStyle w:val="3"/>
        <w:jc w:val="center"/>
        <w:rPr>
          <w:b w:val="0"/>
          <w:color w:val="auto"/>
          <w:highlight w:val="none"/>
        </w:rPr>
      </w:pPr>
      <w:bookmarkStart w:id="363" w:name="_Toc28932"/>
      <w:r>
        <w:rPr>
          <w:rFonts w:hint="eastAsia"/>
          <w:b w:val="0"/>
          <w:color w:val="auto"/>
          <w:highlight w:val="none"/>
          <w:lang w:val="en-US" w:eastAsia="zh-CN"/>
        </w:rPr>
        <w:t>五</w:t>
      </w:r>
      <w:r>
        <w:rPr>
          <w:rFonts w:hint="eastAsia"/>
          <w:b w:val="0"/>
          <w:color w:val="auto"/>
          <w:highlight w:val="none"/>
        </w:rPr>
        <w:t>、法定代表人</w:t>
      </w:r>
      <w:r>
        <w:rPr>
          <w:b w:val="0"/>
          <w:color w:val="auto"/>
          <w:highlight w:val="none"/>
        </w:rPr>
        <w:t>授权委托书</w:t>
      </w:r>
      <w:bookmarkEnd w:id="362"/>
      <w:bookmarkEnd w:id="363"/>
      <w:r>
        <w:rPr>
          <w:rStyle w:val="48"/>
          <w:b w:val="0"/>
          <w:color w:val="auto"/>
          <w:highlight w:val="none"/>
        </w:rPr>
        <w:footnoteReference w:id="1"/>
      </w:r>
    </w:p>
    <w:p w14:paraId="3321CFC2">
      <w:pPr>
        <w:topLinePunct/>
        <w:spacing w:line="440" w:lineRule="exact"/>
        <w:ind w:firstLine="420" w:firstLineChars="200"/>
        <w:rPr>
          <w:color w:val="auto"/>
          <w:szCs w:val="21"/>
          <w:highlight w:val="none"/>
        </w:rPr>
      </w:pPr>
      <w:r>
        <w:rPr>
          <w:color w:val="auto"/>
          <w:szCs w:val="21"/>
          <w:highlight w:val="none"/>
        </w:rPr>
        <w:t>本人</w:t>
      </w:r>
      <w:r>
        <w:rPr>
          <w:color w:val="auto"/>
          <w:szCs w:val="21"/>
          <w:highlight w:val="none"/>
          <w:u w:val="single"/>
        </w:rPr>
        <w:t xml:space="preserve">       （姓名）</w:t>
      </w:r>
      <w:r>
        <w:rPr>
          <w:color w:val="auto"/>
          <w:szCs w:val="21"/>
          <w:highlight w:val="none"/>
        </w:rPr>
        <w:t>系</w:t>
      </w:r>
      <w:r>
        <w:rPr>
          <w:color w:val="auto"/>
          <w:szCs w:val="21"/>
          <w:highlight w:val="none"/>
          <w:u w:val="single"/>
        </w:rPr>
        <w:t xml:space="preserve"> （响应人名称）</w:t>
      </w:r>
      <w:r>
        <w:rPr>
          <w:color w:val="auto"/>
          <w:szCs w:val="21"/>
          <w:highlight w:val="none"/>
        </w:rPr>
        <w:t>的法定代表人，现委托</w:t>
      </w:r>
      <w:r>
        <w:rPr>
          <w:color w:val="auto"/>
          <w:szCs w:val="21"/>
          <w:highlight w:val="none"/>
          <w:u w:val="single"/>
        </w:rPr>
        <w:t xml:space="preserve"> </w:t>
      </w:r>
      <w:r>
        <w:rPr>
          <w:rFonts w:hint="eastAsia"/>
          <w:color w:val="auto"/>
          <w:szCs w:val="21"/>
          <w:highlight w:val="none"/>
          <w:u w:val="single"/>
        </w:rPr>
        <w:t>（姓名）</w:t>
      </w:r>
      <w:r>
        <w:rPr>
          <w:color w:val="auto"/>
          <w:szCs w:val="21"/>
          <w:highlight w:val="none"/>
        </w:rPr>
        <w:t>为我方代理人。代理人根据授权，以我方名义</w:t>
      </w:r>
      <w:r>
        <w:rPr>
          <w:rFonts w:hint="eastAsia"/>
          <w:color w:val="auto"/>
          <w:szCs w:val="21"/>
          <w:highlight w:val="none"/>
        </w:rPr>
        <w:t>全权处理</w:t>
      </w:r>
      <w:r>
        <w:rPr>
          <w:rFonts w:hint="eastAsia"/>
          <w:color w:val="auto"/>
          <w:szCs w:val="21"/>
          <w:highlight w:val="none"/>
          <w:u w:val="single"/>
        </w:rPr>
        <w:t xml:space="preserve">      </w:t>
      </w:r>
      <w:r>
        <w:rPr>
          <w:color w:val="auto"/>
          <w:szCs w:val="21"/>
          <w:highlight w:val="none"/>
          <w:u w:val="single"/>
        </w:rPr>
        <w:t>（项目名称）</w:t>
      </w:r>
      <w:r>
        <w:rPr>
          <w:rFonts w:hint="eastAsia"/>
          <w:color w:val="auto"/>
          <w:szCs w:val="21"/>
          <w:highlight w:val="none"/>
          <w:u w:val="single"/>
        </w:rPr>
        <w:t xml:space="preserve">     </w:t>
      </w:r>
      <w:r>
        <w:rPr>
          <w:rFonts w:hint="eastAsia"/>
          <w:color w:val="auto"/>
          <w:szCs w:val="21"/>
          <w:highlight w:val="none"/>
        </w:rPr>
        <w:t>标段（</w:t>
      </w:r>
      <w:r>
        <w:rPr>
          <w:color w:val="auto"/>
          <w:szCs w:val="21"/>
          <w:highlight w:val="none"/>
        </w:rPr>
        <w:t>签署、澄清</w:t>
      </w:r>
      <w:r>
        <w:rPr>
          <w:rFonts w:hint="eastAsia"/>
          <w:color w:val="auto"/>
          <w:szCs w:val="21"/>
          <w:highlight w:val="none"/>
        </w:rPr>
        <w:t>、说明、补正</w:t>
      </w:r>
      <w:r>
        <w:rPr>
          <w:color w:val="auto"/>
          <w:szCs w:val="21"/>
          <w:highlight w:val="none"/>
        </w:rPr>
        <w:t>、递交、撤回、修改响应文件</w:t>
      </w:r>
      <w:r>
        <w:rPr>
          <w:rFonts w:hint="eastAsia"/>
          <w:color w:val="auto"/>
          <w:szCs w:val="21"/>
          <w:highlight w:val="none"/>
        </w:rPr>
        <w:t>，</w:t>
      </w:r>
      <w:r>
        <w:rPr>
          <w:color w:val="auto"/>
          <w:szCs w:val="21"/>
          <w:highlight w:val="none"/>
        </w:rPr>
        <w:t>签订合同和处理</w:t>
      </w:r>
      <w:r>
        <w:rPr>
          <w:rFonts w:hint="eastAsia"/>
          <w:color w:val="auto"/>
          <w:szCs w:val="21"/>
          <w:highlight w:val="none"/>
        </w:rPr>
        <w:t>一切</w:t>
      </w:r>
      <w:r>
        <w:rPr>
          <w:color w:val="auto"/>
          <w:szCs w:val="21"/>
          <w:highlight w:val="none"/>
        </w:rPr>
        <w:t>有关事宜</w:t>
      </w:r>
      <w:r>
        <w:rPr>
          <w:rFonts w:hint="eastAsia"/>
          <w:color w:val="auto"/>
          <w:szCs w:val="21"/>
          <w:highlight w:val="none"/>
        </w:rPr>
        <w:t>）</w:t>
      </w:r>
      <w:r>
        <w:rPr>
          <w:color w:val="auto"/>
          <w:szCs w:val="21"/>
          <w:highlight w:val="none"/>
        </w:rPr>
        <w:t>，其法律后果由我方承担。</w:t>
      </w:r>
    </w:p>
    <w:p w14:paraId="424EA020">
      <w:pPr>
        <w:spacing w:line="440" w:lineRule="exact"/>
        <w:rPr>
          <w:color w:val="auto"/>
          <w:szCs w:val="21"/>
          <w:highlight w:val="none"/>
        </w:rPr>
      </w:pPr>
      <w:r>
        <w:rPr>
          <w:color w:val="auto"/>
          <w:szCs w:val="21"/>
          <w:highlight w:val="none"/>
        </w:rPr>
        <w:t xml:space="preserve">    委托期限：</w:t>
      </w:r>
      <w:r>
        <w:rPr>
          <w:color w:val="auto"/>
          <w:szCs w:val="21"/>
          <w:highlight w:val="none"/>
          <w:u w:val="single"/>
        </w:rPr>
        <w:t xml:space="preserve">             </w:t>
      </w:r>
      <w:r>
        <w:rPr>
          <w:rFonts w:hint="eastAsia"/>
          <w:color w:val="auto"/>
          <w:szCs w:val="21"/>
          <w:highlight w:val="none"/>
        </w:rPr>
        <w:t>。</w:t>
      </w:r>
    </w:p>
    <w:p w14:paraId="25DE6803">
      <w:pPr>
        <w:spacing w:line="440" w:lineRule="exact"/>
        <w:ind w:firstLine="420" w:firstLineChars="200"/>
        <w:rPr>
          <w:color w:val="auto"/>
          <w:szCs w:val="21"/>
          <w:highlight w:val="none"/>
        </w:rPr>
      </w:pPr>
      <w:r>
        <w:rPr>
          <w:color w:val="auto"/>
          <w:szCs w:val="21"/>
          <w:highlight w:val="none"/>
        </w:rPr>
        <w:t>代理人无转委托权。</w:t>
      </w:r>
    </w:p>
    <w:p w14:paraId="48C87D2F">
      <w:pPr>
        <w:spacing w:line="440" w:lineRule="exact"/>
        <w:rPr>
          <w:rFonts w:ascii="宋体" w:hAnsi="宋体"/>
          <w:color w:val="auto"/>
          <w:szCs w:val="21"/>
          <w:highlight w:val="none"/>
        </w:rPr>
      </w:pPr>
      <w:r>
        <w:rPr>
          <w:rFonts w:hint="eastAsia" w:ascii="宋体" w:hAnsi="宋体"/>
          <w:color w:val="auto"/>
          <w:szCs w:val="21"/>
          <w:highlight w:val="none"/>
        </w:rPr>
        <w:t>附：委托代理人身份证复印件(需同时提供正面及背面)</w:t>
      </w:r>
    </w:p>
    <w:p w14:paraId="5AA8D85E">
      <w:pPr>
        <w:spacing w:line="500" w:lineRule="exact"/>
        <w:rPr>
          <w:rFonts w:ascii="宋体" w:hAnsi="宋体"/>
          <w:color w:val="auto"/>
          <w:szCs w:val="21"/>
          <w:highlight w:val="none"/>
        </w:rPr>
      </w:pPr>
    </w:p>
    <w:p w14:paraId="63016212">
      <w:pPr>
        <w:spacing w:line="440" w:lineRule="exact"/>
        <w:rPr>
          <w:color w:val="auto"/>
          <w:szCs w:val="21"/>
          <w:highlight w:val="none"/>
        </w:rPr>
      </w:pPr>
    </w:p>
    <w:p w14:paraId="3DC1DC6F">
      <w:pPr>
        <w:spacing w:line="500" w:lineRule="exact"/>
        <w:rPr>
          <w:rFonts w:ascii="宋体" w:hAnsi="宋体"/>
          <w:color w:val="auto"/>
          <w:szCs w:val="21"/>
          <w:highlight w:val="none"/>
        </w:rPr>
      </w:pPr>
    </w:p>
    <w:p w14:paraId="30C3175B">
      <w:pPr>
        <w:spacing w:line="440" w:lineRule="exact"/>
        <w:rPr>
          <w:color w:val="auto"/>
          <w:szCs w:val="21"/>
          <w:highlight w:val="none"/>
        </w:rPr>
      </w:pPr>
    </w:p>
    <w:p w14:paraId="32E338FA">
      <w:pPr>
        <w:spacing w:line="440" w:lineRule="exact"/>
        <w:rPr>
          <w:color w:val="auto"/>
          <w:szCs w:val="21"/>
          <w:highlight w:val="none"/>
        </w:rPr>
      </w:pPr>
    </w:p>
    <w:p w14:paraId="25E444DF">
      <w:pPr>
        <w:spacing w:line="500" w:lineRule="exact"/>
        <w:rPr>
          <w:rFonts w:ascii="宋体" w:hAnsi="宋体"/>
          <w:color w:val="auto"/>
          <w:szCs w:val="21"/>
          <w:highlight w:val="none"/>
        </w:rPr>
      </w:pPr>
    </w:p>
    <w:p w14:paraId="7BB27DAC">
      <w:pPr>
        <w:spacing w:line="500" w:lineRule="exact"/>
        <w:rPr>
          <w:rFonts w:ascii="宋体" w:hAnsi="宋体"/>
          <w:color w:val="auto"/>
          <w:szCs w:val="21"/>
          <w:highlight w:val="none"/>
        </w:rPr>
      </w:pPr>
    </w:p>
    <w:p w14:paraId="558D800D">
      <w:pPr>
        <w:spacing w:line="500" w:lineRule="exact"/>
        <w:rPr>
          <w:rFonts w:ascii="宋体" w:hAnsi="宋体"/>
          <w:color w:val="auto"/>
          <w:szCs w:val="21"/>
          <w:highlight w:val="none"/>
        </w:rPr>
      </w:pPr>
    </w:p>
    <w:p w14:paraId="121CC715">
      <w:pPr>
        <w:spacing w:line="440" w:lineRule="exact"/>
        <w:rPr>
          <w:color w:val="auto"/>
          <w:szCs w:val="21"/>
          <w:highlight w:val="none"/>
        </w:rPr>
      </w:pPr>
    </w:p>
    <w:p w14:paraId="1FAD6FE9">
      <w:pPr>
        <w:spacing w:line="440" w:lineRule="exact"/>
        <w:rPr>
          <w:color w:val="auto"/>
          <w:szCs w:val="21"/>
          <w:highlight w:val="none"/>
        </w:rPr>
      </w:pPr>
    </w:p>
    <w:p w14:paraId="0D79DCBA">
      <w:pPr>
        <w:spacing w:line="440" w:lineRule="exact"/>
        <w:rPr>
          <w:color w:val="auto"/>
          <w:szCs w:val="21"/>
          <w:highlight w:val="none"/>
        </w:rPr>
      </w:pPr>
    </w:p>
    <w:p w14:paraId="12C32FA3">
      <w:pPr>
        <w:spacing w:line="440" w:lineRule="exact"/>
        <w:rPr>
          <w:color w:val="auto"/>
          <w:szCs w:val="21"/>
          <w:highlight w:val="none"/>
        </w:rPr>
      </w:pPr>
    </w:p>
    <w:p w14:paraId="457D24A9">
      <w:pPr>
        <w:spacing w:line="440" w:lineRule="exact"/>
        <w:jc w:val="right"/>
        <w:rPr>
          <w:color w:val="auto"/>
          <w:szCs w:val="21"/>
          <w:highlight w:val="none"/>
        </w:rPr>
      </w:pPr>
      <w:r>
        <w:rPr>
          <w:color w:val="auto"/>
          <w:szCs w:val="21"/>
          <w:highlight w:val="none"/>
        </w:rPr>
        <w:t>响应人</w:t>
      </w:r>
      <w:r>
        <w:rPr>
          <w:rFonts w:hint="eastAsia"/>
          <w:color w:val="auto"/>
          <w:szCs w:val="21"/>
          <w:highlight w:val="none"/>
        </w:rPr>
        <w:t>名称</w:t>
      </w:r>
      <w:r>
        <w:rPr>
          <w:color w:val="auto"/>
          <w:szCs w:val="21"/>
          <w:highlight w:val="none"/>
        </w:rPr>
        <w:t>：</w:t>
      </w:r>
      <w:r>
        <w:rPr>
          <w:color w:val="auto"/>
          <w:szCs w:val="21"/>
          <w:highlight w:val="none"/>
          <w:u w:val="single"/>
        </w:rPr>
        <w:t xml:space="preserve">                         </w:t>
      </w:r>
      <w:r>
        <w:rPr>
          <w:color w:val="auto"/>
          <w:szCs w:val="21"/>
          <w:highlight w:val="none"/>
        </w:rPr>
        <w:t>（盖单位公章）</w:t>
      </w:r>
    </w:p>
    <w:p w14:paraId="4F3680A7">
      <w:pPr>
        <w:spacing w:line="440" w:lineRule="exact"/>
        <w:jc w:val="right"/>
        <w:rPr>
          <w:color w:val="auto"/>
          <w:szCs w:val="21"/>
          <w:highlight w:val="none"/>
        </w:rPr>
      </w:pPr>
      <w:r>
        <w:rPr>
          <w:color w:val="auto"/>
          <w:szCs w:val="21"/>
          <w:highlight w:val="none"/>
        </w:rPr>
        <w:t>法定代表人：</w:t>
      </w:r>
      <w:r>
        <w:rPr>
          <w:color w:val="auto"/>
          <w:szCs w:val="21"/>
          <w:highlight w:val="none"/>
          <w:u w:val="single"/>
        </w:rPr>
        <w:t xml:space="preserve">                         </w:t>
      </w:r>
      <w:r>
        <w:rPr>
          <w:color w:val="auto"/>
          <w:szCs w:val="21"/>
          <w:highlight w:val="none"/>
        </w:rPr>
        <w:t>（签字</w:t>
      </w:r>
      <w:r>
        <w:rPr>
          <w:rFonts w:hint="eastAsia"/>
          <w:color w:val="auto"/>
          <w:szCs w:val="21"/>
          <w:highlight w:val="none"/>
          <w:lang w:val="en-US" w:eastAsia="zh-CN"/>
        </w:rPr>
        <w:t>或盖章</w:t>
      </w:r>
      <w:r>
        <w:rPr>
          <w:color w:val="auto"/>
          <w:szCs w:val="21"/>
          <w:highlight w:val="none"/>
        </w:rPr>
        <w:t>）</w:t>
      </w:r>
    </w:p>
    <w:p w14:paraId="2CC20A70">
      <w:pPr>
        <w:spacing w:line="440" w:lineRule="exact"/>
        <w:ind w:right="420" w:firstLine="2940" w:firstLineChars="1400"/>
        <w:rPr>
          <w:color w:val="auto"/>
          <w:szCs w:val="21"/>
          <w:highlight w:val="none"/>
        </w:rPr>
      </w:pPr>
      <w:r>
        <w:rPr>
          <w:color w:val="auto"/>
          <w:szCs w:val="21"/>
          <w:highlight w:val="none"/>
        </w:rPr>
        <w:t>身份证号码：</w:t>
      </w:r>
      <w:r>
        <w:rPr>
          <w:color w:val="auto"/>
          <w:szCs w:val="21"/>
          <w:highlight w:val="none"/>
          <w:u w:val="single"/>
        </w:rPr>
        <w:t xml:space="preserve">                                     </w:t>
      </w:r>
    </w:p>
    <w:p w14:paraId="3DAB954D">
      <w:pPr>
        <w:spacing w:line="440" w:lineRule="exact"/>
        <w:ind w:right="105"/>
        <w:jc w:val="right"/>
        <w:rPr>
          <w:color w:val="auto"/>
          <w:szCs w:val="21"/>
          <w:highlight w:val="none"/>
        </w:rPr>
      </w:pPr>
      <w:r>
        <w:rPr>
          <w:color w:val="auto"/>
          <w:szCs w:val="21"/>
          <w:highlight w:val="none"/>
        </w:rPr>
        <w:t>委托代理人：</w:t>
      </w:r>
      <w:r>
        <w:rPr>
          <w:color w:val="auto"/>
          <w:szCs w:val="21"/>
          <w:highlight w:val="none"/>
          <w:u w:val="single"/>
        </w:rPr>
        <w:t xml:space="preserve">                        </w:t>
      </w:r>
      <w:r>
        <w:rPr>
          <w:color w:val="auto"/>
          <w:szCs w:val="21"/>
          <w:highlight w:val="none"/>
        </w:rPr>
        <w:t>（签字</w:t>
      </w:r>
      <w:r>
        <w:rPr>
          <w:rFonts w:hint="eastAsia"/>
          <w:color w:val="auto"/>
          <w:szCs w:val="21"/>
          <w:highlight w:val="none"/>
          <w:lang w:val="en-US" w:eastAsia="zh-CN"/>
        </w:rPr>
        <w:t>或盖章</w:t>
      </w:r>
      <w:r>
        <w:rPr>
          <w:color w:val="auto"/>
          <w:szCs w:val="21"/>
          <w:highlight w:val="none"/>
        </w:rPr>
        <w:t xml:space="preserve">） </w:t>
      </w:r>
    </w:p>
    <w:p w14:paraId="53D6DAEE">
      <w:pPr>
        <w:spacing w:line="440" w:lineRule="exact"/>
        <w:ind w:right="420" w:firstLine="2940" w:firstLineChars="1400"/>
        <w:rPr>
          <w:color w:val="auto"/>
          <w:szCs w:val="21"/>
          <w:highlight w:val="none"/>
        </w:rPr>
      </w:pPr>
      <w:r>
        <w:rPr>
          <w:color w:val="auto"/>
          <w:szCs w:val="21"/>
          <w:highlight w:val="none"/>
        </w:rPr>
        <w:t>身份证号码：</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p>
    <w:p w14:paraId="64EB0390">
      <w:pPr>
        <w:spacing w:line="440" w:lineRule="exact"/>
        <w:ind w:firstLine="2310" w:firstLineChars="1100"/>
        <w:jc w:val="right"/>
        <w:rPr>
          <w:color w:val="auto"/>
          <w:szCs w:val="21"/>
          <w:highlight w:val="none"/>
        </w:rPr>
      </w:pPr>
      <w:r>
        <w:rPr>
          <w:color w:val="auto"/>
          <w:szCs w:val="21"/>
          <w:highlight w:val="none"/>
          <w:u w:val="single"/>
        </w:rPr>
        <w:t xml:space="preserve">       </w:t>
      </w:r>
      <w:r>
        <w:rPr>
          <w:color w:val="auto"/>
          <w:szCs w:val="21"/>
          <w:highlight w:val="none"/>
        </w:rPr>
        <w:t>年</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color w:val="auto"/>
          <w:szCs w:val="21"/>
          <w:highlight w:val="none"/>
        </w:rPr>
        <w:t>日</w:t>
      </w:r>
    </w:p>
    <w:p w14:paraId="7DC1CF6B">
      <w:pPr>
        <w:pStyle w:val="3"/>
        <w:spacing w:before="0"/>
        <w:jc w:val="center"/>
        <w:rPr>
          <w:color w:val="auto"/>
          <w:highlight w:val="none"/>
        </w:rPr>
        <w:sectPr>
          <w:pgSz w:w="11906" w:h="16838"/>
          <w:pgMar w:top="1418" w:right="1800" w:bottom="1440" w:left="1800" w:header="851" w:footer="992" w:gutter="0"/>
          <w:pgNumType w:fmt="decimal"/>
          <w:cols w:space="720" w:num="1"/>
          <w:docGrid w:type="lines" w:linePitch="312" w:charSpace="0"/>
        </w:sectPr>
      </w:pPr>
    </w:p>
    <w:p w14:paraId="2942FC35">
      <w:pPr>
        <w:spacing w:line="400" w:lineRule="exact"/>
        <w:rPr>
          <w:rFonts w:eastAsia="黑体"/>
          <w:color w:val="auto"/>
          <w:sz w:val="27"/>
          <w:szCs w:val="27"/>
          <w:highlight w:val="none"/>
        </w:rPr>
      </w:pPr>
    </w:p>
    <w:p w14:paraId="56D320F4">
      <w:pPr>
        <w:pStyle w:val="3"/>
        <w:jc w:val="center"/>
        <w:rPr>
          <w:color w:val="auto"/>
          <w:highlight w:val="none"/>
        </w:rPr>
      </w:pPr>
      <w:bookmarkStart w:id="364" w:name="_Toc179632816"/>
      <w:bookmarkStart w:id="365" w:name="_Toc246997107"/>
      <w:bookmarkStart w:id="366" w:name="_Toc246996364"/>
      <w:bookmarkStart w:id="367" w:name="_Toc338669155"/>
      <w:bookmarkStart w:id="368" w:name="_Toc152042585"/>
      <w:bookmarkStart w:id="369" w:name="_Toc26780"/>
      <w:bookmarkStart w:id="370" w:name="_Toc144974864"/>
      <w:bookmarkStart w:id="371" w:name="_Toc247085882"/>
      <w:bookmarkStart w:id="372" w:name="_Toc152045796"/>
      <w:r>
        <w:rPr>
          <w:rFonts w:hint="eastAsia"/>
          <w:color w:val="auto"/>
          <w:highlight w:val="none"/>
          <w:lang w:val="en-US" w:eastAsia="zh-CN"/>
        </w:rPr>
        <w:t>六</w:t>
      </w:r>
      <w:r>
        <w:rPr>
          <w:color w:val="auto"/>
          <w:highlight w:val="none"/>
        </w:rPr>
        <w:t>、</w:t>
      </w:r>
      <w:r>
        <w:rPr>
          <w:rFonts w:hint="eastAsia"/>
          <w:color w:val="auto"/>
          <w:highlight w:val="none"/>
        </w:rPr>
        <w:t>项目</w:t>
      </w:r>
      <w:r>
        <w:rPr>
          <w:color w:val="auto"/>
          <w:highlight w:val="none"/>
        </w:rPr>
        <w:t>方案</w:t>
      </w:r>
      <w:bookmarkEnd w:id="364"/>
      <w:bookmarkEnd w:id="365"/>
      <w:bookmarkEnd w:id="366"/>
      <w:bookmarkEnd w:id="367"/>
      <w:bookmarkEnd w:id="368"/>
      <w:bookmarkEnd w:id="369"/>
      <w:bookmarkEnd w:id="370"/>
      <w:bookmarkEnd w:id="371"/>
      <w:bookmarkEnd w:id="372"/>
    </w:p>
    <w:p w14:paraId="7BDDE30B">
      <w:pPr>
        <w:spacing w:line="440" w:lineRule="exact"/>
        <w:rPr>
          <w:color w:val="auto"/>
          <w:szCs w:val="21"/>
          <w:highlight w:val="none"/>
        </w:rPr>
      </w:pPr>
      <w:r>
        <w:rPr>
          <w:rFonts w:hint="eastAsia"/>
          <w:color w:val="auto"/>
          <w:szCs w:val="21"/>
          <w:highlight w:val="none"/>
        </w:rPr>
        <w:t>响应人应根据第四章“用户需求书”中的要求制定整体实施方案、质量保障</w:t>
      </w:r>
      <w:r>
        <w:rPr>
          <w:rFonts w:hint="eastAsia"/>
          <w:color w:val="auto"/>
          <w:szCs w:val="21"/>
          <w:highlight w:val="none"/>
          <w:lang w:val="en-US" w:eastAsia="zh-CN"/>
        </w:rPr>
        <w:t>及</w:t>
      </w:r>
      <w:r>
        <w:rPr>
          <w:rFonts w:hint="eastAsia"/>
          <w:color w:val="auto"/>
          <w:szCs w:val="21"/>
          <w:highlight w:val="none"/>
        </w:rPr>
        <w:t>应急预案。竞争性谈判方可以根据实际情况增加内容，但不得擅自减少有关内容。格式自拟。</w:t>
      </w:r>
    </w:p>
    <w:p w14:paraId="1846C2D1">
      <w:pPr>
        <w:widowControl/>
        <w:jc w:val="left"/>
        <w:rPr>
          <w:color w:val="auto"/>
          <w:szCs w:val="21"/>
          <w:highlight w:val="none"/>
        </w:rPr>
      </w:pPr>
      <w:r>
        <w:rPr>
          <w:color w:val="auto"/>
          <w:szCs w:val="21"/>
          <w:highlight w:val="none"/>
        </w:rPr>
        <w:br w:type="page"/>
      </w:r>
    </w:p>
    <w:p w14:paraId="6ECC7BC6">
      <w:pPr>
        <w:pStyle w:val="3"/>
        <w:jc w:val="center"/>
        <w:rPr>
          <w:color w:val="auto"/>
          <w:szCs w:val="21"/>
          <w:highlight w:val="none"/>
        </w:rPr>
      </w:pPr>
      <w:bookmarkStart w:id="373" w:name="_Toc25668"/>
      <w:r>
        <w:rPr>
          <w:rFonts w:hint="eastAsia"/>
          <w:color w:val="auto"/>
          <w:highlight w:val="none"/>
          <w:lang w:val="en-US" w:eastAsia="zh-CN"/>
        </w:rPr>
        <w:t>七</w:t>
      </w:r>
      <w:r>
        <w:rPr>
          <w:color w:val="auto"/>
          <w:highlight w:val="none"/>
        </w:rPr>
        <w:t>、项目管理机构</w:t>
      </w:r>
      <w:bookmarkEnd w:id="373"/>
    </w:p>
    <w:p w14:paraId="4A350CB8">
      <w:pPr>
        <w:spacing w:before="312" w:beforeLines="100" w:after="312" w:afterLines="100" w:line="440" w:lineRule="exact"/>
        <w:jc w:val="center"/>
        <w:rPr>
          <w:rFonts w:ascii="Arial" w:hAnsi="Arial" w:eastAsia="黑体"/>
          <w:b/>
          <w:bCs/>
          <w:color w:val="auto"/>
          <w:sz w:val="32"/>
          <w:szCs w:val="32"/>
          <w:highlight w:val="none"/>
        </w:rPr>
      </w:pPr>
      <w:bookmarkStart w:id="374" w:name="_Toc334766997"/>
      <w:bookmarkStart w:id="375" w:name="_Toc152045804"/>
      <w:bookmarkStart w:id="376" w:name="_Toc246997113"/>
      <w:bookmarkStart w:id="377" w:name="_Toc332188244"/>
      <w:bookmarkStart w:id="378" w:name="_Toc246996370"/>
      <w:bookmarkStart w:id="379" w:name="_Toc179632824"/>
      <w:bookmarkStart w:id="380" w:name="_Toc144974872"/>
      <w:bookmarkStart w:id="381" w:name="_Toc152042593"/>
      <w:bookmarkStart w:id="382" w:name="_Toc326223615"/>
      <w:bookmarkStart w:id="383" w:name="_Toc247085888"/>
      <w:r>
        <w:rPr>
          <w:rFonts w:ascii="Arial" w:hAnsi="Arial" w:eastAsia="黑体"/>
          <w:b/>
          <w:bCs/>
          <w:color w:val="auto"/>
          <w:sz w:val="32"/>
          <w:szCs w:val="32"/>
          <w:highlight w:val="none"/>
        </w:rPr>
        <w:t>（一）项目管理机构组成表</w:t>
      </w:r>
      <w:bookmarkEnd w:id="374"/>
      <w:bookmarkEnd w:id="375"/>
      <w:bookmarkEnd w:id="376"/>
      <w:bookmarkEnd w:id="377"/>
      <w:bookmarkEnd w:id="378"/>
      <w:bookmarkEnd w:id="379"/>
      <w:bookmarkEnd w:id="380"/>
      <w:bookmarkEnd w:id="381"/>
      <w:bookmarkEnd w:id="382"/>
      <w:bookmarkEnd w:id="383"/>
    </w:p>
    <w:tbl>
      <w:tblPr>
        <w:tblStyle w:val="40"/>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902"/>
        <w:gridCol w:w="870"/>
        <w:gridCol w:w="644"/>
        <w:gridCol w:w="772"/>
        <w:gridCol w:w="644"/>
        <w:gridCol w:w="644"/>
        <w:gridCol w:w="645"/>
        <w:gridCol w:w="901"/>
        <w:gridCol w:w="1704"/>
      </w:tblGrid>
      <w:tr w14:paraId="5ABB7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1030" w:type="dxa"/>
            <w:vMerge w:val="restart"/>
            <w:vAlign w:val="center"/>
          </w:tcPr>
          <w:p w14:paraId="32478409">
            <w:pPr>
              <w:spacing w:line="440" w:lineRule="exact"/>
              <w:jc w:val="center"/>
              <w:rPr>
                <w:color w:val="auto"/>
                <w:szCs w:val="21"/>
                <w:highlight w:val="none"/>
              </w:rPr>
            </w:pPr>
            <w:r>
              <w:rPr>
                <w:color w:val="auto"/>
                <w:szCs w:val="21"/>
                <w:highlight w:val="none"/>
              </w:rPr>
              <w:t>职务</w:t>
            </w:r>
          </w:p>
        </w:tc>
        <w:tc>
          <w:tcPr>
            <w:tcW w:w="902" w:type="dxa"/>
            <w:vMerge w:val="restart"/>
            <w:vAlign w:val="center"/>
          </w:tcPr>
          <w:p w14:paraId="6FC31B81">
            <w:pPr>
              <w:spacing w:line="440" w:lineRule="exact"/>
              <w:jc w:val="center"/>
              <w:rPr>
                <w:color w:val="auto"/>
                <w:szCs w:val="21"/>
                <w:highlight w:val="none"/>
              </w:rPr>
            </w:pPr>
            <w:r>
              <w:rPr>
                <w:color w:val="auto"/>
                <w:szCs w:val="21"/>
                <w:highlight w:val="none"/>
              </w:rPr>
              <w:t>姓名</w:t>
            </w:r>
          </w:p>
        </w:tc>
        <w:tc>
          <w:tcPr>
            <w:tcW w:w="870" w:type="dxa"/>
            <w:vMerge w:val="restart"/>
            <w:vAlign w:val="center"/>
          </w:tcPr>
          <w:p w14:paraId="75BF703D">
            <w:pPr>
              <w:spacing w:line="440" w:lineRule="exact"/>
              <w:jc w:val="center"/>
              <w:rPr>
                <w:color w:val="auto"/>
                <w:szCs w:val="21"/>
                <w:highlight w:val="none"/>
              </w:rPr>
            </w:pPr>
            <w:r>
              <w:rPr>
                <w:color w:val="auto"/>
                <w:szCs w:val="21"/>
                <w:highlight w:val="none"/>
              </w:rPr>
              <w:t>职称</w:t>
            </w:r>
          </w:p>
        </w:tc>
        <w:tc>
          <w:tcPr>
            <w:tcW w:w="644" w:type="dxa"/>
            <w:vMerge w:val="restart"/>
            <w:vAlign w:val="center"/>
          </w:tcPr>
          <w:p w14:paraId="347BD618">
            <w:pPr>
              <w:spacing w:line="440" w:lineRule="exact"/>
              <w:jc w:val="center"/>
              <w:rPr>
                <w:color w:val="auto"/>
                <w:szCs w:val="21"/>
                <w:highlight w:val="none"/>
              </w:rPr>
            </w:pPr>
            <w:r>
              <w:rPr>
                <w:rFonts w:hint="eastAsia"/>
                <w:color w:val="auto"/>
                <w:szCs w:val="21"/>
                <w:highlight w:val="none"/>
              </w:rPr>
              <w:t>学历</w:t>
            </w:r>
          </w:p>
        </w:tc>
        <w:tc>
          <w:tcPr>
            <w:tcW w:w="2705" w:type="dxa"/>
            <w:gridSpan w:val="4"/>
            <w:vAlign w:val="center"/>
          </w:tcPr>
          <w:p w14:paraId="2DB63185">
            <w:pPr>
              <w:spacing w:line="440" w:lineRule="exact"/>
              <w:jc w:val="center"/>
              <w:rPr>
                <w:color w:val="auto"/>
                <w:szCs w:val="21"/>
                <w:highlight w:val="none"/>
              </w:rPr>
            </w:pPr>
            <w:r>
              <w:rPr>
                <w:color w:val="auto"/>
                <w:szCs w:val="21"/>
                <w:highlight w:val="none"/>
              </w:rPr>
              <w:t>执业或职业资格证明</w:t>
            </w:r>
          </w:p>
        </w:tc>
        <w:tc>
          <w:tcPr>
            <w:tcW w:w="901" w:type="dxa"/>
            <w:vMerge w:val="restart"/>
            <w:vAlign w:val="center"/>
          </w:tcPr>
          <w:p w14:paraId="7F85125E">
            <w:pPr>
              <w:spacing w:line="440" w:lineRule="exact"/>
              <w:jc w:val="center"/>
              <w:rPr>
                <w:color w:val="auto"/>
                <w:szCs w:val="21"/>
                <w:highlight w:val="none"/>
              </w:rPr>
            </w:pPr>
            <w:r>
              <w:rPr>
                <w:rFonts w:hint="eastAsia"/>
                <w:color w:val="auto"/>
                <w:szCs w:val="21"/>
                <w:highlight w:val="none"/>
              </w:rPr>
              <w:t>同类项目工作年限（年）</w:t>
            </w:r>
          </w:p>
        </w:tc>
        <w:tc>
          <w:tcPr>
            <w:tcW w:w="1704" w:type="dxa"/>
            <w:vMerge w:val="restart"/>
            <w:vAlign w:val="center"/>
          </w:tcPr>
          <w:p w14:paraId="4D0BF27A">
            <w:pPr>
              <w:spacing w:line="440" w:lineRule="exact"/>
              <w:jc w:val="center"/>
              <w:rPr>
                <w:color w:val="auto"/>
                <w:szCs w:val="21"/>
                <w:highlight w:val="none"/>
              </w:rPr>
            </w:pPr>
            <w:r>
              <w:rPr>
                <w:rFonts w:hint="eastAsia"/>
                <w:color w:val="auto"/>
                <w:szCs w:val="21"/>
                <w:highlight w:val="none"/>
              </w:rPr>
              <w:t>工作简介（项目经验）</w:t>
            </w:r>
          </w:p>
        </w:tc>
      </w:tr>
      <w:tr w14:paraId="67847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8" w:hRule="atLeast"/>
        </w:trPr>
        <w:tc>
          <w:tcPr>
            <w:tcW w:w="1030" w:type="dxa"/>
            <w:vMerge w:val="continue"/>
            <w:vAlign w:val="center"/>
          </w:tcPr>
          <w:p w14:paraId="7F6B3051">
            <w:pPr>
              <w:spacing w:line="440" w:lineRule="exact"/>
              <w:jc w:val="center"/>
              <w:rPr>
                <w:color w:val="auto"/>
                <w:szCs w:val="21"/>
                <w:highlight w:val="none"/>
              </w:rPr>
            </w:pPr>
          </w:p>
        </w:tc>
        <w:tc>
          <w:tcPr>
            <w:tcW w:w="902" w:type="dxa"/>
            <w:vMerge w:val="continue"/>
            <w:vAlign w:val="center"/>
          </w:tcPr>
          <w:p w14:paraId="4BCD241D">
            <w:pPr>
              <w:spacing w:line="440" w:lineRule="exact"/>
              <w:jc w:val="center"/>
              <w:rPr>
                <w:color w:val="auto"/>
                <w:szCs w:val="21"/>
                <w:highlight w:val="none"/>
              </w:rPr>
            </w:pPr>
          </w:p>
        </w:tc>
        <w:tc>
          <w:tcPr>
            <w:tcW w:w="870" w:type="dxa"/>
            <w:vMerge w:val="continue"/>
            <w:vAlign w:val="center"/>
          </w:tcPr>
          <w:p w14:paraId="1F786BF8">
            <w:pPr>
              <w:spacing w:line="440" w:lineRule="exact"/>
              <w:jc w:val="center"/>
              <w:rPr>
                <w:color w:val="auto"/>
                <w:szCs w:val="21"/>
                <w:highlight w:val="none"/>
              </w:rPr>
            </w:pPr>
          </w:p>
        </w:tc>
        <w:tc>
          <w:tcPr>
            <w:tcW w:w="644" w:type="dxa"/>
            <w:vMerge w:val="continue"/>
            <w:vAlign w:val="center"/>
          </w:tcPr>
          <w:p w14:paraId="10E510E8">
            <w:pPr>
              <w:spacing w:line="440" w:lineRule="exact"/>
              <w:jc w:val="center"/>
              <w:rPr>
                <w:color w:val="auto"/>
                <w:szCs w:val="21"/>
                <w:highlight w:val="none"/>
              </w:rPr>
            </w:pPr>
          </w:p>
        </w:tc>
        <w:tc>
          <w:tcPr>
            <w:tcW w:w="772" w:type="dxa"/>
            <w:vAlign w:val="center"/>
          </w:tcPr>
          <w:p w14:paraId="77084E1C">
            <w:pPr>
              <w:spacing w:line="440" w:lineRule="exact"/>
              <w:jc w:val="center"/>
              <w:rPr>
                <w:color w:val="auto"/>
                <w:szCs w:val="21"/>
                <w:highlight w:val="none"/>
              </w:rPr>
            </w:pPr>
            <w:r>
              <w:rPr>
                <w:color w:val="auto"/>
                <w:szCs w:val="21"/>
                <w:highlight w:val="none"/>
              </w:rPr>
              <w:t>证书名称</w:t>
            </w:r>
          </w:p>
        </w:tc>
        <w:tc>
          <w:tcPr>
            <w:tcW w:w="644" w:type="dxa"/>
            <w:vAlign w:val="center"/>
          </w:tcPr>
          <w:p w14:paraId="49E9C1F2">
            <w:pPr>
              <w:spacing w:line="440" w:lineRule="exact"/>
              <w:jc w:val="center"/>
              <w:rPr>
                <w:color w:val="auto"/>
                <w:szCs w:val="21"/>
                <w:highlight w:val="none"/>
              </w:rPr>
            </w:pPr>
            <w:r>
              <w:rPr>
                <w:color w:val="auto"/>
                <w:szCs w:val="21"/>
                <w:highlight w:val="none"/>
              </w:rPr>
              <w:t>级别</w:t>
            </w:r>
          </w:p>
        </w:tc>
        <w:tc>
          <w:tcPr>
            <w:tcW w:w="644" w:type="dxa"/>
            <w:vAlign w:val="center"/>
          </w:tcPr>
          <w:p w14:paraId="3AB253C2">
            <w:pPr>
              <w:spacing w:line="440" w:lineRule="exact"/>
              <w:jc w:val="center"/>
              <w:rPr>
                <w:color w:val="auto"/>
                <w:szCs w:val="21"/>
                <w:highlight w:val="none"/>
              </w:rPr>
            </w:pPr>
            <w:r>
              <w:rPr>
                <w:color w:val="auto"/>
                <w:szCs w:val="21"/>
                <w:highlight w:val="none"/>
              </w:rPr>
              <w:t>证号</w:t>
            </w:r>
          </w:p>
        </w:tc>
        <w:tc>
          <w:tcPr>
            <w:tcW w:w="645" w:type="dxa"/>
            <w:vAlign w:val="center"/>
          </w:tcPr>
          <w:p w14:paraId="7891A8CA">
            <w:pPr>
              <w:spacing w:line="440" w:lineRule="exact"/>
              <w:jc w:val="center"/>
              <w:rPr>
                <w:color w:val="auto"/>
                <w:szCs w:val="21"/>
                <w:highlight w:val="none"/>
              </w:rPr>
            </w:pPr>
            <w:r>
              <w:rPr>
                <w:color w:val="auto"/>
                <w:szCs w:val="21"/>
                <w:highlight w:val="none"/>
              </w:rPr>
              <w:t>专业</w:t>
            </w:r>
          </w:p>
        </w:tc>
        <w:tc>
          <w:tcPr>
            <w:tcW w:w="901" w:type="dxa"/>
            <w:vMerge w:val="continue"/>
            <w:vAlign w:val="center"/>
          </w:tcPr>
          <w:p w14:paraId="62313807">
            <w:pPr>
              <w:spacing w:line="440" w:lineRule="exact"/>
              <w:jc w:val="center"/>
              <w:rPr>
                <w:color w:val="auto"/>
                <w:szCs w:val="21"/>
                <w:highlight w:val="none"/>
              </w:rPr>
            </w:pPr>
          </w:p>
        </w:tc>
        <w:tc>
          <w:tcPr>
            <w:tcW w:w="1704" w:type="dxa"/>
            <w:vMerge w:val="continue"/>
            <w:vAlign w:val="center"/>
          </w:tcPr>
          <w:p w14:paraId="4065555C">
            <w:pPr>
              <w:spacing w:line="440" w:lineRule="exact"/>
              <w:jc w:val="center"/>
              <w:rPr>
                <w:color w:val="auto"/>
                <w:szCs w:val="21"/>
                <w:highlight w:val="none"/>
              </w:rPr>
            </w:pPr>
          </w:p>
        </w:tc>
      </w:tr>
      <w:tr w14:paraId="13DCF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vAlign w:val="center"/>
          </w:tcPr>
          <w:p w14:paraId="2C6D8EA5">
            <w:pPr>
              <w:spacing w:line="440" w:lineRule="exact"/>
              <w:jc w:val="center"/>
              <w:rPr>
                <w:color w:val="auto"/>
                <w:szCs w:val="21"/>
                <w:highlight w:val="none"/>
              </w:rPr>
            </w:pPr>
          </w:p>
        </w:tc>
        <w:tc>
          <w:tcPr>
            <w:tcW w:w="902" w:type="dxa"/>
            <w:vAlign w:val="center"/>
          </w:tcPr>
          <w:p w14:paraId="47011F9A">
            <w:pPr>
              <w:spacing w:line="440" w:lineRule="exact"/>
              <w:jc w:val="center"/>
              <w:rPr>
                <w:color w:val="auto"/>
                <w:szCs w:val="21"/>
                <w:highlight w:val="none"/>
              </w:rPr>
            </w:pPr>
          </w:p>
        </w:tc>
        <w:tc>
          <w:tcPr>
            <w:tcW w:w="870" w:type="dxa"/>
            <w:vAlign w:val="center"/>
          </w:tcPr>
          <w:p w14:paraId="128B25E2">
            <w:pPr>
              <w:spacing w:line="440" w:lineRule="exact"/>
              <w:jc w:val="center"/>
              <w:rPr>
                <w:color w:val="auto"/>
                <w:szCs w:val="21"/>
                <w:highlight w:val="none"/>
              </w:rPr>
            </w:pPr>
          </w:p>
        </w:tc>
        <w:tc>
          <w:tcPr>
            <w:tcW w:w="644" w:type="dxa"/>
            <w:vAlign w:val="center"/>
          </w:tcPr>
          <w:p w14:paraId="43ADDB1E">
            <w:pPr>
              <w:spacing w:line="440" w:lineRule="exact"/>
              <w:jc w:val="center"/>
              <w:rPr>
                <w:color w:val="auto"/>
                <w:szCs w:val="21"/>
                <w:highlight w:val="none"/>
              </w:rPr>
            </w:pPr>
          </w:p>
        </w:tc>
        <w:tc>
          <w:tcPr>
            <w:tcW w:w="772" w:type="dxa"/>
            <w:vAlign w:val="center"/>
          </w:tcPr>
          <w:p w14:paraId="28FB3C2D">
            <w:pPr>
              <w:spacing w:line="440" w:lineRule="exact"/>
              <w:jc w:val="center"/>
              <w:rPr>
                <w:color w:val="auto"/>
                <w:szCs w:val="21"/>
                <w:highlight w:val="none"/>
              </w:rPr>
            </w:pPr>
          </w:p>
        </w:tc>
        <w:tc>
          <w:tcPr>
            <w:tcW w:w="644" w:type="dxa"/>
            <w:vAlign w:val="center"/>
          </w:tcPr>
          <w:p w14:paraId="3457E9CA">
            <w:pPr>
              <w:spacing w:line="440" w:lineRule="exact"/>
              <w:jc w:val="center"/>
              <w:rPr>
                <w:color w:val="auto"/>
                <w:szCs w:val="21"/>
                <w:highlight w:val="none"/>
              </w:rPr>
            </w:pPr>
          </w:p>
        </w:tc>
        <w:tc>
          <w:tcPr>
            <w:tcW w:w="644" w:type="dxa"/>
            <w:vAlign w:val="center"/>
          </w:tcPr>
          <w:p w14:paraId="19EE2794">
            <w:pPr>
              <w:spacing w:line="440" w:lineRule="exact"/>
              <w:jc w:val="center"/>
              <w:rPr>
                <w:color w:val="auto"/>
                <w:szCs w:val="21"/>
                <w:highlight w:val="none"/>
              </w:rPr>
            </w:pPr>
          </w:p>
        </w:tc>
        <w:tc>
          <w:tcPr>
            <w:tcW w:w="645" w:type="dxa"/>
            <w:vAlign w:val="center"/>
          </w:tcPr>
          <w:p w14:paraId="7768932F">
            <w:pPr>
              <w:spacing w:line="440" w:lineRule="exact"/>
              <w:jc w:val="center"/>
              <w:rPr>
                <w:color w:val="auto"/>
                <w:szCs w:val="21"/>
                <w:highlight w:val="none"/>
              </w:rPr>
            </w:pPr>
          </w:p>
        </w:tc>
        <w:tc>
          <w:tcPr>
            <w:tcW w:w="901" w:type="dxa"/>
            <w:vAlign w:val="center"/>
          </w:tcPr>
          <w:p w14:paraId="69E8DD74">
            <w:pPr>
              <w:spacing w:line="440" w:lineRule="exact"/>
              <w:jc w:val="center"/>
              <w:rPr>
                <w:color w:val="auto"/>
                <w:szCs w:val="21"/>
                <w:highlight w:val="none"/>
              </w:rPr>
            </w:pPr>
          </w:p>
        </w:tc>
        <w:tc>
          <w:tcPr>
            <w:tcW w:w="1704" w:type="dxa"/>
            <w:vAlign w:val="center"/>
          </w:tcPr>
          <w:p w14:paraId="0815EB20">
            <w:pPr>
              <w:spacing w:line="440" w:lineRule="exact"/>
              <w:jc w:val="center"/>
              <w:rPr>
                <w:color w:val="auto"/>
                <w:szCs w:val="21"/>
                <w:highlight w:val="none"/>
              </w:rPr>
            </w:pPr>
          </w:p>
        </w:tc>
      </w:tr>
      <w:tr w14:paraId="03FD8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21AA9549">
            <w:pPr>
              <w:spacing w:line="440" w:lineRule="exact"/>
              <w:jc w:val="center"/>
              <w:rPr>
                <w:color w:val="auto"/>
                <w:szCs w:val="21"/>
                <w:highlight w:val="none"/>
              </w:rPr>
            </w:pPr>
          </w:p>
        </w:tc>
        <w:tc>
          <w:tcPr>
            <w:tcW w:w="902" w:type="dxa"/>
          </w:tcPr>
          <w:p w14:paraId="6680A2C2">
            <w:pPr>
              <w:spacing w:line="440" w:lineRule="exact"/>
              <w:jc w:val="center"/>
              <w:rPr>
                <w:color w:val="auto"/>
                <w:szCs w:val="21"/>
                <w:highlight w:val="none"/>
              </w:rPr>
            </w:pPr>
          </w:p>
        </w:tc>
        <w:tc>
          <w:tcPr>
            <w:tcW w:w="870" w:type="dxa"/>
          </w:tcPr>
          <w:p w14:paraId="492643ED">
            <w:pPr>
              <w:spacing w:line="440" w:lineRule="exact"/>
              <w:jc w:val="center"/>
              <w:rPr>
                <w:color w:val="auto"/>
                <w:szCs w:val="21"/>
                <w:highlight w:val="none"/>
              </w:rPr>
            </w:pPr>
          </w:p>
        </w:tc>
        <w:tc>
          <w:tcPr>
            <w:tcW w:w="644" w:type="dxa"/>
          </w:tcPr>
          <w:p w14:paraId="78E32B70">
            <w:pPr>
              <w:spacing w:line="440" w:lineRule="exact"/>
              <w:jc w:val="center"/>
              <w:rPr>
                <w:color w:val="auto"/>
                <w:szCs w:val="21"/>
                <w:highlight w:val="none"/>
              </w:rPr>
            </w:pPr>
          </w:p>
        </w:tc>
        <w:tc>
          <w:tcPr>
            <w:tcW w:w="772" w:type="dxa"/>
          </w:tcPr>
          <w:p w14:paraId="464AEC4C">
            <w:pPr>
              <w:spacing w:line="440" w:lineRule="exact"/>
              <w:jc w:val="center"/>
              <w:rPr>
                <w:color w:val="auto"/>
                <w:szCs w:val="21"/>
                <w:highlight w:val="none"/>
              </w:rPr>
            </w:pPr>
          </w:p>
        </w:tc>
        <w:tc>
          <w:tcPr>
            <w:tcW w:w="644" w:type="dxa"/>
          </w:tcPr>
          <w:p w14:paraId="48AE9F42">
            <w:pPr>
              <w:spacing w:line="440" w:lineRule="exact"/>
              <w:jc w:val="center"/>
              <w:rPr>
                <w:color w:val="auto"/>
                <w:szCs w:val="21"/>
                <w:highlight w:val="none"/>
              </w:rPr>
            </w:pPr>
          </w:p>
        </w:tc>
        <w:tc>
          <w:tcPr>
            <w:tcW w:w="644" w:type="dxa"/>
          </w:tcPr>
          <w:p w14:paraId="4B1D4378">
            <w:pPr>
              <w:spacing w:line="440" w:lineRule="exact"/>
              <w:jc w:val="center"/>
              <w:rPr>
                <w:color w:val="auto"/>
                <w:szCs w:val="21"/>
                <w:highlight w:val="none"/>
              </w:rPr>
            </w:pPr>
          </w:p>
        </w:tc>
        <w:tc>
          <w:tcPr>
            <w:tcW w:w="645" w:type="dxa"/>
          </w:tcPr>
          <w:p w14:paraId="2EC60C96">
            <w:pPr>
              <w:spacing w:line="440" w:lineRule="exact"/>
              <w:jc w:val="center"/>
              <w:rPr>
                <w:color w:val="auto"/>
                <w:szCs w:val="21"/>
                <w:highlight w:val="none"/>
              </w:rPr>
            </w:pPr>
          </w:p>
        </w:tc>
        <w:tc>
          <w:tcPr>
            <w:tcW w:w="901" w:type="dxa"/>
          </w:tcPr>
          <w:p w14:paraId="0923CDBF">
            <w:pPr>
              <w:spacing w:line="440" w:lineRule="exact"/>
              <w:jc w:val="center"/>
              <w:rPr>
                <w:color w:val="auto"/>
                <w:szCs w:val="21"/>
                <w:highlight w:val="none"/>
              </w:rPr>
            </w:pPr>
          </w:p>
        </w:tc>
        <w:tc>
          <w:tcPr>
            <w:tcW w:w="1704" w:type="dxa"/>
          </w:tcPr>
          <w:p w14:paraId="7A31165B">
            <w:pPr>
              <w:spacing w:line="440" w:lineRule="exact"/>
              <w:jc w:val="center"/>
              <w:rPr>
                <w:color w:val="auto"/>
                <w:szCs w:val="21"/>
                <w:highlight w:val="none"/>
              </w:rPr>
            </w:pPr>
          </w:p>
        </w:tc>
      </w:tr>
      <w:tr w14:paraId="528CF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4DB946D1">
            <w:pPr>
              <w:spacing w:line="440" w:lineRule="exact"/>
              <w:jc w:val="center"/>
              <w:rPr>
                <w:color w:val="auto"/>
                <w:szCs w:val="21"/>
                <w:highlight w:val="none"/>
              </w:rPr>
            </w:pPr>
          </w:p>
        </w:tc>
        <w:tc>
          <w:tcPr>
            <w:tcW w:w="902" w:type="dxa"/>
          </w:tcPr>
          <w:p w14:paraId="3501ED31">
            <w:pPr>
              <w:spacing w:line="440" w:lineRule="exact"/>
              <w:jc w:val="center"/>
              <w:rPr>
                <w:color w:val="auto"/>
                <w:szCs w:val="21"/>
                <w:highlight w:val="none"/>
              </w:rPr>
            </w:pPr>
          </w:p>
        </w:tc>
        <w:tc>
          <w:tcPr>
            <w:tcW w:w="870" w:type="dxa"/>
          </w:tcPr>
          <w:p w14:paraId="2FBBD999">
            <w:pPr>
              <w:spacing w:line="440" w:lineRule="exact"/>
              <w:jc w:val="center"/>
              <w:rPr>
                <w:color w:val="auto"/>
                <w:szCs w:val="21"/>
                <w:highlight w:val="none"/>
              </w:rPr>
            </w:pPr>
          </w:p>
        </w:tc>
        <w:tc>
          <w:tcPr>
            <w:tcW w:w="644" w:type="dxa"/>
          </w:tcPr>
          <w:p w14:paraId="2C0D367C">
            <w:pPr>
              <w:spacing w:line="440" w:lineRule="exact"/>
              <w:jc w:val="center"/>
              <w:rPr>
                <w:color w:val="auto"/>
                <w:szCs w:val="21"/>
                <w:highlight w:val="none"/>
              </w:rPr>
            </w:pPr>
          </w:p>
        </w:tc>
        <w:tc>
          <w:tcPr>
            <w:tcW w:w="772" w:type="dxa"/>
          </w:tcPr>
          <w:p w14:paraId="1F4F318F">
            <w:pPr>
              <w:spacing w:line="440" w:lineRule="exact"/>
              <w:jc w:val="center"/>
              <w:rPr>
                <w:color w:val="auto"/>
                <w:szCs w:val="21"/>
                <w:highlight w:val="none"/>
              </w:rPr>
            </w:pPr>
          </w:p>
        </w:tc>
        <w:tc>
          <w:tcPr>
            <w:tcW w:w="644" w:type="dxa"/>
          </w:tcPr>
          <w:p w14:paraId="502177A0">
            <w:pPr>
              <w:spacing w:line="440" w:lineRule="exact"/>
              <w:jc w:val="center"/>
              <w:rPr>
                <w:color w:val="auto"/>
                <w:szCs w:val="21"/>
                <w:highlight w:val="none"/>
              </w:rPr>
            </w:pPr>
          </w:p>
        </w:tc>
        <w:tc>
          <w:tcPr>
            <w:tcW w:w="644" w:type="dxa"/>
          </w:tcPr>
          <w:p w14:paraId="07EA8B12">
            <w:pPr>
              <w:spacing w:line="440" w:lineRule="exact"/>
              <w:jc w:val="center"/>
              <w:rPr>
                <w:color w:val="auto"/>
                <w:szCs w:val="21"/>
                <w:highlight w:val="none"/>
              </w:rPr>
            </w:pPr>
          </w:p>
        </w:tc>
        <w:tc>
          <w:tcPr>
            <w:tcW w:w="645" w:type="dxa"/>
          </w:tcPr>
          <w:p w14:paraId="40D57D54">
            <w:pPr>
              <w:spacing w:line="440" w:lineRule="exact"/>
              <w:jc w:val="center"/>
              <w:rPr>
                <w:color w:val="auto"/>
                <w:szCs w:val="21"/>
                <w:highlight w:val="none"/>
              </w:rPr>
            </w:pPr>
          </w:p>
        </w:tc>
        <w:tc>
          <w:tcPr>
            <w:tcW w:w="901" w:type="dxa"/>
          </w:tcPr>
          <w:p w14:paraId="1603CE0C">
            <w:pPr>
              <w:spacing w:line="440" w:lineRule="exact"/>
              <w:jc w:val="center"/>
              <w:rPr>
                <w:color w:val="auto"/>
                <w:szCs w:val="21"/>
                <w:highlight w:val="none"/>
              </w:rPr>
            </w:pPr>
          </w:p>
        </w:tc>
        <w:tc>
          <w:tcPr>
            <w:tcW w:w="1704" w:type="dxa"/>
          </w:tcPr>
          <w:p w14:paraId="212E5A57">
            <w:pPr>
              <w:spacing w:line="440" w:lineRule="exact"/>
              <w:jc w:val="center"/>
              <w:rPr>
                <w:color w:val="auto"/>
                <w:szCs w:val="21"/>
                <w:highlight w:val="none"/>
              </w:rPr>
            </w:pPr>
          </w:p>
        </w:tc>
      </w:tr>
      <w:tr w14:paraId="5D6DE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0F77018E">
            <w:pPr>
              <w:spacing w:line="440" w:lineRule="exact"/>
              <w:jc w:val="center"/>
              <w:rPr>
                <w:color w:val="auto"/>
                <w:szCs w:val="21"/>
                <w:highlight w:val="none"/>
              </w:rPr>
            </w:pPr>
          </w:p>
        </w:tc>
        <w:tc>
          <w:tcPr>
            <w:tcW w:w="902" w:type="dxa"/>
          </w:tcPr>
          <w:p w14:paraId="09A23238">
            <w:pPr>
              <w:spacing w:line="440" w:lineRule="exact"/>
              <w:jc w:val="center"/>
              <w:rPr>
                <w:color w:val="auto"/>
                <w:szCs w:val="21"/>
                <w:highlight w:val="none"/>
              </w:rPr>
            </w:pPr>
          </w:p>
        </w:tc>
        <w:tc>
          <w:tcPr>
            <w:tcW w:w="870" w:type="dxa"/>
          </w:tcPr>
          <w:p w14:paraId="5D7E402B">
            <w:pPr>
              <w:spacing w:line="440" w:lineRule="exact"/>
              <w:jc w:val="center"/>
              <w:rPr>
                <w:color w:val="auto"/>
                <w:szCs w:val="21"/>
                <w:highlight w:val="none"/>
              </w:rPr>
            </w:pPr>
          </w:p>
        </w:tc>
        <w:tc>
          <w:tcPr>
            <w:tcW w:w="644" w:type="dxa"/>
          </w:tcPr>
          <w:p w14:paraId="5FACD5D2">
            <w:pPr>
              <w:spacing w:line="440" w:lineRule="exact"/>
              <w:jc w:val="center"/>
              <w:rPr>
                <w:color w:val="auto"/>
                <w:szCs w:val="21"/>
                <w:highlight w:val="none"/>
              </w:rPr>
            </w:pPr>
          </w:p>
        </w:tc>
        <w:tc>
          <w:tcPr>
            <w:tcW w:w="772" w:type="dxa"/>
          </w:tcPr>
          <w:p w14:paraId="0A5BB8FB">
            <w:pPr>
              <w:spacing w:line="440" w:lineRule="exact"/>
              <w:jc w:val="center"/>
              <w:rPr>
                <w:color w:val="auto"/>
                <w:szCs w:val="21"/>
                <w:highlight w:val="none"/>
              </w:rPr>
            </w:pPr>
          </w:p>
        </w:tc>
        <w:tc>
          <w:tcPr>
            <w:tcW w:w="644" w:type="dxa"/>
          </w:tcPr>
          <w:p w14:paraId="4ECD3E03">
            <w:pPr>
              <w:spacing w:line="440" w:lineRule="exact"/>
              <w:jc w:val="center"/>
              <w:rPr>
                <w:color w:val="auto"/>
                <w:szCs w:val="21"/>
                <w:highlight w:val="none"/>
              </w:rPr>
            </w:pPr>
          </w:p>
        </w:tc>
        <w:tc>
          <w:tcPr>
            <w:tcW w:w="644" w:type="dxa"/>
          </w:tcPr>
          <w:p w14:paraId="7F738538">
            <w:pPr>
              <w:spacing w:line="440" w:lineRule="exact"/>
              <w:jc w:val="center"/>
              <w:rPr>
                <w:color w:val="auto"/>
                <w:szCs w:val="21"/>
                <w:highlight w:val="none"/>
              </w:rPr>
            </w:pPr>
          </w:p>
        </w:tc>
        <w:tc>
          <w:tcPr>
            <w:tcW w:w="645" w:type="dxa"/>
          </w:tcPr>
          <w:p w14:paraId="75E553B4">
            <w:pPr>
              <w:spacing w:line="440" w:lineRule="exact"/>
              <w:jc w:val="center"/>
              <w:rPr>
                <w:color w:val="auto"/>
                <w:szCs w:val="21"/>
                <w:highlight w:val="none"/>
              </w:rPr>
            </w:pPr>
          </w:p>
        </w:tc>
        <w:tc>
          <w:tcPr>
            <w:tcW w:w="901" w:type="dxa"/>
          </w:tcPr>
          <w:p w14:paraId="3CBED3D5">
            <w:pPr>
              <w:spacing w:line="440" w:lineRule="exact"/>
              <w:jc w:val="center"/>
              <w:rPr>
                <w:color w:val="auto"/>
                <w:szCs w:val="21"/>
                <w:highlight w:val="none"/>
              </w:rPr>
            </w:pPr>
          </w:p>
        </w:tc>
        <w:tc>
          <w:tcPr>
            <w:tcW w:w="1704" w:type="dxa"/>
          </w:tcPr>
          <w:p w14:paraId="14271A09">
            <w:pPr>
              <w:spacing w:line="440" w:lineRule="exact"/>
              <w:jc w:val="center"/>
              <w:rPr>
                <w:color w:val="auto"/>
                <w:szCs w:val="21"/>
                <w:highlight w:val="none"/>
              </w:rPr>
            </w:pPr>
          </w:p>
        </w:tc>
      </w:tr>
      <w:tr w14:paraId="24481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1B4CD49C">
            <w:pPr>
              <w:spacing w:line="440" w:lineRule="exact"/>
              <w:jc w:val="center"/>
              <w:rPr>
                <w:color w:val="auto"/>
                <w:szCs w:val="21"/>
                <w:highlight w:val="none"/>
              </w:rPr>
            </w:pPr>
            <w:r>
              <w:rPr>
                <w:color w:val="auto"/>
                <w:szCs w:val="21"/>
                <w:highlight w:val="none"/>
              </w:rPr>
              <w:t>……</w:t>
            </w:r>
          </w:p>
        </w:tc>
        <w:tc>
          <w:tcPr>
            <w:tcW w:w="902" w:type="dxa"/>
          </w:tcPr>
          <w:p w14:paraId="49A659B7">
            <w:pPr>
              <w:spacing w:line="440" w:lineRule="exact"/>
              <w:jc w:val="center"/>
              <w:rPr>
                <w:color w:val="auto"/>
                <w:szCs w:val="21"/>
                <w:highlight w:val="none"/>
              </w:rPr>
            </w:pPr>
          </w:p>
        </w:tc>
        <w:tc>
          <w:tcPr>
            <w:tcW w:w="870" w:type="dxa"/>
          </w:tcPr>
          <w:p w14:paraId="2EAF138A">
            <w:pPr>
              <w:spacing w:line="440" w:lineRule="exact"/>
              <w:jc w:val="center"/>
              <w:rPr>
                <w:color w:val="auto"/>
                <w:szCs w:val="21"/>
                <w:highlight w:val="none"/>
              </w:rPr>
            </w:pPr>
          </w:p>
        </w:tc>
        <w:tc>
          <w:tcPr>
            <w:tcW w:w="644" w:type="dxa"/>
          </w:tcPr>
          <w:p w14:paraId="2B83F3F3">
            <w:pPr>
              <w:spacing w:line="440" w:lineRule="exact"/>
              <w:jc w:val="center"/>
              <w:rPr>
                <w:color w:val="auto"/>
                <w:szCs w:val="21"/>
                <w:highlight w:val="none"/>
              </w:rPr>
            </w:pPr>
          </w:p>
        </w:tc>
        <w:tc>
          <w:tcPr>
            <w:tcW w:w="772" w:type="dxa"/>
          </w:tcPr>
          <w:p w14:paraId="679AD204">
            <w:pPr>
              <w:spacing w:line="440" w:lineRule="exact"/>
              <w:jc w:val="center"/>
              <w:rPr>
                <w:color w:val="auto"/>
                <w:szCs w:val="21"/>
                <w:highlight w:val="none"/>
              </w:rPr>
            </w:pPr>
          </w:p>
        </w:tc>
        <w:tc>
          <w:tcPr>
            <w:tcW w:w="644" w:type="dxa"/>
          </w:tcPr>
          <w:p w14:paraId="54A09A98">
            <w:pPr>
              <w:spacing w:line="440" w:lineRule="exact"/>
              <w:jc w:val="center"/>
              <w:rPr>
                <w:color w:val="auto"/>
                <w:szCs w:val="21"/>
                <w:highlight w:val="none"/>
              </w:rPr>
            </w:pPr>
          </w:p>
        </w:tc>
        <w:tc>
          <w:tcPr>
            <w:tcW w:w="644" w:type="dxa"/>
          </w:tcPr>
          <w:p w14:paraId="68B2BC3A">
            <w:pPr>
              <w:spacing w:line="440" w:lineRule="exact"/>
              <w:jc w:val="center"/>
              <w:rPr>
                <w:color w:val="auto"/>
                <w:szCs w:val="21"/>
                <w:highlight w:val="none"/>
              </w:rPr>
            </w:pPr>
          </w:p>
        </w:tc>
        <w:tc>
          <w:tcPr>
            <w:tcW w:w="645" w:type="dxa"/>
          </w:tcPr>
          <w:p w14:paraId="0D091683">
            <w:pPr>
              <w:spacing w:line="440" w:lineRule="exact"/>
              <w:jc w:val="center"/>
              <w:rPr>
                <w:color w:val="auto"/>
                <w:szCs w:val="21"/>
                <w:highlight w:val="none"/>
              </w:rPr>
            </w:pPr>
          </w:p>
        </w:tc>
        <w:tc>
          <w:tcPr>
            <w:tcW w:w="901" w:type="dxa"/>
          </w:tcPr>
          <w:p w14:paraId="17AFD279">
            <w:pPr>
              <w:spacing w:line="440" w:lineRule="exact"/>
              <w:jc w:val="center"/>
              <w:rPr>
                <w:color w:val="auto"/>
                <w:szCs w:val="21"/>
                <w:highlight w:val="none"/>
              </w:rPr>
            </w:pPr>
          </w:p>
        </w:tc>
        <w:tc>
          <w:tcPr>
            <w:tcW w:w="1704" w:type="dxa"/>
          </w:tcPr>
          <w:p w14:paraId="64AEE5D8">
            <w:pPr>
              <w:spacing w:line="440" w:lineRule="exact"/>
              <w:jc w:val="center"/>
              <w:rPr>
                <w:color w:val="auto"/>
                <w:szCs w:val="21"/>
                <w:highlight w:val="none"/>
              </w:rPr>
            </w:pPr>
          </w:p>
        </w:tc>
      </w:tr>
      <w:tr w14:paraId="454CE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1FD8A772">
            <w:pPr>
              <w:spacing w:line="440" w:lineRule="exact"/>
              <w:jc w:val="center"/>
              <w:rPr>
                <w:color w:val="auto"/>
                <w:szCs w:val="21"/>
                <w:highlight w:val="none"/>
              </w:rPr>
            </w:pPr>
            <w:r>
              <w:rPr>
                <w:color w:val="auto"/>
                <w:szCs w:val="21"/>
                <w:highlight w:val="none"/>
              </w:rPr>
              <w:t>……</w:t>
            </w:r>
            <w:r>
              <w:rPr>
                <w:rFonts w:hint="eastAsia"/>
                <w:color w:val="auto"/>
                <w:szCs w:val="21"/>
                <w:highlight w:val="none"/>
              </w:rPr>
              <w:t>.</w:t>
            </w:r>
          </w:p>
        </w:tc>
        <w:tc>
          <w:tcPr>
            <w:tcW w:w="902" w:type="dxa"/>
          </w:tcPr>
          <w:p w14:paraId="50EBEEC3">
            <w:pPr>
              <w:spacing w:line="440" w:lineRule="exact"/>
              <w:jc w:val="center"/>
              <w:rPr>
                <w:color w:val="auto"/>
                <w:szCs w:val="21"/>
                <w:highlight w:val="none"/>
              </w:rPr>
            </w:pPr>
          </w:p>
        </w:tc>
        <w:tc>
          <w:tcPr>
            <w:tcW w:w="870" w:type="dxa"/>
          </w:tcPr>
          <w:p w14:paraId="5A459FB2">
            <w:pPr>
              <w:spacing w:line="440" w:lineRule="exact"/>
              <w:jc w:val="center"/>
              <w:rPr>
                <w:color w:val="auto"/>
                <w:szCs w:val="21"/>
                <w:highlight w:val="none"/>
              </w:rPr>
            </w:pPr>
          </w:p>
        </w:tc>
        <w:tc>
          <w:tcPr>
            <w:tcW w:w="644" w:type="dxa"/>
          </w:tcPr>
          <w:p w14:paraId="006F4110">
            <w:pPr>
              <w:spacing w:line="440" w:lineRule="exact"/>
              <w:jc w:val="center"/>
              <w:rPr>
                <w:color w:val="auto"/>
                <w:szCs w:val="21"/>
                <w:highlight w:val="none"/>
              </w:rPr>
            </w:pPr>
          </w:p>
        </w:tc>
        <w:tc>
          <w:tcPr>
            <w:tcW w:w="772" w:type="dxa"/>
          </w:tcPr>
          <w:p w14:paraId="41528120">
            <w:pPr>
              <w:spacing w:line="440" w:lineRule="exact"/>
              <w:jc w:val="center"/>
              <w:rPr>
                <w:color w:val="auto"/>
                <w:szCs w:val="21"/>
                <w:highlight w:val="none"/>
              </w:rPr>
            </w:pPr>
          </w:p>
        </w:tc>
        <w:tc>
          <w:tcPr>
            <w:tcW w:w="644" w:type="dxa"/>
          </w:tcPr>
          <w:p w14:paraId="59793C36">
            <w:pPr>
              <w:spacing w:line="440" w:lineRule="exact"/>
              <w:jc w:val="center"/>
              <w:rPr>
                <w:color w:val="auto"/>
                <w:szCs w:val="21"/>
                <w:highlight w:val="none"/>
              </w:rPr>
            </w:pPr>
          </w:p>
        </w:tc>
        <w:tc>
          <w:tcPr>
            <w:tcW w:w="644" w:type="dxa"/>
          </w:tcPr>
          <w:p w14:paraId="6FAAD60F">
            <w:pPr>
              <w:spacing w:line="440" w:lineRule="exact"/>
              <w:jc w:val="center"/>
              <w:rPr>
                <w:color w:val="auto"/>
                <w:szCs w:val="21"/>
                <w:highlight w:val="none"/>
              </w:rPr>
            </w:pPr>
          </w:p>
        </w:tc>
        <w:tc>
          <w:tcPr>
            <w:tcW w:w="645" w:type="dxa"/>
          </w:tcPr>
          <w:p w14:paraId="46A892BC">
            <w:pPr>
              <w:spacing w:line="440" w:lineRule="exact"/>
              <w:jc w:val="center"/>
              <w:rPr>
                <w:color w:val="auto"/>
                <w:szCs w:val="21"/>
                <w:highlight w:val="none"/>
              </w:rPr>
            </w:pPr>
          </w:p>
        </w:tc>
        <w:tc>
          <w:tcPr>
            <w:tcW w:w="901" w:type="dxa"/>
          </w:tcPr>
          <w:p w14:paraId="2F763686">
            <w:pPr>
              <w:spacing w:line="440" w:lineRule="exact"/>
              <w:jc w:val="center"/>
              <w:rPr>
                <w:color w:val="auto"/>
                <w:szCs w:val="21"/>
                <w:highlight w:val="none"/>
              </w:rPr>
            </w:pPr>
          </w:p>
        </w:tc>
        <w:tc>
          <w:tcPr>
            <w:tcW w:w="1704" w:type="dxa"/>
          </w:tcPr>
          <w:p w14:paraId="04045E26">
            <w:pPr>
              <w:spacing w:line="440" w:lineRule="exact"/>
              <w:jc w:val="center"/>
              <w:rPr>
                <w:color w:val="auto"/>
                <w:szCs w:val="21"/>
                <w:highlight w:val="none"/>
              </w:rPr>
            </w:pPr>
          </w:p>
        </w:tc>
      </w:tr>
      <w:tr w14:paraId="4A56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70A18672">
            <w:pPr>
              <w:spacing w:line="440" w:lineRule="exact"/>
              <w:jc w:val="center"/>
              <w:rPr>
                <w:color w:val="auto"/>
                <w:szCs w:val="21"/>
                <w:highlight w:val="none"/>
              </w:rPr>
            </w:pPr>
            <w:r>
              <w:rPr>
                <w:color w:val="auto"/>
                <w:szCs w:val="21"/>
                <w:highlight w:val="none"/>
              </w:rPr>
              <w:t>……</w:t>
            </w:r>
            <w:r>
              <w:rPr>
                <w:rFonts w:hint="eastAsia"/>
                <w:color w:val="auto"/>
                <w:szCs w:val="21"/>
                <w:highlight w:val="none"/>
              </w:rPr>
              <w:t>.</w:t>
            </w:r>
          </w:p>
        </w:tc>
        <w:tc>
          <w:tcPr>
            <w:tcW w:w="902" w:type="dxa"/>
          </w:tcPr>
          <w:p w14:paraId="3EDFA197">
            <w:pPr>
              <w:spacing w:line="440" w:lineRule="exact"/>
              <w:jc w:val="center"/>
              <w:rPr>
                <w:color w:val="auto"/>
                <w:szCs w:val="21"/>
                <w:highlight w:val="none"/>
              </w:rPr>
            </w:pPr>
          </w:p>
        </w:tc>
        <w:tc>
          <w:tcPr>
            <w:tcW w:w="870" w:type="dxa"/>
          </w:tcPr>
          <w:p w14:paraId="2F1A49DC">
            <w:pPr>
              <w:spacing w:line="440" w:lineRule="exact"/>
              <w:jc w:val="center"/>
              <w:rPr>
                <w:color w:val="auto"/>
                <w:szCs w:val="21"/>
                <w:highlight w:val="none"/>
              </w:rPr>
            </w:pPr>
          </w:p>
        </w:tc>
        <w:tc>
          <w:tcPr>
            <w:tcW w:w="644" w:type="dxa"/>
          </w:tcPr>
          <w:p w14:paraId="366A366B">
            <w:pPr>
              <w:spacing w:line="440" w:lineRule="exact"/>
              <w:jc w:val="center"/>
              <w:rPr>
                <w:color w:val="auto"/>
                <w:szCs w:val="21"/>
                <w:highlight w:val="none"/>
              </w:rPr>
            </w:pPr>
          </w:p>
        </w:tc>
        <w:tc>
          <w:tcPr>
            <w:tcW w:w="772" w:type="dxa"/>
          </w:tcPr>
          <w:p w14:paraId="56150B04">
            <w:pPr>
              <w:spacing w:line="440" w:lineRule="exact"/>
              <w:jc w:val="center"/>
              <w:rPr>
                <w:color w:val="auto"/>
                <w:szCs w:val="21"/>
                <w:highlight w:val="none"/>
              </w:rPr>
            </w:pPr>
          </w:p>
        </w:tc>
        <w:tc>
          <w:tcPr>
            <w:tcW w:w="644" w:type="dxa"/>
          </w:tcPr>
          <w:p w14:paraId="7C331778">
            <w:pPr>
              <w:spacing w:line="440" w:lineRule="exact"/>
              <w:jc w:val="center"/>
              <w:rPr>
                <w:color w:val="auto"/>
                <w:szCs w:val="21"/>
                <w:highlight w:val="none"/>
              </w:rPr>
            </w:pPr>
          </w:p>
        </w:tc>
        <w:tc>
          <w:tcPr>
            <w:tcW w:w="644" w:type="dxa"/>
          </w:tcPr>
          <w:p w14:paraId="4C4907AB">
            <w:pPr>
              <w:spacing w:line="440" w:lineRule="exact"/>
              <w:jc w:val="center"/>
              <w:rPr>
                <w:color w:val="auto"/>
                <w:szCs w:val="21"/>
                <w:highlight w:val="none"/>
              </w:rPr>
            </w:pPr>
          </w:p>
        </w:tc>
        <w:tc>
          <w:tcPr>
            <w:tcW w:w="645" w:type="dxa"/>
          </w:tcPr>
          <w:p w14:paraId="6C80C9AA">
            <w:pPr>
              <w:spacing w:line="440" w:lineRule="exact"/>
              <w:jc w:val="center"/>
              <w:rPr>
                <w:color w:val="auto"/>
                <w:szCs w:val="21"/>
                <w:highlight w:val="none"/>
              </w:rPr>
            </w:pPr>
          </w:p>
        </w:tc>
        <w:tc>
          <w:tcPr>
            <w:tcW w:w="901" w:type="dxa"/>
          </w:tcPr>
          <w:p w14:paraId="7D94556B">
            <w:pPr>
              <w:spacing w:line="440" w:lineRule="exact"/>
              <w:jc w:val="center"/>
              <w:rPr>
                <w:color w:val="auto"/>
                <w:szCs w:val="21"/>
                <w:highlight w:val="none"/>
              </w:rPr>
            </w:pPr>
          </w:p>
        </w:tc>
        <w:tc>
          <w:tcPr>
            <w:tcW w:w="1704" w:type="dxa"/>
          </w:tcPr>
          <w:p w14:paraId="2FE8E374">
            <w:pPr>
              <w:spacing w:line="440" w:lineRule="exact"/>
              <w:jc w:val="center"/>
              <w:rPr>
                <w:color w:val="auto"/>
                <w:szCs w:val="21"/>
                <w:highlight w:val="none"/>
              </w:rPr>
            </w:pPr>
          </w:p>
        </w:tc>
      </w:tr>
      <w:tr w14:paraId="211CF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70CA9C8A">
            <w:pPr>
              <w:spacing w:line="440" w:lineRule="exact"/>
              <w:jc w:val="center"/>
              <w:rPr>
                <w:color w:val="auto"/>
                <w:szCs w:val="21"/>
                <w:highlight w:val="none"/>
              </w:rPr>
            </w:pPr>
          </w:p>
        </w:tc>
        <w:tc>
          <w:tcPr>
            <w:tcW w:w="902" w:type="dxa"/>
          </w:tcPr>
          <w:p w14:paraId="5F36DE84">
            <w:pPr>
              <w:spacing w:line="440" w:lineRule="exact"/>
              <w:jc w:val="center"/>
              <w:rPr>
                <w:color w:val="auto"/>
                <w:szCs w:val="21"/>
                <w:highlight w:val="none"/>
              </w:rPr>
            </w:pPr>
          </w:p>
        </w:tc>
        <w:tc>
          <w:tcPr>
            <w:tcW w:w="870" w:type="dxa"/>
          </w:tcPr>
          <w:p w14:paraId="36C36A81">
            <w:pPr>
              <w:spacing w:line="440" w:lineRule="exact"/>
              <w:jc w:val="center"/>
              <w:rPr>
                <w:color w:val="auto"/>
                <w:szCs w:val="21"/>
                <w:highlight w:val="none"/>
              </w:rPr>
            </w:pPr>
          </w:p>
        </w:tc>
        <w:tc>
          <w:tcPr>
            <w:tcW w:w="644" w:type="dxa"/>
          </w:tcPr>
          <w:p w14:paraId="465415DD">
            <w:pPr>
              <w:spacing w:line="440" w:lineRule="exact"/>
              <w:jc w:val="center"/>
              <w:rPr>
                <w:color w:val="auto"/>
                <w:szCs w:val="21"/>
                <w:highlight w:val="none"/>
              </w:rPr>
            </w:pPr>
          </w:p>
        </w:tc>
        <w:tc>
          <w:tcPr>
            <w:tcW w:w="772" w:type="dxa"/>
          </w:tcPr>
          <w:p w14:paraId="165AA83A">
            <w:pPr>
              <w:spacing w:line="440" w:lineRule="exact"/>
              <w:jc w:val="center"/>
              <w:rPr>
                <w:color w:val="auto"/>
                <w:szCs w:val="21"/>
                <w:highlight w:val="none"/>
              </w:rPr>
            </w:pPr>
          </w:p>
        </w:tc>
        <w:tc>
          <w:tcPr>
            <w:tcW w:w="644" w:type="dxa"/>
          </w:tcPr>
          <w:p w14:paraId="3985ABBB">
            <w:pPr>
              <w:spacing w:line="440" w:lineRule="exact"/>
              <w:jc w:val="center"/>
              <w:rPr>
                <w:color w:val="auto"/>
                <w:szCs w:val="21"/>
                <w:highlight w:val="none"/>
              </w:rPr>
            </w:pPr>
          </w:p>
        </w:tc>
        <w:tc>
          <w:tcPr>
            <w:tcW w:w="644" w:type="dxa"/>
          </w:tcPr>
          <w:p w14:paraId="4DF88D32">
            <w:pPr>
              <w:spacing w:line="440" w:lineRule="exact"/>
              <w:jc w:val="center"/>
              <w:rPr>
                <w:color w:val="auto"/>
                <w:szCs w:val="21"/>
                <w:highlight w:val="none"/>
              </w:rPr>
            </w:pPr>
          </w:p>
        </w:tc>
        <w:tc>
          <w:tcPr>
            <w:tcW w:w="645" w:type="dxa"/>
          </w:tcPr>
          <w:p w14:paraId="5B98FDB1">
            <w:pPr>
              <w:spacing w:line="440" w:lineRule="exact"/>
              <w:jc w:val="center"/>
              <w:rPr>
                <w:color w:val="auto"/>
                <w:szCs w:val="21"/>
                <w:highlight w:val="none"/>
              </w:rPr>
            </w:pPr>
          </w:p>
        </w:tc>
        <w:tc>
          <w:tcPr>
            <w:tcW w:w="901" w:type="dxa"/>
          </w:tcPr>
          <w:p w14:paraId="047913D3">
            <w:pPr>
              <w:spacing w:line="440" w:lineRule="exact"/>
              <w:jc w:val="center"/>
              <w:rPr>
                <w:color w:val="auto"/>
                <w:szCs w:val="21"/>
                <w:highlight w:val="none"/>
              </w:rPr>
            </w:pPr>
          </w:p>
        </w:tc>
        <w:tc>
          <w:tcPr>
            <w:tcW w:w="1704" w:type="dxa"/>
          </w:tcPr>
          <w:p w14:paraId="31305DFE">
            <w:pPr>
              <w:spacing w:line="440" w:lineRule="exact"/>
              <w:jc w:val="center"/>
              <w:rPr>
                <w:color w:val="auto"/>
                <w:szCs w:val="21"/>
                <w:highlight w:val="none"/>
              </w:rPr>
            </w:pPr>
          </w:p>
        </w:tc>
      </w:tr>
      <w:tr w14:paraId="18599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14:paraId="51D5FAD9">
            <w:pPr>
              <w:spacing w:line="440" w:lineRule="exact"/>
              <w:jc w:val="center"/>
              <w:rPr>
                <w:color w:val="auto"/>
                <w:szCs w:val="21"/>
                <w:highlight w:val="none"/>
              </w:rPr>
            </w:pPr>
          </w:p>
        </w:tc>
        <w:tc>
          <w:tcPr>
            <w:tcW w:w="902" w:type="dxa"/>
          </w:tcPr>
          <w:p w14:paraId="497F6730">
            <w:pPr>
              <w:spacing w:line="440" w:lineRule="exact"/>
              <w:jc w:val="center"/>
              <w:rPr>
                <w:color w:val="auto"/>
                <w:szCs w:val="21"/>
                <w:highlight w:val="none"/>
              </w:rPr>
            </w:pPr>
          </w:p>
        </w:tc>
        <w:tc>
          <w:tcPr>
            <w:tcW w:w="870" w:type="dxa"/>
          </w:tcPr>
          <w:p w14:paraId="630DD819">
            <w:pPr>
              <w:spacing w:line="440" w:lineRule="exact"/>
              <w:jc w:val="center"/>
              <w:rPr>
                <w:color w:val="auto"/>
                <w:szCs w:val="21"/>
                <w:highlight w:val="none"/>
              </w:rPr>
            </w:pPr>
          </w:p>
        </w:tc>
        <w:tc>
          <w:tcPr>
            <w:tcW w:w="644" w:type="dxa"/>
          </w:tcPr>
          <w:p w14:paraId="09E43AFF">
            <w:pPr>
              <w:spacing w:line="440" w:lineRule="exact"/>
              <w:jc w:val="center"/>
              <w:rPr>
                <w:color w:val="auto"/>
                <w:szCs w:val="21"/>
                <w:highlight w:val="none"/>
              </w:rPr>
            </w:pPr>
          </w:p>
        </w:tc>
        <w:tc>
          <w:tcPr>
            <w:tcW w:w="772" w:type="dxa"/>
          </w:tcPr>
          <w:p w14:paraId="18FFE550">
            <w:pPr>
              <w:spacing w:line="440" w:lineRule="exact"/>
              <w:jc w:val="center"/>
              <w:rPr>
                <w:color w:val="auto"/>
                <w:szCs w:val="21"/>
                <w:highlight w:val="none"/>
              </w:rPr>
            </w:pPr>
          </w:p>
        </w:tc>
        <w:tc>
          <w:tcPr>
            <w:tcW w:w="644" w:type="dxa"/>
          </w:tcPr>
          <w:p w14:paraId="4BA8BEA5">
            <w:pPr>
              <w:spacing w:line="440" w:lineRule="exact"/>
              <w:jc w:val="center"/>
              <w:rPr>
                <w:color w:val="auto"/>
                <w:szCs w:val="21"/>
                <w:highlight w:val="none"/>
              </w:rPr>
            </w:pPr>
          </w:p>
        </w:tc>
        <w:tc>
          <w:tcPr>
            <w:tcW w:w="644" w:type="dxa"/>
          </w:tcPr>
          <w:p w14:paraId="11DDAD3D">
            <w:pPr>
              <w:spacing w:line="440" w:lineRule="exact"/>
              <w:jc w:val="center"/>
              <w:rPr>
                <w:color w:val="auto"/>
                <w:szCs w:val="21"/>
                <w:highlight w:val="none"/>
              </w:rPr>
            </w:pPr>
          </w:p>
        </w:tc>
        <w:tc>
          <w:tcPr>
            <w:tcW w:w="645" w:type="dxa"/>
          </w:tcPr>
          <w:p w14:paraId="381AB01A">
            <w:pPr>
              <w:spacing w:line="440" w:lineRule="exact"/>
              <w:jc w:val="center"/>
              <w:rPr>
                <w:color w:val="auto"/>
                <w:szCs w:val="21"/>
                <w:highlight w:val="none"/>
              </w:rPr>
            </w:pPr>
          </w:p>
        </w:tc>
        <w:tc>
          <w:tcPr>
            <w:tcW w:w="901" w:type="dxa"/>
          </w:tcPr>
          <w:p w14:paraId="1C442208">
            <w:pPr>
              <w:spacing w:line="440" w:lineRule="exact"/>
              <w:jc w:val="center"/>
              <w:rPr>
                <w:color w:val="auto"/>
                <w:szCs w:val="21"/>
                <w:highlight w:val="none"/>
              </w:rPr>
            </w:pPr>
          </w:p>
        </w:tc>
        <w:tc>
          <w:tcPr>
            <w:tcW w:w="1704" w:type="dxa"/>
          </w:tcPr>
          <w:p w14:paraId="004059A3">
            <w:pPr>
              <w:spacing w:line="440" w:lineRule="exact"/>
              <w:jc w:val="center"/>
              <w:rPr>
                <w:color w:val="auto"/>
                <w:szCs w:val="21"/>
                <w:highlight w:val="none"/>
              </w:rPr>
            </w:pPr>
          </w:p>
        </w:tc>
      </w:tr>
      <w:tr w14:paraId="1F9F0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56BE56A6">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77B36ED7">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6750F880">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C801DA0">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1EB39CC9">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22A80387">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0A5309C">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5AD567F2">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61EDD6CA">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1B1252A0">
            <w:pPr>
              <w:spacing w:line="440" w:lineRule="exact"/>
              <w:jc w:val="center"/>
              <w:rPr>
                <w:color w:val="auto"/>
                <w:szCs w:val="21"/>
                <w:highlight w:val="none"/>
              </w:rPr>
            </w:pPr>
          </w:p>
        </w:tc>
      </w:tr>
      <w:tr w14:paraId="2344F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466C0906">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31391A15">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42154B6B">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41DB9FC0">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426E0D31">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4A13413E">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7210205">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17CF3346">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02243C51">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1F4E2B9F">
            <w:pPr>
              <w:spacing w:line="440" w:lineRule="exact"/>
              <w:jc w:val="center"/>
              <w:rPr>
                <w:color w:val="auto"/>
                <w:szCs w:val="21"/>
                <w:highlight w:val="none"/>
              </w:rPr>
            </w:pPr>
          </w:p>
        </w:tc>
      </w:tr>
      <w:tr w14:paraId="412AA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1FAFE554">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051EB84E">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788FF9E3">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C96E679">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71D2FE8D">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6EDD64B1">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6FA37EA8">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60EECB63">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07C7F017">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0C3203CF">
            <w:pPr>
              <w:spacing w:line="440" w:lineRule="exact"/>
              <w:jc w:val="center"/>
              <w:rPr>
                <w:color w:val="auto"/>
                <w:szCs w:val="21"/>
                <w:highlight w:val="none"/>
              </w:rPr>
            </w:pPr>
          </w:p>
        </w:tc>
      </w:tr>
      <w:tr w14:paraId="7567E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4514ED70">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3B9CEAF8">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33E557EF">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81DEFBD">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5EB8E0E1">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2460B409">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B5A8FD6">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3BB23AF0">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1E5A818B">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05AA0CBB">
            <w:pPr>
              <w:spacing w:line="440" w:lineRule="exact"/>
              <w:jc w:val="center"/>
              <w:rPr>
                <w:color w:val="auto"/>
                <w:szCs w:val="21"/>
                <w:highlight w:val="none"/>
              </w:rPr>
            </w:pPr>
          </w:p>
        </w:tc>
      </w:tr>
      <w:tr w14:paraId="69E33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204E6065">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233F5FF7">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7AB1D9AD">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10F86F6">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2C801F1D">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FF42B2D">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39751A9A">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760F57ED">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4C0579F7">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205C8C8B">
            <w:pPr>
              <w:spacing w:line="440" w:lineRule="exact"/>
              <w:jc w:val="center"/>
              <w:rPr>
                <w:color w:val="auto"/>
                <w:szCs w:val="21"/>
                <w:highlight w:val="none"/>
              </w:rPr>
            </w:pPr>
          </w:p>
        </w:tc>
      </w:tr>
      <w:tr w14:paraId="7FCD5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5B8114FC">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4A93797E">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7680E2D7">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B44A207">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4CD705C1">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22DF8EF0">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FEC13FB">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5ADBE027">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723E3B6C">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1D107726">
            <w:pPr>
              <w:spacing w:line="440" w:lineRule="exact"/>
              <w:jc w:val="center"/>
              <w:rPr>
                <w:color w:val="auto"/>
                <w:szCs w:val="21"/>
                <w:highlight w:val="none"/>
              </w:rPr>
            </w:pPr>
          </w:p>
        </w:tc>
      </w:tr>
      <w:tr w14:paraId="6AC5B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163E4390">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759C9F37">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1B33754C">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0B43AF8">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49C8754E">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812CBA2">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1E074BF4">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60C7D725">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6F3F8D02">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36FA0726">
            <w:pPr>
              <w:spacing w:line="440" w:lineRule="exact"/>
              <w:jc w:val="center"/>
              <w:rPr>
                <w:color w:val="auto"/>
                <w:szCs w:val="21"/>
                <w:highlight w:val="none"/>
              </w:rPr>
            </w:pPr>
          </w:p>
        </w:tc>
      </w:tr>
      <w:tr w14:paraId="77F52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14:paraId="52A31A8F">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66B24BD5">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582C4FA2">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47F840F8">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1EDB1FFA">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7F413B47">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E92EA87">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10344692">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1E3A752E">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6154E39C">
            <w:pPr>
              <w:spacing w:line="440" w:lineRule="exact"/>
              <w:jc w:val="center"/>
              <w:rPr>
                <w:color w:val="auto"/>
                <w:szCs w:val="21"/>
                <w:highlight w:val="none"/>
              </w:rPr>
            </w:pPr>
          </w:p>
        </w:tc>
      </w:tr>
      <w:tr w14:paraId="1A2DE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030" w:type="dxa"/>
            <w:tcBorders>
              <w:top w:val="single" w:color="auto" w:sz="4" w:space="0"/>
              <w:left w:val="single" w:color="auto" w:sz="4" w:space="0"/>
              <w:bottom w:val="single" w:color="auto" w:sz="4" w:space="0"/>
              <w:right w:val="single" w:color="auto" w:sz="4" w:space="0"/>
            </w:tcBorders>
          </w:tcPr>
          <w:p w14:paraId="06A26EAB">
            <w:pPr>
              <w:spacing w:line="440" w:lineRule="exact"/>
              <w:jc w:val="center"/>
              <w:rPr>
                <w:color w:val="auto"/>
                <w:szCs w:val="21"/>
                <w:highlight w:val="none"/>
              </w:rPr>
            </w:pPr>
          </w:p>
        </w:tc>
        <w:tc>
          <w:tcPr>
            <w:tcW w:w="902" w:type="dxa"/>
            <w:tcBorders>
              <w:top w:val="single" w:color="auto" w:sz="4" w:space="0"/>
              <w:left w:val="single" w:color="auto" w:sz="4" w:space="0"/>
              <w:bottom w:val="single" w:color="auto" w:sz="4" w:space="0"/>
              <w:right w:val="single" w:color="auto" w:sz="4" w:space="0"/>
            </w:tcBorders>
          </w:tcPr>
          <w:p w14:paraId="6DD7C6F8">
            <w:pPr>
              <w:spacing w:line="440" w:lineRule="exact"/>
              <w:jc w:val="center"/>
              <w:rPr>
                <w:color w:val="auto"/>
                <w:szCs w:val="21"/>
                <w:highlight w:val="none"/>
              </w:rPr>
            </w:pPr>
          </w:p>
        </w:tc>
        <w:tc>
          <w:tcPr>
            <w:tcW w:w="870" w:type="dxa"/>
            <w:tcBorders>
              <w:top w:val="single" w:color="auto" w:sz="4" w:space="0"/>
              <w:left w:val="single" w:color="auto" w:sz="4" w:space="0"/>
              <w:bottom w:val="single" w:color="auto" w:sz="4" w:space="0"/>
              <w:right w:val="single" w:color="auto" w:sz="4" w:space="0"/>
            </w:tcBorders>
          </w:tcPr>
          <w:p w14:paraId="2E100DF0">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689851FD">
            <w:pPr>
              <w:spacing w:line="440" w:lineRule="exact"/>
              <w:jc w:val="center"/>
              <w:rPr>
                <w:color w:val="auto"/>
                <w:szCs w:val="21"/>
                <w:highlight w:val="none"/>
              </w:rPr>
            </w:pPr>
          </w:p>
        </w:tc>
        <w:tc>
          <w:tcPr>
            <w:tcW w:w="772" w:type="dxa"/>
            <w:tcBorders>
              <w:top w:val="single" w:color="auto" w:sz="4" w:space="0"/>
              <w:left w:val="single" w:color="auto" w:sz="4" w:space="0"/>
              <w:bottom w:val="single" w:color="auto" w:sz="4" w:space="0"/>
              <w:right w:val="single" w:color="auto" w:sz="4" w:space="0"/>
            </w:tcBorders>
          </w:tcPr>
          <w:p w14:paraId="4ABCEA86">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5C7FE04D">
            <w:pPr>
              <w:spacing w:line="440" w:lineRule="exact"/>
              <w:jc w:val="center"/>
              <w:rPr>
                <w:color w:val="auto"/>
                <w:szCs w:val="21"/>
                <w:highlight w:val="none"/>
              </w:rPr>
            </w:pPr>
          </w:p>
        </w:tc>
        <w:tc>
          <w:tcPr>
            <w:tcW w:w="644" w:type="dxa"/>
            <w:tcBorders>
              <w:top w:val="single" w:color="auto" w:sz="4" w:space="0"/>
              <w:left w:val="single" w:color="auto" w:sz="4" w:space="0"/>
              <w:bottom w:val="single" w:color="auto" w:sz="4" w:space="0"/>
              <w:right w:val="single" w:color="auto" w:sz="4" w:space="0"/>
            </w:tcBorders>
          </w:tcPr>
          <w:p w14:paraId="0C4450D8">
            <w:pPr>
              <w:spacing w:line="440" w:lineRule="exact"/>
              <w:jc w:val="center"/>
              <w:rPr>
                <w:color w:val="auto"/>
                <w:szCs w:val="21"/>
                <w:highlight w:val="none"/>
              </w:rPr>
            </w:pPr>
          </w:p>
        </w:tc>
        <w:tc>
          <w:tcPr>
            <w:tcW w:w="645" w:type="dxa"/>
            <w:tcBorders>
              <w:top w:val="single" w:color="auto" w:sz="4" w:space="0"/>
              <w:left w:val="single" w:color="auto" w:sz="4" w:space="0"/>
              <w:bottom w:val="single" w:color="auto" w:sz="4" w:space="0"/>
              <w:right w:val="single" w:color="auto" w:sz="4" w:space="0"/>
            </w:tcBorders>
          </w:tcPr>
          <w:p w14:paraId="24C46851">
            <w:pPr>
              <w:spacing w:line="440" w:lineRule="exact"/>
              <w:jc w:val="center"/>
              <w:rPr>
                <w:color w:val="auto"/>
                <w:szCs w:val="21"/>
                <w:highlight w:val="none"/>
              </w:rPr>
            </w:pPr>
          </w:p>
        </w:tc>
        <w:tc>
          <w:tcPr>
            <w:tcW w:w="901" w:type="dxa"/>
            <w:tcBorders>
              <w:top w:val="single" w:color="auto" w:sz="4" w:space="0"/>
              <w:left w:val="single" w:color="auto" w:sz="4" w:space="0"/>
              <w:bottom w:val="single" w:color="auto" w:sz="4" w:space="0"/>
              <w:right w:val="single" w:color="auto" w:sz="4" w:space="0"/>
            </w:tcBorders>
          </w:tcPr>
          <w:p w14:paraId="62652F20">
            <w:pPr>
              <w:spacing w:line="440" w:lineRule="exact"/>
              <w:jc w:val="center"/>
              <w:rPr>
                <w:color w:val="auto"/>
                <w:szCs w:val="21"/>
                <w:highlight w:val="none"/>
              </w:rPr>
            </w:pPr>
          </w:p>
        </w:tc>
        <w:tc>
          <w:tcPr>
            <w:tcW w:w="1704" w:type="dxa"/>
            <w:tcBorders>
              <w:top w:val="single" w:color="auto" w:sz="4" w:space="0"/>
              <w:left w:val="single" w:color="auto" w:sz="4" w:space="0"/>
              <w:bottom w:val="single" w:color="auto" w:sz="4" w:space="0"/>
              <w:right w:val="single" w:color="auto" w:sz="4" w:space="0"/>
            </w:tcBorders>
          </w:tcPr>
          <w:p w14:paraId="53ED6B63">
            <w:pPr>
              <w:spacing w:line="440" w:lineRule="exact"/>
              <w:jc w:val="center"/>
              <w:rPr>
                <w:color w:val="auto"/>
                <w:szCs w:val="21"/>
                <w:highlight w:val="none"/>
              </w:rPr>
            </w:pPr>
          </w:p>
        </w:tc>
      </w:tr>
    </w:tbl>
    <w:p w14:paraId="13F50697">
      <w:pPr>
        <w:topLinePunct/>
        <w:spacing w:line="440" w:lineRule="exact"/>
        <w:jc w:val="center"/>
        <w:rPr>
          <w:color w:val="auto"/>
          <w:sz w:val="20"/>
          <w:highlight w:val="none"/>
        </w:rPr>
      </w:pPr>
    </w:p>
    <w:p w14:paraId="718BD2B9">
      <w:pPr>
        <w:topLinePunct/>
        <w:spacing w:line="440" w:lineRule="exact"/>
        <w:jc w:val="both"/>
        <w:rPr>
          <w:color w:val="auto"/>
          <w:szCs w:val="21"/>
          <w:highlight w:val="none"/>
        </w:rPr>
      </w:pPr>
      <w:r>
        <w:rPr>
          <w:color w:val="auto"/>
          <w:szCs w:val="21"/>
          <w:highlight w:val="none"/>
        </w:rPr>
        <w:br w:type="page"/>
      </w:r>
    </w:p>
    <w:p w14:paraId="32190693">
      <w:pPr>
        <w:pStyle w:val="3"/>
        <w:jc w:val="center"/>
        <w:rPr>
          <w:rFonts w:ascii="黑体"/>
          <w:color w:val="auto"/>
          <w:highlight w:val="none"/>
        </w:rPr>
      </w:pPr>
      <w:bookmarkStart w:id="384" w:name="_Toc475483727"/>
      <w:bookmarkStart w:id="385" w:name="_Toc486425436"/>
      <w:bookmarkStart w:id="386" w:name="_Toc11246"/>
      <w:r>
        <w:rPr>
          <w:rFonts w:hint="eastAsia" w:ascii="黑体"/>
          <w:color w:val="auto"/>
          <w:highlight w:val="none"/>
          <w:lang w:val="en-US" w:eastAsia="zh-CN"/>
        </w:rPr>
        <w:t>八</w:t>
      </w:r>
      <w:r>
        <w:rPr>
          <w:rFonts w:hint="eastAsia" w:ascii="黑体"/>
          <w:color w:val="auto"/>
          <w:highlight w:val="none"/>
        </w:rPr>
        <w:t>、</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ascii="黑体"/>
          <w:b w:val="0"/>
          <w:color w:val="auto"/>
          <w:highlight w:val="none"/>
        </w:rPr>
        <w:t>实质性条款偏离表</w:t>
      </w:r>
      <w:bookmarkEnd w:id="384"/>
      <w:bookmarkEnd w:id="385"/>
      <w:r>
        <w:rPr>
          <w:rFonts w:hint="eastAsia" w:ascii="黑体"/>
          <w:b w:val="0"/>
          <w:color w:val="auto"/>
          <w:highlight w:val="none"/>
        </w:rPr>
        <w:fldChar w:fldCharType="end"/>
      </w:r>
      <w:bookmarkEnd w:id="386"/>
    </w:p>
    <w:p w14:paraId="3DA490EC">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p>
    <w:tbl>
      <w:tblPr>
        <w:tblStyle w:val="40"/>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7FB8F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14:paraId="15D3EED7">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0C603549">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7D1AFF3A">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w:t>
            </w:r>
            <w:r>
              <w:rPr>
                <w:rFonts w:hint="eastAsia" w:ascii="宋体" w:hAnsi="宋体" w:cs="宋体"/>
                <w:color w:val="auto"/>
                <w:szCs w:val="21"/>
                <w:highlight w:val="none"/>
              </w:rPr>
              <w:t>“</w:t>
            </w:r>
            <w:r>
              <w:rPr>
                <w:rFonts w:eastAsia="黑体"/>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kern w:val="0"/>
                <w:szCs w:val="21"/>
                <w:highlight w:val="none"/>
              </w:rPr>
              <w:t>条款</w:t>
            </w:r>
          </w:p>
        </w:tc>
        <w:tc>
          <w:tcPr>
            <w:tcW w:w="2694" w:type="dxa"/>
            <w:vAlign w:val="center"/>
          </w:tcPr>
          <w:p w14:paraId="3113FA9C">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7F5F64F0">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2C3D747C">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7A7731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58736617">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0762B95B">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1CE47126">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638E25B9">
            <w:pPr>
              <w:widowControl/>
              <w:snapToGrid w:val="0"/>
              <w:spacing w:before="156" w:beforeLines="50"/>
              <w:jc w:val="center"/>
              <w:rPr>
                <w:rFonts w:ascii="宋体" w:hAnsi="宋体"/>
                <w:color w:val="auto"/>
                <w:kern w:val="0"/>
                <w:szCs w:val="21"/>
                <w:highlight w:val="none"/>
              </w:rPr>
            </w:pPr>
          </w:p>
        </w:tc>
        <w:tc>
          <w:tcPr>
            <w:tcW w:w="1134" w:type="dxa"/>
            <w:vAlign w:val="center"/>
          </w:tcPr>
          <w:p w14:paraId="5E1E7DE2">
            <w:pPr>
              <w:widowControl/>
              <w:snapToGrid w:val="0"/>
              <w:spacing w:before="156" w:beforeLines="50"/>
              <w:jc w:val="center"/>
              <w:rPr>
                <w:rFonts w:ascii="宋体" w:hAnsi="宋体"/>
                <w:color w:val="auto"/>
                <w:kern w:val="0"/>
                <w:szCs w:val="21"/>
                <w:highlight w:val="none"/>
              </w:rPr>
            </w:pPr>
          </w:p>
        </w:tc>
      </w:tr>
      <w:tr w14:paraId="53CD7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67245CEF">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03A54C45">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1DEF4592">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5AD906E4">
            <w:pPr>
              <w:widowControl/>
              <w:snapToGrid w:val="0"/>
              <w:spacing w:before="156" w:beforeLines="50"/>
              <w:jc w:val="center"/>
              <w:rPr>
                <w:rFonts w:ascii="宋体" w:hAnsi="宋体"/>
                <w:color w:val="auto"/>
                <w:kern w:val="0"/>
                <w:szCs w:val="21"/>
                <w:highlight w:val="none"/>
              </w:rPr>
            </w:pPr>
          </w:p>
        </w:tc>
        <w:tc>
          <w:tcPr>
            <w:tcW w:w="1134" w:type="dxa"/>
            <w:vAlign w:val="center"/>
          </w:tcPr>
          <w:p w14:paraId="7ADCC7CD">
            <w:pPr>
              <w:widowControl/>
              <w:snapToGrid w:val="0"/>
              <w:spacing w:before="156" w:beforeLines="50"/>
              <w:jc w:val="center"/>
              <w:rPr>
                <w:rFonts w:ascii="宋体" w:hAnsi="宋体"/>
                <w:color w:val="auto"/>
                <w:kern w:val="0"/>
                <w:szCs w:val="21"/>
                <w:highlight w:val="none"/>
              </w:rPr>
            </w:pPr>
          </w:p>
        </w:tc>
      </w:tr>
      <w:tr w14:paraId="210C52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681FC9B9">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B62F67D">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71FB0B7A">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0CD51EC1">
            <w:pPr>
              <w:widowControl/>
              <w:snapToGrid w:val="0"/>
              <w:spacing w:before="156" w:beforeLines="50"/>
              <w:jc w:val="center"/>
              <w:rPr>
                <w:rFonts w:ascii="宋体" w:hAnsi="宋体"/>
                <w:color w:val="auto"/>
                <w:kern w:val="0"/>
                <w:szCs w:val="21"/>
                <w:highlight w:val="none"/>
              </w:rPr>
            </w:pPr>
          </w:p>
        </w:tc>
        <w:tc>
          <w:tcPr>
            <w:tcW w:w="1134" w:type="dxa"/>
            <w:vAlign w:val="center"/>
          </w:tcPr>
          <w:p w14:paraId="1E1419E8">
            <w:pPr>
              <w:widowControl/>
              <w:snapToGrid w:val="0"/>
              <w:spacing w:before="156" w:beforeLines="50"/>
              <w:jc w:val="center"/>
              <w:rPr>
                <w:rFonts w:ascii="宋体" w:hAnsi="宋体"/>
                <w:color w:val="auto"/>
                <w:kern w:val="0"/>
                <w:szCs w:val="21"/>
                <w:highlight w:val="none"/>
              </w:rPr>
            </w:pPr>
          </w:p>
        </w:tc>
      </w:tr>
    </w:tbl>
    <w:p w14:paraId="3090E74E">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注：1.响应人应当逐条对照竞争性谈判通知书</w:t>
      </w:r>
      <w:r>
        <w:rPr>
          <w:rFonts w:hint="eastAsia" w:ascii="宋体" w:hAnsi="宋体" w:cs="宋体"/>
          <w:color w:val="auto"/>
          <w:szCs w:val="21"/>
          <w:highlight w:val="none"/>
        </w:rPr>
        <w:t>“</w:t>
      </w:r>
      <w:r>
        <w:rPr>
          <w:rFonts w:eastAsia="黑体"/>
          <w:color w:val="auto"/>
          <w:sz w:val="32"/>
          <w:szCs w:val="32"/>
          <w:highlight w:val="none"/>
        </w:rPr>
        <w:sym w:font="Wingdings" w:char="00AB"/>
      </w:r>
      <w:r>
        <w:rPr>
          <w:rFonts w:hint="eastAsia" w:ascii="宋体" w:hAnsi="宋体" w:cs="宋体"/>
          <w:color w:val="auto"/>
          <w:szCs w:val="21"/>
          <w:highlight w:val="none"/>
        </w:rPr>
        <w:t>”</w:t>
      </w:r>
      <w:r>
        <w:rPr>
          <w:rFonts w:hint="eastAsia" w:ascii="宋体" w:hAnsi="宋体"/>
          <w:color w:val="auto"/>
          <w:kern w:val="0"/>
          <w:szCs w:val="21"/>
          <w:highlight w:val="none"/>
        </w:rPr>
        <w:t>条款内容</w:t>
      </w:r>
      <w:r>
        <w:rPr>
          <w:rFonts w:hint="eastAsia" w:ascii="宋体" w:hAnsi="宋体"/>
          <w:color w:val="auto"/>
          <w:szCs w:val="21"/>
          <w:highlight w:val="none"/>
        </w:rPr>
        <w:t>，就竞争性谈判响应文件对实质性条款存在的偏差与例外逐条做出说明；</w:t>
      </w:r>
    </w:p>
    <w:p w14:paraId="580A0024">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2.如竞争性谈判响应文件对合同条款无任何偏差，响应人仅需在本偏离表中填写“无偏离”即可。</w:t>
      </w:r>
    </w:p>
    <w:p w14:paraId="708D5CBC">
      <w:pPr>
        <w:spacing w:after="120"/>
        <w:rPr>
          <w:rFonts w:ascii="宋体" w:hAnsi="宋体"/>
          <w:color w:val="auto"/>
          <w:szCs w:val="21"/>
          <w:highlight w:val="none"/>
        </w:rPr>
      </w:pPr>
    </w:p>
    <w:p w14:paraId="579722C3">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1A343BFB">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r>
        <w:rPr>
          <w:rFonts w:hint="eastAsia"/>
          <w:color w:val="auto"/>
          <w:szCs w:val="21"/>
          <w:highlight w:val="none"/>
          <w:lang w:val="en-US" w:eastAsia="zh-CN"/>
        </w:rPr>
        <w:t>或盖章</w:t>
      </w:r>
      <w:r>
        <w:rPr>
          <w:color w:val="auto"/>
          <w:szCs w:val="21"/>
          <w:highlight w:val="none"/>
        </w:rPr>
        <w:t>）</w:t>
      </w:r>
    </w:p>
    <w:p w14:paraId="6345EC66">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30C31A48">
      <w:pPr>
        <w:widowControl/>
        <w:jc w:val="left"/>
        <w:rPr>
          <w:color w:val="auto"/>
          <w:szCs w:val="21"/>
          <w:highlight w:val="none"/>
        </w:rPr>
      </w:pPr>
      <w:r>
        <w:rPr>
          <w:color w:val="auto"/>
          <w:szCs w:val="21"/>
          <w:highlight w:val="none"/>
        </w:rPr>
        <w:br w:type="page"/>
      </w:r>
    </w:p>
    <w:p w14:paraId="76D69BFB">
      <w:pPr>
        <w:pStyle w:val="3"/>
        <w:jc w:val="center"/>
        <w:rPr>
          <w:rFonts w:ascii="黑体"/>
          <w:color w:val="auto"/>
          <w:highlight w:val="none"/>
        </w:rPr>
      </w:pPr>
      <w:bookmarkStart w:id="387" w:name="_Toc16191"/>
      <w:r>
        <w:rPr>
          <w:rFonts w:hint="eastAsia" w:ascii="黑体"/>
          <w:color w:val="auto"/>
          <w:highlight w:val="none"/>
          <w:lang w:val="en-US" w:eastAsia="zh-CN"/>
        </w:rPr>
        <w:t>九</w:t>
      </w:r>
      <w:r>
        <w:rPr>
          <w:rFonts w:hint="eastAsia" w:ascii="黑体"/>
          <w:color w:val="auto"/>
          <w:highlight w:val="none"/>
        </w:rPr>
        <w:t>、</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color w:val="auto"/>
          <w:highlight w:val="none"/>
          <w:lang w:val="en-US" w:eastAsia="zh-CN"/>
        </w:rPr>
        <w:t>商务</w:t>
      </w:r>
      <w:r>
        <w:rPr>
          <w:rFonts w:hint="eastAsia" w:ascii="黑体"/>
          <w:b w:val="0"/>
          <w:color w:val="auto"/>
          <w:highlight w:val="none"/>
        </w:rPr>
        <w:t>条款偏离表</w:t>
      </w:r>
      <w:r>
        <w:rPr>
          <w:rFonts w:hint="eastAsia" w:ascii="黑体"/>
          <w:b w:val="0"/>
          <w:color w:val="auto"/>
          <w:highlight w:val="none"/>
        </w:rPr>
        <w:fldChar w:fldCharType="end"/>
      </w:r>
      <w:bookmarkEnd w:id="387"/>
    </w:p>
    <w:p w14:paraId="07ABC836">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r>
        <w:rPr>
          <w:rFonts w:hint="eastAsia"/>
          <w:color w:val="auto"/>
          <w:highlight w:val="none"/>
        </w:rPr>
        <w:t xml:space="preserve"> </w:t>
      </w:r>
    </w:p>
    <w:tbl>
      <w:tblPr>
        <w:tblStyle w:val="40"/>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37364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51" w:type="dxa"/>
            <w:vAlign w:val="center"/>
          </w:tcPr>
          <w:p w14:paraId="7466A579">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074544F8">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19A0763C">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竞争性谈判文件《用户需求书》的商务条款</w:t>
            </w:r>
          </w:p>
        </w:tc>
        <w:tc>
          <w:tcPr>
            <w:tcW w:w="2694" w:type="dxa"/>
            <w:vAlign w:val="center"/>
          </w:tcPr>
          <w:p w14:paraId="3C5E5020">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046EFA72">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2075ACBE">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38614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7C4E3D68">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18C172D">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2089D52E">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13EB2909">
            <w:pPr>
              <w:widowControl/>
              <w:snapToGrid w:val="0"/>
              <w:spacing w:before="156" w:beforeLines="50"/>
              <w:jc w:val="center"/>
              <w:rPr>
                <w:rFonts w:ascii="宋体" w:hAnsi="宋体"/>
                <w:color w:val="auto"/>
                <w:kern w:val="0"/>
                <w:szCs w:val="21"/>
                <w:highlight w:val="none"/>
              </w:rPr>
            </w:pPr>
          </w:p>
        </w:tc>
        <w:tc>
          <w:tcPr>
            <w:tcW w:w="1134" w:type="dxa"/>
            <w:vAlign w:val="center"/>
          </w:tcPr>
          <w:p w14:paraId="7CC9BD44">
            <w:pPr>
              <w:widowControl/>
              <w:snapToGrid w:val="0"/>
              <w:spacing w:before="156" w:beforeLines="50"/>
              <w:jc w:val="center"/>
              <w:rPr>
                <w:rFonts w:ascii="宋体" w:hAnsi="宋体"/>
                <w:color w:val="auto"/>
                <w:kern w:val="0"/>
                <w:szCs w:val="21"/>
                <w:highlight w:val="none"/>
              </w:rPr>
            </w:pPr>
          </w:p>
        </w:tc>
      </w:tr>
      <w:tr w14:paraId="7FAD19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60D58C09">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07E607C">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7B53CD2D">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0A8D08BD">
            <w:pPr>
              <w:widowControl/>
              <w:snapToGrid w:val="0"/>
              <w:spacing w:before="156" w:beforeLines="50"/>
              <w:jc w:val="center"/>
              <w:rPr>
                <w:rFonts w:ascii="宋体" w:hAnsi="宋体"/>
                <w:color w:val="auto"/>
                <w:kern w:val="0"/>
                <w:szCs w:val="21"/>
                <w:highlight w:val="none"/>
              </w:rPr>
            </w:pPr>
          </w:p>
        </w:tc>
        <w:tc>
          <w:tcPr>
            <w:tcW w:w="1134" w:type="dxa"/>
            <w:vAlign w:val="center"/>
          </w:tcPr>
          <w:p w14:paraId="0B594279">
            <w:pPr>
              <w:widowControl/>
              <w:snapToGrid w:val="0"/>
              <w:spacing w:before="156" w:beforeLines="50"/>
              <w:jc w:val="center"/>
              <w:rPr>
                <w:rFonts w:ascii="宋体" w:hAnsi="宋体"/>
                <w:color w:val="auto"/>
                <w:kern w:val="0"/>
                <w:szCs w:val="21"/>
                <w:highlight w:val="none"/>
              </w:rPr>
            </w:pPr>
          </w:p>
        </w:tc>
      </w:tr>
      <w:tr w14:paraId="7FBAA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01CD6E1C">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0ECF001">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246CB1AC">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5B442D96">
            <w:pPr>
              <w:widowControl/>
              <w:snapToGrid w:val="0"/>
              <w:spacing w:before="156" w:beforeLines="50"/>
              <w:jc w:val="center"/>
              <w:rPr>
                <w:rFonts w:ascii="宋体" w:hAnsi="宋体"/>
                <w:color w:val="auto"/>
                <w:kern w:val="0"/>
                <w:szCs w:val="21"/>
                <w:highlight w:val="none"/>
              </w:rPr>
            </w:pPr>
          </w:p>
        </w:tc>
        <w:tc>
          <w:tcPr>
            <w:tcW w:w="1134" w:type="dxa"/>
            <w:vAlign w:val="center"/>
          </w:tcPr>
          <w:p w14:paraId="282A92D6">
            <w:pPr>
              <w:widowControl/>
              <w:snapToGrid w:val="0"/>
              <w:spacing w:before="156" w:beforeLines="50"/>
              <w:jc w:val="center"/>
              <w:rPr>
                <w:rFonts w:ascii="宋体" w:hAnsi="宋体"/>
                <w:color w:val="auto"/>
                <w:kern w:val="0"/>
                <w:szCs w:val="21"/>
                <w:highlight w:val="none"/>
              </w:rPr>
            </w:pPr>
          </w:p>
        </w:tc>
      </w:tr>
    </w:tbl>
    <w:p w14:paraId="295FA97F">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w:t>
      </w:r>
      <w:r>
        <w:rPr>
          <w:rFonts w:hint="eastAsia" w:ascii="宋体" w:hAnsi="宋体"/>
          <w:color w:val="auto"/>
          <w:kern w:val="0"/>
          <w:szCs w:val="21"/>
          <w:highlight w:val="none"/>
        </w:rPr>
        <w:t>竞争性谈判文件《用户需求书》的商务条款</w:t>
      </w:r>
      <w:r>
        <w:rPr>
          <w:rFonts w:hint="eastAsia" w:ascii="宋体" w:hAnsi="宋体"/>
          <w:color w:val="auto"/>
          <w:szCs w:val="21"/>
          <w:highlight w:val="none"/>
        </w:rPr>
        <w:t>，就竞争性谈判响应文件对商务条款存在的偏差与例外逐条做出说明；</w:t>
      </w:r>
    </w:p>
    <w:p w14:paraId="402F8F2A">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2.如竞争性谈判响应文件对商务条款无任何偏差，响应人仅需在本偏离表中填写“无偏离”即可。</w:t>
      </w:r>
    </w:p>
    <w:p w14:paraId="061E423F">
      <w:pPr>
        <w:spacing w:after="120"/>
        <w:rPr>
          <w:rFonts w:ascii="宋体" w:hAnsi="宋体"/>
          <w:color w:val="auto"/>
          <w:szCs w:val="21"/>
          <w:highlight w:val="none"/>
        </w:rPr>
      </w:pPr>
    </w:p>
    <w:p w14:paraId="6C5E7A3E">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27FE5586">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r>
        <w:rPr>
          <w:rFonts w:hint="eastAsia"/>
          <w:color w:val="auto"/>
          <w:szCs w:val="21"/>
          <w:highlight w:val="none"/>
          <w:lang w:val="en-US" w:eastAsia="zh-CN"/>
        </w:rPr>
        <w:t>或盖章</w:t>
      </w:r>
      <w:r>
        <w:rPr>
          <w:color w:val="auto"/>
          <w:szCs w:val="21"/>
          <w:highlight w:val="none"/>
        </w:rPr>
        <w:t>）</w:t>
      </w:r>
    </w:p>
    <w:p w14:paraId="57FD64ED">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096DA99C">
      <w:pPr>
        <w:pStyle w:val="3"/>
        <w:spacing w:before="0"/>
        <w:jc w:val="center"/>
        <w:rPr>
          <w:color w:val="auto"/>
          <w:highlight w:val="none"/>
        </w:rPr>
        <w:sectPr>
          <w:pgSz w:w="11906" w:h="16838"/>
          <w:pgMar w:top="1418" w:right="1800" w:bottom="1440" w:left="1800" w:header="851" w:footer="992" w:gutter="0"/>
          <w:pgNumType w:fmt="decimal"/>
          <w:cols w:space="720" w:num="1"/>
          <w:docGrid w:type="lines" w:linePitch="312" w:charSpace="0"/>
        </w:sectPr>
      </w:pPr>
    </w:p>
    <w:p w14:paraId="3DBEDFAB">
      <w:pPr>
        <w:pStyle w:val="3"/>
        <w:jc w:val="center"/>
        <w:rPr>
          <w:rFonts w:ascii="黑体"/>
          <w:color w:val="auto"/>
          <w:highlight w:val="none"/>
        </w:rPr>
      </w:pPr>
      <w:bookmarkStart w:id="388" w:name="_Toc14291"/>
      <w:r>
        <w:rPr>
          <w:rFonts w:hint="eastAsia" w:ascii="黑体"/>
          <w:color w:val="auto"/>
          <w:highlight w:val="none"/>
          <w:lang w:val="en-US" w:eastAsia="zh-CN"/>
        </w:rPr>
        <w:t>十</w:t>
      </w:r>
      <w:r>
        <w:rPr>
          <w:rFonts w:hint="eastAsia" w:ascii="黑体"/>
          <w:color w:val="auto"/>
          <w:highlight w:val="none"/>
        </w:rPr>
        <w:t>、</w:t>
      </w:r>
      <w:r>
        <w:rPr>
          <w:color w:val="auto"/>
          <w:highlight w:val="none"/>
        </w:rPr>
        <w:fldChar w:fldCharType="begin"/>
      </w:r>
      <w:r>
        <w:rPr>
          <w:color w:val="auto"/>
          <w:highlight w:val="none"/>
        </w:rPr>
        <w:instrText xml:space="preserve"> HYPERLINK \l "_Toc338661813" </w:instrText>
      </w:r>
      <w:r>
        <w:rPr>
          <w:color w:val="auto"/>
          <w:highlight w:val="none"/>
        </w:rPr>
        <w:fldChar w:fldCharType="separate"/>
      </w:r>
      <w:r>
        <w:rPr>
          <w:rFonts w:hint="eastAsia" w:ascii="黑体"/>
          <w:b w:val="0"/>
          <w:color w:val="auto"/>
          <w:highlight w:val="none"/>
        </w:rPr>
        <w:t>技术条款偏离表</w:t>
      </w:r>
      <w:r>
        <w:rPr>
          <w:rFonts w:hint="eastAsia" w:ascii="黑体"/>
          <w:b w:val="0"/>
          <w:color w:val="auto"/>
          <w:highlight w:val="none"/>
        </w:rPr>
        <w:fldChar w:fldCharType="end"/>
      </w:r>
      <w:bookmarkEnd w:id="388"/>
    </w:p>
    <w:p w14:paraId="458E27FA">
      <w:pPr>
        <w:rPr>
          <w:color w:val="auto"/>
          <w:highlight w:val="none"/>
        </w:rPr>
      </w:pPr>
      <w:r>
        <w:rPr>
          <w:rFonts w:hint="eastAsia"/>
          <w:color w:val="auto"/>
          <w:highlight w:val="none"/>
        </w:rPr>
        <w:t>项目名称：</w:t>
      </w:r>
      <w:r>
        <w:rPr>
          <w:rFonts w:hint="eastAsia"/>
          <w:color w:val="auto"/>
          <w:highlight w:val="none"/>
          <w:u w:val="single"/>
        </w:rPr>
        <w:t xml:space="preserve">                </w:t>
      </w:r>
      <w:r>
        <w:rPr>
          <w:rFonts w:hint="eastAsia"/>
          <w:color w:val="auto"/>
          <w:highlight w:val="none"/>
        </w:rPr>
        <w:t xml:space="preserve">  项目编号：</w:t>
      </w:r>
      <w:r>
        <w:rPr>
          <w:rFonts w:hint="eastAsia"/>
          <w:color w:val="auto"/>
          <w:highlight w:val="none"/>
          <w:u w:val="single"/>
        </w:rPr>
        <w:t xml:space="preserve">               </w:t>
      </w:r>
      <w:r>
        <w:rPr>
          <w:rFonts w:hint="eastAsia"/>
          <w:color w:val="auto"/>
          <w:highlight w:val="none"/>
        </w:rPr>
        <w:t xml:space="preserve"> </w:t>
      </w:r>
    </w:p>
    <w:tbl>
      <w:tblPr>
        <w:tblStyle w:val="40"/>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14:paraId="192BD3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51" w:type="dxa"/>
            <w:vAlign w:val="center"/>
          </w:tcPr>
          <w:p w14:paraId="3714E832">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序号</w:t>
            </w:r>
          </w:p>
        </w:tc>
        <w:tc>
          <w:tcPr>
            <w:tcW w:w="1701" w:type="dxa"/>
            <w:vAlign w:val="center"/>
          </w:tcPr>
          <w:p w14:paraId="6A636C21">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竞争性谈判文件条目号</w:t>
            </w:r>
          </w:p>
        </w:tc>
        <w:tc>
          <w:tcPr>
            <w:tcW w:w="2126" w:type="dxa"/>
            <w:vAlign w:val="center"/>
          </w:tcPr>
          <w:p w14:paraId="7FDF7C7F">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竞争性谈判文件《用户需求书》的技术条款</w:t>
            </w:r>
          </w:p>
        </w:tc>
        <w:tc>
          <w:tcPr>
            <w:tcW w:w="2694" w:type="dxa"/>
            <w:vAlign w:val="center"/>
          </w:tcPr>
          <w:p w14:paraId="7278D561">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竞争性谈判响应文件偏离情况</w:t>
            </w:r>
          </w:p>
          <w:p w14:paraId="3CEE7F9F">
            <w:pPr>
              <w:widowControl/>
              <w:snapToGrid w:val="0"/>
              <w:spacing w:before="156" w:beforeLines="50" w:line="360" w:lineRule="auto"/>
              <w:jc w:val="center"/>
              <w:rPr>
                <w:rFonts w:ascii="宋体" w:hAnsi="宋体"/>
                <w:color w:val="auto"/>
                <w:kern w:val="0"/>
                <w:szCs w:val="21"/>
                <w:highlight w:val="none"/>
              </w:rPr>
            </w:pPr>
            <w:r>
              <w:rPr>
                <w:rFonts w:hint="eastAsia" w:ascii="宋体" w:hAnsi="宋体"/>
                <w:color w:val="auto"/>
                <w:kern w:val="0"/>
                <w:szCs w:val="21"/>
                <w:highlight w:val="none"/>
              </w:rPr>
              <w:t>（正偏离/负偏离/无偏离）</w:t>
            </w:r>
          </w:p>
        </w:tc>
        <w:tc>
          <w:tcPr>
            <w:tcW w:w="1134" w:type="dxa"/>
            <w:vAlign w:val="center"/>
          </w:tcPr>
          <w:p w14:paraId="6F096BB8">
            <w:pPr>
              <w:widowControl/>
              <w:snapToGrid w:val="0"/>
              <w:spacing w:before="156" w:beforeLines="50"/>
              <w:jc w:val="center"/>
              <w:rPr>
                <w:rFonts w:ascii="宋体" w:hAnsi="宋体"/>
                <w:color w:val="auto"/>
                <w:kern w:val="0"/>
                <w:szCs w:val="21"/>
                <w:highlight w:val="none"/>
              </w:rPr>
            </w:pPr>
            <w:r>
              <w:rPr>
                <w:rFonts w:hint="eastAsia" w:ascii="宋体" w:hAnsi="宋体"/>
                <w:color w:val="auto"/>
                <w:kern w:val="0"/>
                <w:szCs w:val="21"/>
                <w:highlight w:val="none"/>
              </w:rPr>
              <w:t>说明</w:t>
            </w:r>
          </w:p>
        </w:tc>
      </w:tr>
      <w:tr w14:paraId="48BB3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5B3E9238">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161F0137">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1E667982">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28E56A9B">
            <w:pPr>
              <w:widowControl/>
              <w:snapToGrid w:val="0"/>
              <w:spacing w:before="156" w:beforeLines="50"/>
              <w:jc w:val="center"/>
              <w:rPr>
                <w:rFonts w:ascii="宋体" w:hAnsi="宋体"/>
                <w:color w:val="auto"/>
                <w:kern w:val="0"/>
                <w:szCs w:val="21"/>
                <w:highlight w:val="none"/>
              </w:rPr>
            </w:pPr>
          </w:p>
        </w:tc>
        <w:tc>
          <w:tcPr>
            <w:tcW w:w="1134" w:type="dxa"/>
            <w:vAlign w:val="center"/>
          </w:tcPr>
          <w:p w14:paraId="3FDE1DCA">
            <w:pPr>
              <w:widowControl/>
              <w:snapToGrid w:val="0"/>
              <w:spacing w:before="156" w:beforeLines="50"/>
              <w:jc w:val="center"/>
              <w:rPr>
                <w:rFonts w:ascii="宋体" w:hAnsi="宋体"/>
                <w:color w:val="auto"/>
                <w:kern w:val="0"/>
                <w:szCs w:val="21"/>
                <w:highlight w:val="none"/>
              </w:rPr>
            </w:pPr>
          </w:p>
        </w:tc>
      </w:tr>
      <w:tr w14:paraId="7BCC19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2A96243A">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27B87308">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2BB19BE8">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3E06BE2F">
            <w:pPr>
              <w:widowControl/>
              <w:snapToGrid w:val="0"/>
              <w:spacing w:before="156" w:beforeLines="50"/>
              <w:jc w:val="center"/>
              <w:rPr>
                <w:rFonts w:ascii="宋体" w:hAnsi="宋体"/>
                <w:color w:val="auto"/>
                <w:kern w:val="0"/>
                <w:szCs w:val="21"/>
                <w:highlight w:val="none"/>
              </w:rPr>
            </w:pPr>
          </w:p>
        </w:tc>
        <w:tc>
          <w:tcPr>
            <w:tcW w:w="1134" w:type="dxa"/>
            <w:vAlign w:val="center"/>
          </w:tcPr>
          <w:p w14:paraId="2A4CC3BF">
            <w:pPr>
              <w:widowControl/>
              <w:snapToGrid w:val="0"/>
              <w:spacing w:before="156" w:beforeLines="50"/>
              <w:jc w:val="center"/>
              <w:rPr>
                <w:rFonts w:ascii="宋体" w:hAnsi="宋体"/>
                <w:color w:val="auto"/>
                <w:kern w:val="0"/>
                <w:szCs w:val="21"/>
                <w:highlight w:val="none"/>
              </w:rPr>
            </w:pPr>
          </w:p>
        </w:tc>
      </w:tr>
      <w:tr w14:paraId="2AC91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14:paraId="59C8EA36">
            <w:pPr>
              <w:widowControl/>
              <w:snapToGrid w:val="0"/>
              <w:spacing w:before="156" w:beforeLines="50" w:line="360" w:lineRule="auto"/>
              <w:jc w:val="center"/>
              <w:rPr>
                <w:rFonts w:ascii="宋体" w:hAnsi="宋体"/>
                <w:color w:val="auto"/>
                <w:kern w:val="0"/>
                <w:szCs w:val="21"/>
                <w:highlight w:val="none"/>
              </w:rPr>
            </w:pPr>
          </w:p>
        </w:tc>
        <w:tc>
          <w:tcPr>
            <w:tcW w:w="1701" w:type="dxa"/>
            <w:vAlign w:val="center"/>
          </w:tcPr>
          <w:p w14:paraId="3E1D5C45">
            <w:pPr>
              <w:widowControl/>
              <w:snapToGrid w:val="0"/>
              <w:spacing w:before="156" w:beforeLines="50" w:line="360" w:lineRule="auto"/>
              <w:jc w:val="center"/>
              <w:rPr>
                <w:rFonts w:ascii="宋体" w:hAnsi="宋体"/>
                <w:color w:val="auto"/>
                <w:kern w:val="0"/>
                <w:szCs w:val="21"/>
                <w:highlight w:val="none"/>
              </w:rPr>
            </w:pPr>
          </w:p>
        </w:tc>
        <w:tc>
          <w:tcPr>
            <w:tcW w:w="2126" w:type="dxa"/>
            <w:vAlign w:val="center"/>
          </w:tcPr>
          <w:p w14:paraId="36786A76">
            <w:pPr>
              <w:widowControl/>
              <w:snapToGrid w:val="0"/>
              <w:spacing w:before="156" w:beforeLines="50" w:line="360" w:lineRule="auto"/>
              <w:jc w:val="center"/>
              <w:rPr>
                <w:rFonts w:ascii="宋体" w:hAnsi="宋体"/>
                <w:color w:val="auto"/>
                <w:kern w:val="0"/>
                <w:szCs w:val="21"/>
                <w:highlight w:val="none"/>
              </w:rPr>
            </w:pPr>
          </w:p>
        </w:tc>
        <w:tc>
          <w:tcPr>
            <w:tcW w:w="2694" w:type="dxa"/>
            <w:vAlign w:val="center"/>
          </w:tcPr>
          <w:p w14:paraId="558CC951">
            <w:pPr>
              <w:widowControl/>
              <w:snapToGrid w:val="0"/>
              <w:spacing w:before="156" w:beforeLines="50"/>
              <w:jc w:val="center"/>
              <w:rPr>
                <w:rFonts w:ascii="宋体" w:hAnsi="宋体"/>
                <w:color w:val="auto"/>
                <w:kern w:val="0"/>
                <w:szCs w:val="21"/>
                <w:highlight w:val="none"/>
              </w:rPr>
            </w:pPr>
          </w:p>
        </w:tc>
        <w:tc>
          <w:tcPr>
            <w:tcW w:w="1134" w:type="dxa"/>
            <w:vAlign w:val="center"/>
          </w:tcPr>
          <w:p w14:paraId="0CA8CB53">
            <w:pPr>
              <w:widowControl/>
              <w:snapToGrid w:val="0"/>
              <w:spacing w:before="156" w:beforeLines="50"/>
              <w:jc w:val="center"/>
              <w:rPr>
                <w:rFonts w:ascii="宋体" w:hAnsi="宋体"/>
                <w:color w:val="auto"/>
                <w:kern w:val="0"/>
                <w:szCs w:val="21"/>
                <w:highlight w:val="none"/>
              </w:rPr>
            </w:pPr>
          </w:p>
        </w:tc>
      </w:tr>
    </w:tbl>
    <w:p w14:paraId="298645C0">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注：1.响应人应当逐条对照</w:t>
      </w:r>
      <w:r>
        <w:rPr>
          <w:rFonts w:hint="eastAsia" w:ascii="宋体" w:hAnsi="宋体"/>
          <w:color w:val="auto"/>
          <w:kern w:val="0"/>
          <w:szCs w:val="21"/>
          <w:highlight w:val="none"/>
        </w:rPr>
        <w:t>竞争性谈判文件《用户需求书》的技术条款</w:t>
      </w:r>
      <w:r>
        <w:rPr>
          <w:rFonts w:hint="eastAsia" w:ascii="宋体" w:hAnsi="宋体"/>
          <w:color w:val="auto"/>
          <w:szCs w:val="21"/>
          <w:highlight w:val="none"/>
        </w:rPr>
        <w:t>，就竞争性谈判响应文件对技术条款存在的偏差与例外逐条做出说明；</w:t>
      </w:r>
    </w:p>
    <w:p w14:paraId="348EA4C3">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2.如竞争性谈判响应文件对技术条款无任何偏差，响应人仅需在本偏离表中填写“无偏离”即可。</w:t>
      </w:r>
    </w:p>
    <w:p w14:paraId="3B3BE653">
      <w:pPr>
        <w:spacing w:after="120"/>
        <w:rPr>
          <w:rFonts w:ascii="宋体" w:hAnsi="宋体"/>
          <w:color w:val="auto"/>
          <w:szCs w:val="21"/>
          <w:highlight w:val="none"/>
        </w:rPr>
      </w:pPr>
    </w:p>
    <w:p w14:paraId="2E854E7B">
      <w:pPr>
        <w:spacing w:line="360" w:lineRule="auto"/>
        <w:ind w:firstLine="3675" w:firstLineChars="175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603A99C4">
      <w:pPr>
        <w:spacing w:line="360" w:lineRule="auto"/>
        <w:ind w:firstLine="3675" w:firstLineChars="1750"/>
        <w:rPr>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r>
        <w:rPr>
          <w:rFonts w:hint="eastAsia"/>
          <w:color w:val="auto"/>
          <w:szCs w:val="21"/>
          <w:highlight w:val="none"/>
          <w:lang w:val="en-US" w:eastAsia="zh-CN"/>
        </w:rPr>
        <w:t>或盖章</w:t>
      </w:r>
      <w:r>
        <w:rPr>
          <w:color w:val="auto"/>
          <w:szCs w:val="21"/>
          <w:highlight w:val="none"/>
        </w:rPr>
        <w:t>）</w:t>
      </w:r>
    </w:p>
    <w:p w14:paraId="47ED13B6">
      <w:pPr>
        <w:spacing w:line="480" w:lineRule="auto"/>
        <w:rPr>
          <w:rFonts w:ascii="黑体" w:hAnsi="宋体"/>
          <w:color w:val="auto"/>
          <w:highlight w:val="none"/>
        </w:rPr>
      </w:pPr>
      <w:r>
        <w:rPr>
          <w:rFonts w:hint="eastAsia"/>
          <w:color w:val="auto"/>
          <w:szCs w:val="21"/>
          <w:highlight w:val="none"/>
        </w:rPr>
        <w:t xml:space="preserve">                                     </w:t>
      </w:r>
      <w:r>
        <w:rPr>
          <w:rFonts w:hint="eastAsia"/>
          <w:color w:val="auto"/>
          <w:szCs w:val="21"/>
          <w:highlight w:val="none"/>
          <w:u w:val="single"/>
        </w:rPr>
        <w:t xml:space="preserve">        </w:t>
      </w:r>
      <w:r>
        <w:rPr>
          <w:color w:val="auto"/>
          <w:szCs w:val="21"/>
          <w:highlight w:val="none"/>
        </w:rPr>
        <w:t>年</w:t>
      </w:r>
      <w:r>
        <w:rPr>
          <w:rFonts w:hint="eastAsia"/>
          <w:color w:val="auto"/>
          <w:szCs w:val="21"/>
          <w:highlight w:val="none"/>
          <w:u w:val="single"/>
        </w:rPr>
        <w:t xml:space="preserve">        </w:t>
      </w:r>
      <w:r>
        <w:rPr>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41E57FD4">
      <w:pPr>
        <w:pStyle w:val="3"/>
        <w:spacing w:before="0"/>
        <w:jc w:val="center"/>
        <w:rPr>
          <w:color w:val="auto"/>
          <w:highlight w:val="none"/>
        </w:rPr>
        <w:sectPr>
          <w:pgSz w:w="11906" w:h="16838"/>
          <w:pgMar w:top="1418" w:right="1800" w:bottom="1440" w:left="1800" w:header="851" w:footer="992" w:gutter="0"/>
          <w:pgNumType w:fmt="decimal"/>
          <w:cols w:space="720" w:num="1"/>
          <w:docGrid w:type="lines" w:linePitch="312" w:charSpace="0"/>
        </w:sectPr>
      </w:pPr>
    </w:p>
    <w:p w14:paraId="7EA1C138">
      <w:pPr>
        <w:pStyle w:val="3"/>
        <w:jc w:val="center"/>
        <w:rPr>
          <w:color w:val="auto"/>
          <w:highlight w:val="none"/>
        </w:rPr>
      </w:pPr>
      <w:bookmarkStart w:id="389" w:name="_Toc179632827"/>
      <w:bookmarkStart w:id="390" w:name="_Toc246996372"/>
      <w:bookmarkStart w:id="391" w:name="_Toc152045807"/>
      <w:bookmarkStart w:id="392" w:name="_Toc152042596"/>
      <w:bookmarkStart w:id="393" w:name="_Toc144974875"/>
      <w:bookmarkStart w:id="394" w:name="_Toc486425440"/>
      <w:bookmarkStart w:id="395" w:name="_Toc8751"/>
      <w:bookmarkStart w:id="396" w:name="_Toc338669161"/>
      <w:bookmarkStart w:id="397" w:name="_Toc247085890"/>
      <w:bookmarkStart w:id="398" w:name="_Toc246997115"/>
      <w:r>
        <w:rPr>
          <w:rFonts w:hint="eastAsia"/>
          <w:color w:val="auto"/>
          <w:highlight w:val="none"/>
          <w:lang w:val="en-US" w:eastAsia="zh-CN"/>
        </w:rPr>
        <w:t>十一、</w:t>
      </w:r>
      <w:r>
        <w:rPr>
          <w:color w:val="auto"/>
          <w:highlight w:val="none"/>
        </w:rPr>
        <w:t>资格审查资料</w:t>
      </w:r>
      <w:bookmarkEnd w:id="389"/>
      <w:bookmarkEnd w:id="390"/>
      <w:bookmarkEnd w:id="391"/>
      <w:bookmarkEnd w:id="392"/>
      <w:bookmarkEnd w:id="393"/>
      <w:bookmarkEnd w:id="394"/>
      <w:bookmarkEnd w:id="395"/>
      <w:bookmarkEnd w:id="396"/>
      <w:bookmarkEnd w:id="397"/>
      <w:bookmarkEnd w:id="398"/>
    </w:p>
    <w:p w14:paraId="34A70C20">
      <w:pPr>
        <w:widowControl/>
        <w:jc w:val="left"/>
        <w:rPr>
          <w:color w:val="auto"/>
          <w:szCs w:val="21"/>
          <w:highlight w:val="none"/>
        </w:rPr>
      </w:pPr>
      <w:r>
        <w:rPr>
          <w:color w:val="auto"/>
          <w:szCs w:val="21"/>
          <w:highlight w:val="none"/>
        </w:rPr>
        <w:br w:type="page"/>
      </w:r>
    </w:p>
    <w:p w14:paraId="1138CC38">
      <w:pPr>
        <w:pStyle w:val="3"/>
        <w:jc w:val="center"/>
        <w:rPr>
          <w:rFonts w:hint="eastAsia"/>
          <w:color w:val="auto"/>
          <w:highlight w:val="none"/>
        </w:rPr>
        <w:sectPr>
          <w:pgSz w:w="11906" w:h="16838"/>
          <w:pgMar w:top="1440" w:right="1800" w:bottom="1440" w:left="1800" w:header="851" w:footer="992" w:gutter="0"/>
          <w:pgNumType w:fmt="decimal"/>
          <w:cols w:space="720" w:num="1"/>
          <w:docGrid w:type="lines" w:linePitch="312" w:charSpace="0"/>
        </w:sectPr>
      </w:pPr>
    </w:p>
    <w:p w14:paraId="7BDCD792">
      <w:pPr>
        <w:pStyle w:val="3"/>
        <w:jc w:val="center"/>
        <w:rPr>
          <w:color w:val="auto"/>
          <w:highlight w:val="none"/>
        </w:rPr>
      </w:pPr>
      <w:bookmarkStart w:id="399" w:name="_Toc25533"/>
      <w:r>
        <w:rPr>
          <w:rFonts w:hint="eastAsia"/>
          <w:color w:val="auto"/>
          <w:highlight w:val="none"/>
        </w:rPr>
        <w:t>十</w:t>
      </w:r>
      <w:r>
        <w:rPr>
          <w:rFonts w:hint="eastAsia"/>
          <w:color w:val="auto"/>
          <w:highlight w:val="none"/>
          <w:lang w:val="en-US" w:eastAsia="zh-CN"/>
        </w:rPr>
        <w:t>二</w:t>
      </w:r>
      <w:r>
        <w:rPr>
          <w:color w:val="auto"/>
          <w:highlight w:val="none"/>
        </w:rPr>
        <w:t>、</w:t>
      </w:r>
      <w:r>
        <w:rPr>
          <w:rFonts w:hint="eastAsia"/>
          <w:color w:val="auto"/>
          <w:highlight w:val="none"/>
        </w:rPr>
        <w:t>其他需要补充的</w:t>
      </w:r>
      <w:r>
        <w:rPr>
          <w:color w:val="auto"/>
          <w:highlight w:val="none"/>
        </w:rPr>
        <w:t>资料</w:t>
      </w:r>
      <w:bookmarkEnd w:id="399"/>
    </w:p>
    <w:p w14:paraId="61C83588">
      <w:pPr>
        <w:widowControl/>
        <w:jc w:val="left"/>
        <w:rPr>
          <w:color w:val="auto"/>
          <w:szCs w:val="21"/>
          <w:highlight w:val="none"/>
        </w:rPr>
      </w:pPr>
      <w:r>
        <w:rPr>
          <w:color w:val="auto"/>
          <w:szCs w:val="21"/>
          <w:highlight w:val="none"/>
        </w:rPr>
        <w:br w:type="page"/>
      </w:r>
    </w:p>
    <w:p w14:paraId="187BA8D2">
      <w:pPr>
        <w:spacing w:line="480" w:lineRule="auto"/>
        <w:jc w:val="center"/>
        <w:rPr>
          <w:rFonts w:eastAsia="黑体"/>
          <w:color w:val="auto"/>
          <w:sz w:val="20"/>
          <w:szCs w:val="20"/>
          <w:highlight w:val="none"/>
        </w:rPr>
      </w:pPr>
      <w:bookmarkStart w:id="400" w:name="_Toc486425443"/>
      <w:r>
        <w:rPr>
          <w:rFonts w:hint="eastAsia" w:eastAsia="黑体"/>
          <w:color w:val="auto"/>
          <w:sz w:val="28"/>
          <w:szCs w:val="28"/>
          <w:highlight w:val="none"/>
          <w:u w:val="single"/>
        </w:rPr>
        <w:t xml:space="preserve">    </w:t>
      </w:r>
      <w:r>
        <w:rPr>
          <w:rFonts w:eastAsia="黑体"/>
          <w:color w:val="auto"/>
          <w:sz w:val="28"/>
          <w:szCs w:val="28"/>
          <w:highlight w:val="none"/>
          <w:u w:val="single"/>
        </w:rPr>
        <w:t>（项目名称）</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p>
    <w:p w14:paraId="42930EE4">
      <w:pPr>
        <w:spacing w:line="480" w:lineRule="auto"/>
        <w:jc w:val="center"/>
        <w:rPr>
          <w:rFonts w:eastAsia="黑体"/>
          <w:color w:val="auto"/>
          <w:sz w:val="20"/>
          <w:szCs w:val="20"/>
          <w:highlight w:val="none"/>
        </w:rPr>
      </w:pPr>
    </w:p>
    <w:p w14:paraId="2B14C44B">
      <w:pPr>
        <w:spacing w:line="480" w:lineRule="auto"/>
        <w:jc w:val="center"/>
        <w:rPr>
          <w:rFonts w:eastAsia="黑体"/>
          <w:color w:val="auto"/>
          <w:sz w:val="20"/>
          <w:szCs w:val="20"/>
          <w:highlight w:val="none"/>
        </w:rPr>
      </w:pPr>
    </w:p>
    <w:p w14:paraId="070A0B38">
      <w:pPr>
        <w:spacing w:line="480" w:lineRule="auto"/>
        <w:jc w:val="center"/>
        <w:outlineLvl w:val="1"/>
        <w:rPr>
          <w:rFonts w:ascii="宋体" w:hAnsi="宋体"/>
          <w:b/>
          <w:color w:val="auto"/>
          <w:sz w:val="52"/>
          <w:szCs w:val="52"/>
          <w:highlight w:val="none"/>
        </w:rPr>
      </w:pPr>
      <w:bookmarkStart w:id="401" w:name="_Toc26211"/>
      <w:r>
        <w:rPr>
          <w:rFonts w:hint="eastAsia" w:ascii="宋体" w:hAnsi="宋体"/>
          <w:b/>
          <w:color w:val="auto"/>
          <w:sz w:val="52"/>
          <w:szCs w:val="52"/>
          <w:highlight w:val="none"/>
          <w:lang w:val="en-US" w:eastAsia="zh-CN"/>
        </w:rPr>
        <w:t xml:space="preserve">经 济 </w:t>
      </w:r>
      <w:r>
        <w:rPr>
          <w:rFonts w:hint="eastAsia" w:ascii="宋体" w:hAnsi="宋体"/>
          <w:b/>
          <w:color w:val="auto"/>
          <w:sz w:val="52"/>
          <w:szCs w:val="52"/>
          <w:highlight w:val="none"/>
        </w:rPr>
        <w:t>响</w:t>
      </w:r>
      <w:r>
        <w:rPr>
          <w:rFonts w:ascii="宋体" w:hAnsi="宋体"/>
          <w:b/>
          <w:color w:val="auto"/>
          <w:sz w:val="52"/>
          <w:szCs w:val="52"/>
          <w:highlight w:val="none"/>
        </w:rPr>
        <w:t xml:space="preserve">  </w:t>
      </w:r>
      <w:r>
        <w:rPr>
          <w:rFonts w:hint="eastAsia" w:ascii="宋体" w:hAnsi="宋体"/>
          <w:b/>
          <w:color w:val="auto"/>
          <w:sz w:val="52"/>
          <w:szCs w:val="52"/>
          <w:highlight w:val="none"/>
        </w:rPr>
        <w:t>应</w:t>
      </w:r>
      <w:r>
        <w:rPr>
          <w:rFonts w:ascii="宋体" w:hAnsi="宋体"/>
          <w:b/>
          <w:color w:val="auto"/>
          <w:sz w:val="52"/>
          <w:szCs w:val="52"/>
          <w:highlight w:val="none"/>
        </w:rPr>
        <w:t xml:space="preserve">  文  件</w:t>
      </w:r>
      <w:bookmarkEnd w:id="401"/>
    </w:p>
    <w:p w14:paraId="04BA71FC">
      <w:pPr>
        <w:jc w:val="center"/>
        <w:rPr>
          <w:rFonts w:eastAsia="黑体"/>
          <w:color w:val="auto"/>
          <w:sz w:val="28"/>
          <w:szCs w:val="28"/>
          <w:highlight w:val="none"/>
        </w:rPr>
      </w:pPr>
    </w:p>
    <w:p w14:paraId="20F11687">
      <w:pPr>
        <w:rPr>
          <w:rFonts w:eastAsia="黑体"/>
          <w:color w:val="auto"/>
          <w:sz w:val="28"/>
          <w:szCs w:val="28"/>
          <w:highlight w:val="none"/>
        </w:rPr>
      </w:pPr>
    </w:p>
    <w:p w14:paraId="6B738C5C">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1AA94FF5">
      <w:pPr>
        <w:rPr>
          <w:rFonts w:eastAsia="黑体"/>
          <w:color w:val="auto"/>
          <w:sz w:val="28"/>
          <w:szCs w:val="28"/>
          <w:highlight w:val="none"/>
        </w:rPr>
      </w:pPr>
    </w:p>
    <w:p w14:paraId="344E5A4B">
      <w:pPr>
        <w:rPr>
          <w:rFonts w:eastAsia="黑体"/>
          <w:color w:val="auto"/>
          <w:sz w:val="28"/>
          <w:szCs w:val="28"/>
          <w:highlight w:val="none"/>
        </w:rPr>
      </w:pPr>
    </w:p>
    <w:p w14:paraId="28E2C4F6">
      <w:pPr>
        <w:rPr>
          <w:rFonts w:eastAsia="黑体"/>
          <w:color w:val="auto"/>
          <w:sz w:val="28"/>
          <w:szCs w:val="28"/>
          <w:highlight w:val="none"/>
        </w:rPr>
      </w:pPr>
    </w:p>
    <w:p w14:paraId="7A052122">
      <w:pPr>
        <w:rPr>
          <w:rFonts w:eastAsia="黑体"/>
          <w:color w:val="auto"/>
          <w:sz w:val="28"/>
          <w:szCs w:val="28"/>
          <w:highlight w:val="none"/>
        </w:rPr>
      </w:pPr>
    </w:p>
    <w:p w14:paraId="1FD5E51D">
      <w:pPr>
        <w:rPr>
          <w:rFonts w:eastAsia="黑体"/>
          <w:color w:val="auto"/>
          <w:sz w:val="28"/>
          <w:szCs w:val="28"/>
          <w:highlight w:val="none"/>
        </w:rPr>
      </w:pPr>
    </w:p>
    <w:p w14:paraId="328537C6">
      <w:pPr>
        <w:rPr>
          <w:rFonts w:eastAsia="黑体"/>
          <w:color w:val="auto"/>
          <w:sz w:val="28"/>
          <w:szCs w:val="28"/>
          <w:highlight w:val="none"/>
        </w:rPr>
      </w:pPr>
    </w:p>
    <w:p w14:paraId="61ACCD0C">
      <w:pPr>
        <w:rPr>
          <w:rFonts w:eastAsia="黑体"/>
          <w:color w:val="auto"/>
          <w:sz w:val="28"/>
          <w:szCs w:val="28"/>
          <w:highlight w:val="none"/>
        </w:rPr>
      </w:pPr>
    </w:p>
    <w:p w14:paraId="7EF719D7">
      <w:pPr>
        <w:spacing w:line="360" w:lineRule="auto"/>
        <w:jc w:val="center"/>
        <w:rPr>
          <w:rFonts w:eastAsia="黑体"/>
          <w:color w:val="auto"/>
          <w:sz w:val="28"/>
          <w:szCs w:val="28"/>
          <w:highlight w:val="none"/>
          <w:u w:val="single"/>
        </w:rPr>
      </w:pPr>
      <w:r>
        <w:rPr>
          <w:rFonts w:eastAsia="黑体"/>
          <w:color w:val="auto"/>
          <w:sz w:val="28"/>
          <w:szCs w:val="28"/>
          <w:highlight w:val="none"/>
        </w:rPr>
        <w:t>响应人：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（盖单位</w:t>
      </w:r>
      <w:r>
        <w:rPr>
          <w:rFonts w:hint="eastAsia" w:eastAsia="黑体"/>
          <w:color w:val="auto"/>
          <w:sz w:val="28"/>
          <w:szCs w:val="28"/>
          <w:highlight w:val="none"/>
        </w:rPr>
        <w:t>公</w:t>
      </w:r>
      <w:r>
        <w:rPr>
          <w:rFonts w:eastAsia="黑体"/>
          <w:color w:val="auto"/>
          <w:sz w:val="28"/>
          <w:szCs w:val="28"/>
          <w:highlight w:val="none"/>
        </w:rPr>
        <w:t>章）</w:t>
      </w:r>
    </w:p>
    <w:p w14:paraId="1A4BA15C">
      <w:pPr>
        <w:spacing w:line="360" w:lineRule="auto"/>
        <w:jc w:val="center"/>
        <w:rPr>
          <w:rFonts w:eastAsia="黑体"/>
          <w:color w:val="auto"/>
          <w:sz w:val="28"/>
          <w:szCs w:val="28"/>
          <w:highlight w:val="none"/>
        </w:rPr>
      </w:pPr>
      <w:r>
        <w:rPr>
          <w:rFonts w:eastAsia="黑体"/>
          <w:color w:val="auto"/>
          <w:sz w:val="28"/>
          <w:szCs w:val="28"/>
          <w:highlight w:val="none"/>
        </w:rPr>
        <w:t>法定代表人或其委托代理人：</w:t>
      </w:r>
      <w:r>
        <w:rPr>
          <w:rFonts w:eastAsia="黑体"/>
          <w:color w:val="auto"/>
          <w:sz w:val="28"/>
          <w:szCs w:val="28"/>
          <w:highlight w:val="none"/>
          <w:u w:val="single"/>
        </w:rPr>
        <w:t xml:space="preserve">         </w:t>
      </w:r>
      <w:r>
        <w:rPr>
          <w:rFonts w:eastAsia="黑体"/>
          <w:color w:val="auto"/>
          <w:sz w:val="28"/>
          <w:szCs w:val="28"/>
          <w:highlight w:val="none"/>
        </w:rPr>
        <w:t>（签字</w:t>
      </w:r>
      <w:r>
        <w:rPr>
          <w:rFonts w:hint="eastAsia" w:eastAsia="黑体"/>
          <w:color w:val="auto"/>
          <w:sz w:val="28"/>
          <w:szCs w:val="28"/>
          <w:highlight w:val="none"/>
          <w:lang w:val="en-US" w:eastAsia="zh-CN"/>
        </w:rPr>
        <w:t>或盖章</w:t>
      </w:r>
      <w:r>
        <w:rPr>
          <w:rFonts w:eastAsia="黑体"/>
          <w:color w:val="auto"/>
          <w:sz w:val="28"/>
          <w:szCs w:val="28"/>
          <w:highlight w:val="none"/>
        </w:rPr>
        <w:t>）</w:t>
      </w:r>
    </w:p>
    <w:p w14:paraId="232C3BE1">
      <w:pPr>
        <w:spacing w:line="360" w:lineRule="auto"/>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1D73E064">
      <w:pPr>
        <w:jc w:val="center"/>
        <w:rPr>
          <w:rFonts w:eastAsia="黑体"/>
          <w:color w:val="auto"/>
          <w:sz w:val="28"/>
          <w:szCs w:val="28"/>
          <w:highlight w:val="none"/>
        </w:rPr>
      </w:pPr>
    </w:p>
    <w:p w14:paraId="129AA264">
      <w:pPr>
        <w:widowControl/>
        <w:jc w:val="left"/>
        <w:rPr>
          <w:color w:val="auto"/>
          <w:highlight w:val="none"/>
        </w:rPr>
      </w:pPr>
      <w:r>
        <w:rPr>
          <w:color w:val="auto"/>
          <w:highlight w:val="none"/>
        </w:rPr>
        <w:br w:type="page"/>
      </w:r>
      <w:bookmarkEnd w:id="400"/>
    </w:p>
    <w:p w14:paraId="19E6ADE1">
      <w:pPr>
        <w:pStyle w:val="3"/>
        <w:spacing w:line="240" w:lineRule="auto"/>
        <w:rPr>
          <w:rFonts w:ascii="黑体" w:hAnsi="Times New Roman"/>
          <w:b w:val="0"/>
          <w:bCs w:val="0"/>
          <w:color w:val="auto"/>
          <w:sz w:val="28"/>
          <w:szCs w:val="28"/>
          <w:highlight w:val="none"/>
        </w:rPr>
      </w:pPr>
      <w:bookmarkStart w:id="402" w:name="_Toc338669163"/>
      <w:bookmarkStart w:id="403" w:name="_Toc486425444"/>
      <w:bookmarkStart w:id="404" w:name="_Toc27893"/>
      <w:r>
        <w:rPr>
          <w:rFonts w:hint="eastAsia" w:ascii="黑体" w:hAnsi="Times New Roman"/>
          <w:b w:val="0"/>
          <w:bCs w:val="0"/>
          <w:color w:val="auto"/>
          <w:sz w:val="28"/>
          <w:szCs w:val="28"/>
          <w:highlight w:val="none"/>
        </w:rPr>
        <w:t>一、报价一览表</w:t>
      </w:r>
      <w:bookmarkEnd w:id="402"/>
      <w:bookmarkEnd w:id="403"/>
      <w:bookmarkEnd w:id="404"/>
    </w:p>
    <w:p w14:paraId="5D0CE409">
      <w:pPr>
        <w:keepNext w:val="0"/>
        <w:keepLines w:val="0"/>
        <w:pageBreakBefore w:val="0"/>
        <w:widowControl w:val="0"/>
        <w:kinsoku/>
        <w:wordWrap/>
        <w:overflowPunct/>
        <w:topLinePunct w:val="0"/>
        <w:bidi w:val="0"/>
        <w:snapToGrid/>
        <w:spacing w:line="360" w:lineRule="auto"/>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名称：</w:t>
      </w:r>
    </w:p>
    <w:p w14:paraId="3467E8D5">
      <w:pPr>
        <w:keepNext w:val="0"/>
        <w:keepLines w:val="0"/>
        <w:pageBreakBefore w:val="0"/>
        <w:widowControl w:val="0"/>
        <w:kinsoku/>
        <w:wordWrap/>
        <w:overflowPunct/>
        <w:topLinePunct w:val="0"/>
        <w:bidi w:val="0"/>
        <w:snapToGrid/>
        <w:spacing w:line="360" w:lineRule="auto"/>
        <w:textAlignment w:val="auto"/>
        <w:rPr>
          <w:color w:val="auto"/>
          <w:highlight w:val="none"/>
        </w:rPr>
      </w:pPr>
      <w:r>
        <w:rPr>
          <w:rFonts w:hint="eastAsia" w:ascii="宋体" w:hAnsi="宋体"/>
          <w:color w:val="auto"/>
          <w:szCs w:val="21"/>
          <w:highlight w:val="none"/>
        </w:rPr>
        <w:t>项目编号：</w:t>
      </w:r>
    </w:p>
    <w:tbl>
      <w:tblPr>
        <w:tblStyle w:val="40"/>
        <w:tblW w:w="7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6"/>
        <w:gridCol w:w="2466"/>
        <w:gridCol w:w="1582"/>
        <w:gridCol w:w="1010"/>
      </w:tblGrid>
      <w:tr w14:paraId="0D4FE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2706" w:type="dxa"/>
            <w:vAlign w:val="center"/>
          </w:tcPr>
          <w:p w14:paraId="55C1467D">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kern w:val="28"/>
                <w:szCs w:val="21"/>
                <w:highlight w:val="none"/>
              </w:rPr>
            </w:pPr>
            <w:r>
              <w:rPr>
                <w:rFonts w:hint="eastAsia" w:ascii="宋体" w:hAnsi="宋体"/>
                <w:color w:val="auto"/>
                <w:szCs w:val="21"/>
                <w:highlight w:val="none"/>
              </w:rPr>
              <w:t>项目名称</w:t>
            </w:r>
          </w:p>
        </w:tc>
        <w:tc>
          <w:tcPr>
            <w:tcW w:w="2466" w:type="dxa"/>
            <w:vAlign w:val="center"/>
          </w:tcPr>
          <w:p w14:paraId="45D42A59">
            <w:pPr>
              <w:keepNext w:val="0"/>
              <w:keepLines w:val="0"/>
              <w:pageBreakBefore w:val="0"/>
              <w:widowControl w:val="0"/>
              <w:kinsoku/>
              <w:wordWrap/>
              <w:overflowPunct/>
              <w:topLinePunct w:val="0"/>
              <w:bidi w:val="0"/>
              <w:snapToGrid/>
              <w:spacing w:line="360" w:lineRule="auto"/>
              <w:jc w:val="center"/>
              <w:textAlignment w:val="auto"/>
              <w:rPr>
                <w:rFonts w:hint="default"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响应报价（不含税）</w:t>
            </w:r>
          </w:p>
        </w:tc>
        <w:tc>
          <w:tcPr>
            <w:tcW w:w="1582" w:type="dxa"/>
            <w:vAlign w:val="center"/>
          </w:tcPr>
          <w:p w14:paraId="06E6E336">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kern w:val="28"/>
                <w:szCs w:val="21"/>
                <w:highlight w:val="none"/>
              </w:rPr>
            </w:pPr>
            <w:r>
              <w:rPr>
                <w:rFonts w:hint="eastAsia" w:ascii="宋体" w:hAnsi="宋体" w:cs="宋体"/>
                <w:color w:val="auto"/>
                <w:kern w:val="28"/>
                <w:szCs w:val="21"/>
                <w:highlight w:val="none"/>
                <w:lang w:val="en-US" w:eastAsia="zh-CN"/>
              </w:rPr>
              <w:t>税率</w:t>
            </w:r>
          </w:p>
        </w:tc>
        <w:tc>
          <w:tcPr>
            <w:tcW w:w="1010" w:type="dxa"/>
            <w:vAlign w:val="center"/>
          </w:tcPr>
          <w:p w14:paraId="1CEAE9DB">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726E5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2706" w:type="dxa"/>
            <w:vAlign w:val="center"/>
          </w:tcPr>
          <w:p w14:paraId="1760272E">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大湾区大学学术交流中心室内改造项目—4层至19层楼顶排烟管道系统工程</w:t>
            </w:r>
          </w:p>
        </w:tc>
        <w:tc>
          <w:tcPr>
            <w:tcW w:w="2466" w:type="dxa"/>
            <w:vAlign w:val="center"/>
          </w:tcPr>
          <w:p w14:paraId="6107C6A6">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小写：</w:t>
            </w:r>
          </w:p>
          <w:p w14:paraId="3539A350">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大写：</w:t>
            </w:r>
          </w:p>
        </w:tc>
        <w:tc>
          <w:tcPr>
            <w:tcW w:w="1582" w:type="dxa"/>
            <w:vAlign w:val="center"/>
          </w:tcPr>
          <w:p w14:paraId="4A5E5AFC">
            <w:pPr>
              <w:pStyle w:val="115"/>
              <w:keepNext w:val="0"/>
              <w:keepLines w:val="0"/>
              <w:pageBreakBefore w:val="0"/>
              <w:widowControl w:val="0"/>
              <w:kinsoku/>
              <w:wordWrap/>
              <w:overflowPunct/>
              <w:topLinePunct w:val="0"/>
              <w:bidi w:val="0"/>
              <w:snapToGrid/>
              <w:spacing w:line="360" w:lineRule="auto"/>
              <w:jc w:val="center"/>
              <w:textAlignment w:val="auto"/>
              <w:rPr>
                <w:rFonts w:hint="eastAsia" w:hAnsi="宋体" w:eastAsia="宋体"/>
                <w:color w:val="auto"/>
                <w:sz w:val="21"/>
                <w:szCs w:val="21"/>
                <w:highlight w:val="none"/>
                <w:lang w:eastAsia="zh-CN"/>
              </w:rPr>
            </w:pPr>
            <w:r>
              <w:rPr>
                <w:rFonts w:hint="eastAsia" w:hAnsi="宋体"/>
                <w:color w:val="auto"/>
                <w:sz w:val="21"/>
                <w:szCs w:val="21"/>
                <w:highlight w:val="none"/>
                <w:lang w:val="en-US" w:eastAsia="zh-CN"/>
              </w:rPr>
              <w:t>%</w:t>
            </w:r>
          </w:p>
        </w:tc>
        <w:tc>
          <w:tcPr>
            <w:tcW w:w="1010" w:type="dxa"/>
            <w:vAlign w:val="center"/>
          </w:tcPr>
          <w:p w14:paraId="3FBA1534">
            <w:pPr>
              <w:pStyle w:val="115"/>
              <w:keepNext w:val="0"/>
              <w:keepLines w:val="0"/>
              <w:pageBreakBefore w:val="0"/>
              <w:widowControl w:val="0"/>
              <w:kinsoku/>
              <w:wordWrap/>
              <w:overflowPunct/>
              <w:topLinePunct w:val="0"/>
              <w:bidi w:val="0"/>
              <w:snapToGrid/>
              <w:spacing w:line="360" w:lineRule="auto"/>
              <w:jc w:val="left"/>
              <w:textAlignment w:val="auto"/>
              <w:rPr>
                <w:rFonts w:hint="eastAsia" w:hAnsi="宋体" w:eastAsia="宋体"/>
                <w:color w:val="auto"/>
                <w:sz w:val="21"/>
                <w:szCs w:val="21"/>
                <w:highlight w:val="none"/>
                <w:lang w:eastAsia="zh-CN"/>
              </w:rPr>
            </w:pPr>
          </w:p>
        </w:tc>
      </w:tr>
    </w:tbl>
    <w:p w14:paraId="42345BEC">
      <w:pPr>
        <w:spacing w:line="360" w:lineRule="auto"/>
        <w:ind w:firstLine="420" w:firstLineChars="20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210585D6">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r>
        <w:rPr>
          <w:rFonts w:hint="eastAsia"/>
          <w:color w:val="auto"/>
          <w:szCs w:val="21"/>
          <w:highlight w:val="none"/>
          <w:lang w:val="en-US" w:eastAsia="zh-CN"/>
        </w:rPr>
        <w:t>或盖章</w:t>
      </w:r>
      <w:r>
        <w:rPr>
          <w:color w:val="auto"/>
          <w:szCs w:val="21"/>
          <w:highlight w:val="none"/>
        </w:rPr>
        <w:t>）</w:t>
      </w:r>
    </w:p>
    <w:p w14:paraId="4B8AC544">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rPr>
        <w:t>日期：</w:t>
      </w:r>
    </w:p>
    <w:p w14:paraId="1455752F">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注：1、响应人根据竞争性谈判文件、图纸、方案或说明、采购清单等有关资料等对本项目进行施工总承包。合同费用总价包干：包括但不限于包工、包料、包质量、包安全生产、包文明施工、包工期、验收通过、包移交、包结算、包成交响应人应当购买的保险、包竣工图和竣工资料编制（须满足规划等各专项验收要求），包竣工资料收集整理移交档案、包保修及其他不可预见等。成交响应人因踏勘现场及充分研读竞争性谈判文件后，对于项目达成所需全部工作内容已清晰，根据竞争性谈判文件等采购相关资料，在完成整个承包范围工作时，如有因达成目的而采取的任何其它辅助或增加项目，均视同优惠并在结算时不予调整合同总价</w:t>
      </w:r>
      <w:r>
        <w:rPr>
          <w:rFonts w:hint="eastAsia" w:ascii="宋体" w:hAnsi="宋体"/>
          <w:color w:val="auto"/>
          <w:szCs w:val="21"/>
          <w:highlight w:val="none"/>
          <w:lang w:eastAsia="zh-CN"/>
        </w:rPr>
        <w:t>。</w:t>
      </w:r>
    </w:p>
    <w:p w14:paraId="2BAF0422">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color w:val="auto"/>
          <w:szCs w:val="21"/>
          <w:highlight w:val="none"/>
        </w:rPr>
        <w:t>2、</w:t>
      </w:r>
      <w:r>
        <w:rPr>
          <w:rFonts w:hint="eastAsia" w:ascii="宋体" w:hAnsi="宋体" w:eastAsia="宋体" w:cs="宋体"/>
          <w:color w:val="auto"/>
          <w:sz w:val="21"/>
          <w:szCs w:val="21"/>
          <w:highlight w:val="none"/>
        </w:rPr>
        <w:t>响应报价应以人民币为结算单位（含税），依照采购人提供的方案，以用户需求书内的</w:t>
      </w:r>
      <w:r>
        <w:rPr>
          <w:rFonts w:hint="eastAsia" w:ascii="宋体" w:hAnsi="宋体" w:cs="宋体"/>
          <w:color w:val="auto"/>
          <w:sz w:val="21"/>
          <w:szCs w:val="21"/>
          <w:highlight w:val="none"/>
          <w:lang w:val="en-US" w:eastAsia="zh-CN"/>
        </w:rPr>
        <w:t>实施范围</w:t>
      </w:r>
      <w:r>
        <w:rPr>
          <w:rFonts w:hint="eastAsia" w:ascii="宋体" w:hAnsi="宋体" w:eastAsia="宋体" w:cs="宋体"/>
          <w:color w:val="auto"/>
          <w:sz w:val="21"/>
          <w:szCs w:val="21"/>
          <w:highlight w:val="none"/>
        </w:rPr>
        <w:t>，人工及工作中所需的材料费、</w:t>
      </w:r>
      <w:r>
        <w:rPr>
          <w:rFonts w:hint="eastAsia" w:ascii="宋体" w:hAnsi="宋体" w:cs="宋体"/>
          <w:color w:val="auto"/>
          <w:sz w:val="21"/>
          <w:szCs w:val="21"/>
          <w:highlight w:val="none"/>
          <w:lang w:val="en-US" w:eastAsia="zh-CN"/>
        </w:rPr>
        <w:t>保修</w:t>
      </w:r>
      <w:r>
        <w:rPr>
          <w:rFonts w:hint="eastAsia" w:ascii="宋体" w:hAnsi="宋体" w:eastAsia="宋体" w:cs="宋体"/>
          <w:color w:val="auto"/>
          <w:sz w:val="21"/>
          <w:szCs w:val="21"/>
          <w:highlight w:val="none"/>
        </w:rPr>
        <w:t>费用、包安全、包文明施工，包税收的方式进行报价，按本次采购范围总价包干，详见本用户需求书</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清单。</w:t>
      </w:r>
    </w:p>
    <w:p w14:paraId="309ABA3F">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栏须用大写金额和小写金额两种方式表示的</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，报价保留小数点后两位。</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大小写不一致，以大写为准。</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必须准确唯一且应包含</w:t>
      </w:r>
      <w:r>
        <w:rPr>
          <w:rFonts w:hint="eastAsia" w:ascii="宋体" w:hAnsi="宋体"/>
          <w:color w:val="auto"/>
          <w:szCs w:val="21"/>
          <w:highlight w:val="none"/>
          <w:lang w:val="en-US" w:eastAsia="zh-CN"/>
        </w:rPr>
        <w:t>谈判</w:t>
      </w:r>
      <w:r>
        <w:rPr>
          <w:rFonts w:hint="eastAsia" w:ascii="宋体" w:hAnsi="宋体"/>
          <w:color w:val="auto"/>
          <w:szCs w:val="21"/>
          <w:highlight w:val="none"/>
        </w:rPr>
        <w:t>文件要求的所有费用。</w:t>
      </w:r>
    </w:p>
    <w:p w14:paraId="4D9F524A">
      <w:pPr>
        <w:keepNext w:val="0"/>
        <w:keepLines w:val="0"/>
        <w:pageBreakBefore w:val="0"/>
        <w:widowControl w:val="0"/>
        <w:kinsoku/>
        <w:wordWrap/>
        <w:overflowPunct/>
        <w:topLinePunct w:val="0"/>
        <w:bidi w:val="0"/>
        <w:snapToGrid/>
        <w:spacing w:line="36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、温馨提示:未按</w:t>
      </w:r>
      <w:r>
        <w:rPr>
          <w:rFonts w:hint="eastAsia" w:ascii="宋体" w:hAnsi="宋体"/>
          <w:color w:val="auto"/>
          <w:szCs w:val="21"/>
          <w:highlight w:val="none"/>
          <w:lang w:val="en-US" w:eastAsia="zh-CN"/>
        </w:rPr>
        <w:t>谈判</w:t>
      </w:r>
      <w:r>
        <w:rPr>
          <w:rFonts w:hint="eastAsia" w:ascii="宋体" w:hAnsi="宋体"/>
          <w:color w:val="auto"/>
          <w:szCs w:val="21"/>
          <w:highlight w:val="none"/>
        </w:rPr>
        <w:t>文件要求报价、填写开标一览表是导致</w:t>
      </w:r>
      <w:r>
        <w:rPr>
          <w:rFonts w:hint="eastAsia" w:ascii="宋体" w:hAnsi="宋体"/>
          <w:color w:val="auto"/>
          <w:szCs w:val="21"/>
          <w:highlight w:val="none"/>
          <w:lang w:val="en-US" w:eastAsia="zh-CN"/>
        </w:rPr>
        <w:t>响应人</w:t>
      </w:r>
      <w:r>
        <w:rPr>
          <w:rFonts w:hint="eastAsia" w:ascii="宋体" w:hAnsi="宋体"/>
          <w:color w:val="auto"/>
          <w:szCs w:val="21"/>
          <w:highlight w:val="none"/>
        </w:rPr>
        <w:t>废标的常见问题，请</w:t>
      </w:r>
      <w:r>
        <w:rPr>
          <w:rFonts w:hint="eastAsia" w:ascii="宋体" w:hAnsi="宋体"/>
          <w:color w:val="auto"/>
          <w:szCs w:val="21"/>
          <w:highlight w:val="none"/>
          <w:lang w:val="en-US" w:eastAsia="zh-CN"/>
        </w:rPr>
        <w:t>响应人</w:t>
      </w:r>
      <w:r>
        <w:rPr>
          <w:rFonts w:hint="eastAsia" w:ascii="宋体" w:hAnsi="宋体"/>
          <w:color w:val="auto"/>
          <w:szCs w:val="21"/>
          <w:highlight w:val="none"/>
        </w:rPr>
        <w:t>仔细填写，认真核对。</w:t>
      </w:r>
      <w:r>
        <w:rPr>
          <w:rFonts w:hint="eastAsia" w:ascii="宋体" w:hAnsi="宋体"/>
          <w:color w:val="auto"/>
          <w:szCs w:val="21"/>
          <w:highlight w:val="none"/>
        </w:rPr>
        <w:br w:type="page"/>
      </w:r>
    </w:p>
    <w:p w14:paraId="7EED8C79">
      <w:pPr>
        <w:pStyle w:val="3"/>
        <w:spacing w:line="240" w:lineRule="auto"/>
        <w:rPr>
          <w:rFonts w:ascii="黑体" w:hAnsi="Times New Roman"/>
          <w:b w:val="0"/>
          <w:bCs w:val="0"/>
          <w:color w:val="auto"/>
          <w:sz w:val="28"/>
          <w:szCs w:val="28"/>
          <w:highlight w:val="none"/>
        </w:rPr>
      </w:pPr>
      <w:bookmarkStart w:id="405" w:name="_Toc486425445"/>
      <w:bookmarkStart w:id="406" w:name="_Toc338669164"/>
      <w:bookmarkStart w:id="407" w:name="_Toc16479"/>
      <w:r>
        <w:rPr>
          <w:rFonts w:hint="eastAsia" w:ascii="黑体" w:hAnsi="Times New Roman"/>
          <w:b w:val="0"/>
          <w:bCs w:val="0"/>
          <w:color w:val="auto"/>
          <w:sz w:val="28"/>
          <w:szCs w:val="28"/>
          <w:highlight w:val="none"/>
        </w:rPr>
        <w:t>二、分项报价表</w:t>
      </w:r>
      <w:bookmarkEnd w:id="405"/>
      <w:bookmarkEnd w:id="406"/>
      <w:bookmarkEnd w:id="407"/>
    </w:p>
    <w:p w14:paraId="0CAB54A4">
      <w:pPr>
        <w:spacing w:line="48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1、报价为所投项目的执行价格，包含《用户需求书》所述的全部内容所需费用。如果</w:t>
      </w:r>
      <w:r>
        <w:rPr>
          <w:rFonts w:hint="eastAsia" w:ascii="宋体" w:hAnsi="宋体" w:cs="宋体"/>
          <w:color w:val="auto"/>
          <w:sz w:val="21"/>
          <w:szCs w:val="21"/>
          <w:highlight w:val="none"/>
          <w:lang w:val="en-US" w:eastAsia="zh-CN"/>
        </w:rPr>
        <w:t>响应人</w:t>
      </w:r>
      <w:r>
        <w:rPr>
          <w:rFonts w:hint="eastAsia" w:ascii="宋体" w:hAnsi="宋体" w:cs="宋体"/>
          <w:color w:val="auto"/>
          <w:sz w:val="21"/>
          <w:szCs w:val="21"/>
          <w:highlight w:val="none"/>
        </w:rPr>
        <w:t>在</w:t>
      </w:r>
      <w:r>
        <w:rPr>
          <w:rFonts w:hint="eastAsia" w:ascii="宋体" w:hAnsi="宋体" w:cs="宋体"/>
          <w:color w:val="auto"/>
          <w:sz w:val="21"/>
          <w:szCs w:val="21"/>
          <w:highlight w:val="none"/>
          <w:lang w:val="en-US" w:eastAsia="zh-CN"/>
        </w:rPr>
        <w:t>成交</w:t>
      </w:r>
      <w:r>
        <w:rPr>
          <w:rFonts w:hint="eastAsia" w:ascii="宋体" w:hAnsi="宋体" w:cs="宋体"/>
          <w:color w:val="auto"/>
          <w:sz w:val="21"/>
          <w:szCs w:val="21"/>
          <w:highlight w:val="none"/>
        </w:rPr>
        <w:t>并签署合同后，在项目实施过程中出现任何遗漏，均由成交</w:t>
      </w:r>
      <w:r>
        <w:rPr>
          <w:rFonts w:hint="eastAsia" w:ascii="宋体" w:hAnsi="宋体" w:cs="宋体"/>
          <w:color w:val="auto"/>
          <w:sz w:val="21"/>
          <w:szCs w:val="21"/>
          <w:highlight w:val="none"/>
          <w:lang w:val="en-US" w:eastAsia="zh-CN"/>
        </w:rPr>
        <w:t>响应人</w:t>
      </w:r>
      <w:r>
        <w:rPr>
          <w:rFonts w:hint="eastAsia" w:ascii="宋体" w:hAnsi="宋体" w:cs="宋体"/>
          <w:color w:val="auto"/>
          <w:sz w:val="21"/>
          <w:szCs w:val="21"/>
          <w:highlight w:val="none"/>
        </w:rPr>
        <w:t xml:space="preserve">免费提供，采购人将不再支付任何费用。 </w:t>
      </w:r>
    </w:p>
    <w:p w14:paraId="11F386BF">
      <w:pPr>
        <w:spacing w:line="48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2、请响应人进行详细的报价分析。</w:t>
      </w:r>
    </w:p>
    <w:tbl>
      <w:tblPr>
        <w:tblStyle w:val="40"/>
        <w:tblW w:w="815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1157"/>
        <w:gridCol w:w="2776"/>
        <w:gridCol w:w="712"/>
        <w:gridCol w:w="846"/>
        <w:gridCol w:w="958"/>
        <w:gridCol w:w="1009"/>
      </w:tblGrid>
      <w:tr w14:paraId="5D801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 w:hRule="atLeast"/>
        </w:trPr>
        <w:tc>
          <w:tcPr>
            <w:tcW w:w="705"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47FF06E9">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序号</w:t>
            </w:r>
          </w:p>
        </w:tc>
        <w:tc>
          <w:tcPr>
            <w:tcW w:w="1174"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66D13397">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项目名称</w:t>
            </w:r>
          </w:p>
        </w:tc>
        <w:tc>
          <w:tcPr>
            <w:tcW w:w="2786"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7DB2966C">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项目特征描述</w:t>
            </w:r>
          </w:p>
        </w:tc>
        <w:tc>
          <w:tcPr>
            <w:tcW w:w="720"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7E4E40A2">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计量</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单位</w:t>
            </w:r>
          </w:p>
        </w:tc>
        <w:tc>
          <w:tcPr>
            <w:tcW w:w="773"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59F48E15">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工程量</w:t>
            </w:r>
          </w:p>
        </w:tc>
        <w:tc>
          <w:tcPr>
            <w:tcW w:w="1998" w:type="dxa"/>
            <w:gridSpan w:val="2"/>
            <w:tcBorders>
              <w:top w:val="single" w:color="000000" w:sz="8" w:space="0"/>
              <w:left w:val="single" w:color="000000" w:sz="4" w:space="0"/>
              <w:bottom w:val="single" w:color="000000" w:sz="4" w:space="0"/>
              <w:right w:val="single" w:color="000000" w:sz="8" w:space="0"/>
            </w:tcBorders>
            <w:shd w:val="clear" w:color="auto" w:fill="auto"/>
            <w:vAlign w:val="center"/>
          </w:tcPr>
          <w:p w14:paraId="672BFFA7">
            <w:pPr>
              <w:keepNext w:val="0"/>
              <w:keepLines w:val="0"/>
              <w:widowControl/>
              <w:suppressLineNumbers w:val="0"/>
              <w:jc w:val="center"/>
              <w:textAlignment w:val="center"/>
              <w:rPr>
                <w:rFonts w:ascii="宋体" w:hAnsi="宋体" w:eastAsia="宋体" w:cs="宋体"/>
                <w:i w:val="0"/>
                <w:iCs w:val="0"/>
                <w:color w:val="auto"/>
                <w:kern w:val="0"/>
                <w:sz w:val="21"/>
                <w:szCs w:val="21"/>
                <w:highlight w:val="none"/>
                <w:u w:val="none"/>
                <w:lang w:val="en-US" w:eastAsia="zh-CN" w:bidi="ar"/>
              </w:rPr>
            </w:pPr>
            <w:r>
              <w:rPr>
                <w:rFonts w:ascii="宋体" w:hAnsi="宋体" w:eastAsia="宋体" w:cs="宋体"/>
                <w:i w:val="0"/>
                <w:iCs w:val="0"/>
                <w:color w:val="auto"/>
                <w:kern w:val="0"/>
                <w:sz w:val="21"/>
                <w:szCs w:val="21"/>
                <w:highlight w:val="none"/>
                <w:u w:val="none"/>
                <w:lang w:val="en-US" w:eastAsia="zh-CN" w:bidi="ar"/>
              </w:rPr>
              <w:t>金额（元）</w:t>
            </w:r>
            <w:r>
              <w:rPr>
                <w:rFonts w:hint="eastAsia" w:ascii="宋体" w:hAnsi="宋体" w:cs="宋体"/>
                <w:i w:val="0"/>
                <w:iCs w:val="0"/>
                <w:color w:val="auto"/>
                <w:kern w:val="0"/>
                <w:sz w:val="21"/>
                <w:szCs w:val="21"/>
                <w:highlight w:val="none"/>
                <w:u w:val="none"/>
                <w:lang w:val="en-US" w:eastAsia="zh-CN" w:bidi="ar"/>
              </w:rPr>
              <w:t>（不含税）</w:t>
            </w:r>
          </w:p>
        </w:tc>
      </w:tr>
      <w:tr w14:paraId="09B5B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 w:hRule="atLeast"/>
        </w:trPr>
        <w:tc>
          <w:tcPr>
            <w:tcW w:w="70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2DDBEAF6">
            <w:pPr>
              <w:jc w:val="center"/>
              <w:rPr>
                <w:rFonts w:hint="eastAsia" w:ascii="宋体" w:hAnsi="宋体" w:eastAsia="宋体" w:cs="宋体"/>
                <w:i w:val="0"/>
                <w:iCs w:val="0"/>
                <w:color w:val="auto"/>
                <w:sz w:val="21"/>
                <w:szCs w:val="21"/>
                <w:highlight w:val="none"/>
                <w:u w:val="none"/>
              </w:rPr>
            </w:pPr>
          </w:p>
        </w:tc>
        <w:tc>
          <w:tcPr>
            <w:tcW w:w="1174"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F9CBF09">
            <w:pPr>
              <w:jc w:val="center"/>
              <w:rPr>
                <w:rFonts w:hint="eastAsia" w:ascii="宋体" w:hAnsi="宋体" w:eastAsia="宋体" w:cs="宋体"/>
                <w:i w:val="0"/>
                <w:iCs w:val="0"/>
                <w:color w:val="auto"/>
                <w:sz w:val="21"/>
                <w:szCs w:val="21"/>
                <w:highlight w:val="none"/>
                <w:u w:val="none"/>
              </w:rPr>
            </w:pPr>
          </w:p>
        </w:tc>
        <w:tc>
          <w:tcPr>
            <w:tcW w:w="2786"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58FBD31B">
            <w:pPr>
              <w:jc w:val="center"/>
              <w:rPr>
                <w:rFonts w:hint="eastAsia" w:ascii="宋体" w:hAnsi="宋体" w:eastAsia="宋体" w:cs="宋体"/>
                <w:i w:val="0"/>
                <w:iCs w:val="0"/>
                <w:color w:val="auto"/>
                <w:sz w:val="21"/>
                <w:szCs w:val="21"/>
                <w:highlight w:val="none"/>
                <w:u w:val="none"/>
              </w:rPr>
            </w:pPr>
          </w:p>
        </w:tc>
        <w:tc>
          <w:tcPr>
            <w:tcW w:w="72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6435C602">
            <w:pPr>
              <w:jc w:val="center"/>
              <w:rPr>
                <w:rFonts w:hint="eastAsia" w:ascii="宋体" w:hAnsi="宋体" w:eastAsia="宋体" w:cs="宋体"/>
                <w:i w:val="0"/>
                <w:iCs w:val="0"/>
                <w:color w:val="auto"/>
                <w:sz w:val="21"/>
                <w:szCs w:val="21"/>
                <w:highlight w:val="none"/>
                <w:u w:val="none"/>
              </w:rPr>
            </w:pPr>
          </w:p>
        </w:tc>
        <w:tc>
          <w:tcPr>
            <w:tcW w:w="773"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F0DF5DD">
            <w:pPr>
              <w:jc w:val="center"/>
              <w:rPr>
                <w:rFonts w:hint="eastAsia" w:ascii="宋体" w:hAnsi="宋体" w:eastAsia="宋体" w:cs="宋体"/>
                <w:i w:val="0"/>
                <w:iCs w:val="0"/>
                <w:color w:val="auto"/>
                <w:sz w:val="21"/>
                <w:szCs w:val="21"/>
                <w:highlight w:val="none"/>
                <w:u w:val="none"/>
              </w:rPr>
            </w:pPr>
          </w:p>
        </w:tc>
        <w:tc>
          <w:tcPr>
            <w:tcW w:w="9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C2D078">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综合单价</w:t>
            </w:r>
          </w:p>
        </w:tc>
        <w:tc>
          <w:tcPr>
            <w:tcW w:w="10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5A5D27">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r>
              <w:rPr>
                <w:rFonts w:ascii="宋体" w:hAnsi="宋体" w:eastAsia="宋体" w:cs="宋体"/>
                <w:i w:val="0"/>
                <w:iCs w:val="0"/>
                <w:color w:val="auto"/>
                <w:kern w:val="0"/>
                <w:sz w:val="21"/>
                <w:szCs w:val="21"/>
                <w:highlight w:val="none"/>
                <w:u w:val="none"/>
                <w:lang w:val="en-US" w:eastAsia="zh-CN" w:bidi="ar"/>
              </w:rPr>
              <w:t>综合合价</w:t>
            </w:r>
          </w:p>
        </w:tc>
      </w:tr>
      <w:tr w14:paraId="29916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705"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5E744615">
            <w:pPr>
              <w:jc w:val="center"/>
              <w:rPr>
                <w:rFonts w:hint="eastAsia" w:ascii="宋体" w:hAnsi="宋体" w:eastAsia="宋体" w:cs="宋体"/>
                <w:i w:val="0"/>
                <w:iCs w:val="0"/>
                <w:color w:val="auto"/>
                <w:sz w:val="21"/>
                <w:szCs w:val="21"/>
                <w:highlight w:val="none"/>
                <w:u w:val="none"/>
              </w:rPr>
            </w:pPr>
          </w:p>
        </w:tc>
        <w:tc>
          <w:tcPr>
            <w:tcW w:w="1174"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33F672B6">
            <w:pPr>
              <w:jc w:val="center"/>
              <w:rPr>
                <w:rFonts w:hint="eastAsia" w:ascii="宋体" w:hAnsi="宋体" w:eastAsia="宋体" w:cs="宋体"/>
                <w:i w:val="0"/>
                <w:iCs w:val="0"/>
                <w:color w:val="auto"/>
                <w:sz w:val="21"/>
                <w:szCs w:val="21"/>
                <w:highlight w:val="none"/>
                <w:u w:val="none"/>
              </w:rPr>
            </w:pPr>
          </w:p>
        </w:tc>
        <w:tc>
          <w:tcPr>
            <w:tcW w:w="2786"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3A3CFDAC">
            <w:pPr>
              <w:jc w:val="center"/>
              <w:rPr>
                <w:rFonts w:hint="eastAsia" w:ascii="宋体" w:hAnsi="宋体" w:eastAsia="宋体" w:cs="宋体"/>
                <w:i w:val="0"/>
                <w:iCs w:val="0"/>
                <w:color w:val="auto"/>
                <w:sz w:val="21"/>
                <w:szCs w:val="21"/>
                <w:highlight w:val="none"/>
                <w:u w:val="none"/>
              </w:rPr>
            </w:pPr>
          </w:p>
        </w:tc>
        <w:tc>
          <w:tcPr>
            <w:tcW w:w="720"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989DBA7">
            <w:pPr>
              <w:jc w:val="center"/>
              <w:rPr>
                <w:rFonts w:hint="eastAsia" w:ascii="宋体" w:hAnsi="宋体" w:eastAsia="宋体" w:cs="宋体"/>
                <w:i w:val="0"/>
                <w:iCs w:val="0"/>
                <w:color w:val="auto"/>
                <w:sz w:val="21"/>
                <w:szCs w:val="21"/>
                <w:highlight w:val="none"/>
                <w:u w:val="none"/>
              </w:rPr>
            </w:pPr>
          </w:p>
        </w:tc>
        <w:tc>
          <w:tcPr>
            <w:tcW w:w="773"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697D5B29">
            <w:pPr>
              <w:jc w:val="center"/>
              <w:rPr>
                <w:rFonts w:hint="eastAsia" w:ascii="宋体" w:hAnsi="宋体" w:eastAsia="宋体" w:cs="宋体"/>
                <w:i w:val="0"/>
                <w:iCs w:val="0"/>
                <w:color w:val="auto"/>
                <w:sz w:val="21"/>
                <w:szCs w:val="21"/>
                <w:highlight w:val="none"/>
                <w:u w:val="none"/>
              </w:rPr>
            </w:pPr>
          </w:p>
        </w:tc>
        <w:tc>
          <w:tcPr>
            <w:tcW w:w="9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59471">
            <w:pPr>
              <w:jc w:val="center"/>
              <w:rPr>
                <w:rFonts w:hint="eastAsia" w:ascii="宋体" w:hAnsi="宋体" w:eastAsia="宋体" w:cs="宋体"/>
                <w:i w:val="0"/>
                <w:iCs w:val="0"/>
                <w:color w:val="auto"/>
                <w:sz w:val="21"/>
                <w:szCs w:val="21"/>
                <w:highlight w:val="none"/>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9D856">
            <w:pPr>
              <w:jc w:val="center"/>
              <w:rPr>
                <w:rFonts w:hint="eastAsia" w:ascii="宋体" w:hAnsi="宋体" w:eastAsia="宋体" w:cs="宋体"/>
                <w:i w:val="0"/>
                <w:iCs w:val="0"/>
                <w:color w:val="auto"/>
                <w:sz w:val="21"/>
                <w:szCs w:val="21"/>
                <w:highlight w:val="none"/>
                <w:u w:val="none"/>
              </w:rPr>
            </w:pPr>
          </w:p>
        </w:tc>
      </w:tr>
      <w:tr w14:paraId="54964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34BBCA">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 xml:space="preserve">1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6A507">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304不锈钢排油烟风管</w:t>
            </w:r>
          </w:p>
        </w:tc>
        <w:tc>
          <w:tcPr>
            <w:tcW w:w="2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11F0">
            <w:pPr>
              <w:keepNext w:val="0"/>
              <w:keepLines w:val="0"/>
              <w:widowControl/>
              <w:suppressLineNumbers w:val="0"/>
              <w:jc w:val="left"/>
              <w:textAlignment w:val="center"/>
              <w:rPr>
                <w:rFonts w:hint="default"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1.名称:304不锈钢排油烟风管</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2.材质:不锈钢</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3.形状:矩形</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4.板材厚度:1.2mm</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5.含风管除锈、刷油、风管支架</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6.风管试验:满足验收要求</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7.高层增加费、竖井施工费、脚手架等一切所需费用</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8.其他:满足图纸设计、施工规范要求、用户需求书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64D02">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m2</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DDC05">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495.28</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top"/>
          </w:tcPr>
          <w:p w14:paraId="17E6D81F">
            <w:pPr>
              <w:jc w:val="center"/>
              <w:rPr>
                <w:rFonts w:hint="default" w:ascii="Arial" w:hAnsi="Arial" w:cs="Arial"/>
                <w:i w:val="0"/>
                <w:iCs w:val="0"/>
                <w:color w:val="auto"/>
                <w:sz w:val="21"/>
                <w:szCs w:val="21"/>
                <w:highlight w:val="none"/>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5662D">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r>
      <w:tr w14:paraId="76E8B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F09F0A">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 xml:space="preserve">2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2CCA">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304不锈钢排油烟风管</w:t>
            </w:r>
          </w:p>
        </w:tc>
        <w:tc>
          <w:tcPr>
            <w:tcW w:w="2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916F9">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1.名称:304不锈钢排油烟风管</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2.材质:不锈钢</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3.形状:矩形</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4.板材厚度:1.5mm</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5.含风管除锈、刷油、风管支架</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6.风管试验:满足验收要求</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7.高层增加费、竖井施工费、脚手架等一切所需费用</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8.其他:满足图纸设计、施工规范要求、用户需求书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CDA43">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m2</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0969">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284.16</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C5826">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FA306">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r>
      <w:tr w14:paraId="5D422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6"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DECC0F">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 xml:space="preserve">3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3975">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配管</w:t>
            </w:r>
          </w:p>
        </w:tc>
        <w:tc>
          <w:tcPr>
            <w:tcW w:w="2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0659B">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1.名称:镀锌钢管</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2.规格:DN100</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3.其他:满足图纸设计及施工规范要求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1F841">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m</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8F1DF">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200</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126EA">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281CA">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r>
      <w:tr w14:paraId="0515B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9"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B954C5">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 xml:space="preserve">4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F568E">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电力电缆</w:t>
            </w:r>
          </w:p>
        </w:tc>
        <w:tc>
          <w:tcPr>
            <w:tcW w:w="2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4EDF3">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1.名称:铜芯电缆</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2.规格:WDZB-YJY-4*70+1*35</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3.其他:满足图纸设计及施工规范要求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E7DB2">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m</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0A98">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200</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26901">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A0AA4">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r>
      <w:tr w14:paraId="30CA1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8"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74974">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 xml:space="preserve">5 </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DAAD">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电力电缆头</w:t>
            </w:r>
          </w:p>
        </w:tc>
        <w:tc>
          <w:tcPr>
            <w:tcW w:w="2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E169C">
            <w:pPr>
              <w:keepNext w:val="0"/>
              <w:keepLines w:val="0"/>
              <w:widowControl/>
              <w:suppressLineNumbers w:val="0"/>
              <w:jc w:val="left"/>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1.名称:电力电缆头</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2.规格:70mm2以下</w:t>
            </w:r>
            <w:r>
              <w:rPr>
                <w:rFonts w:ascii="宋体" w:hAnsi="宋体" w:eastAsia="宋体" w:cs="宋体"/>
                <w:i w:val="0"/>
                <w:iCs w:val="0"/>
                <w:color w:val="auto"/>
                <w:kern w:val="0"/>
                <w:sz w:val="21"/>
                <w:szCs w:val="21"/>
                <w:highlight w:val="none"/>
                <w:u w:val="none"/>
                <w:lang w:val="en-US" w:eastAsia="zh-CN" w:bidi="ar"/>
              </w:rPr>
              <w:br w:type="textWrapping"/>
            </w:r>
            <w:r>
              <w:rPr>
                <w:rFonts w:ascii="宋体" w:hAnsi="宋体" w:eastAsia="宋体" w:cs="宋体"/>
                <w:i w:val="0"/>
                <w:iCs w:val="0"/>
                <w:color w:val="auto"/>
                <w:kern w:val="0"/>
                <w:sz w:val="21"/>
                <w:szCs w:val="21"/>
                <w:highlight w:val="none"/>
                <w:u w:val="none"/>
                <w:lang w:val="en-US" w:eastAsia="zh-CN" w:bidi="ar"/>
              </w:rPr>
              <w:t>3.其他:满足图纸设计及施工规范要求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E8F0">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个</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35E9">
            <w:pPr>
              <w:keepNext w:val="0"/>
              <w:keepLines w:val="0"/>
              <w:widowControl/>
              <w:suppressLineNumbers w:val="0"/>
              <w:jc w:val="center"/>
              <w:textAlignment w:val="center"/>
              <w:rPr>
                <w:rFonts w:ascii="宋体" w:hAnsi="宋体" w:eastAsia="宋体" w:cs="宋体"/>
                <w:i w:val="0"/>
                <w:iCs w:val="0"/>
                <w:color w:val="auto"/>
                <w:kern w:val="2"/>
                <w:sz w:val="21"/>
                <w:szCs w:val="21"/>
                <w:highlight w:val="none"/>
                <w:u w:val="none"/>
                <w:lang w:val="en-US" w:eastAsia="zh-CN" w:bidi="ar-SA"/>
              </w:rPr>
            </w:pPr>
            <w:r>
              <w:rPr>
                <w:rFonts w:ascii="宋体" w:hAnsi="宋体" w:eastAsia="宋体" w:cs="宋体"/>
                <w:i w:val="0"/>
                <w:iCs w:val="0"/>
                <w:color w:val="auto"/>
                <w:kern w:val="0"/>
                <w:sz w:val="21"/>
                <w:szCs w:val="21"/>
                <w:highlight w:val="none"/>
                <w:u w:val="none"/>
                <w:lang w:val="en-US" w:eastAsia="zh-CN" w:bidi="ar"/>
              </w:rPr>
              <w:t>2</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89CC4">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62E48">
            <w:pPr>
              <w:keepNext w:val="0"/>
              <w:keepLines w:val="0"/>
              <w:widowControl/>
              <w:suppressLineNumbers w:val="0"/>
              <w:jc w:val="center"/>
              <w:textAlignment w:val="center"/>
              <w:rPr>
                <w:rFonts w:ascii="宋体" w:hAnsi="宋体" w:eastAsia="宋体" w:cs="宋体"/>
                <w:i w:val="0"/>
                <w:iCs w:val="0"/>
                <w:color w:val="auto"/>
                <w:sz w:val="21"/>
                <w:szCs w:val="21"/>
                <w:highlight w:val="none"/>
                <w:u w:val="none"/>
              </w:rPr>
            </w:pPr>
          </w:p>
        </w:tc>
      </w:tr>
    </w:tbl>
    <w:p w14:paraId="64091D6A">
      <w:pPr>
        <w:rPr>
          <w:rFonts w:hint="eastAsia" w:ascii="宋体" w:hAnsi="宋体"/>
          <w:color w:val="auto"/>
          <w:szCs w:val="21"/>
          <w:highlight w:val="none"/>
          <w:lang w:val="en-US" w:eastAsia="zh-CN"/>
        </w:rPr>
      </w:pPr>
    </w:p>
    <w:p w14:paraId="1B4BBB1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color w:val="auto"/>
          <w:szCs w:val="21"/>
          <w:highlight w:val="none"/>
          <w:lang w:val="en-US" w:eastAsia="zh-CN"/>
        </w:rPr>
      </w:pPr>
    </w:p>
    <w:p w14:paraId="47255B9D">
      <w:pPr>
        <w:spacing w:line="360" w:lineRule="auto"/>
        <w:ind w:firstLine="420" w:firstLineChars="200"/>
        <w:rPr>
          <w:color w:val="auto"/>
          <w:szCs w:val="21"/>
          <w:highlight w:val="none"/>
        </w:rPr>
      </w:pPr>
      <w:r>
        <w:rPr>
          <w:rFonts w:hint="eastAsia"/>
          <w:color w:val="auto"/>
          <w:szCs w:val="21"/>
          <w:highlight w:val="none"/>
        </w:rPr>
        <w:t>响应</w:t>
      </w:r>
      <w:r>
        <w:rPr>
          <w:color w:val="auto"/>
          <w:szCs w:val="21"/>
          <w:highlight w:val="none"/>
        </w:rPr>
        <w:t>人：</w:t>
      </w:r>
      <w:r>
        <w:rPr>
          <w:color w:val="auto"/>
          <w:szCs w:val="21"/>
          <w:highlight w:val="none"/>
          <w:u w:val="single"/>
        </w:rPr>
        <w:t xml:space="preserve">                      </w:t>
      </w:r>
      <w:r>
        <w:rPr>
          <w:color w:val="auto"/>
          <w:szCs w:val="21"/>
          <w:highlight w:val="none"/>
        </w:rPr>
        <w:t>（盖单位公章）</w:t>
      </w:r>
    </w:p>
    <w:p w14:paraId="511BFF9B">
      <w:pPr>
        <w:keepNext w:val="0"/>
        <w:keepLines w:val="0"/>
        <w:pageBreakBefore w:val="0"/>
        <w:widowControl w:val="0"/>
        <w:kinsoku/>
        <w:wordWrap/>
        <w:overflowPunct/>
        <w:topLinePunct w:val="0"/>
        <w:autoSpaceDE/>
        <w:autoSpaceDN/>
        <w:bidi w:val="0"/>
        <w:adjustRightInd/>
        <w:snapToGrid/>
        <w:spacing w:line="400" w:lineRule="exact"/>
        <w:ind w:firstLine="359" w:firstLineChars="171"/>
        <w:textAlignment w:val="auto"/>
        <w:rPr>
          <w:rFonts w:ascii="宋体" w:hAnsi="宋体"/>
          <w:color w:val="auto"/>
          <w:szCs w:val="21"/>
          <w:highlight w:val="none"/>
        </w:rPr>
      </w:pPr>
      <w:r>
        <w:rPr>
          <w:color w:val="auto"/>
          <w:szCs w:val="21"/>
          <w:highlight w:val="none"/>
        </w:rPr>
        <w:t>法定代表人或其委托代理人：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（签字</w:t>
      </w:r>
      <w:r>
        <w:rPr>
          <w:rFonts w:hint="eastAsia"/>
          <w:color w:val="auto"/>
          <w:szCs w:val="21"/>
          <w:highlight w:val="none"/>
          <w:lang w:val="en-US" w:eastAsia="zh-CN"/>
        </w:rPr>
        <w:t>或盖章</w:t>
      </w:r>
      <w:r>
        <w:rPr>
          <w:color w:val="auto"/>
          <w:szCs w:val="21"/>
          <w:highlight w:val="none"/>
        </w:rPr>
        <w:t>）</w:t>
      </w:r>
    </w:p>
    <w:p w14:paraId="409AA778">
      <w:pPr>
        <w:keepNext w:val="0"/>
        <w:keepLines w:val="0"/>
        <w:pageBreakBefore w:val="0"/>
        <w:widowControl w:val="0"/>
        <w:kinsoku/>
        <w:wordWrap/>
        <w:overflowPunct/>
        <w:topLinePunct w:val="0"/>
        <w:autoSpaceDE/>
        <w:autoSpaceDN/>
        <w:bidi w:val="0"/>
        <w:adjustRightInd/>
        <w:snapToGrid/>
        <w:spacing w:line="400" w:lineRule="exact"/>
        <w:ind w:firstLine="359" w:firstLineChars="171"/>
        <w:textAlignment w:val="auto"/>
        <w:rPr>
          <w:rFonts w:ascii="宋体" w:hAnsi="宋体"/>
          <w:color w:val="auto"/>
          <w:szCs w:val="21"/>
          <w:highlight w:val="none"/>
        </w:rPr>
      </w:pPr>
      <w:r>
        <w:rPr>
          <w:rFonts w:hint="eastAsia" w:ascii="宋体" w:hAnsi="宋体"/>
          <w:color w:val="auto"/>
          <w:szCs w:val="21"/>
          <w:highlight w:val="none"/>
        </w:rPr>
        <w:t>日期：</w:t>
      </w:r>
    </w:p>
    <w:p w14:paraId="6D8AF93F">
      <w:pPr>
        <w:widowControl/>
        <w:jc w:val="left"/>
        <w:rPr>
          <w:color w:val="auto"/>
          <w:highlight w:val="none"/>
        </w:rPr>
      </w:pPr>
      <w:r>
        <w:rPr>
          <w:color w:val="auto"/>
          <w:highlight w:val="none"/>
        </w:rPr>
        <w:br w:type="page"/>
      </w:r>
    </w:p>
    <w:p w14:paraId="236B1572">
      <w:pPr>
        <w:pStyle w:val="3"/>
        <w:jc w:val="left"/>
        <w:rPr>
          <w:color w:val="auto"/>
          <w:highlight w:val="none"/>
        </w:rPr>
      </w:pPr>
      <w:bookmarkStart w:id="408" w:name="_Toc6318"/>
      <w:r>
        <w:rPr>
          <w:rFonts w:hint="eastAsia"/>
          <w:color w:val="auto"/>
          <w:highlight w:val="none"/>
        </w:rPr>
        <w:t>第三部分</w:t>
      </w:r>
      <w:r>
        <w:rPr>
          <w:color w:val="auto"/>
          <w:highlight w:val="none"/>
        </w:rPr>
        <w:t xml:space="preserve">  </w:t>
      </w:r>
      <w:r>
        <w:rPr>
          <w:rFonts w:hint="eastAsia"/>
          <w:color w:val="auto"/>
          <w:highlight w:val="none"/>
        </w:rPr>
        <w:t>唱标信封（单独密封）</w:t>
      </w:r>
      <w:bookmarkEnd w:id="408"/>
    </w:p>
    <w:p w14:paraId="63DD0E4F">
      <w:pPr>
        <w:spacing w:line="360" w:lineRule="auto"/>
        <w:ind w:left="796" w:leftChars="178" w:hanging="422" w:hangingChars="201"/>
        <w:rPr>
          <w:rFonts w:hAnsi="宋体"/>
          <w:color w:val="auto"/>
          <w:szCs w:val="21"/>
          <w:highlight w:val="none"/>
        </w:rPr>
      </w:pPr>
    </w:p>
    <w:p w14:paraId="6B04F295">
      <w:pPr>
        <w:spacing w:line="360" w:lineRule="auto"/>
        <w:ind w:left="796" w:leftChars="178" w:hanging="422" w:hangingChars="201"/>
        <w:rPr>
          <w:rFonts w:hAnsi="宋体"/>
          <w:color w:val="auto"/>
          <w:szCs w:val="21"/>
          <w:highlight w:val="none"/>
        </w:rPr>
      </w:pPr>
      <w:r>
        <w:rPr>
          <w:rFonts w:hint="eastAsia" w:hAnsi="宋体"/>
          <w:color w:val="auto"/>
          <w:szCs w:val="21"/>
          <w:highlight w:val="none"/>
        </w:rPr>
        <w:t>唱标信封内装：</w:t>
      </w:r>
    </w:p>
    <w:p w14:paraId="0A95C1E5">
      <w:pPr>
        <w:numPr>
          <w:ilvl w:val="0"/>
          <w:numId w:val="6"/>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竞争性谈判响应函复印件加盖公章；</w:t>
      </w:r>
    </w:p>
    <w:p w14:paraId="4E08311B">
      <w:pPr>
        <w:numPr>
          <w:ilvl w:val="0"/>
          <w:numId w:val="6"/>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法定代表人证明书复印件加盖公章；</w:t>
      </w:r>
    </w:p>
    <w:p w14:paraId="2902B77B">
      <w:pPr>
        <w:numPr>
          <w:ilvl w:val="0"/>
          <w:numId w:val="6"/>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法定代表人授权委托书复印件加盖公章（法定代表人投标的除外）；</w:t>
      </w:r>
    </w:p>
    <w:p w14:paraId="2E4D76BC">
      <w:pPr>
        <w:numPr>
          <w:ilvl w:val="0"/>
          <w:numId w:val="6"/>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报价一览表复印件加盖公章；</w:t>
      </w:r>
    </w:p>
    <w:p w14:paraId="16B65E2F">
      <w:pPr>
        <w:numPr>
          <w:ilvl w:val="0"/>
          <w:numId w:val="6"/>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谈判保证金银行汇款凭证复印件加盖公章；</w:t>
      </w:r>
    </w:p>
    <w:p w14:paraId="63483C83">
      <w:pPr>
        <w:numPr>
          <w:ilvl w:val="0"/>
          <w:numId w:val="6"/>
        </w:numPr>
        <w:autoSpaceDE w:val="0"/>
        <w:autoSpaceDN w:val="0"/>
        <w:adjustRightInd w:val="0"/>
        <w:spacing w:line="360" w:lineRule="auto"/>
        <w:ind w:firstLineChars="200"/>
        <w:jc w:val="left"/>
        <w:rPr>
          <w:rFonts w:hAnsi="宋体"/>
          <w:color w:val="auto"/>
          <w:szCs w:val="21"/>
          <w:highlight w:val="none"/>
        </w:rPr>
      </w:pPr>
      <w:r>
        <w:rPr>
          <w:rFonts w:hint="eastAsia" w:hAnsi="宋体"/>
          <w:color w:val="auto"/>
          <w:szCs w:val="21"/>
          <w:highlight w:val="none"/>
        </w:rPr>
        <w:t>响应文件电子文件（U盘）；</w:t>
      </w:r>
    </w:p>
    <w:p w14:paraId="1835C170">
      <w:pPr>
        <w:rPr>
          <w:rFonts w:hAnsi="宋体"/>
          <w:color w:val="auto"/>
          <w:szCs w:val="21"/>
          <w:highlight w:val="none"/>
        </w:rPr>
      </w:pPr>
      <w:r>
        <w:rPr>
          <w:rFonts w:hint="eastAsia" w:hAnsi="宋体"/>
          <w:color w:val="auto"/>
          <w:szCs w:val="21"/>
          <w:highlight w:val="none"/>
        </w:rPr>
        <w:br w:type="page"/>
      </w:r>
    </w:p>
    <w:p w14:paraId="4465462E">
      <w:pPr>
        <w:pStyle w:val="3"/>
        <w:jc w:val="left"/>
        <w:rPr>
          <w:rFonts w:hint="default" w:eastAsia="黑体"/>
          <w:color w:val="auto"/>
          <w:highlight w:val="none"/>
          <w:lang w:val="en-US" w:eastAsia="zh-CN"/>
        </w:rPr>
      </w:pPr>
      <w:bookmarkStart w:id="409" w:name="_Toc16460"/>
      <w:r>
        <w:rPr>
          <w:rFonts w:hint="eastAsia"/>
          <w:color w:val="auto"/>
          <w:highlight w:val="none"/>
        </w:rPr>
        <w:t>第</w:t>
      </w:r>
      <w:r>
        <w:rPr>
          <w:rFonts w:hint="eastAsia"/>
          <w:color w:val="auto"/>
          <w:highlight w:val="none"/>
          <w:lang w:val="en-US" w:eastAsia="zh-CN"/>
        </w:rPr>
        <w:t>四</w:t>
      </w:r>
      <w:r>
        <w:rPr>
          <w:rFonts w:hint="eastAsia"/>
          <w:color w:val="auto"/>
          <w:highlight w:val="none"/>
        </w:rPr>
        <w:t xml:space="preserve">部分  </w:t>
      </w:r>
      <w:r>
        <w:rPr>
          <w:rFonts w:hint="eastAsia"/>
          <w:color w:val="auto"/>
          <w:highlight w:val="none"/>
          <w:lang w:val="en-US" w:eastAsia="zh-CN"/>
        </w:rPr>
        <w:t>其他参考格式</w:t>
      </w:r>
      <w:bookmarkEnd w:id="409"/>
    </w:p>
    <w:p w14:paraId="080E6457">
      <w:pPr>
        <w:pStyle w:val="3"/>
        <w:spacing w:line="240" w:lineRule="auto"/>
        <w:jc w:val="center"/>
        <w:rPr>
          <w:rFonts w:hint="eastAsia" w:ascii="黑体" w:hAnsi="Times New Roman"/>
          <w:b w:val="0"/>
          <w:bCs w:val="0"/>
          <w:color w:val="auto"/>
          <w:sz w:val="28"/>
          <w:szCs w:val="28"/>
          <w:highlight w:val="none"/>
          <w:lang w:val="en-US" w:eastAsia="zh-CN"/>
        </w:rPr>
      </w:pPr>
      <w:bookmarkStart w:id="410" w:name="_Toc32577"/>
      <w:r>
        <w:rPr>
          <w:rFonts w:hint="eastAsia" w:ascii="黑体" w:hAnsi="Times New Roman"/>
          <w:b w:val="0"/>
          <w:bCs w:val="0"/>
          <w:color w:val="auto"/>
          <w:sz w:val="28"/>
          <w:szCs w:val="28"/>
          <w:highlight w:val="none"/>
          <w:lang w:val="en-US" w:eastAsia="zh-CN"/>
        </w:rPr>
        <w:t>不可撤销履约保函</w:t>
      </w:r>
      <w:bookmarkEnd w:id="410"/>
    </w:p>
    <w:p w14:paraId="0918542F">
      <w:pPr>
        <w:widowControl/>
        <w:adjustRightInd w:val="0"/>
        <w:snapToGrid w:val="0"/>
        <w:spacing w:line="360" w:lineRule="auto"/>
        <w:jc w:val="center"/>
        <w:rPr>
          <w:rFonts w:hint="eastAsia" w:ascii="宋体" w:hAnsi="宋体" w:cs="Times New Roman"/>
          <w:color w:val="auto"/>
          <w:kern w:val="0"/>
          <w:szCs w:val="22"/>
          <w:highlight w:val="none"/>
        </w:rPr>
      </w:pPr>
    </w:p>
    <w:p w14:paraId="774D15C3">
      <w:pPr>
        <w:widowControl/>
        <w:adjustRightInd w:val="0"/>
        <w:snapToGrid w:val="0"/>
        <w:spacing w:line="360" w:lineRule="auto"/>
        <w:jc w:val="center"/>
        <w:rPr>
          <w:rFonts w:ascii="宋体" w:hAnsi="宋体" w:cs="Times New Roman"/>
          <w:color w:val="auto"/>
          <w:kern w:val="0"/>
          <w:szCs w:val="22"/>
          <w:highlight w:val="none"/>
        </w:rPr>
      </w:pPr>
      <w:r>
        <w:rPr>
          <w:rFonts w:hint="eastAsia" w:ascii="宋体" w:hAnsi="宋体" w:cs="Times New Roman"/>
          <w:color w:val="auto"/>
          <w:kern w:val="0"/>
          <w:szCs w:val="22"/>
          <w:highlight w:val="none"/>
        </w:rPr>
        <w:t>银行编号：</w:t>
      </w:r>
    </w:p>
    <w:p w14:paraId="27C55EEA">
      <w:pPr>
        <w:widowControl/>
        <w:adjustRightInd w:val="0"/>
        <w:snapToGrid w:val="0"/>
        <w:spacing w:line="360" w:lineRule="auto"/>
        <w:jc w:val="left"/>
        <w:rPr>
          <w:rFonts w:ascii="宋体" w:hAnsi="宋体" w:cs="Times New Roman"/>
          <w:color w:val="auto"/>
          <w:kern w:val="0"/>
          <w:szCs w:val="22"/>
          <w:highlight w:val="none"/>
        </w:rPr>
      </w:pPr>
      <w:r>
        <w:rPr>
          <w:rFonts w:ascii="宋体" w:hAnsi="宋体" w:cs="Times New Roman"/>
          <w:color w:val="auto"/>
          <w:kern w:val="0"/>
          <w:szCs w:val="22"/>
          <w:highlight w:val="none"/>
        </w:rPr>
        <w:t>致：</w:t>
      </w:r>
      <w:r>
        <w:rPr>
          <w:rFonts w:hint="eastAsia" w:ascii="宋体" w:hAnsi="宋体" w:cs="Times New Roman"/>
          <w:color w:val="auto"/>
          <w:kern w:val="0"/>
          <w:szCs w:val="22"/>
          <w:highlight w:val="none"/>
          <w:u w:val="single"/>
        </w:rPr>
        <w:t xml:space="preserve">                        </w:t>
      </w:r>
      <w:r>
        <w:rPr>
          <w:rFonts w:hint="eastAsia" w:ascii="宋体" w:hAnsi="宋体" w:cs="Times New Roman"/>
          <w:color w:val="auto"/>
          <w:kern w:val="0"/>
          <w:szCs w:val="22"/>
          <w:highlight w:val="none"/>
        </w:rPr>
        <w:t>（</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w:t>
      </w:r>
    </w:p>
    <w:p w14:paraId="131D3574">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鉴于</w:t>
      </w:r>
      <w:r>
        <w:rPr>
          <w:rFonts w:hint="eastAsia" w:ascii="宋体" w:hAnsi="宋体" w:cs="Times New Roman"/>
          <w:color w:val="auto"/>
          <w:kern w:val="0"/>
          <w:szCs w:val="22"/>
          <w:highlight w:val="none"/>
          <w:u w:val="single"/>
        </w:rPr>
        <w:t xml:space="preserve">         （地址：          ，下称 “乙方” ）</w:t>
      </w:r>
      <w:r>
        <w:rPr>
          <w:rFonts w:hint="eastAsia" w:ascii="宋体" w:hAnsi="宋体" w:cs="Times New Roman"/>
          <w:color w:val="auto"/>
          <w:kern w:val="0"/>
          <w:szCs w:val="22"/>
          <w:highlight w:val="none"/>
        </w:rPr>
        <w:t>已保证按</w:t>
      </w:r>
      <w:r>
        <w:rPr>
          <w:rFonts w:hint="eastAsia" w:ascii="宋体" w:hAnsi="宋体" w:cs="Times New Roman"/>
          <w:color w:val="auto"/>
          <w:kern w:val="0"/>
          <w:szCs w:val="22"/>
          <w:highlight w:val="none"/>
          <w:u w:val="single"/>
        </w:rPr>
        <w:t xml:space="preserve">        承包合同书（合同编号：    ）</w:t>
      </w:r>
      <w:r>
        <w:rPr>
          <w:rFonts w:hint="eastAsia" w:ascii="宋体" w:hAnsi="宋体" w:cs="Times New Roman"/>
          <w:color w:val="auto"/>
          <w:kern w:val="0"/>
          <w:szCs w:val="22"/>
          <w:highlight w:val="none"/>
        </w:rPr>
        <w:t>中规定的义务履行合同。</w:t>
      </w:r>
    </w:p>
    <w:p w14:paraId="5EF41411">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根据上述合同约定，乙方应向</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提供一份金额为合同总价的10%即</w:t>
      </w:r>
      <w:r>
        <w:rPr>
          <w:rFonts w:hint="eastAsia" w:ascii="宋体" w:hAnsi="宋体" w:cs="Times New Roman"/>
          <w:color w:val="auto"/>
          <w:kern w:val="0"/>
          <w:szCs w:val="22"/>
          <w:highlight w:val="none"/>
          <w:u w:val="single"/>
        </w:rPr>
        <w:t>人民币      （RMB    元）</w:t>
      </w:r>
      <w:r>
        <w:rPr>
          <w:rFonts w:hint="eastAsia" w:ascii="宋体" w:hAnsi="宋体" w:cs="Times New Roman"/>
          <w:color w:val="auto"/>
          <w:kern w:val="0"/>
          <w:szCs w:val="22"/>
          <w:highlight w:val="none"/>
        </w:rPr>
        <w:t>的</w:t>
      </w:r>
      <w:r>
        <w:rPr>
          <w:rFonts w:hint="eastAsia" w:ascii="宋体" w:hAnsi="宋体" w:cs="Times New Roman"/>
          <w:bCs/>
          <w:color w:val="auto"/>
          <w:kern w:val="0"/>
          <w:szCs w:val="22"/>
          <w:highlight w:val="none"/>
        </w:rPr>
        <w:t>不可撤销</w:t>
      </w:r>
      <w:r>
        <w:rPr>
          <w:rFonts w:hint="eastAsia" w:ascii="宋体" w:hAnsi="宋体" w:cs="Times New Roman"/>
          <w:color w:val="auto"/>
          <w:kern w:val="0"/>
          <w:szCs w:val="22"/>
          <w:highlight w:val="none"/>
        </w:rPr>
        <w:t>银行履约保函，作为乙方履行上述合同的担保。</w:t>
      </w:r>
    </w:p>
    <w:p w14:paraId="07405FE7">
      <w:pPr>
        <w:widowControl/>
        <w:adjustRightInd w:val="0"/>
        <w:snapToGrid w:val="0"/>
        <w:spacing w:line="360" w:lineRule="auto"/>
        <w:ind w:firstLine="420" w:firstLineChars="2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我方</w:t>
      </w:r>
      <w:r>
        <w:rPr>
          <w:rFonts w:hint="eastAsia" w:ascii="宋体" w:hAnsi="宋体" w:cs="Times New Roman"/>
          <w:color w:val="auto"/>
          <w:kern w:val="0"/>
          <w:szCs w:val="22"/>
          <w:highlight w:val="none"/>
          <w:u w:val="single"/>
        </w:rPr>
        <w:t xml:space="preserve">            （银行名称）</w:t>
      </w:r>
      <w:r>
        <w:rPr>
          <w:rFonts w:hint="eastAsia" w:ascii="宋体" w:hAnsi="宋体" w:cs="Times New Roman"/>
          <w:color w:val="auto"/>
          <w:kern w:val="0"/>
          <w:szCs w:val="22"/>
          <w:highlight w:val="none"/>
        </w:rPr>
        <w:t>，受乙方的委托，不仅作为连带责任保证人而且作为主要的责任人，无条件和不可撤销地同意在</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提出因乙方没有履行上述合同规定，而要求扣划保证金的书面要求后，7个工作日内为</w:t>
      </w:r>
      <w:r>
        <w:rPr>
          <w:rFonts w:hint="eastAsia" w:ascii="Tahoma" w:hAnsi="Tahoma" w:cs="Times New Roman"/>
          <w:color w:val="auto"/>
          <w:kern w:val="0"/>
          <w:szCs w:val="22"/>
          <w:highlight w:val="none"/>
        </w:rPr>
        <w:t>甲方</w:t>
      </w:r>
      <w:r>
        <w:rPr>
          <w:rFonts w:hint="eastAsia" w:ascii="宋体" w:hAnsi="宋体" w:cs="Times New Roman"/>
          <w:color w:val="auto"/>
          <w:kern w:val="0"/>
          <w:szCs w:val="22"/>
          <w:highlight w:val="none"/>
        </w:rPr>
        <w:t>扣划金额不超过</w:t>
      </w:r>
      <w:r>
        <w:rPr>
          <w:rFonts w:hint="eastAsia" w:ascii="宋体" w:hAnsi="宋体" w:cs="Times New Roman"/>
          <w:color w:val="auto"/>
          <w:kern w:val="0"/>
          <w:szCs w:val="22"/>
          <w:highlight w:val="none"/>
          <w:u w:val="single"/>
        </w:rPr>
        <w:t>人民币          （RMB       元）</w:t>
      </w:r>
      <w:r>
        <w:rPr>
          <w:rFonts w:hint="eastAsia" w:ascii="宋体" w:hAnsi="宋体" w:cs="Times New Roman"/>
          <w:color w:val="auto"/>
          <w:kern w:val="0"/>
          <w:szCs w:val="22"/>
          <w:highlight w:val="none"/>
        </w:rPr>
        <w:t>的保证金。</w:t>
      </w:r>
    </w:p>
    <w:p w14:paraId="55B1D13E">
      <w:pPr>
        <w:widowControl/>
        <w:adjustRightInd w:val="0"/>
        <w:snapToGrid w:val="0"/>
        <w:spacing w:line="360" w:lineRule="auto"/>
        <w:ind w:firstLine="420" w:firstLineChars="200"/>
        <w:jc w:val="left"/>
        <w:rPr>
          <w:rFonts w:ascii="Tahoma" w:hAnsi="Tahoma" w:cs="Times New Roman"/>
          <w:color w:val="auto"/>
          <w:kern w:val="0"/>
          <w:szCs w:val="22"/>
          <w:highlight w:val="none"/>
        </w:rPr>
      </w:pPr>
      <w:r>
        <w:rPr>
          <w:rFonts w:hint="eastAsia" w:ascii="宋体" w:hAnsi="宋体" w:cs="Times New Roman"/>
          <w:color w:val="auto"/>
          <w:kern w:val="0"/>
          <w:szCs w:val="22"/>
          <w:highlight w:val="none"/>
        </w:rPr>
        <w:t>我</w:t>
      </w:r>
      <w:r>
        <w:rPr>
          <w:rFonts w:hint="eastAsia" w:ascii="Tahoma" w:hAnsi="Tahoma" w:cs="Times New Roman"/>
          <w:color w:val="auto"/>
          <w:kern w:val="0"/>
          <w:szCs w:val="22"/>
          <w:highlight w:val="none"/>
        </w:rPr>
        <w:t>方还同意，任何甲方与乙方之间可能对合同条款的修改、规范或其他合同文件的变动补充，都不能免除我方按本保函所承担的责任。因此，有关上述变动、补充和修改无须通知我方。</w:t>
      </w:r>
    </w:p>
    <w:p w14:paraId="3A8FE4C1">
      <w:pPr>
        <w:widowControl/>
        <w:adjustRightInd w:val="0"/>
        <w:snapToGrid w:val="0"/>
        <w:spacing w:line="360" w:lineRule="auto"/>
        <w:ind w:firstLine="420" w:firstLineChars="200"/>
        <w:jc w:val="left"/>
        <w:rPr>
          <w:rFonts w:ascii="Tahoma" w:hAnsi="Tahoma" w:cs="Times New Roman"/>
          <w:color w:val="auto"/>
          <w:kern w:val="0"/>
          <w:szCs w:val="22"/>
          <w:highlight w:val="none"/>
        </w:rPr>
      </w:pPr>
      <w:r>
        <w:rPr>
          <w:rFonts w:hint="eastAsia" w:ascii="Tahoma" w:hAnsi="Tahoma" w:cs="Times New Roman"/>
          <w:color w:val="auto"/>
          <w:kern w:val="0"/>
          <w:szCs w:val="22"/>
          <w:highlight w:val="none"/>
        </w:rPr>
        <w:t>本保函从合同签订之日起至项目完工验收合格并结算完毕后，经双方签字30天内保持有效。</w:t>
      </w:r>
    </w:p>
    <w:p w14:paraId="0AAED0FD">
      <w:pPr>
        <w:widowControl/>
        <w:adjustRightInd w:val="0"/>
        <w:snapToGrid w:val="0"/>
        <w:spacing w:line="360" w:lineRule="auto"/>
        <w:ind w:firstLine="2824" w:firstLineChars="1345"/>
        <w:jc w:val="left"/>
        <w:rPr>
          <w:rFonts w:ascii="宋体" w:hAnsi="宋体" w:cs="Times New Roman"/>
          <w:color w:val="auto"/>
          <w:kern w:val="0"/>
          <w:szCs w:val="22"/>
          <w:highlight w:val="none"/>
        </w:rPr>
      </w:pPr>
    </w:p>
    <w:p w14:paraId="74B2CE3D">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保证人：（盖章）</w:t>
      </w:r>
      <w:r>
        <w:rPr>
          <w:rFonts w:hint="eastAsia" w:ascii="宋体" w:hAnsi="宋体" w:cs="Times New Roman"/>
          <w:color w:val="auto"/>
          <w:kern w:val="0"/>
          <w:szCs w:val="22"/>
          <w:highlight w:val="none"/>
          <w:u w:val="single"/>
        </w:rPr>
        <w:t xml:space="preserve">                        </w:t>
      </w:r>
    </w:p>
    <w:p w14:paraId="33DC4897">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负责人：（签字）</w:t>
      </w:r>
      <w:r>
        <w:rPr>
          <w:rFonts w:hint="eastAsia" w:ascii="宋体" w:hAnsi="宋体" w:cs="Times New Roman"/>
          <w:color w:val="auto"/>
          <w:kern w:val="0"/>
          <w:szCs w:val="22"/>
          <w:highlight w:val="none"/>
          <w:u w:val="single"/>
        </w:rPr>
        <w:t xml:space="preserve">                        </w:t>
      </w:r>
    </w:p>
    <w:p w14:paraId="79208DB9">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联系人：</w:t>
      </w:r>
      <w:r>
        <w:rPr>
          <w:rFonts w:hint="eastAsia" w:ascii="宋体" w:hAnsi="宋体" w:cs="Times New Roman"/>
          <w:color w:val="auto"/>
          <w:kern w:val="0"/>
          <w:szCs w:val="22"/>
          <w:highlight w:val="none"/>
          <w:u w:val="single"/>
        </w:rPr>
        <w:t xml:space="preserve">                               </w:t>
      </w:r>
      <w:r>
        <w:rPr>
          <w:rFonts w:hint="eastAsia" w:ascii="宋体" w:hAnsi="宋体" w:cs="Times New Roman"/>
          <w:color w:val="auto"/>
          <w:kern w:val="0"/>
          <w:szCs w:val="22"/>
          <w:highlight w:val="none"/>
        </w:rPr>
        <w:t xml:space="preserve">   </w:t>
      </w:r>
    </w:p>
    <w:p w14:paraId="19DFD1DB">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联系电话：</w:t>
      </w:r>
      <w:r>
        <w:rPr>
          <w:rFonts w:hint="eastAsia" w:ascii="宋体" w:hAnsi="宋体" w:cs="Times New Roman"/>
          <w:color w:val="auto"/>
          <w:kern w:val="0"/>
          <w:szCs w:val="22"/>
          <w:highlight w:val="none"/>
          <w:u w:val="single"/>
        </w:rPr>
        <w:t xml:space="preserve">                             </w:t>
      </w:r>
    </w:p>
    <w:p w14:paraId="06E0E560">
      <w:pPr>
        <w:widowControl/>
        <w:adjustRightInd w:val="0"/>
        <w:snapToGrid w:val="0"/>
        <w:spacing w:line="360" w:lineRule="auto"/>
        <w:ind w:firstLine="5040" w:firstLineChars="2400"/>
        <w:jc w:val="left"/>
        <w:rPr>
          <w:rFonts w:ascii="宋体" w:hAnsi="宋体" w:cs="Times New Roman"/>
          <w:color w:val="auto"/>
          <w:kern w:val="0"/>
          <w:szCs w:val="22"/>
          <w:highlight w:val="none"/>
        </w:rPr>
      </w:pPr>
      <w:r>
        <w:rPr>
          <w:rFonts w:hint="eastAsia" w:ascii="宋体" w:hAnsi="宋体" w:cs="Times New Roman"/>
          <w:color w:val="auto"/>
          <w:kern w:val="0"/>
          <w:szCs w:val="22"/>
          <w:highlight w:val="none"/>
        </w:rPr>
        <w:t>日期：</w:t>
      </w:r>
      <w:r>
        <w:rPr>
          <w:rFonts w:hint="eastAsia" w:ascii="宋体" w:hAnsi="宋体" w:cs="Times New Roman"/>
          <w:color w:val="auto"/>
          <w:kern w:val="0"/>
          <w:szCs w:val="22"/>
          <w:highlight w:val="none"/>
          <w:u w:val="single"/>
        </w:rPr>
        <w:t xml:space="preserve">                               </w:t>
      </w:r>
    </w:p>
    <w:p w14:paraId="2D756785">
      <w:pPr>
        <w:adjustRightInd w:val="0"/>
        <w:snapToGrid w:val="0"/>
        <w:spacing w:line="360" w:lineRule="auto"/>
        <w:ind w:left="359" w:leftChars="171" w:firstLine="179" w:firstLineChars="85"/>
        <w:rPr>
          <w:rFonts w:hint="eastAsia" w:ascii="宋体" w:hAnsi="宋体" w:eastAsia="宋体" w:cs="宋体"/>
          <w:b/>
          <w:bCs/>
          <w:color w:val="auto"/>
          <w:sz w:val="21"/>
          <w:szCs w:val="24"/>
          <w:highlight w:val="none"/>
          <w:lang w:val="en-US" w:eastAsia="zh-CN" w:bidi="ar-SA"/>
        </w:rPr>
      </w:pPr>
    </w:p>
    <w:p w14:paraId="74C8CA23">
      <w:pPr>
        <w:adjustRightInd w:val="0"/>
        <w:snapToGrid w:val="0"/>
        <w:spacing w:line="360" w:lineRule="auto"/>
        <w:ind w:left="359" w:leftChars="171" w:firstLine="179" w:firstLineChars="85"/>
        <w:rPr>
          <w:rFonts w:hAnsi="宋体"/>
          <w:color w:val="auto"/>
          <w:szCs w:val="21"/>
          <w:highlight w:val="none"/>
        </w:rPr>
      </w:pPr>
      <w:r>
        <w:rPr>
          <w:rFonts w:hint="eastAsia" w:ascii="宋体" w:hAnsi="宋体" w:eastAsia="宋体" w:cs="宋体"/>
          <w:b/>
          <w:bCs/>
          <w:color w:val="auto"/>
          <w:sz w:val="21"/>
          <w:szCs w:val="24"/>
          <w:highlight w:val="none"/>
          <w:lang w:val="en-US" w:eastAsia="zh-CN" w:bidi="ar-SA"/>
        </w:rPr>
        <w:t>说明：响应人在投标时不需提交正式保函，在响应文件中盖</w:t>
      </w:r>
      <w:r>
        <w:rPr>
          <w:rFonts w:hint="eastAsia" w:ascii="宋体" w:hAnsi="宋体" w:cs="宋体"/>
          <w:b/>
          <w:bCs/>
          <w:color w:val="auto"/>
          <w:sz w:val="21"/>
          <w:szCs w:val="24"/>
          <w:highlight w:val="none"/>
          <w:lang w:val="en-US" w:eastAsia="zh-CN" w:bidi="ar-SA"/>
        </w:rPr>
        <w:t>响应</w:t>
      </w:r>
      <w:r>
        <w:rPr>
          <w:rFonts w:hint="eastAsia" w:ascii="宋体" w:hAnsi="宋体" w:eastAsia="宋体" w:cs="宋体"/>
          <w:b/>
          <w:bCs/>
          <w:color w:val="auto"/>
          <w:sz w:val="21"/>
          <w:szCs w:val="24"/>
          <w:highlight w:val="none"/>
          <w:lang w:val="en-US" w:eastAsia="zh-CN" w:bidi="ar-SA"/>
        </w:rPr>
        <w:t>人公章确认保函格式即可，乙方</w:t>
      </w:r>
      <w:r>
        <w:rPr>
          <w:rFonts w:hint="eastAsia" w:ascii="宋体" w:hAnsi="宋体" w:eastAsia="宋体" w:cs="宋体"/>
          <w:b/>
          <w:bCs/>
          <w:color w:val="auto"/>
          <w:sz w:val="21"/>
          <w:szCs w:val="26"/>
          <w:highlight w:val="none"/>
          <w:lang w:val="en-US" w:eastAsia="zh-CN" w:bidi="ar-SA"/>
        </w:rPr>
        <w:t>在签订合同时</w:t>
      </w:r>
      <w:r>
        <w:rPr>
          <w:rFonts w:hint="eastAsia" w:ascii="宋体" w:hAnsi="宋体" w:eastAsia="宋体" w:cs="宋体"/>
          <w:b/>
          <w:bCs/>
          <w:color w:val="auto"/>
          <w:sz w:val="21"/>
          <w:szCs w:val="24"/>
          <w:highlight w:val="none"/>
          <w:lang w:val="en-US" w:eastAsia="zh-CN" w:bidi="ar-SA"/>
        </w:rPr>
        <w:t>提交正式保函。</w:t>
      </w:r>
    </w:p>
    <w:p w14:paraId="65861084">
      <w:pPr>
        <w:tabs>
          <w:tab w:val="left" w:pos="720"/>
        </w:tabs>
        <w:spacing w:line="440" w:lineRule="exact"/>
        <w:rPr>
          <w:color w:val="auto"/>
          <w:highlight w:val="none"/>
        </w:rPr>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D4615">
    <w:pPr>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092A3">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41B88">
    <w:pPr>
      <w:jc w:val="right"/>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7"/>
              <wp:cNvGraphicFramePr/>
              <a:graphic xmlns:a="http://schemas.openxmlformats.org/drawingml/2006/main">
                <a:graphicData uri="http://schemas.microsoft.com/office/word/2010/wordprocessingShape">
                  <wps:wsp>
                    <wps:cNvSpPr/>
                    <wps:spPr>
                      <a:xfrm>
                        <a:off x="0" y="0"/>
                        <a:ext cx="114934" cy="131445"/>
                      </a:xfrm>
                      <a:prstGeom prst="rect">
                        <a:avLst/>
                      </a:prstGeom>
                      <a:ln>
                        <a:noFill/>
                      </a:ln>
                    </wps:spPr>
                    <wps:txbx>
                      <w:txbxContent>
                        <w:p w14:paraId="783963E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wps:txbx>
                    <wps:bodyPr vert="horz" wrap="none" lIns="0" tIns="0" rIns="0" bIns="0" anchor="t" upright="1">
                      <a:spAutoFit/>
                    </wps:bodyPr>
                  </wps:wsp>
                </a:graphicData>
              </a:graphic>
            </wp:anchor>
          </w:drawing>
        </mc:Choice>
        <mc:Fallback>
          <w:pict>
            <v:rect id="文本框 7" o:spid="_x0000_s1026" o:spt="1"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NL/SwtAAAAADAQAADwAAAAAAAAABACAAAAAiAAAAZHJz&#10;L2Rvd25yZXYueG1sUEsBAhQAFAAAAAgAh07iQLTyD37TAQAAmQMAAA4AAAAAAAAAAQAgAAAAHwEA&#10;AGRycy9lMm9Eb2MueG1sUEsFBgAAAAAGAAYAWQEAAGQFAAAAAA==&#10;">
              <v:fill on="f" focussize="0,0"/>
              <v:stroke on="f"/>
              <v:imagedata o:title=""/>
              <o:lock v:ext="edit" aspectratio="f"/>
              <v:textbox inset="0mm,0mm,0mm,0mm" style="mso-fit-shape-to-text:t;">
                <w:txbxContent>
                  <w:p w14:paraId="783963E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4799A">
    <w:pPr>
      <w:pStyle w:val="27"/>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69570D">
                          <w:pPr>
                            <w:pStyle w:val="27"/>
                            <w:jc w:val="center"/>
                          </w:pPr>
                          <w:r>
                            <w:fldChar w:fldCharType="begin"/>
                          </w:r>
                          <w:r>
                            <w:instrText xml:space="preserve">PAGE   \* MERGEFORMAT</w:instrText>
                          </w:r>
                          <w:r>
                            <w:fldChar w:fldCharType="separate"/>
                          </w:r>
                          <w:r>
                            <w:rPr>
                              <w:lang w:val="zh-CN"/>
                            </w:rP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69570D">
                    <w:pPr>
                      <w:pStyle w:val="27"/>
                      <w:jc w:val="center"/>
                    </w:pPr>
                    <w:r>
                      <w:fldChar w:fldCharType="begin"/>
                    </w:r>
                    <w:r>
                      <w:instrText xml:space="preserve">PAGE   \* MERGEFORMAT</w:instrText>
                    </w:r>
                    <w:r>
                      <w:fldChar w:fldCharType="separate"/>
                    </w:r>
                    <w:r>
                      <w:rPr>
                        <w:lang w:val="zh-CN"/>
                      </w:rPr>
                      <w:t>17</w:t>
                    </w:r>
                    <w:r>
                      <w:fldChar w:fldCharType="end"/>
                    </w:r>
                  </w:p>
                </w:txbxContent>
              </v:textbox>
            </v:shape>
          </w:pict>
        </mc:Fallback>
      </mc:AlternateContent>
    </w:r>
  </w:p>
  <w:p w14:paraId="416C7ED9">
    <w:pPr>
      <w:pStyle w:val="2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D30FC">
    <w:pPr>
      <w:pStyle w:val="2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2DB96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32DB96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14:paraId="5549606C">
      <w:pPr>
        <w:pStyle w:val="32"/>
        <w:snapToGrid w:val="0"/>
      </w:pPr>
      <w:r>
        <w:rPr>
          <w:rStyle w:val="48"/>
        </w:rPr>
        <w:footnoteRef/>
      </w:r>
      <w:r>
        <w:t xml:space="preserve"> </w:t>
      </w:r>
      <w:r>
        <w:rPr>
          <w:rFonts w:hint="eastAsia"/>
        </w:rPr>
        <w:t>如果由</w:t>
      </w:r>
      <w:r>
        <w:rPr>
          <w:rFonts w:hint="eastAsia"/>
          <w:lang w:val="en-US" w:eastAsia="zh-CN"/>
        </w:rPr>
        <w:t>响应人</w:t>
      </w:r>
      <w:r>
        <w:rPr>
          <w:rFonts w:hint="eastAsia"/>
        </w:rPr>
        <w:t>的委托代理人签署</w:t>
      </w:r>
      <w:r>
        <w:rPr>
          <w:rFonts w:hint="eastAsia"/>
          <w:lang w:val="en-US" w:eastAsia="zh-CN"/>
        </w:rPr>
        <w:t>响应</w:t>
      </w:r>
      <w:r>
        <w:rPr>
          <w:rFonts w:hint="eastAsia"/>
        </w:rPr>
        <w:t>文件，则不需提交</w:t>
      </w:r>
      <w:r>
        <w:rPr>
          <w:rFonts w:hint="eastAsia"/>
          <w:lang w:eastAsia="zh-CN"/>
        </w:rPr>
        <w:t>《法定代表人身份证明》</w:t>
      </w:r>
      <w:r>
        <w:rPr>
          <w:rFonts w:hint="eastAsia"/>
        </w:rPr>
        <w:t>。</w:t>
      </w:r>
    </w:p>
  </w:footnote>
  <w:footnote w:id="1">
    <w:p w14:paraId="54091331">
      <w:pPr>
        <w:pStyle w:val="32"/>
        <w:snapToGrid w:val="0"/>
      </w:pPr>
      <w:r>
        <w:rPr>
          <w:rStyle w:val="48"/>
        </w:rPr>
        <w:footnoteRef/>
      </w:r>
      <w:r>
        <w:t xml:space="preserve"> </w:t>
      </w:r>
      <w:r>
        <w:rPr>
          <w:rFonts w:hint="eastAsia"/>
          <w:sz w:val="18"/>
          <w:szCs w:val="18"/>
        </w:rPr>
        <w:t>如果由</w:t>
      </w:r>
      <w:r>
        <w:rPr>
          <w:rFonts w:hint="eastAsia"/>
          <w:sz w:val="18"/>
          <w:szCs w:val="18"/>
          <w:lang w:val="en-US" w:eastAsia="zh-CN"/>
        </w:rPr>
        <w:t>响应人</w:t>
      </w:r>
      <w:r>
        <w:rPr>
          <w:rFonts w:hint="eastAsia"/>
          <w:sz w:val="18"/>
          <w:szCs w:val="18"/>
        </w:rPr>
        <w:t>的法定代表人签署</w:t>
      </w:r>
      <w:r>
        <w:rPr>
          <w:rFonts w:hint="eastAsia"/>
          <w:sz w:val="18"/>
          <w:szCs w:val="18"/>
          <w:lang w:val="en-US" w:eastAsia="zh-CN"/>
        </w:rPr>
        <w:t>响应</w:t>
      </w:r>
      <w:r>
        <w:rPr>
          <w:rFonts w:hint="eastAsia"/>
          <w:sz w:val="18"/>
          <w:szCs w:val="18"/>
        </w:rPr>
        <w:t>文件，则不需提交</w:t>
      </w:r>
      <w:r>
        <w:rPr>
          <w:rFonts w:hint="eastAsia"/>
          <w:sz w:val="18"/>
          <w:szCs w:val="18"/>
          <w:lang w:eastAsia="zh-CN"/>
        </w:rPr>
        <w:t>《法定代表人授权委托书》</w:t>
      </w:r>
      <w:r>
        <w:rPr>
          <w:rFonts w:hint="eastAsia"/>
          <w:sz w:val="21"/>
          <w:szCs w:val="21"/>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EC0C9">
    <w:pPr>
      <w:pStyle w:val="28"/>
    </w:pPr>
    <w:r>
      <w:rPr>
        <w:rFonts w:hint="eastAsia" w:ascii="宋体"/>
        <w:sz w:val="16"/>
        <w:szCs w:val="16"/>
        <w:lang w:eastAsia="zh-CN"/>
      </w:rPr>
      <w:t>大湾区大学学术交流中心室内改造项目—4层至19层楼顶排烟管道系统工程</w:t>
    </w:r>
    <w:r>
      <w:rPr>
        <w:rFonts w:hint="eastAsia" w:ascii="宋体"/>
        <w:sz w:val="16"/>
        <w:szCs w:val="1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D7A1C">
    <w:pPr>
      <w:pStyle w:val="28"/>
    </w:pPr>
    <w:r>
      <w:pict>
        <v:shape id="PowerPlusWaterMarkObject23843532" o:spid="_x0000_s4097" o:spt="136" type="#_x0000_t136" style="position:absolute;left:0pt;height:79.9pt;width:559.4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未定稿请勿外发" style="font-family:宋体;font-size:8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156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1"/>
    <w:multiLevelType w:val="multilevel"/>
    <w:tmpl w:val="00000001"/>
    <w:lvl w:ilvl="0" w:tentative="0">
      <w:start w:val="1"/>
      <w:numFmt w:val="decimal"/>
      <w:lvlText w:val="%1"/>
      <w:lvlJc w:val="left"/>
      <w:pPr>
        <w:ind w:left="425" w:hanging="425"/>
      </w:pPr>
    </w:lvl>
    <w:lvl w:ilvl="1" w:tentative="0">
      <w:start w:val="1"/>
      <w:numFmt w:val="decimal"/>
      <w:lvlText w:val="%1.%2"/>
      <w:lvlJc w:val="left"/>
      <w:pPr>
        <w:ind w:left="992" w:hanging="567"/>
      </w:pPr>
      <w:rPr>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
    <w:nsid w:val="00000003"/>
    <w:multiLevelType w:val="multilevel"/>
    <w:tmpl w:val="00000003"/>
    <w:lvl w:ilvl="0" w:tentative="0">
      <w:start w:val="1"/>
      <w:numFmt w:val="decimal"/>
      <w:lvlText w:val="%1."/>
      <w:lvlJc w:val="left"/>
      <w:pPr>
        <w:ind w:left="425" w:hanging="425"/>
      </w:pPr>
      <w:rPr>
        <w:rFonts w:hint="eastAsia" w:ascii="宋体" w:hAnsi="宋体" w:eastAsia="宋体"/>
        <w:b/>
        <w:sz w:val="28"/>
      </w:rPr>
    </w:lvl>
    <w:lvl w:ilvl="1" w:tentative="0">
      <w:start w:val="1"/>
      <w:numFmt w:val="decimal"/>
      <w:pStyle w:val="38"/>
      <w:lvlText w:val="%1.%2"/>
      <w:lvlJc w:val="left"/>
      <w:pPr>
        <w:ind w:left="850" w:hanging="425"/>
      </w:pPr>
      <w:rPr>
        <w:rFonts w:hint="eastAsia" w:eastAsia="宋体"/>
        <w:b/>
        <w:i w:val="0"/>
        <w:sz w:val="24"/>
      </w:rPr>
    </w:lvl>
    <w:lvl w:ilvl="2" w:tentative="0">
      <w:start w:val="1"/>
      <w:numFmt w:val="decimal"/>
      <w:pStyle w:val="74"/>
      <w:lvlText w:val="%1.%2.%3"/>
      <w:lvlJc w:val="left"/>
      <w:pPr>
        <w:ind w:left="1275" w:hanging="425"/>
      </w:pPr>
      <w:rPr>
        <w:rFonts w:hint="eastAsia" w:eastAsia="宋体"/>
        <w:b w:val="0"/>
        <w:i w:val="0"/>
        <w:sz w:val="21"/>
      </w:rPr>
    </w:lvl>
    <w:lvl w:ilvl="3" w:tentative="0">
      <w:start w:val="1"/>
      <w:numFmt w:val="decimal"/>
      <w:lvlText w:val="%1.%2.%3.%4"/>
      <w:lvlJc w:val="left"/>
      <w:pPr>
        <w:ind w:left="1700" w:hanging="425"/>
      </w:pPr>
      <w:rPr>
        <w:rFonts w:hint="eastAsia"/>
      </w:rPr>
    </w:lvl>
    <w:lvl w:ilvl="4" w:tentative="0">
      <w:start w:val="1"/>
      <w:numFmt w:val="decimal"/>
      <w:lvlText w:val="%1.%2.%3.%4.%5"/>
      <w:lvlJc w:val="left"/>
      <w:pPr>
        <w:ind w:left="2125" w:hanging="425"/>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3">
    <w:nsid w:val="00000004"/>
    <w:multiLevelType w:val="singleLevel"/>
    <w:tmpl w:val="00000004"/>
    <w:lvl w:ilvl="0" w:tentative="0">
      <w:start w:val="1"/>
      <w:numFmt w:val="chineseCounting"/>
      <w:suff w:val="nothing"/>
      <w:lvlText w:val="%1、"/>
      <w:lvlJc w:val="left"/>
      <w:pPr>
        <w:ind w:left="0" w:firstLine="420"/>
      </w:pPr>
      <w:rPr>
        <w:rFonts w:hint="eastAsia"/>
      </w:rPr>
    </w:lvl>
  </w:abstractNum>
  <w:abstractNum w:abstractNumId="4">
    <w:nsid w:val="2727DD9B"/>
    <w:multiLevelType w:val="multilevel"/>
    <w:tmpl w:val="2727DD9B"/>
    <w:lvl w:ilvl="0" w:tentative="0">
      <w:start w:val="1"/>
      <w:numFmt w:val="decimal"/>
      <w:pStyle w:val="31"/>
      <w:lvlText w:val="%1、"/>
      <w:lvlJc w:val="left"/>
      <w:pPr>
        <w:tabs>
          <w:tab w:val="left" w:pos="420"/>
        </w:tabs>
        <w:ind w:left="840" w:hanging="420"/>
      </w:pPr>
      <w:rPr>
        <w:rFonts w:ascii="Times New Roman" w:hAnsi="Times New Roman" w:eastAsia="Times New Roman" w:cs="Times New Roman"/>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decimal"/>
      <w:lvlText w:val="%3."/>
      <w:lvlJc w:val="left"/>
      <w:pPr>
        <w:tabs>
          <w:tab w:val="left" w:pos="1745"/>
        </w:tabs>
        <w:ind w:left="1745" w:hanging="705"/>
      </w:pPr>
      <w:rPr>
        <w:rFonts w:hint="default"/>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5">
    <w:nsid w:val="2B923B16"/>
    <w:multiLevelType w:val="singleLevel"/>
    <w:tmpl w:val="2B923B16"/>
    <w:lvl w:ilvl="0" w:tentative="0">
      <w:start w:val="1"/>
      <w:numFmt w:val="decimal"/>
      <w:suff w:val="nothing"/>
      <w:lvlText w:val="（%1）"/>
      <w:lvlJc w:val="left"/>
    </w:lvl>
  </w:abstractNum>
  <w:num w:numId="1">
    <w:abstractNumId w:val="4"/>
  </w:num>
  <w:num w:numId="2">
    <w:abstractNumId w:val="2"/>
  </w:num>
  <w:num w:numId="3">
    <w:abstractNumId w:val="1"/>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footnote w:id="4"/>
    <w:footnote w:id="5"/>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4MDE5MGFmMzViNjkyNzQ3ZWViOGQ5Y2MxNjliMTMifQ=="/>
  </w:docVars>
  <w:rsids>
    <w:rsidRoot w:val="00000000"/>
    <w:rsid w:val="010F1DA1"/>
    <w:rsid w:val="02C45431"/>
    <w:rsid w:val="03C20E03"/>
    <w:rsid w:val="049D76C3"/>
    <w:rsid w:val="04A45D8E"/>
    <w:rsid w:val="0546629D"/>
    <w:rsid w:val="05D80F46"/>
    <w:rsid w:val="063974E8"/>
    <w:rsid w:val="06C52F31"/>
    <w:rsid w:val="06DE00DF"/>
    <w:rsid w:val="07FC3E74"/>
    <w:rsid w:val="098745BE"/>
    <w:rsid w:val="0A0F4BBF"/>
    <w:rsid w:val="0A7C7C09"/>
    <w:rsid w:val="0B867284"/>
    <w:rsid w:val="0BB53545"/>
    <w:rsid w:val="0C302E80"/>
    <w:rsid w:val="0C6827D4"/>
    <w:rsid w:val="0CBF0FEB"/>
    <w:rsid w:val="0CD301D7"/>
    <w:rsid w:val="0D9B448A"/>
    <w:rsid w:val="0ECA7307"/>
    <w:rsid w:val="0EDE591C"/>
    <w:rsid w:val="0EEC54CF"/>
    <w:rsid w:val="105B6243"/>
    <w:rsid w:val="10BD390A"/>
    <w:rsid w:val="112847B9"/>
    <w:rsid w:val="12182ED2"/>
    <w:rsid w:val="13906D71"/>
    <w:rsid w:val="13A40F66"/>
    <w:rsid w:val="145660CE"/>
    <w:rsid w:val="153C1E50"/>
    <w:rsid w:val="164976AB"/>
    <w:rsid w:val="166D15EC"/>
    <w:rsid w:val="167B02F0"/>
    <w:rsid w:val="16BF34C9"/>
    <w:rsid w:val="16D80764"/>
    <w:rsid w:val="16EB5E53"/>
    <w:rsid w:val="16ED3B2F"/>
    <w:rsid w:val="17233A58"/>
    <w:rsid w:val="17B67CA0"/>
    <w:rsid w:val="18CE514D"/>
    <w:rsid w:val="18F36996"/>
    <w:rsid w:val="19A73F8B"/>
    <w:rsid w:val="1A2E2E40"/>
    <w:rsid w:val="1B051FE9"/>
    <w:rsid w:val="1C4F3541"/>
    <w:rsid w:val="1CD85ABF"/>
    <w:rsid w:val="1D77549B"/>
    <w:rsid w:val="1F1813C5"/>
    <w:rsid w:val="1FBE4C66"/>
    <w:rsid w:val="2100305C"/>
    <w:rsid w:val="21E72642"/>
    <w:rsid w:val="22E51C83"/>
    <w:rsid w:val="24CD2D93"/>
    <w:rsid w:val="25837E9C"/>
    <w:rsid w:val="25B6666C"/>
    <w:rsid w:val="265175A7"/>
    <w:rsid w:val="27C77972"/>
    <w:rsid w:val="289A78F2"/>
    <w:rsid w:val="29895689"/>
    <w:rsid w:val="29E23483"/>
    <w:rsid w:val="2AB50D09"/>
    <w:rsid w:val="2BC17F4E"/>
    <w:rsid w:val="2C703778"/>
    <w:rsid w:val="2CE848EE"/>
    <w:rsid w:val="30231F65"/>
    <w:rsid w:val="309373AE"/>
    <w:rsid w:val="30FF2D35"/>
    <w:rsid w:val="31464846"/>
    <w:rsid w:val="32F6606D"/>
    <w:rsid w:val="33747A0F"/>
    <w:rsid w:val="33E179C9"/>
    <w:rsid w:val="34FD572F"/>
    <w:rsid w:val="35B30F60"/>
    <w:rsid w:val="3691248C"/>
    <w:rsid w:val="36E33D58"/>
    <w:rsid w:val="375B2943"/>
    <w:rsid w:val="37EC0259"/>
    <w:rsid w:val="38966328"/>
    <w:rsid w:val="39706B79"/>
    <w:rsid w:val="39C74432"/>
    <w:rsid w:val="39D9748F"/>
    <w:rsid w:val="39E61E32"/>
    <w:rsid w:val="3B9F2970"/>
    <w:rsid w:val="3BB45874"/>
    <w:rsid w:val="3BFA47C7"/>
    <w:rsid w:val="3C261771"/>
    <w:rsid w:val="3E9926CE"/>
    <w:rsid w:val="3F0E5CC0"/>
    <w:rsid w:val="3F967A6D"/>
    <w:rsid w:val="40D479EE"/>
    <w:rsid w:val="43566DE0"/>
    <w:rsid w:val="438D20EA"/>
    <w:rsid w:val="43F7681E"/>
    <w:rsid w:val="44AC38E5"/>
    <w:rsid w:val="46102337"/>
    <w:rsid w:val="463352C3"/>
    <w:rsid w:val="46A908A0"/>
    <w:rsid w:val="47D9584D"/>
    <w:rsid w:val="486D7DE3"/>
    <w:rsid w:val="48900E0E"/>
    <w:rsid w:val="48B16866"/>
    <w:rsid w:val="49290AF3"/>
    <w:rsid w:val="4A5F6509"/>
    <w:rsid w:val="4AF76D7E"/>
    <w:rsid w:val="4B745CED"/>
    <w:rsid w:val="4C1D6CBC"/>
    <w:rsid w:val="4CD072B2"/>
    <w:rsid w:val="4E3E0B9C"/>
    <w:rsid w:val="50046596"/>
    <w:rsid w:val="508E789A"/>
    <w:rsid w:val="50FA66E7"/>
    <w:rsid w:val="510F3511"/>
    <w:rsid w:val="51510BE7"/>
    <w:rsid w:val="536E0CB6"/>
    <w:rsid w:val="5401505B"/>
    <w:rsid w:val="540713B7"/>
    <w:rsid w:val="542F45F6"/>
    <w:rsid w:val="551053F6"/>
    <w:rsid w:val="56106624"/>
    <w:rsid w:val="564F3020"/>
    <w:rsid w:val="56A8402A"/>
    <w:rsid w:val="573A7764"/>
    <w:rsid w:val="580B6C0C"/>
    <w:rsid w:val="581F34F3"/>
    <w:rsid w:val="5AD72ED4"/>
    <w:rsid w:val="5B7B3D1D"/>
    <w:rsid w:val="5BF62AB6"/>
    <w:rsid w:val="5C8D67E2"/>
    <w:rsid w:val="5E82108D"/>
    <w:rsid w:val="5F9E56B1"/>
    <w:rsid w:val="611344DD"/>
    <w:rsid w:val="61154AB0"/>
    <w:rsid w:val="61167757"/>
    <w:rsid w:val="61490A69"/>
    <w:rsid w:val="620F48D2"/>
    <w:rsid w:val="641539EE"/>
    <w:rsid w:val="6424528A"/>
    <w:rsid w:val="64E56877"/>
    <w:rsid w:val="65627DD3"/>
    <w:rsid w:val="65697691"/>
    <w:rsid w:val="65D73958"/>
    <w:rsid w:val="66862C89"/>
    <w:rsid w:val="66FC2448"/>
    <w:rsid w:val="67EE073B"/>
    <w:rsid w:val="68FD36D6"/>
    <w:rsid w:val="693C63AF"/>
    <w:rsid w:val="6A1D38D1"/>
    <w:rsid w:val="6A4C5F97"/>
    <w:rsid w:val="6AF040F6"/>
    <w:rsid w:val="6BA3473F"/>
    <w:rsid w:val="6C4B78BD"/>
    <w:rsid w:val="6CED7AD9"/>
    <w:rsid w:val="6D2B1DED"/>
    <w:rsid w:val="6D473593"/>
    <w:rsid w:val="6D4D2752"/>
    <w:rsid w:val="6E1E3DEF"/>
    <w:rsid w:val="6E575CE8"/>
    <w:rsid w:val="6EB52269"/>
    <w:rsid w:val="700245C8"/>
    <w:rsid w:val="705D2856"/>
    <w:rsid w:val="712A185C"/>
    <w:rsid w:val="71F50DF2"/>
    <w:rsid w:val="72AC4139"/>
    <w:rsid w:val="739015EB"/>
    <w:rsid w:val="75B5473F"/>
    <w:rsid w:val="76E40F56"/>
    <w:rsid w:val="775B5CC3"/>
    <w:rsid w:val="795D7D8E"/>
    <w:rsid w:val="7960632D"/>
    <w:rsid w:val="796E1A86"/>
    <w:rsid w:val="799C4845"/>
    <w:rsid w:val="7B2D5DB9"/>
    <w:rsid w:val="7BE91898"/>
    <w:rsid w:val="7C457811"/>
    <w:rsid w:val="7E6416AA"/>
    <w:rsid w:val="7F601E71"/>
    <w:rsid w:val="7FB34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qFormat="1" w:unhideWhenUsed="0" w:uiPriority="0" w:semiHidden="0" w:name="table of figures"/>
    <w:lsdException w:unhideWhenUsed="0" w:uiPriority="0" w:semiHidden="0" w:name="envelope address"/>
    <w:lsdException w:qFormat="1" w:unhideWhenUsed="0"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1"/>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52"/>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3"/>
    <w:qFormat/>
    <w:uiPriority w:val="0"/>
    <w:pPr>
      <w:keepNext/>
      <w:keepLines/>
      <w:spacing w:before="260" w:after="260" w:line="416" w:lineRule="auto"/>
      <w:outlineLvl w:val="2"/>
    </w:pPr>
    <w:rPr>
      <w:b/>
      <w:bCs/>
      <w:sz w:val="32"/>
      <w:szCs w:val="32"/>
    </w:rPr>
  </w:style>
  <w:style w:type="paragraph" w:styleId="5">
    <w:name w:val="heading 4"/>
    <w:basedOn w:val="1"/>
    <w:next w:val="1"/>
    <w:link w:val="54"/>
    <w:qFormat/>
    <w:uiPriority w:val="0"/>
    <w:pPr>
      <w:keepNext/>
      <w:keepLines/>
      <w:spacing w:before="280" w:after="290" w:line="376" w:lineRule="auto"/>
      <w:outlineLvl w:val="3"/>
    </w:pPr>
    <w:rPr>
      <w:rFonts w:ascii="Cambria" w:hAnsi="Cambria" w:cs="黑体"/>
      <w:b/>
      <w:bCs/>
      <w:sz w:val="28"/>
      <w:szCs w:val="28"/>
    </w:rPr>
  </w:style>
  <w:style w:type="paragraph" w:styleId="6">
    <w:name w:val="heading 6"/>
    <w:basedOn w:val="1"/>
    <w:next w:val="1"/>
    <w:link w:val="87"/>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88"/>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89"/>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90"/>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2">
    <w:name w:val="Default Paragraph Font"/>
    <w:qFormat/>
    <w:uiPriority w:val="1"/>
  </w:style>
  <w:style w:type="table" w:default="1" w:styleId="40">
    <w:name w:val="Normal Table"/>
    <w:qFormat/>
    <w:uiPriority w:val="99"/>
    <w:tblPr>
      <w:tblCellMar>
        <w:top w:w="0" w:type="dxa"/>
        <w:left w:w="108" w:type="dxa"/>
        <w:bottom w:w="0" w:type="dxa"/>
        <w:right w:w="108" w:type="dxa"/>
      </w:tblCellMar>
    </w:tblPr>
  </w:style>
  <w:style w:type="paragraph" w:styleId="10">
    <w:name w:val="toc 7"/>
    <w:basedOn w:val="1"/>
    <w:next w:val="1"/>
    <w:qFormat/>
    <w:uiPriority w:val="39"/>
    <w:pPr>
      <w:ind w:left="2520" w:leftChars="1200"/>
    </w:pPr>
    <w:rPr>
      <w:rFonts w:ascii="Calibri" w:hAnsi="Calibri"/>
      <w:szCs w:val="22"/>
    </w:rPr>
  </w:style>
  <w:style w:type="paragraph" w:styleId="11">
    <w:name w:val="Normal Indent"/>
    <w:basedOn w:val="1"/>
    <w:qFormat/>
    <w:uiPriority w:val="0"/>
    <w:pPr>
      <w:ind w:firstLine="420" w:firstLineChars="200"/>
    </w:pPr>
  </w:style>
  <w:style w:type="paragraph" w:styleId="12">
    <w:name w:val="caption"/>
    <w:basedOn w:val="1"/>
    <w:next w:val="1"/>
    <w:qFormat/>
    <w:uiPriority w:val="35"/>
    <w:rPr>
      <w:rFonts w:ascii="Cambria" w:hAnsi="Cambria" w:eastAsia="黑体"/>
      <w:sz w:val="20"/>
      <w:szCs w:val="20"/>
    </w:rPr>
  </w:style>
  <w:style w:type="paragraph" w:styleId="13">
    <w:name w:val="Document Map"/>
    <w:basedOn w:val="1"/>
    <w:link w:val="81"/>
    <w:qFormat/>
    <w:uiPriority w:val="99"/>
    <w:rPr>
      <w:rFonts w:ascii="宋体" w:hAnsi="Calibri" w:eastAsia="宋体" w:cs="宋体"/>
      <w:sz w:val="18"/>
      <w:szCs w:val="18"/>
    </w:rPr>
  </w:style>
  <w:style w:type="paragraph" w:styleId="14">
    <w:name w:val="toa heading"/>
    <w:basedOn w:val="1"/>
    <w:next w:val="1"/>
    <w:qFormat/>
    <w:uiPriority w:val="0"/>
    <w:pPr>
      <w:snapToGrid w:val="0"/>
      <w:spacing w:before="120" w:line="360" w:lineRule="auto"/>
    </w:pPr>
    <w:rPr>
      <w:rFonts w:ascii="Arial" w:hAnsi="Arial"/>
      <w:snapToGrid w:val="0"/>
      <w:color w:val="000000"/>
      <w:szCs w:val="20"/>
    </w:rPr>
  </w:style>
  <w:style w:type="paragraph" w:styleId="15">
    <w:name w:val="annotation text"/>
    <w:basedOn w:val="1"/>
    <w:link w:val="65"/>
    <w:qFormat/>
    <w:uiPriority w:val="0"/>
    <w:pPr>
      <w:jc w:val="left"/>
    </w:pPr>
  </w:style>
  <w:style w:type="paragraph" w:styleId="16">
    <w:name w:val="Body Text 3"/>
    <w:basedOn w:val="1"/>
    <w:link w:val="61"/>
    <w:qFormat/>
    <w:uiPriority w:val="0"/>
    <w:rPr>
      <w:rFonts w:ascii="宋体" w:hAnsi="Calibri" w:eastAsia="宋体" w:cs="宋体"/>
      <w:sz w:val="24"/>
      <w:szCs w:val="22"/>
    </w:rPr>
  </w:style>
  <w:style w:type="paragraph" w:styleId="17">
    <w:name w:val="Body Text"/>
    <w:basedOn w:val="1"/>
    <w:next w:val="18"/>
    <w:link w:val="71"/>
    <w:qFormat/>
    <w:uiPriority w:val="0"/>
    <w:rPr>
      <w:sz w:val="28"/>
      <w:szCs w:val="20"/>
    </w:rPr>
  </w:style>
  <w:style w:type="paragraph" w:styleId="18">
    <w:name w:val="Body Text First Indent"/>
    <w:basedOn w:val="17"/>
    <w:qFormat/>
    <w:uiPriority w:val="0"/>
    <w:pPr>
      <w:spacing w:after="120"/>
      <w:ind w:firstLine="420" w:firstLineChars="100"/>
    </w:pPr>
    <w:rPr>
      <w:rFonts w:eastAsia="宋体"/>
      <w:sz w:val="21"/>
    </w:rPr>
  </w:style>
  <w:style w:type="paragraph" w:styleId="19">
    <w:name w:val="Body Text Indent"/>
    <w:basedOn w:val="1"/>
    <w:next w:val="20"/>
    <w:link w:val="68"/>
    <w:qFormat/>
    <w:uiPriority w:val="0"/>
    <w:pPr>
      <w:ind w:firstLine="489" w:firstLineChars="178"/>
    </w:pPr>
    <w:rPr>
      <w:sz w:val="28"/>
      <w:szCs w:val="28"/>
    </w:rPr>
  </w:style>
  <w:style w:type="paragraph" w:styleId="20">
    <w:name w:val="envelope return"/>
    <w:basedOn w:val="1"/>
    <w:qFormat/>
    <w:uiPriority w:val="99"/>
  </w:style>
  <w:style w:type="paragraph" w:styleId="21">
    <w:name w:val="toc 5"/>
    <w:basedOn w:val="1"/>
    <w:next w:val="1"/>
    <w:qFormat/>
    <w:uiPriority w:val="39"/>
    <w:pPr>
      <w:ind w:left="1680" w:leftChars="800"/>
    </w:pPr>
    <w:rPr>
      <w:rFonts w:ascii="Calibri" w:hAnsi="Calibri"/>
      <w:szCs w:val="22"/>
    </w:rPr>
  </w:style>
  <w:style w:type="paragraph" w:styleId="22">
    <w:name w:val="toc 3"/>
    <w:basedOn w:val="1"/>
    <w:next w:val="1"/>
    <w:qFormat/>
    <w:uiPriority w:val="39"/>
    <w:pPr>
      <w:ind w:left="840" w:leftChars="400"/>
    </w:pPr>
  </w:style>
  <w:style w:type="paragraph" w:styleId="23">
    <w:name w:val="Plain Text"/>
    <w:basedOn w:val="1"/>
    <w:link w:val="63"/>
    <w:qFormat/>
    <w:uiPriority w:val="0"/>
    <w:rPr>
      <w:rFonts w:ascii="Courier New" w:hAnsi="Courier New" w:eastAsia="宋体" w:cs="宋体"/>
      <w:szCs w:val="22"/>
    </w:rPr>
  </w:style>
  <w:style w:type="paragraph" w:styleId="24">
    <w:name w:val="toc 8"/>
    <w:basedOn w:val="1"/>
    <w:next w:val="1"/>
    <w:qFormat/>
    <w:uiPriority w:val="39"/>
    <w:pPr>
      <w:ind w:left="2940" w:leftChars="1400"/>
    </w:pPr>
    <w:rPr>
      <w:rFonts w:ascii="Calibri" w:hAnsi="Calibri"/>
      <w:szCs w:val="22"/>
    </w:rPr>
  </w:style>
  <w:style w:type="paragraph" w:styleId="25">
    <w:name w:val="Date"/>
    <w:basedOn w:val="1"/>
    <w:next w:val="1"/>
    <w:link w:val="80"/>
    <w:qFormat/>
    <w:uiPriority w:val="99"/>
    <w:pPr>
      <w:ind w:left="100" w:leftChars="2500"/>
    </w:pPr>
    <w:rPr>
      <w:rFonts w:ascii="Calibri" w:hAnsi="Calibri" w:eastAsia="宋体" w:cs="宋体"/>
    </w:rPr>
  </w:style>
  <w:style w:type="paragraph" w:styleId="26">
    <w:name w:val="Balloon Text"/>
    <w:basedOn w:val="1"/>
    <w:link w:val="64"/>
    <w:qFormat/>
    <w:uiPriority w:val="99"/>
    <w:rPr>
      <w:rFonts w:ascii="Calibri" w:hAnsi="Calibri" w:eastAsia="宋体" w:cs="宋体"/>
      <w:sz w:val="18"/>
      <w:szCs w:val="18"/>
    </w:rPr>
  </w:style>
  <w:style w:type="paragraph" w:styleId="27">
    <w:name w:val="footer"/>
    <w:basedOn w:val="1"/>
    <w:link w:val="50"/>
    <w:qFormat/>
    <w:uiPriority w:val="0"/>
    <w:pPr>
      <w:tabs>
        <w:tab w:val="center" w:pos="4153"/>
        <w:tab w:val="right" w:pos="8306"/>
      </w:tabs>
      <w:snapToGrid w:val="0"/>
      <w:jc w:val="left"/>
    </w:pPr>
    <w:rPr>
      <w:rFonts w:ascii="Calibri" w:hAnsi="Calibri" w:eastAsia="宋体" w:cs="宋体"/>
      <w:sz w:val="18"/>
      <w:szCs w:val="18"/>
    </w:rPr>
  </w:style>
  <w:style w:type="paragraph" w:styleId="28">
    <w:name w:val="header"/>
    <w:basedOn w:val="1"/>
    <w:link w:val="49"/>
    <w:qFormat/>
    <w:uiPriority w:val="0"/>
    <w:pPr>
      <w:pBdr>
        <w:bottom w:val="single" w:color="auto" w:sz="6" w:space="1"/>
      </w:pBdr>
      <w:tabs>
        <w:tab w:val="center" w:pos="4153"/>
        <w:tab w:val="right" w:pos="8306"/>
      </w:tabs>
      <w:snapToGrid w:val="0"/>
      <w:jc w:val="center"/>
    </w:pPr>
    <w:rPr>
      <w:rFonts w:ascii="Calibri" w:hAnsi="Calibri" w:eastAsia="宋体" w:cs="宋体"/>
      <w:sz w:val="18"/>
      <w:szCs w:val="18"/>
    </w:rPr>
  </w:style>
  <w:style w:type="paragraph" w:styleId="29">
    <w:name w:val="toc 1"/>
    <w:basedOn w:val="1"/>
    <w:next w:val="1"/>
    <w:qFormat/>
    <w:uiPriority w:val="39"/>
    <w:pPr>
      <w:spacing w:before="120" w:after="120"/>
      <w:jc w:val="left"/>
    </w:pPr>
    <w:rPr>
      <w:b/>
      <w:bCs/>
      <w:caps/>
      <w:sz w:val="20"/>
      <w:szCs w:val="20"/>
    </w:rPr>
  </w:style>
  <w:style w:type="paragraph" w:styleId="30">
    <w:name w:val="toc 4"/>
    <w:basedOn w:val="1"/>
    <w:next w:val="1"/>
    <w:qFormat/>
    <w:uiPriority w:val="39"/>
    <w:pPr>
      <w:ind w:left="1260" w:leftChars="600"/>
    </w:pPr>
    <w:rPr>
      <w:rFonts w:ascii="Calibri" w:hAnsi="Calibri"/>
      <w:szCs w:val="22"/>
    </w:rPr>
  </w:style>
  <w:style w:type="paragraph" w:styleId="31">
    <w:name w:val="List"/>
    <w:basedOn w:val="1"/>
    <w:qFormat/>
    <w:uiPriority w:val="0"/>
    <w:pPr>
      <w:numPr>
        <w:ilvl w:val="0"/>
        <w:numId w:val="1"/>
      </w:numPr>
      <w:snapToGrid w:val="0"/>
      <w:spacing w:line="300" w:lineRule="auto"/>
    </w:pPr>
  </w:style>
  <w:style w:type="paragraph" w:styleId="32">
    <w:name w:val="footnote text"/>
    <w:basedOn w:val="1"/>
    <w:link w:val="107"/>
    <w:qFormat/>
    <w:uiPriority w:val="0"/>
    <w:rPr>
      <w:sz w:val="20"/>
      <w:szCs w:val="20"/>
    </w:rPr>
  </w:style>
  <w:style w:type="paragraph" w:styleId="33">
    <w:name w:val="toc 6"/>
    <w:basedOn w:val="1"/>
    <w:next w:val="1"/>
    <w:qFormat/>
    <w:uiPriority w:val="39"/>
    <w:pPr>
      <w:ind w:left="2100" w:leftChars="1000"/>
    </w:pPr>
    <w:rPr>
      <w:rFonts w:ascii="Calibri" w:hAnsi="Calibri"/>
      <w:szCs w:val="22"/>
    </w:rPr>
  </w:style>
  <w:style w:type="paragraph" w:styleId="34">
    <w:name w:val="Body Text Indent 3"/>
    <w:basedOn w:val="1"/>
    <w:link w:val="99"/>
    <w:qFormat/>
    <w:uiPriority w:val="0"/>
    <w:pPr>
      <w:spacing w:after="120"/>
      <w:ind w:left="420" w:leftChars="200"/>
    </w:pPr>
    <w:rPr>
      <w:sz w:val="16"/>
      <w:szCs w:val="16"/>
    </w:rPr>
  </w:style>
  <w:style w:type="paragraph" w:styleId="35">
    <w:name w:val="table of figures"/>
    <w:basedOn w:val="1"/>
    <w:next w:val="1"/>
    <w:qFormat/>
    <w:uiPriority w:val="0"/>
    <w:pPr>
      <w:ind w:left="200" w:leftChars="200" w:hanging="200" w:hangingChars="200"/>
    </w:pPr>
  </w:style>
  <w:style w:type="paragraph" w:styleId="36">
    <w:name w:val="toc 2"/>
    <w:basedOn w:val="1"/>
    <w:next w:val="1"/>
    <w:qFormat/>
    <w:uiPriority w:val="39"/>
    <w:pPr>
      <w:ind w:left="210"/>
      <w:jc w:val="left"/>
    </w:pPr>
    <w:rPr>
      <w:smallCaps/>
      <w:sz w:val="20"/>
      <w:szCs w:val="20"/>
    </w:rPr>
  </w:style>
  <w:style w:type="paragraph" w:styleId="37">
    <w:name w:val="toc 9"/>
    <w:basedOn w:val="1"/>
    <w:next w:val="1"/>
    <w:qFormat/>
    <w:uiPriority w:val="39"/>
    <w:pPr>
      <w:ind w:left="3360" w:leftChars="1600"/>
    </w:pPr>
    <w:rPr>
      <w:rFonts w:ascii="Calibri" w:hAnsi="Calibri"/>
      <w:szCs w:val="22"/>
    </w:rPr>
  </w:style>
  <w:style w:type="paragraph" w:styleId="38">
    <w:name w:val="Title"/>
    <w:basedOn w:val="1"/>
    <w:next w:val="1"/>
    <w:link w:val="84"/>
    <w:qFormat/>
    <w:uiPriority w:val="0"/>
    <w:pPr>
      <w:numPr>
        <w:ilvl w:val="1"/>
        <w:numId w:val="2"/>
      </w:numPr>
      <w:spacing w:before="240" w:after="60"/>
      <w:jc w:val="center"/>
      <w:outlineLvl w:val="0"/>
    </w:pPr>
    <w:rPr>
      <w:rFonts w:ascii="Cambria" w:hAnsi="Cambria"/>
      <w:b/>
      <w:bCs/>
      <w:sz w:val="32"/>
      <w:szCs w:val="32"/>
    </w:rPr>
  </w:style>
  <w:style w:type="paragraph" w:styleId="39">
    <w:name w:val="annotation subject"/>
    <w:basedOn w:val="15"/>
    <w:next w:val="15"/>
    <w:link w:val="62"/>
    <w:qFormat/>
    <w:uiPriority w:val="99"/>
    <w:rPr>
      <w:rFonts w:ascii="Calibri" w:hAnsi="Calibri" w:eastAsia="宋体" w:cs="宋体"/>
      <w:b/>
      <w:bCs/>
    </w:rPr>
  </w:style>
  <w:style w:type="table" w:styleId="41">
    <w:name w:val="Table Grid"/>
    <w:basedOn w:val="40"/>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basedOn w:val="42"/>
    <w:qFormat/>
    <w:uiPriority w:val="22"/>
    <w:rPr>
      <w:b/>
      <w:bCs/>
    </w:rPr>
  </w:style>
  <w:style w:type="character" w:styleId="44">
    <w:name w:val="page number"/>
    <w:qFormat/>
    <w:uiPriority w:val="0"/>
  </w:style>
  <w:style w:type="character" w:styleId="45">
    <w:name w:val="FollowedHyperlink"/>
    <w:qFormat/>
    <w:uiPriority w:val="0"/>
    <w:rPr>
      <w:color w:val="800080"/>
      <w:u w:val="single"/>
    </w:rPr>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character" w:customStyle="1" w:styleId="49">
    <w:name w:val="页眉 Char"/>
    <w:basedOn w:val="42"/>
    <w:link w:val="28"/>
    <w:qFormat/>
    <w:uiPriority w:val="0"/>
    <w:rPr>
      <w:sz w:val="18"/>
      <w:szCs w:val="18"/>
    </w:rPr>
  </w:style>
  <w:style w:type="character" w:customStyle="1" w:styleId="50">
    <w:name w:val="页脚 Char"/>
    <w:basedOn w:val="42"/>
    <w:link w:val="27"/>
    <w:qFormat/>
    <w:uiPriority w:val="99"/>
    <w:rPr>
      <w:sz w:val="18"/>
      <w:szCs w:val="18"/>
    </w:rPr>
  </w:style>
  <w:style w:type="character" w:customStyle="1" w:styleId="51">
    <w:name w:val="标题 1 Char"/>
    <w:basedOn w:val="42"/>
    <w:link w:val="2"/>
    <w:qFormat/>
    <w:uiPriority w:val="0"/>
    <w:rPr>
      <w:rFonts w:ascii="Times New Roman" w:hAnsi="Times New Roman" w:eastAsia="宋体" w:cs="Times New Roman"/>
      <w:b/>
      <w:bCs/>
      <w:kern w:val="44"/>
      <w:sz w:val="44"/>
      <w:szCs w:val="44"/>
    </w:rPr>
  </w:style>
  <w:style w:type="character" w:customStyle="1" w:styleId="52">
    <w:name w:val="标题 2 Char"/>
    <w:basedOn w:val="42"/>
    <w:link w:val="3"/>
    <w:qFormat/>
    <w:uiPriority w:val="9"/>
    <w:rPr>
      <w:rFonts w:ascii="Arial" w:hAnsi="Arial" w:eastAsia="黑体" w:cs="Times New Roman"/>
      <w:b/>
      <w:bCs/>
      <w:sz w:val="32"/>
      <w:szCs w:val="32"/>
    </w:rPr>
  </w:style>
  <w:style w:type="character" w:customStyle="1" w:styleId="53">
    <w:name w:val="标题 3 Char"/>
    <w:basedOn w:val="42"/>
    <w:link w:val="4"/>
    <w:qFormat/>
    <w:uiPriority w:val="0"/>
    <w:rPr>
      <w:rFonts w:ascii="Times New Roman" w:hAnsi="Times New Roman" w:eastAsia="宋体" w:cs="Times New Roman"/>
      <w:b/>
      <w:bCs/>
      <w:sz w:val="32"/>
      <w:szCs w:val="32"/>
    </w:rPr>
  </w:style>
  <w:style w:type="character" w:customStyle="1" w:styleId="54">
    <w:name w:val="标题 4 Char"/>
    <w:basedOn w:val="42"/>
    <w:link w:val="5"/>
    <w:qFormat/>
    <w:uiPriority w:val="0"/>
    <w:rPr>
      <w:rFonts w:ascii="Cambria" w:hAnsi="Cambria" w:eastAsia="宋体" w:cs="黑体"/>
      <w:b/>
      <w:bCs/>
      <w:sz w:val="28"/>
      <w:szCs w:val="28"/>
    </w:rPr>
  </w:style>
  <w:style w:type="character" w:customStyle="1" w:styleId="55">
    <w:name w:val="标题 6 Char"/>
    <w:basedOn w:val="42"/>
    <w:qFormat/>
    <w:uiPriority w:val="9"/>
    <w:rPr>
      <w:rFonts w:ascii="Cambria" w:hAnsi="Cambria" w:eastAsia="宋体" w:cs="宋体"/>
      <w:b/>
      <w:bCs/>
      <w:sz w:val="24"/>
      <w:szCs w:val="24"/>
    </w:rPr>
  </w:style>
  <w:style w:type="character" w:customStyle="1" w:styleId="56">
    <w:name w:val="标题 7 Char"/>
    <w:basedOn w:val="42"/>
    <w:qFormat/>
    <w:uiPriority w:val="9"/>
    <w:rPr>
      <w:rFonts w:ascii="Times New Roman" w:hAnsi="Times New Roman" w:eastAsia="宋体" w:cs="Times New Roman"/>
      <w:b/>
      <w:bCs/>
      <w:sz w:val="24"/>
      <w:szCs w:val="24"/>
    </w:rPr>
  </w:style>
  <w:style w:type="character" w:customStyle="1" w:styleId="57">
    <w:name w:val="标题 8 Char"/>
    <w:basedOn w:val="42"/>
    <w:qFormat/>
    <w:uiPriority w:val="9"/>
    <w:rPr>
      <w:rFonts w:ascii="Cambria" w:hAnsi="Cambria" w:eastAsia="宋体" w:cs="宋体"/>
      <w:sz w:val="24"/>
      <w:szCs w:val="24"/>
    </w:rPr>
  </w:style>
  <w:style w:type="character" w:customStyle="1" w:styleId="58">
    <w:name w:val="标题 9 Char"/>
    <w:basedOn w:val="42"/>
    <w:qFormat/>
    <w:uiPriority w:val="9"/>
    <w:rPr>
      <w:rFonts w:ascii="Cambria" w:hAnsi="Cambria" w:eastAsia="宋体" w:cs="宋体"/>
      <w:szCs w:val="21"/>
    </w:rPr>
  </w:style>
  <w:style w:type="character" w:customStyle="1" w:styleId="59">
    <w:name w:val="批注文字 Char1"/>
    <w:qFormat/>
    <w:uiPriority w:val="99"/>
    <w:rPr>
      <w:kern w:val="2"/>
      <w:sz w:val="21"/>
    </w:rPr>
  </w:style>
  <w:style w:type="character" w:customStyle="1" w:styleId="60">
    <w:name w:val="批注文字 Char"/>
    <w:qFormat/>
    <w:uiPriority w:val="0"/>
    <w:rPr>
      <w:rFonts w:ascii="Times New Roman" w:hAnsi="Times New Roman"/>
      <w:kern w:val="2"/>
      <w:sz w:val="21"/>
    </w:rPr>
  </w:style>
  <w:style w:type="character" w:customStyle="1" w:styleId="61">
    <w:name w:val="正文文本 3 Char"/>
    <w:link w:val="16"/>
    <w:qFormat/>
    <w:uiPriority w:val="0"/>
    <w:rPr>
      <w:rFonts w:ascii="宋体"/>
      <w:sz w:val="24"/>
    </w:rPr>
  </w:style>
  <w:style w:type="character" w:customStyle="1" w:styleId="62">
    <w:name w:val="批注主题 Char"/>
    <w:link w:val="39"/>
    <w:qFormat/>
    <w:uiPriority w:val="99"/>
    <w:rPr>
      <w:b/>
      <w:bCs/>
      <w:szCs w:val="24"/>
    </w:rPr>
  </w:style>
  <w:style w:type="character" w:customStyle="1" w:styleId="63">
    <w:name w:val="纯文本 Char"/>
    <w:link w:val="23"/>
    <w:qFormat/>
    <w:uiPriority w:val="0"/>
    <w:rPr>
      <w:rFonts w:ascii="Courier New" w:hAnsi="Courier New"/>
    </w:rPr>
  </w:style>
  <w:style w:type="character" w:customStyle="1" w:styleId="64">
    <w:name w:val="批注框文本 Char"/>
    <w:link w:val="26"/>
    <w:qFormat/>
    <w:uiPriority w:val="99"/>
    <w:rPr>
      <w:sz w:val="18"/>
      <w:szCs w:val="18"/>
    </w:rPr>
  </w:style>
  <w:style w:type="character" w:customStyle="1" w:styleId="65">
    <w:name w:val="批注文字 Char2"/>
    <w:basedOn w:val="42"/>
    <w:link w:val="15"/>
    <w:qFormat/>
    <w:uiPriority w:val="99"/>
    <w:rPr>
      <w:rFonts w:ascii="Times New Roman" w:hAnsi="Times New Roman" w:eastAsia="宋体" w:cs="Times New Roman"/>
      <w:szCs w:val="24"/>
    </w:rPr>
  </w:style>
  <w:style w:type="character" w:customStyle="1" w:styleId="66">
    <w:name w:val="批注主题 Char1"/>
    <w:basedOn w:val="65"/>
    <w:qFormat/>
    <w:uiPriority w:val="99"/>
    <w:rPr>
      <w:rFonts w:ascii="Times New Roman" w:hAnsi="Times New Roman" w:eastAsia="宋体" w:cs="Times New Roman"/>
      <w:b/>
      <w:bCs/>
      <w:szCs w:val="24"/>
    </w:rPr>
  </w:style>
  <w:style w:type="character" w:customStyle="1" w:styleId="67">
    <w:name w:val="纯文本 Char1"/>
    <w:basedOn w:val="42"/>
    <w:qFormat/>
    <w:uiPriority w:val="99"/>
    <w:rPr>
      <w:rFonts w:ascii="宋体" w:hAnsi="Courier New" w:eastAsia="宋体" w:cs="Courier New"/>
      <w:szCs w:val="21"/>
    </w:rPr>
  </w:style>
  <w:style w:type="character" w:customStyle="1" w:styleId="68">
    <w:name w:val="正文文本缩进 Char"/>
    <w:basedOn w:val="42"/>
    <w:link w:val="19"/>
    <w:qFormat/>
    <w:uiPriority w:val="0"/>
    <w:rPr>
      <w:rFonts w:ascii="Times New Roman" w:hAnsi="Times New Roman" w:eastAsia="宋体" w:cs="Times New Roman"/>
      <w:sz w:val="28"/>
      <w:szCs w:val="28"/>
    </w:rPr>
  </w:style>
  <w:style w:type="character" w:customStyle="1" w:styleId="69">
    <w:name w:val="正文文本 3 Char1"/>
    <w:basedOn w:val="42"/>
    <w:qFormat/>
    <w:uiPriority w:val="99"/>
    <w:rPr>
      <w:rFonts w:ascii="Times New Roman" w:hAnsi="Times New Roman" w:eastAsia="宋体" w:cs="Times New Roman"/>
      <w:sz w:val="16"/>
      <w:szCs w:val="16"/>
    </w:rPr>
  </w:style>
  <w:style w:type="character" w:customStyle="1" w:styleId="70">
    <w:name w:val="批注框文本 Char1"/>
    <w:basedOn w:val="42"/>
    <w:qFormat/>
    <w:uiPriority w:val="99"/>
    <w:rPr>
      <w:rFonts w:ascii="Times New Roman" w:hAnsi="Times New Roman" w:eastAsia="宋体" w:cs="Times New Roman"/>
      <w:sz w:val="18"/>
      <w:szCs w:val="18"/>
    </w:rPr>
  </w:style>
  <w:style w:type="character" w:customStyle="1" w:styleId="71">
    <w:name w:val="正文文本 Char"/>
    <w:basedOn w:val="42"/>
    <w:link w:val="17"/>
    <w:qFormat/>
    <w:uiPriority w:val="0"/>
    <w:rPr>
      <w:rFonts w:ascii="Times New Roman" w:hAnsi="Times New Roman" w:eastAsia="宋体" w:cs="Times New Roman"/>
      <w:sz w:val="28"/>
      <w:szCs w:val="20"/>
    </w:rPr>
  </w:style>
  <w:style w:type="paragraph" w:customStyle="1" w:styleId="72">
    <w:name w:val="列出段落1"/>
    <w:basedOn w:val="1"/>
    <w:qFormat/>
    <w:uiPriority w:val="34"/>
    <w:pPr>
      <w:ind w:firstLine="420" w:firstLineChars="200"/>
    </w:pPr>
  </w:style>
  <w:style w:type="paragraph" w:customStyle="1" w:styleId="73">
    <w:name w:val="bt1bt1"/>
    <w:basedOn w:val="2"/>
    <w:autoRedefine/>
    <w:qFormat/>
    <w:uiPriority w:val="0"/>
    <w:pPr>
      <w:spacing w:line="240" w:lineRule="auto"/>
      <w:jc w:val="center"/>
    </w:pPr>
    <w:rPr>
      <w:rFonts w:ascii="黑体" w:eastAsia="黑体"/>
      <w:b w:val="0"/>
      <w:sz w:val="36"/>
      <w:szCs w:val="36"/>
    </w:rPr>
  </w:style>
  <w:style w:type="paragraph" w:customStyle="1" w:styleId="74">
    <w:name w:val="节"/>
    <w:basedOn w:val="3"/>
    <w:qFormat/>
    <w:uiPriority w:val="0"/>
    <w:pPr>
      <w:numPr>
        <w:ilvl w:val="2"/>
        <w:numId w:val="2"/>
      </w:numPr>
      <w:tabs>
        <w:tab w:val="left" w:pos="360"/>
        <w:tab w:val="left" w:pos="576"/>
      </w:tabs>
      <w:spacing w:line="240" w:lineRule="auto"/>
      <w:ind w:left="840" w:hanging="420"/>
    </w:pPr>
    <w:rPr>
      <w:rFonts w:ascii="黑体"/>
      <w:b w:val="0"/>
      <w:sz w:val="28"/>
      <w:szCs w:val="28"/>
    </w:rPr>
  </w:style>
  <w:style w:type="paragraph" w:customStyle="1" w:styleId="7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76">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77">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78">
    <w:name w:val="样式1"/>
    <w:basedOn w:val="1"/>
    <w:qFormat/>
    <w:uiPriority w:val="0"/>
    <w:rPr>
      <w:szCs w:val="21"/>
      <w:lang w:val="zh-CN"/>
    </w:rPr>
  </w:style>
  <w:style w:type="paragraph" w:customStyle="1" w:styleId="79">
    <w:name w:val="Revision_a515bc8e-d327-410c-a925-7f49944345a6"/>
    <w:qFormat/>
    <w:uiPriority w:val="99"/>
    <w:rPr>
      <w:rFonts w:ascii="Times New Roman" w:hAnsi="Times New Roman" w:eastAsia="宋体" w:cs="Times New Roman"/>
      <w:kern w:val="2"/>
      <w:sz w:val="21"/>
      <w:szCs w:val="24"/>
      <w:lang w:val="en-US" w:eastAsia="zh-CN" w:bidi="ar-SA"/>
    </w:rPr>
  </w:style>
  <w:style w:type="character" w:customStyle="1" w:styleId="80">
    <w:name w:val="日期 Char"/>
    <w:link w:val="25"/>
    <w:qFormat/>
    <w:uiPriority w:val="99"/>
    <w:rPr>
      <w:szCs w:val="24"/>
    </w:rPr>
  </w:style>
  <w:style w:type="character" w:customStyle="1" w:styleId="81">
    <w:name w:val="文档结构图 Char"/>
    <w:link w:val="13"/>
    <w:qFormat/>
    <w:uiPriority w:val="99"/>
    <w:rPr>
      <w:rFonts w:ascii="宋体"/>
      <w:sz w:val="18"/>
      <w:szCs w:val="18"/>
    </w:rPr>
  </w:style>
  <w:style w:type="character" w:customStyle="1" w:styleId="82">
    <w:name w:val="日期 Char1"/>
    <w:basedOn w:val="42"/>
    <w:qFormat/>
    <w:uiPriority w:val="99"/>
    <w:rPr>
      <w:rFonts w:ascii="Times New Roman" w:hAnsi="Times New Roman" w:eastAsia="宋体" w:cs="Times New Roman"/>
      <w:szCs w:val="24"/>
    </w:rPr>
  </w:style>
  <w:style w:type="character" w:customStyle="1" w:styleId="83">
    <w:name w:val="文档结构图 Char1"/>
    <w:basedOn w:val="42"/>
    <w:qFormat/>
    <w:uiPriority w:val="99"/>
    <w:rPr>
      <w:rFonts w:ascii="宋体" w:hAnsi="Times New Roman" w:eastAsia="宋体" w:cs="Times New Roman"/>
      <w:sz w:val="18"/>
      <w:szCs w:val="18"/>
    </w:rPr>
  </w:style>
  <w:style w:type="character" w:customStyle="1" w:styleId="84">
    <w:name w:val="标题 Char"/>
    <w:basedOn w:val="42"/>
    <w:link w:val="38"/>
    <w:qFormat/>
    <w:uiPriority w:val="0"/>
    <w:rPr>
      <w:rFonts w:ascii="Cambria" w:hAnsi="Cambria" w:eastAsia="宋体" w:cs="Times New Roman"/>
      <w:b/>
      <w:bCs/>
      <w:sz w:val="32"/>
      <w:szCs w:val="32"/>
    </w:rPr>
  </w:style>
  <w:style w:type="character" w:customStyle="1" w:styleId="85">
    <w:name w:val="editmail"/>
    <w:qFormat/>
    <w:uiPriority w:val="0"/>
  </w:style>
  <w:style w:type="character" w:customStyle="1" w:styleId="86">
    <w:name w:val="页脚 字符"/>
    <w:qFormat/>
    <w:uiPriority w:val="99"/>
  </w:style>
  <w:style w:type="character" w:customStyle="1" w:styleId="87">
    <w:name w:val="标题 6 Char1"/>
    <w:link w:val="6"/>
    <w:qFormat/>
    <w:uiPriority w:val="0"/>
    <w:rPr>
      <w:rFonts w:ascii="Arial" w:hAnsi="Arial" w:eastAsia="黑体" w:cs="Times New Roman"/>
      <w:b/>
      <w:bCs/>
      <w:kern w:val="0"/>
      <w:sz w:val="24"/>
      <w:szCs w:val="24"/>
    </w:rPr>
  </w:style>
  <w:style w:type="character" w:customStyle="1" w:styleId="88">
    <w:name w:val="标题 7 Char1"/>
    <w:link w:val="7"/>
    <w:qFormat/>
    <w:uiPriority w:val="0"/>
    <w:rPr>
      <w:rFonts w:ascii="Times New Roman" w:hAnsi="Times New Roman" w:eastAsia="宋体" w:cs="Times New Roman"/>
      <w:b/>
      <w:bCs/>
      <w:kern w:val="0"/>
      <w:sz w:val="24"/>
      <w:szCs w:val="24"/>
    </w:rPr>
  </w:style>
  <w:style w:type="character" w:customStyle="1" w:styleId="89">
    <w:name w:val="标题 8 Char1"/>
    <w:link w:val="8"/>
    <w:qFormat/>
    <w:uiPriority w:val="0"/>
    <w:rPr>
      <w:rFonts w:ascii="Arial" w:hAnsi="Arial" w:eastAsia="黑体" w:cs="Times New Roman"/>
      <w:kern w:val="0"/>
      <w:sz w:val="24"/>
      <w:szCs w:val="24"/>
    </w:rPr>
  </w:style>
  <w:style w:type="character" w:customStyle="1" w:styleId="90">
    <w:name w:val="标题 9 Char1"/>
    <w:link w:val="9"/>
    <w:qFormat/>
    <w:uiPriority w:val="0"/>
    <w:rPr>
      <w:rFonts w:ascii="Arial" w:hAnsi="Arial" w:eastAsia="黑体" w:cs="Times New Roman"/>
      <w:kern w:val="0"/>
      <w:szCs w:val="21"/>
    </w:rPr>
  </w:style>
  <w:style w:type="character" w:customStyle="1" w:styleId="91">
    <w:name w:val="Char Char8"/>
    <w:qFormat/>
    <w:uiPriority w:val="0"/>
    <w:rPr>
      <w:rFonts w:ascii="Arial" w:hAnsi="Arial" w:eastAsia="黑体"/>
      <w:b/>
      <w:bCs/>
      <w:kern w:val="2"/>
      <w:sz w:val="32"/>
      <w:szCs w:val="32"/>
      <w:lang w:val="en-US" w:eastAsia="zh-CN" w:bidi="ar-SA"/>
    </w:rPr>
  </w:style>
  <w:style w:type="character" w:customStyle="1" w:styleId="92">
    <w:name w:val="Char Char"/>
    <w:qFormat/>
    <w:uiPriority w:val="0"/>
    <w:rPr>
      <w:rFonts w:ascii="Arial" w:hAnsi="Arial" w:eastAsia="黑体"/>
      <w:b/>
      <w:bCs/>
      <w:kern w:val="2"/>
      <w:sz w:val="32"/>
      <w:szCs w:val="32"/>
      <w:lang w:val="en-US" w:eastAsia="zh-CN" w:bidi="ar-SA"/>
    </w:rPr>
  </w:style>
  <w:style w:type="character" w:customStyle="1" w:styleId="93">
    <w:name w:val="font161"/>
    <w:qFormat/>
    <w:uiPriority w:val="0"/>
    <w:rPr>
      <w:b/>
      <w:bCs/>
      <w:sz w:val="32"/>
      <w:szCs w:val="32"/>
    </w:rPr>
  </w:style>
  <w:style w:type="character" w:customStyle="1" w:styleId="94">
    <w:name w:val="Char Char2"/>
    <w:qFormat/>
    <w:uiPriority w:val="0"/>
    <w:rPr>
      <w:rFonts w:eastAsia="宋体"/>
      <w:kern w:val="2"/>
      <w:sz w:val="21"/>
      <w:szCs w:val="24"/>
      <w:lang w:val="en-US" w:eastAsia="zh-CN" w:bidi="ar-SA"/>
    </w:rPr>
  </w:style>
  <w:style w:type="character" w:customStyle="1" w:styleId="95">
    <w:name w:val="Char Char7"/>
    <w:qFormat/>
    <w:uiPriority w:val="0"/>
    <w:rPr>
      <w:rFonts w:ascii="Arial" w:hAnsi="Arial" w:eastAsia="黑体"/>
      <w:b/>
      <w:bCs/>
      <w:kern w:val="2"/>
      <w:sz w:val="32"/>
      <w:szCs w:val="32"/>
      <w:lang w:val="en-US" w:eastAsia="zh-CN" w:bidi="ar-SA"/>
    </w:rPr>
  </w:style>
  <w:style w:type="paragraph" w:customStyle="1" w:styleId="96">
    <w:name w:val="样式4"/>
    <w:basedOn w:val="4"/>
    <w:qFormat/>
    <w:uiPriority w:val="0"/>
    <w:pPr>
      <w:spacing w:line="415" w:lineRule="auto"/>
    </w:pPr>
    <w:rPr>
      <w:rFonts w:eastAsia="Arial"/>
      <w:lang w:val="zh-CN" w:eastAsia="zh-CN"/>
    </w:rPr>
  </w:style>
  <w:style w:type="paragraph" w:customStyle="1" w:styleId="97">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98">
    <w:name w:val="正文文本缩进 3 Char"/>
    <w:basedOn w:val="42"/>
    <w:qFormat/>
    <w:uiPriority w:val="99"/>
    <w:rPr>
      <w:rFonts w:ascii="Times New Roman" w:hAnsi="Times New Roman" w:eastAsia="宋体" w:cs="Times New Roman"/>
      <w:sz w:val="16"/>
      <w:szCs w:val="16"/>
    </w:rPr>
  </w:style>
  <w:style w:type="character" w:customStyle="1" w:styleId="99">
    <w:name w:val="正文文本缩进 3 Char1"/>
    <w:link w:val="34"/>
    <w:qFormat/>
    <w:uiPriority w:val="0"/>
    <w:rPr>
      <w:rFonts w:ascii="Times New Roman" w:hAnsi="Times New Roman" w:eastAsia="宋体" w:cs="Times New Roman"/>
      <w:sz w:val="16"/>
      <w:szCs w:val="16"/>
    </w:rPr>
  </w:style>
  <w:style w:type="paragraph" w:customStyle="1" w:styleId="100">
    <w:name w:val="1"/>
    <w:basedOn w:val="1"/>
    <w:next w:val="1"/>
    <w:qFormat/>
    <w:uiPriority w:val="0"/>
  </w:style>
  <w:style w:type="paragraph" w:customStyle="1" w:styleId="101">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102">
    <w:name w:val="样式2"/>
    <w:basedOn w:val="4"/>
    <w:qFormat/>
    <w:uiPriority w:val="0"/>
    <w:pPr>
      <w:spacing w:line="415" w:lineRule="auto"/>
    </w:pPr>
    <w:rPr>
      <w:lang w:val="zh-CN" w:eastAsia="zh-CN"/>
    </w:rPr>
  </w:style>
  <w:style w:type="paragraph" w:customStyle="1" w:styleId="103">
    <w:name w:val="表格"/>
    <w:basedOn w:val="1"/>
    <w:qFormat/>
    <w:uiPriority w:val="0"/>
    <w:pPr>
      <w:jc w:val="center"/>
      <w:textAlignment w:val="center"/>
    </w:pPr>
    <w:rPr>
      <w:rFonts w:ascii="华文细黑" w:hAnsi="华文细黑"/>
      <w:kern w:val="0"/>
      <w:szCs w:val="20"/>
    </w:rPr>
  </w:style>
  <w:style w:type="paragraph" w:customStyle="1" w:styleId="104">
    <w:name w:val="样式3"/>
    <w:basedOn w:val="4"/>
    <w:qFormat/>
    <w:uiPriority w:val="0"/>
    <w:pPr>
      <w:spacing w:line="415" w:lineRule="auto"/>
    </w:pPr>
    <w:rPr>
      <w:rFonts w:eastAsia="Arial"/>
      <w:lang w:val="zh-CN" w:eastAsia="zh-CN"/>
    </w:rPr>
  </w:style>
  <w:style w:type="paragraph" w:customStyle="1" w:styleId="105">
    <w:name w:val="Char"/>
    <w:basedOn w:val="1"/>
    <w:qFormat/>
    <w:uiPriority w:val="0"/>
    <w:pPr>
      <w:tabs>
        <w:tab w:val="left" w:pos="360"/>
      </w:tabs>
    </w:pPr>
    <w:rPr>
      <w:sz w:val="24"/>
    </w:rPr>
  </w:style>
  <w:style w:type="character" w:customStyle="1" w:styleId="106">
    <w:name w:val="脚注文本 Char"/>
    <w:basedOn w:val="42"/>
    <w:qFormat/>
    <w:uiPriority w:val="99"/>
    <w:rPr>
      <w:rFonts w:ascii="Times New Roman" w:hAnsi="Times New Roman" w:eastAsia="宋体" w:cs="Times New Roman"/>
      <w:sz w:val="18"/>
      <w:szCs w:val="18"/>
    </w:rPr>
  </w:style>
  <w:style w:type="character" w:customStyle="1" w:styleId="107">
    <w:name w:val="脚注文本 Char1"/>
    <w:link w:val="32"/>
    <w:qFormat/>
    <w:uiPriority w:val="0"/>
    <w:rPr>
      <w:rFonts w:ascii="Times New Roman" w:hAnsi="Times New Roman" w:eastAsia="宋体" w:cs="Times New Roman"/>
      <w:sz w:val="20"/>
      <w:szCs w:val="20"/>
    </w:rPr>
  </w:style>
  <w:style w:type="paragraph" w:customStyle="1" w:styleId="108">
    <w:name w:val="表格文字"/>
    <w:basedOn w:val="1"/>
    <w:qFormat/>
    <w:uiPriority w:val="0"/>
    <w:pPr>
      <w:adjustRightInd w:val="0"/>
      <w:spacing w:line="420" w:lineRule="atLeast"/>
      <w:jc w:val="left"/>
      <w:textAlignment w:val="baseline"/>
    </w:pPr>
    <w:rPr>
      <w:kern w:val="0"/>
      <w:szCs w:val="20"/>
    </w:rPr>
  </w:style>
  <w:style w:type="paragraph" w:styleId="109">
    <w:name w:val="List Paragraph"/>
    <w:basedOn w:val="1"/>
    <w:qFormat/>
    <w:uiPriority w:val="34"/>
    <w:pPr>
      <w:ind w:firstLine="420" w:firstLineChars="200"/>
    </w:pPr>
  </w:style>
  <w:style w:type="paragraph" w:customStyle="1" w:styleId="110">
    <w:name w:val="2 Char Char Char Char Char Char Char Char Char Char Char Char Char"/>
    <w:basedOn w:val="13"/>
    <w:qFormat/>
    <w:uiPriority w:val="0"/>
    <w:pPr>
      <w:shd w:val="clear" w:color="auto" w:fill="000080"/>
    </w:pPr>
    <w:rPr>
      <w:rFonts w:ascii="Tahoma" w:hAnsi="Tahoma"/>
      <w:sz w:val="24"/>
      <w:szCs w:val="24"/>
    </w:rPr>
  </w:style>
  <w:style w:type="paragraph" w:customStyle="1" w:styleId="111">
    <w:name w:val="null3"/>
    <w:qFormat/>
    <w:uiPriority w:val="0"/>
    <w:rPr>
      <w:rFonts w:hint="eastAsia" w:ascii="Calibri" w:hAnsi="Calibri" w:eastAsia="宋体" w:cs="宋体"/>
      <w:lang w:val="en-US"/>
    </w:rPr>
  </w:style>
  <w:style w:type="character" w:customStyle="1" w:styleId="112">
    <w:name w:val="font21"/>
    <w:basedOn w:val="42"/>
    <w:qFormat/>
    <w:uiPriority w:val="0"/>
    <w:rPr>
      <w:rFonts w:hint="eastAsia" w:ascii="宋体" w:hAnsi="宋体" w:eastAsia="宋体" w:cs="宋体"/>
      <w:color w:val="000000"/>
      <w:sz w:val="20"/>
      <w:szCs w:val="20"/>
      <w:u w:val="none"/>
    </w:rPr>
  </w:style>
  <w:style w:type="character" w:customStyle="1" w:styleId="113">
    <w:name w:val="font31"/>
    <w:basedOn w:val="42"/>
    <w:qFormat/>
    <w:uiPriority w:val="0"/>
    <w:rPr>
      <w:rFonts w:ascii="Tahoma" w:hAnsi="Tahoma" w:eastAsia="Tahoma" w:cs="Tahoma"/>
      <w:color w:val="000000"/>
      <w:sz w:val="20"/>
      <w:szCs w:val="20"/>
      <w:u w:val="none"/>
    </w:rPr>
  </w:style>
  <w:style w:type="character" w:customStyle="1" w:styleId="114">
    <w:name w:val="font41"/>
    <w:basedOn w:val="42"/>
    <w:qFormat/>
    <w:uiPriority w:val="0"/>
    <w:rPr>
      <w:rFonts w:hint="default" w:ascii="Tahoma" w:hAnsi="Tahoma" w:eastAsia="Tahoma" w:cs="Tahoma"/>
      <w:color w:val="000000"/>
      <w:sz w:val="20"/>
      <w:szCs w:val="20"/>
      <w:u w:val="none"/>
    </w:rPr>
  </w:style>
  <w:style w:type="paragraph" w:customStyle="1" w:styleId="1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A8895E-22F2-45A8-A364-F0A442BCEC5C}">
  <ds:schemaRefs/>
</ds:datastoreItem>
</file>

<file path=docProps/app.xml><?xml version="1.0" encoding="utf-8"?>
<Properties xmlns="http://schemas.openxmlformats.org/officeDocument/2006/extended-properties" xmlns:vt="http://schemas.openxmlformats.org/officeDocument/2006/docPropsVTypes">
  <Template>Normal.dotm</Template>
  <Pages>79</Pages>
  <Words>16320</Words>
  <Characters>17538</Characters>
  <Paragraphs>2035</Paragraphs>
  <TotalTime>2</TotalTime>
  <ScaleCrop>false</ScaleCrop>
  <LinksUpToDate>false</LinksUpToDate>
  <CharactersWithSpaces>17792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2021-06-06T09:26:00Z</dcterms:created>
  <dc:creator>dgsy</dc:creator>
  <cp:lastModifiedBy>..</cp:lastModifiedBy>
  <dcterms:modified xsi:type="dcterms:W3CDTF">2025-12-15T08:45:03Z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6EC5C64142EF4CA189DBC0A01F94E761_13</vt:lpwstr>
  </property>
  <property fmtid="{D5CDD505-2E9C-101B-9397-08002B2CF9AE}" pid="4" name="KSOTemplateDocerSaveRecord">
    <vt:lpwstr>eyJoZGlkIjoiZjMxNDYzMzI2ZTdhNWU5MDI2YTY1MGIxZDBlZWVhNGIiLCJ1c2VySWQiOiIzNzQxMjY2MjUifQ==</vt:lpwstr>
  </property>
</Properties>
</file>