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9103F">
      <w:pPr>
        <w:adjustRightInd w:val="0"/>
        <w:snapToGrid w:val="0"/>
        <w:spacing w:before="156" w:after="120" w:line="276" w:lineRule="auto"/>
        <w:jc w:val="center"/>
        <w:rPr>
          <w:rFonts w:hint="default" w:eastAsia="华文中宋"/>
          <w:color w:val="000000"/>
          <w:sz w:val="44"/>
          <w:szCs w:val="44"/>
          <w:highlight w:val="none"/>
          <w:lang w:val="en-US"/>
        </w:rPr>
      </w:pPr>
      <w:bookmarkStart w:id="0" w:name="_Toc228023130"/>
      <w:r>
        <w:rPr>
          <w:rFonts w:hint="eastAsia" w:eastAsia="华文中宋"/>
          <w:color w:val="000000"/>
          <w:sz w:val="44"/>
          <w:szCs w:val="44"/>
          <w:highlight w:val="none"/>
          <w:lang w:val="en-US" w:eastAsia="zh-CN"/>
        </w:rPr>
        <w:t>采购文件</w:t>
      </w:r>
      <w:bookmarkStart w:id="28" w:name="_GoBack"/>
      <w:bookmarkEnd w:id="28"/>
    </w:p>
    <w:p w14:paraId="217B54EE">
      <w:pPr>
        <w:spacing w:before="156" w:line="600" w:lineRule="exact"/>
        <w:ind w:firstLine="640" w:firstLineChars="200"/>
        <w:rPr>
          <w:rFonts w:hint="eastAsia" w:eastAsia="仿宋_GB2312"/>
          <w:color w:val="000000"/>
          <w:sz w:val="32"/>
          <w:szCs w:val="32"/>
          <w:highlight w:val="none"/>
          <w:lang w:val="en-US" w:eastAsia="zh-CN"/>
        </w:rPr>
      </w:pPr>
      <w:r>
        <w:rPr>
          <w:rFonts w:hint="eastAsia" w:eastAsia="仿宋_GB2312"/>
          <w:color w:val="000000"/>
          <w:sz w:val="32"/>
          <w:szCs w:val="32"/>
          <w:highlight w:val="none"/>
        </w:rPr>
        <w:t>本公司（东莞市新东元环保投资有限公司）</w:t>
      </w:r>
      <w:r>
        <w:rPr>
          <w:rFonts w:hint="eastAsia" w:eastAsia="仿宋_GB2312"/>
          <w:color w:val="000000"/>
          <w:sz w:val="32"/>
          <w:szCs w:val="32"/>
          <w:highlight w:val="none"/>
          <w:lang w:val="en-US" w:eastAsia="zh-CN"/>
        </w:rPr>
        <w:t>根据运营生产需要</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拟</w:t>
      </w:r>
      <w:r>
        <w:rPr>
          <w:rFonts w:hint="eastAsia" w:eastAsia="仿宋_GB2312"/>
          <w:color w:val="000000"/>
          <w:sz w:val="32"/>
          <w:szCs w:val="32"/>
          <w:highlight w:val="none"/>
        </w:rPr>
        <w:t>采购一家</w:t>
      </w:r>
      <w:r>
        <w:rPr>
          <w:rFonts w:hint="eastAsia" w:eastAsia="仿宋_GB2312"/>
          <w:color w:val="000000"/>
          <w:sz w:val="32"/>
          <w:szCs w:val="32"/>
          <w:highlight w:val="none"/>
          <w:lang w:val="en-US" w:eastAsia="zh-CN"/>
        </w:rPr>
        <w:t>单位提供海心沙环保热电厂#1、#2厌氧罐外立面防腐施工</w:t>
      </w:r>
      <w:r>
        <w:rPr>
          <w:rFonts w:hint="eastAsia" w:eastAsia="仿宋_GB2312"/>
          <w:color w:val="000000"/>
          <w:sz w:val="32"/>
          <w:szCs w:val="32"/>
          <w:highlight w:val="none"/>
        </w:rPr>
        <w:t>，现将相关情况介绍如下：</w:t>
      </w:r>
    </w:p>
    <w:p w14:paraId="54AACA10">
      <w:pPr>
        <w:adjustRightInd w:val="0"/>
        <w:snapToGrid w:val="0"/>
        <w:spacing w:before="156"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一、项目名称及内容</w:t>
      </w:r>
    </w:p>
    <w:p w14:paraId="6E1906DD">
      <w:pPr>
        <w:adjustRightInd w:val="0"/>
        <w:snapToGrid w:val="0"/>
        <w:spacing w:before="156" w:line="600" w:lineRule="exact"/>
        <w:ind w:firstLine="640" w:firstLineChars="200"/>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、项目名称：</w:t>
      </w:r>
      <w:r>
        <w:rPr>
          <w:rFonts w:hint="eastAsia" w:ascii="仿宋_GB2312" w:eastAsia="仿宋_GB2312"/>
          <w:sz w:val="32"/>
          <w:szCs w:val="32"/>
          <w:highlight w:val="none"/>
          <w:lang w:eastAsia="zh-CN"/>
        </w:rPr>
        <w:t>海心沙环保热电厂#1、#2厌氧罐外立面防腐采购项目</w:t>
      </w:r>
      <w:r>
        <w:rPr>
          <w:rFonts w:hint="eastAsia" w:eastAsia="仿宋_GB2312"/>
          <w:color w:val="000000"/>
          <w:sz w:val="32"/>
          <w:szCs w:val="32"/>
          <w:highlight w:val="none"/>
          <w:u w:val="none"/>
        </w:rPr>
        <w:t>；</w:t>
      </w:r>
    </w:p>
    <w:p w14:paraId="3FA6FC44">
      <w:pPr>
        <w:adjustRightInd w:val="0"/>
        <w:snapToGrid w:val="0"/>
        <w:spacing w:before="156" w:line="600" w:lineRule="exact"/>
        <w:ind w:firstLine="640" w:firstLineChars="200"/>
        <w:rPr>
          <w:rFonts w:hint="eastAsia"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、采购范围：</w:t>
      </w:r>
      <w:r>
        <w:rPr>
          <w:rFonts w:hint="eastAsia" w:eastAsia="仿宋_GB2312"/>
          <w:color w:val="000000"/>
          <w:sz w:val="32"/>
          <w:szCs w:val="32"/>
          <w:highlight w:val="none"/>
          <w:lang w:val="en-US" w:eastAsia="zh-CN"/>
        </w:rPr>
        <w:t>详见《海心沙环保热电厂#1、#2厌氧罐外立面防腐采购项目技术需求书》</w:t>
      </w:r>
      <w:r>
        <w:rPr>
          <w:rFonts w:hint="eastAsia" w:eastAsia="仿宋_GB2312"/>
          <w:color w:val="000000"/>
          <w:sz w:val="32"/>
          <w:szCs w:val="32"/>
          <w:highlight w:val="none"/>
        </w:rPr>
        <w:t>。</w:t>
      </w:r>
    </w:p>
    <w:p w14:paraId="7024053A">
      <w:pPr>
        <w:adjustRightInd w:val="0"/>
        <w:snapToGrid w:val="0"/>
        <w:spacing w:before="156" w:line="600" w:lineRule="exact"/>
        <w:ind w:firstLine="640" w:firstLineChars="200"/>
        <w:rPr>
          <w:rFonts w:eastAsia="仿宋_GB2312"/>
          <w:color w:val="000000"/>
          <w:sz w:val="32"/>
          <w:szCs w:val="32"/>
          <w:highlight w:val="none"/>
          <w:u w:val="none"/>
        </w:rPr>
      </w:pPr>
      <w:r>
        <w:rPr>
          <w:rFonts w:eastAsia="仿宋_GB2312"/>
          <w:color w:val="000000"/>
          <w:sz w:val="32"/>
          <w:szCs w:val="32"/>
          <w:highlight w:val="none"/>
        </w:rPr>
        <w:t>3</w:t>
      </w:r>
      <w:r>
        <w:rPr>
          <w:rFonts w:hint="eastAsia" w:eastAsia="仿宋_GB2312"/>
          <w:color w:val="000000"/>
          <w:sz w:val="32"/>
          <w:szCs w:val="32"/>
          <w:highlight w:val="none"/>
        </w:rPr>
        <w:t>、项目地点：</w:t>
      </w:r>
      <w:r>
        <w:rPr>
          <w:rFonts w:hint="eastAsia" w:eastAsia="仿宋_GB2312"/>
          <w:color w:val="000000"/>
          <w:sz w:val="32"/>
          <w:szCs w:val="32"/>
          <w:highlight w:val="none"/>
          <w:u w:val="none"/>
        </w:rPr>
        <w:t>东莞市麻涌镇大步村海心沙岛；</w:t>
      </w:r>
    </w:p>
    <w:p w14:paraId="10CD6D65">
      <w:pPr>
        <w:adjustRightInd w:val="0"/>
        <w:snapToGrid w:val="0"/>
        <w:spacing w:before="156" w:line="600" w:lineRule="exact"/>
        <w:ind w:firstLine="640" w:firstLineChars="200"/>
        <w:outlineLvl w:val="9"/>
        <w:rPr>
          <w:rFonts w:eastAsia="黑体"/>
          <w:color w:val="000000"/>
          <w:sz w:val="32"/>
          <w:szCs w:val="32"/>
          <w:highlight w:val="none"/>
        </w:rPr>
      </w:pPr>
      <w:r>
        <w:rPr>
          <w:rFonts w:hint="eastAsia" w:eastAsia="黑体"/>
          <w:color w:val="000000"/>
          <w:sz w:val="32"/>
          <w:szCs w:val="32"/>
          <w:highlight w:val="none"/>
        </w:rPr>
        <w:t>二、项目发布</w:t>
      </w:r>
    </w:p>
    <w:p w14:paraId="240A7CFC">
      <w:pPr>
        <w:adjustRightInd w:val="0"/>
        <w:snapToGrid w:val="0"/>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本项目采购信息在东莞实业投资控股集团有限公司网站（http://www.dgsy.com.cn/）</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广东东实环境股份</w:t>
      </w:r>
      <w:r>
        <w:rPr>
          <w:rFonts w:hint="eastAsia" w:eastAsia="仿宋_GB2312"/>
          <w:color w:val="000000"/>
          <w:sz w:val="32"/>
          <w:szCs w:val="32"/>
          <w:highlight w:val="none"/>
        </w:rPr>
        <w:t>有限公司网站（http://www.dshuanbao.com.cn/）发布。</w:t>
      </w:r>
    </w:p>
    <w:p w14:paraId="66633E16">
      <w:pPr>
        <w:adjustRightInd w:val="0"/>
        <w:snapToGrid w:val="0"/>
        <w:spacing w:before="156"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三、</w:t>
      </w:r>
      <w:r>
        <w:rPr>
          <w:rFonts w:hint="eastAsia" w:eastAsia="黑体"/>
          <w:color w:val="000000"/>
          <w:sz w:val="32"/>
          <w:szCs w:val="32"/>
          <w:highlight w:val="none"/>
          <w:lang w:eastAsia="zh-CN"/>
        </w:rPr>
        <w:t>响应人</w:t>
      </w:r>
      <w:r>
        <w:rPr>
          <w:rFonts w:hint="eastAsia" w:eastAsia="黑体"/>
          <w:color w:val="000000"/>
          <w:sz w:val="32"/>
          <w:szCs w:val="32"/>
          <w:highlight w:val="none"/>
        </w:rPr>
        <w:t>资格要求</w:t>
      </w:r>
    </w:p>
    <w:p w14:paraId="30B288D7">
      <w:pPr>
        <w:spacing w:before="156"/>
        <w:ind w:firstLine="627" w:firstLineChars="196"/>
        <w:rPr>
          <w:rFonts w:ascii="仿宋" w:hAnsi="仿宋" w:eastAsia="仿宋"/>
          <w:sz w:val="32"/>
          <w:szCs w:val="32"/>
          <w:highlight w:val="none"/>
        </w:rPr>
      </w:pPr>
      <w:r>
        <w:rPr>
          <w:rFonts w:hint="eastAsia" w:ascii="仿宋" w:hAnsi="仿宋" w:eastAsia="仿宋"/>
          <w:sz w:val="32"/>
          <w:szCs w:val="32"/>
          <w:highlight w:val="none"/>
        </w:rPr>
        <w:t>1、</w:t>
      </w:r>
      <w:r>
        <w:rPr>
          <w:rFonts w:hint="eastAsia" w:ascii="仿宋" w:hAnsi="仿宋" w:eastAsia="仿宋"/>
          <w:sz w:val="32"/>
          <w:szCs w:val="32"/>
          <w:highlight w:val="none"/>
          <w:lang w:eastAsia="zh-CN"/>
        </w:rPr>
        <w:t>响应人</w:t>
      </w:r>
      <w:r>
        <w:rPr>
          <w:rFonts w:hint="eastAsia" w:ascii="仿宋" w:hAnsi="仿宋" w:eastAsia="仿宋"/>
          <w:sz w:val="32"/>
          <w:szCs w:val="32"/>
          <w:highlight w:val="none"/>
        </w:rPr>
        <w:t>必须是具有独立承担民事责任能力的企业或事业单位法人或其</w:t>
      </w:r>
      <w:r>
        <w:rPr>
          <w:rFonts w:hint="eastAsia" w:ascii="仿宋" w:hAnsi="仿宋" w:eastAsia="仿宋"/>
          <w:sz w:val="32"/>
          <w:szCs w:val="32"/>
          <w:highlight w:val="none"/>
          <w:lang w:val="en-US" w:eastAsia="zh-CN"/>
        </w:rPr>
        <w:t>他</w:t>
      </w:r>
      <w:r>
        <w:rPr>
          <w:rFonts w:hint="eastAsia" w:ascii="仿宋" w:hAnsi="仿宋" w:eastAsia="仿宋"/>
          <w:sz w:val="32"/>
          <w:szCs w:val="32"/>
          <w:highlight w:val="none"/>
        </w:rPr>
        <w:t>组织</w:t>
      </w:r>
      <w:r>
        <w:rPr>
          <w:rFonts w:hint="eastAsia" w:ascii="仿宋" w:hAnsi="仿宋" w:eastAsia="仿宋"/>
          <w:sz w:val="32"/>
          <w:szCs w:val="32"/>
          <w:highlight w:val="none"/>
          <w:lang w:eastAsia="zh-CN"/>
        </w:rPr>
        <w:t>。【</w:t>
      </w:r>
      <w:r>
        <w:rPr>
          <w:rFonts w:hint="eastAsia" w:ascii="仿宋" w:hAnsi="仿宋" w:eastAsia="仿宋"/>
          <w:sz w:val="32"/>
          <w:szCs w:val="32"/>
          <w:highlight w:val="none"/>
        </w:rPr>
        <w:t>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p>
    <w:p w14:paraId="62A80D03">
      <w:pPr>
        <w:spacing w:before="156"/>
        <w:ind w:firstLine="627" w:firstLineChars="196"/>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响应人须具有防水防腐保温工程专业承包二级或以上资质。【提供合法有效的资质证书复印件（加盖公章）】</w:t>
      </w:r>
    </w:p>
    <w:p w14:paraId="2309E862">
      <w:pPr>
        <w:spacing w:before="156"/>
        <w:ind w:firstLine="627" w:firstLineChars="196"/>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3、响应人须具有安全生产许可证。【提供合法有效的证书复印件（加盖公章）】</w:t>
      </w:r>
    </w:p>
    <w:p w14:paraId="01752C7D">
      <w:pPr>
        <w:spacing w:before="156"/>
        <w:ind w:firstLine="627" w:firstLineChars="196"/>
        <w:rPr>
          <w:rFonts w:hint="eastAsia" w:ascii="仿宋" w:hAnsi="仿宋" w:eastAsia="仿宋"/>
          <w:sz w:val="32"/>
          <w:szCs w:val="32"/>
          <w:highlight w:val="none"/>
        </w:rPr>
      </w:pPr>
      <w:r>
        <w:rPr>
          <w:rFonts w:hint="eastAsia" w:ascii="仿宋" w:hAnsi="仿宋" w:eastAsia="仿宋"/>
          <w:sz w:val="32"/>
          <w:szCs w:val="32"/>
          <w:highlight w:val="none"/>
          <w:lang w:val="en-US" w:eastAsia="zh-CN"/>
        </w:rPr>
        <w:t>4、</w:t>
      </w:r>
      <w:r>
        <w:rPr>
          <w:rFonts w:hint="eastAsia" w:ascii="仿宋" w:hAnsi="仿宋" w:eastAsia="仿宋"/>
          <w:sz w:val="32"/>
          <w:szCs w:val="32"/>
          <w:highlight w:val="none"/>
        </w:rPr>
        <w:t>业绩要求：响应人自20</w:t>
      </w:r>
      <w:r>
        <w:rPr>
          <w:rFonts w:hint="eastAsia" w:ascii="仿宋" w:hAnsi="仿宋" w:eastAsia="仿宋"/>
          <w:sz w:val="32"/>
          <w:szCs w:val="32"/>
          <w:highlight w:val="none"/>
          <w:lang w:val="en-US" w:eastAsia="zh-CN"/>
        </w:rPr>
        <w:t>22</w:t>
      </w:r>
      <w:r>
        <w:rPr>
          <w:rFonts w:hint="eastAsia" w:ascii="仿宋" w:hAnsi="仿宋" w:eastAsia="仿宋"/>
          <w:sz w:val="32"/>
          <w:szCs w:val="32"/>
          <w:highlight w:val="none"/>
        </w:rPr>
        <w:t>年1月1日起至今具有钢结构</w:t>
      </w:r>
      <w:r>
        <w:rPr>
          <w:rFonts w:hint="eastAsia" w:ascii="仿宋" w:hAnsi="仿宋" w:eastAsia="仿宋"/>
          <w:sz w:val="32"/>
          <w:szCs w:val="32"/>
          <w:highlight w:val="none"/>
          <w:lang w:val="en-US" w:eastAsia="zh-CN"/>
        </w:rPr>
        <w:t>防腐施工项目</w:t>
      </w:r>
      <w:r>
        <w:rPr>
          <w:rFonts w:hint="eastAsia" w:ascii="仿宋" w:hAnsi="仿宋" w:eastAsia="仿宋"/>
          <w:sz w:val="32"/>
          <w:szCs w:val="32"/>
          <w:highlight w:val="none"/>
        </w:rPr>
        <w:t>的业绩，不少于</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个。【按合同签订时间为准，须提供</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①</w:t>
      </w:r>
      <w:r>
        <w:rPr>
          <w:rFonts w:hint="eastAsia" w:ascii="仿宋" w:hAnsi="仿宋" w:eastAsia="仿宋"/>
          <w:sz w:val="32"/>
          <w:szCs w:val="32"/>
          <w:highlight w:val="none"/>
        </w:rPr>
        <w:t>合同关键页复印件（包含但不限于合同首页、合同金额页、合同签字页等</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须体现业绩服务内容</w:t>
      </w:r>
      <w:r>
        <w:rPr>
          <w:rFonts w:hint="eastAsia" w:ascii="仿宋" w:hAnsi="仿宋" w:eastAsia="仿宋"/>
          <w:sz w:val="32"/>
          <w:szCs w:val="32"/>
          <w:highlight w:val="none"/>
        </w:rPr>
        <w:t>）、</w:t>
      </w:r>
      <w:bookmarkStart w:id="1" w:name="_Hlk90414374"/>
      <w:r>
        <w:rPr>
          <w:rFonts w:hint="eastAsia" w:ascii="仿宋" w:hAnsi="仿宋" w:eastAsia="仿宋"/>
          <w:sz w:val="32"/>
          <w:szCs w:val="32"/>
          <w:highlight w:val="none"/>
          <w:lang w:val="en-US" w:eastAsia="zh-CN"/>
        </w:rPr>
        <w:t>②</w:t>
      </w:r>
      <w:r>
        <w:rPr>
          <w:rFonts w:hint="eastAsia" w:ascii="仿宋" w:hAnsi="仿宋" w:eastAsia="仿宋"/>
          <w:sz w:val="32"/>
          <w:szCs w:val="32"/>
          <w:highlight w:val="none"/>
        </w:rPr>
        <w:t>对应</w:t>
      </w:r>
      <w:r>
        <w:rPr>
          <w:rFonts w:hint="eastAsia" w:ascii="仿宋" w:hAnsi="仿宋" w:eastAsia="仿宋"/>
          <w:sz w:val="32"/>
          <w:szCs w:val="32"/>
          <w:highlight w:val="none"/>
          <w:lang w:val="en-US" w:eastAsia="zh-CN"/>
        </w:rPr>
        <w:t>每个</w:t>
      </w:r>
      <w:r>
        <w:rPr>
          <w:rFonts w:hint="eastAsia" w:ascii="仿宋" w:hAnsi="仿宋" w:eastAsia="仿宋"/>
          <w:sz w:val="32"/>
          <w:szCs w:val="32"/>
          <w:highlight w:val="none"/>
        </w:rPr>
        <w:t>业绩项目合同期内任意一期已开具的发票</w:t>
      </w:r>
      <w:r>
        <w:rPr>
          <w:rFonts w:hint="eastAsia" w:ascii="仿宋" w:hAnsi="仿宋" w:eastAsia="仿宋"/>
          <w:sz w:val="32"/>
          <w:szCs w:val="32"/>
          <w:highlight w:val="none"/>
          <w:lang w:val="en-US" w:eastAsia="zh-CN"/>
        </w:rPr>
        <w:t>证明材料</w:t>
      </w:r>
      <w:r>
        <w:rPr>
          <w:rFonts w:hint="eastAsia" w:ascii="仿宋" w:hAnsi="仿宋" w:eastAsia="仿宋"/>
          <w:sz w:val="32"/>
          <w:szCs w:val="32"/>
          <w:highlight w:val="none"/>
        </w:rPr>
        <w:t>加盖公章</w:t>
      </w:r>
      <w:bookmarkEnd w:id="1"/>
      <w:r>
        <w:rPr>
          <w:rFonts w:hint="eastAsia" w:ascii="仿宋" w:hAnsi="仿宋" w:eastAsia="仿宋"/>
          <w:sz w:val="32"/>
          <w:szCs w:val="32"/>
          <w:highlight w:val="none"/>
        </w:rPr>
        <w:t>】</w:t>
      </w:r>
    </w:p>
    <w:p w14:paraId="6959DC7F">
      <w:pPr>
        <w:pStyle w:val="50"/>
        <w:numPr>
          <w:ilvl w:val="-1"/>
          <w:numId w:val="0"/>
        </w:numPr>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5、响应人未被列入“信用中国”网站(www、creditchina、gov、cn)“记录失信被执行人或重大税收违法案件当事人名单或政府采购严重违法失信行为”记录名单。（以采购人于报价截止日当天在“信用中国”网站（www、creditchina、gov、cn）查询结果为准，如相关失信记录已失效，响应人需提供相关证明资料。</w:t>
      </w:r>
    </w:p>
    <w:p w14:paraId="71D83A8F">
      <w:pPr>
        <w:pStyle w:val="50"/>
        <w:numPr>
          <w:ilvl w:val="-1"/>
          <w:numId w:val="0"/>
        </w:numPr>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6、响应人须提供报价截止日前6个月内任意1个月依法缴纳税收及无欠税的证明材料。如依法免税的，须提供相应证明材料。（证明材料须加盖公章）。</w:t>
      </w:r>
    </w:p>
    <w:p w14:paraId="708E05BD">
      <w:pPr>
        <w:pStyle w:val="50"/>
        <w:numPr>
          <w:ilvl w:val="-1"/>
          <w:numId w:val="0"/>
        </w:numPr>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7、响应人未被列入东实环境及下属企业相关领域黑名单。</w:t>
      </w:r>
    </w:p>
    <w:p w14:paraId="380F7F2C">
      <w:pPr>
        <w:adjustRightInd w:val="0"/>
        <w:snapToGrid w:val="0"/>
        <w:spacing w:before="156"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四、采购内容及要求</w:t>
      </w:r>
    </w:p>
    <w:p w14:paraId="146AD311">
      <w:pPr>
        <w:spacing w:before="156"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1、具体要求详见本</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文件附件《</w:t>
      </w:r>
      <w:r>
        <w:rPr>
          <w:rFonts w:hint="eastAsia" w:eastAsia="仿宋_GB2312"/>
          <w:color w:val="auto"/>
          <w:sz w:val="32"/>
          <w:szCs w:val="32"/>
          <w:highlight w:val="none"/>
          <w:lang w:eastAsia="zh-CN"/>
        </w:rPr>
        <w:t>海心沙环保热电厂#1、#2厌氧罐外立面防腐采购项目</w:t>
      </w:r>
      <w:r>
        <w:rPr>
          <w:rFonts w:hint="eastAsia" w:eastAsia="仿宋_GB2312"/>
          <w:color w:val="auto"/>
          <w:sz w:val="32"/>
          <w:szCs w:val="32"/>
          <w:highlight w:val="none"/>
        </w:rPr>
        <w:t>技术需求书》。</w:t>
      </w:r>
      <w:r>
        <w:rPr>
          <w:rFonts w:hint="eastAsia" w:eastAsia="仿宋_GB2312"/>
          <w:color w:val="auto"/>
          <w:sz w:val="32"/>
          <w:szCs w:val="32"/>
          <w:highlight w:val="none"/>
          <w:lang w:val="en-US" w:eastAsia="zh-CN"/>
        </w:rPr>
        <w:t>响应人必须完全响应本项目技术需求书要求，不得偏离。响应人应</w:t>
      </w:r>
      <w:r>
        <w:rPr>
          <w:rFonts w:hint="eastAsia" w:eastAsia="仿宋_GB2312"/>
          <w:color w:val="auto"/>
          <w:sz w:val="32"/>
          <w:szCs w:val="32"/>
          <w:highlight w:val="none"/>
        </w:rPr>
        <w:t>仔细阅读本</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文件及相关附件，因未详细了解本项目造成报价项目遗漏，由</w:t>
      </w:r>
      <w:r>
        <w:rPr>
          <w:rFonts w:hint="eastAsia" w:eastAsia="仿宋_GB2312"/>
          <w:color w:val="auto"/>
          <w:sz w:val="32"/>
          <w:szCs w:val="32"/>
          <w:highlight w:val="none"/>
          <w:lang w:eastAsia="zh-CN"/>
        </w:rPr>
        <w:t>响应人</w:t>
      </w:r>
      <w:r>
        <w:rPr>
          <w:rFonts w:hint="eastAsia" w:eastAsia="仿宋_GB2312"/>
          <w:color w:val="auto"/>
          <w:sz w:val="32"/>
          <w:szCs w:val="32"/>
          <w:highlight w:val="none"/>
        </w:rPr>
        <w:t>自行负责</w:t>
      </w:r>
      <w:r>
        <w:rPr>
          <w:rFonts w:hint="eastAsia" w:eastAsia="仿宋_GB2312"/>
          <w:color w:val="auto"/>
          <w:sz w:val="32"/>
          <w:szCs w:val="32"/>
          <w:highlight w:val="none"/>
          <w:lang w:eastAsia="zh-CN"/>
        </w:rPr>
        <w:t>。</w:t>
      </w:r>
    </w:p>
    <w:p w14:paraId="51F1433E">
      <w:pPr>
        <w:spacing w:before="156"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响应人投入本项目的施工人员必须持有高空作业证</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并在人员上岗前24小时内向采购人提供有效证件原件核验。</w:t>
      </w:r>
    </w:p>
    <w:p w14:paraId="5F187083">
      <w:pPr>
        <w:spacing w:before="156"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、响应人应为委派的工作人员购买保额不低于</w:t>
      </w:r>
      <w:r>
        <w:rPr>
          <w:rFonts w:hint="eastAsia" w:eastAsia="仿宋_GB2312"/>
          <w:color w:val="auto"/>
          <w:sz w:val="32"/>
          <w:szCs w:val="32"/>
          <w:highlight w:val="none"/>
          <w:lang w:val="en-US" w:eastAsia="zh-CN"/>
        </w:rPr>
        <w:t>12</w:t>
      </w:r>
      <w:r>
        <w:rPr>
          <w:rFonts w:hint="eastAsia" w:eastAsia="仿宋_GB2312"/>
          <w:color w:val="auto"/>
          <w:sz w:val="32"/>
          <w:szCs w:val="32"/>
          <w:highlight w:val="none"/>
        </w:rPr>
        <w:t>0万/人的人身意外伤害保险，且保险期限不短于合同履行期。</w:t>
      </w:r>
    </w:p>
    <w:p w14:paraId="3FDE3FDC">
      <w:pPr>
        <w:spacing w:before="156" w:line="600" w:lineRule="exact"/>
        <w:ind w:firstLine="643" w:firstLineChars="200"/>
        <w:rPr>
          <w:rFonts w:hint="eastAsia" w:eastAsia="仿宋_GB2312"/>
          <w:b/>
          <w:bCs/>
          <w:color w:val="auto"/>
          <w:sz w:val="32"/>
          <w:szCs w:val="32"/>
          <w:highlight w:val="none"/>
          <w:lang w:val="en-US" w:eastAsia="zh-CN"/>
        </w:rPr>
      </w:pPr>
      <w:r>
        <w:rPr>
          <w:rFonts w:hint="eastAsia" w:eastAsia="仿宋_GB2312"/>
          <w:b/>
          <w:bCs/>
          <w:color w:val="auto"/>
          <w:sz w:val="32"/>
          <w:szCs w:val="32"/>
          <w:highlight w:val="none"/>
          <w:lang w:val="en-US" w:eastAsia="zh-CN"/>
        </w:rPr>
        <w:t>4、响应人应到现场踏勘，核实现场施工的全部条件及要求。因响应人未踏勘现场造成对项目的理解或报价偏差，责任由响应人承担。</w:t>
      </w:r>
    </w:p>
    <w:p w14:paraId="52B72DE8">
      <w:pPr>
        <w:spacing w:before="156" w:line="600" w:lineRule="exact"/>
        <w:ind w:firstLine="640" w:firstLineChars="200"/>
        <w:rPr>
          <w:rFonts w:eastAsia="仿宋_GB2312"/>
          <w:color w:val="000000"/>
          <w:sz w:val="32"/>
          <w:szCs w:val="32"/>
          <w:highlight w:val="none"/>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对</w:t>
      </w:r>
      <w:r>
        <w:rPr>
          <w:rFonts w:hint="eastAsia" w:eastAsia="仿宋_GB2312"/>
          <w:color w:val="000000"/>
          <w:sz w:val="32"/>
          <w:szCs w:val="32"/>
          <w:highlight w:val="none"/>
        </w:rPr>
        <w:t>项目要求及现场有疑问，可咨询项目负责人</w:t>
      </w:r>
      <w:r>
        <w:rPr>
          <w:rFonts w:hint="eastAsia" w:eastAsia="仿宋_GB2312"/>
          <w:color w:val="000000"/>
          <w:sz w:val="32"/>
          <w:szCs w:val="32"/>
          <w:highlight w:val="none"/>
          <w:lang w:val="en-US" w:eastAsia="zh-CN"/>
        </w:rPr>
        <w:t>刘工13421901444</w:t>
      </w:r>
      <w:r>
        <w:rPr>
          <w:rFonts w:hint="eastAsia" w:eastAsia="仿宋_GB2312"/>
          <w:color w:val="000000"/>
          <w:sz w:val="32"/>
          <w:szCs w:val="32"/>
          <w:highlight w:val="none"/>
        </w:rPr>
        <w:t>。</w:t>
      </w:r>
    </w:p>
    <w:p w14:paraId="4EBF4D54">
      <w:pPr>
        <w:adjustRightInd w:val="0"/>
        <w:snapToGrid w:val="0"/>
        <w:spacing w:before="156"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五、</w:t>
      </w:r>
      <w:r>
        <w:rPr>
          <w:rFonts w:hint="eastAsia" w:eastAsia="黑体"/>
          <w:color w:val="000000"/>
          <w:sz w:val="32"/>
          <w:szCs w:val="32"/>
          <w:highlight w:val="none"/>
          <w:lang w:val="en-US" w:eastAsia="zh-CN"/>
        </w:rPr>
        <w:t>服务</w:t>
      </w:r>
      <w:r>
        <w:rPr>
          <w:rFonts w:hint="eastAsia" w:eastAsia="黑体"/>
          <w:color w:val="000000"/>
          <w:sz w:val="32"/>
          <w:szCs w:val="32"/>
          <w:highlight w:val="none"/>
        </w:rPr>
        <w:t>时间</w:t>
      </w:r>
    </w:p>
    <w:p w14:paraId="40014BF0">
      <w:pPr>
        <w:tabs>
          <w:tab w:val="left" w:pos="6480"/>
        </w:tabs>
        <w:adjustRightInd w:val="0"/>
        <w:snapToGrid w:val="0"/>
        <w:spacing w:before="156" w:line="600" w:lineRule="exact"/>
        <w:ind w:firstLine="640" w:firstLineChars="200"/>
        <w:outlineLvl w:val="1"/>
        <w:rPr>
          <w:rFonts w:hint="eastAsia" w:eastAsia="黑体"/>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工期：自结果确认函发出之日起，成交人需在12天内完成项目施工并通过采购人验收。</w:t>
      </w:r>
    </w:p>
    <w:p w14:paraId="34A4AF89">
      <w:pPr>
        <w:adjustRightInd w:val="0"/>
        <w:snapToGrid w:val="0"/>
        <w:spacing w:before="156"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六、报价保证金</w:t>
      </w:r>
    </w:p>
    <w:p w14:paraId="7D558480">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lang w:val="en-US" w:eastAsia="zh-CN"/>
        </w:rPr>
        <w:t>1、</w:t>
      </w:r>
      <w:r>
        <w:rPr>
          <w:rFonts w:hint="eastAsia" w:eastAsia="仿宋_GB2312"/>
          <w:color w:val="000000"/>
          <w:sz w:val="32"/>
          <w:szCs w:val="32"/>
        </w:rPr>
        <w:t>开标结束后，成交人需缴纳人民币</w:t>
      </w:r>
      <w:r>
        <w:rPr>
          <w:rFonts w:hint="eastAsia" w:eastAsia="仿宋_GB2312"/>
          <w:color w:val="000000"/>
          <w:sz w:val="32"/>
          <w:szCs w:val="32"/>
          <w:lang w:val="en-US" w:eastAsia="zh-CN"/>
        </w:rPr>
        <w:t>1,527.00</w:t>
      </w:r>
      <w:r>
        <w:rPr>
          <w:rFonts w:hint="eastAsia" w:eastAsia="仿宋_GB2312"/>
          <w:color w:val="000000"/>
          <w:sz w:val="32"/>
          <w:szCs w:val="32"/>
        </w:rPr>
        <w:t>元作为报价保证金到采购人银行账户，报价保证金不退还，在双方签订合同后转为履约保证金，作为采购人垫付成交人服务过程中产生的应由成交人支付的费用或违约罚款的来源。</w:t>
      </w:r>
    </w:p>
    <w:p w14:paraId="66B80854">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、报价保证金收款账户信息：</w:t>
      </w:r>
    </w:p>
    <w:p w14:paraId="1143907C">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rPr>
        <w:t>账户名称：东莞市新东元环保投资有限公司</w:t>
      </w:r>
    </w:p>
    <w:p w14:paraId="00D69B50">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rPr>
        <w:t xml:space="preserve">开户银行：中国银行股份有限公司东莞分行 </w:t>
      </w:r>
    </w:p>
    <w:p w14:paraId="665139D2">
      <w:pPr>
        <w:spacing w:before="156" w:line="600" w:lineRule="exact"/>
        <w:ind w:firstLine="640" w:firstLineChars="200"/>
        <w:rPr>
          <w:rFonts w:eastAsia="仿宋_GB2312"/>
          <w:color w:val="000000"/>
          <w:sz w:val="32"/>
          <w:szCs w:val="32"/>
        </w:rPr>
      </w:pPr>
      <w:r>
        <w:rPr>
          <w:rFonts w:hint="eastAsia" w:eastAsia="仿宋_GB2312"/>
          <w:color w:val="000000"/>
          <w:sz w:val="32"/>
          <w:szCs w:val="32"/>
        </w:rPr>
        <w:t>银行账号：669170104633</w:t>
      </w:r>
    </w:p>
    <w:p w14:paraId="69FCBE88">
      <w:pPr>
        <w:adjustRightInd/>
        <w:snapToGrid/>
        <w:spacing w:before="156" w:line="600" w:lineRule="exact"/>
        <w:ind w:firstLine="640" w:firstLineChars="200"/>
        <w:outlineLvl w:val="9"/>
        <w:rPr>
          <w:rFonts w:eastAsia="黑体"/>
          <w:color w:val="000000"/>
          <w:sz w:val="32"/>
          <w:szCs w:val="32"/>
          <w:highlight w:val="none"/>
        </w:rPr>
      </w:pPr>
      <w:r>
        <w:rPr>
          <w:rFonts w:hint="eastAsia" w:eastAsia="黑体"/>
          <w:color w:val="000000"/>
          <w:sz w:val="32"/>
          <w:szCs w:val="32"/>
          <w:highlight w:val="none"/>
        </w:rPr>
        <w:t>七、支付方式</w:t>
      </w:r>
    </w:p>
    <w:p w14:paraId="5CC18B0A">
      <w:pPr>
        <w:spacing w:before="156" w:line="600" w:lineRule="exact"/>
        <w:ind w:firstLine="640" w:firstLineChars="200"/>
        <w:rPr>
          <w:rFonts w:hint="eastAsia" w:eastAsia="仿宋_GB2312"/>
          <w:color w:val="000000"/>
          <w:sz w:val="32"/>
          <w:szCs w:val="32"/>
        </w:rPr>
      </w:pPr>
      <w:bookmarkStart w:id="2" w:name="_Hlk90414088"/>
      <w:r>
        <w:rPr>
          <w:rFonts w:hint="eastAsia" w:eastAsia="仿宋_GB2312"/>
          <w:color w:val="000000"/>
          <w:sz w:val="32"/>
          <w:szCs w:val="32"/>
          <w:lang w:val="en-US" w:eastAsia="zh-CN"/>
        </w:rPr>
        <w:t>1、</w:t>
      </w:r>
      <w:r>
        <w:rPr>
          <w:rFonts w:hint="eastAsia" w:eastAsia="仿宋_GB2312"/>
          <w:color w:val="000000"/>
          <w:sz w:val="32"/>
          <w:szCs w:val="32"/>
        </w:rPr>
        <w:t>成交人完成工程施工</w:t>
      </w:r>
      <w:r>
        <w:rPr>
          <w:rFonts w:hint="eastAsia" w:eastAsia="仿宋_GB2312"/>
          <w:color w:val="000000"/>
          <w:sz w:val="32"/>
          <w:szCs w:val="32"/>
          <w:lang w:eastAsia="zh-CN"/>
        </w:rPr>
        <w:t>、</w:t>
      </w:r>
      <w:r>
        <w:rPr>
          <w:rFonts w:hint="eastAsia" w:eastAsia="仿宋_GB2312"/>
          <w:color w:val="000000"/>
          <w:sz w:val="32"/>
          <w:szCs w:val="32"/>
        </w:rPr>
        <w:t>经采购人验收合格</w:t>
      </w:r>
      <w:r>
        <w:rPr>
          <w:rFonts w:hint="eastAsia" w:eastAsia="仿宋_GB2312"/>
          <w:color w:val="000000"/>
          <w:sz w:val="32"/>
          <w:szCs w:val="32"/>
          <w:lang w:val="en-US" w:eastAsia="zh-CN"/>
        </w:rPr>
        <w:t>并办理完结算</w:t>
      </w:r>
      <w:r>
        <w:rPr>
          <w:rFonts w:hint="eastAsia" w:eastAsia="仿宋_GB2312"/>
          <w:color w:val="000000"/>
          <w:sz w:val="32"/>
          <w:szCs w:val="32"/>
        </w:rPr>
        <w:t>后，成交人</w:t>
      </w:r>
      <w:r>
        <w:rPr>
          <w:rFonts w:hint="eastAsia" w:eastAsia="仿宋_GB2312"/>
          <w:color w:val="000000"/>
          <w:sz w:val="32"/>
          <w:szCs w:val="32"/>
          <w:lang w:val="en-US" w:eastAsia="zh-CN"/>
        </w:rPr>
        <w:t>向采购人</w:t>
      </w:r>
      <w:r>
        <w:rPr>
          <w:rFonts w:hint="eastAsia" w:eastAsia="仿宋_GB2312"/>
          <w:color w:val="000000"/>
          <w:sz w:val="32"/>
          <w:szCs w:val="32"/>
        </w:rPr>
        <w:t>提交</w:t>
      </w:r>
      <w:r>
        <w:rPr>
          <w:rFonts w:hint="eastAsia" w:eastAsia="仿宋_GB2312"/>
          <w:color w:val="000000"/>
          <w:sz w:val="32"/>
          <w:szCs w:val="32"/>
          <w:lang w:val="en-US" w:eastAsia="zh-CN"/>
        </w:rPr>
        <w:t>至</w:t>
      </w:r>
      <w:r>
        <w:rPr>
          <w:rFonts w:hint="eastAsia" w:eastAsia="仿宋_GB2312"/>
          <w:color w:val="000000"/>
          <w:sz w:val="32"/>
          <w:szCs w:val="32"/>
        </w:rPr>
        <w:t>合同</w:t>
      </w:r>
      <w:r>
        <w:rPr>
          <w:rFonts w:hint="eastAsia" w:eastAsia="仿宋_GB2312"/>
          <w:color w:val="000000"/>
          <w:sz w:val="32"/>
          <w:szCs w:val="32"/>
          <w:lang w:val="en-US" w:eastAsia="zh-CN"/>
        </w:rPr>
        <w:t>结算金额</w:t>
      </w:r>
      <w:r>
        <w:rPr>
          <w:rFonts w:hint="eastAsia" w:eastAsia="仿宋_GB2312"/>
          <w:color w:val="000000"/>
          <w:sz w:val="32"/>
          <w:szCs w:val="32"/>
        </w:rPr>
        <w:t>100%的增值税专用发票及请款资料，采购人在收到上述有效资料的15个工作日内</w:t>
      </w:r>
      <w:r>
        <w:rPr>
          <w:rFonts w:hint="eastAsia" w:eastAsia="仿宋_GB2312"/>
          <w:color w:val="000000"/>
          <w:sz w:val="32"/>
          <w:szCs w:val="32"/>
          <w:lang w:val="en-US" w:eastAsia="zh-CN"/>
        </w:rPr>
        <w:t>向成交人</w:t>
      </w:r>
      <w:r>
        <w:rPr>
          <w:rFonts w:hint="eastAsia" w:eastAsia="仿宋_GB2312"/>
          <w:color w:val="000000"/>
          <w:sz w:val="32"/>
          <w:szCs w:val="32"/>
        </w:rPr>
        <w:t>支付</w:t>
      </w:r>
      <w:r>
        <w:rPr>
          <w:rFonts w:hint="eastAsia" w:eastAsia="仿宋_GB2312"/>
          <w:color w:val="000000"/>
          <w:sz w:val="32"/>
          <w:szCs w:val="32"/>
          <w:lang w:val="en-US" w:eastAsia="zh-CN"/>
        </w:rPr>
        <w:t>至</w:t>
      </w:r>
      <w:r>
        <w:rPr>
          <w:rFonts w:hint="eastAsia" w:eastAsia="仿宋_GB2312"/>
          <w:color w:val="000000"/>
          <w:sz w:val="32"/>
          <w:szCs w:val="32"/>
        </w:rPr>
        <w:t>合同</w:t>
      </w:r>
      <w:r>
        <w:rPr>
          <w:rFonts w:hint="eastAsia" w:eastAsia="仿宋_GB2312"/>
          <w:color w:val="000000"/>
          <w:sz w:val="32"/>
          <w:szCs w:val="32"/>
          <w:lang w:val="en-US" w:eastAsia="zh-CN"/>
        </w:rPr>
        <w:t>结算金额</w:t>
      </w:r>
      <w:r>
        <w:rPr>
          <w:rFonts w:hint="eastAsia" w:eastAsia="仿宋_GB2312"/>
          <w:color w:val="000000"/>
          <w:sz w:val="32"/>
          <w:szCs w:val="32"/>
        </w:rPr>
        <w:t>的97%；</w:t>
      </w:r>
    </w:p>
    <w:p w14:paraId="25D274FF">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lang w:val="en-US" w:eastAsia="zh-CN"/>
        </w:rPr>
        <w:t>2</w:t>
      </w:r>
      <w:r>
        <w:rPr>
          <w:rFonts w:hint="eastAsia" w:eastAsia="仿宋_GB2312"/>
          <w:color w:val="000000"/>
          <w:sz w:val="32"/>
          <w:szCs w:val="32"/>
        </w:rPr>
        <w:t>、剩余合同</w:t>
      </w:r>
      <w:r>
        <w:rPr>
          <w:rFonts w:hint="eastAsia" w:eastAsia="仿宋_GB2312"/>
          <w:color w:val="000000"/>
          <w:sz w:val="32"/>
          <w:szCs w:val="32"/>
          <w:lang w:val="en-US" w:eastAsia="zh-CN"/>
        </w:rPr>
        <w:t>结算</w:t>
      </w:r>
      <w:r>
        <w:rPr>
          <w:rFonts w:hint="eastAsia" w:eastAsia="仿宋_GB2312"/>
          <w:color w:val="000000"/>
          <w:sz w:val="32"/>
          <w:szCs w:val="32"/>
        </w:rPr>
        <w:t>金额的3%作为质保金，在本项目验收合格满</w:t>
      </w:r>
      <w:r>
        <w:rPr>
          <w:rFonts w:hint="eastAsia" w:eastAsia="仿宋_GB2312"/>
          <w:color w:val="000000"/>
          <w:sz w:val="32"/>
          <w:szCs w:val="32"/>
          <w:lang w:val="en-US" w:eastAsia="zh-CN"/>
        </w:rPr>
        <w:t>一</w:t>
      </w:r>
      <w:r>
        <w:rPr>
          <w:rFonts w:hint="eastAsia" w:eastAsia="仿宋_GB2312"/>
          <w:color w:val="000000"/>
          <w:sz w:val="32"/>
          <w:szCs w:val="32"/>
        </w:rPr>
        <w:t>年后且无任何质保问题后，采购人在收到成交人有效请款资料后15个工作日内无息支付。</w:t>
      </w:r>
    </w:p>
    <w:p w14:paraId="5F982679">
      <w:pPr>
        <w:spacing w:before="156" w:line="600" w:lineRule="exact"/>
        <w:ind w:firstLine="640" w:firstLineChars="200"/>
        <w:rPr>
          <w:rFonts w:eastAsia="仿宋"/>
          <w:sz w:val="32"/>
          <w:szCs w:val="32"/>
        </w:rPr>
      </w:pPr>
      <w:r>
        <w:rPr>
          <w:rFonts w:hint="eastAsia" w:eastAsia="仿宋_GB2312"/>
          <w:color w:val="000000"/>
          <w:sz w:val="32"/>
          <w:szCs w:val="32"/>
        </w:rPr>
        <w:t>成交人在缴存的履约保证金作为采购人垫付成交人服务过程中产生应由成交人支付的费用或违约罚款的来源。履约保证金返还申请时间为项目竣工验收合格之日后，成交人没有任何违约的情况下由成交人提交退款申请，收到成交人申请后30个日历日内，采购人一次性无息退回</w:t>
      </w:r>
      <w:r>
        <w:rPr>
          <w:rFonts w:hint="eastAsia" w:eastAsia="仿宋"/>
          <w:sz w:val="32"/>
          <w:szCs w:val="32"/>
        </w:rPr>
        <w:t>。</w:t>
      </w:r>
    </w:p>
    <w:bookmarkEnd w:id="2"/>
    <w:p w14:paraId="401A5A84">
      <w:pPr>
        <w:spacing w:before="156" w:line="600" w:lineRule="exact"/>
        <w:ind w:firstLine="640" w:firstLineChars="200"/>
        <w:rPr>
          <w:rFonts w:eastAsia="黑体"/>
          <w:color w:val="000000"/>
          <w:sz w:val="32"/>
          <w:szCs w:val="32"/>
          <w:highlight w:val="none"/>
        </w:rPr>
      </w:pPr>
      <w:r>
        <w:rPr>
          <w:rFonts w:hint="eastAsia" w:eastAsia="黑体"/>
          <w:color w:val="000000"/>
          <w:sz w:val="32"/>
          <w:szCs w:val="32"/>
          <w:highlight w:val="none"/>
        </w:rPr>
        <w:t>七、报价</w:t>
      </w:r>
    </w:p>
    <w:p w14:paraId="08C69FA7">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采购限价：</w:t>
      </w:r>
      <w:r>
        <w:rPr>
          <w:rFonts w:hint="eastAsia" w:eastAsia="仿宋_GB2312"/>
          <w:color w:val="000000"/>
          <w:sz w:val="32"/>
          <w:szCs w:val="32"/>
          <w:highlight w:val="none"/>
          <w:u w:val="single"/>
        </w:rPr>
        <w:t>¥</w:t>
      </w:r>
      <w:r>
        <w:rPr>
          <w:rFonts w:hint="eastAsia" w:eastAsia="仿宋_GB2312"/>
          <w:color w:val="000000"/>
          <w:sz w:val="32"/>
          <w:szCs w:val="32"/>
          <w:highlight w:val="none"/>
          <w:u w:val="single"/>
          <w:lang w:val="en-US" w:eastAsia="zh-CN"/>
        </w:rPr>
        <w:t>76,375.04</w:t>
      </w:r>
      <w:r>
        <w:rPr>
          <w:rFonts w:hint="eastAsia" w:eastAsia="仿宋_GB2312"/>
          <w:color w:val="000000"/>
          <w:sz w:val="32"/>
          <w:szCs w:val="32"/>
          <w:highlight w:val="none"/>
          <w:u w:val="single"/>
        </w:rPr>
        <w:t>元（含税）</w:t>
      </w:r>
      <w:r>
        <w:rPr>
          <w:rFonts w:hint="eastAsia" w:eastAsia="仿宋_GB2312"/>
          <w:color w:val="000000"/>
          <w:sz w:val="32"/>
          <w:szCs w:val="32"/>
          <w:highlight w:val="none"/>
        </w:rPr>
        <w:t>。</w:t>
      </w:r>
    </w:p>
    <w:p w14:paraId="6F18147B">
      <w:pPr>
        <w:adjustRightInd w:val="0"/>
        <w:snapToGrid w:val="0"/>
        <w:spacing w:before="156" w:line="600" w:lineRule="exact"/>
        <w:ind w:firstLine="640" w:firstLineChars="200"/>
        <w:outlineLvl w:val="1"/>
        <w:rPr>
          <w:rFonts w:hint="eastAsia" w:eastAsia="仿宋_GB2312"/>
          <w:color w:val="000000"/>
          <w:sz w:val="32"/>
          <w:szCs w:val="32"/>
          <w:highlight w:val="none"/>
        </w:rPr>
      </w:pPr>
      <w:r>
        <w:rPr>
          <w:rFonts w:hint="eastAsia" w:eastAsia="仿宋_GB2312"/>
          <w:color w:val="000000"/>
          <w:sz w:val="32"/>
          <w:szCs w:val="32"/>
          <w:highlight w:val="none"/>
        </w:rPr>
        <w:t>本项目发包方式为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3E7FB0F0">
      <w:pPr>
        <w:adjustRightInd w:val="0"/>
        <w:snapToGrid w:val="0"/>
        <w:spacing w:before="156"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八、定标</w:t>
      </w:r>
    </w:p>
    <w:p w14:paraId="2EEE84FF">
      <w:pPr>
        <w:spacing w:before="156" w:line="600" w:lineRule="exact"/>
        <w:ind w:firstLine="640" w:firstLineChars="200"/>
        <w:rPr>
          <w:rFonts w:hint="default" w:eastAsia="仿宋_GB2312"/>
          <w:color w:val="000000"/>
          <w:sz w:val="32"/>
          <w:szCs w:val="32"/>
          <w:highlight w:val="none"/>
          <w:lang w:val="en-US" w:eastAsia="zh-CN"/>
        </w:rPr>
      </w:pPr>
      <w:r>
        <w:rPr>
          <w:rFonts w:hint="eastAsia" w:eastAsia="仿宋_GB2312"/>
          <w:color w:val="000000"/>
          <w:sz w:val="32"/>
          <w:szCs w:val="32"/>
          <w:highlight w:val="none"/>
        </w:rPr>
        <w:t>本次项目采用询价方式进行采购，询价小组对各供应商响应文件进行审核，并根据质量和服务均能满足采购文件实质性响应要求且</w:t>
      </w:r>
      <w:bookmarkStart w:id="3" w:name="_Hlk90414243"/>
      <w:r>
        <w:rPr>
          <w:rFonts w:hint="eastAsia" w:eastAsia="仿宋_GB2312"/>
          <w:color w:val="000000"/>
          <w:sz w:val="32"/>
          <w:szCs w:val="32"/>
          <w:highlight w:val="none"/>
        </w:rPr>
        <w:t>含税</w:t>
      </w:r>
      <w:bookmarkEnd w:id="3"/>
      <w:r>
        <w:rPr>
          <w:rFonts w:hint="eastAsia" w:eastAsia="仿宋_GB2312"/>
          <w:color w:val="000000"/>
          <w:sz w:val="32"/>
          <w:szCs w:val="32"/>
          <w:highlight w:val="none"/>
        </w:rPr>
        <w:t>报价最低的原则，推荐成交候选供应商。</w:t>
      </w:r>
      <w:r>
        <w:rPr>
          <w:rFonts w:hint="eastAsia" w:eastAsia="仿宋_GB2312"/>
          <w:color w:val="000000"/>
          <w:sz w:val="32"/>
          <w:szCs w:val="32"/>
          <w:highlight w:val="none"/>
          <w:lang w:val="en-US" w:eastAsia="zh-CN"/>
        </w:rPr>
        <w:t>如最低报价出现两家或以上响应人报价相同的，则最低报价的响应人均作二次报价（不得高于第一次报价）；如二次报价仍出现最低报价相同的，则二次报价最低的响应人抽签确定成交候选供应商。</w:t>
      </w:r>
    </w:p>
    <w:p w14:paraId="2ECBF1F9">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询价结束后，采购工作小组将相关询价情况按程序审批并确定成交人。</w:t>
      </w:r>
    </w:p>
    <w:p w14:paraId="391F214D">
      <w:pPr>
        <w:adjustRightInd w:val="0"/>
        <w:snapToGrid w:val="0"/>
        <w:spacing w:before="156"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九、采取的合同文本</w:t>
      </w:r>
    </w:p>
    <w:p w14:paraId="70777767">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合同签订的依据为询价函、响应文件及补充说明等。确定成交单位后，成交单位在10天内与采购人签订合同。</w:t>
      </w:r>
    </w:p>
    <w:p w14:paraId="331BBFF2">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lang w:eastAsia="zh-CN"/>
        </w:rPr>
        <w:t>响应人</w:t>
      </w:r>
      <w:r>
        <w:rPr>
          <w:rFonts w:hint="eastAsia" w:eastAsia="仿宋_GB2312"/>
          <w:color w:val="000000"/>
          <w:sz w:val="32"/>
          <w:szCs w:val="32"/>
          <w:highlight w:val="none"/>
        </w:rPr>
        <w:t>收款前需向采购人提供请款材料和开具合法有效等额的增值税专用发票，否则采购人有权拒绝付款。</w:t>
      </w:r>
    </w:p>
    <w:p w14:paraId="79A6A6F7">
      <w:pPr>
        <w:adjustRightInd w:val="0"/>
        <w:snapToGrid w:val="0"/>
        <w:spacing w:before="156"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十、响应文件的组成部分（响应文件</w:t>
      </w:r>
      <w:bookmarkStart w:id="4" w:name="_Hlk90414255"/>
      <w:r>
        <w:rPr>
          <w:rFonts w:hint="eastAsia" w:eastAsia="黑体"/>
          <w:color w:val="000000"/>
          <w:sz w:val="32"/>
          <w:szCs w:val="32"/>
          <w:highlight w:val="none"/>
        </w:rPr>
        <w:t>如未按本项要求提供资料</w:t>
      </w:r>
      <w:bookmarkEnd w:id="4"/>
      <w:r>
        <w:rPr>
          <w:rFonts w:hint="eastAsia" w:eastAsia="黑体"/>
          <w:color w:val="000000"/>
          <w:sz w:val="32"/>
          <w:szCs w:val="32"/>
          <w:highlight w:val="none"/>
        </w:rPr>
        <w:t>，则作无效报价处理）</w:t>
      </w:r>
    </w:p>
    <w:p w14:paraId="0395E933">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1、报价函（模板，详见附件）</w:t>
      </w:r>
      <w:r>
        <w:rPr>
          <w:rFonts w:hint="eastAsia" w:eastAsia="仿宋_GB2312"/>
          <w:color w:val="000000"/>
          <w:sz w:val="32"/>
          <w:szCs w:val="32"/>
          <w:highlight w:val="none"/>
          <w:lang w:val="en-US" w:eastAsia="zh-CN"/>
        </w:rPr>
        <w:t>及</w:t>
      </w:r>
      <w:r>
        <w:rPr>
          <w:rFonts w:hint="eastAsia" w:eastAsia="仿宋_GB2312"/>
          <w:color w:val="000000"/>
          <w:sz w:val="32"/>
          <w:szCs w:val="32"/>
          <w:highlight w:val="none"/>
        </w:rPr>
        <w:t>报价清单（</w:t>
      </w:r>
      <w:r>
        <w:rPr>
          <w:rFonts w:hint="eastAsia" w:eastAsia="仿宋_GB2312"/>
          <w:color w:val="000000"/>
          <w:sz w:val="32"/>
          <w:szCs w:val="32"/>
          <w:highlight w:val="none"/>
          <w:lang w:val="en-US" w:eastAsia="zh-CN"/>
        </w:rPr>
        <w:t>模板</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详见附件</w:t>
      </w:r>
      <w:r>
        <w:rPr>
          <w:rFonts w:hint="eastAsia" w:eastAsia="仿宋_GB2312"/>
          <w:color w:val="000000"/>
          <w:sz w:val="32"/>
          <w:szCs w:val="32"/>
          <w:highlight w:val="none"/>
        </w:rPr>
        <w:t>）（加盖公章）；</w:t>
      </w:r>
    </w:p>
    <w:p w14:paraId="39217047">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2、法人证明（模板，详见附件）以及法人身份证复印件（加盖公章）；</w:t>
      </w:r>
    </w:p>
    <w:p w14:paraId="304FE0D2">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3、法人授权书（模板，详见附件）及被委托人身份证复印件</w:t>
      </w:r>
      <w:bookmarkStart w:id="5" w:name="_Hlk90414265"/>
      <w:r>
        <w:rPr>
          <w:rFonts w:hint="eastAsia" w:eastAsia="仿宋_GB2312"/>
          <w:color w:val="000000"/>
          <w:sz w:val="32"/>
          <w:szCs w:val="32"/>
          <w:highlight w:val="none"/>
        </w:rPr>
        <w:t>（法</w:t>
      </w:r>
      <w:r>
        <w:rPr>
          <w:rFonts w:hint="eastAsia" w:eastAsia="仿宋_GB2312"/>
          <w:color w:val="000000"/>
          <w:sz w:val="32"/>
          <w:szCs w:val="32"/>
          <w:highlight w:val="none"/>
          <w:lang w:val="en-US" w:eastAsia="zh-CN"/>
        </w:rPr>
        <w:t>定代表</w:t>
      </w:r>
      <w:r>
        <w:rPr>
          <w:rFonts w:hint="eastAsia" w:eastAsia="仿宋_GB2312"/>
          <w:color w:val="000000"/>
          <w:sz w:val="32"/>
          <w:szCs w:val="32"/>
          <w:highlight w:val="none"/>
        </w:rPr>
        <w:t>人本人参加报价不需提供）</w:t>
      </w:r>
      <w:bookmarkEnd w:id="5"/>
      <w:r>
        <w:rPr>
          <w:rFonts w:hint="eastAsia" w:eastAsia="仿宋_GB2312"/>
          <w:color w:val="000000"/>
          <w:sz w:val="32"/>
          <w:szCs w:val="32"/>
          <w:highlight w:val="none"/>
        </w:rPr>
        <w:t>（加盖公章）；</w:t>
      </w:r>
    </w:p>
    <w:p w14:paraId="0D9BA49B">
      <w:pPr>
        <w:spacing w:before="156"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4、</w:t>
      </w:r>
      <w:r>
        <w:rPr>
          <w:rFonts w:hint="eastAsia" w:eastAsia="仿宋_GB2312"/>
          <w:color w:val="000000"/>
          <w:sz w:val="32"/>
          <w:szCs w:val="32"/>
          <w:highlight w:val="none"/>
          <w:lang w:eastAsia="zh-CN"/>
        </w:rPr>
        <w:t>响应人</w:t>
      </w:r>
      <w:r>
        <w:rPr>
          <w:rFonts w:hint="eastAsia" w:eastAsia="仿宋_GB2312"/>
          <w:color w:val="000000"/>
          <w:sz w:val="32"/>
          <w:szCs w:val="32"/>
          <w:highlight w:val="none"/>
        </w:rPr>
        <w:t>营业执照复印件（加盖公章）；</w:t>
      </w:r>
    </w:p>
    <w:p w14:paraId="6B4D28E3">
      <w:pPr>
        <w:spacing w:before="156" w:line="600" w:lineRule="exact"/>
        <w:ind w:firstLine="640" w:firstLineChars="200"/>
        <w:rPr>
          <w:rFonts w:hint="eastAsia" w:eastAsia="仿宋_GB2312"/>
          <w:color w:val="000000"/>
          <w:sz w:val="32"/>
          <w:szCs w:val="32"/>
          <w:highlight w:val="none"/>
          <w:lang w:eastAsia="zh-CN"/>
        </w:rPr>
      </w:pPr>
      <w:r>
        <w:rPr>
          <w:rFonts w:hint="eastAsia" w:eastAsia="仿宋_GB2312"/>
          <w:color w:val="000000"/>
          <w:sz w:val="32"/>
          <w:szCs w:val="32"/>
          <w:highlight w:val="none"/>
        </w:rPr>
        <w:t>5、</w:t>
      </w:r>
      <w:r>
        <w:rPr>
          <w:rFonts w:hint="eastAsia" w:eastAsia="仿宋_GB2312"/>
          <w:color w:val="000000"/>
          <w:sz w:val="32"/>
          <w:szCs w:val="32"/>
          <w:highlight w:val="none"/>
          <w:lang w:eastAsia="zh-CN"/>
        </w:rPr>
        <w:t>响应人</w:t>
      </w:r>
      <w:r>
        <w:rPr>
          <w:rFonts w:hint="eastAsia" w:eastAsia="仿宋_GB2312"/>
          <w:color w:val="000000"/>
          <w:sz w:val="32"/>
          <w:szCs w:val="32"/>
          <w:highlight w:val="none"/>
          <w:lang w:val="en-US" w:eastAsia="zh-CN"/>
        </w:rPr>
        <w:t>资质证书</w:t>
      </w:r>
      <w:r>
        <w:rPr>
          <w:rFonts w:hint="eastAsia" w:eastAsia="仿宋_GB2312"/>
          <w:color w:val="000000"/>
          <w:sz w:val="32"/>
          <w:szCs w:val="32"/>
          <w:highlight w:val="none"/>
        </w:rPr>
        <w:t>复印件（加盖公章）</w:t>
      </w:r>
      <w:r>
        <w:rPr>
          <w:rFonts w:hint="eastAsia" w:eastAsia="仿宋_GB2312"/>
          <w:color w:val="000000"/>
          <w:sz w:val="32"/>
          <w:szCs w:val="32"/>
          <w:highlight w:val="none"/>
          <w:lang w:eastAsia="zh-CN"/>
        </w:rPr>
        <w:t>；</w:t>
      </w:r>
    </w:p>
    <w:p w14:paraId="7A683842">
      <w:pPr>
        <w:spacing w:before="156" w:line="600" w:lineRule="exact"/>
        <w:ind w:firstLine="640" w:firstLineChars="200"/>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6、</w:t>
      </w:r>
      <w:r>
        <w:rPr>
          <w:rFonts w:hint="eastAsia" w:eastAsia="仿宋_GB2312"/>
          <w:color w:val="000000"/>
          <w:sz w:val="32"/>
          <w:szCs w:val="32"/>
          <w:highlight w:val="none"/>
          <w:lang w:eastAsia="zh-CN"/>
        </w:rPr>
        <w:t>响应人</w:t>
      </w:r>
      <w:r>
        <w:rPr>
          <w:rFonts w:hint="eastAsia" w:eastAsia="仿宋_GB2312"/>
          <w:color w:val="000000"/>
          <w:sz w:val="32"/>
          <w:szCs w:val="32"/>
          <w:highlight w:val="none"/>
          <w:lang w:val="en-US" w:eastAsia="zh-CN"/>
        </w:rPr>
        <w:t>安全生产许可证</w:t>
      </w:r>
      <w:r>
        <w:rPr>
          <w:rFonts w:hint="eastAsia" w:eastAsia="仿宋_GB2312"/>
          <w:color w:val="000000"/>
          <w:sz w:val="32"/>
          <w:szCs w:val="32"/>
          <w:highlight w:val="none"/>
        </w:rPr>
        <w:t>复印件（加盖公章）</w:t>
      </w:r>
      <w:r>
        <w:rPr>
          <w:rFonts w:hint="eastAsia" w:eastAsia="仿宋_GB2312"/>
          <w:color w:val="000000"/>
          <w:sz w:val="32"/>
          <w:szCs w:val="32"/>
          <w:highlight w:val="none"/>
          <w:lang w:eastAsia="zh-CN"/>
        </w:rPr>
        <w:t>；</w:t>
      </w:r>
    </w:p>
    <w:p w14:paraId="0429D057">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lang w:val="en-US" w:eastAsia="zh-CN"/>
        </w:rPr>
        <w:t>7、</w:t>
      </w:r>
      <w:r>
        <w:rPr>
          <w:rFonts w:hint="eastAsia" w:eastAsia="仿宋_GB2312"/>
          <w:color w:val="000000"/>
          <w:sz w:val="32"/>
          <w:szCs w:val="32"/>
          <w:highlight w:val="none"/>
          <w:lang w:eastAsia="zh-CN"/>
        </w:rPr>
        <w:t>响应人</w:t>
      </w:r>
      <w:r>
        <w:rPr>
          <w:rFonts w:hint="eastAsia" w:eastAsia="仿宋_GB2312"/>
          <w:color w:val="000000"/>
          <w:sz w:val="32"/>
          <w:szCs w:val="32"/>
          <w:highlight w:val="none"/>
        </w:rPr>
        <w:t>20</w:t>
      </w:r>
      <w:r>
        <w:rPr>
          <w:rFonts w:hint="eastAsia" w:eastAsia="仿宋_GB2312"/>
          <w:color w:val="000000"/>
          <w:sz w:val="32"/>
          <w:szCs w:val="32"/>
          <w:highlight w:val="none"/>
          <w:lang w:val="en-US" w:eastAsia="zh-CN"/>
        </w:rPr>
        <w:t>22</w:t>
      </w:r>
      <w:r>
        <w:rPr>
          <w:rFonts w:hint="eastAsia" w:eastAsia="仿宋_GB2312"/>
          <w:color w:val="000000"/>
          <w:sz w:val="32"/>
          <w:szCs w:val="32"/>
          <w:highlight w:val="none"/>
        </w:rPr>
        <w:t>年 1 月 1 日起至今钢结构防腐施工项目合同</w:t>
      </w:r>
      <w:r>
        <w:rPr>
          <w:rFonts w:hint="eastAsia" w:eastAsia="仿宋_GB2312"/>
          <w:color w:val="000000"/>
          <w:sz w:val="32"/>
          <w:szCs w:val="32"/>
          <w:highlight w:val="none"/>
          <w:lang w:eastAsia="zh-CN"/>
        </w:rPr>
        <w:t>、</w:t>
      </w:r>
      <w:r>
        <w:rPr>
          <w:rFonts w:hint="eastAsia" w:eastAsia="仿宋_GB2312"/>
          <w:color w:val="000000"/>
          <w:sz w:val="32"/>
          <w:szCs w:val="32"/>
          <w:highlight w:val="none"/>
        </w:rPr>
        <w:t>发票</w:t>
      </w:r>
      <w:r>
        <w:rPr>
          <w:rFonts w:hint="eastAsia" w:eastAsia="仿宋_GB2312"/>
          <w:color w:val="000000"/>
          <w:sz w:val="32"/>
          <w:szCs w:val="32"/>
          <w:highlight w:val="none"/>
          <w:lang w:val="en-US" w:eastAsia="zh-CN"/>
        </w:rPr>
        <w:t>及相关证明材料，不少于1个业绩</w:t>
      </w:r>
      <w:r>
        <w:rPr>
          <w:rFonts w:hint="eastAsia" w:eastAsia="仿宋_GB2312"/>
          <w:color w:val="000000"/>
          <w:sz w:val="32"/>
          <w:szCs w:val="32"/>
          <w:highlight w:val="none"/>
        </w:rPr>
        <w:t>（按本项目</w:t>
      </w:r>
      <w:r>
        <w:rPr>
          <w:rFonts w:hint="eastAsia" w:eastAsia="仿宋_GB2312"/>
          <w:color w:val="000000"/>
          <w:sz w:val="32"/>
          <w:szCs w:val="32"/>
          <w:highlight w:val="none"/>
          <w:lang w:eastAsia="zh-CN"/>
        </w:rPr>
        <w:t>响应人</w:t>
      </w:r>
      <w:r>
        <w:rPr>
          <w:rFonts w:hint="eastAsia" w:eastAsia="仿宋_GB2312"/>
          <w:color w:val="000000"/>
          <w:sz w:val="32"/>
          <w:szCs w:val="32"/>
          <w:highlight w:val="none"/>
        </w:rPr>
        <w:t>资格要求提供资料，加盖公章）；</w:t>
      </w:r>
    </w:p>
    <w:p w14:paraId="20261A10">
      <w:pPr>
        <w:pStyle w:val="50"/>
        <w:numPr>
          <w:ilvl w:val="0"/>
          <w:numId w:val="0"/>
        </w:numPr>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8、踏勘及响应承诺函</w:t>
      </w:r>
      <w:r>
        <w:rPr>
          <w:rFonts w:hint="eastAsia" w:eastAsia="仿宋_GB2312"/>
          <w:color w:val="000000"/>
          <w:sz w:val="32"/>
          <w:szCs w:val="32"/>
          <w:highlight w:val="none"/>
        </w:rPr>
        <w:t>（模板，详见附件</w:t>
      </w:r>
      <w:r>
        <w:rPr>
          <w:rFonts w:hint="eastAsia" w:eastAsia="仿宋_GB2312"/>
          <w:color w:val="000000"/>
          <w:sz w:val="32"/>
          <w:szCs w:val="32"/>
          <w:highlight w:val="none"/>
          <w:lang w:eastAsia="zh-CN"/>
        </w:rPr>
        <w:t>，</w:t>
      </w:r>
      <w:r>
        <w:rPr>
          <w:rFonts w:hint="eastAsia" w:eastAsia="仿宋_GB2312"/>
          <w:color w:val="000000"/>
          <w:sz w:val="32"/>
          <w:szCs w:val="32"/>
          <w:highlight w:val="none"/>
        </w:rPr>
        <w:t>加盖公章）</w:t>
      </w:r>
      <w:r>
        <w:rPr>
          <w:rFonts w:hint="eastAsia" w:ascii="仿宋" w:hAnsi="仿宋" w:eastAsia="仿宋"/>
          <w:sz w:val="32"/>
          <w:szCs w:val="32"/>
          <w:highlight w:val="none"/>
          <w:lang w:val="en-US" w:eastAsia="zh-CN"/>
        </w:rPr>
        <w:t>；</w:t>
      </w:r>
    </w:p>
    <w:p w14:paraId="31A595D9">
      <w:pPr>
        <w:pStyle w:val="50"/>
        <w:numPr>
          <w:ilvl w:val="0"/>
          <w:numId w:val="0"/>
        </w:numPr>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9、响应人报价截止日前6个月内任意1个月依法缴纳税收的证明材料（如依法免税的，须提供相应证明材料。证明材料须加盖公章）；</w:t>
      </w:r>
    </w:p>
    <w:p w14:paraId="6962824D">
      <w:pPr>
        <w:pStyle w:val="50"/>
        <w:numPr>
          <w:ilvl w:val="0"/>
          <w:numId w:val="0"/>
        </w:numPr>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10、响应人无欠税证明材料（在全国统一规范电子税务局平台开具，证明材料须加盖公章）；</w:t>
      </w:r>
    </w:p>
    <w:p w14:paraId="084D1FFD">
      <w:pPr>
        <w:pStyle w:val="50"/>
        <w:numPr>
          <w:ilvl w:val="0"/>
          <w:numId w:val="0"/>
        </w:numPr>
        <w:ind w:firstLine="640" w:firstLineChars="200"/>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11、</w:t>
      </w:r>
      <w:bookmarkStart w:id="6" w:name="_Hlk90414430"/>
      <w:r>
        <w:rPr>
          <w:rFonts w:hint="eastAsia" w:eastAsia="仿宋_GB2312"/>
          <w:color w:val="000000"/>
          <w:sz w:val="32"/>
          <w:szCs w:val="32"/>
        </w:rPr>
        <w:t>报价人未到场声明（详见附件，加盖公章）</w:t>
      </w:r>
      <w:bookmarkEnd w:id="6"/>
    </w:p>
    <w:p w14:paraId="7D217156">
      <w:pPr>
        <w:spacing w:before="156" w:line="600" w:lineRule="exact"/>
        <w:ind w:firstLine="640" w:firstLineChars="200"/>
        <w:rPr>
          <w:rFonts w:eastAsia="仿宋_GB2312"/>
          <w:color w:val="000000"/>
          <w:sz w:val="32"/>
          <w:szCs w:val="32"/>
          <w:highlight w:val="none"/>
        </w:rPr>
      </w:pPr>
      <w:r>
        <w:rPr>
          <w:rFonts w:hint="eastAsia" w:ascii="仿宋" w:hAnsi="仿宋" w:eastAsia="仿宋"/>
          <w:sz w:val="32"/>
          <w:szCs w:val="32"/>
          <w:highlight w:val="none"/>
          <w:lang w:val="en-US" w:eastAsia="zh-CN"/>
        </w:rPr>
        <w:t>12、</w:t>
      </w:r>
      <w:r>
        <w:rPr>
          <w:rFonts w:hint="eastAsia" w:eastAsia="仿宋_GB2312"/>
          <w:color w:val="000000"/>
          <w:sz w:val="32"/>
          <w:szCs w:val="32"/>
          <w:highlight w:val="none"/>
        </w:rPr>
        <w:t>本项目</w:t>
      </w:r>
      <w:r>
        <w:rPr>
          <w:rFonts w:hint="eastAsia" w:eastAsia="仿宋_GB2312"/>
          <w:color w:val="000000"/>
          <w:sz w:val="32"/>
          <w:szCs w:val="32"/>
          <w:highlight w:val="none"/>
          <w:lang w:eastAsia="zh-CN"/>
        </w:rPr>
        <w:t>采购文件</w:t>
      </w:r>
      <w:r>
        <w:rPr>
          <w:rFonts w:hint="eastAsia" w:eastAsia="仿宋_GB2312"/>
          <w:color w:val="000000"/>
          <w:sz w:val="32"/>
          <w:szCs w:val="32"/>
          <w:highlight w:val="none"/>
        </w:rPr>
        <w:t>要求的其他资料（如有）。</w:t>
      </w:r>
    </w:p>
    <w:p w14:paraId="4434D00F">
      <w:pPr>
        <w:adjustRightInd w:val="0"/>
        <w:snapToGrid w:val="0"/>
        <w:spacing w:before="156" w:line="600" w:lineRule="exact"/>
        <w:ind w:firstLine="640" w:firstLineChars="200"/>
        <w:outlineLvl w:val="1"/>
        <w:rPr>
          <w:rFonts w:eastAsia="黑体"/>
          <w:b/>
          <w:bCs/>
          <w:color w:val="000000"/>
          <w:sz w:val="32"/>
          <w:szCs w:val="32"/>
        </w:rPr>
      </w:pPr>
      <w:bookmarkStart w:id="7" w:name="_Hlk90416918"/>
      <w:r>
        <w:rPr>
          <w:rFonts w:eastAsia="黑体"/>
          <w:color w:val="000000"/>
          <w:sz w:val="32"/>
          <w:szCs w:val="32"/>
        </w:rPr>
        <w:sym w:font="Wingdings" w:char="F0AB"/>
      </w:r>
      <w:r>
        <w:rPr>
          <w:rFonts w:hint="eastAsia" w:eastAsia="黑体"/>
          <w:b/>
          <w:bCs/>
          <w:color w:val="000000"/>
          <w:sz w:val="32"/>
          <w:szCs w:val="32"/>
        </w:rPr>
        <w:t>十一、响应文件份数及要求</w:t>
      </w:r>
    </w:p>
    <w:p w14:paraId="5444097A">
      <w:pPr>
        <w:spacing w:before="156" w:line="600" w:lineRule="exact"/>
        <w:ind w:firstLine="640" w:firstLineChars="200"/>
        <w:rPr>
          <w:rFonts w:eastAsia="仿宋_GB2312"/>
          <w:color w:val="000000"/>
          <w:sz w:val="32"/>
          <w:szCs w:val="32"/>
        </w:rPr>
      </w:pPr>
      <w:r>
        <w:rPr>
          <w:rFonts w:hint="eastAsia" w:eastAsia="仿宋_GB2312"/>
          <w:color w:val="000000"/>
          <w:sz w:val="32"/>
          <w:szCs w:val="32"/>
        </w:rPr>
        <w:t>1、正本一份、副本一份。</w:t>
      </w:r>
    </w:p>
    <w:p w14:paraId="4CD8A2A3">
      <w:pPr>
        <w:spacing w:before="156" w:line="600" w:lineRule="exact"/>
        <w:ind w:firstLine="640" w:firstLineChars="200"/>
        <w:rPr>
          <w:rFonts w:eastAsia="仿宋_GB2312"/>
          <w:color w:val="000000"/>
          <w:sz w:val="32"/>
          <w:szCs w:val="32"/>
        </w:rPr>
      </w:pPr>
      <w:r>
        <w:rPr>
          <w:rFonts w:hint="eastAsia" w:eastAsia="仿宋_GB2312"/>
          <w:color w:val="000000"/>
          <w:sz w:val="32"/>
          <w:szCs w:val="32"/>
        </w:rPr>
        <w:t>2、报价人须严格按照采购人提供的表单格式及要求报价，响应文件必须装订或胶装成册，正本必须每页加盖公章，副本可使用正本复印件并于封面及骑缝处加盖公章。</w:t>
      </w:r>
    </w:p>
    <w:p w14:paraId="6CD2E09B">
      <w:pPr>
        <w:spacing w:before="156" w:line="600" w:lineRule="exact"/>
        <w:ind w:firstLine="640" w:firstLineChars="200"/>
        <w:rPr>
          <w:rFonts w:eastAsia="仿宋_GB2312"/>
          <w:color w:val="000000"/>
          <w:sz w:val="32"/>
          <w:szCs w:val="32"/>
        </w:rPr>
      </w:pPr>
      <w:r>
        <w:rPr>
          <w:rFonts w:hint="eastAsia" w:eastAsia="仿宋_GB2312"/>
          <w:color w:val="000000"/>
          <w:sz w:val="32"/>
          <w:szCs w:val="32"/>
        </w:rPr>
        <w:t>3、响应文件必须密封完好，装有响应文件的文件袋须贴有密封条，于骑缝处加盖企业公章。不得以快递文件袋作为密封。</w:t>
      </w:r>
    </w:p>
    <w:p w14:paraId="11A37ED6">
      <w:pPr>
        <w:spacing w:before="156" w:line="600" w:lineRule="exact"/>
        <w:ind w:firstLine="640" w:firstLineChars="200"/>
        <w:rPr>
          <w:rFonts w:eastAsia="仿宋_GB2312"/>
          <w:color w:val="000000"/>
          <w:sz w:val="32"/>
          <w:szCs w:val="32"/>
        </w:rPr>
      </w:pPr>
      <w:r>
        <w:rPr>
          <w:rFonts w:hint="eastAsia" w:eastAsia="仿宋_GB2312"/>
          <w:color w:val="000000"/>
          <w:sz w:val="32"/>
          <w:szCs w:val="32"/>
        </w:rPr>
        <w:t>4、报价人所递交的响应文件必须为盖章原件，公章、私章或签字不得为彩色/黑白的打印件/复印件。</w:t>
      </w:r>
    </w:p>
    <w:p w14:paraId="4838F344">
      <w:pPr>
        <w:spacing w:before="156" w:line="600" w:lineRule="exact"/>
        <w:ind w:firstLine="643" w:firstLineChars="200"/>
        <w:rPr>
          <w:rFonts w:eastAsia="仿宋_GB2312"/>
          <w:b/>
          <w:bCs/>
          <w:color w:val="000000"/>
          <w:sz w:val="32"/>
          <w:szCs w:val="32"/>
        </w:rPr>
      </w:pPr>
      <w:r>
        <w:rPr>
          <w:rFonts w:hint="eastAsia" w:eastAsia="仿宋_GB2312"/>
          <w:b/>
          <w:bCs/>
          <w:color w:val="000000"/>
          <w:sz w:val="32"/>
          <w:szCs w:val="32"/>
        </w:rPr>
        <w:t>5、报价人需将本项目密封文件袋封面（附件一）粘贴于响应文件密封袋上。</w:t>
      </w:r>
    </w:p>
    <w:p w14:paraId="0E261C55">
      <w:pPr>
        <w:spacing w:before="156" w:line="600" w:lineRule="exact"/>
        <w:ind w:firstLine="643" w:firstLineChars="200"/>
        <w:rPr>
          <w:rFonts w:eastAsia="仿宋_GB2312"/>
          <w:b/>
          <w:bCs/>
          <w:color w:val="000000"/>
          <w:sz w:val="32"/>
          <w:szCs w:val="32"/>
        </w:rPr>
      </w:pPr>
      <w:r>
        <w:rPr>
          <w:rFonts w:hint="eastAsia" w:eastAsia="仿宋_GB2312"/>
          <w:b/>
          <w:bCs/>
          <w:color w:val="000000"/>
          <w:sz w:val="32"/>
          <w:szCs w:val="32"/>
        </w:rPr>
        <w:t>6、不符合本项要求的响应文件为无效报价。</w:t>
      </w:r>
    </w:p>
    <w:p w14:paraId="646F55C6">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十二、开标时间及地址</w:t>
      </w:r>
    </w:p>
    <w:p w14:paraId="736E8BC0">
      <w:pPr>
        <w:spacing w:before="156" w:line="600" w:lineRule="exact"/>
        <w:ind w:firstLine="643" w:firstLineChars="200"/>
        <w:rPr>
          <w:rFonts w:eastAsia="仿宋_GB2312"/>
          <w:b/>
          <w:color w:val="000000"/>
          <w:sz w:val="32"/>
          <w:szCs w:val="32"/>
        </w:rPr>
      </w:pPr>
      <w:bookmarkStart w:id="8" w:name="_Hlk90417299"/>
      <w:r>
        <w:rPr>
          <w:rFonts w:hint="eastAsia" w:eastAsia="仿宋_GB2312"/>
          <w:b/>
          <w:color w:val="000000"/>
          <w:sz w:val="32"/>
          <w:szCs w:val="32"/>
        </w:rPr>
        <w:t>开标时间：</w:t>
      </w:r>
      <w:r>
        <w:rPr>
          <w:rFonts w:eastAsia="仿宋_GB2312"/>
          <w:b/>
          <w:color w:val="000000"/>
          <w:sz w:val="32"/>
          <w:szCs w:val="32"/>
          <w:u w:val="single"/>
        </w:rPr>
        <w:t>20</w:t>
      </w:r>
      <w:r>
        <w:rPr>
          <w:rFonts w:hint="eastAsia" w:eastAsia="仿宋_GB2312"/>
          <w:b/>
          <w:color w:val="000000"/>
          <w:sz w:val="32"/>
          <w:szCs w:val="32"/>
          <w:u w:val="single"/>
        </w:rPr>
        <w:t>2</w:t>
      </w:r>
      <w:r>
        <w:rPr>
          <w:rFonts w:hint="eastAsia" w:eastAsia="仿宋_GB2312"/>
          <w:b/>
          <w:color w:val="000000"/>
          <w:sz w:val="32"/>
          <w:szCs w:val="32"/>
          <w:u w:val="single"/>
          <w:lang w:val="en-US" w:eastAsia="zh-CN"/>
        </w:rPr>
        <w:t>5</w:t>
      </w:r>
      <w:r>
        <w:rPr>
          <w:rFonts w:eastAsia="仿宋_GB2312"/>
          <w:b/>
          <w:color w:val="000000"/>
          <w:sz w:val="32"/>
          <w:szCs w:val="32"/>
          <w:u w:val="single"/>
        </w:rPr>
        <w:t xml:space="preserve"> </w:t>
      </w:r>
      <w:r>
        <w:rPr>
          <w:rFonts w:hint="eastAsia" w:eastAsia="仿宋_GB2312"/>
          <w:b/>
          <w:color w:val="000000"/>
          <w:sz w:val="32"/>
          <w:szCs w:val="32"/>
        </w:rPr>
        <w:t>年</w:t>
      </w:r>
      <w:r>
        <w:rPr>
          <w:rFonts w:hint="eastAsia" w:eastAsia="仿宋_GB2312"/>
          <w:b/>
          <w:color w:val="000000"/>
          <w:sz w:val="32"/>
          <w:szCs w:val="32"/>
          <w:u w:val="single"/>
          <w:lang w:val="en-US" w:eastAsia="zh-CN"/>
        </w:rPr>
        <w:t xml:space="preserve"> 12 </w:t>
      </w:r>
      <w:r>
        <w:rPr>
          <w:rFonts w:hint="eastAsia" w:eastAsia="仿宋_GB2312"/>
          <w:b/>
          <w:color w:val="000000"/>
          <w:sz w:val="32"/>
          <w:szCs w:val="32"/>
        </w:rPr>
        <w:t>月</w:t>
      </w:r>
      <w:r>
        <w:rPr>
          <w:rFonts w:hint="eastAsia" w:eastAsia="仿宋_GB2312"/>
          <w:b/>
          <w:color w:val="000000"/>
          <w:sz w:val="32"/>
          <w:szCs w:val="32"/>
          <w:u w:val="single"/>
          <w:lang w:val="en-US" w:eastAsia="zh-CN"/>
        </w:rPr>
        <w:t xml:space="preserve"> 5 </w:t>
      </w:r>
      <w:r>
        <w:rPr>
          <w:rFonts w:hint="eastAsia" w:eastAsia="仿宋_GB2312"/>
          <w:b/>
          <w:color w:val="000000"/>
          <w:sz w:val="32"/>
          <w:szCs w:val="32"/>
        </w:rPr>
        <w:t>日（</w:t>
      </w:r>
      <w:r>
        <w:rPr>
          <w:rFonts w:hint="eastAsia" w:eastAsia="仿宋_GB2312"/>
          <w:b/>
          <w:color w:val="000000"/>
          <w:sz w:val="32"/>
          <w:szCs w:val="32"/>
          <w:u w:val="single"/>
        </w:rPr>
        <w:t>星期</w:t>
      </w:r>
      <w:r>
        <w:rPr>
          <w:rFonts w:hint="eastAsia" w:eastAsia="仿宋_GB2312"/>
          <w:b/>
          <w:color w:val="000000"/>
          <w:sz w:val="32"/>
          <w:szCs w:val="32"/>
          <w:u w:val="single"/>
          <w:lang w:val="en-US" w:eastAsia="zh-CN"/>
        </w:rPr>
        <w:t>五</w:t>
      </w:r>
      <w:r>
        <w:rPr>
          <w:rFonts w:hint="eastAsia" w:eastAsia="仿宋_GB2312"/>
          <w:b/>
          <w:color w:val="000000"/>
          <w:sz w:val="32"/>
          <w:szCs w:val="32"/>
        </w:rPr>
        <w:t>）</w:t>
      </w:r>
      <w:r>
        <w:rPr>
          <w:rFonts w:hint="eastAsia" w:eastAsia="仿宋_GB2312"/>
          <w:b/>
          <w:color w:val="000000"/>
          <w:sz w:val="32"/>
          <w:szCs w:val="32"/>
          <w:u w:val="single"/>
          <w:lang w:val="en-US" w:eastAsia="zh-CN"/>
        </w:rPr>
        <w:t>上</w:t>
      </w:r>
      <w:r>
        <w:rPr>
          <w:rFonts w:hint="eastAsia" w:eastAsia="仿宋_GB2312"/>
          <w:b/>
          <w:color w:val="000000"/>
          <w:sz w:val="32"/>
          <w:szCs w:val="32"/>
        </w:rPr>
        <w:t>午</w:t>
      </w:r>
      <w:r>
        <w:rPr>
          <w:rFonts w:hint="eastAsia" w:eastAsia="仿宋_GB2312"/>
          <w:b/>
          <w:color w:val="000000"/>
          <w:sz w:val="32"/>
          <w:szCs w:val="32"/>
          <w:lang w:val="en-US" w:eastAsia="zh-CN"/>
        </w:rPr>
        <w:t>10：00</w:t>
      </w:r>
      <w:r>
        <w:rPr>
          <w:rFonts w:hint="eastAsia" w:eastAsia="仿宋_GB2312"/>
          <w:b/>
          <w:color w:val="000000"/>
          <w:sz w:val="32"/>
          <w:szCs w:val="32"/>
        </w:rPr>
        <w:t>。</w:t>
      </w:r>
    </w:p>
    <w:bookmarkEnd w:id="8"/>
    <w:p w14:paraId="5AA2CCCE">
      <w:pPr>
        <w:spacing w:before="156" w:line="600" w:lineRule="exact"/>
        <w:ind w:firstLine="640" w:firstLineChars="200"/>
        <w:outlineLvl w:val="9"/>
        <w:rPr>
          <w:rFonts w:hint="eastAsia" w:eastAsia="仿宋_GB2312"/>
          <w:color w:val="000000"/>
          <w:sz w:val="32"/>
          <w:szCs w:val="32"/>
        </w:rPr>
      </w:pPr>
      <w:r>
        <w:rPr>
          <w:rFonts w:hint="eastAsia" w:eastAsia="仿宋_GB2312"/>
          <w:color w:val="000000"/>
          <w:sz w:val="32"/>
          <w:szCs w:val="32"/>
        </w:rPr>
        <w:t>本项目报价人可选择现场递交报价文件或邮寄报价文件，其中：</w:t>
      </w:r>
    </w:p>
    <w:p w14:paraId="44694341">
      <w:pPr>
        <w:spacing w:before="156" w:line="600" w:lineRule="exact"/>
        <w:ind w:firstLine="640" w:firstLineChars="200"/>
        <w:outlineLvl w:val="9"/>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1）</w:t>
      </w:r>
      <w:r>
        <w:rPr>
          <w:rFonts w:hint="eastAsia" w:ascii="Times New Roman" w:hAnsi="Times New Roman" w:eastAsia="仿宋_GB2312"/>
          <w:color w:val="000000"/>
          <w:sz w:val="32"/>
          <w:szCs w:val="32"/>
        </w:rPr>
        <w:t>现场递交报价文件</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rPr>
        <w:t>报价人须委派法定代表人或授权委托人</w:t>
      </w:r>
      <w:r>
        <w:rPr>
          <w:rFonts w:hint="eastAsia" w:ascii="Times New Roman" w:hAnsi="Times New Roman" w:eastAsia="仿宋_GB2312"/>
          <w:color w:val="000000"/>
          <w:sz w:val="32"/>
          <w:szCs w:val="32"/>
          <w:lang w:val="en-US" w:eastAsia="zh-CN"/>
        </w:rPr>
        <w:t>按时</w:t>
      </w:r>
      <w:r>
        <w:rPr>
          <w:rFonts w:hint="eastAsia" w:ascii="Times New Roman" w:hAnsi="Times New Roman" w:eastAsia="仿宋_GB2312"/>
          <w:color w:val="000000"/>
          <w:sz w:val="32"/>
          <w:szCs w:val="32"/>
        </w:rPr>
        <w:t>到开标地址提交报价文件并参加开标会议</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rPr>
        <w:t>开标时间后</w:t>
      </w:r>
      <w:r>
        <w:rPr>
          <w:rFonts w:hint="eastAsia" w:ascii="Times New Roman" w:hAnsi="Times New Roman" w:eastAsia="仿宋_GB2312"/>
          <w:color w:val="000000"/>
          <w:sz w:val="32"/>
          <w:szCs w:val="32"/>
          <w:lang w:val="en-US" w:eastAsia="zh-CN"/>
        </w:rPr>
        <w:t>到达</w:t>
      </w:r>
      <w:r>
        <w:rPr>
          <w:rFonts w:hint="eastAsia" w:ascii="Times New Roman" w:hAnsi="Times New Roman" w:eastAsia="仿宋_GB2312"/>
          <w:color w:val="000000"/>
          <w:sz w:val="32"/>
          <w:szCs w:val="32"/>
        </w:rPr>
        <w:t>的</w:t>
      </w:r>
      <w:r>
        <w:rPr>
          <w:rFonts w:hint="eastAsia" w:ascii="Times New Roman" w:hAnsi="Times New Roman" w:eastAsia="仿宋_GB2312"/>
          <w:color w:val="000000"/>
          <w:sz w:val="32"/>
          <w:szCs w:val="32"/>
          <w:lang w:val="en-US" w:eastAsia="zh-CN"/>
        </w:rPr>
        <w:t>拒收报价文件</w:t>
      </w:r>
      <w:r>
        <w:rPr>
          <w:rFonts w:hint="eastAsia" w:ascii="Times New Roman" w:hAnsi="Times New Roman" w:eastAsia="仿宋_GB2312"/>
          <w:color w:val="000000"/>
          <w:sz w:val="32"/>
          <w:szCs w:val="32"/>
        </w:rPr>
        <w:t>。</w:t>
      </w:r>
    </w:p>
    <w:p w14:paraId="75F5688B">
      <w:pPr>
        <w:spacing w:before="156" w:line="600" w:lineRule="exact"/>
        <w:ind w:firstLine="640" w:firstLineChars="200"/>
        <w:outlineLvl w:val="9"/>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rPr>
        <w:t>报价人提交报价文件地址：东莞市麻涌镇大步村海心沙岛</w:t>
      </w:r>
      <w:r>
        <w:rPr>
          <w:rFonts w:hint="eastAsia" w:ascii="Times New Roman" w:hAnsi="Times New Roman" w:eastAsia="仿宋_GB2312"/>
          <w:color w:val="000000"/>
          <w:sz w:val="32"/>
          <w:szCs w:val="32"/>
          <w:lang w:val="en-US" w:eastAsia="zh-CN"/>
        </w:rPr>
        <w:t>东莞市新东元环保投资有限公司二楼</w:t>
      </w:r>
      <w:r>
        <w:rPr>
          <w:rFonts w:hint="eastAsia" w:ascii="Times New Roman" w:hAnsi="Times New Roman" w:eastAsia="仿宋_GB2312"/>
          <w:color w:val="000000"/>
          <w:sz w:val="32"/>
          <w:szCs w:val="32"/>
        </w:rPr>
        <w:t>会议室（</w:t>
      </w:r>
      <w:r>
        <w:rPr>
          <w:rFonts w:hint="eastAsia" w:ascii="Times New Roman" w:hAnsi="Times New Roman" w:eastAsia="仿宋_GB2312"/>
          <w:color w:val="000000"/>
          <w:sz w:val="32"/>
          <w:szCs w:val="32"/>
          <w:lang w:val="en-US" w:eastAsia="zh-CN"/>
        </w:rPr>
        <w:t>路线指导图如下</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逾期无效。</w:t>
      </w:r>
    </w:p>
    <w:p w14:paraId="0EF9DE5D">
      <w:pPr>
        <w:pStyle w:val="2"/>
        <w:rPr>
          <w:rFonts w:hint="eastAsia" w:eastAsia="宋体"/>
          <w:lang w:eastAsia="zh-CN"/>
        </w:rPr>
      </w:pPr>
      <w:r>
        <w:rPr>
          <w:rFonts w:hint="eastAsia" w:eastAsia="宋体"/>
          <w:lang w:eastAsia="zh-CN"/>
        </w:rPr>
        <w:drawing>
          <wp:inline distT="0" distB="0" distL="114300" distR="114300">
            <wp:extent cx="4495800" cy="3245485"/>
            <wp:effectExtent l="0" t="0" r="5715" b="3810"/>
            <wp:docPr id="13" name="图片 13" descr="d51ca4f950ea6da1bee83e43c380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51ca4f950ea6da1bee83e43c380412"/>
                    <pic:cNvPicPr>
                      <a:picLocks noChangeAspect="1"/>
                    </pic:cNvPicPr>
                  </pic:nvPicPr>
                  <pic:blipFill>
                    <a:blip r:embed="rId21"/>
                    <a:stretch>
                      <a:fillRect/>
                    </a:stretch>
                  </pic:blipFill>
                  <pic:spPr>
                    <a:xfrm>
                      <a:off x="0" y="0"/>
                      <a:ext cx="4495800" cy="3245485"/>
                    </a:xfrm>
                    <a:prstGeom prst="rect">
                      <a:avLst/>
                    </a:prstGeom>
                  </pic:spPr>
                </pic:pic>
              </a:graphicData>
            </a:graphic>
          </wp:inline>
        </w:drawing>
      </w:r>
    </w:p>
    <w:p w14:paraId="0B169B74">
      <w:pPr>
        <w:spacing w:before="156" w:line="600" w:lineRule="exact"/>
        <w:ind w:firstLine="640" w:firstLineChars="200"/>
        <w:outlineLvl w:val="9"/>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2）邮寄</w:t>
      </w:r>
      <w:r>
        <w:rPr>
          <w:rFonts w:hint="eastAsia" w:ascii="Times New Roman" w:hAnsi="Times New Roman" w:eastAsia="仿宋_GB2312"/>
          <w:color w:val="000000"/>
          <w:sz w:val="32"/>
          <w:szCs w:val="32"/>
        </w:rPr>
        <w:t>递交报价文件</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rPr>
        <w:t>报价人必须确保响应文件密封完好，在开标截止时间前一日送达采购人处，须使用顺丰速运提前寄送（运费自理，采购人拒收到付件），因邮寄造成响应文件破损无效或文件丢失的责任由报价人自负，因快递派件人员无工作证等原因（如顺丰即日达）造成快递派件问题的责任由报价人自负，开标时间后送达的响应文件无效。</w:t>
      </w:r>
    </w:p>
    <w:p w14:paraId="307A64A7">
      <w:pPr>
        <w:spacing w:before="156" w:line="600" w:lineRule="exact"/>
        <w:ind w:firstLine="640" w:firstLineChars="200"/>
        <w:rPr>
          <w:rFonts w:eastAsia="仿宋_GB2312"/>
          <w:color w:val="000000"/>
          <w:sz w:val="32"/>
          <w:szCs w:val="32"/>
        </w:rPr>
      </w:pPr>
      <w:r>
        <w:rPr>
          <w:rFonts w:hint="eastAsia" w:eastAsia="仿宋_GB2312"/>
          <w:color w:val="000000"/>
          <w:sz w:val="32"/>
          <w:szCs w:val="32"/>
        </w:rPr>
        <w:t>收件地址：东莞市麻涌镇大步村海心沙岛东莞市新东元环保投资有限公司二楼</w:t>
      </w:r>
    </w:p>
    <w:p w14:paraId="428D81F3">
      <w:pPr>
        <w:spacing w:before="156" w:line="600" w:lineRule="exact"/>
        <w:ind w:firstLine="640" w:firstLineChars="200"/>
        <w:rPr>
          <w:rFonts w:eastAsia="仿宋_GB2312"/>
          <w:color w:val="000000"/>
          <w:sz w:val="32"/>
          <w:szCs w:val="32"/>
        </w:rPr>
      </w:pPr>
      <w:r>
        <w:rPr>
          <w:rFonts w:hint="eastAsia" w:eastAsia="仿宋_GB2312"/>
          <w:color w:val="000000"/>
          <w:sz w:val="32"/>
          <w:szCs w:val="32"/>
        </w:rPr>
        <w:t>联系人：徐小姐</w:t>
      </w:r>
    </w:p>
    <w:p w14:paraId="60C4B7EE">
      <w:pPr>
        <w:spacing w:before="156" w:line="600" w:lineRule="exact"/>
        <w:ind w:firstLine="640" w:firstLineChars="200"/>
        <w:rPr>
          <w:rFonts w:eastAsia="仿宋_GB2312"/>
          <w:color w:val="000000"/>
          <w:sz w:val="32"/>
          <w:szCs w:val="32"/>
        </w:rPr>
      </w:pPr>
      <w:r>
        <w:rPr>
          <w:rFonts w:hint="eastAsia" w:eastAsia="仿宋_GB2312"/>
          <w:color w:val="000000"/>
          <w:sz w:val="32"/>
          <w:szCs w:val="32"/>
        </w:rPr>
        <w:t>联系电话：0769-81219261-6010</w:t>
      </w:r>
    </w:p>
    <w:bookmarkEnd w:id="7"/>
    <w:p w14:paraId="0F68C7E5">
      <w:pPr>
        <w:spacing w:before="0" w:line="600" w:lineRule="exact"/>
        <w:ind w:firstLine="643" w:firstLineChars="200"/>
        <w:rPr>
          <w:rFonts w:hint="default" w:eastAsia="仿宋_GB2312"/>
          <w:b/>
          <w:color w:val="000000"/>
          <w:sz w:val="32"/>
          <w:szCs w:val="32"/>
          <w:highlight w:val="none"/>
          <w:lang w:val="en-US" w:eastAsia="zh-CN"/>
        </w:rPr>
      </w:pPr>
    </w:p>
    <w:p w14:paraId="465F575F">
      <w:pPr>
        <w:adjustRightInd w:val="0"/>
        <w:snapToGrid w:val="0"/>
        <w:spacing w:before="156" w:line="600" w:lineRule="exact"/>
        <w:ind w:firstLine="0" w:firstLineChars="0"/>
        <w:outlineLvl w:val="1"/>
        <w:rPr>
          <w:rFonts w:eastAsia="黑体"/>
          <w:color w:val="000000"/>
          <w:sz w:val="32"/>
          <w:szCs w:val="32"/>
          <w:highlight w:val="none"/>
        </w:rPr>
      </w:pPr>
      <w:r>
        <w:rPr>
          <w:rFonts w:hint="eastAsia" w:eastAsia="黑体"/>
          <w:color w:val="000000"/>
          <w:sz w:val="32"/>
          <w:szCs w:val="32"/>
          <w:highlight w:val="none"/>
        </w:rPr>
        <w:t>十三、注意事项</w:t>
      </w:r>
    </w:p>
    <w:p w14:paraId="73A56069">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1、若响应人未按规定时间将文件送达现场，视为放弃</w:t>
      </w:r>
      <w:r>
        <w:rPr>
          <w:rFonts w:hint="eastAsia" w:eastAsia="仿宋_GB2312"/>
          <w:color w:val="000000"/>
          <w:sz w:val="32"/>
          <w:szCs w:val="32"/>
          <w:highlight w:val="none"/>
          <w:lang w:val="en-US" w:eastAsia="zh-CN"/>
        </w:rPr>
        <w:t>报价</w:t>
      </w:r>
      <w:r>
        <w:rPr>
          <w:rFonts w:hint="eastAsia" w:eastAsia="仿宋_GB2312"/>
          <w:color w:val="000000"/>
          <w:sz w:val="32"/>
          <w:szCs w:val="32"/>
          <w:highlight w:val="none"/>
        </w:rPr>
        <w:t>资格。</w:t>
      </w:r>
    </w:p>
    <w:p w14:paraId="77002FCF">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2、采购人向响应人提供的有关资料和数据，是采购人现有的能使响应人利用的资料，采购人对响应人由此而做出的推论、理解和结论概不负责。</w:t>
      </w:r>
    </w:p>
    <w:p w14:paraId="06E0D5BA">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3、本项目执行过程中将遵循国家、省、市有关法律、法规、标准、技术规范和规范性文件的最新规定。</w:t>
      </w:r>
    </w:p>
    <w:p w14:paraId="5438D4A7">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4、成交单位对采购文件中技术条款作出的负偏离，采购人如不接受，可要求成交单位以采购文件的要求为准，如成交单位拒绝的，采购人有权取消其成交资格或取消合同。采购人不作任何补偿。</w:t>
      </w:r>
    </w:p>
    <w:p w14:paraId="6661EA1A">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5、响应人如未按要求交纳报价保证金，则视为放弃报价资格。</w:t>
      </w:r>
    </w:p>
    <w:p w14:paraId="4809442E">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6、本项目仅可提交一个报价方案，提交两个或以上报价方案的响应人视为无效报价。</w:t>
      </w:r>
    </w:p>
    <w:p w14:paraId="37AB7D33">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7、本项目不接受响应人其他附加条件。</w:t>
      </w:r>
    </w:p>
    <w:p w14:paraId="3682D740">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8、有下列情形之一的，报价保证金将被没收，响应人纳入采购人供应商黑名单：</w:t>
      </w:r>
    </w:p>
    <w:p w14:paraId="5C98A55F">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1）中标后无正当理由放弃中标或不与采购人签订合同，又或者签订合同后不交定金（履约保证金）的。</w:t>
      </w:r>
    </w:p>
    <w:p w14:paraId="63F5BB28">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2）成交人将本项目转让给他人，或者在响应文件中未说明，且未经采购人同意，将中标项目分包给他人，采购人可没收其报价保证金。</w:t>
      </w:r>
    </w:p>
    <w:p w14:paraId="3154B51F">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3）响应人提供虚假响应文件或虚假补充文件。</w:t>
      </w:r>
    </w:p>
    <w:p w14:paraId="6E234F73">
      <w:pPr>
        <w:spacing w:before="156"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4）成交人在签订合同后，未按合同约定缴纳履约保证金。</w:t>
      </w:r>
    </w:p>
    <w:p w14:paraId="6408B8F4">
      <w:pPr>
        <w:spacing w:before="156"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9</w:t>
      </w:r>
      <w:r>
        <w:rPr>
          <w:rFonts w:hint="eastAsia" w:eastAsia="仿宋_GB2312"/>
          <w:color w:val="000000"/>
          <w:sz w:val="32"/>
          <w:szCs w:val="32"/>
        </w:rPr>
        <w:t>、有下列情形之一的，视为报价人串通</w:t>
      </w:r>
      <w:r>
        <w:rPr>
          <w:rFonts w:hint="eastAsia" w:eastAsia="仿宋_GB2312"/>
          <w:color w:val="000000"/>
          <w:sz w:val="32"/>
          <w:szCs w:val="32"/>
          <w:lang w:val="en-US" w:eastAsia="zh-CN"/>
        </w:rPr>
        <w:t>报</w:t>
      </w:r>
      <w:r>
        <w:rPr>
          <w:rFonts w:hint="eastAsia" w:eastAsia="仿宋_GB2312"/>
          <w:color w:val="000000"/>
          <w:sz w:val="32"/>
          <w:szCs w:val="32"/>
        </w:rPr>
        <w:t>价，其</w:t>
      </w:r>
      <w:r>
        <w:rPr>
          <w:rFonts w:hint="eastAsia" w:eastAsia="仿宋_GB2312"/>
          <w:color w:val="000000"/>
          <w:sz w:val="32"/>
          <w:szCs w:val="32"/>
          <w:lang w:val="en-US" w:eastAsia="zh-CN"/>
        </w:rPr>
        <w:t>响应</w:t>
      </w:r>
      <w:r>
        <w:rPr>
          <w:rFonts w:hint="eastAsia" w:eastAsia="仿宋_GB2312"/>
          <w:color w:val="000000"/>
          <w:sz w:val="32"/>
          <w:szCs w:val="32"/>
        </w:rPr>
        <w:t>无效</w:t>
      </w:r>
      <w:r>
        <w:rPr>
          <w:rFonts w:hint="eastAsia" w:eastAsia="仿宋_GB2312"/>
          <w:color w:val="000000"/>
          <w:sz w:val="32"/>
          <w:szCs w:val="32"/>
          <w:lang w:eastAsia="zh-CN"/>
        </w:rPr>
        <w:t>，</w:t>
      </w:r>
      <w:r>
        <w:rPr>
          <w:rFonts w:hint="eastAsia" w:eastAsia="仿宋_GB2312"/>
          <w:color w:val="000000"/>
          <w:sz w:val="32"/>
          <w:szCs w:val="32"/>
          <w:lang w:val="en-US" w:eastAsia="zh-CN"/>
        </w:rPr>
        <w:t>并纳入采购人供应商黑名单</w:t>
      </w:r>
      <w:r>
        <w:rPr>
          <w:rFonts w:hint="eastAsia" w:eastAsia="仿宋_GB2312"/>
          <w:color w:val="000000"/>
          <w:sz w:val="32"/>
          <w:szCs w:val="32"/>
        </w:rPr>
        <w:t>：</w:t>
      </w:r>
    </w:p>
    <w:p w14:paraId="74A1A42D">
      <w:pPr>
        <w:spacing w:before="156" w:line="600" w:lineRule="exact"/>
        <w:ind w:firstLine="640" w:firstLineChars="200"/>
        <w:rPr>
          <w:rFonts w:eastAsia="仿宋_GB2312"/>
          <w:color w:val="000000"/>
          <w:sz w:val="32"/>
          <w:szCs w:val="32"/>
        </w:rPr>
      </w:pPr>
      <w:r>
        <w:rPr>
          <w:rFonts w:hint="eastAsia" w:eastAsia="仿宋_GB2312"/>
          <w:color w:val="000000"/>
          <w:sz w:val="32"/>
          <w:szCs w:val="32"/>
        </w:rPr>
        <w:t>（1）不同报价人的响应文件由同一单位或者个人编制；</w:t>
      </w:r>
    </w:p>
    <w:p w14:paraId="5079F298">
      <w:pPr>
        <w:spacing w:before="156" w:line="600" w:lineRule="exact"/>
        <w:ind w:firstLine="640" w:firstLineChars="200"/>
        <w:rPr>
          <w:rFonts w:eastAsia="仿宋_GB2312"/>
          <w:color w:val="000000"/>
          <w:sz w:val="32"/>
          <w:szCs w:val="32"/>
        </w:rPr>
      </w:pPr>
      <w:r>
        <w:rPr>
          <w:rFonts w:hint="eastAsia" w:eastAsia="仿宋_GB2312"/>
          <w:color w:val="000000"/>
          <w:sz w:val="32"/>
          <w:szCs w:val="32"/>
        </w:rPr>
        <w:t>（2）不同报价人委托同一单位或者个人办理报价事宜；</w:t>
      </w:r>
    </w:p>
    <w:p w14:paraId="3BD8DCC5">
      <w:pPr>
        <w:spacing w:before="156" w:line="600" w:lineRule="exact"/>
        <w:ind w:firstLine="640" w:firstLineChars="200"/>
        <w:rPr>
          <w:rFonts w:eastAsia="仿宋_GB2312"/>
          <w:color w:val="000000"/>
          <w:sz w:val="32"/>
          <w:szCs w:val="32"/>
        </w:rPr>
      </w:pPr>
      <w:r>
        <w:rPr>
          <w:rFonts w:hint="eastAsia" w:eastAsia="仿宋_GB2312"/>
          <w:color w:val="000000"/>
          <w:sz w:val="32"/>
          <w:szCs w:val="32"/>
        </w:rPr>
        <w:t>（3）不同报价人的响应文件载明的项目管理成员或者联系人员为同一人；</w:t>
      </w:r>
    </w:p>
    <w:p w14:paraId="7ABCA50C">
      <w:pPr>
        <w:spacing w:before="156" w:line="600" w:lineRule="exact"/>
        <w:ind w:firstLine="640" w:firstLineChars="200"/>
        <w:rPr>
          <w:rFonts w:eastAsia="仿宋_GB2312"/>
          <w:color w:val="000000"/>
          <w:sz w:val="32"/>
          <w:szCs w:val="32"/>
        </w:rPr>
      </w:pPr>
      <w:r>
        <w:rPr>
          <w:rFonts w:hint="eastAsia" w:eastAsia="仿宋_GB2312"/>
          <w:color w:val="000000"/>
          <w:sz w:val="32"/>
          <w:szCs w:val="32"/>
        </w:rPr>
        <w:t>（4）不同报价人的响应文件异常一致或者报价呈规律性差异；</w:t>
      </w:r>
    </w:p>
    <w:p w14:paraId="2C11CEA1">
      <w:pPr>
        <w:spacing w:before="156" w:line="600" w:lineRule="exact"/>
        <w:ind w:firstLine="640" w:firstLineChars="200"/>
        <w:rPr>
          <w:rFonts w:eastAsia="仿宋_GB2312"/>
          <w:color w:val="000000"/>
          <w:sz w:val="32"/>
          <w:szCs w:val="32"/>
        </w:rPr>
      </w:pPr>
      <w:r>
        <w:rPr>
          <w:rFonts w:hint="eastAsia" w:eastAsia="仿宋_GB2312"/>
          <w:color w:val="000000"/>
          <w:sz w:val="32"/>
          <w:szCs w:val="32"/>
        </w:rPr>
        <w:t>（5）不同报价人的响应文件相互混装；</w:t>
      </w:r>
    </w:p>
    <w:p w14:paraId="589CC7B1">
      <w:pPr>
        <w:spacing w:before="156" w:line="600" w:lineRule="exact"/>
        <w:ind w:firstLine="640" w:firstLineChars="200"/>
        <w:rPr>
          <w:rFonts w:eastAsia="仿宋_GB2312"/>
          <w:color w:val="000000"/>
          <w:sz w:val="32"/>
          <w:szCs w:val="32"/>
        </w:rPr>
      </w:pPr>
      <w:r>
        <w:rPr>
          <w:rFonts w:hint="eastAsia" w:eastAsia="仿宋_GB2312"/>
          <w:color w:val="000000"/>
          <w:sz w:val="32"/>
          <w:szCs w:val="32"/>
        </w:rPr>
        <w:t>（6）不同报价人的报价保证金从同一单位或者个人的账户转出。</w:t>
      </w:r>
    </w:p>
    <w:p w14:paraId="782888D9">
      <w:pPr>
        <w:spacing w:before="156"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10</w:t>
      </w:r>
      <w:r>
        <w:rPr>
          <w:rFonts w:hint="eastAsia" w:eastAsia="仿宋_GB2312"/>
          <w:color w:val="000000"/>
          <w:sz w:val="32"/>
          <w:szCs w:val="32"/>
        </w:rPr>
        <w:t>、已列入采购人及上级单位部门黑名单的报价人的响应文件视为无效。</w:t>
      </w:r>
    </w:p>
    <w:p w14:paraId="285A4D7C">
      <w:pPr>
        <w:spacing w:before="156" w:line="600" w:lineRule="exact"/>
        <w:ind w:firstLine="640" w:firstLineChars="200"/>
        <w:rPr>
          <w:rFonts w:hint="eastAsia" w:eastAsia="仿宋_GB2312"/>
          <w:color w:val="000000"/>
          <w:sz w:val="32"/>
          <w:szCs w:val="32"/>
          <w:highlight w:val="none"/>
        </w:rPr>
      </w:pPr>
    </w:p>
    <w:p w14:paraId="27D70D92">
      <w:pPr>
        <w:spacing w:before="156" w:line="600" w:lineRule="exact"/>
        <w:ind w:firstLine="640" w:firstLineChars="200"/>
        <w:jc w:val="right"/>
        <w:rPr>
          <w:rFonts w:eastAsia="仿宋_GB2312"/>
          <w:color w:val="000000"/>
          <w:sz w:val="32"/>
          <w:szCs w:val="32"/>
          <w:highlight w:val="none"/>
        </w:rPr>
      </w:pPr>
      <w:r>
        <w:rPr>
          <w:rFonts w:hint="eastAsia" w:eastAsia="仿宋_GB2312"/>
          <w:color w:val="000000"/>
          <w:sz w:val="32"/>
          <w:szCs w:val="32"/>
          <w:highlight w:val="none"/>
        </w:rPr>
        <w:t>东莞市新东元环保投资有限公司</w:t>
      </w:r>
    </w:p>
    <w:p w14:paraId="4347E466">
      <w:pPr>
        <w:spacing w:before="156" w:line="600" w:lineRule="exact"/>
        <w:ind w:firstLine="640" w:firstLineChars="200"/>
        <w:jc w:val="right"/>
        <w:rPr>
          <w:rFonts w:eastAsia="仿宋_GB2312"/>
          <w:color w:val="000000"/>
          <w:sz w:val="32"/>
          <w:szCs w:val="32"/>
          <w:highlight w:val="none"/>
        </w:rPr>
      </w:pPr>
      <w:r>
        <w:rPr>
          <w:rFonts w:hint="eastAsia" w:eastAsia="仿宋_GB2312"/>
          <w:color w:val="000000"/>
          <w:sz w:val="32"/>
          <w:szCs w:val="32"/>
          <w:highlight w:val="none"/>
        </w:rPr>
        <w:t>202</w:t>
      </w:r>
      <w:r>
        <w:rPr>
          <w:rFonts w:hint="eastAsia" w:eastAsia="仿宋_GB2312"/>
          <w:color w:val="000000"/>
          <w:sz w:val="32"/>
          <w:szCs w:val="32"/>
          <w:highlight w:val="none"/>
          <w:lang w:val="en-US" w:eastAsia="zh-CN"/>
        </w:rPr>
        <w:t>5</w:t>
      </w:r>
      <w:r>
        <w:rPr>
          <w:rFonts w:hint="eastAsia" w:eastAsia="仿宋_GB2312"/>
          <w:color w:val="000000"/>
          <w:sz w:val="32"/>
          <w:szCs w:val="32"/>
          <w:highlight w:val="none"/>
        </w:rPr>
        <w:t>年</w:t>
      </w:r>
      <w:r>
        <w:rPr>
          <w:rFonts w:hint="eastAsia" w:eastAsia="仿宋_GB2312"/>
          <w:color w:val="000000"/>
          <w:sz w:val="32"/>
          <w:szCs w:val="32"/>
          <w:highlight w:val="none"/>
          <w:lang w:val="en-US" w:eastAsia="zh-CN"/>
        </w:rPr>
        <w:t xml:space="preserve">11 </w:t>
      </w:r>
      <w:r>
        <w:rPr>
          <w:rFonts w:hint="eastAsia" w:eastAsia="仿宋_GB2312"/>
          <w:color w:val="000000"/>
          <w:sz w:val="32"/>
          <w:szCs w:val="32"/>
          <w:highlight w:val="none"/>
        </w:rPr>
        <w:t>月</w:t>
      </w:r>
      <w:r>
        <w:rPr>
          <w:rFonts w:hint="eastAsia" w:eastAsia="仿宋_GB2312"/>
          <w:color w:val="000000"/>
          <w:sz w:val="32"/>
          <w:szCs w:val="32"/>
          <w:highlight w:val="none"/>
          <w:lang w:val="en-US" w:eastAsia="zh-CN"/>
        </w:rPr>
        <w:t>27</w:t>
      </w:r>
      <w:r>
        <w:rPr>
          <w:rFonts w:hint="eastAsia" w:eastAsia="仿宋_GB2312"/>
          <w:color w:val="000000"/>
          <w:sz w:val="32"/>
          <w:szCs w:val="32"/>
          <w:highlight w:val="none"/>
        </w:rPr>
        <w:t>日</w:t>
      </w:r>
    </w:p>
    <w:p w14:paraId="70B32C24">
      <w:pPr>
        <w:spacing w:before="156" w:line="600" w:lineRule="exact"/>
        <w:ind w:firstLine="640" w:firstLineChars="200"/>
        <w:rPr>
          <w:rFonts w:eastAsia="仿宋_GB2312"/>
          <w:color w:val="000000"/>
          <w:sz w:val="32"/>
          <w:szCs w:val="32"/>
          <w:highlight w:val="none"/>
        </w:rPr>
      </w:pPr>
    </w:p>
    <w:p w14:paraId="50F2228D">
      <w:pPr>
        <w:rPr>
          <w:highlight w:val="none"/>
        </w:rPr>
      </w:pPr>
    </w:p>
    <w:p w14:paraId="7453697A">
      <w:pPr>
        <w:rPr>
          <w:highlight w:val="none"/>
        </w:rPr>
      </w:pPr>
      <w:r>
        <w:rPr>
          <w:highlight w:val="none"/>
        </w:rPr>
        <w:br w:type="page"/>
      </w:r>
    </w:p>
    <w:p w14:paraId="188F87EB">
      <w:pPr>
        <w:pStyle w:val="256"/>
        <w:numPr>
          <w:ilvl w:val="0"/>
          <w:numId w:val="5"/>
        </w:numPr>
        <w:spacing w:before="156"/>
        <w:ind w:left="420" w:firstLineChars="0"/>
        <w:outlineLvl w:val="1"/>
        <w:rPr>
          <w:rFonts w:ascii="仿宋" w:hAnsi="仿宋" w:eastAsia="仿宋"/>
          <w:b/>
          <w:bCs/>
          <w:sz w:val="28"/>
          <w:szCs w:val="44"/>
          <w:highlight w:val="none"/>
        </w:rPr>
      </w:pPr>
      <w:bookmarkStart w:id="9" w:name="_Hlk524442005"/>
      <w:r>
        <w:rPr>
          <w:rFonts w:hint="eastAsia" w:ascii="仿宋" w:hAnsi="仿宋" w:eastAsia="仿宋"/>
          <w:b/>
          <w:bCs/>
          <w:sz w:val="28"/>
          <w:szCs w:val="44"/>
          <w:highlight w:val="none"/>
        </w:rPr>
        <w:t>密封文件袋封面</w:t>
      </w:r>
    </w:p>
    <w:p w14:paraId="615CC152">
      <w:pPr>
        <w:adjustRightInd w:val="0"/>
        <w:snapToGrid w:val="0"/>
        <w:spacing w:before="156"/>
        <w:jc w:val="center"/>
        <w:rPr>
          <w:rFonts w:hint="eastAsia" w:ascii="仿宋" w:hAnsi="仿宋" w:eastAsia="仿宋"/>
          <w:b/>
          <w:bCs/>
          <w:sz w:val="52"/>
          <w:szCs w:val="52"/>
          <w:highlight w:val="none"/>
          <w:lang w:eastAsia="zh-CN"/>
        </w:rPr>
      </w:pPr>
      <w:r>
        <w:rPr>
          <w:rFonts w:hint="eastAsia" w:ascii="仿宋" w:hAnsi="仿宋" w:eastAsia="仿宋"/>
          <w:b/>
          <w:bCs/>
          <w:sz w:val="52"/>
          <w:szCs w:val="52"/>
          <w:highlight w:val="none"/>
          <w:lang w:eastAsia="zh-CN"/>
        </w:rPr>
        <w:t>海心沙环保热电厂#1、#2厌氧罐外立面防腐采购项目</w:t>
      </w:r>
    </w:p>
    <w:p w14:paraId="55789995">
      <w:pPr>
        <w:adjustRightInd w:val="0"/>
        <w:snapToGrid w:val="0"/>
        <w:spacing w:before="156"/>
        <w:jc w:val="center"/>
        <w:rPr>
          <w:rFonts w:ascii="仿宋" w:hAnsi="仿宋" w:eastAsia="仿宋"/>
          <w:b/>
          <w:bCs/>
          <w:sz w:val="52"/>
          <w:szCs w:val="52"/>
          <w:highlight w:val="none"/>
        </w:rPr>
      </w:pPr>
      <w:r>
        <w:rPr>
          <w:rFonts w:hint="eastAsia" w:ascii="仿宋" w:hAnsi="仿宋" w:eastAsia="仿宋"/>
          <w:b/>
          <w:bCs/>
          <w:sz w:val="52"/>
          <w:szCs w:val="52"/>
          <w:highlight w:val="none"/>
        </w:rPr>
        <w:t>响应文件</w:t>
      </w:r>
    </w:p>
    <w:p w14:paraId="683C706B">
      <w:pPr>
        <w:spacing w:before="156"/>
        <w:rPr>
          <w:rFonts w:ascii="仿宋" w:hAnsi="仿宋" w:eastAsia="仿宋"/>
          <w:sz w:val="32"/>
          <w:szCs w:val="32"/>
          <w:highlight w:val="none"/>
        </w:rPr>
      </w:pPr>
    </w:p>
    <w:p w14:paraId="760B2BCE">
      <w:pPr>
        <w:spacing w:before="156"/>
        <w:rPr>
          <w:rFonts w:ascii="仿宋" w:hAnsi="仿宋" w:eastAsia="仿宋"/>
          <w:sz w:val="32"/>
          <w:szCs w:val="32"/>
          <w:highlight w:val="none"/>
        </w:rPr>
      </w:pPr>
    </w:p>
    <w:p w14:paraId="6B7D4F83">
      <w:pPr>
        <w:spacing w:before="156"/>
        <w:rPr>
          <w:rFonts w:ascii="仿宋" w:hAnsi="仿宋" w:eastAsia="仿宋"/>
          <w:sz w:val="32"/>
          <w:szCs w:val="32"/>
          <w:highlight w:val="none"/>
        </w:rPr>
      </w:pPr>
    </w:p>
    <w:p w14:paraId="0E6D7148">
      <w:pPr>
        <w:spacing w:before="156"/>
        <w:rPr>
          <w:rFonts w:ascii="仿宋" w:hAnsi="仿宋" w:eastAsia="仿宋"/>
          <w:sz w:val="32"/>
          <w:szCs w:val="32"/>
          <w:highlight w:val="none"/>
        </w:rPr>
      </w:pPr>
    </w:p>
    <w:p w14:paraId="6FC27AD2">
      <w:pPr>
        <w:spacing w:before="156"/>
        <w:rPr>
          <w:rFonts w:ascii="仿宋" w:hAnsi="仿宋" w:eastAsia="仿宋"/>
          <w:sz w:val="32"/>
          <w:szCs w:val="32"/>
          <w:highlight w:val="none"/>
        </w:rPr>
      </w:pPr>
    </w:p>
    <w:p w14:paraId="2D9ACF55">
      <w:pPr>
        <w:spacing w:before="156"/>
        <w:ind w:firstLine="566" w:firstLineChars="177"/>
        <w:rPr>
          <w:rFonts w:ascii="仿宋" w:hAnsi="仿宋" w:eastAsia="仿宋"/>
          <w:sz w:val="32"/>
          <w:szCs w:val="32"/>
          <w:highlight w:val="none"/>
        </w:rPr>
      </w:pPr>
      <w:r>
        <w:rPr>
          <w:rFonts w:hint="eastAsia" w:ascii="仿宋" w:hAnsi="仿宋" w:eastAsia="仿宋"/>
          <w:sz w:val="32"/>
          <w:szCs w:val="32"/>
          <w:highlight w:val="none"/>
          <w:lang w:eastAsia="zh-CN"/>
        </w:rPr>
        <w:t>响应人</w:t>
      </w:r>
      <w:r>
        <w:rPr>
          <w:rFonts w:hint="eastAsia" w:ascii="仿宋" w:hAnsi="仿宋" w:eastAsia="仿宋"/>
          <w:sz w:val="32"/>
          <w:szCs w:val="32"/>
          <w:highlight w:val="none"/>
        </w:rPr>
        <w:t>名称（加盖公章）：</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6D7A85E6">
      <w:pPr>
        <w:spacing w:before="156"/>
        <w:ind w:firstLine="566" w:firstLineChars="177"/>
        <w:rPr>
          <w:rFonts w:ascii="仿宋" w:hAnsi="仿宋" w:eastAsia="仿宋"/>
          <w:sz w:val="32"/>
          <w:szCs w:val="32"/>
          <w:highlight w:val="none"/>
        </w:rPr>
      </w:pPr>
      <w:r>
        <w:rPr>
          <w:rFonts w:hint="eastAsia" w:ascii="仿宋" w:hAnsi="仿宋" w:eastAsia="仿宋"/>
          <w:sz w:val="32"/>
          <w:szCs w:val="32"/>
          <w:highlight w:val="none"/>
        </w:rPr>
        <w:t>联系人：</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05CE0F01">
      <w:pPr>
        <w:spacing w:before="156"/>
        <w:ind w:firstLine="566" w:firstLineChars="177"/>
        <w:rPr>
          <w:rFonts w:ascii="仿宋" w:hAnsi="仿宋" w:eastAsia="仿宋"/>
          <w:sz w:val="32"/>
          <w:szCs w:val="32"/>
          <w:highlight w:val="none"/>
        </w:rPr>
      </w:pPr>
      <w:r>
        <w:rPr>
          <w:rFonts w:hint="eastAsia" w:ascii="仿宋" w:hAnsi="仿宋" w:eastAsia="仿宋"/>
          <w:sz w:val="32"/>
          <w:szCs w:val="32"/>
          <w:highlight w:val="none"/>
        </w:rPr>
        <w:t>联系电话：</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3CC05830">
      <w:pPr>
        <w:spacing w:before="156"/>
        <w:ind w:firstLine="566" w:firstLineChars="177"/>
        <w:rPr>
          <w:rFonts w:ascii="仿宋" w:hAnsi="仿宋" w:eastAsia="仿宋"/>
          <w:sz w:val="32"/>
          <w:szCs w:val="32"/>
          <w:highlight w:val="none"/>
          <w:u w:val="single"/>
        </w:rPr>
      </w:pPr>
      <w:r>
        <w:rPr>
          <w:rFonts w:hint="eastAsia" w:ascii="仿宋" w:hAnsi="仿宋" w:eastAsia="仿宋"/>
          <w:sz w:val="32"/>
          <w:szCs w:val="32"/>
          <w:highlight w:val="none"/>
        </w:rPr>
        <w:t>日期：</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78598742">
      <w:pPr>
        <w:pStyle w:val="51"/>
        <w:spacing w:before="156"/>
        <w:ind w:left="0" w:leftChars="0" w:firstLine="480"/>
        <w:rPr>
          <w:highlight w:val="none"/>
        </w:rPr>
      </w:pPr>
    </w:p>
    <w:p w14:paraId="75FF91ED">
      <w:pPr>
        <w:pStyle w:val="51"/>
        <w:spacing w:before="156"/>
        <w:ind w:left="0" w:leftChars="0" w:firstLine="480"/>
        <w:rPr>
          <w:highlight w:val="none"/>
        </w:rPr>
      </w:pPr>
    </w:p>
    <w:p w14:paraId="073B9297">
      <w:pPr>
        <w:pStyle w:val="51"/>
        <w:spacing w:before="156"/>
        <w:ind w:left="0" w:leftChars="0" w:firstLine="480"/>
        <w:rPr>
          <w:highlight w:val="none"/>
        </w:rPr>
      </w:pPr>
    </w:p>
    <w:p w14:paraId="460A4B39">
      <w:pPr>
        <w:pStyle w:val="51"/>
        <w:spacing w:before="156"/>
        <w:ind w:left="0" w:leftChars="0" w:firstLine="480"/>
        <w:rPr>
          <w:highlight w:val="none"/>
        </w:rPr>
      </w:pPr>
    </w:p>
    <w:p w14:paraId="4F8F7C26">
      <w:pPr>
        <w:pStyle w:val="256"/>
        <w:numPr>
          <w:ilvl w:val="0"/>
          <w:numId w:val="5"/>
        </w:numPr>
        <w:spacing w:before="156"/>
        <w:ind w:left="420" w:firstLineChars="0"/>
        <w:outlineLvl w:val="1"/>
        <w:rPr>
          <w:rFonts w:ascii="仿宋" w:hAnsi="仿宋" w:eastAsia="仿宋"/>
          <w:b/>
          <w:bCs/>
          <w:sz w:val="28"/>
          <w:szCs w:val="44"/>
          <w:highlight w:val="none"/>
        </w:rPr>
      </w:pPr>
      <w:r>
        <w:rPr>
          <w:rFonts w:ascii="仿宋" w:hAnsi="仿宋" w:eastAsia="仿宋"/>
          <w:b/>
          <w:bCs/>
          <w:sz w:val="28"/>
          <w:szCs w:val="44"/>
          <w:highlight w:val="none"/>
        </w:rPr>
        <w:t>报价函</w:t>
      </w:r>
    </w:p>
    <w:p w14:paraId="09808D18">
      <w:pPr>
        <w:spacing w:before="156"/>
        <w:jc w:val="center"/>
        <w:rPr>
          <w:rFonts w:ascii="仿宋" w:hAnsi="仿宋" w:eastAsia="仿宋"/>
          <w:sz w:val="44"/>
          <w:szCs w:val="44"/>
          <w:highlight w:val="none"/>
        </w:rPr>
      </w:pPr>
      <w:r>
        <w:rPr>
          <w:rFonts w:ascii="仿宋" w:hAnsi="仿宋" w:eastAsia="仿宋"/>
          <w:sz w:val="44"/>
          <w:szCs w:val="44"/>
          <w:highlight w:val="none"/>
        </w:rPr>
        <w:t>报价函</w:t>
      </w:r>
    </w:p>
    <w:p w14:paraId="2BE26092">
      <w:pPr>
        <w:spacing w:before="156"/>
        <w:ind w:firstLine="560"/>
        <w:rPr>
          <w:rFonts w:ascii="仿宋" w:hAnsi="仿宋" w:eastAsia="仿宋"/>
          <w:sz w:val="32"/>
          <w:szCs w:val="32"/>
          <w:highlight w:val="none"/>
        </w:rPr>
      </w:pPr>
    </w:p>
    <w:p w14:paraId="6945D82B">
      <w:pPr>
        <w:spacing w:before="156"/>
        <w:rPr>
          <w:rFonts w:ascii="仿宋" w:hAnsi="仿宋" w:eastAsia="仿宋"/>
          <w:sz w:val="32"/>
          <w:szCs w:val="32"/>
          <w:highlight w:val="none"/>
        </w:rPr>
      </w:pPr>
      <w:r>
        <w:rPr>
          <w:rFonts w:ascii="仿宋" w:hAnsi="仿宋" w:eastAsia="仿宋"/>
          <w:sz w:val="32"/>
          <w:szCs w:val="32"/>
          <w:highlight w:val="none"/>
        </w:rPr>
        <w:t>东莞市</w:t>
      </w:r>
      <w:r>
        <w:rPr>
          <w:rFonts w:hint="eastAsia" w:ascii="仿宋" w:hAnsi="仿宋" w:eastAsia="仿宋"/>
          <w:sz w:val="32"/>
          <w:szCs w:val="32"/>
          <w:highlight w:val="none"/>
        </w:rPr>
        <w:t>新东元</w:t>
      </w:r>
      <w:r>
        <w:rPr>
          <w:rFonts w:ascii="仿宋" w:hAnsi="仿宋" w:eastAsia="仿宋"/>
          <w:sz w:val="32"/>
          <w:szCs w:val="32"/>
          <w:highlight w:val="none"/>
        </w:rPr>
        <w:t>环保投资有限公司：</w:t>
      </w:r>
    </w:p>
    <w:p w14:paraId="77AE747D">
      <w:pPr>
        <w:spacing w:before="156"/>
        <w:ind w:firstLine="640" w:firstLineChars="200"/>
        <w:rPr>
          <w:rFonts w:ascii="仿宋" w:hAnsi="仿宋" w:eastAsia="仿宋"/>
          <w:sz w:val="32"/>
          <w:szCs w:val="32"/>
          <w:highlight w:val="none"/>
        </w:rPr>
      </w:pPr>
      <w:r>
        <w:rPr>
          <w:rFonts w:ascii="仿宋" w:hAnsi="仿宋" w:eastAsia="仿宋"/>
          <w:sz w:val="32"/>
          <w:szCs w:val="32"/>
          <w:highlight w:val="none"/>
        </w:rPr>
        <w:t>针对贵司关于</w:t>
      </w:r>
      <w:r>
        <w:rPr>
          <w:rFonts w:hint="eastAsia" w:ascii="仿宋" w:hAnsi="仿宋" w:eastAsia="仿宋"/>
          <w:sz w:val="32"/>
          <w:szCs w:val="32"/>
          <w:highlight w:val="none"/>
        </w:rPr>
        <w:t>海心沙环保热电厂#1、#2厌氧罐外立面防腐采购项目</w:t>
      </w:r>
      <w:r>
        <w:rPr>
          <w:rFonts w:ascii="仿宋" w:hAnsi="仿宋" w:eastAsia="仿宋"/>
          <w:sz w:val="32"/>
          <w:szCs w:val="32"/>
          <w:highlight w:val="none"/>
        </w:rPr>
        <w:t>，我司愿意以价税合计人民币xxxx元（大写），</w:t>
      </w:r>
      <w:r>
        <w:rPr>
          <w:rFonts w:ascii="Calibri" w:hAnsi="Calibri" w:eastAsia="仿宋" w:cs="Calibri"/>
          <w:sz w:val="32"/>
          <w:szCs w:val="32"/>
          <w:highlight w:val="none"/>
        </w:rPr>
        <w:t>¥</w:t>
      </w:r>
      <w:r>
        <w:rPr>
          <w:rFonts w:ascii="仿宋" w:hAnsi="仿宋" w:eastAsia="仿宋"/>
          <w:sz w:val="32"/>
          <w:szCs w:val="32"/>
          <w:highlight w:val="none"/>
        </w:rPr>
        <w:t>xxx.00（小写）</w:t>
      </w:r>
      <w:r>
        <w:rPr>
          <w:rFonts w:hint="eastAsia" w:ascii="仿宋" w:hAnsi="仿宋" w:eastAsia="仿宋"/>
          <w:sz w:val="32"/>
          <w:szCs w:val="32"/>
          <w:highlight w:val="none"/>
        </w:rPr>
        <w:t>承接此项目</w:t>
      </w:r>
      <w:r>
        <w:rPr>
          <w:rFonts w:ascii="仿宋" w:hAnsi="仿宋" w:eastAsia="仿宋"/>
          <w:sz w:val="32"/>
          <w:szCs w:val="32"/>
          <w:highlight w:val="none"/>
        </w:rPr>
        <w:t>。</w:t>
      </w:r>
      <w:r>
        <w:rPr>
          <w:rFonts w:hint="eastAsia" w:ascii="仿宋" w:hAnsi="仿宋" w:eastAsia="仿宋"/>
          <w:sz w:val="32"/>
          <w:szCs w:val="32"/>
          <w:highlight w:val="none"/>
        </w:rPr>
        <w:t>本报价含税，开具增值税专用发票，票面税率    %。</w:t>
      </w:r>
    </w:p>
    <w:p w14:paraId="1B9F5595">
      <w:pPr>
        <w:spacing w:before="156"/>
        <w:rPr>
          <w:rFonts w:ascii="仿宋" w:hAnsi="仿宋" w:eastAsia="仿宋"/>
          <w:sz w:val="32"/>
          <w:szCs w:val="32"/>
          <w:highlight w:val="none"/>
        </w:rPr>
      </w:pPr>
    </w:p>
    <w:p w14:paraId="4796A358">
      <w:pPr>
        <w:spacing w:before="156"/>
        <w:rPr>
          <w:rFonts w:ascii="仿宋" w:hAnsi="仿宋" w:eastAsia="仿宋"/>
          <w:sz w:val="32"/>
          <w:szCs w:val="32"/>
          <w:highlight w:val="none"/>
        </w:rPr>
      </w:pPr>
    </w:p>
    <w:p w14:paraId="114E6B88">
      <w:pPr>
        <w:spacing w:before="156"/>
        <w:rPr>
          <w:rFonts w:ascii="仿宋" w:hAnsi="仿宋" w:eastAsia="仿宋"/>
          <w:sz w:val="32"/>
          <w:szCs w:val="32"/>
          <w:highlight w:val="none"/>
        </w:rPr>
      </w:pPr>
    </w:p>
    <w:p w14:paraId="31C5DFCD">
      <w:pPr>
        <w:spacing w:before="156"/>
        <w:rPr>
          <w:rFonts w:ascii="仿宋" w:hAnsi="仿宋" w:eastAsia="仿宋"/>
          <w:sz w:val="32"/>
          <w:szCs w:val="32"/>
          <w:highlight w:val="none"/>
        </w:rPr>
      </w:pPr>
      <w:r>
        <w:rPr>
          <w:rFonts w:hint="eastAsia" w:ascii="仿宋" w:hAnsi="仿宋" w:eastAsia="仿宋"/>
          <w:sz w:val="32"/>
          <w:szCs w:val="32"/>
          <w:highlight w:val="none"/>
          <w:lang w:eastAsia="zh-CN"/>
        </w:rPr>
        <w:t>响应人</w:t>
      </w:r>
      <w:r>
        <w:rPr>
          <w:rFonts w:ascii="仿宋" w:hAnsi="仿宋" w:eastAsia="仿宋"/>
          <w:sz w:val="32"/>
          <w:szCs w:val="32"/>
          <w:highlight w:val="none"/>
        </w:rPr>
        <w:t>名称（加盖公章）：</w:t>
      </w:r>
    </w:p>
    <w:p w14:paraId="1D675DB7">
      <w:pPr>
        <w:wordWrap w:val="0"/>
        <w:spacing w:before="156"/>
        <w:rPr>
          <w:rFonts w:ascii="仿宋" w:hAnsi="仿宋" w:eastAsia="仿宋"/>
          <w:sz w:val="32"/>
          <w:szCs w:val="32"/>
          <w:highlight w:val="none"/>
        </w:rPr>
      </w:pPr>
      <w:r>
        <w:rPr>
          <w:rFonts w:ascii="仿宋" w:hAnsi="仿宋" w:eastAsia="仿宋"/>
          <w:sz w:val="32"/>
          <w:szCs w:val="32"/>
          <w:highlight w:val="none"/>
        </w:rPr>
        <w:t>法定代表人</w:t>
      </w:r>
      <w:r>
        <w:rPr>
          <w:rFonts w:hint="eastAsia" w:ascii="仿宋" w:hAnsi="仿宋" w:eastAsia="仿宋"/>
          <w:sz w:val="32"/>
          <w:szCs w:val="32"/>
          <w:highlight w:val="none"/>
          <w:lang w:val="en-US" w:eastAsia="zh-CN"/>
        </w:rPr>
        <w:t>或受委托人</w:t>
      </w:r>
      <w:r>
        <w:rPr>
          <w:rFonts w:ascii="仿宋" w:hAnsi="仿宋" w:eastAsia="仿宋"/>
          <w:sz w:val="32"/>
          <w:szCs w:val="32"/>
          <w:highlight w:val="none"/>
        </w:rPr>
        <w:t>（签名或盖章）：</w:t>
      </w:r>
    </w:p>
    <w:p w14:paraId="4D494084">
      <w:pPr>
        <w:wordWrap w:val="0"/>
        <w:spacing w:before="156"/>
        <w:rPr>
          <w:rFonts w:ascii="仿宋" w:hAnsi="仿宋" w:eastAsia="仿宋"/>
          <w:sz w:val="32"/>
          <w:szCs w:val="32"/>
          <w:highlight w:val="none"/>
        </w:rPr>
      </w:pPr>
      <w:r>
        <w:rPr>
          <w:rFonts w:ascii="仿宋" w:hAnsi="仿宋" w:eastAsia="仿宋"/>
          <w:sz w:val="32"/>
          <w:szCs w:val="32"/>
          <w:highlight w:val="none"/>
        </w:rPr>
        <w:t>联系人：</w:t>
      </w:r>
    </w:p>
    <w:p w14:paraId="2765DF28">
      <w:pPr>
        <w:wordWrap w:val="0"/>
        <w:spacing w:before="156"/>
        <w:rPr>
          <w:rFonts w:ascii="仿宋" w:hAnsi="仿宋" w:eastAsia="仿宋"/>
          <w:sz w:val="32"/>
          <w:szCs w:val="32"/>
          <w:highlight w:val="none"/>
        </w:rPr>
      </w:pPr>
      <w:r>
        <w:rPr>
          <w:rFonts w:ascii="仿宋" w:hAnsi="仿宋" w:eastAsia="仿宋"/>
          <w:sz w:val="32"/>
          <w:szCs w:val="32"/>
          <w:highlight w:val="none"/>
        </w:rPr>
        <w:t>联系电话：</w:t>
      </w:r>
    </w:p>
    <w:p w14:paraId="5F386137">
      <w:pPr>
        <w:wordWrap w:val="0"/>
        <w:spacing w:before="156"/>
        <w:rPr>
          <w:rFonts w:ascii="仿宋" w:hAnsi="仿宋" w:eastAsia="仿宋"/>
          <w:sz w:val="32"/>
          <w:szCs w:val="32"/>
          <w:highlight w:val="none"/>
        </w:rPr>
      </w:pPr>
      <w:r>
        <w:rPr>
          <w:rFonts w:ascii="仿宋" w:hAnsi="仿宋" w:eastAsia="仿宋"/>
          <w:sz w:val="32"/>
          <w:szCs w:val="32"/>
          <w:highlight w:val="none"/>
        </w:rPr>
        <w:t>日期：</w:t>
      </w:r>
    </w:p>
    <w:p w14:paraId="5BB555AD">
      <w:pPr>
        <w:spacing w:before="156"/>
        <w:rPr>
          <w:rFonts w:ascii="宋体" w:hAnsi="宋体"/>
          <w:sz w:val="36"/>
          <w:szCs w:val="36"/>
          <w:highlight w:val="none"/>
        </w:rPr>
      </w:pPr>
    </w:p>
    <w:p w14:paraId="5F412E10">
      <w:pPr>
        <w:widowControl/>
        <w:spacing w:beforeLines="0" w:line="240" w:lineRule="auto"/>
        <w:rPr>
          <w:rFonts w:ascii="宋体" w:hAnsi="宋体"/>
          <w:sz w:val="36"/>
          <w:szCs w:val="36"/>
          <w:highlight w:val="none"/>
        </w:rPr>
      </w:pPr>
      <w:r>
        <w:rPr>
          <w:rFonts w:ascii="宋体" w:hAnsi="宋体"/>
          <w:sz w:val="36"/>
          <w:szCs w:val="36"/>
          <w:highlight w:val="none"/>
        </w:rPr>
        <w:br w:type="page"/>
      </w:r>
    </w:p>
    <w:p w14:paraId="2A774F06">
      <w:pPr>
        <w:pStyle w:val="256"/>
        <w:numPr>
          <w:ilvl w:val="0"/>
          <w:numId w:val="5"/>
        </w:numPr>
        <w:spacing w:before="156"/>
        <w:ind w:left="420" w:firstLineChars="0"/>
        <w:outlineLvl w:val="1"/>
        <w:rPr>
          <w:rFonts w:hint="default" w:ascii="仿宋" w:hAnsi="仿宋" w:eastAsia="仿宋"/>
          <w:b/>
          <w:bCs/>
          <w:sz w:val="28"/>
          <w:szCs w:val="44"/>
          <w:highlight w:val="none"/>
          <w:lang w:val="en-US"/>
        </w:rPr>
      </w:pPr>
      <w:r>
        <w:rPr>
          <w:rFonts w:ascii="仿宋" w:hAnsi="仿宋" w:eastAsia="仿宋"/>
          <w:b/>
          <w:bCs/>
          <w:sz w:val="28"/>
          <w:szCs w:val="44"/>
          <w:highlight w:val="none"/>
        </w:rPr>
        <w:t>报价</w:t>
      </w:r>
      <w:r>
        <w:rPr>
          <w:rFonts w:hint="eastAsia" w:ascii="仿宋" w:hAnsi="仿宋" w:eastAsia="仿宋"/>
          <w:b/>
          <w:bCs/>
          <w:sz w:val="28"/>
          <w:szCs w:val="44"/>
          <w:highlight w:val="none"/>
          <w:lang w:val="en-US" w:eastAsia="zh-CN"/>
        </w:rPr>
        <w:t>清单</w:t>
      </w:r>
    </w:p>
    <w:p w14:paraId="77E4E2CA">
      <w:pPr>
        <w:spacing w:before="156"/>
        <w:jc w:val="center"/>
        <w:rPr>
          <w:rFonts w:hint="eastAsia" w:ascii="宋体" w:hAnsi="宋体"/>
          <w:sz w:val="36"/>
          <w:szCs w:val="36"/>
          <w:highlight w:val="none"/>
        </w:rPr>
      </w:pPr>
      <w:r>
        <w:rPr>
          <w:rFonts w:hint="eastAsia" w:ascii="宋体" w:hAnsi="宋体"/>
          <w:sz w:val="36"/>
          <w:szCs w:val="36"/>
          <w:highlight w:val="none"/>
        </w:rPr>
        <w:t>报价清单</w:t>
      </w:r>
    </w:p>
    <w:tbl>
      <w:tblPr>
        <w:tblStyle w:val="52"/>
        <w:tblpPr w:leftFromText="180" w:rightFromText="180" w:vertAnchor="text" w:horzAnchor="page" w:tblpX="1674" w:tblpY="567"/>
        <w:tblOverlap w:val="never"/>
        <w:tblW w:w="91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5"/>
        <w:gridCol w:w="990"/>
        <w:gridCol w:w="3009"/>
        <w:gridCol w:w="1536"/>
        <w:gridCol w:w="1230"/>
        <w:gridCol w:w="1860"/>
      </w:tblGrid>
      <w:tr w14:paraId="7E7E1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5" w:type="dxa"/>
            <w:tcBorders>
              <w:top w:val="single" w:color="000000" w:sz="8" w:space="0"/>
              <w:left w:val="single" w:color="000000" w:sz="8" w:space="0"/>
              <w:bottom w:val="single" w:color="000000" w:sz="8" w:space="0"/>
              <w:right w:val="single" w:color="000000" w:sz="8" w:space="0"/>
              <w:tl2br w:val="nil"/>
              <w:tr2bl w:val="nil"/>
            </w:tcBorders>
            <w:noWrap/>
            <w:vAlign w:val="center"/>
          </w:tcPr>
          <w:p w14:paraId="2BBAD155">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990" w:type="dxa"/>
            <w:tcBorders>
              <w:top w:val="single" w:color="000000" w:sz="8" w:space="0"/>
              <w:left w:val="nil"/>
              <w:bottom w:val="single" w:color="000000" w:sz="8" w:space="0"/>
              <w:right w:val="single" w:color="000000" w:sz="8" w:space="0"/>
              <w:tl2br w:val="nil"/>
              <w:tr2bl w:val="nil"/>
            </w:tcBorders>
            <w:noWrap/>
            <w:vAlign w:val="center"/>
          </w:tcPr>
          <w:p w14:paraId="6FF136FF">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w:t>
            </w:r>
          </w:p>
        </w:tc>
        <w:tc>
          <w:tcPr>
            <w:tcW w:w="3009" w:type="dxa"/>
            <w:tcBorders>
              <w:top w:val="single" w:color="000000" w:sz="8" w:space="0"/>
              <w:left w:val="nil"/>
              <w:bottom w:val="single" w:color="000000" w:sz="8" w:space="0"/>
              <w:right w:val="single" w:color="000000" w:sz="8" w:space="0"/>
              <w:tl2br w:val="nil"/>
              <w:tr2bl w:val="nil"/>
            </w:tcBorders>
            <w:noWrap/>
            <w:vAlign w:val="center"/>
          </w:tcPr>
          <w:p w14:paraId="250BEB57">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规格、技术参数</w:t>
            </w:r>
          </w:p>
        </w:tc>
        <w:tc>
          <w:tcPr>
            <w:tcW w:w="1536" w:type="dxa"/>
            <w:tcBorders>
              <w:top w:val="single" w:color="000000" w:sz="8" w:space="0"/>
              <w:left w:val="nil"/>
              <w:bottom w:val="single" w:color="000000" w:sz="8" w:space="0"/>
              <w:right w:val="single" w:color="000000" w:sz="8" w:space="0"/>
              <w:tl2br w:val="nil"/>
              <w:tr2bl w:val="nil"/>
            </w:tcBorders>
            <w:noWrap/>
            <w:vAlign w:val="center"/>
          </w:tcPr>
          <w:p w14:paraId="676C0F2F">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数量</w:t>
            </w:r>
          </w:p>
        </w:tc>
        <w:tc>
          <w:tcPr>
            <w:tcW w:w="1230" w:type="dxa"/>
            <w:tcBorders>
              <w:top w:val="single" w:color="000000" w:sz="8" w:space="0"/>
              <w:left w:val="nil"/>
              <w:bottom w:val="single" w:color="000000" w:sz="8" w:space="0"/>
              <w:right w:val="single" w:color="000000" w:sz="8" w:space="0"/>
              <w:tl2br w:val="nil"/>
              <w:tr2bl w:val="nil"/>
            </w:tcBorders>
            <w:noWrap/>
            <w:vAlign w:val="center"/>
          </w:tcPr>
          <w:p w14:paraId="08EE2630">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报价（元）</w:t>
            </w:r>
          </w:p>
        </w:tc>
        <w:tc>
          <w:tcPr>
            <w:tcW w:w="1860" w:type="dxa"/>
            <w:tcBorders>
              <w:top w:val="single" w:color="000000" w:sz="8" w:space="0"/>
              <w:left w:val="nil"/>
              <w:bottom w:val="single" w:color="000000" w:sz="8" w:space="0"/>
              <w:right w:val="single" w:color="000000" w:sz="8" w:space="0"/>
              <w:tl2br w:val="nil"/>
              <w:tr2bl w:val="nil"/>
            </w:tcBorders>
            <w:noWrap/>
            <w:vAlign w:val="center"/>
          </w:tcPr>
          <w:p w14:paraId="04F860C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备注</w:t>
            </w:r>
          </w:p>
        </w:tc>
      </w:tr>
      <w:tr w14:paraId="4A94F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25" w:type="dxa"/>
            <w:tcBorders>
              <w:top w:val="nil"/>
              <w:left w:val="single" w:color="000000" w:sz="8" w:space="0"/>
              <w:bottom w:val="single" w:color="000000" w:sz="8" w:space="0"/>
              <w:right w:val="single" w:color="000000" w:sz="8" w:space="0"/>
              <w:tl2br w:val="nil"/>
              <w:tr2bl w:val="nil"/>
            </w:tcBorders>
            <w:noWrap/>
            <w:vAlign w:val="center"/>
          </w:tcPr>
          <w:p w14:paraId="2F129B20">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90" w:type="dxa"/>
            <w:tcBorders>
              <w:top w:val="nil"/>
              <w:left w:val="nil"/>
              <w:bottom w:val="single" w:color="000000" w:sz="8" w:space="0"/>
              <w:right w:val="single" w:color="000000" w:sz="8" w:space="0"/>
              <w:tl2br w:val="nil"/>
              <w:tr2bl w:val="nil"/>
            </w:tcBorders>
            <w:noWrap w:val="0"/>
            <w:vAlign w:val="center"/>
          </w:tcPr>
          <w:p w14:paraId="27FB7D08">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#1厌氧罐外立面</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铁皮瓦</w:t>
            </w:r>
            <w:r>
              <w:rPr>
                <w:rFonts w:hint="eastAsia" w:ascii="宋体" w:hAnsi="宋体" w:eastAsia="宋体" w:cs="宋体"/>
                <w:i w:val="0"/>
                <w:iCs w:val="0"/>
                <w:color w:val="000000"/>
                <w:kern w:val="0"/>
                <w:sz w:val="20"/>
                <w:szCs w:val="20"/>
                <w:u w:val="none"/>
                <w:lang w:val="en-US" w:eastAsia="zh-CN" w:bidi="ar"/>
              </w:rPr>
              <w:t>）</w:t>
            </w:r>
          </w:p>
        </w:tc>
        <w:tc>
          <w:tcPr>
            <w:tcW w:w="3009" w:type="dxa"/>
            <w:tcBorders>
              <w:top w:val="nil"/>
              <w:left w:val="nil"/>
              <w:bottom w:val="single" w:color="000000" w:sz="8" w:space="0"/>
              <w:right w:val="single" w:color="000000" w:sz="8" w:space="0"/>
              <w:tl2br w:val="nil"/>
              <w:tr2bl w:val="nil"/>
            </w:tcBorders>
            <w:noWrap w:val="0"/>
            <w:vAlign w:val="center"/>
          </w:tcPr>
          <w:p w14:paraId="4366ACA9">
            <w:pPr>
              <w:keepNext w:val="0"/>
              <w:keepLines w:val="0"/>
              <w:widowControl/>
              <w:suppressLineNumbers w:val="0"/>
              <w:spacing w:before="0" w:beforeAutospacing="0" w:after="0" w:afterAutospacing="0" w:line="240" w:lineRule="auto"/>
              <w:ind w:left="0" w:right="0" w:firstLine="0" w:firstLineChars="0"/>
              <w:jc w:val="left"/>
              <w:textAlignment w:val="center"/>
              <w:rPr>
                <w:rFonts w:hint="eastAsia" w:ascii="宋体" w:hAnsi="宋体" w:eastAsia="宋体" w:cs="宋体"/>
                <w:i w:val="0"/>
                <w:iCs w:val="0"/>
                <w:color w:val="auto"/>
                <w:kern w:val="0"/>
                <w:sz w:val="20"/>
                <w:szCs w:val="20"/>
                <w:u w:val="none"/>
                <w:lang w:val="en-US" w:eastAsia="zh-CN" w:bidi="ar"/>
              </w:rPr>
            </w:pPr>
            <w:bookmarkStart w:id="10" w:name="OLE_LINK1"/>
            <w:r>
              <w:rPr>
                <w:rFonts w:hint="eastAsia" w:ascii="宋体" w:hAnsi="宋体" w:eastAsia="宋体" w:cs="宋体"/>
                <w:i w:val="0"/>
                <w:iCs w:val="0"/>
                <w:color w:val="auto"/>
                <w:kern w:val="0"/>
                <w:sz w:val="20"/>
                <w:szCs w:val="20"/>
                <w:u w:val="none"/>
                <w:lang w:val="en-US" w:eastAsia="zh-CN" w:bidi="ar"/>
              </w:rPr>
              <w:t xml:space="preserve">使用高压水枪彻底冲洗瓦面，清 </w:t>
            </w:r>
          </w:p>
          <w:p w14:paraId="283F117C">
            <w:pPr>
              <w:keepNext w:val="0"/>
              <w:keepLines w:val="0"/>
              <w:widowControl/>
              <w:suppressLineNumbers w:val="0"/>
              <w:spacing w:before="0" w:beforeAutospacing="0" w:after="0" w:afterAutospacing="0" w:line="240" w:lineRule="auto"/>
              <w:ind w:left="0" w:right="0" w:firstLine="0" w:firstLineChars="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除灰尘、污泥等污染物，</w:t>
            </w:r>
            <w:r>
              <w:rPr>
                <w:rFonts w:hint="eastAsia" w:ascii="宋体" w:hAnsi="宋体" w:cs="宋体"/>
                <w:i w:val="0"/>
                <w:iCs w:val="0"/>
                <w:color w:val="auto"/>
                <w:kern w:val="0"/>
                <w:sz w:val="20"/>
                <w:szCs w:val="20"/>
                <w:u w:val="none"/>
                <w:lang w:val="en-US" w:eastAsia="zh-CN" w:bidi="ar"/>
              </w:rPr>
              <w:t>喷</w:t>
            </w:r>
            <w:r>
              <w:rPr>
                <w:rFonts w:hint="eastAsia" w:ascii="宋体" w:hAnsi="宋体" w:eastAsia="宋体" w:cs="宋体"/>
                <w:i w:val="0"/>
                <w:iCs w:val="0"/>
                <w:color w:val="auto"/>
                <w:kern w:val="0"/>
                <w:sz w:val="20"/>
                <w:szCs w:val="20"/>
                <w:u w:val="none"/>
                <w:lang w:val="en-US" w:eastAsia="zh-CN" w:bidi="ar"/>
              </w:rPr>
              <w:t>脂肪族丙烯酸聚氨酯面漆</w:t>
            </w:r>
            <w:r>
              <w:rPr>
                <w:rFonts w:hint="eastAsia" w:ascii="宋体" w:hAnsi="宋体" w:cs="宋体"/>
                <w:i w:val="0"/>
                <w:iCs w:val="0"/>
                <w:color w:val="auto"/>
                <w:kern w:val="0"/>
                <w:sz w:val="20"/>
                <w:szCs w:val="20"/>
                <w:u w:val="none"/>
                <w:lang w:val="en-US" w:eastAsia="zh-CN" w:bidi="ar"/>
              </w:rPr>
              <w:t>一</w:t>
            </w:r>
            <w:r>
              <w:rPr>
                <w:rFonts w:hint="eastAsia" w:ascii="宋体" w:hAnsi="宋体" w:eastAsia="宋体" w:cs="宋体"/>
                <w:i w:val="0"/>
                <w:iCs w:val="0"/>
                <w:color w:val="auto"/>
                <w:kern w:val="0"/>
                <w:sz w:val="20"/>
                <w:szCs w:val="20"/>
                <w:u w:val="none"/>
                <w:lang w:val="en-US" w:eastAsia="zh-CN" w:bidi="ar"/>
              </w:rPr>
              <w:t>道，厚</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0um</w:t>
            </w:r>
            <w:bookmarkEnd w:id="10"/>
          </w:p>
        </w:tc>
        <w:tc>
          <w:tcPr>
            <w:tcW w:w="1536" w:type="dxa"/>
            <w:tcBorders>
              <w:top w:val="nil"/>
              <w:left w:val="nil"/>
              <w:bottom w:val="single" w:color="000000" w:sz="8" w:space="0"/>
              <w:right w:val="single" w:color="000000" w:sz="8" w:space="0"/>
              <w:tl2br w:val="nil"/>
              <w:tr2bl w:val="nil"/>
            </w:tcBorders>
            <w:noWrap/>
            <w:vAlign w:val="center"/>
          </w:tcPr>
          <w:p w14:paraId="1ABA74FE">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面积约</w:t>
            </w:r>
            <w:r>
              <w:rPr>
                <w:rFonts w:hint="eastAsia" w:ascii="宋体" w:hAnsi="宋体" w:cs="宋体"/>
                <w:i w:val="0"/>
                <w:iCs w:val="0"/>
                <w:color w:val="000000"/>
                <w:kern w:val="0"/>
                <w:sz w:val="20"/>
                <w:szCs w:val="20"/>
                <w:u w:val="none"/>
                <w:lang w:val="en-US" w:eastAsia="zh-CN" w:bidi="ar"/>
              </w:rPr>
              <w:t>924㎡</w:t>
            </w:r>
          </w:p>
        </w:tc>
        <w:tc>
          <w:tcPr>
            <w:tcW w:w="1230" w:type="dxa"/>
            <w:tcBorders>
              <w:top w:val="nil"/>
              <w:left w:val="nil"/>
              <w:bottom w:val="single" w:color="000000" w:sz="8" w:space="0"/>
              <w:right w:val="single" w:color="000000" w:sz="8" w:space="0"/>
              <w:tl2br w:val="nil"/>
              <w:tr2bl w:val="nil"/>
            </w:tcBorders>
            <w:noWrap/>
            <w:vAlign w:val="center"/>
          </w:tcPr>
          <w:p w14:paraId="01356E6C">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tcBorders>
              <w:top w:val="single" w:color="000000" w:sz="8" w:space="0"/>
              <w:left w:val="nil"/>
              <w:bottom w:val="single" w:color="000000" w:sz="8" w:space="0"/>
              <w:right w:val="single" w:color="000000" w:sz="8" w:space="0"/>
              <w:tl2br w:val="nil"/>
              <w:tr2bl w:val="nil"/>
            </w:tcBorders>
            <w:noWrap/>
            <w:vAlign w:val="center"/>
          </w:tcPr>
          <w:p w14:paraId="7AF1FD1A">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DA15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525" w:type="dxa"/>
            <w:tcBorders>
              <w:top w:val="single" w:color="000000" w:sz="8" w:space="0"/>
              <w:left w:val="single" w:color="000000" w:sz="8" w:space="0"/>
              <w:bottom w:val="single" w:color="000000" w:sz="8" w:space="0"/>
              <w:right w:val="single" w:color="000000" w:sz="8" w:space="0"/>
              <w:tl2br w:val="nil"/>
              <w:tr2bl w:val="nil"/>
            </w:tcBorders>
            <w:noWrap/>
            <w:vAlign w:val="center"/>
          </w:tcPr>
          <w:p w14:paraId="0E91EE6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90" w:type="dxa"/>
            <w:tcBorders>
              <w:top w:val="single" w:color="000000" w:sz="8" w:space="0"/>
              <w:left w:val="nil"/>
              <w:bottom w:val="single" w:color="000000" w:sz="8" w:space="0"/>
              <w:right w:val="single" w:color="000000" w:sz="8" w:space="0"/>
              <w:tl2br w:val="nil"/>
              <w:tr2bl w:val="nil"/>
            </w:tcBorders>
            <w:noWrap/>
            <w:vAlign w:val="center"/>
          </w:tcPr>
          <w:p w14:paraId="7834A30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#2厌氧罐外立面</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铁皮瓦</w:t>
            </w:r>
            <w:r>
              <w:rPr>
                <w:rFonts w:hint="eastAsia" w:ascii="宋体" w:hAnsi="宋体" w:eastAsia="宋体" w:cs="宋体"/>
                <w:i w:val="0"/>
                <w:iCs w:val="0"/>
                <w:color w:val="000000"/>
                <w:kern w:val="0"/>
                <w:sz w:val="20"/>
                <w:szCs w:val="20"/>
                <w:u w:val="none"/>
                <w:lang w:val="en-US" w:eastAsia="zh-CN" w:bidi="ar"/>
              </w:rPr>
              <w:t>）</w:t>
            </w:r>
          </w:p>
        </w:tc>
        <w:tc>
          <w:tcPr>
            <w:tcW w:w="3009" w:type="dxa"/>
            <w:tcBorders>
              <w:top w:val="single" w:color="000000" w:sz="8" w:space="0"/>
              <w:left w:val="nil"/>
              <w:bottom w:val="single" w:color="000000" w:sz="8" w:space="0"/>
              <w:right w:val="single" w:color="000000" w:sz="8" w:space="0"/>
              <w:tl2br w:val="nil"/>
              <w:tr2bl w:val="nil"/>
            </w:tcBorders>
            <w:noWrap w:val="0"/>
            <w:vAlign w:val="center"/>
          </w:tcPr>
          <w:p w14:paraId="36066AB5">
            <w:pPr>
              <w:keepNext w:val="0"/>
              <w:keepLines w:val="0"/>
              <w:widowControl/>
              <w:suppressLineNumbers w:val="0"/>
              <w:spacing w:before="0" w:beforeAutospacing="0" w:after="0" w:afterAutospacing="0" w:line="240" w:lineRule="auto"/>
              <w:ind w:left="0" w:right="0" w:firstLine="0" w:firstLineChars="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使用高压水枪彻底冲洗瓦面，清 </w:t>
            </w:r>
          </w:p>
          <w:p w14:paraId="7B7DC7B1">
            <w:pPr>
              <w:keepNext w:val="0"/>
              <w:keepLines w:val="0"/>
              <w:widowControl/>
              <w:suppressLineNumbers w:val="0"/>
              <w:spacing w:before="0" w:beforeAutospacing="0" w:after="0" w:afterAutospacing="0" w:line="240" w:lineRule="auto"/>
              <w:ind w:left="0" w:leftChars="0" w:right="0" w:rightChars="0" w:firstLine="0" w:firstLineChars="0"/>
              <w:jc w:val="left"/>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除灰尘、污泥等污染物，</w:t>
            </w:r>
            <w:r>
              <w:rPr>
                <w:rFonts w:hint="eastAsia" w:ascii="宋体" w:hAnsi="宋体" w:cs="宋体"/>
                <w:i w:val="0"/>
                <w:iCs w:val="0"/>
                <w:color w:val="auto"/>
                <w:kern w:val="0"/>
                <w:sz w:val="20"/>
                <w:szCs w:val="20"/>
                <w:u w:val="none"/>
                <w:lang w:val="en-US" w:eastAsia="zh-CN" w:bidi="ar"/>
              </w:rPr>
              <w:t>喷</w:t>
            </w:r>
            <w:r>
              <w:rPr>
                <w:rFonts w:hint="eastAsia" w:ascii="宋体" w:hAnsi="宋体" w:eastAsia="宋体" w:cs="宋体"/>
                <w:i w:val="0"/>
                <w:iCs w:val="0"/>
                <w:color w:val="auto"/>
                <w:kern w:val="0"/>
                <w:sz w:val="20"/>
                <w:szCs w:val="20"/>
                <w:u w:val="none"/>
                <w:lang w:val="en-US" w:eastAsia="zh-CN" w:bidi="ar"/>
              </w:rPr>
              <w:t>脂肪族丙烯酸聚氨酯面漆</w:t>
            </w:r>
            <w:r>
              <w:rPr>
                <w:rFonts w:hint="eastAsia" w:ascii="宋体" w:hAnsi="宋体" w:cs="宋体"/>
                <w:i w:val="0"/>
                <w:iCs w:val="0"/>
                <w:color w:val="auto"/>
                <w:kern w:val="0"/>
                <w:sz w:val="20"/>
                <w:szCs w:val="20"/>
                <w:u w:val="none"/>
                <w:lang w:val="en-US" w:eastAsia="zh-CN" w:bidi="ar"/>
              </w:rPr>
              <w:t>一</w:t>
            </w:r>
            <w:r>
              <w:rPr>
                <w:rFonts w:hint="eastAsia" w:ascii="宋体" w:hAnsi="宋体" w:eastAsia="宋体" w:cs="宋体"/>
                <w:i w:val="0"/>
                <w:iCs w:val="0"/>
                <w:color w:val="auto"/>
                <w:kern w:val="0"/>
                <w:sz w:val="20"/>
                <w:szCs w:val="20"/>
                <w:u w:val="none"/>
                <w:lang w:val="en-US" w:eastAsia="zh-CN" w:bidi="ar"/>
              </w:rPr>
              <w:t>道，厚</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0um</w:t>
            </w:r>
          </w:p>
        </w:tc>
        <w:tc>
          <w:tcPr>
            <w:tcW w:w="1536" w:type="dxa"/>
            <w:tcBorders>
              <w:top w:val="single" w:color="000000" w:sz="8" w:space="0"/>
              <w:left w:val="nil"/>
              <w:bottom w:val="single" w:color="000000" w:sz="8" w:space="0"/>
              <w:right w:val="single" w:color="000000" w:sz="8" w:space="0"/>
              <w:tl2br w:val="nil"/>
              <w:tr2bl w:val="nil"/>
            </w:tcBorders>
            <w:noWrap/>
            <w:vAlign w:val="center"/>
          </w:tcPr>
          <w:p w14:paraId="744E9E46">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面积约</w:t>
            </w:r>
            <w:r>
              <w:rPr>
                <w:rFonts w:hint="eastAsia" w:ascii="宋体" w:hAnsi="宋体" w:cs="宋体"/>
                <w:i w:val="0"/>
                <w:iCs w:val="0"/>
                <w:color w:val="000000"/>
                <w:kern w:val="0"/>
                <w:sz w:val="20"/>
                <w:szCs w:val="20"/>
                <w:u w:val="none"/>
                <w:lang w:val="en-US" w:eastAsia="zh-CN" w:bidi="ar"/>
              </w:rPr>
              <w:t>924㎡</w:t>
            </w:r>
          </w:p>
        </w:tc>
        <w:tc>
          <w:tcPr>
            <w:tcW w:w="1230" w:type="dxa"/>
            <w:tcBorders>
              <w:top w:val="single" w:color="000000" w:sz="8" w:space="0"/>
              <w:left w:val="nil"/>
              <w:bottom w:val="single" w:color="000000" w:sz="8" w:space="0"/>
              <w:right w:val="single" w:color="000000" w:sz="8" w:space="0"/>
              <w:tl2br w:val="nil"/>
              <w:tr2bl w:val="nil"/>
            </w:tcBorders>
            <w:noWrap/>
            <w:vAlign w:val="center"/>
          </w:tcPr>
          <w:p w14:paraId="646E3A67">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tcBorders>
              <w:top w:val="single" w:color="000000" w:sz="8" w:space="0"/>
              <w:left w:val="nil"/>
              <w:bottom w:val="single" w:color="000000" w:sz="8" w:space="0"/>
              <w:right w:val="single" w:color="000000" w:sz="8" w:space="0"/>
              <w:tl2br w:val="nil"/>
              <w:tr2bl w:val="nil"/>
            </w:tcBorders>
            <w:noWrap/>
            <w:vAlign w:val="center"/>
          </w:tcPr>
          <w:p w14:paraId="2C01C2AF">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965D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3" w:hRule="atLeast"/>
        </w:trPr>
        <w:tc>
          <w:tcPr>
            <w:tcW w:w="525" w:type="dxa"/>
            <w:tcBorders>
              <w:top w:val="single" w:color="000000" w:sz="8" w:space="0"/>
              <w:left w:val="single" w:color="000000" w:sz="8" w:space="0"/>
              <w:bottom w:val="single" w:color="000000" w:sz="8" w:space="0"/>
              <w:right w:val="single" w:color="000000" w:sz="8" w:space="0"/>
              <w:tl2br w:val="nil"/>
              <w:tr2bl w:val="nil"/>
            </w:tcBorders>
            <w:noWrap/>
            <w:vAlign w:val="center"/>
          </w:tcPr>
          <w:p w14:paraId="4313BD16">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w:t>
            </w:r>
          </w:p>
        </w:tc>
        <w:tc>
          <w:tcPr>
            <w:tcW w:w="8625" w:type="dxa"/>
            <w:gridSpan w:val="5"/>
            <w:tcBorders>
              <w:top w:val="single" w:color="000000" w:sz="8" w:space="0"/>
              <w:left w:val="nil"/>
              <w:bottom w:val="single" w:color="000000" w:sz="8" w:space="0"/>
              <w:right w:val="single" w:color="000000" w:sz="8" w:space="0"/>
              <w:tl2br w:val="nil"/>
              <w:tr2bl w:val="nil"/>
            </w:tcBorders>
            <w:noWrap/>
            <w:vAlign w:val="center"/>
          </w:tcPr>
          <w:p w14:paraId="1347EFB5">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 xml:space="preserve">合计（总价）：小写          大写            </w:t>
            </w:r>
          </w:p>
        </w:tc>
      </w:tr>
      <w:tr w14:paraId="0D5E2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9150" w:type="dxa"/>
            <w:gridSpan w:val="6"/>
            <w:tcBorders>
              <w:top w:val="single" w:color="000000" w:sz="8" w:space="0"/>
              <w:left w:val="single" w:color="000000" w:sz="8" w:space="0"/>
              <w:bottom w:val="single" w:color="000000" w:sz="8" w:space="0"/>
              <w:right w:val="single" w:color="000000" w:sz="8" w:space="0"/>
              <w:tl2br w:val="nil"/>
              <w:tr2bl w:val="nil"/>
            </w:tcBorders>
            <w:noWrap/>
            <w:vAlign w:val="center"/>
          </w:tcPr>
          <w:p w14:paraId="0409769B">
            <w:pPr>
              <w:keepNext w:val="0"/>
              <w:keepLines w:val="0"/>
              <w:widowControl/>
              <w:suppressLineNumbers w:val="0"/>
              <w:spacing w:before="0" w:beforeLines="0" w:beforeAutospacing="0" w:after="0" w:afterLines="0" w:afterAutospacing="0"/>
              <w:ind w:left="0" w:leftChars="0" w:right="0" w:firstLine="0" w:firstLineChars="0"/>
              <w:textAlignment w:val="center"/>
              <w:rPr>
                <w:rFonts w:hint="default" w:ascii="宋体" w:hAnsi="宋体" w:cs="宋体"/>
                <w:color w:val="000000"/>
                <w:kern w:val="0"/>
                <w:sz w:val="20"/>
                <w:szCs w:val="20"/>
                <w:lang w:val="en-US" w:bidi="ar"/>
              </w:rPr>
            </w:pPr>
            <w:r>
              <w:rPr>
                <w:rFonts w:hint="eastAsia" w:ascii="宋体" w:hAnsi="宋体" w:eastAsia="宋体" w:cs="宋体"/>
                <w:i w:val="0"/>
                <w:iCs w:val="0"/>
                <w:color w:val="000000"/>
                <w:kern w:val="0"/>
                <w:sz w:val="20"/>
                <w:szCs w:val="20"/>
                <w:u w:val="none"/>
                <w:lang w:val="en-US" w:eastAsia="zh-CN" w:bidi="ar"/>
              </w:rPr>
              <w:t>备注：具体面积防腐施工单位现场踏勘确认</w:t>
            </w:r>
            <w:r>
              <w:rPr>
                <w:rFonts w:hint="eastAsia" w:ascii="宋体" w:hAnsi="宋体" w:cs="宋体"/>
                <w:i w:val="0"/>
                <w:iCs w:val="0"/>
                <w:color w:val="000000"/>
                <w:kern w:val="0"/>
                <w:sz w:val="20"/>
                <w:szCs w:val="20"/>
                <w:u w:val="none"/>
                <w:lang w:val="en-US" w:eastAsia="zh-CN" w:bidi="ar"/>
              </w:rPr>
              <w:t>，</w:t>
            </w:r>
            <w:r>
              <w:rPr>
                <w:rFonts w:hint="eastAsia" w:ascii="宋体" w:hAnsi="宋体" w:cs="宋体"/>
                <w:i w:val="0"/>
                <w:iCs w:val="0"/>
                <w:color w:val="FF0000"/>
                <w:kern w:val="0"/>
                <w:sz w:val="20"/>
                <w:szCs w:val="20"/>
                <w:u w:val="none"/>
                <w:lang w:val="en-US" w:eastAsia="zh-CN" w:bidi="ar"/>
              </w:rPr>
              <w:t>成交人报价各单项总价包干，根据施工项目结算</w:t>
            </w:r>
            <w:r>
              <w:rPr>
                <w:rFonts w:hint="eastAsia" w:ascii="宋体" w:hAnsi="宋体" w:cs="宋体"/>
                <w:i w:val="0"/>
                <w:iCs w:val="0"/>
                <w:color w:val="000000"/>
                <w:kern w:val="0"/>
                <w:sz w:val="20"/>
                <w:szCs w:val="20"/>
                <w:u w:val="none"/>
                <w:lang w:val="en-US" w:eastAsia="zh-CN" w:bidi="ar"/>
              </w:rPr>
              <w:t>。</w:t>
            </w:r>
          </w:p>
        </w:tc>
      </w:tr>
    </w:tbl>
    <w:p w14:paraId="42EEB91F">
      <w:pPr>
        <w:widowControl/>
        <w:spacing w:beforeLines="0" w:line="240" w:lineRule="auto"/>
        <w:rPr>
          <w:rFonts w:asciiTheme="minorEastAsia" w:hAnsiTheme="minorEastAsia" w:eastAsiaTheme="minorEastAsia"/>
          <w:b/>
          <w:sz w:val="52"/>
          <w:szCs w:val="52"/>
          <w:highlight w:val="none"/>
        </w:rPr>
      </w:pPr>
      <w:r>
        <w:rPr>
          <w:rFonts w:asciiTheme="minorEastAsia" w:hAnsiTheme="minorEastAsia" w:eastAsiaTheme="minorEastAsia"/>
          <w:b/>
          <w:sz w:val="52"/>
          <w:szCs w:val="52"/>
          <w:highlight w:val="none"/>
        </w:rPr>
        <w:br w:type="page"/>
      </w:r>
    </w:p>
    <w:p w14:paraId="1D7A7944">
      <w:pPr>
        <w:pStyle w:val="256"/>
        <w:numPr>
          <w:ilvl w:val="0"/>
          <w:numId w:val="5"/>
        </w:numPr>
        <w:spacing w:before="156"/>
        <w:ind w:left="420" w:firstLineChars="0"/>
        <w:outlineLvl w:val="1"/>
        <w:rPr>
          <w:rFonts w:ascii="仿宋" w:hAnsi="仿宋" w:eastAsia="仿宋"/>
          <w:b/>
          <w:bCs/>
          <w:sz w:val="28"/>
          <w:szCs w:val="44"/>
          <w:highlight w:val="none"/>
        </w:rPr>
      </w:pPr>
      <w:r>
        <w:rPr>
          <w:rFonts w:ascii="仿宋" w:hAnsi="仿宋" w:eastAsia="仿宋"/>
          <w:b/>
          <w:bCs/>
          <w:sz w:val="28"/>
          <w:szCs w:val="44"/>
          <w:highlight w:val="none"/>
        </w:rPr>
        <w:t>法人证明</w:t>
      </w:r>
    </w:p>
    <w:p w14:paraId="0E0377F5">
      <w:pPr>
        <w:spacing w:before="156"/>
        <w:jc w:val="center"/>
        <w:rPr>
          <w:rFonts w:ascii="仿宋" w:hAnsi="仿宋" w:eastAsia="仿宋"/>
          <w:b/>
          <w:bCs/>
          <w:sz w:val="32"/>
          <w:szCs w:val="32"/>
          <w:highlight w:val="none"/>
        </w:rPr>
      </w:pPr>
      <w:r>
        <w:rPr>
          <w:rFonts w:ascii="仿宋" w:hAnsi="仿宋" w:eastAsia="仿宋"/>
          <w:b/>
          <w:bCs/>
          <w:sz w:val="32"/>
          <w:szCs w:val="32"/>
          <w:highlight w:val="none"/>
        </w:rPr>
        <w:t>法定代表人身份证明书</w:t>
      </w:r>
    </w:p>
    <w:p w14:paraId="2032C860">
      <w:pPr>
        <w:spacing w:before="156"/>
        <w:rPr>
          <w:rFonts w:ascii="仿宋" w:hAnsi="仿宋" w:eastAsia="仿宋"/>
          <w:sz w:val="32"/>
          <w:szCs w:val="32"/>
          <w:highlight w:val="none"/>
        </w:rPr>
      </w:pPr>
    </w:p>
    <w:p w14:paraId="6C586491">
      <w:pPr>
        <w:pStyle w:val="257"/>
        <w:spacing w:before="156" w:line="360" w:lineRule="auto"/>
        <w:ind w:firstLine="0" w:firstLineChars="0"/>
        <w:rPr>
          <w:rFonts w:ascii="仿宋" w:hAnsi="仿宋" w:eastAsia="仿宋"/>
          <w:sz w:val="32"/>
          <w:szCs w:val="32"/>
          <w:highlight w:val="none"/>
        </w:rPr>
      </w:pPr>
      <w:r>
        <w:rPr>
          <w:sz w:val="32"/>
          <w:szCs w:val="32"/>
          <w:highlight w:val="none"/>
        </w:rPr>
        <w:t>东莞市新东</w:t>
      </w:r>
      <w:r>
        <w:rPr>
          <w:rFonts w:hint="eastAsia"/>
          <w:sz w:val="32"/>
          <w:szCs w:val="32"/>
          <w:highlight w:val="none"/>
        </w:rPr>
        <w:t>元</w:t>
      </w:r>
      <w:r>
        <w:rPr>
          <w:sz w:val="32"/>
          <w:szCs w:val="32"/>
          <w:highlight w:val="none"/>
        </w:rPr>
        <w:t>环保投资有限公司</w:t>
      </w:r>
      <w:r>
        <w:rPr>
          <w:rFonts w:ascii="仿宋" w:hAnsi="仿宋" w:eastAsia="仿宋"/>
          <w:sz w:val="32"/>
          <w:szCs w:val="32"/>
          <w:highlight w:val="none"/>
        </w:rPr>
        <w:t>：</w:t>
      </w:r>
    </w:p>
    <w:p w14:paraId="203FBE7C">
      <w:pPr>
        <w:pStyle w:val="257"/>
        <w:spacing w:before="156" w:line="360" w:lineRule="auto"/>
        <w:ind w:firstLine="659"/>
        <w:rPr>
          <w:rFonts w:ascii="仿宋" w:hAnsi="仿宋" w:eastAsia="仿宋"/>
          <w:sz w:val="32"/>
          <w:szCs w:val="32"/>
          <w:highlight w:val="none"/>
        </w:rPr>
      </w:pPr>
      <w:r>
        <w:rPr>
          <w:rFonts w:ascii="仿宋" w:hAnsi="仿宋" w:eastAsia="仿宋"/>
          <w:sz w:val="32"/>
          <w:szCs w:val="32"/>
          <w:highlight w:val="none"/>
        </w:rPr>
        <w:t>本证明书声明：注册于</w:t>
      </w:r>
      <w:r>
        <w:rPr>
          <w:rFonts w:ascii="仿宋" w:hAnsi="仿宋" w:eastAsia="仿宋"/>
          <w:sz w:val="32"/>
          <w:szCs w:val="32"/>
          <w:highlight w:val="none"/>
          <w:u w:val="single"/>
        </w:rPr>
        <w:t xml:space="preserve">     </w:t>
      </w:r>
      <w:r>
        <w:rPr>
          <w:rFonts w:ascii="仿宋" w:hAnsi="仿宋" w:eastAsia="仿宋"/>
          <w:sz w:val="32"/>
          <w:szCs w:val="32"/>
          <w:highlight w:val="none"/>
        </w:rPr>
        <w:t>（国家名称）的</w:t>
      </w:r>
      <w:r>
        <w:rPr>
          <w:rFonts w:ascii="仿宋" w:hAnsi="仿宋" w:eastAsia="仿宋"/>
          <w:sz w:val="32"/>
          <w:szCs w:val="32"/>
          <w:highlight w:val="none"/>
          <w:u w:val="single"/>
        </w:rPr>
        <w:t>　　</w:t>
      </w:r>
      <w:r>
        <w:rPr>
          <w:rFonts w:ascii="仿宋" w:hAnsi="仿宋" w:eastAsia="仿宋"/>
          <w:sz w:val="32"/>
          <w:szCs w:val="32"/>
          <w:highlight w:val="none"/>
        </w:rPr>
        <w:t>（</w:t>
      </w:r>
      <w:r>
        <w:rPr>
          <w:rFonts w:hint="eastAsia" w:ascii="仿宋" w:hAnsi="仿宋" w:eastAsia="仿宋"/>
          <w:sz w:val="32"/>
          <w:szCs w:val="32"/>
          <w:highlight w:val="none"/>
          <w:lang w:eastAsia="zh-CN"/>
        </w:rPr>
        <w:t>响应人</w:t>
      </w:r>
      <w:r>
        <w:rPr>
          <w:rFonts w:ascii="仿宋" w:hAnsi="仿宋" w:eastAsia="仿宋"/>
          <w:sz w:val="32"/>
          <w:szCs w:val="32"/>
          <w:highlight w:val="none"/>
        </w:rPr>
        <w:t>名称）在下面签字的</w:t>
      </w:r>
      <w:r>
        <w:rPr>
          <w:rFonts w:ascii="仿宋" w:hAnsi="仿宋" w:eastAsia="仿宋"/>
          <w:sz w:val="32"/>
          <w:szCs w:val="32"/>
          <w:highlight w:val="none"/>
          <w:u w:val="single"/>
        </w:rPr>
        <w:t>　　　　　</w:t>
      </w:r>
      <w:r>
        <w:rPr>
          <w:rFonts w:ascii="仿宋" w:hAnsi="仿宋" w:eastAsia="仿宋"/>
          <w:sz w:val="32"/>
          <w:szCs w:val="32"/>
          <w:highlight w:val="none"/>
        </w:rPr>
        <w:t>（法定代表人姓名、职务）为本公司的合法代表人（</w:t>
      </w:r>
      <w:r>
        <w:rPr>
          <w:rFonts w:ascii="仿宋" w:hAnsi="仿宋" w:eastAsia="仿宋"/>
          <w:b/>
          <w:bCs/>
          <w:sz w:val="32"/>
          <w:szCs w:val="32"/>
          <w:highlight w:val="none"/>
        </w:rPr>
        <w:t>须附</w:t>
      </w:r>
      <w:r>
        <w:rPr>
          <w:rFonts w:hint="eastAsia" w:ascii="仿宋" w:hAnsi="仿宋" w:eastAsia="仿宋"/>
          <w:b/>
          <w:bCs/>
          <w:sz w:val="32"/>
          <w:szCs w:val="32"/>
          <w:highlight w:val="none"/>
        </w:rPr>
        <w:t>营业执照复印件及</w:t>
      </w:r>
      <w:r>
        <w:rPr>
          <w:rFonts w:ascii="仿宋" w:hAnsi="仿宋" w:eastAsia="仿宋"/>
          <w:b/>
          <w:bCs/>
          <w:sz w:val="32"/>
          <w:szCs w:val="32"/>
          <w:highlight w:val="none"/>
        </w:rPr>
        <w:t>法定代表人身份证复印件</w:t>
      </w:r>
      <w:r>
        <w:rPr>
          <w:rFonts w:ascii="仿宋" w:hAnsi="仿宋" w:eastAsia="仿宋"/>
          <w:sz w:val="32"/>
          <w:szCs w:val="32"/>
          <w:highlight w:val="none"/>
        </w:rPr>
        <w:t>）。</w:t>
      </w:r>
    </w:p>
    <w:p w14:paraId="74ADA48A">
      <w:pPr>
        <w:spacing w:before="156"/>
        <w:ind w:firstLine="480" w:firstLineChars="150"/>
        <w:rPr>
          <w:rFonts w:ascii="仿宋" w:hAnsi="仿宋" w:eastAsia="仿宋"/>
          <w:sz w:val="32"/>
          <w:szCs w:val="32"/>
          <w:highlight w:val="none"/>
        </w:rPr>
      </w:pPr>
      <w:r>
        <w:rPr>
          <w:rFonts w:ascii="仿宋" w:hAnsi="仿宋" w:eastAsia="仿宋"/>
          <w:sz w:val="32"/>
          <w:szCs w:val="32"/>
          <w:highlight w:val="none"/>
        </w:rPr>
        <w:t>特此证明</w:t>
      </w:r>
    </w:p>
    <w:p w14:paraId="0980FA1A">
      <w:pPr>
        <w:spacing w:before="156"/>
        <w:rPr>
          <w:rFonts w:ascii="仿宋" w:hAnsi="仿宋" w:eastAsia="仿宋"/>
          <w:sz w:val="32"/>
          <w:szCs w:val="32"/>
          <w:highlight w:val="none"/>
        </w:rPr>
      </w:pPr>
    </w:p>
    <w:p w14:paraId="6529A60B">
      <w:pPr>
        <w:spacing w:before="156"/>
        <w:rPr>
          <w:rFonts w:ascii="仿宋" w:hAnsi="仿宋" w:eastAsia="仿宋"/>
          <w:sz w:val="32"/>
          <w:szCs w:val="32"/>
          <w:highlight w:val="none"/>
        </w:rPr>
      </w:pPr>
    </w:p>
    <w:p w14:paraId="3C30E6AA">
      <w:pPr>
        <w:spacing w:before="156"/>
        <w:rPr>
          <w:rFonts w:ascii="仿宋" w:hAnsi="仿宋" w:eastAsia="仿宋"/>
          <w:sz w:val="32"/>
          <w:szCs w:val="32"/>
          <w:highlight w:val="none"/>
        </w:rPr>
      </w:pPr>
    </w:p>
    <w:p w14:paraId="0D269C70">
      <w:pPr>
        <w:spacing w:before="156"/>
        <w:rPr>
          <w:rFonts w:ascii="仿宋" w:hAnsi="仿宋" w:eastAsia="仿宋"/>
          <w:sz w:val="32"/>
          <w:szCs w:val="32"/>
          <w:highlight w:val="none"/>
        </w:rPr>
      </w:pPr>
      <w:r>
        <w:rPr>
          <w:rFonts w:hint="eastAsia" w:ascii="仿宋" w:hAnsi="仿宋" w:eastAsia="仿宋"/>
          <w:sz w:val="32"/>
          <w:szCs w:val="32"/>
          <w:highlight w:val="none"/>
          <w:lang w:eastAsia="zh-CN"/>
        </w:rPr>
        <w:t>响应人</w:t>
      </w:r>
      <w:r>
        <w:rPr>
          <w:rFonts w:ascii="仿宋" w:hAnsi="仿宋" w:eastAsia="仿宋"/>
          <w:sz w:val="32"/>
          <w:szCs w:val="32"/>
          <w:highlight w:val="none"/>
        </w:rPr>
        <w:t>名称（加盖公章）：</w:t>
      </w:r>
    </w:p>
    <w:p w14:paraId="1D13880A">
      <w:pPr>
        <w:spacing w:before="156"/>
        <w:rPr>
          <w:rFonts w:ascii="仿宋" w:hAnsi="仿宋" w:eastAsia="仿宋"/>
          <w:sz w:val="32"/>
          <w:szCs w:val="32"/>
          <w:highlight w:val="none"/>
        </w:rPr>
      </w:pPr>
      <w:r>
        <w:rPr>
          <w:rFonts w:hint="eastAsia" w:ascii="仿宋" w:hAnsi="仿宋" w:eastAsia="仿宋"/>
          <w:sz w:val="32"/>
          <w:szCs w:val="32"/>
          <w:highlight w:val="none"/>
          <w:lang w:eastAsia="zh-CN"/>
        </w:rPr>
        <w:t>响应人</w:t>
      </w:r>
      <w:r>
        <w:rPr>
          <w:rFonts w:ascii="仿宋" w:hAnsi="仿宋" w:eastAsia="仿宋"/>
          <w:sz w:val="32"/>
          <w:szCs w:val="32"/>
          <w:highlight w:val="none"/>
        </w:rPr>
        <w:t>地址：</w:t>
      </w:r>
    </w:p>
    <w:p w14:paraId="4530BDEB">
      <w:pPr>
        <w:spacing w:before="156"/>
        <w:rPr>
          <w:rFonts w:ascii="仿宋" w:hAnsi="仿宋" w:eastAsia="仿宋"/>
          <w:sz w:val="32"/>
          <w:szCs w:val="32"/>
          <w:highlight w:val="none"/>
        </w:rPr>
      </w:pPr>
      <w:r>
        <w:rPr>
          <w:rFonts w:ascii="仿宋" w:hAnsi="仿宋" w:eastAsia="仿宋"/>
          <w:sz w:val="32"/>
          <w:szCs w:val="32"/>
          <w:highlight w:val="none"/>
        </w:rPr>
        <w:t>法定代表人（签名或盖私章）：</w:t>
      </w:r>
    </w:p>
    <w:p w14:paraId="12FCF79F">
      <w:pPr>
        <w:spacing w:before="156"/>
        <w:rPr>
          <w:rFonts w:ascii="仿宋" w:hAnsi="仿宋" w:eastAsia="仿宋"/>
          <w:sz w:val="32"/>
          <w:szCs w:val="32"/>
          <w:highlight w:val="none"/>
        </w:rPr>
      </w:pPr>
      <w:r>
        <w:rPr>
          <w:rFonts w:ascii="仿宋" w:hAnsi="仿宋" w:eastAsia="仿宋"/>
          <w:sz w:val="32"/>
          <w:szCs w:val="32"/>
          <w:highlight w:val="none"/>
        </w:rPr>
        <w:t>职务：</w:t>
      </w:r>
    </w:p>
    <w:p w14:paraId="2A89C7CA">
      <w:pPr>
        <w:pStyle w:val="51"/>
        <w:spacing w:before="156"/>
        <w:ind w:left="480" w:firstLine="480"/>
        <w:rPr>
          <w:highlight w:val="none"/>
        </w:rPr>
      </w:pPr>
      <w:r>
        <w:rPr>
          <w:highlight w:val="none"/>
        </w:rPr>
        <w:br w:type="page"/>
      </w:r>
    </w:p>
    <w:p w14:paraId="47AAB2F9">
      <w:pPr>
        <w:spacing w:before="156"/>
        <w:jc w:val="center"/>
        <w:rPr>
          <w:rFonts w:ascii="仿宋" w:hAnsi="仿宋" w:eastAsia="仿宋"/>
          <w:sz w:val="32"/>
          <w:szCs w:val="32"/>
          <w:highlight w:val="none"/>
        </w:rPr>
      </w:pPr>
      <w:r>
        <w:rPr>
          <w:rFonts w:ascii="仿宋" w:hAnsi="仿宋" w:eastAsia="仿宋"/>
          <w:b/>
          <w:bCs/>
          <w:sz w:val="32"/>
          <w:szCs w:val="32"/>
          <w:highlight w:val="none"/>
        </w:rPr>
        <w:t>法定代表人身份证复印件</w:t>
      </w:r>
      <w:r>
        <w:rPr>
          <w:rFonts w:hint="eastAsia" w:ascii="仿宋" w:hAnsi="仿宋" w:eastAsia="仿宋"/>
          <w:b/>
          <w:bCs/>
          <w:sz w:val="32"/>
          <w:szCs w:val="32"/>
          <w:highlight w:val="none"/>
        </w:rPr>
        <w:t>（加盖公章）</w:t>
      </w:r>
    </w:p>
    <w:p w14:paraId="05AD8E93">
      <w:pPr>
        <w:spacing w:before="156"/>
        <w:rPr>
          <w:rFonts w:ascii="仿宋" w:hAnsi="仿宋" w:eastAsia="仿宋"/>
          <w:sz w:val="32"/>
          <w:szCs w:val="32"/>
          <w:highlight w:val="none"/>
        </w:rPr>
      </w:pPr>
    </w:p>
    <w:p w14:paraId="0B2AD145">
      <w:pPr>
        <w:pStyle w:val="256"/>
        <w:numPr>
          <w:ilvl w:val="0"/>
          <w:numId w:val="5"/>
        </w:numPr>
        <w:spacing w:before="156"/>
        <w:ind w:left="420" w:firstLineChars="0"/>
        <w:outlineLvl w:val="1"/>
        <w:rPr>
          <w:rFonts w:ascii="仿宋" w:hAnsi="仿宋" w:eastAsia="仿宋" w:cs="Times New Roman"/>
          <w:b/>
          <w:bCs/>
          <w:kern w:val="2"/>
          <w:sz w:val="28"/>
          <w:szCs w:val="44"/>
          <w:highlight w:val="none"/>
          <w:lang w:val="en-US" w:eastAsia="zh-CN" w:bidi="ar-SA"/>
        </w:rPr>
      </w:pPr>
      <w:r>
        <w:rPr>
          <w:rFonts w:ascii="仿宋" w:hAnsi="仿宋" w:eastAsia="仿宋"/>
          <w:sz w:val="32"/>
          <w:szCs w:val="32"/>
          <w:highlight w:val="none"/>
        </w:rPr>
        <w:br w:type="page"/>
      </w:r>
      <w:r>
        <w:rPr>
          <w:rFonts w:ascii="仿宋" w:hAnsi="仿宋" w:eastAsia="仿宋" w:cs="Times New Roman"/>
          <w:b/>
          <w:bCs/>
          <w:kern w:val="2"/>
          <w:sz w:val="28"/>
          <w:szCs w:val="44"/>
          <w:highlight w:val="none"/>
          <w:lang w:val="en-US" w:eastAsia="zh-CN" w:bidi="ar-SA"/>
        </w:rPr>
        <w:t>法人授权书</w:t>
      </w:r>
    </w:p>
    <w:p w14:paraId="2DFAD15C">
      <w:pPr>
        <w:widowControl/>
        <w:spacing w:before="156"/>
        <w:jc w:val="center"/>
        <w:rPr>
          <w:rFonts w:ascii="仿宋" w:hAnsi="仿宋" w:eastAsia="仿宋"/>
          <w:sz w:val="32"/>
          <w:szCs w:val="32"/>
          <w:highlight w:val="none"/>
        </w:rPr>
      </w:pPr>
      <w:r>
        <w:rPr>
          <w:rFonts w:ascii="仿宋" w:hAnsi="仿宋" w:eastAsia="仿宋"/>
          <w:b/>
          <w:sz w:val="32"/>
          <w:szCs w:val="32"/>
          <w:highlight w:val="none"/>
        </w:rPr>
        <w:t>授权委托书</w:t>
      </w:r>
    </w:p>
    <w:p w14:paraId="5A3EC5E1">
      <w:pPr>
        <w:pStyle w:val="257"/>
        <w:spacing w:before="156" w:line="360" w:lineRule="auto"/>
        <w:ind w:firstLine="0" w:firstLineChars="0"/>
        <w:rPr>
          <w:rFonts w:ascii="仿宋" w:hAnsi="仿宋" w:eastAsia="仿宋"/>
          <w:sz w:val="32"/>
          <w:szCs w:val="32"/>
          <w:highlight w:val="none"/>
        </w:rPr>
      </w:pPr>
      <w:r>
        <w:rPr>
          <w:sz w:val="32"/>
          <w:szCs w:val="32"/>
          <w:highlight w:val="none"/>
        </w:rPr>
        <w:t>东莞市新东</w:t>
      </w:r>
      <w:r>
        <w:rPr>
          <w:rFonts w:hint="eastAsia"/>
          <w:sz w:val="32"/>
          <w:szCs w:val="32"/>
          <w:highlight w:val="none"/>
        </w:rPr>
        <w:t>元环</w:t>
      </w:r>
      <w:r>
        <w:rPr>
          <w:sz w:val="32"/>
          <w:szCs w:val="32"/>
          <w:highlight w:val="none"/>
        </w:rPr>
        <w:t>保投资有限公司</w:t>
      </w:r>
      <w:r>
        <w:rPr>
          <w:rFonts w:ascii="仿宋" w:hAnsi="仿宋" w:eastAsia="仿宋"/>
          <w:sz w:val="32"/>
          <w:szCs w:val="32"/>
          <w:highlight w:val="none"/>
        </w:rPr>
        <w:t>：</w:t>
      </w:r>
    </w:p>
    <w:p w14:paraId="7E98DBFE">
      <w:pPr>
        <w:pStyle w:val="257"/>
        <w:spacing w:before="156" w:line="360" w:lineRule="auto"/>
        <w:ind w:firstLine="659"/>
        <w:rPr>
          <w:rFonts w:ascii="仿宋" w:hAnsi="仿宋" w:eastAsia="仿宋"/>
          <w:sz w:val="32"/>
          <w:szCs w:val="32"/>
          <w:highlight w:val="none"/>
        </w:rPr>
      </w:pPr>
      <w:r>
        <w:rPr>
          <w:rFonts w:ascii="仿宋" w:hAnsi="仿宋" w:eastAsia="仿宋"/>
          <w:sz w:val="32"/>
          <w:szCs w:val="32"/>
          <w:highlight w:val="none"/>
        </w:rPr>
        <w:t>本委托书声明：在下面签字的</w:t>
      </w:r>
      <w:r>
        <w:rPr>
          <w:rFonts w:ascii="仿宋" w:hAnsi="仿宋" w:eastAsia="仿宋"/>
          <w:sz w:val="32"/>
          <w:szCs w:val="32"/>
          <w:highlight w:val="none"/>
          <w:u w:val="single"/>
        </w:rPr>
        <w:t>（</w:t>
      </w:r>
      <w:r>
        <w:rPr>
          <w:rFonts w:hint="eastAsia" w:ascii="仿宋" w:hAnsi="仿宋" w:eastAsia="仿宋"/>
          <w:sz w:val="32"/>
          <w:szCs w:val="32"/>
          <w:highlight w:val="none"/>
          <w:u w:val="single"/>
        </w:rPr>
        <w:t>填写</w:t>
      </w:r>
      <w:r>
        <w:rPr>
          <w:rFonts w:ascii="仿宋" w:hAnsi="仿宋" w:eastAsia="仿宋"/>
          <w:sz w:val="32"/>
          <w:szCs w:val="32"/>
          <w:highlight w:val="none"/>
          <w:u w:val="single"/>
        </w:rPr>
        <w:t>法定代表人姓名、职务）</w:t>
      </w:r>
      <w:r>
        <w:rPr>
          <w:rFonts w:ascii="仿宋" w:hAnsi="仿宋" w:eastAsia="仿宋"/>
          <w:sz w:val="32"/>
          <w:szCs w:val="32"/>
          <w:highlight w:val="none"/>
        </w:rPr>
        <w:t>代表</w:t>
      </w:r>
      <w:r>
        <w:rPr>
          <w:rFonts w:ascii="仿宋" w:hAnsi="仿宋" w:eastAsia="仿宋"/>
          <w:sz w:val="32"/>
          <w:szCs w:val="32"/>
          <w:highlight w:val="none"/>
          <w:u w:val="single"/>
        </w:rPr>
        <w:t>（</w:t>
      </w:r>
      <w:r>
        <w:rPr>
          <w:rFonts w:hint="eastAsia" w:ascii="仿宋" w:hAnsi="仿宋" w:eastAsia="仿宋"/>
          <w:sz w:val="32"/>
          <w:szCs w:val="32"/>
          <w:highlight w:val="none"/>
          <w:u w:val="single"/>
        </w:rPr>
        <w:t>填写</w:t>
      </w:r>
      <w:r>
        <w:rPr>
          <w:rFonts w:hint="eastAsia" w:ascii="仿宋" w:hAnsi="仿宋" w:eastAsia="仿宋"/>
          <w:sz w:val="32"/>
          <w:szCs w:val="32"/>
          <w:highlight w:val="none"/>
          <w:u w:val="single"/>
          <w:lang w:eastAsia="zh-CN"/>
        </w:rPr>
        <w:t>响应人</w:t>
      </w:r>
      <w:r>
        <w:rPr>
          <w:rFonts w:ascii="仿宋" w:hAnsi="仿宋" w:eastAsia="仿宋"/>
          <w:sz w:val="32"/>
          <w:szCs w:val="32"/>
          <w:highlight w:val="none"/>
          <w:u w:val="single"/>
        </w:rPr>
        <w:t>名称）</w:t>
      </w:r>
      <w:r>
        <w:rPr>
          <w:rFonts w:ascii="仿宋" w:hAnsi="仿宋" w:eastAsia="仿宋"/>
          <w:sz w:val="32"/>
          <w:szCs w:val="32"/>
          <w:highlight w:val="none"/>
        </w:rPr>
        <w:t>委托在下面签字的</w:t>
      </w:r>
      <w:r>
        <w:rPr>
          <w:rFonts w:ascii="仿宋" w:hAnsi="仿宋" w:eastAsia="仿宋"/>
          <w:sz w:val="32"/>
          <w:szCs w:val="32"/>
          <w:highlight w:val="none"/>
          <w:u w:val="single"/>
        </w:rPr>
        <w:t>（</w:t>
      </w:r>
      <w:r>
        <w:rPr>
          <w:rFonts w:hint="eastAsia" w:ascii="仿宋" w:hAnsi="仿宋" w:eastAsia="仿宋"/>
          <w:sz w:val="32"/>
          <w:szCs w:val="32"/>
          <w:highlight w:val="none"/>
          <w:u w:val="single"/>
        </w:rPr>
        <w:t>填写</w:t>
      </w:r>
      <w:r>
        <w:rPr>
          <w:rFonts w:ascii="仿宋" w:hAnsi="仿宋" w:eastAsia="仿宋"/>
          <w:sz w:val="32"/>
          <w:szCs w:val="32"/>
          <w:highlight w:val="none"/>
          <w:u w:val="single"/>
        </w:rPr>
        <w:t>受委托人的姓名、职务）</w:t>
      </w:r>
      <w:r>
        <w:rPr>
          <w:rFonts w:ascii="仿宋" w:hAnsi="仿宋" w:eastAsia="仿宋"/>
          <w:sz w:val="32"/>
          <w:szCs w:val="32"/>
          <w:highlight w:val="none"/>
        </w:rPr>
        <w:t>为本公司的合法代表人，就</w:t>
      </w:r>
      <w:r>
        <w:rPr>
          <w:rFonts w:hint="eastAsia" w:ascii="仿宋" w:hAnsi="仿宋" w:eastAsia="仿宋"/>
          <w:sz w:val="32"/>
          <w:szCs w:val="32"/>
          <w:highlight w:val="none"/>
        </w:rPr>
        <w:t>海心沙环保热电厂#1、#2厌氧罐外立面防腐采购项目</w:t>
      </w:r>
      <w:r>
        <w:rPr>
          <w:rFonts w:ascii="仿宋" w:hAnsi="仿宋" w:eastAsia="仿宋"/>
          <w:sz w:val="32"/>
          <w:szCs w:val="32"/>
          <w:highlight w:val="none"/>
        </w:rPr>
        <w:t>的</w:t>
      </w:r>
      <w:r>
        <w:rPr>
          <w:rFonts w:hint="eastAsia" w:ascii="仿宋" w:hAnsi="仿宋" w:eastAsia="仿宋"/>
          <w:sz w:val="32"/>
          <w:szCs w:val="32"/>
          <w:highlight w:val="none"/>
          <w:lang w:val="en-US" w:eastAsia="zh-CN"/>
        </w:rPr>
        <w:t>报价</w:t>
      </w:r>
      <w:r>
        <w:rPr>
          <w:rFonts w:ascii="仿宋" w:hAnsi="仿宋" w:eastAsia="仿宋"/>
          <w:sz w:val="32"/>
          <w:szCs w:val="32"/>
          <w:highlight w:val="none"/>
        </w:rPr>
        <w:t>和合同的</w:t>
      </w:r>
      <w:r>
        <w:rPr>
          <w:rFonts w:hint="eastAsia" w:ascii="仿宋" w:hAnsi="仿宋" w:eastAsia="仿宋"/>
          <w:sz w:val="32"/>
          <w:szCs w:val="32"/>
          <w:highlight w:val="none"/>
        </w:rPr>
        <w:t>签订、</w:t>
      </w:r>
      <w:r>
        <w:rPr>
          <w:rFonts w:ascii="仿宋" w:hAnsi="仿宋" w:eastAsia="仿宋"/>
          <w:sz w:val="32"/>
          <w:szCs w:val="32"/>
          <w:highlight w:val="none"/>
        </w:rPr>
        <w:t>执行，以我方的名义处理一切与之有关的事宜（相关身份证复印件须附后）。</w:t>
      </w:r>
    </w:p>
    <w:p w14:paraId="6D78B23D">
      <w:pPr>
        <w:pStyle w:val="257"/>
        <w:spacing w:before="156" w:line="360" w:lineRule="auto"/>
        <w:ind w:firstLine="659"/>
        <w:rPr>
          <w:rFonts w:ascii="仿宋" w:hAnsi="仿宋" w:eastAsia="仿宋"/>
          <w:sz w:val="32"/>
          <w:szCs w:val="32"/>
          <w:highlight w:val="none"/>
        </w:rPr>
      </w:pPr>
      <w:r>
        <w:rPr>
          <w:rFonts w:hint="eastAsia" w:ascii="仿宋" w:hAnsi="仿宋" w:eastAsia="仿宋"/>
          <w:sz w:val="32"/>
          <w:szCs w:val="32"/>
          <w:highlight w:val="none"/>
        </w:rPr>
        <w:t>本委托书于</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年</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月</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日至</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年</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月</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日签字生效，有效期与询价有效期一致，特此声明</w:t>
      </w:r>
      <w:r>
        <w:rPr>
          <w:rFonts w:ascii="仿宋" w:hAnsi="仿宋" w:eastAsia="仿宋"/>
          <w:sz w:val="32"/>
          <w:szCs w:val="32"/>
          <w:highlight w:val="none"/>
        </w:rPr>
        <w:t>。</w:t>
      </w:r>
      <w:r>
        <w:rPr>
          <w:rFonts w:hint="eastAsia" w:ascii="仿宋" w:hAnsi="仿宋" w:eastAsia="仿宋"/>
          <w:sz w:val="32"/>
          <w:szCs w:val="32"/>
          <w:highlight w:val="none"/>
        </w:rPr>
        <w:t>（有效期不得少于</w:t>
      </w:r>
      <w:r>
        <w:rPr>
          <w:rFonts w:ascii="仿宋" w:hAnsi="仿宋" w:eastAsia="仿宋"/>
          <w:sz w:val="32"/>
          <w:szCs w:val="32"/>
          <w:highlight w:val="none"/>
        </w:rPr>
        <w:t>90个日历日）</w:t>
      </w:r>
    </w:p>
    <w:p w14:paraId="4AA34F1E">
      <w:pPr>
        <w:pStyle w:val="257"/>
        <w:keepNext w:val="0"/>
        <w:keepLines w:val="0"/>
        <w:pageBreakBefore w:val="0"/>
        <w:widowControl w:val="0"/>
        <w:kinsoku/>
        <w:overflowPunct/>
        <w:topLinePunct w:val="0"/>
        <w:autoSpaceDE/>
        <w:autoSpaceDN/>
        <w:bidi w:val="0"/>
        <w:adjustRightInd/>
        <w:snapToGrid w:val="0"/>
        <w:spacing w:beforeLines="0" w:line="360" w:lineRule="auto"/>
        <w:ind w:right="160" w:firstLine="0" w:firstLineChars="0"/>
        <w:textAlignment w:val="auto"/>
        <w:rPr>
          <w:rFonts w:hint="eastAsia" w:ascii="仿宋" w:hAnsi="仿宋" w:eastAsia="仿宋"/>
          <w:sz w:val="32"/>
          <w:szCs w:val="32"/>
          <w:highlight w:val="none"/>
        </w:rPr>
      </w:pPr>
    </w:p>
    <w:p w14:paraId="28E9F91B">
      <w:pPr>
        <w:pStyle w:val="257"/>
        <w:keepNext w:val="0"/>
        <w:keepLines w:val="0"/>
        <w:pageBreakBefore w:val="0"/>
        <w:widowControl w:val="0"/>
        <w:kinsoku/>
        <w:overflowPunct/>
        <w:topLinePunct w:val="0"/>
        <w:autoSpaceDE/>
        <w:autoSpaceDN/>
        <w:bidi w:val="0"/>
        <w:adjustRightInd/>
        <w:snapToGrid w:val="0"/>
        <w:spacing w:beforeLines="0" w:line="360" w:lineRule="auto"/>
        <w:ind w:right="160" w:firstLine="0" w:firstLineChars="0"/>
        <w:textAlignment w:val="auto"/>
        <w:rPr>
          <w:rFonts w:ascii="仿宋" w:hAnsi="仿宋" w:eastAsia="仿宋"/>
          <w:sz w:val="32"/>
          <w:szCs w:val="32"/>
          <w:highlight w:val="none"/>
        </w:rPr>
      </w:pPr>
      <w:r>
        <w:rPr>
          <w:rFonts w:hint="eastAsia" w:ascii="仿宋" w:hAnsi="仿宋" w:eastAsia="仿宋"/>
          <w:sz w:val="32"/>
          <w:szCs w:val="32"/>
          <w:highlight w:val="none"/>
          <w:lang w:eastAsia="zh-CN"/>
        </w:rPr>
        <w:t>响应人</w:t>
      </w:r>
      <w:r>
        <w:rPr>
          <w:rFonts w:ascii="仿宋" w:hAnsi="仿宋" w:eastAsia="仿宋"/>
          <w:sz w:val="32"/>
          <w:szCs w:val="32"/>
          <w:highlight w:val="none"/>
        </w:rPr>
        <w:t>名称（加盖公章）：</w:t>
      </w:r>
    </w:p>
    <w:p w14:paraId="27710903">
      <w:pPr>
        <w:pStyle w:val="257"/>
        <w:keepNext w:val="0"/>
        <w:keepLines w:val="0"/>
        <w:pageBreakBefore w:val="0"/>
        <w:widowControl w:val="0"/>
        <w:kinsoku/>
        <w:wordWrap w:val="0"/>
        <w:overflowPunct/>
        <w:topLinePunct w:val="0"/>
        <w:autoSpaceDE/>
        <w:autoSpaceDN/>
        <w:bidi w:val="0"/>
        <w:adjustRightInd/>
        <w:snapToGrid w:val="0"/>
        <w:spacing w:beforeLines="0" w:line="360" w:lineRule="auto"/>
        <w:ind w:firstLine="0" w:firstLineChars="0"/>
        <w:textAlignment w:val="auto"/>
        <w:rPr>
          <w:rFonts w:ascii="仿宋" w:hAnsi="仿宋" w:eastAsia="仿宋"/>
          <w:sz w:val="32"/>
          <w:szCs w:val="32"/>
          <w:highlight w:val="none"/>
        </w:rPr>
      </w:pPr>
      <w:r>
        <w:rPr>
          <w:rFonts w:hint="eastAsia" w:ascii="仿宋" w:hAnsi="仿宋" w:eastAsia="仿宋"/>
          <w:sz w:val="32"/>
          <w:szCs w:val="32"/>
          <w:highlight w:val="none"/>
          <w:lang w:eastAsia="zh-CN"/>
        </w:rPr>
        <w:t>响应人</w:t>
      </w:r>
      <w:r>
        <w:rPr>
          <w:rFonts w:ascii="仿宋" w:hAnsi="仿宋" w:eastAsia="仿宋"/>
          <w:sz w:val="32"/>
          <w:szCs w:val="32"/>
          <w:highlight w:val="none"/>
        </w:rPr>
        <w:t>地址：</w:t>
      </w:r>
    </w:p>
    <w:p w14:paraId="6F5DC295">
      <w:pPr>
        <w:pStyle w:val="257"/>
        <w:keepNext w:val="0"/>
        <w:keepLines w:val="0"/>
        <w:pageBreakBefore w:val="0"/>
        <w:widowControl w:val="0"/>
        <w:kinsoku/>
        <w:wordWrap w:val="0"/>
        <w:overflowPunct/>
        <w:topLinePunct w:val="0"/>
        <w:autoSpaceDE/>
        <w:autoSpaceDN/>
        <w:bidi w:val="0"/>
        <w:adjustRightInd/>
        <w:snapToGrid w:val="0"/>
        <w:spacing w:beforeLines="0" w:line="360" w:lineRule="auto"/>
        <w:ind w:firstLine="0" w:firstLineChars="0"/>
        <w:textAlignment w:val="auto"/>
        <w:rPr>
          <w:rFonts w:ascii="仿宋" w:hAnsi="仿宋" w:eastAsia="仿宋"/>
          <w:sz w:val="32"/>
          <w:szCs w:val="32"/>
          <w:highlight w:val="none"/>
        </w:rPr>
      </w:pPr>
      <w:r>
        <w:rPr>
          <w:rFonts w:ascii="仿宋" w:hAnsi="仿宋" w:eastAsia="仿宋"/>
          <w:sz w:val="32"/>
          <w:szCs w:val="32"/>
          <w:highlight w:val="none"/>
        </w:rPr>
        <w:t>法定代表人（签字或盖章）：</w:t>
      </w:r>
    </w:p>
    <w:p w14:paraId="63B691FD">
      <w:pPr>
        <w:pStyle w:val="257"/>
        <w:keepNext w:val="0"/>
        <w:keepLines w:val="0"/>
        <w:pageBreakBefore w:val="0"/>
        <w:widowControl w:val="0"/>
        <w:kinsoku/>
        <w:wordWrap w:val="0"/>
        <w:overflowPunct/>
        <w:topLinePunct w:val="0"/>
        <w:autoSpaceDE/>
        <w:autoSpaceDN/>
        <w:bidi w:val="0"/>
        <w:adjustRightInd/>
        <w:snapToGrid w:val="0"/>
        <w:spacing w:beforeLines="0" w:line="360" w:lineRule="auto"/>
        <w:ind w:firstLine="0" w:firstLineChars="0"/>
        <w:textAlignment w:val="auto"/>
        <w:rPr>
          <w:rFonts w:ascii="仿宋" w:hAnsi="仿宋" w:eastAsia="仿宋"/>
          <w:sz w:val="32"/>
          <w:szCs w:val="32"/>
          <w:highlight w:val="none"/>
        </w:rPr>
      </w:pPr>
      <w:r>
        <w:rPr>
          <w:rFonts w:ascii="仿宋" w:hAnsi="仿宋" w:eastAsia="仿宋"/>
          <w:sz w:val="32"/>
          <w:szCs w:val="32"/>
          <w:highlight w:val="none"/>
        </w:rPr>
        <w:t>职务：</w:t>
      </w:r>
    </w:p>
    <w:p w14:paraId="337C36EF">
      <w:pPr>
        <w:pStyle w:val="257"/>
        <w:keepNext w:val="0"/>
        <w:keepLines w:val="0"/>
        <w:pageBreakBefore w:val="0"/>
        <w:widowControl w:val="0"/>
        <w:kinsoku/>
        <w:wordWrap w:val="0"/>
        <w:overflowPunct/>
        <w:topLinePunct w:val="0"/>
        <w:autoSpaceDE/>
        <w:autoSpaceDN/>
        <w:bidi w:val="0"/>
        <w:adjustRightInd/>
        <w:snapToGrid w:val="0"/>
        <w:spacing w:beforeLines="0" w:line="360" w:lineRule="auto"/>
        <w:ind w:firstLine="0" w:firstLineChars="0"/>
        <w:textAlignment w:val="auto"/>
        <w:rPr>
          <w:rFonts w:ascii="仿宋" w:hAnsi="仿宋" w:eastAsia="仿宋"/>
          <w:sz w:val="32"/>
          <w:szCs w:val="32"/>
          <w:highlight w:val="none"/>
        </w:rPr>
      </w:pPr>
      <w:r>
        <w:rPr>
          <w:rFonts w:ascii="仿宋" w:hAnsi="仿宋" w:eastAsia="仿宋"/>
          <w:sz w:val="32"/>
          <w:szCs w:val="32"/>
          <w:highlight w:val="none"/>
        </w:rPr>
        <w:t>受委托人（签字或盖章）：</w:t>
      </w:r>
    </w:p>
    <w:p w14:paraId="1D9F7A6E">
      <w:pPr>
        <w:pStyle w:val="257"/>
        <w:keepNext w:val="0"/>
        <w:keepLines w:val="0"/>
        <w:pageBreakBefore w:val="0"/>
        <w:widowControl w:val="0"/>
        <w:kinsoku/>
        <w:wordWrap w:val="0"/>
        <w:overflowPunct/>
        <w:topLinePunct w:val="0"/>
        <w:autoSpaceDE/>
        <w:autoSpaceDN/>
        <w:bidi w:val="0"/>
        <w:adjustRightInd/>
        <w:snapToGrid w:val="0"/>
        <w:spacing w:beforeLines="0" w:line="360" w:lineRule="auto"/>
        <w:ind w:firstLine="0" w:firstLineChars="0"/>
        <w:textAlignment w:val="auto"/>
        <w:rPr>
          <w:rFonts w:ascii="仿宋" w:hAnsi="仿宋" w:eastAsia="仿宋"/>
          <w:sz w:val="32"/>
          <w:szCs w:val="32"/>
          <w:highlight w:val="none"/>
        </w:rPr>
      </w:pPr>
      <w:r>
        <w:rPr>
          <w:rFonts w:ascii="仿宋" w:hAnsi="仿宋" w:eastAsia="仿宋"/>
          <w:sz w:val="32"/>
          <w:szCs w:val="32"/>
          <w:highlight w:val="none"/>
        </w:rPr>
        <w:t>职务：</w:t>
      </w:r>
    </w:p>
    <w:p w14:paraId="64859B4C">
      <w:pPr>
        <w:pStyle w:val="257"/>
        <w:keepNext w:val="0"/>
        <w:keepLines w:val="0"/>
        <w:pageBreakBefore w:val="0"/>
        <w:widowControl w:val="0"/>
        <w:kinsoku/>
        <w:overflowPunct/>
        <w:topLinePunct w:val="0"/>
        <w:autoSpaceDE/>
        <w:autoSpaceDN/>
        <w:bidi w:val="0"/>
        <w:adjustRightInd/>
        <w:snapToGrid w:val="0"/>
        <w:spacing w:beforeLines="0" w:line="360" w:lineRule="auto"/>
        <w:ind w:firstLine="0" w:firstLineChars="0"/>
        <w:textAlignment w:val="auto"/>
        <w:rPr>
          <w:rFonts w:ascii="仿宋" w:hAnsi="仿宋" w:eastAsia="仿宋"/>
          <w:sz w:val="32"/>
          <w:szCs w:val="32"/>
          <w:highlight w:val="none"/>
        </w:rPr>
      </w:pPr>
      <w:r>
        <w:rPr>
          <w:rFonts w:ascii="仿宋" w:hAnsi="仿宋" w:eastAsia="仿宋"/>
          <w:sz w:val="32"/>
          <w:szCs w:val="32"/>
          <w:highlight w:val="none"/>
        </w:rPr>
        <w:t>日期：</w:t>
      </w:r>
    </w:p>
    <w:p w14:paraId="0B4FC596">
      <w:pPr>
        <w:widowControl/>
        <w:spacing w:beforeLines="0" w:line="240" w:lineRule="auto"/>
        <w:rPr>
          <w:highlight w:val="none"/>
        </w:rPr>
      </w:pPr>
      <w:r>
        <w:rPr>
          <w:highlight w:val="none"/>
        </w:rPr>
        <w:br w:type="page"/>
      </w:r>
    </w:p>
    <w:p w14:paraId="050723B5">
      <w:pPr>
        <w:pStyle w:val="51"/>
        <w:spacing w:before="156"/>
        <w:ind w:left="0" w:leftChars="0" w:firstLine="0" w:firstLineChars="0"/>
        <w:jc w:val="center"/>
        <w:rPr>
          <w:rFonts w:ascii="仿宋" w:hAnsi="仿宋" w:eastAsia="仿宋"/>
          <w:kern w:val="0"/>
          <w:sz w:val="32"/>
          <w:szCs w:val="32"/>
          <w:highlight w:val="none"/>
        </w:rPr>
      </w:pPr>
      <w:r>
        <w:rPr>
          <w:rFonts w:hint="eastAsia" w:ascii="仿宋" w:hAnsi="仿宋" w:eastAsia="仿宋"/>
          <w:b/>
          <w:bCs/>
          <w:sz w:val="32"/>
          <w:szCs w:val="32"/>
          <w:highlight w:val="none"/>
        </w:rPr>
        <w:t>授权委托人</w:t>
      </w:r>
      <w:r>
        <w:rPr>
          <w:rFonts w:ascii="仿宋" w:hAnsi="仿宋" w:eastAsia="仿宋"/>
          <w:b/>
          <w:bCs/>
          <w:sz w:val="32"/>
          <w:szCs w:val="32"/>
          <w:highlight w:val="none"/>
        </w:rPr>
        <w:t>身份证复印件</w:t>
      </w:r>
      <w:r>
        <w:rPr>
          <w:rFonts w:hint="eastAsia" w:ascii="仿宋" w:hAnsi="仿宋" w:eastAsia="仿宋"/>
          <w:b/>
          <w:bCs/>
          <w:sz w:val="32"/>
          <w:szCs w:val="32"/>
          <w:highlight w:val="none"/>
        </w:rPr>
        <w:t>（加盖公章）</w:t>
      </w:r>
    </w:p>
    <w:p w14:paraId="6177A9E0">
      <w:pPr>
        <w:widowControl/>
        <w:spacing w:beforeLines="0" w:line="240" w:lineRule="auto"/>
        <w:rPr>
          <w:rFonts w:ascii="仿宋" w:hAnsi="仿宋" w:eastAsia="仿宋"/>
          <w:kern w:val="0"/>
          <w:sz w:val="32"/>
          <w:szCs w:val="32"/>
          <w:highlight w:val="none"/>
        </w:rPr>
      </w:pPr>
      <w:r>
        <w:rPr>
          <w:rFonts w:ascii="仿宋" w:hAnsi="仿宋" w:eastAsia="仿宋"/>
          <w:sz w:val="32"/>
          <w:szCs w:val="32"/>
          <w:highlight w:val="none"/>
        </w:rPr>
        <w:br w:type="page"/>
      </w:r>
    </w:p>
    <w:p w14:paraId="6C1497C7">
      <w:pPr>
        <w:pStyle w:val="257"/>
        <w:spacing w:before="156" w:line="360" w:lineRule="auto"/>
        <w:ind w:firstLine="0" w:firstLineChars="0"/>
        <w:rPr>
          <w:rFonts w:ascii="仿宋" w:hAnsi="仿宋" w:eastAsia="仿宋"/>
          <w:sz w:val="32"/>
          <w:szCs w:val="32"/>
          <w:highlight w:val="none"/>
        </w:rPr>
        <w:sectPr>
          <w:headerReference r:id="rId5" w:type="default"/>
          <w:footerReference r:id="rId6" w:type="default"/>
          <w:pgSz w:w="11906" w:h="16838"/>
          <w:pgMar w:top="1276" w:right="1800" w:bottom="1418" w:left="1800" w:header="851" w:footer="992" w:gutter="0"/>
          <w:pgNumType w:fmt="decimal"/>
          <w:cols w:space="720" w:num="1"/>
          <w:docGrid w:type="lines" w:linePitch="312" w:charSpace="0"/>
        </w:sectPr>
      </w:pPr>
    </w:p>
    <w:bookmarkEnd w:id="9"/>
    <w:p w14:paraId="0C16A1D1">
      <w:pPr>
        <w:pStyle w:val="256"/>
        <w:numPr>
          <w:ilvl w:val="0"/>
          <w:numId w:val="5"/>
        </w:numPr>
        <w:spacing w:before="156"/>
        <w:ind w:left="420" w:firstLineChars="0"/>
        <w:outlineLvl w:val="1"/>
        <w:rPr>
          <w:rFonts w:ascii="仿宋" w:hAnsi="仿宋" w:eastAsia="仿宋" w:cs="Times New Roman"/>
          <w:b/>
          <w:bCs/>
          <w:kern w:val="2"/>
          <w:sz w:val="28"/>
          <w:szCs w:val="44"/>
          <w:highlight w:val="none"/>
          <w:lang w:val="en-US" w:eastAsia="zh-CN" w:bidi="ar-SA"/>
        </w:rPr>
      </w:pPr>
      <w:r>
        <w:rPr>
          <w:rFonts w:hint="eastAsia" w:ascii="仿宋" w:hAnsi="仿宋" w:eastAsia="仿宋" w:cs="Times New Roman"/>
          <w:b/>
          <w:bCs/>
          <w:kern w:val="2"/>
          <w:sz w:val="28"/>
          <w:szCs w:val="44"/>
          <w:highlight w:val="none"/>
          <w:lang w:val="en-US" w:eastAsia="zh-CN" w:bidi="ar-SA"/>
        </w:rPr>
        <w:t>踏勘及响应承诺函</w:t>
      </w:r>
    </w:p>
    <w:p w14:paraId="1822E22E">
      <w:pPr>
        <w:pStyle w:val="256"/>
        <w:spacing w:before="120"/>
        <w:ind w:firstLine="0" w:firstLineChars="0"/>
        <w:jc w:val="center"/>
        <w:outlineLvl w:val="1"/>
        <w:rPr>
          <w:rFonts w:ascii="仿宋" w:hAnsi="仿宋" w:eastAsia="仿宋" w:cs="仿宋"/>
          <w:b/>
          <w:sz w:val="32"/>
          <w:szCs w:val="32"/>
          <w:highlight w:val="none"/>
        </w:rPr>
      </w:pPr>
      <w:r>
        <w:rPr>
          <w:rFonts w:hint="eastAsia" w:ascii="仿宋" w:hAnsi="仿宋" w:eastAsia="仿宋" w:cs="仿宋"/>
          <w:b/>
          <w:sz w:val="32"/>
          <w:szCs w:val="32"/>
          <w:highlight w:val="none"/>
        </w:rPr>
        <w:t>踏勘及响应承诺函</w:t>
      </w:r>
    </w:p>
    <w:p w14:paraId="29DE27FD">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东莞市新东元环保投资有限公司（采购人）：</w:t>
      </w:r>
    </w:p>
    <w:p w14:paraId="5DB8707C">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我司就</w:t>
      </w:r>
      <w:r>
        <w:rPr>
          <w:rFonts w:hint="eastAsia" w:ascii="仿宋" w:hAnsi="仿宋" w:eastAsia="仿宋" w:cs="仿宋"/>
          <w:sz w:val="32"/>
          <w:szCs w:val="32"/>
          <w:highlight w:val="none"/>
          <w:lang w:val="en-US" w:eastAsia="zh-CN"/>
        </w:rPr>
        <w:t>参加海心沙环保热电厂#1、#2厌氧罐外立面防腐采购项目</w:t>
      </w:r>
      <w:r>
        <w:rPr>
          <w:rFonts w:hint="eastAsia" w:ascii="仿宋" w:hAnsi="仿宋" w:eastAsia="仿宋" w:cs="仿宋"/>
          <w:sz w:val="32"/>
          <w:szCs w:val="32"/>
          <w:highlight w:val="none"/>
        </w:rPr>
        <w:t>报价工作，作出以下承诺：</w:t>
      </w:r>
    </w:p>
    <w:p w14:paraId="7431A3C5">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我公司已对项目进行踏勘并充分了解采购项目情况，本次报价完全响应采购文件及其全部附件的所有要求，我公司所提供的</w:t>
      </w:r>
      <w:r>
        <w:rPr>
          <w:rFonts w:hint="eastAsia" w:ascii="仿宋" w:hAnsi="仿宋" w:eastAsia="仿宋" w:cs="仿宋"/>
          <w:sz w:val="32"/>
          <w:szCs w:val="32"/>
          <w:highlight w:val="none"/>
          <w:lang w:val="en-US" w:eastAsia="zh-CN"/>
        </w:rPr>
        <w:t>材料、施工及服务</w:t>
      </w:r>
      <w:r>
        <w:rPr>
          <w:rFonts w:hint="eastAsia" w:ascii="仿宋" w:hAnsi="仿宋" w:eastAsia="仿宋" w:cs="仿宋"/>
          <w:sz w:val="32"/>
          <w:szCs w:val="32"/>
          <w:highlight w:val="none"/>
        </w:rPr>
        <w:t>等于或优于采购人需求，并承诺如不满足采购人需求，采购人有权</w:t>
      </w:r>
      <w:r>
        <w:rPr>
          <w:rFonts w:hint="eastAsia" w:ascii="仿宋" w:hAnsi="仿宋" w:eastAsia="仿宋" w:cs="仿宋"/>
          <w:sz w:val="32"/>
          <w:szCs w:val="32"/>
          <w:highlight w:val="none"/>
          <w:lang w:val="en-US" w:eastAsia="zh-CN"/>
        </w:rPr>
        <w:t>单方面解除</w:t>
      </w:r>
      <w:r>
        <w:rPr>
          <w:rFonts w:hint="eastAsia" w:ascii="仿宋" w:hAnsi="仿宋" w:eastAsia="仿宋" w:cs="仿宋"/>
          <w:sz w:val="32"/>
          <w:szCs w:val="32"/>
          <w:highlight w:val="none"/>
        </w:rPr>
        <w:t>合同并</w:t>
      </w:r>
      <w:r>
        <w:rPr>
          <w:rFonts w:hint="eastAsia" w:ascii="仿宋" w:hAnsi="仿宋" w:eastAsia="仿宋" w:cs="仿宋"/>
          <w:sz w:val="32"/>
          <w:szCs w:val="32"/>
          <w:highlight w:val="none"/>
          <w:lang w:val="en-US" w:eastAsia="zh-CN"/>
        </w:rPr>
        <w:t>追究我司</w:t>
      </w:r>
      <w:r>
        <w:rPr>
          <w:rFonts w:hint="eastAsia" w:ascii="仿宋" w:hAnsi="仿宋" w:eastAsia="仿宋" w:cs="仿宋"/>
          <w:sz w:val="32"/>
          <w:szCs w:val="32"/>
          <w:highlight w:val="none"/>
        </w:rPr>
        <w:t>违约</w:t>
      </w:r>
      <w:r>
        <w:rPr>
          <w:rFonts w:hint="eastAsia" w:ascii="仿宋" w:hAnsi="仿宋" w:eastAsia="仿宋" w:cs="仿宋"/>
          <w:sz w:val="32"/>
          <w:szCs w:val="32"/>
          <w:highlight w:val="none"/>
          <w:lang w:val="en-US" w:eastAsia="zh-CN"/>
        </w:rPr>
        <w:t>责任</w:t>
      </w:r>
      <w:r>
        <w:rPr>
          <w:rFonts w:hint="eastAsia" w:ascii="仿宋" w:hAnsi="仿宋" w:eastAsia="仿宋" w:cs="仿宋"/>
          <w:sz w:val="32"/>
          <w:szCs w:val="32"/>
          <w:highlight w:val="none"/>
        </w:rPr>
        <w:t>。</w:t>
      </w:r>
    </w:p>
    <w:p w14:paraId="5237AFB1">
      <w:pPr>
        <w:spacing w:before="120"/>
        <w:ind w:firstLine="640" w:firstLineChars="200"/>
        <w:rPr>
          <w:rFonts w:hint="eastAsia" w:ascii="仿宋" w:hAnsi="仿宋" w:eastAsia="仿宋" w:cs="仿宋"/>
          <w:sz w:val="32"/>
          <w:szCs w:val="32"/>
          <w:highlight w:val="none"/>
        </w:rPr>
      </w:pPr>
    </w:p>
    <w:p w14:paraId="098638EA">
      <w:pPr>
        <w:spacing w:before="120"/>
        <w:ind w:firstLine="640" w:firstLineChars="200"/>
        <w:rPr>
          <w:rFonts w:hint="eastAsia" w:ascii="仿宋" w:hAnsi="仿宋" w:eastAsia="仿宋" w:cs="仿宋"/>
          <w:sz w:val="32"/>
          <w:szCs w:val="32"/>
          <w:highlight w:val="none"/>
        </w:rPr>
      </w:pPr>
    </w:p>
    <w:p w14:paraId="393D3667">
      <w:pPr>
        <w:spacing w:before="120"/>
        <w:ind w:firstLine="640" w:firstLineChars="200"/>
        <w:rPr>
          <w:rFonts w:hint="eastAsia" w:ascii="仿宋" w:hAnsi="仿宋" w:eastAsia="仿宋" w:cs="仿宋"/>
          <w:sz w:val="32"/>
          <w:szCs w:val="32"/>
          <w:highlight w:val="none"/>
        </w:rPr>
      </w:pPr>
    </w:p>
    <w:p w14:paraId="0215A372">
      <w:pPr>
        <w:spacing w:before="120"/>
        <w:ind w:firstLine="640" w:firstLineChars="200"/>
        <w:rPr>
          <w:rFonts w:hint="eastAsia" w:ascii="仿宋" w:hAnsi="仿宋" w:eastAsia="仿宋" w:cs="仿宋"/>
          <w:sz w:val="32"/>
          <w:szCs w:val="32"/>
          <w:highlight w:val="none"/>
        </w:rPr>
      </w:pPr>
    </w:p>
    <w:p w14:paraId="45E9C33E">
      <w:pPr>
        <w:spacing w:before="120"/>
        <w:ind w:firstLine="640" w:firstLineChars="200"/>
        <w:rPr>
          <w:rFonts w:hint="eastAsia" w:ascii="仿宋" w:hAnsi="仿宋" w:eastAsia="仿宋" w:cs="仿宋"/>
          <w:sz w:val="32"/>
          <w:szCs w:val="32"/>
          <w:highlight w:val="none"/>
        </w:rPr>
      </w:pPr>
    </w:p>
    <w:p w14:paraId="4B9F081D">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响应人名称（加盖公章）：</w:t>
      </w:r>
    </w:p>
    <w:p w14:paraId="393AE181">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法定代表人</w:t>
      </w:r>
      <w:r>
        <w:rPr>
          <w:rFonts w:hint="eastAsia" w:ascii="仿宋" w:hAnsi="仿宋" w:eastAsia="仿宋"/>
          <w:sz w:val="32"/>
          <w:szCs w:val="32"/>
          <w:highlight w:val="none"/>
          <w:lang w:val="en-US" w:eastAsia="zh-CN"/>
        </w:rPr>
        <w:t>或受委托人</w:t>
      </w:r>
      <w:r>
        <w:rPr>
          <w:rFonts w:hint="eastAsia" w:ascii="仿宋" w:hAnsi="仿宋" w:eastAsia="仿宋" w:cs="仿宋"/>
          <w:sz w:val="32"/>
          <w:szCs w:val="32"/>
          <w:highlight w:val="none"/>
        </w:rPr>
        <w:t>（签字或盖章）：</w:t>
      </w:r>
    </w:p>
    <w:p w14:paraId="2C198242">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职务：</w:t>
      </w:r>
    </w:p>
    <w:p w14:paraId="1B5C1223">
      <w:pPr>
        <w:spacing w:before="120"/>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日期：</w:t>
      </w:r>
    </w:p>
    <w:p w14:paraId="74D67E8F">
      <w:pPr>
        <w:spacing w:before="120"/>
        <w:ind w:firstLine="640" w:firstLineChars="200"/>
        <w:rPr>
          <w:rFonts w:hint="eastAsia" w:ascii="仿宋" w:hAnsi="仿宋" w:eastAsia="仿宋" w:cs="仿宋"/>
          <w:sz w:val="32"/>
          <w:szCs w:val="32"/>
          <w:highlight w:val="none"/>
        </w:rPr>
      </w:pPr>
    </w:p>
    <w:p w14:paraId="3FDC449D">
      <w:pPr>
        <w:pStyle w:val="256"/>
        <w:numPr>
          <w:ilvl w:val="0"/>
          <w:numId w:val="5"/>
        </w:numPr>
        <w:spacing w:line="360" w:lineRule="auto"/>
        <w:ind w:left="0" w:firstLine="0" w:firstLineChars="0"/>
        <w:jc w:val="left"/>
        <w:outlineLvl w:val="1"/>
        <w:rPr>
          <w:rFonts w:ascii="仿宋" w:hAnsi="仿宋" w:eastAsia="仿宋"/>
          <w:b/>
          <w:bCs/>
          <w:sz w:val="28"/>
          <w:szCs w:val="44"/>
          <w:highlight w:val="none"/>
        </w:rPr>
      </w:pPr>
      <w:bookmarkStart w:id="11" w:name="_Toc28985_WPSOffice_Level1"/>
      <w:bookmarkStart w:id="12" w:name="OLE_LINK11"/>
      <w:r>
        <w:rPr>
          <w:rFonts w:hint="eastAsia" w:ascii="仿宋" w:hAnsi="仿宋" w:eastAsia="仿宋"/>
          <w:b/>
          <w:bCs/>
          <w:sz w:val="28"/>
          <w:szCs w:val="44"/>
          <w:highlight w:val="none"/>
        </w:rPr>
        <w:t>投标人未到场声明</w:t>
      </w:r>
      <w:bookmarkEnd w:id="11"/>
    </w:p>
    <w:bookmarkEnd w:id="12"/>
    <w:p w14:paraId="0C52BB00">
      <w:pPr>
        <w:pStyle w:val="256"/>
        <w:ind w:firstLine="0" w:firstLineChars="0"/>
        <w:jc w:val="center"/>
        <w:outlineLvl w:val="1"/>
        <w:rPr>
          <w:rFonts w:eastAsia="仿宋_GB2312"/>
          <w:b/>
          <w:sz w:val="32"/>
          <w:szCs w:val="32"/>
          <w:highlight w:val="none"/>
        </w:rPr>
      </w:pPr>
      <w:bookmarkStart w:id="13" w:name="_Toc7726_WPSOffice_Level2"/>
      <w:r>
        <w:rPr>
          <w:rFonts w:ascii="仿宋_GB2312" w:eastAsia="仿宋_GB2312"/>
          <w:b/>
          <w:sz w:val="32"/>
          <w:szCs w:val="32"/>
          <w:highlight w:val="none"/>
        </w:rPr>
        <w:t>投标人未到场声明</w:t>
      </w:r>
      <w:bookmarkEnd w:id="13"/>
    </w:p>
    <w:p w14:paraId="11F7AEAD">
      <w:pPr>
        <w:spacing w:line="360" w:lineRule="auto"/>
        <w:rPr>
          <w:rFonts w:eastAsia="仿宋_GB2312"/>
          <w:sz w:val="32"/>
          <w:szCs w:val="32"/>
          <w:highlight w:val="none"/>
        </w:rPr>
      </w:pPr>
      <w:r>
        <w:rPr>
          <w:rFonts w:hint="eastAsia" w:eastAsia="仿宋_GB2312"/>
          <w:sz w:val="32"/>
          <w:szCs w:val="32"/>
          <w:highlight w:val="none"/>
        </w:rPr>
        <w:t>东莞市新东元环保投资有限公司：</w:t>
      </w:r>
    </w:p>
    <w:p w14:paraId="1A3735F0">
      <w:pPr>
        <w:spacing w:line="360" w:lineRule="auto"/>
        <w:ind w:firstLine="640" w:firstLineChars="200"/>
        <w:rPr>
          <w:rFonts w:eastAsia="仿宋_GB2312"/>
          <w:sz w:val="32"/>
          <w:szCs w:val="32"/>
          <w:highlight w:val="none"/>
        </w:rPr>
      </w:pPr>
      <w:r>
        <w:rPr>
          <w:rFonts w:hint="eastAsia" w:eastAsia="仿宋_GB2312"/>
          <w:sz w:val="32"/>
          <w:szCs w:val="32"/>
          <w:highlight w:val="none"/>
        </w:rPr>
        <w:t>我司就</w:t>
      </w:r>
      <w:r>
        <w:rPr>
          <w:rFonts w:hint="eastAsia" w:ascii="仿宋" w:hAnsi="仿宋" w:eastAsia="仿宋" w:cs="仿宋"/>
          <w:sz w:val="32"/>
          <w:szCs w:val="32"/>
          <w:highlight w:val="none"/>
          <w:lang w:val="en-US" w:eastAsia="zh-CN"/>
        </w:rPr>
        <w:t>海心沙环保热电厂#1、#2厌氧罐外立面防腐采购项目</w:t>
      </w:r>
      <w:r>
        <w:rPr>
          <w:rFonts w:hint="eastAsia" w:eastAsia="仿宋_GB2312"/>
          <w:sz w:val="32"/>
          <w:szCs w:val="32"/>
          <w:highlight w:val="none"/>
        </w:rPr>
        <w:t>报价工作，作出郑重说明：</w:t>
      </w:r>
    </w:p>
    <w:p w14:paraId="715B95F5">
      <w:pPr>
        <w:spacing w:line="360" w:lineRule="auto"/>
        <w:ind w:firstLine="640" w:firstLineChars="200"/>
        <w:rPr>
          <w:rFonts w:eastAsia="仿宋_GB2312"/>
          <w:sz w:val="32"/>
          <w:szCs w:val="32"/>
          <w:highlight w:val="none"/>
        </w:rPr>
      </w:pPr>
      <w:r>
        <w:rPr>
          <w:rFonts w:hint="eastAsia" w:eastAsia="仿宋_GB2312"/>
          <w:sz w:val="32"/>
          <w:szCs w:val="32"/>
          <w:highlight w:val="none"/>
        </w:rPr>
        <w:t>我司保证</w:t>
      </w:r>
      <w:r>
        <w:rPr>
          <w:rFonts w:hint="eastAsia" w:eastAsia="仿宋_GB2312"/>
          <w:sz w:val="32"/>
          <w:szCs w:val="32"/>
          <w:highlight w:val="none"/>
          <w:lang w:val="en-US" w:eastAsia="zh-CN"/>
        </w:rPr>
        <w:t>报价</w:t>
      </w:r>
      <w:r>
        <w:rPr>
          <w:rFonts w:hint="eastAsia" w:eastAsia="仿宋_GB2312"/>
          <w:sz w:val="32"/>
          <w:szCs w:val="32"/>
          <w:highlight w:val="none"/>
        </w:rPr>
        <w:t>资格审查材料及其后提供的一切材料都是真实的；我司因</w:t>
      </w:r>
      <w:r>
        <w:rPr>
          <w:rFonts w:hint="eastAsia" w:eastAsia="仿宋_GB2312"/>
          <w:sz w:val="32"/>
          <w:szCs w:val="32"/>
          <w:highlight w:val="none"/>
          <w:u w:val="single"/>
          <w:lang w:val="en-US" w:eastAsia="zh-CN"/>
        </w:rPr>
        <w:t xml:space="preserve">          </w:t>
      </w:r>
      <w:r>
        <w:rPr>
          <w:rFonts w:hint="eastAsia" w:eastAsia="仿宋_GB2312"/>
          <w:sz w:val="32"/>
          <w:szCs w:val="32"/>
          <w:highlight w:val="none"/>
          <w:u w:val="single"/>
        </w:rPr>
        <w:t>原因</w:t>
      </w:r>
      <w:r>
        <w:rPr>
          <w:rFonts w:hint="eastAsia" w:eastAsia="仿宋_GB2312"/>
          <w:sz w:val="32"/>
          <w:szCs w:val="32"/>
          <w:highlight w:val="none"/>
        </w:rPr>
        <w:t>情况未能到现场参加开标工作，对开标结果不存在任何异议。</w:t>
      </w:r>
    </w:p>
    <w:p w14:paraId="00DEFB8C">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5E1F3C4F">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3681DA41">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0687CC8B">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197ADFD3">
      <w:pPr>
        <w:spacing w:line="360" w:lineRule="auto"/>
        <w:ind w:firstLine="640" w:firstLineChars="200"/>
        <w:rPr>
          <w:rFonts w:eastAsia="仿宋_GB2312"/>
          <w:sz w:val="32"/>
          <w:szCs w:val="32"/>
          <w:highlight w:val="none"/>
        </w:rPr>
      </w:pPr>
      <w:r>
        <w:rPr>
          <w:rFonts w:hint="eastAsia" w:eastAsia="仿宋_GB2312"/>
          <w:sz w:val="32"/>
          <w:szCs w:val="32"/>
          <w:highlight w:val="none"/>
        </w:rPr>
        <w:t>供应商名称（加盖公章）：</w:t>
      </w:r>
    </w:p>
    <w:p w14:paraId="6432DF93">
      <w:pPr>
        <w:spacing w:line="360" w:lineRule="auto"/>
        <w:ind w:firstLine="640" w:firstLineChars="200"/>
        <w:rPr>
          <w:rFonts w:eastAsia="仿宋_GB2312"/>
          <w:sz w:val="32"/>
          <w:szCs w:val="32"/>
          <w:highlight w:val="none"/>
        </w:rPr>
      </w:pPr>
      <w:r>
        <w:rPr>
          <w:rFonts w:hint="eastAsia" w:eastAsia="仿宋_GB2312"/>
          <w:sz w:val="32"/>
          <w:szCs w:val="32"/>
          <w:highlight w:val="none"/>
        </w:rPr>
        <w:t>法定代表人（签字或盖章）：</w:t>
      </w:r>
    </w:p>
    <w:p w14:paraId="1E2538DB">
      <w:pP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日期：</w:t>
      </w:r>
    </w:p>
    <w:p w14:paraId="4520A3A6">
      <w:pPr>
        <w:spacing w:before="120"/>
        <w:ind w:firstLine="640" w:firstLineChars="200"/>
        <w:rPr>
          <w:rFonts w:hint="eastAsia" w:ascii="仿宋" w:hAnsi="仿宋" w:eastAsia="仿宋" w:cs="仿宋"/>
          <w:sz w:val="32"/>
          <w:szCs w:val="32"/>
          <w:highlight w:val="none"/>
        </w:rPr>
      </w:pPr>
    </w:p>
    <w:p w14:paraId="5D1CF1FA">
      <w:pPr>
        <w:pStyle w:val="2"/>
        <w:rPr>
          <w:highlight w:val="none"/>
        </w:rPr>
        <w:sectPr>
          <w:headerReference r:id="rId9" w:type="first"/>
          <w:footerReference r:id="rId12" w:type="first"/>
          <w:headerReference r:id="rId7" w:type="default"/>
          <w:footerReference r:id="rId10" w:type="default"/>
          <w:headerReference r:id="rId8" w:type="even"/>
          <w:footerReference r:id="rId11" w:type="even"/>
          <w:pgSz w:w="11907" w:h="16840"/>
          <w:pgMar w:top="1440" w:right="1077" w:bottom="1440" w:left="1077" w:header="851" w:footer="1021" w:gutter="454"/>
          <w:pgNumType w:fmt="decimal" w:start="19"/>
          <w:cols w:space="720" w:num="1"/>
          <w:titlePg/>
          <w:docGrid w:linePitch="326" w:charSpace="0"/>
        </w:sectPr>
      </w:pPr>
    </w:p>
    <w:p w14:paraId="5061AB7A">
      <w:pPr>
        <w:pStyle w:val="2"/>
        <w:jc w:val="both"/>
        <w:rPr>
          <w:highlight w:val="none"/>
        </w:rPr>
      </w:pPr>
    </w:p>
    <w:bookmarkEnd w:id="0"/>
    <w:p w14:paraId="602BE4A6">
      <w:pPr>
        <w:pStyle w:val="256"/>
        <w:keepNext w:val="0"/>
        <w:keepLines w:val="0"/>
        <w:pageBreakBefore w:val="0"/>
        <w:widowControl w:val="0"/>
        <w:numPr>
          <w:ilvl w:val="0"/>
          <w:numId w:val="0"/>
        </w:numPr>
        <w:kinsoku/>
        <w:wordWrap/>
        <w:overflowPunct/>
        <w:topLinePunct w:val="0"/>
        <w:autoSpaceDE/>
        <w:autoSpaceDN/>
        <w:bidi w:val="0"/>
        <w:adjustRightInd/>
        <w:snapToGrid w:val="0"/>
        <w:spacing w:before="156" w:beforeLines="0" w:line="360" w:lineRule="auto"/>
        <w:jc w:val="center"/>
        <w:textAlignment w:val="auto"/>
        <w:outlineLvl w:val="1"/>
        <w:rPr>
          <w:rFonts w:hint="eastAsia" w:hAnsi="宋体"/>
          <w:highlight w:val="none"/>
          <w:lang w:val="en-US" w:eastAsia="zh-CN"/>
        </w:rPr>
      </w:pPr>
      <w:r>
        <w:rPr>
          <w:rFonts w:hint="eastAsia" w:ascii="仿宋" w:hAnsi="仿宋" w:eastAsia="仿宋" w:cs="Times New Roman"/>
          <w:b/>
          <w:bCs/>
          <w:kern w:val="2"/>
          <w:sz w:val="28"/>
          <w:szCs w:val="44"/>
          <w:highlight w:val="none"/>
          <w:lang w:val="en-US" w:eastAsia="zh-CN" w:bidi="ar-SA"/>
        </w:rPr>
        <w:t>附件八、海心沙环保热电厂#1、#2厌氧罐外立面防腐采购项目技术需求书</w:t>
      </w:r>
      <w:bookmarkStart w:id="14" w:name="_Toc217983588"/>
      <w:bookmarkStart w:id="15" w:name="_Toc19714"/>
      <w:bookmarkStart w:id="16" w:name="_Toc18698"/>
      <w:bookmarkStart w:id="17" w:name="_Toc217983866"/>
      <w:bookmarkStart w:id="18" w:name="_Toc20252"/>
      <w:bookmarkStart w:id="19" w:name="_Toc7300"/>
      <w:bookmarkStart w:id="20" w:name="_Toc98175188"/>
      <w:bookmarkStart w:id="21" w:name="_Toc30262"/>
    </w:p>
    <w:p w14:paraId="6AC70C75">
      <w:pPr>
        <w:snapToGrid w:val="0"/>
        <w:ind w:left="0" w:leftChars="0" w:firstLine="0" w:firstLineChars="0"/>
        <w:outlineLvl w:val="0"/>
        <w:rPr>
          <w:rFonts w:ascii="宋体" w:hAnsi="宋体" w:cs="宋体"/>
          <w:b/>
          <w:szCs w:val="24"/>
        </w:rPr>
      </w:pPr>
      <w:r>
        <w:rPr>
          <w:rFonts w:hint="eastAsia" w:ascii="宋体" w:hAnsi="宋体" w:cs="宋体"/>
          <w:b/>
          <w:szCs w:val="24"/>
          <w:lang w:val="en-US" w:eastAsia="zh-CN"/>
        </w:rPr>
        <w:t>一</w:t>
      </w:r>
      <w:r>
        <w:rPr>
          <w:rFonts w:hint="eastAsia" w:ascii="宋体" w:hAnsi="宋体" w:cs="宋体"/>
          <w:b/>
          <w:szCs w:val="24"/>
        </w:rPr>
        <w:t>、编制依据</w:t>
      </w:r>
    </w:p>
    <w:p w14:paraId="600CA0A4">
      <w:pPr>
        <w:snapToGrid w:val="0"/>
        <w:ind w:firstLine="42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.《电业安全工作规程》（GB26860—2011）。</w:t>
      </w:r>
    </w:p>
    <w:p w14:paraId="593470E3">
      <w:pPr>
        <w:snapToGrid w:val="0"/>
        <w:ind w:firstLine="420"/>
        <w:rPr>
          <w:rFonts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.《建筑施工高处作业安全技术规范》（JGJ80-91）。</w:t>
      </w:r>
    </w:p>
    <w:p w14:paraId="7D0BB20B">
      <w:pPr>
        <w:snapToGrid w:val="0"/>
        <w:ind w:firstLine="420"/>
        <w:rPr>
          <w:rFonts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.《钢结构防腐工程质量检验评定标准》（GB50221-2008）。</w:t>
      </w:r>
    </w:p>
    <w:p w14:paraId="5E750C7D">
      <w:pPr>
        <w:snapToGrid w:val="0"/>
        <w:ind w:firstLine="420"/>
        <w:rPr>
          <w:rFonts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.《钢结构防腐工程施工质量验收规范》（GB50205—2008）。</w:t>
      </w:r>
    </w:p>
    <w:p w14:paraId="232255E3">
      <w:pPr>
        <w:snapToGrid w:val="0"/>
        <w:ind w:firstLine="420"/>
        <w:rPr>
          <w:rFonts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.《建筑钢结构焊接技术规范》（JGJ81-2008）。</w:t>
      </w:r>
    </w:p>
    <w:p w14:paraId="566F6957">
      <w:pPr>
        <w:snapToGrid w:val="0"/>
        <w:ind w:firstLine="420"/>
        <w:rPr>
          <w:rFonts w:ascii="宋体" w:hAnsi="宋体" w:cs="宋体"/>
          <w:sz w:val="21"/>
          <w:szCs w:val="21"/>
        </w:rPr>
      </w:pPr>
      <w:r>
        <w:rPr>
          <w:rFonts w:hint="eastAsia" w:ascii="宋体" w:hAnsi="宋体" w:cs="宋体"/>
          <w:sz w:val="21"/>
          <w:szCs w:val="21"/>
          <w:lang w:val="en-US" w:eastAsia="zh-CN"/>
        </w:rPr>
        <w:t>6</w:t>
      </w:r>
      <w:r>
        <w:rPr>
          <w:rFonts w:hint="eastAsia" w:ascii="宋体" w:hAnsi="宋体" w:cs="宋体"/>
          <w:sz w:val="21"/>
          <w:szCs w:val="21"/>
        </w:rPr>
        <w:t>.《工业建筑钢结构防腐设计规范》（GB50046-2008）。</w:t>
      </w:r>
    </w:p>
    <w:p w14:paraId="19A40FB6">
      <w:pPr>
        <w:snapToGrid w:val="0"/>
        <w:ind w:firstLine="420"/>
        <w:rPr>
          <w:rFonts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.《涂装前钢材表面锈蚀和除锈等级》GB8923-88。</w:t>
      </w:r>
    </w:p>
    <w:p w14:paraId="194EA374">
      <w:pPr>
        <w:snapToGrid w:val="0"/>
        <w:ind w:firstLine="420"/>
        <w:rPr>
          <w:rFonts w:ascii="宋体" w:hAnsi="宋体" w:cs="宋体"/>
          <w:sz w:val="21"/>
          <w:szCs w:val="21"/>
        </w:rPr>
      </w:pPr>
      <w:r>
        <w:rPr>
          <w:rFonts w:hint="eastAsia" w:ascii="宋体" w:hAnsi="宋体" w:cs="宋体"/>
          <w:sz w:val="21"/>
          <w:szCs w:val="21"/>
          <w:lang w:val="en-US" w:eastAsia="zh-CN"/>
        </w:rPr>
        <w:t>8</w:t>
      </w:r>
      <w:r>
        <w:rPr>
          <w:rFonts w:hint="eastAsia" w:ascii="宋体" w:hAnsi="宋体" w:cs="宋体"/>
          <w:sz w:val="21"/>
          <w:szCs w:val="21"/>
        </w:rPr>
        <w:t>.《电力建设安全工作规程》(热机部分)DL5009.1—2010。</w:t>
      </w:r>
    </w:p>
    <w:p w14:paraId="42E6E781">
      <w:pPr>
        <w:snapToGrid w:val="0"/>
        <w:ind w:firstLine="420"/>
        <w:rPr>
          <w:rFonts w:ascii="宋体" w:hAnsi="宋体" w:cs="宋体"/>
          <w:sz w:val="21"/>
          <w:szCs w:val="21"/>
        </w:rPr>
      </w:pPr>
      <w:r>
        <w:rPr>
          <w:rFonts w:hint="eastAsia" w:ascii="宋体" w:hAnsi="宋体" w:cs="宋体"/>
          <w:sz w:val="21"/>
          <w:szCs w:val="21"/>
          <w:lang w:val="en-US" w:eastAsia="zh-CN"/>
        </w:rPr>
        <w:t>9</w:t>
      </w:r>
      <w:r>
        <w:rPr>
          <w:rFonts w:hint="eastAsia" w:ascii="宋体" w:hAnsi="宋体" w:cs="宋体"/>
          <w:sz w:val="21"/>
          <w:szCs w:val="21"/>
        </w:rPr>
        <w:t>.《施工现场临时用电安全技术规范》（JGJ46—2008）。</w:t>
      </w:r>
    </w:p>
    <w:p w14:paraId="1EE81A7A">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0</w:t>
      </w:r>
      <w:r>
        <w:rPr>
          <w:rFonts w:hint="eastAsia" w:ascii="宋体" w:hAnsi="宋体" w:cs="宋体"/>
          <w:sz w:val="21"/>
          <w:szCs w:val="21"/>
        </w:rPr>
        <w:t>.《电力建设危险点分析及预控措施》。</w:t>
      </w:r>
    </w:p>
    <w:p w14:paraId="681B8F59">
      <w:pPr>
        <w:snapToGrid w:val="0"/>
        <w:ind w:firstLine="420"/>
        <w:rPr>
          <w:rFonts w:ascii="宋体" w:hAnsi="宋体" w:cs="宋体"/>
          <w:sz w:val="21"/>
          <w:szCs w:val="21"/>
        </w:rPr>
      </w:pPr>
      <w:r>
        <w:rPr>
          <w:rFonts w:hint="eastAsia" w:ascii="宋体" w:hAnsi="宋体" w:cs="宋体"/>
          <w:sz w:val="21"/>
          <w:szCs w:val="21"/>
        </w:rPr>
        <w:t>以上标准如有新版本，按最新版本执行。</w:t>
      </w:r>
    </w:p>
    <w:p w14:paraId="6CB7D924">
      <w:pPr>
        <w:numPr>
          <w:ilvl w:val="0"/>
          <w:numId w:val="0"/>
        </w:numPr>
        <w:outlineLvl w:val="0"/>
        <w:rPr>
          <w:rFonts w:ascii="宋体" w:hAnsi="宋体" w:cs="宋体"/>
          <w:b/>
          <w:szCs w:val="24"/>
        </w:rPr>
      </w:pPr>
      <w:r>
        <w:rPr>
          <w:rFonts w:hint="eastAsia" w:ascii="宋体" w:hAnsi="宋体" w:cs="宋体"/>
          <w:b/>
          <w:szCs w:val="24"/>
          <w:lang w:val="en-US" w:eastAsia="zh-CN"/>
        </w:rPr>
        <w:t>二、</w:t>
      </w:r>
      <w:r>
        <w:rPr>
          <w:rFonts w:ascii="宋体" w:hAnsi="宋体" w:cs="宋体"/>
          <w:b/>
          <w:szCs w:val="24"/>
        </w:rPr>
        <w:t>工</w:t>
      </w:r>
      <w:r>
        <w:rPr>
          <w:rFonts w:hint="eastAsia" w:ascii="宋体" w:hAnsi="宋体" w:cs="宋体"/>
          <w:b/>
          <w:szCs w:val="24"/>
        </w:rPr>
        <w:t>程范围</w:t>
      </w:r>
      <w:r>
        <w:rPr>
          <w:rFonts w:hint="eastAsia" w:ascii="宋体" w:hAnsi="宋体" w:cs="宋体"/>
          <w:b/>
          <w:szCs w:val="24"/>
          <w:lang w:val="en-US" w:eastAsia="zh-CN"/>
        </w:rPr>
        <w:t>及材料要求</w:t>
      </w:r>
    </w:p>
    <w:p w14:paraId="393AA41C">
      <w:pPr>
        <w:pStyle w:val="17"/>
        <w:numPr>
          <w:ilvl w:val="0"/>
          <w:numId w:val="6"/>
        </w:numPr>
        <w:ind w:left="425" w:leftChars="0" w:hanging="425" w:firstLineChars="0"/>
        <w:rPr>
          <w:rFonts w:hint="eastAsia"/>
          <w:lang w:val="en-US" w:eastAsia="zh-CN"/>
        </w:rPr>
      </w:pPr>
      <w:r>
        <w:rPr>
          <w:rFonts w:hint="eastAsia" w:ascii="宋体" w:hAnsi="宋体" w:cs="宋体"/>
          <w:b w:val="0"/>
          <w:bCs w:val="0"/>
          <w:sz w:val="21"/>
          <w:szCs w:val="21"/>
          <w:lang w:val="en-US" w:eastAsia="zh-CN"/>
        </w:rPr>
        <w:t>厌氧罐外立面（单个厌氧罐外立面为圆柱形，直径14米，高度21米，厌氧罐数量为2个）</w:t>
      </w:r>
      <w:r>
        <w:rPr>
          <w:rFonts w:hint="eastAsia" w:ascii="宋体" w:hAnsi="宋体" w:eastAsia="宋体" w:cs="宋体"/>
          <w:b w:val="0"/>
          <w:bCs w:val="0"/>
          <w:sz w:val="21"/>
          <w:szCs w:val="21"/>
          <w:lang w:val="en-US" w:eastAsia="zh-CN"/>
        </w:rPr>
        <w:t>清理干净后</w:t>
      </w:r>
      <w:r>
        <w:rPr>
          <w:rFonts w:hint="eastAsia" w:ascii="宋体" w:hAnsi="宋体" w:cs="宋体"/>
          <w:b w:val="0"/>
          <w:bCs w:val="0"/>
          <w:sz w:val="21"/>
          <w:szCs w:val="21"/>
          <w:lang w:val="en-US" w:eastAsia="zh-CN"/>
        </w:rPr>
        <w:t>进行面漆喷涂。</w:t>
      </w:r>
      <w:r>
        <w:rPr>
          <w:rFonts w:hint="eastAsia" w:ascii="宋体" w:hAnsi="宋体" w:eastAsia="宋体" w:cs="宋体"/>
          <w:b w:val="0"/>
          <w:bCs w:val="0"/>
          <w:sz w:val="21"/>
          <w:szCs w:val="21"/>
          <w:lang w:val="en-US" w:eastAsia="zh-CN"/>
        </w:rPr>
        <w:t>材料采用</w:t>
      </w:r>
      <w:r>
        <w:rPr>
          <w:rFonts w:hint="eastAsia" w:ascii="宋体" w:hAnsi="宋体" w:cs="宋体"/>
          <w:b w:val="0"/>
          <w:bCs w:val="0"/>
          <w:color w:val="FF0000"/>
          <w:sz w:val="21"/>
          <w:szCs w:val="21"/>
          <w:lang w:val="en-US" w:eastAsia="zh-CN"/>
        </w:rPr>
        <w:t>佐敦</w:t>
      </w:r>
      <w:r>
        <w:rPr>
          <w:rFonts w:hint="eastAsia" w:ascii="宋体" w:hAnsi="宋体" w:cs="宋体"/>
          <w:b w:val="0"/>
          <w:bCs w:val="0"/>
          <w:color w:val="auto"/>
          <w:sz w:val="21"/>
          <w:szCs w:val="21"/>
          <w:lang w:val="en-US" w:eastAsia="zh-CN"/>
        </w:rPr>
        <w:t>品牌</w:t>
      </w:r>
      <w:r>
        <w:rPr>
          <w:rFonts w:hint="eastAsia" w:ascii="宋体" w:hAnsi="宋体" w:cs="宋体"/>
          <w:b w:val="0"/>
          <w:bCs w:val="0"/>
          <w:sz w:val="21"/>
          <w:szCs w:val="21"/>
          <w:lang w:val="en-US" w:eastAsia="zh-CN"/>
        </w:rPr>
        <w:t>。</w:t>
      </w:r>
    </w:p>
    <w:tbl>
      <w:tblPr>
        <w:tblStyle w:val="52"/>
        <w:tblpPr w:leftFromText="180" w:rightFromText="180" w:vertAnchor="text" w:horzAnchor="page" w:tblpX="1674" w:tblpY="567"/>
        <w:tblOverlap w:val="never"/>
        <w:tblW w:w="91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5"/>
        <w:gridCol w:w="990"/>
        <w:gridCol w:w="3009"/>
        <w:gridCol w:w="1536"/>
        <w:gridCol w:w="1230"/>
        <w:gridCol w:w="1860"/>
      </w:tblGrid>
      <w:tr w14:paraId="32365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5" w:type="dxa"/>
            <w:tcBorders>
              <w:top w:val="single" w:color="000000" w:sz="8" w:space="0"/>
              <w:left w:val="single" w:color="000000" w:sz="8" w:space="0"/>
              <w:bottom w:val="single" w:color="000000" w:sz="8" w:space="0"/>
              <w:right w:val="single" w:color="000000" w:sz="8" w:space="0"/>
              <w:tl2br w:val="nil"/>
              <w:tr2bl w:val="nil"/>
            </w:tcBorders>
            <w:noWrap/>
            <w:vAlign w:val="center"/>
          </w:tcPr>
          <w:p w14:paraId="39DAF3F9">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990" w:type="dxa"/>
            <w:tcBorders>
              <w:top w:val="single" w:color="000000" w:sz="8" w:space="0"/>
              <w:left w:val="nil"/>
              <w:bottom w:val="single" w:color="000000" w:sz="8" w:space="0"/>
              <w:right w:val="single" w:color="000000" w:sz="8" w:space="0"/>
              <w:tl2br w:val="nil"/>
              <w:tr2bl w:val="nil"/>
            </w:tcBorders>
            <w:noWrap/>
            <w:vAlign w:val="center"/>
          </w:tcPr>
          <w:p w14:paraId="5210124F">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w:t>
            </w:r>
          </w:p>
        </w:tc>
        <w:tc>
          <w:tcPr>
            <w:tcW w:w="3009" w:type="dxa"/>
            <w:tcBorders>
              <w:top w:val="single" w:color="000000" w:sz="8" w:space="0"/>
              <w:left w:val="nil"/>
              <w:bottom w:val="single" w:color="000000" w:sz="8" w:space="0"/>
              <w:right w:val="single" w:color="000000" w:sz="8" w:space="0"/>
              <w:tl2br w:val="nil"/>
              <w:tr2bl w:val="nil"/>
            </w:tcBorders>
            <w:noWrap/>
            <w:vAlign w:val="center"/>
          </w:tcPr>
          <w:p w14:paraId="30504527">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规格、技术参数</w:t>
            </w:r>
          </w:p>
        </w:tc>
        <w:tc>
          <w:tcPr>
            <w:tcW w:w="1536" w:type="dxa"/>
            <w:tcBorders>
              <w:top w:val="single" w:color="000000" w:sz="8" w:space="0"/>
              <w:left w:val="nil"/>
              <w:bottom w:val="single" w:color="000000" w:sz="8" w:space="0"/>
              <w:right w:val="single" w:color="000000" w:sz="8" w:space="0"/>
              <w:tl2br w:val="nil"/>
              <w:tr2bl w:val="nil"/>
            </w:tcBorders>
            <w:noWrap/>
            <w:vAlign w:val="center"/>
          </w:tcPr>
          <w:p w14:paraId="38E679F8">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数量</w:t>
            </w:r>
          </w:p>
        </w:tc>
        <w:tc>
          <w:tcPr>
            <w:tcW w:w="1230" w:type="dxa"/>
            <w:tcBorders>
              <w:top w:val="single" w:color="000000" w:sz="8" w:space="0"/>
              <w:left w:val="nil"/>
              <w:bottom w:val="single" w:color="000000" w:sz="8" w:space="0"/>
              <w:right w:val="single" w:color="000000" w:sz="8" w:space="0"/>
              <w:tl2br w:val="nil"/>
              <w:tr2bl w:val="nil"/>
            </w:tcBorders>
            <w:noWrap/>
            <w:vAlign w:val="center"/>
          </w:tcPr>
          <w:p w14:paraId="0F40D93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p>
        </w:tc>
        <w:tc>
          <w:tcPr>
            <w:tcW w:w="1860" w:type="dxa"/>
            <w:tcBorders>
              <w:top w:val="single" w:color="000000" w:sz="8" w:space="0"/>
              <w:left w:val="nil"/>
              <w:bottom w:val="single" w:color="000000" w:sz="8" w:space="0"/>
              <w:right w:val="single" w:color="000000" w:sz="8" w:space="0"/>
              <w:tl2br w:val="nil"/>
              <w:tr2bl w:val="nil"/>
            </w:tcBorders>
            <w:noWrap/>
            <w:vAlign w:val="center"/>
          </w:tcPr>
          <w:p w14:paraId="0FC20057">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图片</w:t>
            </w:r>
          </w:p>
        </w:tc>
      </w:tr>
      <w:tr w14:paraId="3DF58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25" w:type="dxa"/>
            <w:tcBorders>
              <w:top w:val="nil"/>
              <w:left w:val="single" w:color="000000" w:sz="8" w:space="0"/>
              <w:bottom w:val="single" w:color="000000" w:sz="8" w:space="0"/>
              <w:right w:val="single" w:color="000000" w:sz="8" w:space="0"/>
              <w:tl2br w:val="nil"/>
              <w:tr2bl w:val="nil"/>
            </w:tcBorders>
            <w:noWrap/>
            <w:vAlign w:val="center"/>
          </w:tcPr>
          <w:p w14:paraId="1D5A00FA">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90" w:type="dxa"/>
            <w:tcBorders>
              <w:top w:val="nil"/>
              <w:left w:val="nil"/>
              <w:bottom w:val="single" w:color="000000" w:sz="8" w:space="0"/>
              <w:right w:val="single" w:color="000000" w:sz="8" w:space="0"/>
              <w:tl2br w:val="nil"/>
              <w:tr2bl w:val="nil"/>
            </w:tcBorders>
            <w:noWrap w:val="0"/>
            <w:vAlign w:val="center"/>
          </w:tcPr>
          <w:p w14:paraId="698B1B33">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#1厌氧罐外立面</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铁皮瓦</w:t>
            </w:r>
            <w:r>
              <w:rPr>
                <w:rFonts w:hint="eastAsia" w:ascii="宋体" w:hAnsi="宋体" w:eastAsia="宋体" w:cs="宋体"/>
                <w:i w:val="0"/>
                <w:iCs w:val="0"/>
                <w:color w:val="000000"/>
                <w:kern w:val="0"/>
                <w:sz w:val="20"/>
                <w:szCs w:val="20"/>
                <w:u w:val="none"/>
                <w:lang w:val="en-US" w:eastAsia="zh-CN" w:bidi="ar"/>
              </w:rPr>
              <w:t>）</w:t>
            </w:r>
          </w:p>
        </w:tc>
        <w:tc>
          <w:tcPr>
            <w:tcW w:w="3009" w:type="dxa"/>
            <w:tcBorders>
              <w:top w:val="nil"/>
              <w:left w:val="nil"/>
              <w:bottom w:val="single" w:color="000000" w:sz="8" w:space="0"/>
              <w:right w:val="single" w:color="000000" w:sz="8" w:space="0"/>
              <w:tl2br w:val="nil"/>
              <w:tr2bl w:val="nil"/>
            </w:tcBorders>
            <w:noWrap w:val="0"/>
            <w:vAlign w:val="center"/>
          </w:tcPr>
          <w:p w14:paraId="1BD17ADD">
            <w:pPr>
              <w:keepNext w:val="0"/>
              <w:keepLines w:val="0"/>
              <w:widowControl/>
              <w:suppressLineNumbers w:val="0"/>
              <w:spacing w:before="0" w:beforeAutospacing="0" w:after="0" w:afterAutospacing="0" w:line="240" w:lineRule="auto"/>
              <w:ind w:left="0" w:right="0" w:firstLine="0" w:firstLineChars="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使用高压水枪彻底冲洗瓦面，清 </w:t>
            </w:r>
          </w:p>
          <w:p w14:paraId="7B305F1F">
            <w:pPr>
              <w:keepNext w:val="0"/>
              <w:keepLines w:val="0"/>
              <w:widowControl/>
              <w:suppressLineNumbers w:val="0"/>
              <w:spacing w:before="0" w:beforeAutospacing="0" w:after="0" w:afterAutospacing="0" w:line="240" w:lineRule="auto"/>
              <w:ind w:left="0" w:right="0" w:firstLine="0" w:firstLineChars="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除灰尘、污泥等污染物，</w:t>
            </w:r>
            <w:r>
              <w:rPr>
                <w:rFonts w:hint="eastAsia" w:ascii="宋体" w:hAnsi="宋体" w:cs="宋体"/>
                <w:i w:val="0"/>
                <w:iCs w:val="0"/>
                <w:color w:val="auto"/>
                <w:kern w:val="0"/>
                <w:sz w:val="20"/>
                <w:szCs w:val="20"/>
                <w:u w:val="none"/>
                <w:lang w:val="en-US" w:eastAsia="zh-CN" w:bidi="ar"/>
              </w:rPr>
              <w:t>喷</w:t>
            </w:r>
            <w:r>
              <w:rPr>
                <w:rFonts w:hint="eastAsia" w:ascii="宋体" w:hAnsi="宋体" w:eastAsia="宋体" w:cs="宋体"/>
                <w:i w:val="0"/>
                <w:iCs w:val="0"/>
                <w:color w:val="auto"/>
                <w:kern w:val="0"/>
                <w:sz w:val="20"/>
                <w:szCs w:val="20"/>
                <w:u w:val="none"/>
                <w:lang w:val="en-US" w:eastAsia="zh-CN" w:bidi="ar"/>
              </w:rPr>
              <w:t>脂肪族丙烯酸聚氨酯面漆</w:t>
            </w:r>
            <w:r>
              <w:rPr>
                <w:rFonts w:hint="eastAsia" w:ascii="宋体" w:hAnsi="宋体" w:cs="宋体"/>
                <w:i w:val="0"/>
                <w:iCs w:val="0"/>
                <w:color w:val="auto"/>
                <w:kern w:val="0"/>
                <w:sz w:val="20"/>
                <w:szCs w:val="20"/>
                <w:u w:val="none"/>
                <w:lang w:val="en-US" w:eastAsia="zh-CN" w:bidi="ar"/>
              </w:rPr>
              <w:t>一</w:t>
            </w:r>
            <w:r>
              <w:rPr>
                <w:rFonts w:hint="eastAsia" w:ascii="宋体" w:hAnsi="宋体" w:eastAsia="宋体" w:cs="宋体"/>
                <w:i w:val="0"/>
                <w:iCs w:val="0"/>
                <w:color w:val="auto"/>
                <w:kern w:val="0"/>
                <w:sz w:val="20"/>
                <w:szCs w:val="20"/>
                <w:u w:val="none"/>
                <w:lang w:val="en-US" w:eastAsia="zh-CN" w:bidi="ar"/>
              </w:rPr>
              <w:t>道，厚</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0um</w:t>
            </w:r>
          </w:p>
        </w:tc>
        <w:tc>
          <w:tcPr>
            <w:tcW w:w="1536" w:type="dxa"/>
            <w:tcBorders>
              <w:top w:val="nil"/>
              <w:left w:val="nil"/>
              <w:bottom w:val="single" w:color="000000" w:sz="8" w:space="0"/>
              <w:right w:val="single" w:color="000000" w:sz="8" w:space="0"/>
              <w:tl2br w:val="nil"/>
              <w:tr2bl w:val="nil"/>
            </w:tcBorders>
            <w:noWrap/>
            <w:vAlign w:val="center"/>
          </w:tcPr>
          <w:p w14:paraId="5B5D47A1">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面积约</w:t>
            </w:r>
            <w:r>
              <w:rPr>
                <w:rFonts w:hint="eastAsia" w:ascii="宋体" w:hAnsi="宋体" w:cs="宋体"/>
                <w:i w:val="0"/>
                <w:iCs w:val="0"/>
                <w:color w:val="000000"/>
                <w:kern w:val="0"/>
                <w:sz w:val="20"/>
                <w:szCs w:val="20"/>
                <w:u w:val="none"/>
                <w:lang w:val="en-US" w:eastAsia="zh-CN" w:bidi="ar"/>
              </w:rPr>
              <w:t>924㎡</w:t>
            </w:r>
          </w:p>
        </w:tc>
        <w:tc>
          <w:tcPr>
            <w:tcW w:w="1230" w:type="dxa"/>
            <w:tcBorders>
              <w:top w:val="nil"/>
              <w:left w:val="nil"/>
              <w:bottom w:val="single" w:color="000000" w:sz="8" w:space="0"/>
              <w:right w:val="single" w:color="000000" w:sz="8" w:space="0"/>
              <w:tl2br w:val="nil"/>
              <w:tr2bl w:val="nil"/>
            </w:tcBorders>
            <w:noWrap/>
            <w:vAlign w:val="center"/>
          </w:tcPr>
          <w:p w14:paraId="68B63380">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tcBorders>
              <w:top w:val="single" w:color="000000" w:sz="8" w:space="0"/>
              <w:left w:val="nil"/>
              <w:bottom w:val="single" w:color="000000" w:sz="8" w:space="0"/>
              <w:right w:val="single" w:color="000000" w:sz="8" w:space="0"/>
              <w:tl2br w:val="nil"/>
              <w:tr2bl w:val="nil"/>
            </w:tcBorders>
            <w:noWrap/>
            <w:vAlign w:val="center"/>
          </w:tcPr>
          <w:p w14:paraId="1B8F32D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drawing>
                <wp:inline distT="0" distB="0" distL="114300" distR="114300">
                  <wp:extent cx="1036320" cy="777240"/>
                  <wp:effectExtent l="0" t="0" r="0" b="0"/>
                  <wp:docPr id="12" name="图片 12" descr="dd057d138cd3b3627da1c120da650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d057d138cd3b3627da1c120da650b6c"/>
                          <pic:cNvPicPr>
                            <a:picLocks noChangeAspect="1"/>
                          </pic:cNvPicPr>
                        </pic:nvPicPr>
                        <pic:blipFill>
                          <a:blip r:embed="rId22"/>
                          <a:stretch>
                            <a:fillRect/>
                          </a:stretch>
                        </pic:blipFill>
                        <pic:spPr>
                          <a:xfrm>
                            <a:off x="0" y="0"/>
                            <a:ext cx="1036320" cy="777240"/>
                          </a:xfrm>
                          <a:prstGeom prst="rect">
                            <a:avLst/>
                          </a:prstGeom>
                        </pic:spPr>
                      </pic:pic>
                    </a:graphicData>
                  </a:graphic>
                </wp:inline>
              </w:drawing>
            </w:r>
          </w:p>
        </w:tc>
      </w:tr>
      <w:tr w14:paraId="58260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525" w:type="dxa"/>
            <w:tcBorders>
              <w:top w:val="single" w:color="000000" w:sz="8" w:space="0"/>
              <w:left w:val="single" w:color="000000" w:sz="8" w:space="0"/>
              <w:bottom w:val="single" w:color="000000" w:sz="8" w:space="0"/>
              <w:right w:val="single" w:color="000000" w:sz="8" w:space="0"/>
              <w:tl2br w:val="nil"/>
              <w:tr2bl w:val="nil"/>
            </w:tcBorders>
            <w:noWrap/>
            <w:vAlign w:val="center"/>
          </w:tcPr>
          <w:p w14:paraId="11294A1A">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90" w:type="dxa"/>
            <w:tcBorders>
              <w:top w:val="single" w:color="000000" w:sz="8" w:space="0"/>
              <w:left w:val="nil"/>
              <w:bottom w:val="single" w:color="000000" w:sz="8" w:space="0"/>
              <w:right w:val="single" w:color="000000" w:sz="8" w:space="0"/>
              <w:tl2br w:val="nil"/>
              <w:tr2bl w:val="nil"/>
            </w:tcBorders>
            <w:noWrap/>
            <w:vAlign w:val="center"/>
          </w:tcPr>
          <w:p w14:paraId="06DF539F">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#2厌氧罐外立面</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铁皮瓦</w:t>
            </w:r>
            <w:r>
              <w:rPr>
                <w:rFonts w:hint="eastAsia" w:ascii="宋体" w:hAnsi="宋体" w:eastAsia="宋体" w:cs="宋体"/>
                <w:i w:val="0"/>
                <w:iCs w:val="0"/>
                <w:color w:val="000000"/>
                <w:kern w:val="0"/>
                <w:sz w:val="20"/>
                <w:szCs w:val="20"/>
                <w:u w:val="none"/>
                <w:lang w:val="en-US" w:eastAsia="zh-CN" w:bidi="ar"/>
              </w:rPr>
              <w:t>）</w:t>
            </w:r>
          </w:p>
        </w:tc>
        <w:tc>
          <w:tcPr>
            <w:tcW w:w="3009" w:type="dxa"/>
            <w:tcBorders>
              <w:top w:val="single" w:color="000000" w:sz="8" w:space="0"/>
              <w:left w:val="nil"/>
              <w:bottom w:val="single" w:color="000000" w:sz="8" w:space="0"/>
              <w:right w:val="single" w:color="000000" w:sz="8" w:space="0"/>
              <w:tl2br w:val="nil"/>
              <w:tr2bl w:val="nil"/>
            </w:tcBorders>
            <w:noWrap w:val="0"/>
            <w:vAlign w:val="center"/>
          </w:tcPr>
          <w:p w14:paraId="0B745C55">
            <w:pPr>
              <w:keepNext w:val="0"/>
              <w:keepLines w:val="0"/>
              <w:widowControl/>
              <w:suppressLineNumbers w:val="0"/>
              <w:spacing w:before="0" w:beforeAutospacing="0" w:after="0" w:afterAutospacing="0" w:line="240" w:lineRule="auto"/>
              <w:ind w:left="0" w:right="0" w:firstLine="0" w:firstLineChars="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使用高压水枪彻底冲洗瓦面，清 </w:t>
            </w:r>
          </w:p>
          <w:p w14:paraId="1394D4D1">
            <w:pPr>
              <w:keepNext w:val="0"/>
              <w:keepLines w:val="0"/>
              <w:widowControl/>
              <w:suppressLineNumbers w:val="0"/>
              <w:spacing w:before="0" w:beforeAutospacing="0" w:after="0" w:afterAutospacing="0" w:line="240" w:lineRule="auto"/>
              <w:ind w:left="0" w:leftChars="0" w:right="0" w:rightChars="0" w:firstLine="0" w:firstLineChars="0"/>
              <w:jc w:val="left"/>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除灰尘、污泥等污染物，</w:t>
            </w:r>
            <w:r>
              <w:rPr>
                <w:rFonts w:hint="eastAsia" w:ascii="宋体" w:hAnsi="宋体" w:cs="宋体"/>
                <w:i w:val="0"/>
                <w:iCs w:val="0"/>
                <w:color w:val="auto"/>
                <w:kern w:val="0"/>
                <w:sz w:val="20"/>
                <w:szCs w:val="20"/>
                <w:u w:val="none"/>
                <w:lang w:val="en-US" w:eastAsia="zh-CN" w:bidi="ar"/>
              </w:rPr>
              <w:t>喷</w:t>
            </w:r>
            <w:r>
              <w:rPr>
                <w:rFonts w:hint="eastAsia" w:ascii="宋体" w:hAnsi="宋体" w:eastAsia="宋体" w:cs="宋体"/>
                <w:i w:val="0"/>
                <w:iCs w:val="0"/>
                <w:color w:val="auto"/>
                <w:kern w:val="0"/>
                <w:sz w:val="20"/>
                <w:szCs w:val="20"/>
                <w:u w:val="none"/>
                <w:lang w:val="en-US" w:eastAsia="zh-CN" w:bidi="ar"/>
              </w:rPr>
              <w:t>脂肪族丙烯酸聚氨酯面漆</w:t>
            </w:r>
            <w:r>
              <w:rPr>
                <w:rFonts w:hint="eastAsia" w:ascii="宋体" w:hAnsi="宋体" w:cs="宋体"/>
                <w:i w:val="0"/>
                <w:iCs w:val="0"/>
                <w:color w:val="auto"/>
                <w:kern w:val="0"/>
                <w:sz w:val="20"/>
                <w:szCs w:val="20"/>
                <w:u w:val="none"/>
                <w:lang w:val="en-US" w:eastAsia="zh-CN" w:bidi="ar"/>
              </w:rPr>
              <w:t>一</w:t>
            </w:r>
            <w:r>
              <w:rPr>
                <w:rFonts w:hint="eastAsia" w:ascii="宋体" w:hAnsi="宋体" w:eastAsia="宋体" w:cs="宋体"/>
                <w:i w:val="0"/>
                <w:iCs w:val="0"/>
                <w:color w:val="auto"/>
                <w:kern w:val="0"/>
                <w:sz w:val="20"/>
                <w:szCs w:val="20"/>
                <w:u w:val="none"/>
                <w:lang w:val="en-US" w:eastAsia="zh-CN" w:bidi="ar"/>
              </w:rPr>
              <w:t>道，厚</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0um</w:t>
            </w:r>
          </w:p>
        </w:tc>
        <w:tc>
          <w:tcPr>
            <w:tcW w:w="1536" w:type="dxa"/>
            <w:tcBorders>
              <w:top w:val="single" w:color="000000" w:sz="8" w:space="0"/>
              <w:left w:val="nil"/>
              <w:bottom w:val="single" w:color="000000" w:sz="8" w:space="0"/>
              <w:right w:val="single" w:color="000000" w:sz="8" w:space="0"/>
              <w:tl2br w:val="nil"/>
              <w:tr2bl w:val="nil"/>
            </w:tcBorders>
            <w:noWrap/>
            <w:vAlign w:val="center"/>
          </w:tcPr>
          <w:p w14:paraId="03788B95">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面积约</w:t>
            </w:r>
            <w:r>
              <w:rPr>
                <w:rFonts w:hint="eastAsia" w:ascii="宋体" w:hAnsi="宋体" w:cs="宋体"/>
                <w:i w:val="0"/>
                <w:iCs w:val="0"/>
                <w:color w:val="000000"/>
                <w:kern w:val="0"/>
                <w:sz w:val="20"/>
                <w:szCs w:val="20"/>
                <w:u w:val="none"/>
                <w:lang w:val="en-US" w:eastAsia="zh-CN" w:bidi="ar"/>
              </w:rPr>
              <w:t>924㎡</w:t>
            </w:r>
          </w:p>
        </w:tc>
        <w:tc>
          <w:tcPr>
            <w:tcW w:w="1230" w:type="dxa"/>
            <w:tcBorders>
              <w:top w:val="single" w:color="000000" w:sz="8" w:space="0"/>
              <w:left w:val="nil"/>
              <w:bottom w:val="single" w:color="000000" w:sz="8" w:space="0"/>
              <w:right w:val="single" w:color="000000" w:sz="8" w:space="0"/>
              <w:tl2br w:val="nil"/>
              <w:tr2bl w:val="nil"/>
            </w:tcBorders>
            <w:noWrap/>
            <w:vAlign w:val="center"/>
          </w:tcPr>
          <w:p w14:paraId="739E37E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tcBorders>
              <w:top w:val="single" w:color="000000" w:sz="8" w:space="0"/>
              <w:left w:val="nil"/>
              <w:bottom w:val="single" w:color="000000" w:sz="8" w:space="0"/>
              <w:right w:val="single" w:color="000000" w:sz="8" w:space="0"/>
              <w:tl2br w:val="nil"/>
              <w:tr2bl w:val="nil"/>
            </w:tcBorders>
            <w:noWrap/>
            <w:vAlign w:val="center"/>
          </w:tcPr>
          <w:p w14:paraId="4778EC75">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drawing>
                <wp:inline distT="0" distB="0" distL="114300" distR="114300">
                  <wp:extent cx="1040130" cy="779780"/>
                  <wp:effectExtent l="0" t="0" r="11430" b="12700"/>
                  <wp:docPr id="14" name="图片 14" descr="536df602caaf6331efd522b01d68d3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36df602caaf6331efd522b01d68d30e"/>
                          <pic:cNvPicPr>
                            <a:picLocks noChangeAspect="1"/>
                          </pic:cNvPicPr>
                        </pic:nvPicPr>
                        <pic:blipFill>
                          <a:blip r:embed="rId23"/>
                          <a:stretch>
                            <a:fillRect/>
                          </a:stretch>
                        </pic:blipFill>
                        <pic:spPr>
                          <a:xfrm>
                            <a:off x="0" y="0"/>
                            <a:ext cx="1040130" cy="779780"/>
                          </a:xfrm>
                          <a:prstGeom prst="rect">
                            <a:avLst/>
                          </a:prstGeom>
                        </pic:spPr>
                      </pic:pic>
                    </a:graphicData>
                  </a:graphic>
                </wp:inline>
              </w:drawing>
            </w:r>
          </w:p>
        </w:tc>
      </w:tr>
      <w:tr w14:paraId="4F983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9150" w:type="dxa"/>
            <w:gridSpan w:val="6"/>
            <w:tcBorders>
              <w:top w:val="single" w:color="000000" w:sz="8" w:space="0"/>
              <w:left w:val="single" w:color="000000" w:sz="8" w:space="0"/>
              <w:bottom w:val="single" w:color="000000" w:sz="8" w:space="0"/>
              <w:right w:val="single" w:color="000000" w:sz="8" w:space="0"/>
              <w:tl2br w:val="nil"/>
              <w:tr2bl w:val="nil"/>
            </w:tcBorders>
            <w:noWrap/>
            <w:vAlign w:val="center"/>
          </w:tcPr>
          <w:p w14:paraId="54DAEF09">
            <w:pPr>
              <w:keepNext w:val="0"/>
              <w:keepLines w:val="0"/>
              <w:widowControl/>
              <w:suppressLineNumbers w:val="0"/>
              <w:spacing w:before="0" w:beforeLines="0" w:beforeAutospacing="0" w:after="0" w:afterLines="0" w:afterAutospacing="0"/>
              <w:ind w:left="0" w:leftChars="0" w:right="0" w:firstLine="0" w:firstLineChars="0"/>
              <w:textAlignment w:val="center"/>
              <w:rPr>
                <w:rFonts w:hint="default" w:ascii="宋体" w:hAnsi="宋体" w:cs="宋体"/>
                <w:color w:val="000000"/>
                <w:kern w:val="0"/>
                <w:sz w:val="20"/>
                <w:szCs w:val="20"/>
                <w:lang w:val="en-US" w:bidi="ar"/>
              </w:rPr>
            </w:pPr>
            <w:r>
              <w:rPr>
                <w:rFonts w:hint="eastAsia" w:ascii="宋体" w:hAnsi="宋体" w:eastAsia="宋体" w:cs="宋体"/>
                <w:i w:val="0"/>
                <w:iCs w:val="0"/>
                <w:color w:val="000000"/>
                <w:kern w:val="0"/>
                <w:sz w:val="20"/>
                <w:szCs w:val="20"/>
                <w:u w:val="none"/>
                <w:lang w:val="en-US" w:eastAsia="zh-CN" w:bidi="ar"/>
              </w:rPr>
              <w:t>备注：具体面积防腐施工单位现场踏勘确认</w:t>
            </w:r>
            <w:r>
              <w:rPr>
                <w:rFonts w:hint="eastAsia" w:ascii="宋体" w:hAnsi="宋体" w:cs="宋体"/>
                <w:i w:val="0"/>
                <w:iCs w:val="0"/>
                <w:color w:val="000000"/>
                <w:kern w:val="0"/>
                <w:sz w:val="20"/>
                <w:szCs w:val="20"/>
                <w:u w:val="none"/>
                <w:lang w:val="en-US" w:eastAsia="zh-CN" w:bidi="ar"/>
              </w:rPr>
              <w:t>，</w:t>
            </w:r>
            <w:r>
              <w:rPr>
                <w:rFonts w:hint="eastAsia" w:ascii="宋体" w:hAnsi="宋体" w:cs="宋体"/>
                <w:i w:val="0"/>
                <w:iCs w:val="0"/>
                <w:color w:val="FF0000"/>
                <w:kern w:val="0"/>
                <w:sz w:val="20"/>
                <w:szCs w:val="20"/>
                <w:u w:val="none"/>
                <w:lang w:val="en-US" w:eastAsia="zh-CN" w:bidi="ar"/>
              </w:rPr>
              <w:t>投标人报价各单项总价包干，根据施工项目结算</w:t>
            </w:r>
            <w:r>
              <w:rPr>
                <w:rFonts w:hint="eastAsia" w:ascii="宋体" w:hAnsi="宋体" w:cs="宋体"/>
                <w:i w:val="0"/>
                <w:iCs w:val="0"/>
                <w:color w:val="000000"/>
                <w:kern w:val="0"/>
                <w:sz w:val="20"/>
                <w:szCs w:val="20"/>
                <w:u w:val="none"/>
                <w:lang w:val="en-US" w:eastAsia="zh-CN" w:bidi="ar"/>
              </w:rPr>
              <w:t>。</w:t>
            </w:r>
          </w:p>
        </w:tc>
      </w:tr>
    </w:tbl>
    <w:p w14:paraId="7AC6618A">
      <w:pPr>
        <w:numPr>
          <w:ilvl w:val="0"/>
          <w:numId w:val="0"/>
        </w:numPr>
        <w:spacing w:beforeLines="0" w:line="240" w:lineRule="auto"/>
        <w:rPr>
          <w:rFonts w:hint="default"/>
          <w:lang w:val="en-US" w:eastAsia="zh-CN"/>
        </w:rPr>
      </w:pPr>
    </w:p>
    <w:p w14:paraId="1C35E231">
      <w:pPr>
        <w:snapToGrid w:val="0"/>
        <w:ind w:left="0" w:leftChars="0" w:firstLine="0" w:firstLineChars="0"/>
        <w:outlineLvl w:val="0"/>
        <w:rPr>
          <w:rFonts w:ascii="宋体" w:hAnsi="宋体" w:cs="宋体"/>
          <w:b/>
          <w:szCs w:val="24"/>
        </w:rPr>
      </w:pPr>
      <w:r>
        <w:rPr>
          <w:rFonts w:hint="eastAsia" w:ascii="宋体" w:hAnsi="宋体" w:cs="宋体"/>
          <w:b/>
          <w:szCs w:val="24"/>
          <w:lang w:val="en-US" w:eastAsia="zh-CN"/>
        </w:rPr>
        <w:t>三</w:t>
      </w:r>
      <w:r>
        <w:rPr>
          <w:rFonts w:hint="eastAsia" w:ascii="宋体" w:hAnsi="宋体" w:cs="宋体"/>
          <w:b/>
          <w:szCs w:val="24"/>
        </w:rPr>
        <w:t>、工期与质量要求</w:t>
      </w:r>
    </w:p>
    <w:p w14:paraId="11CA899E">
      <w:pPr>
        <w:snapToGrid w:val="0"/>
        <w:ind w:firstLine="420"/>
        <w:rPr>
          <w:rFonts w:ascii="宋体" w:hAnsi="宋体" w:cs="宋体"/>
          <w:sz w:val="21"/>
          <w:szCs w:val="21"/>
        </w:rPr>
      </w:pPr>
      <w:r>
        <w:rPr>
          <w:rFonts w:hint="eastAsia" w:ascii="宋体" w:hAnsi="宋体" w:cs="宋体"/>
          <w:sz w:val="21"/>
          <w:szCs w:val="21"/>
        </w:rPr>
        <w:t>1.自甲方通知成交之日起，成交方需在</w:t>
      </w:r>
      <w:r>
        <w:rPr>
          <w:rFonts w:hint="eastAsia" w:ascii="宋体" w:hAnsi="宋体" w:cs="宋体"/>
          <w:color w:val="FF0000"/>
          <w:sz w:val="21"/>
          <w:szCs w:val="21"/>
          <w:lang w:val="en-US" w:eastAsia="zh-CN"/>
        </w:rPr>
        <w:t>12</w:t>
      </w:r>
      <w:r>
        <w:rPr>
          <w:rFonts w:hint="eastAsia" w:ascii="宋体" w:hAnsi="宋体" w:cs="宋体"/>
          <w:color w:val="FF0000"/>
          <w:sz w:val="21"/>
          <w:szCs w:val="21"/>
        </w:rPr>
        <w:t>天内</w:t>
      </w:r>
      <w:r>
        <w:rPr>
          <w:rFonts w:hint="eastAsia" w:ascii="宋体" w:hAnsi="宋体" w:cs="宋体"/>
          <w:sz w:val="21"/>
          <w:szCs w:val="21"/>
        </w:rPr>
        <w:t>完成项目施工与验收。</w:t>
      </w:r>
    </w:p>
    <w:p w14:paraId="4A8B34F0">
      <w:pPr>
        <w:snapToGrid w:val="0"/>
        <w:ind w:firstLine="420"/>
        <w:rPr>
          <w:rFonts w:ascii="宋体" w:hAnsi="宋体" w:cs="宋体"/>
          <w:sz w:val="21"/>
          <w:szCs w:val="21"/>
        </w:rPr>
      </w:pPr>
      <w:r>
        <w:rPr>
          <w:rFonts w:hint="eastAsia" w:ascii="宋体" w:hAnsi="宋体" w:cs="宋体"/>
          <w:sz w:val="21"/>
          <w:szCs w:val="21"/>
        </w:rPr>
        <w:t>2.</w:t>
      </w:r>
      <w:r>
        <w:rPr>
          <w:rFonts w:hint="eastAsia" w:ascii="宋体" w:hAnsi="宋体" w:cs="宋体"/>
          <w:sz w:val="21"/>
          <w:szCs w:val="21"/>
          <w:lang w:val="en-US" w:eastAsia="zh-CN"/>
        </w:rPr>
        <w:t>验收质量标准优先</w:t>
      </w:r>
      <w:r>
        <w:rPr>
          <w:rFonts w:hint="eastAsia" w:ascii="宋体" w:hAnsi="宋体" w:cs="宋体"/>
          <w:sz w:val="21"/>
          <w:szCs w:val="21"/>
        </w:rPr>
        <w:t>参考《钢结构工程施工质量验收标准》（GB 50205-2020）中关于涂装工程的规定，同时结合《建筑用压型钢板》（GB/T 12755-2019）中表面涂层的技术要求</w:t>
      </w:r>
      <w:r>
        <w:rPr>
          <w:rFonts w:hint="eastAsia" w:ascii="宋体" w:hAnsi="宋体" w:cs="宋体"/>
          <w:sz w:val="21"/>
          <w:szCs w:val="21"/>
          <w:lang w:eastAsia="zh-CN"/>
        </w:rPr>
        <w:t>。</w:t>
      </w:r>
      <w:r>
        <w:rPr>
          <w:rFonts w:hint="eastAsia" w:ascii="宋体" w:hAnsi="宋体" w:cs="宋体"/>
          <w:sz w:val="21"/>
          <w:szCs w:val="21"/>
        </w:rPr>
        <w:t>核心验收要点：1. 外观无流挂、漏涂、针孔、起皮，色泽均匀；2. 涂层厚度（干膜）按设计要求，偏差≤±10%（采用涂层测厚仪检测）；3. 附着力达标（划格法测试，涂层无脱落或仅轻微起皮，符合GB/T 9286-1998等级要求）；4. 耐腐蚀性。验收不合格需进行返工，如影响工期，按合同规定扣相应的合同款。</w:t>
      </w:r>
    </w:p>
    <w:p w14:paraId="391F6DDA">
      <w:pPr>
        <w:snapToGrid w:val="0"/>
        <w:ind w:firstLine="420"/>
        <w:rPr>
          <w:rFonts w:ascii="宋体" w:hAnsi="宋体" w:cs="宋体"/>
          <w:sz w:val="21"/>
          <w:szCs w:val="21"/>
        </w:rPr>
      </w:pPr>
      <w:r>
        <w:rPr>
          <w:rFonts w:hint="eastAsia" w:ascii="宋体" w:hAnsi="宋体" w:cs="宋体"/>
          <w:sz w:val="21"/>
          <w:szCs w:val="21"/>
          <w:lang w:val="en-US" w:eastAsia="zh-CN"/>
        </w:rPr>
        <w:t>3.油漆</w:t>
      </w:r>
      <w:r>
        <w:rPr>
          <w:rFonts w:hint="eastAsia" w:ascii="宋体" w:hAnsi="宋体" w:cs="宋体"/>
          <w:sz w:val="21"/>
          <w:szCs w:val="21"/>
        </w:rPr>
        <w:t>涂层最终检测项目主要有外观缺陷、硬度、回粘测试、厚度检测、锤击检查等，具体方法如下：</w:t>
      </w:r>
    </w:p>
    <w:p w14:paraId="3D79C881">
      <w:pPr>
        <w:snapToGrid w:val="0"/>
        <w:ind w:firstLine="420"/>
        <w:rPr>
          <w:rFonts w:ascii="宋体" w:hAnsi="宋体" w:cs="宋体"/>
          <w:sz w:val="21"/>
          <w:szCs w:val="21"/>
        </w:rPr>
      </w:pPr>
      <w:r>
        <w:rPr>
          <w:rFonts w:hint="eastAsia" w:ascii="宋体" w:hAnsi="宋体" w:cs="宋体"/>
          <w:sz w:val="21"/>
          <w:szCs w:val="21"/>
        </w:rPr>
        <w:t>（1）外观缺陷检查：采用目测法，涂层应均匀，无严重流挂、气泡、针眼、微裂纹、杂物等缺陷，也不允许存在泛白或固化不完全。</w:t>
      </w:r>
    </w:p>
    <w:p w14:paraId="173869E6">
      <w:pPr>
        <w:snapToGrid w:val="0"/>
        <w:ind w:firstLine="420"/>
        <w:rPr>
          <w:rFonts w:ascii="宋体" w:hAnsi="宋体" w:cs="宋体"/>
          <w:sz w:val="21"/>
          <w:szCs w:val="21"/>
        </w:rPr>
      </w:pPr>
      <w:r>
        <w:rPr>
          <w:rFonts w:hint="eastAsia" w:ascii="宋体" w:hAnsi="宋体" w:cs="宋体"/>
          <w:sz w:val="21"/>
          <w:szCs w:val="21"/>
        </w:rPr>
        <w:t>（2）硬度：采用巴柯尔硬度指标，表面硬度至少大于35。</w:t>
      </w:r>
    </w:p>
    <w:p w14:paraId="13FBD87B">
      <w:pPr>
        <w:snapToGrid w:val="0"/>
        <w:ind w:firstLine="420"/>
        <w:rPr>
          <w:rFonts w:ascii="宋体" w:hAnsi="宋体" w:cs="宋体"/>
          <w:sz w:val="21"/>
          <w:szCs w:val="21"/>
        </w:rPr>
      </w:pPr>
      <w:r>
        <w:rPr>
          <w:rFonts w:hint="eastAsia" w:ascii="宋体" w:hAnsi="宋体" w:cs="宋体"/>
          <w:sz w:val="21"/>
          <w:szCs w:val="21"/>
        </w:rPr>
        <w:t>（3）回粘测试：用丙酮浸湿干净的布，反复擦拭涂层的表面，看表面是否因溶剂的侵蚀而发粘，此方法可以有效的了解涂层的固化程度。</w:t>
      </w:r>
    </w:p>
    <w:p w14:paraId="5C2CDD41">
      <w:pPr>
        <w:snapToGrid w:val="0"/>
        <w:ind w:firstLine="420"/>
        <w:rPr>
          <w:rFonts w:ascii="宋体" w:hAnsi="宋体" w:cs="宋体"/>
          <w:sz w:val="21"/>
          <w:szCs w:val="21"/>
        </w:rPr>
      </w:pPr>
      <w:r>
        <w:rPr>
          <w:rFonts w:hint="eastAsia" w:ascii="宋体" w:hAnsi="宋体" w:cs="宋体"/>
          <w:sz w:val="21"/>
          <w:szCs w:val="21"/>
        </w:rPr>
        <w:t>（4）厚度的测试：利用测厚仪，每平方米不少于</w:t>
      </w:r>
      <w:r>
        <w:rPr>
          <w:rFonts w:ascii="宋体" w:hAnsi="宋体" w:cs="宋体"/>
          <w:sz w:val="21"/>
          <w:szCs w:val="21"/>
        </w:rPr>
        <w:t>1</w:t>
      </w:r>
      <w:r>
        <w:rPr>
          <w:rFonts w:hint="eastAsia" w:ascii="宋体" w:hAnsi="宋体" w:cs="宋体"/>
          <w:sz w:val="21"/>
          <w:szCs w:val="21"/>
        </w:rPr>
        <w:t>个点，总平均厚度应该达到设计要求。</w:t>
      </w:r>
    </w:p>
    <w:p w14:paraId="4DF4F4A2">
      <w:pPr>
        <w:snapToGrid w:val="0"/>
        <w:ind w:firstLine="420"/>
        <w:rPr>
          <w:rFonts w:ascii="宋体" w:hAnsi="宋体" w:cs="宋体"/>
          <w:sz w:val="21"/>
          <w:szCs w:val="21"/>
        </w:rPr>
      </w:pPr>
      <w:r>
        <w:rPr>
          <w:rFonts w:hint="eastAsia" w:ascii="宋体" w:hAnsi="宋体" w:cs="宋体"/>
          <w:sz w:val="21"/>
          <w:szCs w:val="21"/>
        </w:rPr>
        <w:t>（5）锤击检查：用木锤轻击涂层表面，任意取点测试，不应有不正常声音。</w:t>
      </w:r>
    </w:p>
    <w:p w14:paraId="6903B2F8">
      <w:pPr>
        <w:snapToGrid w:val="0"/>
        <w:ind w:firstLine="482"/>
        <w:outlineLvl w:val="0"/>
        <w:rPr>
          <w:rFonts w:ascii="宋体" w:hAnsi="宋体" w:cs="宋体"/>
          <w:b/>
          <w:szCs w:val="24"/>
        </w:rPr>
      </w:pPr>
      <w:r>
        <w:rPr>
          <w:rFonts w:hint="eastAsia" w:ascii="宋体" w:hAnsi="宋体" w:cs="宋体"/>
          <w:b/>
          <w:szCs w:val="24"/>
          <w:lang w:val="en-US" w:eastAsia="zh-CN"/>
        </w:rPr>
        <w:t>四</w:t>
      </w:r>
      <w:r>
        <w:rPr>
          <w:rFonts w:hint="eastAsia" w:ascii="宋体" w:hAnsi="宋体" w:cs="宋体"/>
          <w:b/>
          <w:szCs w:val="24"/>
        </w:rPr>
        <w:t>、</w:t>
      </w:r>
      <w:r>
        <w:rPr>
          <w:rFonts w:hint="eastAsia" w:ascii="宋体" w:hAnsi="宋体" w:cs="宋体"/>
          <w:b/>
          <w:szCs w:val="24"/>
          <w:lang w:val="en-US" w:eastAsia="zh-CN"/>
        </w:rPr>
        <w:t>质保</w:t>
      </w:r>
      <w:r>
        <w:rPr>
          <w:rFonts w:hint="eastAsia" w:ascii="宋体" w:hAnsi="宋体" w:cs="宋体"/>
          <w:b/>
          <w:szCs w:val="24"/>
        </w:rPr>
        <w:t>期</w:t>
      </w:r>
    </w:p>
    <w:p w14:paraId="5966F9D5">
      <w:pPr>
        <w:snapToGrid w:val="0"/>
        <w:ind w:firstLine="420"/>
        <w:rPr>
          <w:rFonts w:ascii="宋体" w:hAnsi="宋体" w:cs="宋体"/>
          <w:sz w:val="21"/>
          <w:szCs w:val="21"/>
        </w:rPr>
      </w:pPr>
      <w:r>
        <w:rPr>
          <w:rFonts w:hint="eastAsia" w:ascii="宋体" w:hAnsi="宋体" w:cs="宋体"/>
          <w:sz w:val="21"/>
          <w:szCs w:val="21"/>
        </w:rPr>
        <w:t>本合同内项目的</w:t>
      </w:r>
      <w:r>
        <w:rPr>
          <w:rFonts w:hint="eastAsia" w:ascii="宋体" w:hAnsi="宋体" w:cs="宋体"/>
          <w:sz w:val="21"/>
          <w:szCs w:val="21"/>
          <w:lang w:eastAsia="zh-CN"/>
        </w:rPr>
        <w:t>质保期</w:t>
      </w:r>
      <w:r>
        <w:rPr>
          <w:rFonts w:hint="eastAsia" w:ascii="宋体" w:hAnsi="宋体" w:cs="宋体"/>
          <w:sz w:val="21"/>
          <w:szCs w:val="21"/>
        </w:rPr>
        <w:t>为从整体工程验收合格之日起</w:t>
      </w:r>
      <w:r>
        <w:rPr>
          <w:rFonts w:hint="eastAsia" w:ascii="宋体" w:hAnsi="宋体" w:cs="宋体"/>
          <w:sz w:val="21"/>
          <w:szCs w:val="21"/>
          <w:lang w:val="en-US" w:eastAsia="zh-CN"/>
        </w:rPr>
        <w:t>1</w:t>
      </w:r>
      <w:r>
        <w:rPr>
          <w:rFonts w:hint="eastAsia" w:ascii="宋体" w:hAnsi="宋体" w:cs="宋体"/>
          <w:sz w:val="21"/>
          <w:szCs w:val="21"/>
        </w:rPr>
        <w:t>年，成交方按照期限向甲方承担保修责任并承担相应费用；成交方在项目质量</w:t>
      </w:r>
      <w:r>
        <w:rPr>
          <w:rFonts w:hint="eastAsia" w:ascii="宋体" w:hAnsi="宋体" w:cs="宋体"/>
          <w:sz w:val="21"/>
          <w:szCs w:val="21"/>
          <w:lang w:eastAsia="zh-CN"/>
        </w:rPr>
        <w:t>质保期</w:t>
      </w:r>
      <w:r>
        <w:rPr>
          <w:rFonts w:hint="eastAsia" w:ascii="宋体" w:hAnsi="宋体" w:cs="宋体"/>
          <w:sz w:val="21"/>
          <w:szCs w:val="21"/>
        </w:rPr>
        <w:t>内对因成交方原因造成的质量问题进行免费维修，并且在接到甲方或该项目使用单位通知之日起24小时内派人免费维修，超出24小时中标单位无人来维修，甲方有权请其他施工单位进行维修，维修费用的支付从成交方的质保金中扣除，不足部分向成交方追偿。</w:t>
      </w:r>
    </w:p>
    <w:p w14:paraId="74A5C839">
      <w:pPr>
        <w:snapToGrid w:val="0"/>
        <w:ind w:firstLine="482"/>
        <w:outlineLvl w:val="0"/>
        <w:rPr>
          <w:rFonts w:ascii="宋体" w:hAnsi="宋体" w:cs="宋体"/>
          <w:b/>
          <w:szCs w:val="24"/>
        </w:rPr>
      </w:pPr>
      <w:r>
        <w:rPr>
          <w:rFonts w:hint="eastAsia" w:ascii="宋体" w:hAnsi="宋体" w:cs="宋体"/>
          <w:b/>
          <w:szCs w:val="24"/>
          <w:lang w:val="en-US" w:eastAsia="zh-CN"/>
        </w:rPr>
        <w:t>五</w:t>
      </w:r>
      <w:r>
        <w:rPr>
          <w:rFonts w:hint="eastAsia" w:ascii="宋体" w:hAnsi="宋体" w:cs="宋体"/>
          <w:b/>
          <w:szCs w:val="24"/>
        </w:rPr>
        <w:t>、施工技术措施要求</w:t>
      </w:r>
    </w:p>
    <w:p w14:paraId="53888FC6">
      <w:pPr>
        <w:snapToGrid w:val="0"/>
        <w:ind w:firstLine="42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.高温防腐漆施工要求</w:t>
      </w:r>
    </w:p>
    <w:p w14:paraId="61B684BF">
      <w:pPr>
        <w:snapToGrid w:val="0"/>
        <w:ind w:firstLine="42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.1表面处理</w:t>
      </w:r>
    </w:p>
    <w:p w14:paraId="337D6C24">
      <w:pPr>
        <w:snapToGrid w:val="0"/>
        <w:ind w:firstLine="420"/>
        <w:rPr>
          <w:rFonts w:hint="eastAsia" w:ascii="宋体" w:hAnsi="宋体" w:cs="宋体"/>
          <w:sz w:val="21"/>
          <w:szCs w:val="21"/>
        </w:rPr>
      </w:pPr>
      <w:r>
        <w:rPr>
          <w:rFonts w:hint="eastAsia" w:ascii="宋体" w:hAnsi="宋体" w:cs="宋体"/>
          <w:sz w:val="21"/>
          <w:szCs w:val="21"/>
        </w:rPr>
        <w:t>基层处理：</w:t>
      </w:r>
      <w:r>
        <w:rPr>
          <w:rFonts w:hint="eastAsia" w:ascii="宋体" w:hAnsi="宋体" w:cs="宋体"/>
          <w:sz w:val="21"/>
          <w:szCs w:val="21"/>
          <w:lang w:val="en-US" w:eastAsia="zh-CN"/>
        </w:rPr>
        <w:t>使用高压水枪彻底冲洗瓦面，清除灰尘、污泥等污染物</w:t>
      </w:r>
    </w:p>
    <w:p w14:paraId="42AD7C8B">
      <w:pPr>
        <w:snapToGrid w:val="0"/>
        <w:ind w:left="0" w:leftChars="0" w:firstLine="0" w:firstLineChars="0"/>
        <w:rPr>
          <w:rFonts w:ascii="宋体" w:hAnsi="宋体" w:cs="宋体"/>
          <w:sz w:val="21"/>
          <w:szCs w:val="21"/>
        </w:rPr>
      </w:pPr>
    </w:p>
    <w:p w14:paraId="7BABD9A0">
      <w:pPr>
        <w:snapToGrid w:val="0"/>
        <w:ind w:firstLine="42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.2涂料涂装方法：</w:t>
      </w:r>
      <w:r>
        <w:rPr>
          <w:rFonts w:hint="eastAsia" w:ascii="宋体" w:hAnsi="宋体" w:cs="宋体"/>
          <w:sz w:val="21"/>
          <w:szCs w:val="21"/>
          <w:lang w:val="en-US" w:eastAsia="zh-CN"/>
        </w:rPr>
        <w:t>喷漆机喷涂</w:t>
      </w:r>
    </w:p>
    <w:p w14:paraId="5224933E">
      <w:pPr>
        <w:snapToGrid w:val="0"/>
        <w:ind w:firstLine="42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.3涂料施工</w:t>
      </w:r>
    </w:p>
    <w:p w14:paraId="77A4E6C0">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喷涂</w:t>
      </w:r>
      <w:r>
        <w:rPr>
          <w:rFonts w:hint="eastAsia" w:ascii="宋体" w:hAnsi="宋体" w:cs="宋体"/>
          <w:sz w:val="21"/>
          <w:szCs w:val="21"/>
        </w:rPr>
        <w:t>前，钢架表面处理后应无灰尘、油污、浮土等。特别注意交叉及阴角处。应先补刷与一致的配套底漆，涂刷厚度与层数应符合设计要求，干燥固化后统一涂刷面层涂料。</w:t>
      </w:r>
    </w:p>
    <w:p w14:paraId="6133EE06">
      <w:pPr>
        <w:snapToGrid w:val="0"/>
        <w:ind w:firstLine="420"/>
        <w:rPr>
          <w:rFonts w:ascii="宋体" w:hAnsi="宋体" w:cs="宋体"/>
          <w:sz w:val="21"/>
          <w:szCs w:val="21"/>
        </w:rPr>
      </w:pPr>
      <w:r>
        <w:rPr>
          <w:rFonts w:hint="eastAsia" w:ascii="宋体" w:hAnsi="宋体" w:cs="宋体"/>
          <w:sz w:val="21"/>
          <w:szCs w:val="21"/>
        </w:rPr>
        <w:t>（2）防腐涂料使用前，首先应核对油漆的种类、名称以及稀释剂 是否符合涂料说明书的技术要求，油漆还应做二次检查，各项指标合格后方可调制作装。</w:t>
      </w:r>
    </w:p>
    <w:p w14:paraId="323AA937">
      <w:pPr>
        <w:snapToGrid w:val="0"/>
        <w:ind w:firstLine="420"/>
        <w:rPr>
          <w:rFonts w:ascii="宋体" w:hAnsi="宋体" w:cs="宋体"/>
          <w:sz w:val="21"/>
          <w:szCs w:val="21"/>
        </w:rPr>
      </w:pPr>
      <w:r>
        <w:rPr>
          <w:rFonts w:hint="eastAsia" w:ascii="宋体" w:hAnsi="宋体" w:cs="宋体"/>
          <w:sz w:val="21"/>
          <w:szCs w:val="21"/>
        </w:rPr>
        <w:t>（3）涂料的配制应严格按照说明书的技术要求及配比进行调配，并充分搅拌，使桶底沉淀物混合均匀，放置15-30分钟后，使其充分熟化方可使用。工程用量允许的施工时间，应根据说明书的规定控制，在现场调配时，据工程量用多少、配多少。</w:t>
      </w:r>
    </w:p>
    <w:p w14:paraId="13CD3EFD">
      <w:pPr>
        <w:snapToGrid w:val="0"/>
        <w:ind w:firstLine="420"/>
        <w:rPr>
          <w:rFonts w:ascii="宋体" w:hAnsi="宋体" w:cs="宋体"/>
          <w:sz w:val="21"/>
          <w:szCs w:val="21"/>
        </w:rPr>
      </w:pPr>
      <w:r>
        <w:rPr>
          <w:rFonts w:hint="eastAsia" w:ascii="宋体" w:hAnsi="宋体" w:cs="宋体"/>
          <w:sz w:val="21"/>
          <w:szCs w:val="21"/>
        </w:rPr>
        <w:t>（4）使用涂料时，应边刷涂边搅拌，如有结皮或其他杂物，必需清除掉，方可使用。涂料开桶后，必须密封保存。</w:t>
      </w:r>
    </w:p>
    <w:p w14:paraId="10A93158">
      <w:pPr>
        <w:snapToGrid w:val="0"/>
        <w:ind w:firstLine="420"/>
        <w:rPr>
          <w:rFonts w:ascii="宋体" w:hAnsi="宋体" w:cs="宋体"/>
          <w:sz w:val="21"/>
          <w:szCs w:val="21"/>
        </w:rPr>
      </w:pPr>
      <w:r>
        <w:rPr>
          <w:rFonts w:hint="eastAsia" w:ascii="宋体" w:hAnsi="宋体" w:cs="宋体"/>
          <w:sz w:val="21"/>
          <w:szCs w:val="21"/>
        </w:rPr>
        <w:t>（5）使用稀释剂时，其种类和用量应符合油漆生产的标准 规定。</w:t>
      </w:r>
    </w:p>
    <w:p w14:paraId="57073F6B">
      <w:pPr>
        <w:snapToGrid w:val="0"/>
        <w:ind w:firstLine="420"/>
        <w:rPr>
          <w:rFonts w:ascii="宋体" w:hAnsi="宋体" w:cs="宋体"/>
          <w:sz w:val="21"/>
          <w:szCs w:val="21"/>
        </w:rPr>
      </w:pPr>
      <w:r>
        <w:rPr>
          <w:rFonts w:hint="eastAsia" w:ascii="宋体" w:hAnsi="宋体" w:cs="宋体"/>
          <w:sz w:val="21"/>
          <w:szCs w:val="21"/>
        </w:rPr>
        <w:t>（6）</w:t>
      </w:r>
      <w:r>
        <w:rPr>
          <w:rFonts w:hint="eastAsia" w:ascii="宋体" w:hAnsi="宋体" w:cs="宋体"/>
          <w:sz w:val="21"/>
          <w:szCs w:val="21"/>
          <w:lang w:val="en-US" w:eastAsia="zh-CN"/>
        </w:rPr>
        <w:t>喷涂</w:t>
      </w:r>
      <w:r>
        <w:rPr>
          <w:rFonts w:hint="eastAsia" w:ascii="宋体" w:hAnsi="宋体" w:cs="宋体"/>
          <w:sz w:val="21"/>
          <w:szCs w:val="21"/>
        </w:rPr>
        <w:t>时，首先对边角、棱 角处、夹缝处进行预涂，必要时采用长杆毛笔进行点涂，以保证漆膜厚薄均匀无漏涂。</w:t>
      </w:r>
    </w:p>
    <w:p w14:paraId="7CECC782">
      <w:pPr>
        <w:snapToGrid w:val="0"/>
        <w:ind w:firstLine="420"/>
        <w:rPr>
          <w:rFonts w:ascii="宋体" w:hAnsi="宋体" w:cs="宋体"/>
          <w:sz w:val="21"/>
          <w:szCs w:val="21"/>
        </w:rPr>
      </w:pPr>
      <w:r>
        <w:rPr>
          <w:rFonts w:hint="eastAsia" w:ascii="宋体" w:hAnsi="宋体" w:cs="宋体"/>
          <w:sz w:val="21"/>
          <w:szCs w:val="21"/>
        </w:rPr>
        <w:t>（7）施工环境温度以15-30度为宜，相对湿度不宜大于85%，遇雨、雾、大风少天气不得进行施工。</w:t>
      </w:r>
    </w:p>
    <w:p w14:paraId="723533CC">
      <w:pPr>
        <w:snapToGrid w:val="0"/>
        <w:ind w:firstLine="420"/>
        <w:rPr>
          <w:rFonts w:ascii="宋体" w:hAnsi="宋体" w:cs="宋体"/>
          <w:sz w:val="21"/>
          <w:szCs w:val="21"/>
        </w:rPr>
      </w:pPr>
      <w:r>
        <w:rPr>
          <w:rFonts w:hint="eastAsia" w:ascii="宋体" w:hAnsi="宋体" w:cs="宋体"/>
          <w:sz w:val="21"/>
          <w:szCs w:val="21"/>
        </w:rPr>
        <w:t>（8）涂层的漆膜指角按试干后，方可进行下道涂层的施工。</w:t>
      </w:r>
    </w:p>
    <w:p w14:paraId="13CB5081">
      <w:pPr>
        <w:snapToGrid w:val="0"/>
        <w:ind w:firstLine="420"/>
        <w:rPr>
          <w:rFonts w:hint="eastAsia" w:ascii="宋体" w:hAnsi="宋体" w:cs="宋体"/>
          <w:b/>
          <w:szCs w:val="24"/>
        </w:rPr>
      </w:pPr>
      <w:r>
        <w:rPr>
          <w:rFonts w:hint="eastAsia" w:ascii="宋体" w:hAnsi="宋体" w:cs="宋体"/>
          <w:sz w:val="21"/>
          <w:szCs w:val="21"/>
        </w:rPr>
        <w:t>（</w:t>
      </w:r>
      <w:r>
        <w:rPr>
          <w:rFonts w:hint="eastAsia" w:ascii="宋体" w:hAnsi="宋体" w:cs="宋体"/>
          <w:sz w:val="21"/>
          <w:szCs w:val="21"/>
          <w:lang w:val="en-US" w:eastAsia="zh-CN"/>
        </w:rPr>
        <w:t>9</w:t>
      </w:r>
      <w:r>
        <w:rPr>
          <w:rFonts w:hint="eastAsia" w:ascii="宋体" w:hAnsi="宋体" w:cs="宋体"/>
          <w:sz w:val="21"/>
          <w:szCs w:val="21"/>
        </w:rPr>
        <w:t>）为充分发挥涂料的耐腐蚀性能，应以漆膜厚度控制施工质量。</w:t>
      </w:r>
    </w:p>
    <w:p w14:paraId="69F1B10A">
      <w:pPr>
        <w:snapToGrid w:val="0"/>
        <w:ind w:firstLine="482"/>
        <w:outlineLvl w:val="0"/>
        <w:rPr>
          <w:rFonts w:ascii="Batang" w:hAnsi="Batang" w:eastAsia="Batang" w:cs="宋体"/>
          <w:b/>
          <w:szCs w:val="24"/>
        </w:rPr>
      </w:pPr>
      <w:r>
        <w:rPr>
          <w:rFonts w:hint="eastAsia" w:ascii="宋体" w:hAnsi="宋体" w:cs="宋体"/>
          <w:b/>
          <w:szCs w:val="24"/>
          <w:lang w:val="en-US" w:eastAsia="zh-CN"/>
        </w:rPr>
        <w:t>六</w:t>
      </w:r>
      <w:r>
        <w:rPr>
          <w:rFonts w:hint="eastAsia" w:ascii="宋体" w:hAnsi="宋体" w:cs="宋体"/>
          <w:b/>
          <w:szCs w:val="24"/>
        </w:rPr>
        <w:t>、质量保证措施</w:t>
      </w:r>
    </w:p>
    <w:p w14:paraId="5D0DEBFA">
      <w:pPr>
        <w:snapToGrid w:val="0"/>
        <w:ind w:firstLine="420"/>
        <w:rPr>
          <w:rFonts w:ascii="宋体" w:hAnsi="宋体" w:cs="宋体"/>
          <w:sz w:val="21"/>
          <w:szCs w:val="21"/>
        </w:rPr>
      </w:pPr>
      <w:r>
        <w:rPr>
          <w:rFonts w:hint="eastAsia" w:ascii="宋体" w:hAnsi="宋体" w:cs="宋体"/>
          <w:sz w:val="21"/>
          <w:szCs w:val="21"/>
        </w:rPr>
        <w:t>1、严格遵守规范，标准施工，执行本工程施工方案技术要求施工，施工前进行技术交底，使每个施工人员严格执行操作程序及各项工艺要求。</w:t>
      </w:r>
    </w:p>
    <w:p w14:paraId="2CFBC4DC">
      <w:pPr>
        <w:snapToGrid w:val="0"/>
        <w:ind w:firstLine="420"/>
        <w:rPr>
          <w:rFonts w:ascii="宋体" w:hAnsi="宋体" w:cs="宋体"/>
          <w:sz w:val="21"/>
          <w:szCs w:val="21"/>
        </w:rPr>
      </w:pPr>
      <w:r>
        <w:rPr>
          <w:rFonts w:hint="eastAsia" w:ascii="宋体" w:hAnsi="宋体" w:cs="宋体"/>
          <w:sz w:val="21"/>
          <w:szCs w:val="21"/>
        </w:rPr>
        <w:t>2、严格按照双方签订合同中技术条款的防腐技术要求及标准进行规范施工。</w:t>
      </w:r>
    </w:p>
    <w:p w14:paraId="38103432">
      <w:pPr>
        <w:snapToGrid w:val="0"/>
        <w:ind w:firstLine="420"/>
        <w:rPr>
          <w:rFonts w:ascii="宋体" w:hAnsi="宋体" w:cs="宋体"/>
          <w:sz w:val="21"/>
          <w:szCs w:val="21"/>
        </w:rPr>
      </w:pPr>
      <w:r>
        <w:rPr>
          <w:rFonts w:hint="eastAsia" w:ascii="宋体" w:hAnsi="宋体" w:cs="宋体"/>
          <w:sz w:val="21"/>
          <w:szCs w:val="21"/>
        </w:rPr>
        <w:t>3、建立由技术员、现场施工负责人、质检员、班组长组成的质检小组，进行对施工、过程及各点的各项检查，对整个施工质量进行过程管理和控制，达到保证质量。</w:t>
      </w:r>
    </w:p>
    <w:p w14:paraId="56114C34">
      <w:pPr>
        <w:snapToGrid w:val="0"/>
        <w:ind w:firstLine="420"/>
        <w:rPr>
          <w:rFonts w:ascii="宋体" w:hAnsi="宋体" w:cs="宋体"/>
          <w:sz w:val="21"/>
          <w:szCs w:val="21"/>
        </w:rPr>
      </w:pPr>
      <w:r>
        <w:rPr>
          <w:rFonts w:hint="eastAsia" w:ascii="宋体" w:hAnsi="宋体" w:cs="宋体"/>
          <w:sz w:val="21"/>
          <w:szCs w:val="21"/>
        </w:rPr>
        <w:t>4、在施工关键点进行自检、互检、交检，同时进行质量评定，达到一次验收合格。</w:t>
      </w:r>
    </w:p>
    <w:p w14:paraId="01BBA3A2">
      <w:pPr>
        <w:snapToGrid w:val="0"/>
        <w:ind w:firstLine="420"/>
        <w:rPr>
          <w:rFonts w:ascii="宋体" w:hAnsi="宋体" w:cs="宋体"/>
          <w:sz w:val="21"/>
          <w:szCs w:val="21"/>
        </w:rPr>
      </w:pPr>
      <w:r>
        <w:rPr>
          <w:rFonts w:hint="eastAsia" w:ascii="宋体" w:hAnsi="宋体" w:cs="宋体"/>
          <w:sz w:val="21"/>
          <w:szCs w:val="21"/>
        </w:rPr>
        <w:t>5、在整个施工过程中我方进行自检自查，甲方监督共同把好质量关，对每个工序需经甲方验收认可后方能进入下道工序。严格控制每道工序质量检查，如有不合格，绝不允许进行下道工序的施工，必须保证上道工序的质量。并且要抓好隐蔽工程及疑难工程质量检查，决不允许因施工难度大而降低质量标准。</w:t>
      </w:r>
    </w:p>
    <w:p w14:paraId="33D655C9">
      <w:pPr>
        <w:snapToGrid w:val="0"/>
        <w:ind w:firstLine="420"/>
        <w:rPr>
          <w:rFonts w:ascii="宋体" w:hAnsi="宋体" w:cs="宋体"/>
          <w:sz w:val="21"/>
          <w:szCs w:val="21"/>
        </w:rPr>
      </w:pPr>
      <w:r>
        <w:rPr>
          <w:rFonts w:hint="eastAsia" w:ascii="宋体" w:hAnsi="宋体" w:cs="宋体"/>
          <w:sz w:val="21"/>
          <w:szCs w:val="21"/>
        </w:rPr>
        <w:t>6、</w:t>
      </w:r>
      <w:r>
        <w:rPr>
          <w:rFonts w:hint="eastAsia" w:ascii="宋体" w:hAnsi="宋体" w:cs="宋体"/>
          <w:sz w:val="21"/>
          <w:szCs w:val="21"/>
          <w:lang w:val="en-US" w:eastAsia="zh-CN"/>
        </w:rPr>
        <w:t>喷涂</w:t>
      </w:r>
      <w:r>
        <w:rPr>
          <w:rFonts w:hint="eastAsia" w:ascii="宋体" w:hAnsi="宋体" w:cs="宋体"/>
          <w:sz w:val="21"/>
          <w:szCs w:val="21"/>
        </w:rPr>
        <w:t>竣工后，涂膜厚度均匀，表面颜色一致，不许有汽泡、裂纹、脱皮、流桂、无漏涂等缺陷。</w:t>
      </w:r>
    </w:p>
    <w:p w14:paraId="6F5171B1">
      <w:pPr>
        <w:snapToGrid w:val="0"/>
        <w:ind w:firstLine="420"/>
        <w:rPr>
          <w:rFonts w:ascii="宋体" w:hAnsi="宋体" w:cs="宋体"/>
          <w:sz w:val="21"/>
          <w:szCs w:val="21"/>
        </w:rPr>
      </w:pPr>
      <w:r>
        <w:rPr>
          <w:rFonts w:hint="eastAsia" w:ascii="宋体" w:hAnsi="宋体" w:cs="宋体"/>
          <w:sz w:val="21"/>
          <w:szCs w:val="21"/>
        </w:rPr>
        <w:t xml:space="preserve">1) </w:t>
      </w:r>
      <w:r>
        <w:rPr>
          <w:rFonts w:hint="eastAsia" w:ascii="宋体" w:hAnsi="宋体" w:cs="宋体"/>
          <w:sz w:val="21"/>
          <w:szCs w:val="21"/>
          <w:lang w:val="en-US" w:eastAsia="zh-CN"/>
        </w:rPr>
        <w:t>喷涂</w:t>
      </w:r>
      <w:r>
        <w:rPr>
          <w:rFonts w:hint="eastAsia" w:ascii="宋体" w:hAnsi="宋体" w:cs="宋体"/>
          <w:sz w:val="21"/>
          <w:szCs w:val="21"/>
        </w:rPr>
        <w:t>应均匀，无明显皱纹、流挂，附着力应良好。</w:t>
      </w:r>
    </w:p>
    <w:p w14:paraId="1FEDAEAE">
      <w:pPr>
        <w:snapToGrid w:val="0"/>
        <w:ind w:firstLine="420"/>
        <w:rPr>
          <w:rFonts w:ascii="宋体" w:hAnsi="宋体" w:cs="宋体"/>
          <w:sz w:val="21"/>
          <w:szCs w:val="21"/>
        </w:rPr>
      </w:pPr>
      <w:r>
        <w:rPr>
          <w:rFonts w:hint="eastAsia" w:ascii="宋体" w:hAnsi="宋体" w:cs="宋体"/>
          <w:sz w:val="21"/>
          <w:szCs w:val="21"/>
        </w:rPr>
        <w:t xml:space="preserve">2) </w:t>
      </w:r>
      <w:r>
        <w:rPr>
          <w:rFonts w:hint="eastAsia" w:ascii="宋体" w:hAnsi="宋体" w:cs="宋体"/>
          <w:sz w:val="21"/>
          <w:szCs w:val="21"/>
          <w:lang w:val="en-US" w:eastAsia="zh-CN"/>
        </w:rPr>
        <w:t>喷涂</w:t>
      </w:r>
      <w:r>
        <w:rPr>
          <w:rFonts w:hint="eastAsia" w:ascii="宋体" w:hAnsi="宋体" w:cs="宋体"/>
          <w:sz w:val="21"/>
          <w:szCs w:val="21"/>
        </w:rPr>
        <w:t>油漆的金属表面刷纹通顺。</w:t>
      </w:r>
    </w:p>
    <w:p w14:paraId="2E3F2376">
      <w:pPr>
        <w:snapToGrid w:val="0"/>
        <w:ind w:firstLine="420"/>
        <w:rPr>
          <w:rFonts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 xml:space="preserve">) </w:t>
      </w:r>
      <w:r>
        <w:rPr>
          <w:rFonts w:hint="eastAsia" w:ascii="宋体" w:hAnsi="宋体" w:cs="宋体"/>
          <w:sz w:val="21"/>
          <w:szCs w:val="21"/>
          <w:lang w:val="en-US" w:eastAsia="zh-CN"/>
        </w:rPr>
        <w:t>喷涂</w:t>
      </w:r>
      <w:r>
        <w:rPr>
          <w:rFonts w:hint="eastAsia" w:ascii="宋体" w:hAnsi="宋体" w:cs="宋体"/>
          <w:sz w:val="21"/>
          <w:szCs w:val="21"/>
        </w:rPr>
        <w:t>均匀，色泽一致，无垂流、渗色、粉化、回粘、龟裂、针孔、气泡、剥离、附着物等外观不良现象。</w:t>
      </w:r>
    </w:p>
    <w:p w14:paraId="32E78801">
      <w:pPr>
        <w:snapToGrid w:val="0"/>
        <w:ind w:firstLine="420"/>
        <w:rPr>
          <w:rFonts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 xml:space="preserve">) </w:t>
      </w:r>
      <w:r>
        <w:rPr>
          <w:rFonts w:hint="eastAsia" w:ascii="宋体" w:hAnsi="宋体" w:cs="宋体"/>
          <w:sz w:val="21"/>
          <w:szCs w:val="21"/>
          <w:lang w:val="en-US" w:eastAsia="zh-CN"/>
        </w:rPr>
        <w:t>喷涂</w:t>
      </w:r>
      <w:r>
        <w:rPr>
          <w:rFonts w:hint="eastAsia" w:ascii="宋体" w:hAnsi="宋体" w:cs="宋体"/>
          <w:sz w:val="21"/>
          <w:szCs w:val="21"/>
        </w:rPr>
        <w:t>好的构件要进行标识以防止误用，严禁漏涂和锈蚀，颜色符合设计要求。</w:t>
      </w:r>
    </w:p>
    <w:p w14:paraId="4CE2F2DD">
      <w:pPr>
        <w:snapToGrid w:val="0"/>
        <w:ind w:firstLine="420"/>
        <w:rPr>
          <w:rFonts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 损坏的涂层按涂装工艺分层补漆，涂层应完整，附着良好。</w:t>
      </w:r>
    </w:p>
    <w:p w14:paraId="7CC92031">
      <w:pPr>
        <w:snapToGrid w:val="0"/>
        <w:ind w:firstLine="482"/>
        <w:outlineLvl w:val="0"/>
        <w:rPr>
          <w:rFonts w:ascii="宋体" w:hAnsi="宋体" w:cs="宋体"/>
          <w:b/>
          <w:szCs w:val="24"/>
        </w:rPr>
      </w:pPr>
      <w:r>
        <w:rPr>
          <w:rFonts w:hint="eastAsia" w:ascii="宋体" w:hAnsi="宋体" w:cs="宋体"/>
          <w:b/>
          <w:szCs w:val="24"/>
          <w:lang w:val="en-US" w:eastAsia="zh-CN"/>
        </w:rPr>
        <w:t>七</w:t>
      </w:r>
      <w:r>
        <w:rPr>
          <w:rFonts w:hint="eastAsia" w:ascii="宋体" w:hAnsi="宋体" w:cs="宋体"/>
          <w:b/>
          <w:szCs w:val="24"/>
        </w:rPr>
        <w:t>、安全保证措施</w:t>
      </w:r>
    </w:p>
    <w:p w14:paraId="686C966F">
      <w:pPr>
        <w:snapToGrid w:val="0"/>
        <w:ind w:firstLine="420"/>
        <w:rPr>
          <w:rFonts w:ascii="宋体" w:hAnsi="宋体" w:cs="宋体"/>
          <w:sz w:val="21"/>
          <w:szCs w:val="21"/>
        </w:rPr>
      </w:pPr>
      <w:r>
        <w:rPr>
          <w:rFonts w:hint="eastAsia" w:ascii="宋体" w:hAnsi="宋体" w:cs="宋体"/>
          <w:sz w:val="21"/>
          <w:szCs w:val="21"/>
        </w:rPr>
        <w:t>需要制定专项施工方案，并提交至</w:t>
      </w:r>
      <w:r>
        <w:rPr>
          <w:rFonts w:hint="eastAsia" w:ascii="宋体" w:hAnsi="宋体" w:cs="宋体"/>
          <w:sz w:val="21"/>
          <w:szCs w:val="21"/>
          <w:lang w:val="en-US" w:eastAsia="zh-CN"/>
        </w:rPr>
        <w:t>甲方</w:t>
      </w:r>
      <w:r>
        <w:rPr>
          <w:rFonts w:hint="eastAsia" w:ascii="宋体" w:hAnsi="宋体" w:cs="宋体"/>
          <w:sz w:val="21"/>
          <w:szCs w:val="21"/>
        </w:rPr>
        <w:t>专家组评审，评审通过后才允许施工，专项施工方案需在签订合同后一周内提交。</w:t>
      </w:r>
    </w:p>
    <w:p w14:paraId="446C3F5D">
      <w:pPr>
        <w:snapToGrid w:val="0"/>
        <w:ind w:firstLine="420"/>
        <w:rPr>
          <w:rFonts w:ascii="宋体" w:hAnsi="宋体" w:cs="宋体"/>
          <w:sz w:val="21"/>
          <w:szCs w:val="21"/>
        </w:rPr>
      </w:pPr>
      <w:r>
        <w:rPr>
          <w:rFonts w:hint="eastAsia" w:ascii="宋体" w:hAnsi="宋体" w:cs="宋体"/>
          <w:sz w:val="21"/>
          <w:szCs w:val="21"/>
        </w:rPr>
        <w:t>1、防腐施工前应组织施工人员进行安全技术交底，了解掌握工程内容，施工部位、技术要点、施工方法及讲明影响质量和安全的因素及预防措施。</w:t>
      </w:r>
    </w:p>
    <w:p w14:paraId="4C054E91">
      <w:pPr>
        <w:snapToGrid w:val="0"/>
        <w:ind w:firstLine="420"/>
        <w:rPr>
          <w:rFonts w:ascii="宋体" w:hAnsi="宋体" w:cs="宋体"/>
          <w:sz w:val="21"/>
          <w:szCs w:val="21"/>
        </w:rPr>
      </w:pPr>
      <w:r>
        <w:rPr>
          <w:rFonts w:hint="eastAsia" w:ascii="宋体" w:hAnsi="宋体" w:cs="宋体"/>
          <w:sz w:val="21"/>
          <w:szCs w:val="21"/>
        </w:rPr>
        <w:t>2、对高空的施工人员必须身体检查合格后持证上岗。</w:t>
      </w:r>
    </w:p>
    <w:p w14:paraId="73750807">
      <w:pPr>
        <w:snapToGrid w:val="0"/>
        <w:ind w:firstLine="420"/>
        <w:rPr>
          <w:rFonts w:ascii="宋体" w:hAnsi="宋体" w:cs="宋体"/>
          <w:sz w:val="21"/>
          <w:szCs w:val="21"/>
        </w:rPr>
      </w:pPr>
      <w:r>
        <w:rPr>
          <w:rFonts w:hint="eastAsia" w:ascii="宋体" w:hAnsi="宋体" w:cs="宋体"/>
          <w:sz w:val="21"/>
          <w:szCs w:val="21"/>
        </w:rPr>
        <w:t>3、组织施工人员进行厂方的安规学习，提高职工的安全意识，在施工中真正能够“自我保护”，做到不安全决不施工。</w:t>
      </w:r>
    </w:p>
    <w:p w14:paraId="4E053FC2">
      <w:pPr>
        <w:snapToGrid w:val="0"/>
        <w:ind w:firstLine="420"/>
        <w:rPr>
          <w:rFonts w:ascii="宋体" w:hAnsi="宋体" w:cs="宋体"/>
          <w:sz w:val="21"/>
          <w:szCs w:val="21"/>
        </w:rPr>
      </w:pPr>
      <w:r>
        <w:rPr>
          <w:rFonts w:hint="eastAsia" w:ascii="宋体" w:hAnsi="宋体" w:cs="宋体"/>
          <w:sz w:val="21"/>
          <w:szCs w:val="21"/>
        </w:rPr>
        <w:t>4、在整个施工过程中必须加强安全管理，预防为主。把不安全的因素控制在萌芽状态，工地项目经理是安全生产第一负责人，在落实生产的同时，首先考虑到安全，把安全放在第一位来指导生产。</w:t>
      </w:r>
    </w:p>
    <w:p w14:paraId="54D1318F">
      <w:pPr>
        <w:snapToGrid w:val="0"/>
        <w:ind w:firstLine="420"/>
        <w:rPr>
          <w:rFonts w:hint="default"/>
          <w:lang w:val="en-US" w:eastAsia="zh-CN"/>
        </w:rPr>
      </w:pPr>
      <w:r>
        <w:rPr>
          <w:rFonts w:hint="eastAsia" w:ascii="宋体" w:hAnsi="宋体" w:cs="宋体"/>
          <w:sz w:val="21"/>
          <w:szCs w:val="21"/>
        </w:rPr>
        <w:t>5</w:t>
      </w:r>
      <w:r>
        <w:rPr>
          <w:rFonts w:hint="eastAsia" w:ascii="宋体" w:hAnsi="宋体" w:cs="宋体"/>
          <w:sz w:val="21"/>
          <w:szCs w:val="21"/>
          <w:lang w:eastAsia="zh-CN"/>
        </w:rPr>
        <w:t>、</w:t>
      </w:r>
      <w:r>
        <w:rPr>
          <w:rFonts w:hint="eastAsia" w:ascii="宋体" w:hAnsi="宋体" w:cs="宋体"/>
          <w:sz w:val="21"/>
          <w:szCs w:val="21"/>
          <w:lang w:val="en-US" w:eastAsia="zh-CN"/>
        </w:rPr>
        <w:t>高空作业，施工单位采用蜘蛛人施工方式，切必须符合国家高空作业相关规定。</w:t>
      </w:r>
    </w:p>
    <w:p w14:paraId="07756BDB">
      <w:pPr>
        <w:snapToGrid w:val="0"/>
        <w:ind w:firstLine="420"/>
        <w:rPr>
          <w:rFonts w:ascii="宋体" w:hAnsi="宋体" w:cs="宋体"/>
          <w:sz w:val="21"/>
          <w:szCs w:val="21"/>
        </w:rPr>
      </w:pPr>
      <w:r>
        <w:rPr>
          <w:rFonts w:hint="eastAsia" w:ascii="宋体" w:hAnsi="宋体" w:cs="宋体"/>
          <w:sz w:val="21"/>
          <w:szCs w:val="21"/>
          <w:lang w:val="en-US" w:eastAsia="zh-CN"/>
        </w:rPr>
        <w:t>6</w:t>
      </w:r>
      <w:r>
        <w:rPr>
          <w:rFonts w:hint="eastAsia" w:ascii="宋体" w:hAnsi="宋体" w:cs="宋体"/>
          <w:sz w:val="21"/>
          <w:szCs w:val="21"/>
        </w:rPr>
        <w:t>、高空施工人员必须佩戴安全带，</w:t>
      </w:r>
      <w:r>
        <w:rPr>
          <w:rFonts w:hint="eastAsia" w:ascii="宋体" w:hAnsi="宋体" w:cs="宋体"/>
          <w:sz w:val="21"/>
          <w:szCs w:val="21"/>
          <w:lang w:val="en-US" w:eastAsia="zh-CN"/>
        </w:rPr>
        <w:t>并且</w:t>
      </w:r>
      <w:r>
        <w:rPr>
          <w:rFonts w:hint="eastAsia" w:ascii="宋体" w:hAnsi="宋体" w:cs="宋体"/>
          <w:sz w:val="21"/>
          <w:szCs w:val="21"/>
        </w:rPr>
        <w:t>必须增加一道安全绳，以防万一，做到双保险。</w:t>
      </w:r>
    </w:p>
    <w:p w14:paraId="522BB9A7">
      <w:pPr>
        <w:snapToGrid w:val="0"/>
        <w:ind w:firstLine="420"/>
        <w:rPr>
          <w:rFonts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、上班必须服装整齐，进入工地正确戴好安全帽，安全帽戴好后，应将帽箍扣调整到合适的位置，锁紧下颚带，防止工作中前倾后仰或其它原因造成滑落。</w:t>
      </w:r>
    </w:p>
    <w:p w14:paraId="3F9148A4">
      <w:pPr>
        <w:snapToGrid w:val="0"/>
        <w:ind w:firstLine="420"/>
        <w:rPr>
          <w:rFonts w:ascii="宋体" w:hAnsi="宋体" w:cs="宋体"/>
          <w:sz w:val="21"/>
          <w:szCs w:val="21"/>
        </w:rPr>
      </w:pPr>
      <w:r>
        <w:rPr>
          <w:rFonts w:hint="eastAsia" w:ascii="宋体" w:hAnsi="宋体" w:cs="宋体"/>
          <w:sz w:val="21"/>
          <w:szCs w:val="21"/>
          <w:lang w:val="en-US" w:eastAsia="zh-CN"/>
        </w:rPr>
        <w:t>8</w:t>
      </w:r>
      <w:r>
        <w:rPr>
          <w:rFonts w:hint="eastAsia" w:ascii="宋体" w:hAnsi="宋体" w:cs="宋体"/>
          <w:sz w:val="21"/>
          <w:szCs w:val="21"/>
        </w:rPr>
        <w:t>、进入厂区严禁吸烟，特别是防腐涂料是易燃危险品，施工现场严禁焊接、切割及各种明火。如要施工应离明火保持20米距离外施工。</w:t>
      </w:r>
    </w:p>
    <w:p w14:paraId="3FEA2D7F">
      <w:pPr>
        <w:snapToGrid w:val="0"/>
        <w:ind w:firstLine="420"/>
        <w:rPr>
          <w:rFonts w:ascii="宋体" w:hAnsi="宋体" w:cs="宋体"/>
          <w:sz w:val="21"/>
          <w:szCs w:val="21"/>
        </w:rPr>
      </w:pPr>
      <w:r>
        <w:rPr>
          <w:rFonts w:hint="eastAsia" w:ascii="宋体" w:hAnsi="宋体" w:cs="宋体"/>
          <w:sz w:val="21"/>
          <w:szCs w:val="21"/>
          <w:lang w:val="en-US" w:eastAsia="zh-CN"/>
        </w:rPr>
        <w:t>9</w:t>
      </w:r>
      <w:r>
        <w:rPr>
          <w:rFonts w:hint="eastAsia" w:ascii="宋体" w:hAnsi="宋体" w:cs="宋体"/>
          <w:sz w:val="21"/>
          <w:szCs w:val="21"/>
        </w:rPr>
        <w:t>、使用喷砂机及其它电动工具施工人员必须戴护目镜，工器具必须安装漏电保护器，防止触电。</w:t>
      </w:r>
    </w:p>
    <w:p w14:paraId="011AC099">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0</w:t>
      </w:r>
      <w:r>
        <w:rPr>
          <w:rFonts w:hint="eastAsia" w:ascii="宋体" w:hAnsi="宋体" w:cs="宋体"/>
          <w:sz w:val="21"/>
          <w:szCs w:val="21"/>
        </w:rPr>
        <w:t>、使用完的油漆空罐应安放到厂方指定的位置。工作完后的剩余油漆应清离现场，禁止将残余油漆倒入排水沟或垃圾点。</w:t>
      </w:r>
    </w:p>
    <w:p w14:paraId="2ED1B6BA">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1</w:t>
      </w:r>
      <w:r>
        <w:rPr>
          <w:rFonts w:hint="eastAsia" w:ascii="宋体" w:hAnsi="宋体" w:cs="宋体"/>
          <w:sz w:val="21"/>
          <w:szCs w:val="21"/>
        </w:rPr>
        <w:t>、施工过程中，严禁触摸其它设备或开关。</w:t>
      </w:r>
    </w:p>
    <w:p w14:paraId="7C24D8F1">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2</w:t>
      </w:r>
      <w:r>
        <w:rPr>
          <w:rFonts w:hint="eastAsia" w:ascii="宋体" w:hAnsi="宋体" w:cs="宋体"/>
          <w:sz w:val="21"/>
          <w:szCs w:val="21"/>
        </w:rPr>
        <w:t>、现场安全员必须认真负责地巡检，发现事故隐患，立即采取措施，对违章的施工人员应及时严厉制止，并正确指导。</w:t>
      </w:r>
    </w:p>
    <w:p w14:paraId="768F38AD">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3</w:t>
      </w:r>
      <w:r>
        <w:rPr>
          <w:rFonts w:hint="eastAsia" w:ascii="宋体" w:hAnsi="宋体" w:cs="宋体"/>
          <w:sz w:val="21"/>
          <w:szCs w:val="21"/>
        </w:rPr>
        <w:t>、机组设备边上有蒸汽管道，必要时做好隔离措施，防止烫伤。</w:t>
      </w:r>
    </w:p>
    <w:p w14:paraId="29B968C4">
      <w:pPr>
        <w:snapToGrid w:val="0"/>
        <w:ind w:firstLine="420"/>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4</w:t>
      </w:r>
      <w:r>
        <w:rPr>
          <w:rFonts w:hint="eastAsia" w:ascii="宋体" w:hAnsi="宋体" w:cs="宋体"/>
          <w:sz w:val="21"/>
          <w:szCs w:val="21"/>
        </w:rPr>
        <w:t>、使用电动工具作业时，现场应配备灭火器材，防止火灾发生。</w:t>
      </w:r>
    </w:p>
    <w:p w14:paraId="0D22797F">
      <w:pPr>
        <w:snapToGrid w:val="0"/>
        <w:ind w:firstLine="482"/>
        <w:outlineLvl w:val="0"/>
        <w:rPr>
          <w:rFonts w:ascii="宋体" w:hAnsi="宋体" w:cs="宋体"/>
          <w:b/>
          <w:szCs w:val="24"/>
        </w:rPr>
      </w:pPr>
      <w:r>
        <w:rPr>
          <w:rFonts w:hint="eastAsia" w:ascii="宋体" w:hAnsi="宋体" w:cs="宋体"/>
          <w:b/>
          <w:szCs w:val="24"/>
          <w:lang w:val="en-US" w:eastAsia="zh-CN"/>
        </w:rPr>
        <w:t>八</w:t>
      </w:r>
      <w:r>
        <w:rPr>
          <w:rFonts w:hint="eastAsia" w:ascii="宋体" w:hAnsi="宋体" w:cs="宋体"/>
          <w:b/>
          <w:szCs w:val="24"/>
        </w:rPr>
        <w:t>、文明施工措施</w:t>
      </w:r>
    </w:p>
    <w:p w14:paraId="55829C5D">
      <w:pPr>
        <w:snapToGrid w:val="0"/>
        <w:ind w:firstLine="420"/>
        <w:rPr>
          <w:rFonts w:ascii="宋体" w:hAnsi="宋体" w:cs="宋体"/>
          <w:sz w:val="21"/>
          <w:szCs w:val="21"/>
        </w:rPr>
      </w:pPr>
      <w:r>
        <w:rPr>
          <w:rFonts w:hint="eastAsia" w:ascii="宋体" w:hAnsi="宋体" w:cs="宋体"/>
          <w:sz w:val="21"/>
          <w:szCs w:val="21"/>
        </w:rPr>
        <w:t>1、进场前按厂方入厂程序办理相关手续，每个施工人员必须接受厂方安健环部门安全培训及考试，合格后方可施工，进厂后要遵守厂规厂纪，严格执行厂方相关的规章制度，安全技术措施及现场管理条例。</w:t>
      </w:r>
    </w:p>
    <w:p w14:paraId="17274FF7">
      <w:pPr>
        <w:snapToGrid w:val="0"/>
        <w:ind w:firstLine="420"/>
        <w:rPr>
          <w:rFonts w:ascii="宋体" w:hAnsi="宋体" w:cs="宋体"/>
          <w:sz w:val="21"/>
          <w:szCs w:val="21"/>
        </w:rPr>
      </w:pPr>
      <w:r>
        <w:rPr>
          <w:rFonts w:hint="eastAsia" w:ascii="宋体" w:hAnsi="宋体" w:cs="宋体"/>
          <w:sz w:val="21"/>
          <w:szCs w:val="21"/>
        </w:rPr>
        <w:t>2、开工前应按厂方要求办理工作票，严禁无票操作。</w:t>
      </w:r>
    </w:p>
    <w:p w14:paraId="4D258EDB">
      <w:pPr>
        <w:snapToGrid w:val="0"/>
        <w:ind w:firstLine="420"/>
        <w:rPr>
          <w:rFonts w:ascii="宋体" w:hAnsi="宋体" w:cs="宋体"/>
          <w:sz w:val="21"/>
          <w:szCs w:val="21"/>
        </w:rPr>
      </w:pPr>
      <w:r>
        <w:rPr>
          <w:rFonts w:hint="eastAsia" w:ascii="宋体" w:hAnsi="宋体" w:cs="宋体"/>
          <w:sz w:val="21"/>
          <w:szCs w:val="21"/>
        </w:rPr>
        <w:t>3、防腐与其它检修同时进行时，施工人员必须以厂方检修为主，防腐施工不能影响厂方的正常工作。</w:t>
      </w:r>
    </w:p>
    <w:p w14:paraId="68A07FA3">
      <w:pPr>
        <w:snapToGrid w:val="0"/>
        <w:ind w:firstLine="420"/>
        <w:rPr>
          <w:rFonts w:ascii="宋体" w:hAnsi="宋体" w:cs="宋体"/>
          <w:sz w:val="21"/>
          <w:szCs w:val="21"/>
        </w:rPr>
      </w:pPr>
      <w:r>
        <w:rPr>
          <w:rFonts w:hint="eastAsia" w:ascii="宋体" w:hAnsi="宋体" w:cs="宋体"/>
          <w:sz w:val="21"/>
          <w:szCs w:val="21"/>
        </w:rPr>
        <w:t>4、施工过程中严格做好相应的安全措施，加强施工现场的管理，严禁</w:t>
      </w:r>
      <w:r>
        <w:rPr>
          <w:rFonts w:hint="eastAsia" w:ascii="宋体" w:hAnsi="宋体" w:cs="宋体"/>
          <w:sz w:val="21"/>
          <w:szCs w:val="21"/>
          <w:lang w:val="en-US" w:eastAsia="zh-CN"/>
        </w:rPr>
        <w:t>高空</w:t>
      </w:r>
      <w:r>
        <w:rPr>
          <w:rFonts w:hint="eastAsia" w:ascii="宋体" w:hAnsi="宋体" w:cs="宋体"/>
          <w:sz w:val="21"/>
          <w:szCs w:val="21"/>
        </w:rPr>
        <w:t>抛掷物件和高空落物。</w:t>
      </w:r>
    </w:p>
    <w:p w14:paraId="62A48490">
      <w:pPr>
        <w:snapToGrid w:val="0"/>
        <w:ind w:firstLine="420"/>
        <w:rPr>
          <w:rFonts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、施工期间要搞好现场卫生，油漆要集中放置，并用彩条布铺好，每天下班前及时清运到甲方指定地点，做到工完料尽场地清，真正做到安全施工，文明施工。</w:t>
      </w:r>
    </w:p>
    <w:p w14:paraId="0DE0E44E">
      <w:pPr>
        <w:snapToGrid w:val="0"/>
        <w:ind w:firstLine="482"/>
        <w:outlineLvl w:val="0"/>
        <w:rPr>
          <w:rFonts w:ascii="宋体" w:hAnsi="宋体" w:cs="宋体"/>
          <w:b/>
          <w:szCs w:val="24"/>
        </w:rPr>
      </w:pPr>
      <w:r>
        <w:rPr>
          <w:rFonts w:hint="eastAsia" w:ascii="宋体" w:hAnsi="宋体" w:cs="宋体"/>
          <w:b/>
          <w:szCs w:val="24"/>
          <w:lang w:val="en-US" w:eastAsia="zh-CN"/>
        </w:rPr>
        <w:t>九</w:t>
      </w:r>
      <w:r>
        <w:rPr>
          <w:rFonts w:hint="eastAsia" w:ascii="宋体" w:hAnsi="宋体" w:cs="宋体"/>
          <w:b/>
          <w:szCs w:val="24"/>
        </w:rPr>
        <w:t>、高处作业安全措施</w:t>
      </w:r>
    </w:p>
    <w:p w14:paraId="253AA370">
      <w:pPr>
        <w:snapToGrid w:val="0"/>
        <w:ind w:firstLine="420"/>
        <w:outlineLvl w:val="0"/>
        <w:rPr>
          <w:rFonts w:ascii="宋体" w:hAnsi="宋体" w:cs="宋体"/>
          <w:sz w:val="21"/>
          <w:szCs w:val="21"/>
        </w:rPr>
      </w:pPr>
      <w:r>
        <w:rPr>
          <w:rFonts w:hint="eastAsia" w:ascii="宋体" w:hAnsi="宋体" w:cs="宋体"/>
          <w:sz w:val="21"/>
          <w:szCs w:val="21"/>
        </w:rPr>
        <w:t>（一）一般安全事项</w:t>
      </w:r>
    </w:p>
    <w:p w14:paraId="675BA5A8">
      <w:pPr>
        <w:snapToGrid w:val="0"/>
        <w:ind w:firstLine="420"/>
        <w:rPr>
          <w:rFonts w:ascii="宋体" w:hAnsi="宋体" w:cs="宋体"/>
          <w:sz w:val="21"/>
          <w:szCs w:val="21"/>
        </w:rPr>
      </w:pPr>
      <w:r>
        <w:rPr>
          <w:rFonts w:hint="eastAsia" w:ascii="宋体" w:hAnsi="宋体" w:cs="宋体"/>
          <w:sz w:val="21"/>
          <w:szCs w:val="21"/>
        </w:rPr>
        <w:t>1、凡在离地面2米及以上的地点进行的工作，都应视作高处作业，应按照本规程的规定执行。凡能在地面上预先作好的工作，都必须在地面上作，尽量减少高处作业。</w:t>
      </w:r>
    </w:p>
    <w:p w14:paraId="6638621B">
      <w:pPr>
        <w:snapToGrid w:val="0"/>
        <w:ind w:firstLine="420"/>
        <w:rPr>
          <w:rFonts w:ascii="宋体" w:hAnsi="宋体" w:cs="宋体"/>
          <w:sz w:val="21"/>
          <w:szCs w:val="21"/>
        </w:rPr>
      </w:pPr>
      <w:r>
        <w:rPr>
          <w:rFonts w:hint="eastAsia" w:ascii="宋体" w:hAnsi="宋体" w:cs="宋体"/>
          <w:sz w:val="21"/>
          <w:szCs w:val="21"/>
        </w:rPr>
        <w:t>2、担任高处作业人员必须身体健康。患有精神病、癫痫病及经医师鉴定患有高血压、心脏病等不宜从事高处作业病症的人员，不准参加高处作业。凡发现工作人员有饮酒、精神不振时，禁止登高作业。</w:t>
      </w:r>
    </w:p>
    <w:p w14:paraId="36C2A9B8">
      <w:pPr>
        <w:snapToGrid w:val="0"/>
        <w:ind w:firstLine="420"/>
        <w:rPr>
          <w:rFonts w:ascii="宋体" w:hAnsi="宋体" w:cs="宋体"/>
          <w:sz w:val="21"/>
          <w:szCs w:val="21"/>
        </w:rPr>
      </w:pPr>
      <w:r>
        <w:rPr>
          <w:rFonts w:hint="eastAsia" w:ascii="宋体" w:hAnsi="宋体" w:cs="宋体"/>
          <w:sz w:val="21"/>
          <w:szCs w:val="21"/>
        </w:rPr>
        <w:t>3、高处作业均</w:t>
      </w:r>
      <w:r>
        <w:rPr>
          <w:rFonts w:hint="eastAsia" w:ascii="宋体" w:hAnsi="宋体" w:cs="宋体"/>
          <w:sz w:val="21"/>
          <w:szCs w:val="21"/>
          <w:lang w:val="en-US" w:eastAsia="zh-CN"/>
        </w:rPr>
        <w:t>采用蜘蛛人形式，并必须</w:t>
      </w:r>
      <w:r>
        <w:rPr>
          <w:rFonts w:hint="eastAsia" w:ascii="宋体" w:hAnsi="宋体" w:cs="宋体"/>
          <w:sz w:val="21"/>
          <w:szCs w:val="21"/>
        </w:rPr>
        <w:t>采取防止坠落措施，方可进行。</w:t>
      </w:r>
    </w:p>
    <w:p w14:paraId="10457814">
      <w:pPr>
        <w:snapToGrid w:val="0"/>
        <w:ind w:firstLine="420"/>
        <w:rPr>
          <w:rFonts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、安全带在使用前应进行检查，并应定期（每隔6个月）进行静荷重试验；试验荷重为225公斤，试验时间为5分钟，试验后检查是否有变形、破裂等情况，并做好试验记录。不合格的安全带应及时处理。</w:t>
      </w:r>
    </w:p>
    <w:p w14:paraId="3160E333">
      <w:pPr>
        <w:snapToGrid w:val="0"/>
        <w:ind w:firstLine="420"/>
        <w:rPr>
          <w:rFonts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、安全带的挂钩或龟了应挂在结实牢固的构件上，或专为挂安全带用的钢丝绳上。禁止挂在移动或不牢固的物件上。</w:t>
      </w:r>
    </w:p>
    <w:p w14:paraId="5A78836C">
      <w:pPr>
        <w:snapToGrid w:val="0"/>
        <w:ind w:firstLine="420"/>
        <w:rPr>
          <w:rFonts w:ascii="宋体" w:hAnsi="宋体" w:cs="宋体"/>
          <w:sz w:val="21"/>
          <w:szCs w:val="21"/>
        </w:rPr>
      </w:pPr>
      <w:r>
        <w:rPr>
          <w:rFonts w:hint="eastAsia" w:ascii="宋体" w:hAnsi="宋体" w:cs="宋体"/>
          <w:sz w:val="21"/>
          <w:szCs w:val="21"/>
          <w:lang w:val="en-US" w:eastAsia="zh-CN"/>
        </w:rPr>
        <w:t>6</w:t>
      </w:r>
      <w:r>
        <w:rPr>
          <w:rFonts w:hint="eastAsia" w:ascii="宋体" w:hAnsi="宋体" w:cs="宋体"/>
          <w:sz w:val="21"/>
          <w:szCs w:val="21"/>
        </w:rPr>
        <w:t>、高处作业应一律使用工具袋。较大的工具应用绳拴在牢固的构件上，不准随便乱放，以防止从高空坠落发生事故。</w:t>
      </w:r>
    </w:p>
    <w:p w14:paraId="4CB1F8F9">
      <w:pPr>
        <w:snapToGrid w:val="0"/>
        <w:ind w:firstLine="420"/>
        <w:rPr>
          <w:rFonts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、在进行高处工作时，除有关人员外，不准他人在工作地点的下面通行或逗留，工作地点下面应有围栏或装设其他保护装置，防止落物伤人。</w:t>
      </w:r>
    </w:p>
    <w:p w14:paraId="6658590D">
      <w:pPr>
        <w:snapToGrid w:val="0"/>
        <w:ind w:firstLine="420"/>
        <w:rPr>
          <w:rFonts w:hint="default"/>
          <w:lang w:val="en-US" w:eastAsia="zh-CN"/>
        </w:rPr>
      </w:pPr>
      <w:r>
        <w:rPr>
          <w:rFonts w:hint="eastAsia" w:ascii="宋体" w:hAnsi="宋体" w:cs="宋体"/>
          <w:sz w:val="21"/>
          <w:szCs w:val="21"/>
          <w:lang w:val="en-US" w:eastAsia="zh-CN"/>
        </w:rPr>
        <w:t>8</w:t>
      </w:r>
      <w:r>
        <w:rPr>
          <w:rFonts w:hint="eastAsia" w:ascii="宋体" w:hAnsi="宋体" w:cs="宋体"/>
          <w:sz w:val="21"/>
          <w:szCs w:val="21"/>
        </w:rPr>
        <w:t>、不准将工具及材料上下投掷，要用绳系牢后往下或往上吊送，以免打伤下方工作人员或击毁脚手架。</w:t>
      </w:r>
    </w:p>
    <w:p w14:paraId="3CA349D9">
      <w:pPr>
        <w:spacing w:line="360" w:lineRule="auto"/>
        <w:rPr>
          <w:highlight w:val="none"/>
        </w:rPr>
      </w:pPr>
    </w:p>
    <w:p w14:paraId="72755F10">
      <w:pPr>
        <w:rPr>
          <w:rFonts w:hint="eastAsia"/>
          <w:szCs w:val="21"/>
          <w:highlight w:val="none"/>
        </w:rPr>
      </w:pPr>
      <w:r>
        <w:rPr>
          <w:rFonts w:hint="eastAsia"/>
          <w:szCs w:val="21"/>
          <w:highlight w:val="none"/>
        </w:rPr>
        <w:br w:type="page"/>
      </w:r>
    </w:p>
    <w:bookmarkEnd w:id="14"/>
    <w:bookmarkEnd w:id="15"/>
    <w:bookmarkEnd w:id="16"/>
    <w:bookmarkEnd w:id="17"/>
    <w:bookmarkEnd w:id="18"/>
    <w:bookmarkEnd w:id="19"/>
    <w:bookmarkEnd w:id="20"/>
    <w:bookmarkEnd w:id="21"/>
    <w:p w14:paraId="7171991D">
      <w:pPr>
        <w:pStyle w:val="256"/>
        <w:numPr>
          <w:ilvl w:val="-1"/>
          <w:numId w:val="0"/>
        </w:numPr>
        <w:spacing w:before="156"/>
        <w:ind w:left="0" w:firstLine="0" w:firstLineChars="0"/>
        <w:outlineLvl w:val="1"/>
        <w:rPr>
          <w:rFonts w:hint="eastAsia" w:ascii="仿宋" w:hAnsi="仿宋" w:eastAsia="仿宋" w:cs="Times New Roman"/>
          <w:b/>
          <w:bCs/>
          <w:kern w:val="2"/>
          <w:sz w:val="28"/>
          <w:szCs w:val="44"/>
          <w:highlight w:val="none"/>
          <w:lang w:val="en-US" w:eastAsia="zh-CN" w:bidi="ar-SA"/>
        </w:rPr>
      </w:pPr>
      <w:r>
        <w:rPr>
          <w:rFonts w:hint="eastAsia" w:ascii="仿宋" w:hAnsi="仿宋" w:eastAsia="仿宋" w:cs="Times New Roman"/>
          <w:b/>
          <w:bCs/>
          <w:kern w:val="2"/>
          <w:sz w:val="28"/>
          <w:szCs w:val="44"/>
          <w:highlight w:val="none"/>
          <w:lang w:val="en-US" w:eastAsia="zh-CN" w:bidi="ar-SA"/>
        </w:rPr>
        <w:t>附件九、合同格式</w:t>
      </w:r>
    </w:p>
    <w:p w14:paraId="48160CAD">
      <w:pPr>
        <w:snapToGrid w:val="0"/>
        <w:spacing w:beforeLines="0" w:line="360" w:lineRule="auto"/>
        <w:rPr>
          <w:rFonts w:ascii="仿宋_GB2312" w:eastAsia="仿宋_GB2312"/>
          <w:sz w:val="28"/>
          <w:highlight w:val="none"/>
        </w:rPr>
      </w:pPr>
      <w:r>
        <w:rPr>
          <w:rFonts w:hint="eastAsia" w:ascii="仿宋_GB2312" w:eastAsia="仿宋_GB2312"/>
          <w:sz w:val="28"/>
          <w:highlight w:val="none"/>
        </w:rPr>
        <w:t xml:space="preserve">甲方合同编号： </w:t>
      </w:r>
    </w:p>
    <w:p w14:paraId="139C9B6D">
      <w:pPr>
        <w:snapToGrid w:val="0"/>
        <w:spacing w:beforeLines="0" w:line="360" w:lineRule="auto"/>
        <w:rPr>
          <w:rFonts w:ascii="仿宋_GB2312" w:eastAsia="仿宋_GB2312"/>
          <w:sz w:val="28"/>
          <w:highlight w:val="none"/>
        </w:rPr>
      </w:pPr>
      <w:r>
        <w:rPr>
          <w:rFonts w:hint="eastAsia" w:ascii="仿宋_GB2312" w:eastAsia="仿宋_GB2312"/>
          <w:sz w:val="28"/>
          <w:highlight w:val="none"/>
        </w:rPr>
        <w:t>乙方合同编号：</w:t>
      </w:r>
    </w:p>
    <w:p w14:paraId="444B22F2">
      <w:pPr>
        <w:pStyle w:val="2"/>
        <w:spacing w:line="360" w:lineRule="auto"/>
        <w:rPr>
          <w:highlight w:val="none"/>
        </w:rPr>
      </w:pPr>
    </w:p>
    <w:p w14:paraId="4544F6A9">
      <w:pPr>
        <w:pStyle w:val="2"/>
        <w:spacing w:line="360" w:lineRule="auto"/>
        <w:rPr>
          <w:highlight w:val="none"/>
        </w:rPr>
      </w:pPr>
    </w:p>
    <w:p w14:paraId="6640B0CE">
      <w:pPr>
        <w:pStyle w:val="2"/>
        <w:spacing w:line="360" w:lineRule="auto"/>
        <w:rPr>
          <w:highlight w:val="none"/>
        </w:rPr>
      </w:pPr>
    </w:p>
    <w:p w14:paraId="6F662A50">
      <w:pPr>
        <w:snapToGrid w:val="0"/>
        <w:spacing w:beforeLines="0" w:line="360" w:lineRule="auto"/>
        <w:jc w:val="center"/>
        <w:rPr>
          <w:rFonts w:ascii="仿宋_GB2312" w:hAnsi="宋体" w:eastAsia="仿宋_GB2312" w:cs="微软雅黑"/>
          <w:b/>
          <w:sz w:val="48"/>
          <w:szCs w:val="44"/>
          <w:highlight w:val="none"/>
        </w:rPr>
      </w:pPr>
      <w:r>
        <w:rPr>
          <w:rFonts w:hint="eastAsia" w:ascii="宋体" w:hAnsi="宋体" w:eastAsia="宋体" w:cs="宋体"/>
          <w:sz w:val="48"/>
          <w:szCs w:val="48"/>
          <w:highlight w:val="none"/>
          <w:lang w:val="en-US" w:eastAsia="zh-CN"/>
        </w:rPr>
        <w:t>海心沙环保热电厂#1、#2厌氧罐外立面防腐采购项目合同</w:t>
      </w:r>
    </w:p>
    <w:p w14:paraId="5A689CFA">
      <w:pPr>
        <w:pStyle w:val="2"/>
        <w:spacing w:line="360" w:lineRule="auto"/>
        <w:rPr>
          <w:highlight w:val="none"/>
        </w:rPr>
      </w:pPr>
    </w:p>
    <w:p w14:paraId="176B455B">
      <w:pPr>
        <w:pStyle w:val="2"/>
        <w:spacing w:line="360" w:lineRule="auto"/>
        <w:rPr>
          <w:highlight w:val="none"/>
        </w:rPr>
      </w:pPr>
    </w:p>
    <w:p w14:paraId="1C5BA754">
      <w:pPr>
        <w:pStyle w:val="2"/>
        <w:spacing w:line="360" w:lineRule="auto"/>
        <w:rPr>
          <w:highlight w:val="none"/>
        </w:rPr>
      </w:pPr>
    </w:p>
    <w:p w14:paraId="2F138859">
      <w:pPr>
        <w:pStyle w:val="2"/>
        <w:spacing w:line="360" w:lineRule="auto"/>
        <w:rPr>
          <w:highlight w:val="none"/>
        </w:rPr>
      </w:pPr>
    </w:p>
    <w:p w14:paraId="25A7ED50">
      <w:pPr>
        <w:pStyle w:val="2"/>
        <w:spacing w:line="360" w:lineRule="auto"/>
        <w:rPr>
          <w:highlight w:val="none"/>
        </w:rPr>
      </w:pPr>
    </w:p>
    <w:p w14:paraId="311D77FF">
      <w:pPr>
        <w:pStyle w:val="2"/>
        <w:spacing w:line="360" w:lineRule="auto"/>
        <w:rPr>
          <w:highlight w:val="none"/>
        </w:rPr>
      </w:pPr>
    </w:p>
    <w:p w14:paraId="2788B5D1">
      <w:pPr>
        <w:snapToGrid w:val="0"/>
        <w:spacing w:beforeLines="0" w:line="360" w:lineRule="auto"/>
        <w:ind w:left="1133" w:leftChars="472"/>
        <w:jc w:val="left"/>
        <w:rPr>
          <w:rFonts w:ascii="宋体" w:hAnsi="宋体"/>
          <w:b/>
          <w:color w:val="262626"/>
          <w:sz w:val="32"/>
          <w:szCs w:val="28"/>
          <w:highlight w:val="none"/>
          <w:u w:val="single"/>
        </w:rPr>
      </w:pPr>
      <w:r>
        <w:rPr>
          <w:rFonts w:hint="eastAsia" w:ascii="宋体" w:hAnsi="宋体"/>
          <w:b/>
          <w:color w:val="262626"/>
          <w:sz w:val="32"/>
          <w:szCs w:val="28"/>
          <w:highlight w:val="none"/>
        </w:rPr>
        <w:t>发包人（甲方）：东莞市新东元环保投资有限公司</w:t>
      </w:r>
    </w:p>
    <w:p w14:paraId="3ED22BE7">
      <w:pPr>
        <w:tabs>
          <w:tab w:val="right" w:pos="8312"/>
        </w:tabs>
        <w:snapToGrid w:val="0"/>
        <w:spacing w:beforeLines="0" w:line="360" w:lineRule="auto"/>
        <w:ind w:left="1133" w:leftChars="472"/>
        <w:jc w:val="left"/>
        <w:rPr>
          <w:rFonts w:ascii="宋体" w:hAnsi="宋体"/>
          <w:b/>
          <w:sz w:val="32"/>
          <w:szCs w:val="28"/>
          <w:highlight w:val="none"/>
          <w:u w:val="single"/>
        </w:rPr>
      </w:pPr>
      <w:r>
        <w:rPr>
          <w:rFonts w:hint="eastAsia" w:ascii="宋体" w:hAnsi="宋体"/>
          <w:b/>
          <w:sz w:val="32"/>
          <w:szCs w:val="28"/>
          <w:highlight w:val="none"/>
        </w:rPr>
        <w:t>承包人（乙方）：</w:t>
      </w:r>
    </w:p>
    <w:p w14:paraId="7DD4F0D7">
      <w:pPr>
        <w:snapToGrid w:val="0"/>
        <w:spacing w:beforeLines="0" w:line="360" w:lineRule="auto"/>
        <w:ind w:left="1133" w:leftChars="472"/>
        <w:jc w:val="left"/>
        <w:rPr>
          <w:rFonts w:ascii="黑体" w:hAnsi="宋体" w:eastAsia="黑体"/>
          <w:sz w:val="32"/>
          <w:szCs w:val="28"/>
          <w:highlight w:val="none"/>
        </w:rPr>
      </w:pPr>
      <w:r>
        <w:rPr>
          <w:rFonts w:hint="eastAsia" w:ascii="黑体" w:hAnsi="宋体" w:eastAsia="黑体"/>
          <w:sz w:val="32"/>
          <w:szCs w:val="28"/>
          <w:highlight w:val="none"/>
        </w:rPr>
        <w:t>签订时间：</w:t>
      </w:r>
      <w:r>
        <w:rPr>
          <w:rFonts w:ascii="黑体" w:hAnsi="宋体" w:eastAsia="黑体"/>
          <w:sz w:val="32"/>
          <w:szCs w:val="28"/>
          <w:highlight w:val="none"/>
        </w:rPr>
        <w:t xml:space="preserve">   </w:t>
      </w:r>
      <w:r>
        <w:rPr>
          <w:rFonts w:hint="eastAsia" w:ascii="黑体" w:hAnsi="宋体" w:eastAsia="黑体"/>
          <w:sz w:val="32"/>
          <w:szCs w:val="28"/>
          <w:highlight w:val="none"/>
        </w:rPr>
        <w:t xml:space="preserve">年 </w:t>
      </w:r>
      <w:r>
        <w:rPr>
          <w:rFonts w:ascii="黑体" w:hAnsi="宋体" w:eastAsia="黑体"/>
          <w:sz w:val="32"/>
          <w:szCs w:val="28"/>
          <w:highlight w:val="none"/>
        </w:rPr>
        <w:t xml:space="preserve"> </w:t>
      </w:r>
      <w:r>
        <w:rPr>
          <w:rFonts w:hint="eastAsia" w:ascii="黑体" w:hAnsi="宋体" w:eastAsia="黑体"/>
          <w:sz w:val="32"/>
          <w:szCs w:val="28"/>
          <w:highlight w:val="none"/>
        </w:rPr>
        <w:t>月    日</w:t>
      </w:r>
    </w:p>
    <w:p w14:paraId="3938BB3E">
      <w:pPr>
        <w:snapToGrid w:val="0"/>
        <w:spacing w:beforeLines="0" w:line="360" w:lineRule="auto"/>
        <w:ind w:left="1133" w:leftChars="472"/>
        <w:jc w:val="left"/>
        <w:rPr>
          <w:rFonts w:ascii="宋体" w:hAnsi="宋体" w:eastAsia="黑体"/>
          <w:sz w:val="32"/>
          <w:szCs w:val="28"/>
          <w:highlight w:val="none"/>
        </w:rPr>
      </w:pPr>
      <w:r>
        <w:rPr>
          <w:rFonts w:hint="eastAsia" w:ascii="黑体" w:hAnsi="宋体" w:eastAsia="黑体"/>
          <w:sz w:val="32"/>
          <w:szCs w:val="28"/>
          <w:highlight w:val="none"/>
        </w:rPr>
        <w:t>签订地点：广东省东莞</w:t>
      </w:r>
      <w:r>
        <w:rPr>
          <w:rFonts w:ascii="黑体" w:hAnsi="宋体" w:eastAsia="黑体"/>
          <w:sz w:val="32"/>
          <w:szCs w:val="28"/>
          <w:highlight w:val="none"/>
        </w:rPr>
        <w:t>市</w:t>
      </w:r>
    </w:p>
    <w:p w14:paraId="5AB704A7">
      <w:pPr>
        <w:pStyle w:val="2"/>
        <w:spacing w:line="360" w:lineRule="auto"/>
        <w:rPr>
          <w:highlight w:val="none"/>
        </w:rPr>
      </w:pPr>
    </w:p>
    <w:p w14:paraId="2648FF94">
      <w:pPr>
        <w:pStyle w:val="2"/>
        <w:spacing w:line="360" w:lineRule="auto"/>
        <w:rPr>
          <w:highlight w:val="none"/>
        </w:rPr>
      </w:pPr>
    </w:p>
    <w:p w14:paraId="1D9A8B45">
      <w:pPr>
        <w:pStyle w:val="2"/>
        <w:spacing w:line="360" w:lineRule="auto"/>
        <w:rPr>
          <w:highlight w:val="none"/>
        </w:rPr>
      </w:pPr>
    </w:p>
    <w:p w14:paraId="4866F72D">
      <w:pPr>
        <w:snapToGrid w:val="0"/>
        <w:spacing w:beforeLines="0"/>
        <w:rPr>
          <w:highlight w:val="none"/>
        </w:rPr>
      </w:pPr>
    </w:p>
    <w:p w14:paraId="2B2BA70D">
      <w:pPr>
        <w:snapToGrid w:val="0"/>
        <w:spacing w:beforeLines="0" w:line="360" w:lineRule="auto"/>
        <w:rPr>
          <w:rFonts w:ascii="仿宋_GB2312" w:eastAsia="仿宋_GB2312"/>
          <w:color w:val="0000FF"/>
          <w:sz w:val="36"/>
          <w:szCs w:val="32"/>
        </w:rPr>
      </w:pPr>
      <w:r>
        <w:rPr>
          <w:highlight w:val="none"/>
        </w:rPr>
        <w:br w:type="page"/>
      </w:r>
      <w:r>
        <w:rPr>
          <w:rFonts w:hint="eastAsia" w:ascii="仿宋_GB2312" w:hAnsi="宋体" w:eastAsia="仿宋_GB2312" w:cs="宋体"/>
          <w:b/>
          <w:bCs/>
          <w:sz w:val="28"/>
        </w:rPr>
        <w:t>发包人（甲方）：东莞市新东元环保投资有限公司</w:t>
      </w:r>
    </w:p>
    <w:p w14:paraId="401B4C04">
      <w:pPr>
        <w:spacing w:line="380" w:lineRule="exact"/>
        <w:rPr>
          <w:rFonts w:ascii="仿宋_GB2312" w:eastAsia="仿宋_GB2312"/>
          <w:color w:val="0000FF"/>
          <w:sz w:val="36"/>
          <w:szCs w:val="32"/>
        </w:rPr>
      </w:pPr>
      <w:r>
        <w:rPr>
          <w:rFonts w:hint="eastAsia" w:ascii="仿宋_GB2312" w:hAnsi="宋体" w:eastAsia="仿宋_GB2312" w:cs="宋体"/>
          <w:b/>
          <w:bCs/>
          <w:sz w:val="28"/>
        </w:rPr>
        <w:t>承包人（乙方）：</w:t>
      </w:r>
      <w:r>
        <w:rPr>
          <w:rFonts w:hint="eastAsia" w:ascii="仿宋_GB2312" w:hAnsi="宋体" w:eastAsia="仿宋_GB2312" w:cs="宋体"/>
          <w:bCs/>
          <w:sz w:val="28"/>
          <w:u w:val="single"/>
        </w:rPr>
        <w:t xml:space="preserve"> </w:t>
      </w:r>
      <w:r>
        <w:rPr>
          <w:rFonts w:ascii="仿宋_GB2312" w:hAnsi="宋体" w:eastAsia="仿宋_GB2312" w:cs="宋体"/>
          <w:bCs/>
          <w:sz w:val="28"/>
          <w:u w:val="single"/>
        </w:rPr>
        <w:t xml:space="preserve">                 </w:t>
      </w:r>
      <w:r>
        <w:rPr>
          <w:rFonts w:hint="eastAsia" w:ascii="仿宋_GB2312" w:hAnsi="宋体" w:eastAsia="仿宋_GB2312" w:cs="宋体"/>
          <w:sz w:val="28"/>
          <w:u w:val="single"/>
        </w:rPr>
        <w:t xml:space="preserve"> </w:t>
      </w:r>
      <w:r>
        <w:rPr>
          <w:rFonts w:ascii="仿宋_GB2312" w:hAnsi="宋体" w:eastAsia="仿宋_GB2312" w:cs="宋体"/>
          <w:sz w:val="28"/>
          <w:u w:val="single"/>
        </w:rPr>
        <w:t xml:space="preserve">   </w:t>
      </w:r>
    </w:p>
    <w:p w14:paraId="604DB43D">
      <w:pPr>
        <w:spacing w:line="380" w:lineRule="exact"/>
        <w:rPr>
          <w:rFonts w:cs="宋体" w:asciiTheme="minorEastAsia" w:hAnsiTheme="minorEastAsia" w:eastAsiaTheme="minorEastAsia"/>
          <w:sz w:val="24"/>
          <w:szCs w:val="24"/>
        </w:rPr>
      </w:pPr>
    </w:p>
    <w:p w14:paraId="3A8D4EFA">
      <w:pPr>
        <w:spacing w:line="50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依照《中华人民共和国民法典》及其他有关法律法规规定，遵循平等、自愿、公平和诚实信用的原则，双方就</w:t>
      </w:r>
      <w:r>
        <w:rPr>
          <w:rFonts w:hint="eastAsia" w:cs="宋体" w:asciiTheme="minorEastAsia" w:hAnsiTheme="minorEastAsia" w:eastAsiaTheme="minorEastAsia"/>
          <w:sz w:val="24"/>
          <w:szCs w:val="24"/>
          <w:u w:val="single"/>
        </w:rPr>
        <w:t xml:space="preserve"> 海心沙环保热电厂#1、#2厌氧罐外立面防腐采购项目</w:t>
      </w:r>
      <w:r>
        <w:rPr>
          <w:rFonts w:hint="eastAsia" w:cs="宋体" w:asciiTheme="minorEastAsia" w:hAnsiTheme="minorEastAsia" w:eastAsiaTheme="minorEastAsia"/>
          <w:sz w:val="24"/>
          <w:szCs w:val="24"/>
        </w:rPr>
        <w:t>有关事项协商一致，特订立本合同，由甲乙双方共同遵守履行。</w:t>
      </w:r>
    </w:p>
    <w:p w14:paraId="68B68087">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一、项目概况</w:t>
      </w:r>
    </w:p>
    <w:p w14:paraId="21975357">
      <w:pPr>
        <w:pStyle w:val="2"/>
        <w:spacing w:after="0" w:line="500" w:lineRule="exact"/>
        <w:jc w:val="both"/>
        <w:rPr>
          <w:rFonts w:hint="eastAsia" w:asciiTheme="minorEastAsia" w:hAnsiTheme="minorEastAsia" w:eastAsiaTheme="minorEastAsia"/>
          <w:sz w:val="24"/>
          <w:szCs w:val="24"/>
          <w:lang w:eastAsia="zh-CN"/>
        </w:rPr>
      </w:pPr>
      <w:r>
        <w:rPr>
          <w:rFonts w:hint="eastAsia" w:cs="宋体" w:asciiTheme="minorEastAsia" w:hAnsiTheme="minorEastAsia" w:eastAsiaTheme="minorEastAsia"/>
          <w:sz w:val="24"/>
          <w:szCs w:val="24"/>
        </w:rPr>
        <w:t>1.项目名称：海心沙环保热电厂#1、#2厌氧罐外立面防腐采购项目</w:t>
      </w:r>
    </w:p>
    <w:p w14:paraId="4C0323CC">
      <w:pPr>
        <w:spacing w:line="500" w:lineRule="exact"/>
        <w:rPr>
          <w:rFonts w:hint="default" w:cs="宋体" w:asciiTheme="minorEastAsia" w:hAnsiTheme="minorEastAsia" w:eastAsiaTheme="minorEastAsia"/>
          <w:sz w:val="24"/>
          <w:szCs w:val="24"/>
          <w:u w:val="single"/>
          <w:lang w:val="en-US" w:eastAsia="zh-CN"/>
        </w:rPr>
      </w:pPr>
      <w:r>
        <w:rPr>
          <w:rFonts w:hint="eastAsia" w:cs="宋体" w:asciiTheme="minorEastAsia" w:hAnsiTheme="minorEastAsia" w:eastAsiaTheme="minorEastAsia"/>
          <w:sz w:val="24"/>
          <w:szCs w:val="24"/>
        </w:rPr>
        <w:t>2.项目地点：</w:t>
      </w:r>
      <w:r>
        <w:rPr>
          <w:rFonts w:hint="eastAsia" w:cs="宋体" w:asciiTheme="minorEastAsia" w:hAnsiTheme="minorEastAsia" w:eastAsiaTheme="minorEastAsia"/>
          <w:sz w:val="24"/>
          <w:szCs w:val="24"/>
          <w:u w:val="single"/>
          <w:lang w:val="en-US" w:eastAsia="zh-CN"/>
        </w:rPr>
        <w:t>东莞市麻涌镇大步村海心沙岛</w:t>
      </w:r>
    </w:p>
    <w:p w14:paraId="7A347507">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二</w:t>
      </w:r>
      <w:r>
        <w:rPr>
          <w:rFonts w:cs="宋体" w:asciiTheme="minorEastAsia" w:hAnsiTheme="minorEastAsia" w:eastAsiaTheme="minorEastAsia"/>
          <w:b/>
          <w:sz w:val="24"/>
          <w:szCs w:val="24"/>
        </w:rPr>
        <w:t>、承包方式</w:t>
      </w:r>
    </w:p>
    <w:p w14:paraId="38DAE860">
      <w:pPr>
        <w:pStyle w:val="2"/>
        <w:spacing w:after="0" w:line="500" w:lineRule="exact"/>
        <w:ind w:firstLine="0" w:firstLineChars="0"/>
        <w:jc w:val="both"/>
        <w:rPr>
          <w:rFonts w:cs="宋体" w:asciiTheme="minorEastAsia" w:hAnsiTheme="minorEastAsia" w:eastAsiaTheme="minorEastAsia"/>
          <w:sz w:val="24"/>
          <w:szCs w:val="24"/>
        </w:rPr>
      </w:pPr>
      <w:bookmarkStart w:id="22" w:name="_Hlk42241426"/>
      <w:r>
        <w:rPr>
          <w:rFonts w:hint="eastAsia" w:cs="宋体" w:asciiTheme="minorEastAsia" w:hAnsiTheme="minorEastAsia" w:eastAsiaTheme="minorEastAsia"/>
          <w:sz w:val="24"/>
          <w:szCs w:val="24"/>
        </w:rPr>
        <w:t>包工包料、包工期、包质量、包安全文明</w:t>
      </w:r>
      <w:bookmarkEnd w:id="22"/>
      <w:r>
        <w:rPr>
          <w:rFonts w:hint="eastAsia" w:cs="宋体" w:asciiTheme="minorEastAsia" w:hAnsiTheme="minorEastAsia" w:eastAsiaTheme="minorEastAsia"/>
          <w:sz w:val="24"/>
          <w:szCs w:val="24"/>
        </w:rPr>
        <w:t>施工、包验收、包保修的承包方式。</w:t>
      </w:r>
    </w:p>
    <w:p w14:paraId="56F5C311">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三、合同工期</w:t>
      </w:r>
    </w:p>
    <w:p w14:paraId="794BBD97">
      <w:pPr>
        <w:spacing w:line="500" w:lineRule="exact"/>
        <w:rPr>
          <w:rFonts w:hint="eastAsia" w:cs="宋体" w:asciiTheme="minorEastAsia" w:hAnsiTheme="minorEastAsia" w:eastAsiaTheme="minorEastAsia"/>
          <w:b/>
          <w:sz w:val="24"/>
          <w:szCs w:val="24"/>
        </w:rPr>
      </w:pPr>
      <w:r>
        <w:rPr>
          <w:rFonts w:hint="eastAsia" w:cs="宋体" w:asciiTheme="minorEastAsia" w:hAnsiTheme="minorEastAsia" w:eastAsiaTheme="minorEastAsia"/>
          <w:b w:val="0"/>
          <w:bCs/>
          <w:sz w:val="24"/>
          <w:szCs w:val="24"/>
        </w:rPr>
        <w:t>自甲方</w:t>
      </w:r>
      <w:r>
        <w:rPr>
          <w:rFonts w:hint="eastAsia" w:cs="宋体" w:asciiTheme="minorEastAsia" w:hAnsiTheme="minorEastAsia" w:eastAsiaTheme="minorEastAsia"/>
          <w:b w:val="0"/>
          <w:bCs/>
          <w:sz w:val="24"/>
          <w:szCs w:val="24"/>
          <w:lang w:eastAsia="zh-CN"/>
        </w:rPr>
        <w:t>发出</w:t>
      </w:r>
      <w:r>
        <w:rPr>
          <w:rFonts w:hint="eastAsia" w:cs="宋体" w:asciiTheme="minorEastAsia" w:hAnsiTheme="minorEastAsia" w:eastAsiaTheme="minorEastAsia"/>
          <w:b w:val="0"/>
          <w:bCs/>
          <w:sz w:val="24"/>
          <w:szCs w:val="24"/>
          <w:lang w:val="en-US" w:eastAsia="zh-CN"/>
        </w:rPr>
        <w:t>结果确认函</w:t>
      </w:r>
      <w:r>
        <w:rPr>
          <w:rFonts w:hint="eastAsia" w:cs="宋体" w:asciiTheme="minorEastAsia" w:hAnsiTheme="minorEastAsia" w:eastAsiaTheme="minorEastAsia"/>
          <w:b w:val="0"/>
          <w:bCs/>
          <w:sz w:val="24"/>
          <w:szCs w:val="24"/>
        </w:rPr>
        <w:t>之日起，</w:t>
      </w:r>
      <w:r>
        <w:rPr>
          <w:rFonts w:hint="eastAsia" w:cs="宋体" w:asciiTheme="minorEastAsia" w:hAnsiTheme="minorEastAsia" w:eastAsiaTheme="minorEastAsia"/>
          <w:b w:val="0"/>
          <w:bCs/>
          <w:sz w:val="24"/>
          <w:szCs w:val="24"/>
          <w:lang w:eastAsia="zh-CN"/>
        </w:rPr>
        <w:t>乙</w:t>
      </w:r>
      <w:r>
        <w:rPr>
          <w:rFonts w:hint="eastAsia" w:cs="宋体" w:asciiTheme="minorEastAsia" w:hAnsiTheme="minorEastAsia" w:eastAsiaTheme="minorEastAsia"/>
          <w:b w:val="0"/>
          <w:bCs/>
          <w:sz w:val="24"/>
          <w:szCs w:val="24"/>
        </w:rPr>
        <w:t>方需在12天内完成项目施工与验收</w:t>
      </w:r>
      <w:r>
        <w:rPr>
          <w:rFonts w:hint="eastAsia" w:cs="宋体" w:asciiTheme="minorEastAsia" w:hAnsiTheme="minorEastAsia" w:eastAsiaTheme="minorEastAsia"/>
          <w:b/>
          <w:sz w:val="24"/>
          <w:szCs w:val="24"/>
        </w:rPr>
        <w:t>。</w:t>
      </w:r>
    </w:p>
    <w:p w14:paraId="0F290CF3">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四、施工内容及要求</w:t>
      </w:r>
    </w:p>
    <w:p w14:paraId="74EAD005">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具体要求详见附件1《海心沙环保热电厂#1、#2厌氧罐外立面防腐采购项目技术需求书》。</w:t>
      </w:r>
    </w:p>
    <w:p w14:paraId="3979D01E">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五、</w:t>
      </w:r>
      <w:r>
        <w:rPr>
          <w:rFonts w:cs="宋体" w:asciiTheme="minorEastAsia" w:hAnsiTheme="minorEastAsia" w:eastAsiaTheme="minorEastAsia"/>
          <w:b/>
          <w:sz w:val="24"/>
          <w:szCs w:val="24"/>
        </w:rPr>
        <w:t>项目</w:t>
      </w:r>
      <w:r>
        <w:rPr>
          <w:rFonts w:hint="eastAsia" w:cs="宋体" w:asciiTheme="minorEastAsia" w:hAnsiTheme="minorEastAsia" w:eastAsiaTheme="minorEastAsia"/>
          <w:b/>
          <w:sz w:val="24"/>
          <w:szCs w:val="24"/>
        </w:rPr>
        <w:t>质量</w:t>
      </w:r>
      <w:r>
        <w:rPr>
          <w:rFonts w:cs="宋体" w:asciiTheme="minorEastAsia" w:hAnsiTheme="minorEastAsia" w:eastAsiaTheme="minorEastAsia"/>
          <w:b/>
          <w:sz w:val="24"/>
          <w:szCs w:val="24"/>
        </w:rPr>
        <w:t>及验收</w:t>
      </w:r>
    </w:p>
    <w:p w14:paraId="67C5E788">
      <w:pPr>
        <w:pStyle w:val="2"/>
        <w:spacing w:after="0" w:line="500" w:lineRule="exact"/>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1.项目质量</w:t>
      </w:r>
    </w:p>
    <w:p w14:paraId="5C196B1B">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验收质量标准优先参考《钢结构工程施工质量验收标准》（GB 50205-2020）中关于涂装工程的规定，同时结合《建筑用压型钢板》（GB/T 12755-2019）中表面涂层的技术要求。核心验收要点：1. 外观无流挂、漏涂、针孔、起皮，色泽均匀；2. 涂层厚度（干膜）按设计要求，偏差≤±10%（采用涂层测厚仪检测）；3. 附着力达标（划格法测试，涂层无脱落或仅轻微起皮，符合GB/T 9286-1998等级要求）；4. 耐腐蚀性。验收不合格需进行返工，如影响工期，按合同规定扣相应的合同款。</w:t>
      </w:r>
    </w:p>
    <w:p w14:paraId="4514564B">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.油漆涂层最终检测项目主要有外观缺陷、硬度、回粘测试、厚度检测、锤击检查等，具体方法如下：</w:t>
      </w:r>
    </w:p>
    <w:p w14:paraId="3ED996D8">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（1）外观缺陷检查：采用目测法，涂层应均匀，无严重流挂、气泡、针眼、微裂纹、杂物等缺陷，也不允许存在泛白或固化不完全。</w:t>
      </w:r>
    </w:p>
    <w:p w14:paraId="46A6EB43">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（2）硬度：采用巴柯尔硬度指标，表面硬度至少大于35。</w:t>
      </w:r>
    </w:p>
    <w:p w14:paraId="488BA142">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（3）回粘测试：用丙酮浸湿干净的布，反复擦拭涂层的表面，看表面是否因溶剂的侵蚀而发粘，此方法可以有效的了解涂层的固化程度。</w:t>
      </w:r>
    </w:p>
    <w:p w14:paraId="1641A1E1">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（4）厚度的测试：利用测厚仪，每平方米不少于1个点，总平均厚度应该达到设计要求。</w:t>
      </w:r>
    </w:p>
    <w:p w14:paraId="04AEB0E6">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（5）锤击检查：用木锤轻击涂层表面，任意取点测试，不应有不正常声音。</w:t>
      </w:r>
    </w:p>
    <w:p w14:paraId="3CF63890">
      <w:pPr>
        <w:pStyle w:val="2"/>
        <w:spacing w:after="0" w:line="500" w:lineRule="exact"/>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2.工程验收</w:t>
      </w:r>
    </w:p>
    <w:p w14:paraId="5986E1B8">
      <w:pPr>
        <w:pStyle w:val="2"/>
        <w:spacing w:after="0" w:line="500" w:lineRule="exact"/>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2.1验收的依据和标准：执行国家及项目所在地区颁布的，现行有效的施工验收规范和相关法规、规定；以本合同约定的技术和质量要求、甲乙双方确认的施工图纸及说明、施工技术文件、有关设计变更和技术交底及相关会议纪要（如有）等为准。同时，</w:t>
      </w:r>
      <w:r>
        <w:rPr>
          <w:rFonts w:hint="eastAsia" w:asciiTheme="minorEastAsia" w:hAnsiTheme="minorEastAsia" w:eastAsiaTheme="minorEastAsia"/>
          <w:sz w:val="24"/>
          <w:szCs w:val="24"/>
          <w:lang w:val="en-US" w:eastAsia="zh-CN"/>
        </w:rPr>
        <w:t>项目维修</w:t>
      </w:r>
      <w:r>
        <w:rPr>
          <w:rFonts w:hint="eastAsia" w:asciiTheme="minorEastAsia" w:hAnsiTheme="minorEastAsia" w:eastAsiaTheme="minorEastAsia"/>
          <w:sz w:val="24"/>
          <w:szCs w:val="24"/>
        </w:rPr>
        <w:t>后，其各项性能指标应达到附件1《</w:t>
      </w:r>
      <w:r>
        <w:rPr>
          <w:rFonts w:hint="eastAsia" w:cs="宋体" w:asciiTheme="minorEastAsia" w:hAnsiTheme="minorEastAsia" w:eastAsiaTheme="minorEastAsia"/>
          <w:sz w:val="24"/>
          <w:szCs w:val="24"/>
        </w:rPr>
        <w:t>海心沙环保热电厂#1、#2厌氧罐外立面防腐采购项目技术需求书</w:t>
      </w:r>
      <w:r>
        <w:rPr>
          <w:rFonts w:hint="eastAsia" w:asciiTheme="minorEastAsia" w:hAnsiTheme="minorEastAsia" w:eastAsiaTheme="minorEastAsia"/>
          <w:sz w:val="24"/>
          <w:szCs w:val="24"/>
        </w:rPr>
        <w:t>》中约定的验收标准。最终以标准较高者为准。</w:t>
      </w:r>
    </w:p>
    <w:p w14:paraId="68ABD5EE">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2.2验收方式：详见</w:t>
      </w:r>
      <w:r>
        <w:rPr>
          <w:rFonts w:hint="eastAsia" w:cs="宋体" w:asciiTheme="minorEastAsia" w:hAnsiTheme="minorEastAsia" w:eastAsiaTheme="minorEastAsia"/>
          <w:sz w:val="24"/>
          <w:szCs w:val="24"/>
        </w:rPr>
        <w:t>附件1《海心沙环保热电厂#1、#2厌氧罐外立面防腐采购项目技术需求书》，直至</w:t>
      </w:r>
      <w:r>
        <w:rPr>
          <w:rFonts w:hint="eastAsia" w:asciiTheme="minorEastAsia" w:hAnsiTheme="minorEastAsia" w:eastAsiaTheme="minorEastAsia"/>
          <w:sz w:val="24"/>
          <w:szCs w:val="24"/>
        </w:rPr>
        <w:t>甲方验收合格。</w:t>
      </w:r>
    </w:p>
    <w:p w14:paraId="65C8FA40">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2.3工程具备竣工验收条件，乙方与甲方联系，甲方确定验收日期后，组织双方参加竣工验收。甲方应在竣工验收当天后5天内提出整改意见，乙方按意见整改并承担因此产生的费用，以达到工程质量验收标准，且不得超过约定工期，否则应承担逾期违约责任。每逾期一日，乙方应向甲方支付</w:t>
      </w:r>
      <w:r>
        <w:rPr>
          <w:rFonts w:hint="eastAsia" w:asciiTheme="minorEastAsia" w:hAnsiTheme="minorEastAsia" w:eastAsiaTheme="minorEastAsia"/>
          <w:sz w:val="24"/>
          <w:szCs w:val="24"/>
          <w:lang w:val="en-US" w:eastAsia="zh-CN"/>
        </w:rPr>
        <w:t>5000</w:t>
      </w:r>
      <w:r>
        <w:rPr>
          <w:rFonts w:hint="eastAsia" w:asciiTheme="minorEastAsia" w:hAnsiTheme="minorEastAsia" w:eastAsiaTheme="minorEastAsia"/>
          <w:sz w:val="24"/>
          <w:szCs w:val="24"/>
        </w:rPr>
        <w:t>元违约金。乙方不配合整改或整改后仍达不到工程质量验收标准的，甲方有权委托第三方进行整改，因此产生的费用由乙方承担，且乙方应向甲方支付本合同总价</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0%的违约金及赔偿甲方损失，同时甲方有权单方解除本合同。</w:t>
      </w:r>
    </w:p>
    <w:p w14:paraId="447499C7">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2.4竣工验收参加单位为甲方、乙方，甲乙双方签订的竣工验收合格报告的最后日期即为实际竣工日期。</w:t>
      </w:r>
    </w:p>
    <w:p w14:paraId="3AA1A84E">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2.5双方对项目的验收，不能免除乙方提交合格工程的责任。项目验收后如发现属于乙方施工质量问题的事项，乙方仍应免费维修，同时甲方有权根据本合同约定追究其违约责任。若经维修后仍验收不合格，乙方应在收到甲方不合格通知后3日内进行整改，直至验收合格，质保期自验收合格之日重新计算，整改费用由乙方自行承担。若经两次整改后仍不合格，甲方有权解除合同，乙方应返还已收款项，且乙方应向甲方支付本合同总价20%的违约金及赔偿甲方损失。</w:t>
      </w:r>
    </w:p>
    <w:p w14:paraId="49693E33">
      <w:pPr>
        <w:pStyle w:val="2"/>
        <w:spacing w:after="0" w:line="500" w:lineRule="exact"/>
        <w:jc w:val="left"/>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2.6因乙方工程质量而造成的瑕疵，乙方应在收到甲方通知后1个日历日内完成维修。每逾期一日，乙方应向甲方</w:t>
      </w:r>
      <w:r>
        <w:rPr>
          <w:rFonts w:hint="eastAsia" w:asciiTheme="minorEastAsia" w:hAnsiTheme="minorEastAsia" w:eastAsiaTheme="minorEastAsia"/>
          <w:sz w:val="24"/>
          <w:szCs w:val="24"/>
          <w:u w:val="single"/>
        </w:rPr>
        <w:t>支付</w:t>
      </w:r>
      <w:r>
        <w:rPr>
          <w:rFonts w:hint="eastAsia" w:asciiTheme="minorEastAsia" w:hAnsiTheme="minorEastAsia" w:eastAsiaTheme="minorEastAsia"/>
          <w:sz w:val="24"/>
          <w:szCs w:val="24"/>
          <w:u w:val="single"/>
          <w:lang w:val="en-US" w:eastAsia="zh-CN"/>
        </w:rPr>
        <w:t>5000</w:t>
      </w:r>
      <w:r>
        <w:rPr>
          <w:rFonts w:hint="eastAsia" w:asciiTheme="minorEastAsia" w:hAnsiTheme="minorEastAsia" w:eastAsiaTheme="minorEastAsia"/>
          <w:sz w:val="24"/>
          <w:szCs w:val="24"/>
          <w:u w:val="single"/>
        </w:rPr>
        <w:t>元</w:t>
      </w:r>
      <w:r>
        <w:rPr>
          <w:rFonts w:hint="eastAsia" w:asciiTheme="minorEastAsia" w:hAnsiTheme="minorEastAsia" w:eastAsiaTheme="minorEastAsia"/>
          <w:sz w:val="24"/>
          <w:szCs w:val="24"/>
        </w:rPr>
        <w:t>违约金。同时，逾期未完成，甲方有权委托第三方进行维修，因此发生的一切费用由乙方承担，甲方可从应付乙方的任何款项中扣除，若不足乙方应予补足</w:t>
      </w:r>
      <w:r>
        <w:rPr>
          <w:rFonts w:hint="eastAsia" w:asciiTheme="minorEastAsia" w:hAnsiTheme="minorEastAsia" w:eastAsiaTheme="minorEastAsia"/>
          <w:sz w:val="24"/>
          <w:szCs w:val="24"/>
          <w:lang w:eastAsia="zh-CN"/>
        </w:rPr>
        <w:t>。</w:t>
      </w:r>
    </w:p>
    <w:p w14:paraId="64A91065">
      <w:pPr>
        <w:pStyle w:val="2"/>
        <w:numPr>
          <w:ilvl w:val="-1"/>
          <w:numId w:val="0"/>
        </w:numPr>
        <w:spacing w:after="0" w:line="500" w:lineRule="exact"/>
        <w:jc w:val="left"/>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质保期：</w:t>
      </w:r>
      <w:r>
        <w:rPr>
          <w:rFonts w:hint="eastAsia" w:asciiTheme="minorEastAsia" w:hAnsiTheme="minorEastAsia" w:eastAsiaTheme="minorEastAsia"/>
          <w:b w:val="0"/>
          <w:bCs/>
          <w:sz w:val="24"/>
          <w:szCs w:val="24"/>
          <w:lang w:val="en-US" w:eastAsia="zh-CN"/>
        </w:rPr>
        <w:t>本合同内项目的质保期为从整体工程验收合格之日起1年，乙方按照期限向甲方承担保修责任并承担相应费用；乙方在项目质量质保期内对因乙方原因造成的质量问题进行免费维修，并且在接到甲方或该项目使用单位通知之日起24小时内派人免费维修，超出24小时乙方无人来维修，甲方有权请其他施工单位进行维修，维修费用的支付从乙方的质保金中扣除，不足部分向乙方追偿。</w:t>
      </w:r>
    </w:p>
    <w:p w14:paraId="59EC7908">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六</w:t>
      </w:r>
      <w:r>
        <w:rPr>
          <w:rFonts w:cs="宋体" w:asciiTheme="minorEastAsia" w:hAnsiTheme="minorEastAsia" w:eastAsiaTheme="minorEastAsia"/>
          <w:b/>
          <w:sz w:val="24"/>
          <w:szCs w:val="24"/>
        </w:rPr>
        <w:t>、</w:t>
      </w:r>
      <w:r>
        <w:rPr>
          <w:rFonts w:hint="eastAsia" w:cs="宋体" w:asciiTheme="minorEastAsia" w:hAnsiTheme="minorEastAsia" w:eastAsiaTheme="minorEastAsia"/>
          <w:b/>
          <w:sz w:val="24"/>
          <w:szCs w:val="24"/>
        </w:rPr>
        <w:t>合同价款</w:t>
      </w:r>
    </w:p>
    <w:p w14:paraId="7A6BBB07">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1.本合同总价款为：人民币大写</w:t>
      </w:r>
      <w:r>
        <w:rPr>
          <w:rFonts w:hint="eastAsia" w:cs="宋体" w:asciiTheme="minorEastAsia" w:hAnsiTheme="minorEastAsia" w:eastAsiaTheme="minorEastAsia"/>
          <w:sz w:val="24"/>
          <w:szCs w:val="24"/>
          <w:u w:val="single"/>
        </w:rPr>
        <w:t>x</w:t>
      </w:r>
      <w:r>
        <w:rPr>
          <w:rFonts w:cs="宋体" w:asciiTheme="minorEastAsia" w:hAnsiTheme="minorEastAsia" w:eastAsiaTheme="minorEastAsia"/>
          <w:sz w:val="24"/>
          <w:szCs w:val="24"/>
          <w:u w:val="single"/>
        </w:rPr>
        <w:t>x</w:t>
      </w:r>
      <w:r>
        <w:rPr>
          <w:rFonts w:hint="eastAsia" w:cs="宋体" w:asciiTheme="minorEastAsia" w:hAnsiTheme="minorEastAsia" w:eastAsiaTheme="minorEastAsia"/>
          <w:sz w:val="24"/>
          <w:szCs w:val="24"/>
          <w:u w:val="single"/>
        </w:rPr>
        <w:t>元整（¥</w:t>
      </w:r>
      <w:r>
        <w:rPr>
          <w:rFonts w:cs="宋体" w:asciiTheme="minorEastAsia" w:hAnsiTheme="minorEastAsia" w:eastAsiaTheme="minorEastAsia"/>
          <w:sz w:val="24"/>
          <w:szCs w:val="24"/>
          <w:u w:val="single"/>
        </w:rPr>
        <w:t>xx</w:t>
      </w:r>
      <w:r>
        <w:rPr>
          <w:rFonts w:hint="eastAsia" w:cs="宋体" w:asciiTheme="minorEastAsia" w:hAnsiTheme="minorEastAsia" w:eastAsiaTheme="minorEastAsia"/>
          <w:sz w:val="24"/>
          <w:szCs w:val="24"/>
          <w:u w:val="single"/>
        </w:rPr>
        <w:t>元</w:t>
      </w:r>
      <w:r>
        <w:rPr>
          <w:rFonts w:hint="eastAsia" w:cs="宋体" w:asciiTheme="minorEastAsia" w:hAnsiTheme="minorEastAsia" w:eastAsiaTheme="minorEastAsia"/>
          <w:sz w:val="24"/>
          <w:szCs w:val="24"/>
        </w:rPr>
        <w:t>），含税（开具增值税专用发票,税率</w:t>
      </w:r>
      <w:r>
        <w:rPr>
          <w:rFonts w:hint="eastAsia" w:cs="宋体" w:asciiTheme="minorEastAsia" w:hAnsiTheme="minorEastAsia" w:eastAsiaTheme="minorEastAsia"/>
          <w:sz w:val="24"/>
          <w:szCs w:val="24"/>
          <w:u w:val="single"/>
        </w:rPr>
        <w:t>为</w:t>
      </w:r>
      <w:r>
        <w:rPr>
          <w:rFonts w:cs="宋体" w:asciiTheme="minorEastAsia" w:hAnsiTheme="minorEastAsia" w:eastAsiaTheme="minorEastAsia"/>
          <w:sz w:val="24"/>
          <w:szCs w:val="24"/>
          <w:u w:val="single"/>
        </w:rPr>
        <w:t>xx</w:t>
      </w:r>
      <w:r>
        <w:rPr>
          <w:rFonts w:hint="eastAsia" w:cs="宋体" w:asciiTheme="minorEastAsia" w:hAnsiTheme="minorEastAsia" w:eastAsiaTheme="minorEastAsia"/>
          <w:sz w:val="24"/>
          <w:szCs w:val="24"/>
          <w:u w:val="single"/>
        </w:rPr>
        <w:t>%</w:t>
      </w:r>
      <w:r>
        <w:rPr>
          <w:rFonts w:hint="eastAsia" w:cs="宋体" w:asciiTheme="minorEastAsia" w:hAnsiTheme="minorEastAsia" w:eastAsiaTheme="minorEastAsia"/>
          <w:sz w:val="24"/>
          <w:szCs w:val="24"/>
        </w:rPr>
        <w:t>），</w:t>
      </w:r>
      <w:r>
        <w:rPr>
          <w:rFonts w:cs="宋体" w:asciiTheme="minorEastAsia" w:hAnsiTheme="minorEastAsia" w:eastAsiaTheme="minorEastAsia"/>
          <w:sz w:val="24"/>
          <w:szCs w:val="24"/>
        </w:rPr>
        <w:t>总价包干</w:t>
      </w:r>
      <w:r>
        <w:rPr>
          <w:rFonts w:hint="eastAsia" w:cs="宋体" w:asciiTheme="minorEastAsia" w:hAnsiTheme="minorEastAsia" w:eastAsiaTheme="minorEastAsia"/>
          <w:sz w:val="24"/>
          <w:szCs w:val="24"/>
        </w:rPr>
        <w:t>。如遇国家调整税率，不含税合同款不予调整，税金按调整后税率及相关细则执行。</w:t>
      </w:r>
    </w:p>
    <w:p w14:paraId="7F6955AB">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2.上述合同价款为固定综合总价</w:t>
      </w:r>
      <w:r>
        <w:rPr>
          <w:rFonts w:cs="宋体" w:asciiTheme="minorEastAsia" w:hAnsiTheme="minorEastAsia" w:eastAsiaTheme="minorEastAsia"/>
          <w:sz w:val="24"/>
          <w:szCs w:val="24"/>
        </w:rPr>
        <w:t>，</w:t>
      </w:r>
      <w:r>
        <w:rPr>
          <w:rFonts w:hint="eastAsia" w:cs="宋体" w:asciiTheme="minorEastAsia" w:hAnsiTheme="minorEastAsia" w:eastAsiaTheme="minorEastAsia"/>
          <w:sz w:val="24"/>
          <w:szCs w:val="24"/>
        </w:rPr>
        <w:t>包括税费、施工费、人工费、材料费、辅材费、装卸费、机械费、运输费、措施费、保险费、</w:t>
      </w:r>
      <w:r>
        <w:rPr>
          <w:rFonts w:hint="eastAsia" w:cs="宋体" w:asciiTheme="minorEastAsia" w:hAnsiTheme="minorEastAsia" w:eastAsiaTheme="minorEastAsia"/>
          <w:sz w:val="24"/>
          <w:szCs w:val="24"/>
          <w:lang w:val="en-US" w:eastAsia="zh-CN"/>
        </w:rPr>
        <w:t>预算包干费、</w:t>
      </w:r>
      <w:r>
        <w:rPr>
          <w:rFonts w:hint="eastAsia" w:cs="宋体" w:asciiTheme="minorEastAsia" w:hAnsiTheme="minorEastAsia" w:eastAsiaTheme="minorEastAsia"/>
          <w:sz w:val="24"/>
          <w:szCs w:val="24"/>
        </w:rPr>
        <w:t>服务费等乙方履行本合同相关工作而甲方应支付乙方的一切可预见及不可预见的全部费用。乙方在报价前已充分进行了现场踏勘、测量、风险评估及工期提前等所有风险，在合同固定综合总价内已充分考虑，甲方不再因任何情况而调整本合同总价款，不论是工程量的变化、所有施工措施的变化、可能存在其它各种风险及其变化等。</w:t>
      </w:r>
    </w:p>
    <w:p w14:paraId="39C81217">
      <w:pPr>
        <w:spacing w:line="5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3.施工中出现扰民费用、安全文明环保费用、按政府规定应由乙方交纳的政府收费、因乙方责任造成的罚款等已包含在合同固定综合总价内，若有发生，不另行计取，由乙方自行承担。</w:t>
      </w:r>
    </w:p>
    <w:p w14:paraId="5395FD5C">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4.乙方因违约需向甲方支付的违约金、损失赔偿款、罚款等费用，甲方均有权在应付乙方的款项中予以扣减。</w:t>
      </w:r>
    </w:p>
    <w:p w14:paraId="117758B3">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七、合同</w:t>
      </w:r>
      <w:r>
        <w:rPr>
          <w:rFonts w:cs="宋体" w:asciiTheme="minorEastAsia" w:hAnsiTheme="minorEastAsia" w:eastAsiaTheme="minorEastAsia"/>
          <w:b/>
          <w:sz w:val="24"/>
          <w:szCs w:val="24"/>
        </w:rPr>
        <w:t>价</w:t>
      </w:r>
      <w:r>
        <w:rPr>
          <w:rFonts w:hint="eastAsia" w:cs="宋体" w:asciiTheme="minorEastAsia" w:hAnsiTheme="minorEastAsia" w:eastAsiaTheme="minorEastAsia"/>
          <w:b/>
          <w:sz w:val="24"/>
          <w:szCs w:val="24"/>
        </w:rPr>
        <w:t>款支付</w:t>
      </w:r>
    </w:p>
    <w:p w14:paraId="0AE706F7">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1.合同</w:t>
      </w:r>
      <w:r>
        <w:rPr>
          <w:rFonts w:cs="宋体" w:asciiTheme="minorEastAsia" w:hAnsiTheme="minorEastAsia" w:eastAsiaTheme="minorEastAsia"/>
          <w:sz w:val="24"/>
          <w:szCs w:val="24"/>
        </w:rPr>
        <w:t>价</w:t>
      </w:r>
      <w:r>
        <w:rPr>
          <w:rFonts w:hint="eastAsia" w:cs="宋体" w:asciiTheme="minorEastAsia" w:hAnsiTheme="minorEastAsia" w:eastAsiaTheme="minorEastAsia"/>
          <w:sz w:val="24"/>
          <w:szCs w:val="24"/>
        </w:rPr>
        <w:t>款由甲方以银行对公转账方式支付乙方。</w:t>
      </w:r>
    </w:p>
    <w:p w14:paraId="0A51ED62">
      <w:pPr>
        <w:spacing w:line="500" w:lineRule="exact"/>
        <w:rPr>
          <w:rFonts w:cs="宋体" w:asciiTheme="minorEastAsia" w:hAnsiTheme="minorEastAsia" w:eastAsiaTheme="minorEastAsia"/>
          <w:b w:val="0"/>
          <w:bCs/>
          <w:sz w:val="24"/>
          <w:szCs w:val="24"/>
        </w:rPr>
      </w:pPr>
      <w:r>
        <w:rPr>
          <w:rFonts w:cs="宋体" w:asciiTheme="minorEastAsia" w:hAnsiTheme="minorEastAsia" w:eastAsiaTheme="minorEastAsia"/>
          <w:b w:val="0"/>
          <w:bCs/>
          <w:sz w:val="24"/>
          <w:szCs w:val="24"/>
        </w:rPr>
        <w:t>2.</w:t>
      </w:r>
      <w:r>
        <w:rPr>
          <w:rFonts w:hint="eastAsia" w:asciiTheme="minorEastAsia" w:hAnsiTheme="minorEastAsia" w:eastAsiaTheme="minorEastAsia"/>
          <w:b w:val="0"/>
          <w:bCs/>
          <w:sz w:val="24"/>
          <w:szCs w:val="24"/>
        </w:rPr>
        <w:t>支付方式：</w:t>
      </w:r>
    </w:p>
    <w:p w14:paraId="411D507C">
      <w:pPr>
        <w:pStyle w:val="46"/>
        <w:shd w:val="clear" w:color="auto" w:fill="FFFFFF"/>
        <w:spacing w:beforeAutospacing="0" w:afterAutospacing="0" w:line="560" w:lineRule="exact"/>
        <w:ind w:firstLine="480" w:firstLineChars="200"/>
        <w:jc w:val="both"/>
        <w:rPr>
          <w:rFonts w:hint="eastAsia"/>
          <w:kern w:val="2"/>
        </w:rPr>
      </w:pPr>
      <w:r>
        <w:rPr>
          <w:rFonts w:hint="eastAsia"/>
          <w:kern w:val="2"/>
          <w:lang w:val="en-US" w:eastAsia="zh-CN"/>
        </w:rPr>
        <w:t>乙方</w:t>
      </w:r>
      <w:r>
        <w:rPr>
          <w:rFonts w:hint="eastAsia"/>
          <w:kern w:val="2"/>
        </w:rPr>
        <w:t>完成工程施工、经</w:t>
      </w:r>
      <w:r>
        <w:rPr>
          <w:rFonts w:hint="eastAsia"/>
          <w:kern w:val="2"/>
          <w:lang w:val="en-US" w:eastAsia="zh-CN"/>
        </w:rPr>
        <w:t>甲方</w:t>
      </w:r>
      <w:r>
        <w:rPr>
          <w:rFonts w:hint="eastAsia"/>
          <w:kern w:val="2"/>
        </w:rPr>
        <w:t>验收合格并办理完结算后，</w:t>
      </w:r>
      <w:r>
        <w:rPr>
          <w:rFonts w:hint="eastAsia"/>
          <w:kern w:val="2"/>
          <w:lang w:val="en-US" w:eastAsia="zh-CN"/>
        </w:rPr>
        <w:t>乙方向甲方</w:t>
      </w:r>
      <w:r>
        <w:rPr>
          <w:rFonts w:hint="eastAsia"/>
          <w:kern w:val="2"/>
        </w:rPr>
        <w:t>提交至合同结算金额100%的增值税专用发票及请款资料，</w:t>
      </w:r>
      <w:r>
        <w:rPr>
          <w:rFonts w:hint="eastAsia"/>
          <w:kern w:val="2"/>
          <w:lang w:val="en-US" w:eastAsia="zh-CN"/>
        </w:rPr>
        <w:t>甲方</w:t>
      </w:r>
      <w:r>
        <w:rPr>
          <w:rFonts w:hint="eastAsia"/>
          <w:kern w:val="2"/>
        </w:rPr>
        <w:t>在收到上述有效资料的15个工作日内</w:t>
      </w:r>
      <w:r>
        <w:rPr>
          <w:rFonts w:hint="eastAsia"/>
          <w:kern w:val="2"/>
          <w:lang w:val="en-US" w:eastAsia="zh-CN"/>
        </w:rPr>
        <w:t>向乙方</w:t>
      </w:r>
      <w:r>
        <w:rPr>
          <w:rFonts w:hint="eastAsia"/>
          <w:kern w:val="2"/>
        </w:rPr>
        <w:t>支付至合同结算金额的97%；</w:t>
      </w:r>
    </w:p>
    <w:p w14:paraId="73499BFD">
      <w:pPr>
        <w:pStyle w:val="46"/>
        <w:shd w:val="clear" w:color="auto" w:fill="FFFFFF"/>
        <w:spacing w:beforeAutospacing="0" w:afterAutospacing="0" w:line="560" w:lineRule="exact"/>
        <w:ind w:firstLine="480" w:firstLineChars="200"/>
        <w:jc w:val="both"/>
        <w:rPr>
          <w:rFonts w:hint="eastAsia"/>
          <w:kern w:val="2"/>
        </w:rPr>
      </w:pPr>
      <w:r>
        <w:rPr>
          <w:rFonts w:hint="eastAsia"/>
          <w:kern w:val="2"/>
        </w:rPr>
        <w:t>剩余合同结算金额的3%作为质保金，在本项目验收合格满</w:t>
      </w:r>
      <w:r>
        <w:rPr>
          <w:rFonts w:hint="eastAsia"/>
          <w:kern w:val="2"/>
          <w:lang w:val="en-US" w:eastAsia="zh-CN"/>
        </w:rPr>
        <w:t>三</w:t>
      </w:r>
      <w:r>
        <w:rPr>
          <w:rFonts w:hint="eastAsia"/>
          <w:kern w:val="2"/>
        </w:rPr>
        <w:t>年后且无任何质保问题后，</w:t>
      </w:r>
      <w:r>
        <w:rPr>
          <w:rFonts w:hint="eastAsia"/>
          <w:kern w:val="2"/>
          <w:lang w:val="en-US" w:eastAsia="zh-CN"/>
        </w:rPr>
        <w:t>甲方</w:t>
      </w:r>
      <w:r>
        <w:rPr>
          <w:rFonts w:hint="eastAsia"/>
          <w:kern w:val="2"/>
        </w:rPr>
        <w:t>在收到</w:t>
      </w:r>
      <w:r>
        <w:rPr>
          <w:rFonts w:hint="eastAsia"/>
          <w:kern w:val="2"/>
          <w:lang w:val="en-US" w:eastAsia="zh-CN"/>
        </w:rPr>
        <w:t>乙方</w:t>
      </w:r>
      <w:r>
        <w:rPr>
          <w:rFonts w:hint="eastAsia"/>
          <w:kern w:val="2"/>
        </w:rPr>
        <w:t>有效请款资料后15个工作日内无息支付。</w:t>
      </w:r>
    </w:p>
    <w:p w14:paraId="076B6B14">
      <w:pPr>
        <w:spacing w:line="500" w:lineRule="exact"/>
        <w:rPr>
          <w:rFonts w:cs="宋体" w:asciiTheme="minorEastAsia" w:hAnsiTheme="minorEastAsia" w:eastAsiaTheme="minorEastAsia"/>
          <w:sz w:val="24"/>
          <w:szCs w:val="24"/>
        </w:rPr>
      </w:pPr>
      <w:r>
        <w:rPr>
          <w:rFonts w:hint="eastAsia"/>
          <w:kern w:val="2"/>
        </w:rPr>
        <w:t>如果因乙方原因延迟提交正规有效的增值税发票给甲方或请款材料不齐全，甲方可延迟支付款项给乙方，而且不承担延迟付款的责任。乙方应保证其收款账户的正确性，若因乙方提供的收款账户问题或乙方变更收款账户而未及时通知甲方导致甲方付款迟延或错误的，应由乙方承担责任，甲方无需承担迟延付款责任。</w:t>
      </w:r>
    </w:p>
    <w:p w14:paraId="5FDAAD83">
      <w:pPr>
        <w:spacing w:line="500" w:lineRule="exact"/>
        <w:ind w:firstLine="0" w:firstLineChars="0"/>
        <w:rPr>
          <w:rFonts w:cs="宋体" w:asciiTheme="minorEastAsia" w:hAnsiTheme="minorEastAsia" w:eastAsiaTheme="minorEastAsia"/>
          <w:sz w:val="24"/>
          <w:szCs w:val="24"/>
        </w:rPr>
      </w:pPr>
      <w:r>
        <w:rPr>
          <w:rFonts w:cs="宋体" w:asciiTheme="minorEastAsia" w:hAnsiTheme="minorEastAsia" w:eastAsiaTheme="minorEastAsia"/>
          <w:sz w:val="24"/>
          <w:szCs w:val="24"/>
        </w:rPr>
        <w:t>3</w:t>
      </w:r>
      <w:r>
        <w:rPr>
          <w:rFonts w:hint="eastAsia" w:cs="宋体" w:asciiTheme="minorEastAsia" w:hAnsiTheme="minorEastAsia" w:eastAsiaTheme="minorEastAsia"/>
          <w:sz w:val="24"/>
          <w:szCs w:val="24"/>
        </w:rPr>
        <w:t>.乙方开户银行、开户名称和账号为：</w:t>
      </w:r>
    </w:p>
    <w:p w14:paraId="50B1C3DD">
      <w:pPr>
        <w:spacing w:line="50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开户银行：</w:t>
      </w:r>
      <w:r>
        <w:rPr>
          <w:rFonts w:hint="eastAsia" w:cs="宋体" w:asciiTheme="minorEastAsia" w:hAnsiTheme="minorEastAsia" w:eastAsiaTheme="minorEastAsia"/>
          <w:sz w:val="24"/>
          <w:szCs w:val="24"/>
          <w:u w:val="single"/>
        </w:rPr>
        <w:t xml:space="preserve">              </w:t>
      </w:r>
    </w:p>
    <w:p w14:paraId="491E4663">
      <w:pPr>
        <w:spacing w:line="500" w:lineRule="exact"/>
        <w:ind w:firstLine="480" w:firstLineChars="200"/>
        <w:rPr>
          <w:rFonts w:cs="宋体" w:asciiTheme="minorEastAsia" w:hAnsiTheme="minorEastAsia" w:eastAsiaTheme="minorEastAsia"/>
          <w:sz w:val="24"/>
          <w:szCs w:val="24"/>
          <w:u w:val="single"/>
        </w:rPr>
      </w:pPr>
      <w:r>
        <w:rPr>
          <w:rFonts w:hint="eastAsia" w:cs="宋体" w:asciiTheme="minorEastAsia" w:hAnsiTheme="minorEastAsia" w:eastAsiaTheme="minorEastAsia"/>
          <w:sz w:val="24"/>
          <w:szCs w:val="24"/>
        </w:rPr>
        <w:t>开户名称：</w:t>
      </w:r>
      <w:r>
        <w:rPr>
          <w:rFonts w:hint="eastAsia" w:cs="宋体" w:asciiTheme="minorEastAsia" w:hAnsiTheme="minorEastAsia" w:eastAsiaTheme="minorEastAsia"/>
          <w:sz w:val="24"/>
          <w:szCs w:val="24"/>
          <w:u w:val="single"/>
        </w:rPr>
        <w:t xml:space="preserve">           </w:t>
      </w:r>
      <w:r>
        <w:rPr>
          <w:rFonts w:cs="宋体" w:asciiTheme="minorEastAsia" w:hAnsiTheme="minorEastAsia" w:eastAsiaTheme="minorEastAsia"/>
          <w:sz w:val="24"/>
          <w:szCs w:val="24"/>
          <w:u w:val="single"/>
        </w:rPr>
        <w:t xml:space="preserve">   </w:t>
      </w:r>
    </w:p>
    <w:p w14:paraId="4DC26DFE">
      <w:pPr>
        <w:spacing w:line="500" w:lineRule="exact"/>
        <w:ind w:firstLine="480" w:firstLineChars="200"/>
        <w:rPr>
          <w:rFonts w:cs="宋体" w:asciiTheme="minorEastAsia" w:hAnsiTheme="minorEastAsia" w:eastAsiaTheme="minorEastAsia"/>
          <w:sz w:val="24"/>
          <w:szCs w:val="24"/>
          <w:u w:val="single"/>
        </w:rPr>
      </w:pPr>
      <w:r>
        <w:rPr>
          <w:rFonts w:cs="宋体" w:asciiTheme="minorEastAsia" w:hAnsiTheme="minorEastAsia" w:eastAsiaTheme="minorEastAsia"/>
          <w:sz w:val="24"/>
          <w:szCs w:val="24"/>
        </w:rPr>
        <w:t>账    号：</w:t>
      </w:r>
      <w:r>
        <w:rPr>
          <w:rFonts w:cs="宋体" w:asciiTheme="minorEastAsia" w:hAnsiTheme="minorEastAsia" w:eastAsiaTheme="minorEastAsia"/>
          <w:sz w:val="24"/>
          <w:szCs w:val="24"/>
          <w:u w:val="single"/>
        </w:rPr>
        <w:t xml:space="preserve">              </w:t>
      </w:r>
    </w:p>
    <w:p w14:paraId="4A5C61D5">
      <w:pPr>
        <w:spacing w:line="500" w:lineRule="exact"/>
        <w:rPr>
          <w:rFonts w:cs="宋体" w:asciiTheme="minorEastAsia" w:hAnsiTheme="minorEastAsia" w:eastAsiaTheme="minorEastAsia"/>
          <w:sz w:val="24"/>
          <w:szCs w:val="24"/>
        </w:rPr>
      </w:pPr>
    </w:p>
    <w:p w14:paraId="7F2730C7">
      <w:pPr>
        <w:pStyle w:val="46"/>
        <w:shd w:val="clear" w:color="auto" w:fill="FFFFFF"/>
        <w:spacing w:beforeAutospacing="0" w:afterAutospacing="0" w:line="560" w:lineRule="exact"/>
        <w:ind w:firstLine="480" w:firstLineChars="200"/>
        <w:jc w:val="both"/>
        <w:rPr>
          <w:kern w:val="2"/>
        </w:rPr>
      </w:pP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w:t>
      </w:r>
      <w:r>
        <w:rPr>
          <w:rFonts w:hint="eastAsia"/>
          <w:kern w:val="2"/>
        </w:rPr>
        <w:t>乙方</w:t>
      </w:r>
      <w:r>
        <w:rPr>
          <w:rFonts w:hint="eastAsia"/>
          <w:kern w:val="2"/>
          <w:lang w:val="en-US" w:eastAsia="zh-CN"/>
        </w:rPr>
        <w:t>缴纳￥1,527.00元</w:t>
      </w:r>
      <w:r>
        <w:rPr>
          <w:rFonts w:hint="eastAsia"/>
          <w:kern w:val="2"/>
        </w:rPr>
        <w:t>作为本合同履约保证金。履约保证金返还申请时间为项目竣工验收合格之日后，乙方没有任何违约的情况下由乙方提交退款申请，收到乙方申请后30个日历日内，甲方一次性无息退回。</w:t>
      </w:r>
    </w:p>
    <w:p w14:paraId="18C21CA6">
      <w:pPr>
        <w:pStyle w:val="46"/>
        <w:shd w:val="clear" w:color="auto" w:fill="FFFFFF"/>
        <w:spacing w:beforeAutospacing="0" w:afterAutospacing="0" w:line="560" w:lineRule="exact"/>
        <w:ind w:firstLine="480" w:firstLineChars="200"/>
        <w:jc w:val="both"/>
        <w:rPr>
          <w:kern w:val="2"/>
        </w:rPr>
      </w:pPr>
      <w:r>
        <w:rPr>
          <w:rFonts w:hint="eastAsia"/>
          <w:kern w:val="2"/>
        </w:rPr>
        <w:t>如乙方在本合同项下发生违约情况，甲方有权没收履约保证金。</w:t>
      </w:r>
    </w:p>
    <w:p w14:paraId="0182F5F7">
      <w:pPr>
        <w:spacing w:line="500" w:lineRule="exact"/>
        <w:rPr>
          <w:rFonts w:cs="宋体" w:asciiTheme="minorEastAsia" w:hAnsiTheme="minorEastAsia" w:eastAsiaTheme="minorEastAsia"/>
          <w:sz w:val="24"/>
          <w:szCs w:val="24"/>
        </w:rPr>
      </w:pPr>
    </w:p>
    <w:p w14:paraId="29712BE4">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八、现场签证及合理化建议</w:t>
      </w:r>
    </w:p>
    <w:p w14:paraId="2C874853">
      <w:pPr>
        <w:spacing w:line="5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1.乙方可发挥施工单位优势，就施工方案、工程管理、成本控制、施工工序等提出合理化建议供甲方参考。若甲方对乙方合理化建议书面批准或认可，可作为本合同项下工程施工依据。</w:t>
      </w:r>
    </w:p>
    <w:p w14:paraId="77C47E45">
      <w:pPr>
        <w:spacing w:line="5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2.甲乙双方在现场商定施工方案后，乙方应按该施工方案进行施工，甲乙双方根据施工进度、施工方案调整（如有）等工程实际需要进行现场签证。</w:t>
      </w:r>
    </w:p>
    <w:p w14:paraId="2F1BC159">
      <w:pPr>
        <w:spacing w:line="5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3.若因甲方原因，甲方提出对已完成的工程进行变更，甲方应就变更部分给总价造成的影响按合同相应条款计价给乙方。</w:t>
      </w:r>
    </w:p>
    <w:p w14:paraId="61A58BDB">
      <w:pPr>
        <w:snapToGrid w:val="0"/>
        <w:spacing w:line="500" w:lineRule="exact"/>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项目实施过程中如有变更，乙方无条件按甲方变更要求完成，费用按甲方现场代表签字确认的工程变更现场</w:t>
      </w:r>
      <w:r>
        <w:rPr>
          <w:rFonts w:asciiTheme="minorEastAsia" w:hAnsiTheme="minorEastAsia" w:eastAsiaTheme="minorEastAsia"/>
          <w:sz w:val="24"/>
          <w:szCs w:val="24"/>
        </w:rPr>
        <w:t>签证</w:t>
      </w:r>
      <w:r>
        <w:rPr>
          <w:rFonts w:hint="eastAsia" w:asciiTheme="minorEastAsia" w:hAnsiTheme="minorEastAsia" w:eastAsiaTheme="minorEastAsia"/>
          <w:sz w:val="24"/>
          <w:szCs w:val="24"/>
        </w:rPr>
        <w:t>及双方核定价格计算。</w:t>
      </w:r>
    </w:p>
    <w:p w14:paraId="2264EEC6">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5.施工中甲方有权要求对原工程设计进行变更，但应提前3天以书面形式向乙方发出变更通知，乙方应予以接受。</w:t>
      </w:r>
    </w:p>
    <w:p w14:paraId="5B401FBA">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6</w:t>
      </w:r>
      <w:r>
        <w:rPr>
          <w:rFonts w:hint="eastAsia" w:cs="宋体" w:asciiTheme="minorEastAsia" w:hAnsiTheme="minorEastAsia" w:eastAsiaTheme="minorEastAsia"/>
          <w:sz w:val="24"/>
          <w:szCs w:val="24"/>
        </w:rPr>
        <w:t>.图纸内或外（现场变更、临时工程等）的项目签证，属于隐蔽工程的应于隐蔽前办理签证，非隐蔽工程应于完成后两个工作日内办理签证，逾期签证的甲方不予结算。签证时，乙方应至少提前4个工作小时通知甲方，经甲方代表及乙方代表共同现场验收签证方有效。验收签证原件甲方、乙方双方各执2份，作为工程结算依据。</w:t>
      </w:r>
    </w:p>
    <w:p w14:paraId="23F6A95E">
      <w:pPr>
        <w:pStyle w:val="2"/>
        <w:spacing w:after="0" w:line="500" w:lineRule="exact"/>
        <w:rPr>
          <w:rFonts w:asciiTheme="minorEastAsia" w:hAnsiTheme="minorEastAsia" w:eastAsiaTheme="minorEastAsia"/>
          <w:sz w:val="24"/>
          <w:szCs w:val="24"/>
        </w:rPr>
      </w:pPr>
    </w:p>
    <w:p w14:paraId="61482C8A">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九、甲方义务</w:t>
      </w:r>
    </w:p>
    <w:p w14:paraId="2EC09056">
      <w:pPr>
        <w:spacing w:line="5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1.委派现场代表</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负责对工程建设进行全面管理，解决施工过程中出现的需要甲方协调的相关问题，并参与工程的各种验收和签证工作。如变更现场代表应及时通知乙方。</w:t>
      </w:r>
    </w:p>
    <w:p w14:paraId="77E394B4">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2</w:t>
      </w:r>
      <w:r>
        <w:rPr>
          <w:rFonts w:hint="eastAsia" w:cs="宋体" w:asciiTheme="minorEastAsia" w:hAnsiTheme="minorEastAsia" w:eastAsiaTheme="minorEastAsia"/>
          <w:sz w:val="24"/>
          <w:szCs w:val="24"/>
        </w:rPr>
        <w:t>.协助乙方做好施工前现场准备工作，及时与乙方沟通协调，为乙方的施工提供必要条件。</w:t>
      </w:r>
    </w:p>
    <w:p w14:paraId="4539FC1A">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3</w:t>
      </w:r>
      <w:r>
        <w:rPr>
          <w:rFonts w:hint="eastAsia" w:cs="宋体" w:asciiTheme="minorEastAsia" w:hAnsiTheme="minorEastAsia" w:eastAsiaTheme="minorEastAsia"/>
          <w:sz w:val="24"/>
          <w:szCs w:val="24"/>
        </w:rPr>
        <w:t>.乙方施工工作完成后，及时做好验收交接工作。</w:t>
      </w:r>
    </w:p>
    <w:p w14:paraId="580F8C81">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.按合同约定的付款、结算方式及时支付合同款，积极协助乙方做好合同款项支付手续流程工作。</w:t>
      </w:r>
    </w:p>
    <w:p w14:paraId="2E265067">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十、乙方义务</w:t>
      </w:r>
    </w:p>
    <w:p w14:paraId="2F2CB30C">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1.委派现场代表</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负责施工期间的全面管理，如变更现场代表应提前三天</w:t>
      </w:r>
      <w:r>
        <w:rPr>
          <w:rFonts w:hint="eastAsia" w:cs="宋体" w:asciiTheme="minorEastAsia" w:hAnsiTheme="minorEastAsia" w:eastAsiaTheme="minorEastAsia"/>
          <w:sz w:val="24"/>
          <w:szCs w:val="24"/>
          <w:lang w:val="en-US" w:eastAsia="zh-CN"/>
        </w:rPr>
        <w:t>书面</w:t>
      </w:r>
      <w:r>
        <w:rPr>
          <w:rFonts w:hint="eastAsia" w:cs="宋体" w:asciiTheme="minorEastAsia" w:hAnsiTheme="minorEastAsia" w:eastAsiaTheme="minorEastAsia"/>
          <w:sz w:val="24"/>
          <w:szCs w:val="24"/>
        </w:rPr>
        <w:t>通知甲方并经甲方书面同意后方可变更。</w:t>
      </w:r>
    </w:p>
    <w:p w14:paraId="01D7634B">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2</w:t>
      </w:r>
      <w:r>
        <w:rPr>
          <w:rFonts w:hint="eastAsia" w:cs="宋体" w:asciiTheme="minorEastAsia" w:hAnsiTheme="minorEastAsia" w:eastAsiaTheme="minorEastAsia"/>
          <w:sz w:val="24"/>
          <w:szCs w:val="24"/>
        </w:rPr>
        <w:t>.及时主动与甲方现场人员沟通好改造前准备工作，认真按照合同内容及技术要求，按时按质完成承包</w:t>
      </w:r>
      <w:r>
        <w:rPr>
          <w:rFonts w:cs="宋体" w:asciiTheme="minorEastAsia" w:hAnsiTheme="minorEastAsia" w:eastAsiaTheme="minorEastAsia"/>
          <w:sz w:val="24"/>
          <w:szCs w:val="24"/>
        </w:rPr>
        <w:t>范围内的施工工作，并按甲方要求的格式书面提请办理验收和确认手续</w:t>
      </w:r>
      <w:r>
        <w:rPr>
          <w:rFonts w:hint="eastAsia" w:cs="宋体" w:asciiTheme="minorEastAsia" w:hAnsiTheme="minorEastAsia" w:eastAsiaTheme="minorEastAsia"/>
          <w:sz w:val="24"/>
          <w:szCs w:val="24"/>
        </w:rPr>
        <w:t>。</w:t>
      </w:r>
    </w:p>
    <w:p w14:paraId="672A8868">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3</w:t>
      </w:r>
      <w:r>
        <w:rPr>
          <w:rFonts w:hint="eastAsia" w:cs="宋体" w:asciiTheme="minorEastAsia" w:hAnsiTheme="minorEastAsia" w:eastAsiaTheme="minorEastAsia"/>
          <w:sz w:val="24"/>
          <w:szCs w:val="24"/>
        </w:rPr>
        <w:t>.及时提供施工需要的施工图纸（如有）及相关资料，应在施工现场保留一套完整图纸，供工程师及有关人员进行工程检查时使用。</w:t>
      </w:r>
    </w:p>
    <w:p w14:paraId="14D947D6">
      <w:pPr>
        <w:snapToGrid w:val="0"/>
        <w:spacing w:line="500" w:lineRule="exac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4.乙方应将施工组织设计（施工方案）、安全技术措施方案和工程进度计划提交工程师；根据工程需要，提供和维修非夜间施工使用的照明，并负责安全保卫；遵守政府有关主管部门对施工噪音的管理规定。</w:t>
      </w:r>
    </w:p>
    <w:p w14:paraId="0149C8C1">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5.乙方必须按甲方确认的进度计划组织施工，接受甲方工程师对工程质量、进度的检查、监督，并为其检查、监督提供便利条件。工程质量达不到质量标准的部分，甲方一经发现，有权要求乙方拆除和重新施工，直到符合质量标准，因此造成的费用损失均由乙方自行承担。因乙方原因达不到质量标准的，由乙方承担拆除和重新施工的费用，工期不予顺延。工程实际进度与经确认的进度计划不符时，乙方应按甲方工程师的要求提出改进措施，经确认后执行。因乙方的原因导致实际进度与进度计划不符，工期不予顺延。</w:t>
      </w:r>
    </w:p>
    <w:p w14:paraId="464893C6">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6</w:t>
      </w:r>
      <w:r>
        <w:rPr>
          <w:rFonts w:hint="eastAsia" w:cs="宋体" w:asciiTheme="minorEastAsia" w:hAnsiTheme="minorEastAsia" w:eastAsiaTheme="minorEastAsia"/>
          <w:sz w:val="24"/>
          <w:szCs w:val="24"/>
        </w:rPr>
        <w:t>.做好施工后的调试、验收、资料移交、现场操作技术培训工作。</w:t>
      </w:r>
    </w:p>
    <w:p w14:paraId="206F9B85">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7</w:t>
      </w:r>
      <w:r>
        <w:rPr>
          <w:rFonts w:hint="eastAsia" w:cs="宋体" w:asciiTheme="minorEastAsia" w:hAnsiTheme="minorEastAsia" w:eastAsiaTheme="minorEastAsia"/>
          <w:sz w:val="24"/>
          <w:szCs w:val="24"/>
        </w:rPr>
        <w:t>.按相关国家相关法律法规、安全规范进行安全施工，项目实施过程中一切安全责任均由乙方负责。乙方施工前需配合甲方组织的文明施工培训，施工过程中乙方应当采取必要的安全防护和消防措施，保障作业人员和相邻单位的安全，</w:t>
      </w:r>
      <w:r>
        <w:rPr>
          <w:rFonts w:hint="eastAsia" w:cs="宋体" w:asciiTheme="minorEastAsia" w:hAnsiTheme="minorEastAsia" w:eastAsiaTheme="minorEastAsia"/>
          <w:sz w:val="24"/>
          <w:szCs w:val="24"/>
          <w:lang w:val="en-US" w:eastAsia="zh-CN"/>
        </w:rPr>
        <w:t>乙方</w:t>
      </w:r>
      <w:r>
        <w:rPr>
          <w:rFonts w:hint="eastAsia" w:cs="宋体" w:asciiTheme="minorEastAsia" w:hAnsiTheme="minorEastAsia" w:eastAsiaTheme="minorEastAsia"/>
          <w:sz w:val="24"/>
          <w:szCs w:val="24"/>
        </w:rPr>
        <w:t>施工过程中造成的一切人身及财产事故由乙方承担责任，如造成甲方损失的，乙方应当承担损害赔偿责任。</w:t>
      </w:r>
    </w:p>
    <w:p w14:paraId="55AA44FC">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8</w:t>
      </w:r>
      <w:r>
        <w:rPr>
          <w:rFonts w:hint="eastAsia" w:cs="宋体" w:asciiTheme="minorEastAsia" w:hAnsiTheme="minorEastAsia" w:eastAsiaTheme="minorEastAsia"/>
          <w:sz w:val="24"/>
          <w:szCs w:val="24"/>
        </w:rPr>
        <w:t>.乙方在甲方现场内施工时，全面服从甲方管理，应遵守甲方各项安全及其他相关制度，如有违反，</w:t>
      </w:r>
      <w:r>
        <w:rPr>
          <w:rFonts w:hint="eastAsia" w:cs="宋体" w:asciiTheme="minorEastAsia" w:hAnsiTheme="minorEastAsia" w:eastAsiaTheme="minorEastAsia"/>
          <w:sz w:val="24"/>
          <w:szCs w:val="24"/>
          <w:lang w:val="en-US" w:eastAsia="zh-CN"/>
        </w:rPr>
        <w:t>乙方同意</w:t>
      </w:r>
      <w:r>
        <w:rPr>
          <w:rFonts w:hint="eastAsia" w:cs="宋体" w:asciiTheme="minorEastAsia" w:hAnsiTheme="minorEastAsia" w:eastAsiaTheme="minorEastAsia"/>
          <w:sz w:val="24"/>
          <w:szCs w:val="24"/>
        </w:rPr>
        <w:t>按甲方相关制度规定进行处罚。</w:t>
      </w:r>
    </w:p>
    <w:p w14:paraId="36839C49">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9</w:t>
      </w:r>
      <w:r>
        <w:rPr>
          <w:rFonts w:hint="eastAsia" w:cs="宋体" w:asciiTheme="minorEastAsia" w:hAnsiTheme="minorEastAsia" w:eastAsiaTheme="minorEastAsia"/>
          <w:sz w:val="24"/>
          <w:szCs w:val="24"/>
        </w:rPr>
        <w:t>.乙方须保证施工场地的清洁卫生符合相关环境卫生、环境保护及整治管理的规定，防止扬尘及保持场地出入口及场外周边道路的清洁卫生，做到工完场清。否则，甲方有权委托第三方处理，因此产生的费用损失应由乙方承担，且乙方应向甲方支付</w:t>
      </w:r>
      <w:r>
        <w:rPr>
          <w:rFonts w:hint="eastAsia" w:cs="宋体" w:asciiTheme="minorEastAsia" w:hAnsiTheme="minorEastAsia" w:eastAsiaTheme="minorEastAsia"/>
          <w:sz w:val="24"/>
          <w:szCs w:val="24"/>
          <w:highlight w:val="none"/>
          <w:lang w:val="en-US" w:eastAsia="zh-CN"/>
        </w:rPr>
        <w:t>5000</w:t>
      </w:r>
      <w:r>
        <w:rPr>
          <w:rFonts w:hint="eastAsia" w:cs="宋体" w:asciiTheme="minorEastAsia" w:hAnsiTheme="minorEastAsia" w:eastAsiaTheme="minorEastAsia"/>
          <w:sz w:val="24"/>
          <w:szCs w:val="24"/>
        </w:rPr>
        <w:t>元违约金。</w:t>
      </w:r>
    </w:p>
    <w:p w14:paraId="5D139019">
      <w:pPr>
        <w:spacing w:line="500" w:lineRule="exact"/>
        <w:rPr>
          <w:rFonts w:cs="宋体" w:asciiTheme="minorEastAsia" w:hAnsiTheme="minorEastAsia" w:eastAsiaTheme="minorEastAsia"/>
          <w:sz w:val="24"/>
          <w:szCs w:val="24"/>
        </w:rPr>
      </w:pPr>
      <w:r>
        <w:rPr>
          <w:rFonts w:cs="宋体" w:asciiTheme="minorEastAsia" w:hAnsiTheme="minorEastAsia" w:eastAsiaTheme="minorEastAsia"/>
          <w:sz w:val="24"/>
          <w:szCs w:val="24"/>
        </w:rPr>
        <w:t>10</w:t>
      </w:r>
      <w:r>
        <w:rPr>
          <w:rFonts w:hint="eastAsia" w:cs="宋体" w:asciiTheme="minorEastAsia" w:hAnsiTheme="minorEastAsia" w:eastAsiaTheme="minorEastAsia"/>
          <w:sz w:val="24"/>
          <w:szCs w:val="24"/>
        </w:rPr>
        <w:t>.</w:t>
      </w:r>
      <w:r>
        <w:rPr>
          <w:rFonts w:cs="宋体" w:asciiTheme="minorEastAsia" w:hAnsiTheme="minorEastAsia" w:eastAsiaTheme="minorEastAsia"/>
          <w:sz w:val="24"/>
          <w:szCs w:val="24"/>
        </w:rPr>
        <w:t>对于已完工的部分，在甲方验收</w:t>
      </w:r>
      <w:r>
        <w:rPr>
          <w:rFonts w:hint="eastAsia" w:cs="宋体" w:asciiTheme="minorEastAsia" w:hAnsiTheme="minorEastAsia" w:eastAsiaTheme="minorEastAsia"/>
          <w:sz w:val="24"/>
          <w:szCs w:val="24"/>
        </w:rPr>
        <w:t>合格并移交使用</w:t>
      </w:r>
      <w:r>
        <w:rPr>
          <w:rFonts w:cs="宋体" w:asciiTheme="minorEastAsia" w:hAnsiTheme="minorEastAsia" w:eastAsiaTheme="minorEastAsia"/>
          <w:sz w:val="24"/>
          <w:szCs w:val="24"/>
        </w:rPr>
        <w:t>前，乙方应做好保护工作</w:t>
      </w:r>
      <w:r>
        <w:rPr>
          <w:rFonts w:hint="eastAsia" w:cs="宋体" w:asciiTheme="minorEastAsia" w:hAnsiTheme="minorEastAsia" w:eastAsiaTheme="minorEastAsia"/>
          <w:sz w:val="24"/>
          <w:szCs w:val="24"/>
        </w:rPr>
        <w:t>。</w:t>
      </w:r>
    </w:p>
    <w:p w14:paraId="7804CD9E">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乙方工作人员在施工现场应穿戴有乙方标志的工作服或工作证。乙方安排到甲方施工的人员（即乙方人员）必须为与乙方签署劳动合同的人员。乙方应按时足额为乙方工作人员购买社保、发放工资、福利等，甲方在任何时候与乙方工作人员均不存在任何劳动、劳务、雇佣关系。若因乙方与乙方工作人员之间的争议纠纷导致甲方被投诉、起诉、仲裁的，造成甲方向第三方支付费用的，该费用及甲方律师费</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rPr>
        <w:t>差旅费</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rPr>
        <w:t>鉴定费</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rPr>
        <w:t>诉讼费等均应由乙方承担，同时乙方应向甲方支付</w:t>
      </w:r>
      <w:r>
        <w:rPr>
          <w:rFonts w:hint="eastAsia" w:cs="宋体" w:asciiTheme="minorEastAsia" w:hAnsiTheme="minorEastAsia" w:eastAsiaTheme="minorEastAsia"/>
          <w:sz w:val="24"/>
          <w:szCs w:val="24"/>
          <w:u w:val="single"/>
          <w:lang w:val="en-US" w:eastAsia="zh-CN"/>
        </w:rPr>
        <w:t>合同总金额20%</w:t>
      </w:r>
      <w:r>
        <w:rPr>
          <w:rFonts w:hint="eastAsia" w:cs="宋体" w:asciiTheme="minorEastAsia" w:hAnsiTheme="minorEastAsia" w:eastAsiaTheme="minorEastAsia"/>
          <w:sz w:val="24"/>
          <w:szCs w:val="24"/>
        </w:rPr>
        <w:t>违约金及赔偿甲方损失。</w:t>
      </w:r>
    </w:p>
    <w:p w14:paraId="22444B69">
      <w:pPr>
        <w:snapToGrid w:val="0"/>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w:t>
      </w:r>
      <w:r>
        <w:rPr>
          <w:rFonts w:cs="宋体" w:asciiTheme="minorEastAsia" w:hAnsiTheme="minorEastAsia" w:eastAsiaTheme="minorEastAsia"/>
          <w:sz w:val="24"/>
          <w:szCs w:val="24"/>
        </w:rPr>
        <w:t>2</w:t>
      </w:r>
      <w:r>
        <w:rPr>
          <w:rFonts w:hint="eastAsia" w:cs="宋体" w:asciiTheme="minorEastAsia" w:hAnsiTheme="minorEastAsia" w:eastAsiaTheme="minorEastAsia"/>
          <w:sz w:val="24"/>
          <w:szCs w:val="24"/>
        </w:rPr>
        <w:t>.施工中未经甲方</w:t>
      </w:r>
      <w:r>
        <w:rPr>
          <w:rFonts w:hint="eastAsia" w:cs="宋体" w:asciiTheme="minorEastAsia" w:hAnsiTheme="minorEastAsia" w:eastAsiaTheme="minorEastAsia"/>
          <w:sz w:val="24"/>
          <w:szCs w:val="24"/>
          <w:lang w:val="en-US" w:eastAsia="zh-CN"/>
        </w:rPr>
        <w:t>书面</w:t>
      </w:r>
      <w:r>
        <w:rPr>
          <w:rFonts w:hint="eastAsia" w:cs="宋体" w:asciiTheme="minorEastAsia" w:hAnsiTheme="minorEastAsia" w:eastAsiaTheme="minorEastAsia"/>
          <w:sz w:val="24"/>
          <w:szCs w:val="24"/>
        </w:rPr>
        <w:t>同意或有关部门批准，不得拆改原建筑物结构及各种设备管线。</w:t>
      </w:r>
    </w:p>
    <w:p w14:paraId="5F05AB3F">
      <w:pPr>
        <w:pStyle w:val="2"/>
        <w:spacing w:after="0" w:line="500" w:lineRule="exact"/>
        <w:jc w:val="left"/>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.乙方应根据甲方施工要求提供具备相应资格、要求的工作人员。乙方人员需符合但不限于以下基本要求：</w:t>
      </w:r>
    </w:p>
    <w:p w14:paraId="6A2B72B8">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乙方必须为所有投入本施工项目的工作人员购买</w:t>
      </w:r>
      <w:r>
        <w:rPr>
          <w:rFonts w:asciiTheme="minorEastAsia" w:hAnsiTheme="minorEastAsia" w:eastAsiaTheme="minorEastAsia"/>
          <w:sz w:val="24"/>
          <w:szCs w:val="24"/>
        </w:rPr>
        <w:t>社保和</w:t>
      </w:r>
      <w:r>
        <w:rPr>
          <w:rFonts w:hint="eastAsia" w:asciiTheme="minorEastAsia" w:hAnsiTheme="minorEastAsia" w:eastAsiaTheme="minorEastAsia"/>
          <w:sz w:val="24"/>
          <w:szCs w:val="24"/>
        </w:rPr>
        <w:t>人身意外伤害保险。在该购买的人身意外伤害保险项下，被保险人因意外伤害死亡时的赔偿金额应不低于人民币120万/人，且保险期限不短于本合同有效期间及本项目工期。乙方因此发生的上述保险费均已包含在本次合同总价中，乙方入场前应向甲方提交相关保险购买凭证资料等。</w:t>
      </w:r>
    </w:p>
    <w:p w14:paraId="257552C3">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所有乙方工作人员须身体健康，无患影响开展相应工作的疾病。</w:t>
      </w:r>
    </w:p>
    <w:p w14:paraId="51DC375B">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乙方需保证工作人员人数能满足现场施工工程进度。在施工出现异常状况时，乙方应保证48小时以内调整相应的需求人员，以适应施工异常调整的需要。如甲方认为乙方人员中有不符合施工要求的，有权通知乙方调换该人员，乙方必须在1个日历日内完成更换，乙方逾期更换的，每逾期一日，乙方应向甲方支付</w:t>
      </w:r>
      <w:r>
        <w:rPr>
          <w:rFonts w:hint="eastAsia" w:asciiTheme="minorEastAsia" w:hAnsiTheme="minorEastAsia" w:eastAsiaTheme="minorEastAsia"/>
          <w:sz w:val="24"/>
          <w:szCs w:val="24"/>
          <w:lang w:val="en-US" w:eastAsia="zh-CN"/>
        </w:rPr>
        <w:t>5000</w:t>
      </w:r>
      <w:r>
        <w:rPr>
          <w:rFonts w:hint="eastAsia" w:asciiTheme="minorEastAsia" w:hAnsiTheme="minorEastAsia" w:eastAsiaTheme="minorEastAsia"/>
          <w:sz w:val="24"/>
          <w:szCs w:val="24"/>
        </w:rPr>
        <w:t>元违约金。</w:t>
      </w:r>
    </w:p>
    <w:p w14:paraId="69BBA412">
      <w:pPr>
        <w:pStyle w:val="2"/>
        <w:spacing w:after="0" w:line="500" w:lineRule="exact"/>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乙方人员应熟知安全施工规范及原则，施工前需到甲方安全环境部进行施工人员安全培训。</w:t>
      </w:r>
      <w:r>
        <w:rPr>
          <w:rFonts w:hint="eastAsia" w:asciiTheme="minorEastAsia" w:hAnsiTheme="minorEastAsia" w:eastAsiaTheme="minorEastAsia"/>
          <w:sz w:val="24"/>
          <w:szCs w:val="24"/>
          <w:lang w:val="en-US" w:eastAsia="zh-CN"/>
        </w:rPr>
        <w:t>乙方应严格按照有限空间作业规程进行施工，严格做好安全措施及人员安全培训，因乙方施工原因造成的全部责任由乙方承担。</w:t>
      </w:r>
    </w:p>
    <w:p w14:paraId="03933D8F">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乙方特种设备作业人员须持证上岗，入场前应向甲方提交相关证件资料，如焊工证件等。</w:t>
      </w:r>
    </w:p>
    <w:p w14:paraId="25AEC797">
      <w:pPr>
        <w:spacing w:line="500" w:lineRule="exact"/>
        <w:rPr>
          <w:rFonts w:asciiTheme="minorEastAsia" w:hAnsiTheme="minorEastAsia" w:eastAsiaTheme="minorEastAsia"/>
          <w:sz w:val="24"/>
          <w:szCs w:val="24"/>
        </w:rPr>
      </w:pPr>
      <w:r>
        <w:rPr>
          <w:rFonts w:hint="eastAsia" w:cs="宋体" w:asciiTheme="minorEastAsia" w:hAnsiTheme="minorEastAsia" w:eastAsiaTheme="minorEastAsia"/>
          <w:sz w:val="24"/>
          <w:szCs w:val="24"/>
          <w:lang w:val="en-US" w:eastAsia="zh-CN"/>
        </w:rPr>
        <w:t>14</w:t>
      </w:r>
      <w:r>
        <w:rPr>
          <w:rFonts w:hint="eastAsia" w:asciiTheme="minorEastAsia" w:hAnsiTheme="minorEastAsia" w:eastAsiaTheme="minorEastAsia"/>
          <w:sz w:val="24"/>
          <w:szCs w:val="24"/>
          <w:lang w:val="en-US" w:eastAsia="zh-CN"/>
        </w:rPr>
        <w:t>.</w:t>
      </w:r>
      <w:r>
        <w:rPr>
          <w:rFonts w:hint="eastAsia" w:asciiTheme="minorEastAsia" w:hAnsiTheme="minorEastAsia" w:eastAsiaTheme="minorEastAsia"/>
          <w:sz w:val="24"/>
          <w:szCs w:val="24"/>
        </w:rPr>
        <w:t>未经甲方同意更换现场人员</w:t>
      </w:r>
      <w:r>
        <w:rPr>
          <w:rFonts w:hint="eastAsia" w:asciiTheme="minorEastAsia" w:hAnsiTheme="minorEastAsia" w:eastAsiaTheme="minorEastAsia"/>
          <w:sz w:val="24"/>
          <w:szCs w:val="24"/>
          <w:u w:val="single"/>
        </w:rPr>
        <w:t>，乙方按</w:t>
      </w:r>
      <w:r>
        <w:rPr>
          <w:rFonts w:hint="eastAsia" w:asciiTheme="minorEastAsia" w:hAnsiTheme="minorEastAsia" w:eastAsiaTheme="minorEastAsia"/>
          <w:sz w:val="24"/>
          <w:szCs w:val="24"/>
          <w:u w:val="single"/>
          <w:lang w:val="en-US" w:eastAsia="zh-CN"/>
        </w:rPr>
        <w:t>2000</w:t>
      </w:r>
      <w:r>
        <w:rPr>
          <w:rFonts w:hint="eastAsia" w:asciiTheme="minorEastAsia" w:hAnsiTheme="minorEastAsia" w:eastAsiaTheme="minorEastAsia"/>
          <w:sz w:val="24"/>
          <w:szCs w:val="24"/>
          <w:u w:val="single"/>
        </w:rPr>
        <w:t>元/次支</w:t>
      </w:r>
      <w:r>
        <w:rPr>
          <w:rFonts w:hint="eastAsia" w:asciiTheme="minorEastAsia" w:hAnsiTheme="minorEastAsia" w:eastAsiaTheme="minorEastAsia"/>
          <w:sz w:val="24"/>
          <w:szCs w:val="24"/>
        </w:rPr>
        <w:t>付违约金。在甲方同意乙方更换现场人员的情况下，乙方应为更换后的人员投保本条第1款约定的人身意外伤害保险。在乙方向甲方提交为更换后的现场人员投保人身意外伤害保险的保险凭证且经甲方审核无误后，乙方更换的现场人员方可进入甲方现场工作。乙方违反本款约定（包括但不限于擅自更换人员或不为更换后人员投保等），甲方有权立即解除合同。合同因此解除的，乙方应向甲方支付合同价款30%的违约金并赔偿甲方因此遭受的损失。</w:t>
      </w:r>
    </w:p>
    <w:p w14:paraId="05D512AB">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十一、</w:t>
      </w:r>
      <w:r>
        <w:rPr>
          <w:rFonts w:cs="宋体" w:asciiTheme="minorEastAsia" w:hAnsiTheme="minorEastAsia" w:eastAsiaTheme="minorEastAsia"/>
          <w:b/>
          <w:sz w:val="24"/>
          <w:szCs w:val="24"/>
        </w:rPr>
        <w:t>违约责任</w:t>
      </w:r>
    </w:p>
    <w:p w14:paraId="664A0B99">
      <w:pPr>
        <w:pStyle w:val="2"/>
        <w:spacing w:after="0" w:line="500" w:lineRule="exact"/>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1.质量违约</w:t>
      </w:r>
    </w:p>
    <w:p w14:paraId="56E3C409">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1.1本合同项目经验收质量不符合要求的，甲方有权解除合同并要求乙</w:t>
      </w:r>
      <w:r>
        <w:rPr>
          <w:rFonts w:hint="eastAsia" w:asciiTheme="minorEastAsia" w:hAnsiTheme="minorEastAsia" w:eastAsiaTheme="minorEastAsia"/>
          <w:sz w:val="24"/>
          <w:szCs w:val="24"/>
          <w:highlight w:val="none"/>
        </w:rPr>
        <w:t>方</w:t>
      </w:r>
      <w:r>
        <w:rPr>
          <w:rFonts w:hint="eastAsia" w:asciiTheme="minorEastAsia" w:hAnsiTheme="minorEastAsia" w:eastAsiaTheme="minorEastAsia"/>
          <w:sz w:val="24"/>
          <w:szCs w:val="24"/>
          <w:highlight w:val="none"/>
          <w:lang w:val="en-US" w:eastAsia="zh-CN"/>
        </w:rPr>
        <w:t>在3日内完成</w:t>
      </w:r>
      <w:r>
        <w:rPr>
          <w:rFonts w:hint="eastAsia" w:asciiTheme="minorEastAsia" w:hAnsiTheme="minorEastAsia" w:eastAsiaTheme="minorEastAsia"/>
          <w:sz w:val="24"/>
          <w:szCs w:val="24"/>
          <w:highlight w:val="none"/>
        </w:rPr>
        <w:t>清场，且无需支付项目款，乙方应按合同价款之</w:t>
      </w:r>
      <w:r>
        <w:rPr>
          <w:rFonts w:hint="eastAsia" w:asciiTheme="minorEastAsia" w:hAnsiTheme="minorEastAsia" w:eastAsiaTheme="minorEastAsia"/>
          <w:sz w:val="24"/>
          <w:szCs w:val="24"/>
          <w:highlight w:val="none"/>
          <w:lang w:val="en-US" w:eastAsia="zh-CN"/>
        </w:rPr>
        <w:t>2</w:t>
      </w:r>
      <w:r>
        <w:rPr>
          <w:rFonts w:hint="eastAsia" w:asciiTheme="minorEastAsia" w:hAnsiTheme="minorEastAsia" w:eastAsiaTheme="minorEastAsia"/>
          <w:sz w:val="24"/>
          <w:szCs w:val="24"/>
          <w:highlight w:val="none"/>
        </w:rPr>
        <w:t>0%向甲方支付违约金。因乙方工程不合格造成甲方损失的，乙方应予按实赔偿。乙方逾期清场的，逾期一日按</w:t>
      </w:r>
      <w:r>
        <w:rPr>
          <w:rFonts w:hint="eastAsia" w:asciiTheme="minorEastAsia" w:hAnsiTheme="minorEastAsia" w:eastAsiaTheme="minorEastAsia"/>
          <w:sz w:val="24"/>
          <w:szCs w:val="24"/>
          <w:highlight w:val="none"/>
          <w:lang w:eastAsia="zh-CN"/>
        </w:rPr>
        <w:t>5</w:t>
      </w:r>
      <w:r>
        <w:rPr>
          <w:rFonts w:hint="eastAsia" w:asciiTheme="minorEastAsia" w:hAnsiTheme="minorEastAsia" w:eastAsiaTheme="minorEastAsia"/>
          <w:sz w:val="24"/>
          <w:szCs w:val="24"/>
          <w:highlight w:val="none"/>
          <w:lang w:val="en-US" w:eastAsia="zh-CN"/>
        </w:rPr>
        <w:t>000元</w:t>
      </w:r>
      <w:r>
        <w:rPr>
          <w:rFonts w:hint="eastAsia" w:asciiTheme="minorEastAsia" w:hAnsiTheme="minorEastAsia" w:eastAsiaTheme="minorEastAsia"/>
          <w:sz w:val="24"/>
          <w:szCs w:val="24"/>
          <w:highlight w:val="none"/>
        </w:rPr>
        <w:t>/日收取违约金，逾期超过</w:t>
      </w:r>
      <w:r>
        <w:rPr>
          <w:rFonts w:hint="eastAsia" w:asciiTheme="minorEastAsia" w:hAnsiTheme="minorEastAsia" w:eastAsiaTheme="minorEastAsia"/>
          <w:sz w:val="24"/>
          <w:szCs w:val="24"/>
          <w:highlight w:val="none"/>
          <w:lang w:eastAsia="zh-CN"/>
        </w:rPr>
        <w:t>7</w:t>
      </w:r>
      <w:r>
        <w:rPr>
          <w:rFonts w:hint="eastAsia" w:asciiTheme="minorEastAsia" w:hAnsiTheme="minorEastAsia" w:eastAsiaTheme="minorEastAsia"/>
          <w:sz w:val="24"/>
          <w:szCs w:val="24"/>
          <w:highlight w:val="none"/>
        </w:rPr>
        <w:t>日的，甲方有权自行清场，相应费用及风险由乙</w:t>
      </w:r>
      <w:r>
        <w:rPr>
          <w:rFonts w:hint="eastAsia" w:asciiTheme="minorEastAsia" w:hAnsiTheme="minorEastAsia" w:eastAsiaTheme="minorEastAsia"/>
          <w:sz w:val="24"/>
          <w:szCs w:val="24"/>
        </w:rPr>
        <w:t>方承担。</w:t>
      </w:r>
    </w:p>
    <w:p w14:paraId="60865F06">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1.2凡属乙方工程质量问题，不管何时发现，乙方均应于收到甲方通知之日起1个日历日内按本合同质保条款规定组织维修，并按实赔偿甲方一切损失。</w:t>
      </w:r>
    </w:p>
    <w:p w14:paraId="5BDF93D4">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1.3若双方对本合同项目是否符合合同约定的质量标准无法达成一致意见，双方可共同委托有鉴定资质的第三方进行鉴定，鉴定费用由责任方承担；若乙方在接到甲方通知之日起三日内未与甲方共同选定鉴定机构的，甲方有权自行委托，鉴定结论对双方均有效力。</w:t>
      </w:r>
    </w:p>
    <w:p w14:paraId="035DBA22">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1.4，乙方未经甲方书面同意</w:t>
      </w:r>
      <w:r>
        <w:rPr>
          <w:rFonts w:hint="eastAsia" w:cs="宋体" w:asciiTheme="minorEastAsia" w:hAnsiTheme="minorEastAsia" w:eastAsiaTheme="minorEastAsia"/>
          <w:sz w:val="24"/>
          <w:szCs w:val="24"/>
        </w:rPr>
        <w:t>变更现场代表的，每发生一次需向甲方支付</w:t>
      </w:r>
      <w:r>
        <w:rPr>
          <w:rFonts w:cs="宋体" w:asciiTheme="minorEastAsia" w:hAnsiTheme="minorEastAsia" w:eastAsiaTheme="minorEastAsia"/>
          <w:sz w:val="24"/>
          <w:szCs w:val="24"/>
        </w:rPr>
        <w:t>2000</w:t>
      </w:r>
      <w:r>
        <w:rPr>
          <w:rFonts w:hint="eastAsia" w:cs="宋体" w:asciiTheme="minorEastAsia" w:hAnsiTheme="minorEastAsia" w:eastAsiaTheme="minorEastAsia"/>
          <w:sz w:val="24"/>
          <w:szCs w:val="24"/>
        </w:rPr>
        <w:t>元的违约金。</w:t>
      </w:r>
    </w:p>
    <w:p w14:paraId="767C9EF9">
      <w:pPr>
        <w:pStyle w:val="2"/>
        <w:spacing w:after="0" w:line="500" w:lineRule="exact"/>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2.工期违约</w:t>
      </w:r>
    </w:p>
    <w:p w14:paraId="4C210498">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2.1甲方因自身原因未能按本合同约定进行工程竣工验收的，由甲方承担工程保管及风险责任。</w:t>
      </w:r>
    </w:p>
    <w:p w14:paraId="1B581F3A">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2.2乙方未能在合同约定工期内通过竣工验收</w:t>
      </w:r>
      <w:r>
        <w:rPr>
          <w:rFonts w:hint="eastAsia" w:asciiTheme="minorEastAsia" w:hAnsiTheme="minorEastAsia" w:eastAsiaTheme="minorEastAsia"/>
          <w:sz w:val="24"/>
          <w:szCs w:val="24"/>
          <w:lang w:val="en-US" w:eastAsia="zh-CN"/>
        </w:rPr>
        <w:t>合格</w:t>
      </w:r>
      <w:r>
        <w:rPr>
          <w:rFonts w:hint="eastAsia" w:asciiTheme="minorEastAsia" w:hAnsiTheme="minorEastAsia" w:eastAsiaTheme="minorEastAsia"/>
          <w:sz w:val="24"/>
          <w:szCs w:val="24"/>
        </w:rPr>
        <w:t>的，每逾期1天，工期违约按每逾期1天</w:t>
      </w:r>
      <w:r>
        <w:rPr>
          <w:rFonts w:hint="eastAsia" w:asciiTheme="minorEastAsia" w:hAnsiTheme="minorEastAsia" w:eastAsiaTheme="minorEastAsia"/>
          <w:sz w:val="24"/>
          <w:szCs w:val="24"/>
          <w:lang w:val="en-US" w:eastAsia="zh-CN"/>
        </w:rPr>
        <w:t>支付</w:t>
      </w:r>
      <w:r>
        <w:rPr>
          <w:rFonts w:hint="eastAsia" w:asciiTheme="minorEastAsia" w:hAnsiTheme="minorEastAsia" w:eastAsiaTheme="minorEastAsia"/>
          <w:sz w:val="24"/>
          <w:szCs w:val="24"/>
          <w:u w:val="single"/>
          <w:lang w:val="en-US" w:eastAsia="zh-CN"/>
        </w:rPr>
        <w:t>合同总金额1</w:t>
      </w:r>
      <w:r>
        <w:rPr>
          <w:rFonts w:hint="eastAsia" w:asciiTheme="minorEastAsia" w:hAnsiTheme="minorEastAsia" w:eastAsiaTheme="minorEastAsia"/>
          <w:sz w:val="24"/>
          <w:szCs w:val="24"/>
        </w:rPr>
        <w:t>‰的标准支付违约金，如违约金不足以弥补甲方损失的，乙方须继续赔偿甲方因此造成的全部损失。若逾期超过5天的，甲方有权解除合同并要求乙方立即清场，无需支付项目款，且乙方应按合同价款之</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0%向甲方支付违约金并赔偿甲方损失。</w:t>
      </w:r>
    </w:p>
    <w:p w14:paraId="729517CA">
      <w:pPr>
        <w:pStyle w:val="2"/>
        <w:spacing w:after="0" w:line="500" w:lineRule="exact"/>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3.付款违约</w:t>
      </w:r>
    </w:p>
    <w:p w14:paraId="58294231">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3.1</w:t>
      </w:r>
      <w:r>
        <w:rPr>
          <w:rFonts w:hint="eastAsia" w:ascii="宋体" w:hAnsi="宋体"/>
          <w:sz w:val="24"/>
          <w:szCs w:val="24"/>
        </w:rPr>
        <w:t>甲方未按时付款且经乙方书面催告后仍未支付的，应按应付未付款金额以一年期LPR计算逾期付款违约金，甲方承担的各项违约金总额不超过应付未付合同金额</w:t>
      </w:r>
      <w:r>
        <w:rPr>
          <w:rFonts w:hint="eastAsia" w:ascii="宋体" w:hAnsi="宋体"/>
          <w:sz w:val="24"/>
          <w:szCs w:val="24"/>
          <w:lang w:val="en-US" w:eastAsia="zh-CN"/>
        </w:rPr>
        <w:t>的</w:t>
      </w:r>
      <w:r>
        <w:rPr>
          <w:rFonts w:hint="eastAsia" w:ascii="宋体" w:hAnsi="宋体"/>
          <w:sz w:val="24"/>
          <w:szCs w:val="24"/>
        </w:rPr>
        <w:t>20%。</w:t>
      </w:r>
      <w:r>
        <w:rPr>
          <w:rFonts w:hint="eastAsia" w:asciiTheme="minorEastAsia" w:hAnsiTheme="minorEastAsia" w:eastAsiaTheme="minorEastAsia"/>
          <w:sz w:val="24"/>
          <w:szCs w:val="24"/>
        </w:rPr>
        <w:t>。</w:t>
      </w:r>
    </w:p>
    <w:p w14:paraId="0F2ED68B">
      <w:pPr>
        <w:pStyle w:val="2"/>
        <w:spacing w:after="0" w:line="500" w:lineRule="exact"/>
        <w:jc w:val="left"/>
        <w:rPr>
          <w:rFonts w:asciiTheme="minorEastAsia" w:hAnsiTheme="minorEastAsia" w:eastAsiaTheme="minorEastAsia"/>
          <w:b/>
          <w:sz w:val="24"/>
          <w:szCs w:val="24"/>
        </w:rPr>
      </w:pPr>
      <w:r>
        <w:rPr>
          <w:rFonts w:asciiTheme="minorEastAsia" w:hAnsiTheme="minorEastAsia" w:eastAsiaTheme="minorEastAsia"/>
          <w:b/>
          <w:sz w:val="24"/>
          <w:szCs w:val="24"/>
        </w:rPr>
        <w:t>4.其他</w:t>
      </w:r>
    </w:p>
    <w:p w14:paraId="01A7C656">
      <w:pPr>
        <w:pStyle w:val="2"/>
        <w:spacing w:after="0" w:line="500" w:lineRule="exact"/>
        <w:jc w:val="left"/>
        <w:rPr>
          <w:rFonts w:asciiTheme="minorEastAsia" w:hAnsiTheme="minorEastAsia" w:eastAsiaTheme="minorEastAsia"/>
          <w:sz w:val="24"/>
          <w:szCs w:val="24"/>
        </w:rPr>
      </w:pPr>
      <w:r>
        <w:rPr>
          <w:rFonts w:asciiTheme="minorEastAsia" w:hAnsiTheme="minorEastAsia" w:eastAsiaTheme="minorEastAsia"/>
          <w:sz w:val="24"/>
          <w:szCs w:val="24"/>
        </w:rPr>
        <w:t>4.1</w:t>
      </w:r>
      <w:r>
        <w:rPr>
          <w:rFonts w:hint="eastAsia" w:asciiTheme="minorEastAsia" w:hAnsiTheme="minorEastAsia" w:eastAsiaTheme="minorEastAsia"/>
          <w:sz w:val="24"/>
          <w:szCs w:val="24"/>
        </w:rPr>
        <w:t>本合同签订后，乙方不得单方解除本合同，否则甲方有权要求乙方立即清场，有权拒绝向乙方支付任何费用，并没收乙方履约保证金，且乙方需向甲方支付本合同价款20%的违约金。如违约金不足以弥补甲方损失的，乙方应赔偿损失。</w:t>
      </w:r>
    </w:p>
    <w:p w14:paraId="00BD6D3C">
      <w:pPr>
        <w:pStyle w:val="2"/>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4.2合同签订后，乙方对其在本合同中义务有违约，并在收到甲方发出书面通知，指出该违约情况，并要求乙方就此进行改正和补救后五个日历日未予改正或补救的，甲方有权单方解除合同，有权要求乙方立即清场，有权拒绝向乙方支付任何费用，并没收乙方履约保证金，且乙方需向甲方支付本合同项目价款20%的违约金。如违约金不足以弥补甲方损失的，乙方应赔偿损失。</w:t>
      </w:r>
    </w:p>
    <w:p w14:paraId="3F8950C9">
      <w:pPr>
        <w:pStyle w:val="2"/>
        <w:spacing w:after="0" w:line="500" w:lineRule="exact"/>
        <w:jc w:val="left"/>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3本合同中约定的“损失”，包括但不限于直接损失、间接损失，及因追偿产生的诉讼费、保全费、律师费、担保费、鉴定费。</w:t>
      </w:r>
    </w:p>
    <w:p w14:paraId="3892C4AA">
      <w:pPr>
        <w:pStyle w:val="2"/>
        <w:spacing w:after="0" w:line="500" w:lineRule="exact"/>
        <w:jc w:val="left"/>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.4其他违约责任按照《中华人民共和国民法典》相关规定执行。</w:t>
      </w:r>
    </w:p>
    <w:p w14:paraId="13DA0452">
      <w:pPr>
        <w:pStyle w:val="2"/>
        <w:spacing w:after="0" w:line="500" w:lineRule="exact"/>
        <w:jc w:val="left"/>
        <w:rPr>
          <w:rFonts w:hint="eastAsia" w:asciiTheme="minorEastAsia" w:hAnsiTheme="minorEastAsia" w:eastAsiaTheme="minorEastAsia"/>
          <w:sz w:val="24"/>
          <w:szCs w:val="24"/>
        </w:rPr>
      </w:pPr>
      <w:r>
        <w:rPr>
          <w:rFonts w:asciiTheme="minorEastAsia" w:hAnsiTheme="minorEastAsia" w:eastAsiaTheme="minorEastAsia"/>
          <w:sz w:val="24"/>
          <w:szCs w:val="24"/>
        </w:rPr>
        <w:t>4.5</w:t>
      </w:r>
      <w:r>
        <w:rPr>
          <w:rFonts w:hint="eastAsia" w:asciiTheme="minorEastAsia" w:hAnsiTheme="minorEastAsia" w:eastAsiaTheme="minorEastAsia"/>
          <w:sz w:val="24"/>
          <w:szCs w:val="24"/>
        </w:rPr>
        <w:t>以上乙方应支付的一切费用（赔偿金、违约金等），甲方可从应支付给乙方的任何款项中扣除。</w:t>
      </w:r>
    </w:p>
    <w:p w14:paraId="7F18B30F">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4.6 乙方不得转包或分包本合同工程，否则甲方有权解除合同，有权要求乙方立即清场，有权拒绝向乙方支付任何费用，并没收乙方履约保证金，乙方按合同价款20%支付违约金并赔偿甲方损失。</w:t>
      </w:r>
    </w:p>
    <w:p w14:paraId="5A6A6C74">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4.7无论何种原因解除本合同的，乙方应在合同解除后</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日内完成清场，乙方逾期清场的，逾期一日按</w:t>
      </w:r>
      <w:r>
        <w:rPr>
          <w:rFonts w:hint="eastAsia" w:asciiTheme="minorEastAsia" w:hAnsiTheme="minorEastAsia" w:eastAsiaTheme="minorEastAsia"/>
          <w:sz w:val="24"/>
          <w:szCs w:val="24"/>
          <w:lang w:val="en-US" w:eastAsia="zh-CN"/>
        </w:rPr>
        <w:t>5000元</w:t>
      </w:r>
      <w:r>
        <w:rPr>
          <w:rFonts w:hint="eastAsia" w:asciiTheme="minorEastAsia" w:hAnsiTheme="minorEastAsia" w:eastAsiaTheme="minorEastAsia"/>
          <w:sz w:val="24"/>
          <w:szCs w:val="24"/>
        </w:rPr>
        <w:t>/日收取违约金，逾期超过</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日的，甲方有权自行清场，相应费用及风险由乙方承担。</w:t>
      </w:r>
    </w:p>
    <w:p w14:paraId="0D720453">
      <w:pPr>
        <w:pStyle w:val="2"/>
        <w:spacing w:after="0" w:line="500" w:lineRule="exact"/>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4.8乙方不按时进场开工，在甲方发出书面通知后的3日内仍不进场施工的，甲方有权解除合同，并没收乙方履约保证金。造成甲方工期延误或其它一切连带损失的，乙方应予赔偿。</w:t>
      </w:r>
    </w:p>
    <w:p w14:paraId="7E46FEF3">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十</w:t>
      </w:r>
      <w:r>
        <w:rPr>
          <w:rFonts w:hint="eastAsia" w:cs="宋体" w:asciiTheme="minorEastAsia" w:hAnsiTheme="minorEastAsia" w:eastAsiaTheme="minorEastAsia"/>
          <w:b/>
          <w:sz w:val="24"/>
          <w:szCs w:val="24"/>
          <w:lang w:val="en-US" w:eastAsia="zh-CN"/>
        </w:rPr>
        <w:t>二</w:t>
      </w:r>
      <w:r>
        <w:rPr>
          <w:rFonts w:hint="eastAsia" w:cs="宋体" w:asciiTheme="minorEastAsia" w:hAnsiTheme="minorEastAsia" w:eastAsiaTheme="minorEastAsia"/>
          <w:b/>
          <w:sz w:val="24"/>
          <w:szCs w:val="24"/>
        </w:rPr>
        <w:t>、合同终止和争议解决</w:t>
      </w:r>
    </w:p>
    <w:p w14:paraId="66E37ACC">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合同的解除</w:t>
      </w:r>
    </w:p>
    <w:p w14:paraId="4DB4FE9F">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本合同在发生以下情况时解除：</w:t>
      </w:r>
    </w:p>
    <w:p w14:paraId="78BE6820">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经双方协商一致，以书面协议方式解除。</w:t>
      </w:r>
    </w:p>
    <w:p w14:paraId="21E41E00">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因发生不可抗力致使不能实现合同目的而解除。</w:t>
      </w:r>
    </w:p>
    <w:p w14:paraId="489E4499">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一方违约后，违约方应立即予以更正，违约方自违约之日起7日内未更正的，守约方有权以书面方式通知违约方解除合同，并要求违约方承担违约责任。</w:t>
      </w:r>
    </w:p>
    <w:p w14:paraId="3532F328">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本合同规定的其他终止事项。</w:t>
      </w:r>
    </w:p>
    <w:p w14:paraId="2DFF4670">
      <w:pPr>
        <w:pStyle w:val="2"/>
        <w:snapToGrid w:val="0"/>
        <w:spacing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.2</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本合同解除后，有过错的一方应当赔偿因合同解除给对方造成的损失。乙方应妥善做好已完工程和已购材料设备及施工文件的保护和移交工作，按甲方要求将自有设备和人员撤出施工场地，负责已经订货的材料设备的退货或解除订货合同，并承担不能退还的货款和因退货、解除订货合同发生的费用。</w:t>
      </w:r>
    </w:p>
    <w:p w14:paraId="11872575">
      <w:pPr>
        <w:snapToGrid w:val="0"/>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2.在履行本合同的过程中发生争议，双方应当友好协商解决，也可以请求有关部门进行调解。双方当事人和解或调解不成，可采取以下第2种方式解决。</w:t>
      </w:r>
    </w:p>
    <w:p w14:paraId="3623F704">
      <w:pPr>
        <w:snapToGrid w:val="0"/>
        <w:spacing w:line="50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（1）双方同意由广州市仲裁委员会东莞分会按中国法律及该会仲裁规则仲裁。</w:t>
      </w:r>
    </w:p>
    <w:p w14:paraId="3F7311E9">
      <w:pPr>
        <w:snapToGrid w:val="0"/>
        <w:spacing w:line="50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（2）双方约定向工程所在地人民法院起诉。</w:t>
      </w:r>
    </w:p>
    <w:p w14:paraId="709C7FA5">
      <w:pPr>
        <w:pStyle w:val="2"/>
        <w:snapToGrid w:val="0"/>
        <w:spacing w:after="0" w:line="500" w:lineRule="exact"/>
        <w:jc w:val="left"/>
        <w:rPr>
          <w:rFonts w:asciiTheme="minorEastAsia" w:hAnsiTheme="minorEastAsia" w:eastAsiaTheme="minorEastAsia"/>
          <w:sz w:val="24"/>
          <w:szCs w:val="24"/>
        </w:rPr>
      </w:pPr>
    </w:p>
    <w:p w14:paraId="47BCC293">
      <w:pPr>
        <w:spacing w:line="50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十</w:t>
      </w:r>
      <w:r>
        <w:rPr>
          <w:rFonts w:hint="eastAsia" w:cs="宋体" w:asciiTheme="minorEastAsia" w:hAnsiTheme="minorEastAsia" w:eastAsiaTheme="minorEastAsia"/>
          <w:b/>
          <w:sz w:val="24"/>
          <w:szCs w:val="24"/>
          <w:lang w:val="en-US" w:eastAsia="zh-CN"/>
        </w:rPr>
        <w:t>三</w:t>
      </w:r>
      <w:r>
        <w:rPr>
          <w:rFonts w:hint="eastAsia" w:cs="宋体" w:asciiTheme="minorEastAsia" w:hAnsiTheme="minorEastAsia" w:eastAsiaTheme="minorEastAsia"/>
          <w:b/>
          <w:sz w:val="24"/>
          <w:szCs w:val="24"/>
        </w:rPr>
        <w:t>、其他</w:t>
      </w:r>
    </w:p>
    <w:p w14:paraId="3F5A47E1">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1.对本合同任何条款的修改、补充或变更，双方必须签订书面协议并签字盖章后方可生效。本合同附件及补充协议与本合同具有同等法律效力。</w:t>
      </w:r>
    </w:p>
    <w:p w14:paraId="59143DF4">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2.本合同经双方签字盖章后生效，一式</w:t>
      </w:r>
      <w:r>
        <w:rPr>
          <w:rFonts w:hint="eastAsia" w:cs="宋体" w:asciiTheme="minorEastAsia" w:hAnsiTheme="minorEastAsia" w:eastAsiaTheme="minorEastAsia"/>
          <w:sz w:val="24"/>
          <w:szCs w:val="24"/>
          <w:u w:val="single"/>
          <w:lang w:val="en-US" w:eastAsia="zh-CN"/>
        </w:rPr>
        <w:t>伍</w:t>
      </w:r>
      <w:r>
        <w:rPr>
          <w:rFonts w:hint="eastAsia" w:cs="宋体" w:asciiTheme="minorEastAsia" w:hAnsiTheme="minorEastAsia" w:eastAsiaTheme="minorEastAsia"/>
          <w:sz w:val="24"/>
          <w:szCs w:val="24"/>
        </w:rPr>
        <w:t>份，甲方</w:t>
      </w:r>
      <w:r>
        <w:rPr>
          <w:rFonts w:hint="eastAsia" w:cs="宋体" w:asciiTheme="minorEastAsia" w:hAnsiTheme="minorEastAsia" w:eastAsiaTheme="minorEastAsia"/>
          <w:sz w:val="24"/>
          <w:szCs w:val="24"/>
          <w:u w:val="single"/>
          <w:lang w:val="en-US" w:eastAsia="zh-CN"/>
        </w:rPr>
        <w:t>叁</w:t>
      </w:r>
      <w:r>
        <w:rPr>
          <w:rFonts w:hint="eastAsia" w:cs="宋体" w:asciiTheme="minorEastAsia" w:hAnsiTheme="minorEastAsia" w:eastAsiaTheme="minorEastAsia"/>
          <w:sz w:val="24"/>
          <w:szCs w:val="24"/>
        </w:rPr>
        <w:t>份，乙方</w:t>
      </w:r>
      <w:r>
        <w:rPr>
          <w:rFonts w:hint="eastAsia" w:cs="宋体" w:asciiTheme="minorEastAsia" w:hAnsiTheme="minorEastAsia" w:eastAsiaTheme="minorEastAsia"/>
          <w:sz w:val="24"/>
          <w:szCs w:val="24"/>
          <w:u w:val="single"/>
        </w:rPr>
        <w:t>贰</w:t>
      </w:r>
      <w:r>
        <w:rPr>
          <w:rFonts w:hint="eastAsia" w:cs="宋体" w:asciiTheme="minorEastAsia" w:hAnsiTheme="minorEastAsia" w:eastAsiaTheme="minorEastAsia"/>
          <w:sz w:val="24"/>
          <w:szCs w:val="24"/>
        </w:rPr>
        <w:t>份，均具同等法律效力。</w:t>
      </w:r>
    </w:p>
    <w:p w14:paraId="19603CB1">
      <w:pPr>
        <w:spacing w:line="50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3.本合同附件：</w:t>
      </w:r>
    </w:p>
    <w:p w14:paraId="5723A7BE">
      <w:pPr>
        <w:spacing w:line="500" w:lineRule="exact"/>
        <w:rPr>
          <w:rFonts w:cs="宋体" w:asciiTheme="minorEastAsia" w:hAnsiTheme="minorEastAsia" w:eastAsiaTheme="minorEastAsia"/>
          <w:sz w:val="24"/>
          <w:szCs w:val="24"/>
        </w:rPr>
      </w:pPr>
      <w:bookmarkStart w:id="23" w:name="_Hlk91419781"/>
      <w:r>
        <w:rPr>
          <w:rFonts w:hint="eastAsia" w:cs="宋体" w:asciiTheme="minorEastAsia" w:hAnsiTheme="minorEastAsia" w:eastAsiaTheme="minorEastAsia"/>
          <w:sz w:val="24"/>
          <w:szCs w:val="24"/>
        </w:rPr>
        <w:t>附件1：《海心沙环保热电厂#1、#2厌氧罐外立面防腐采购项目技术需求书》</w:t>
      </w:r>
      <w:bookmarkEnd w:id="23"/>
    </w:p>
    <w:p w14:paraId="57CF6A88">
      <w:pPr>
        <w:spacing w:beforeLines="0" w:line="24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附件2：《外包安全协议》</w:t>
      </w:r>
    </w:p>
    <w:p w14:paraId="4DC2002C">
      <w:pPr>
        <w:pStyle w:val="2"/>
        <w:spacing w:after="0" w:line="500" w:lineRule="exact"/>
        <w:jc w:val="left"/>
        <w:rPr>
          <w:rFonts w:asciiTheme="minorEastAsia" w:hAnsiTheme="minorEastAsia" w:eastAsiaTheme="minorEastAsia"/>
          <w:sz w:val="24"/>
          <w:szCs w:val="24"/>
        </w:rPr>
      </w:pPr>
      <w:r>
        <w:rPr>
          <w:rFonts w:hint="eastAsia" w:cs="宋体" w:asciiTheme="minorEastAsia" w:hAnsiTheme="minorEastAsia" w:eastAsiaTheme="minorEastAsia"/>
          <w:sz w:val="24"/>
          <w:szCs w:val="24"/>
        </w:rPr>
        <w:t>附件</w:t>
      </w:r>
      <w:r>
        <w:rPr>
          <w:rFonts w:cs="宋体" w:asciiTheme="minorEastAsia" w:hAnsiTheme="minorEastAsia" w:eastAsiaTheme="minorEastAsia"/>
          <w:sz w:val="24"/>
          <w:szCs w:val="24"/>
        </w:rPr>
        <w:t>3</w:t>
      </w:r>
      <w:r>
        <w:rPr>
          <w:rFonts w:hint="eastAsia" w:cs="宋体" w:asciiTheme="minorEastAsia" w:hAnsiTheme="minorEastAsia" w:eastAsiaTheme="minorEastAsia"/>
          <w:sz w:val="24"/>
          <w:szCs w:val="24"/>
        </w:rPr>
        <w:t>：《阳光合作协议》</w:t>
      </w:r>
    </w:p>
    <w:p w14:paraId="69CFC4B2">
      <w:pPr>
        <w:snapToGrid w:val="0"/>
        <w:spacing w:line="500" w:lineRule="exact"/>
        <w:jc w:val="left"/>
        <w:rPr>
          <w:rFonts w:asciiTheme="minorEastAsia" w:hAnsiTheme="minorEastAsia" w:eastAsiaTheme="minorEastAsia"/>
          <w:sz w:val="24"/>
          <w:szCs w:val="24"/>
        </w:rPr>
      </w:pPr>
      <w:r>
        <w:rPr>
          <w:rFonts w:cs="宋体" w:asciiTheme="minorEastAsia" w:hAnsiTheme="minorEastAsia" w:eastAsiaTheme="minorEastAsia"/>
          <w:color w:val="FF0000"/>
          <w:sz w:val="24"/>
          <w:szCs w:val="24"/>
        </w:rPr>
        <w:br w:type="page"/>
      </w:r>
      <w:r>
        <w:rPr>
          <w:rFonts w:hint="eastAsia" w:asciiTheme="minorEastAsia" w:hAnsiTheme="minorEastAsia" w:eastAsiaTheme="minorEastAsia"/>
          <w:sz w:val="24"/>
          <w:szCs w:val="24"/>
        </w:rPr>
        <w:t>（本页无正文）</w:t>
      </w:r>
    </w:p>
    <w:p w14:paraId="47B6BA6A">
      <w:pPr>
        <w:spacing w:line="500" w:lineRule="exact"/>
        <w:ind w:left="6972" w:leftChars="-101" w:hanging="7214" w:hangingChars="3006"/>
        <w:rPr>
          <w:rFonts w:cs="楷体" w:asciiTheme="minorEastAsia" w:hAnsiTheme="minorEastAsia" w:eastAsiaTheme="minorEastAsia"/>
          <w:sz w:val="24"/>
          <w:szCs w:val="24"/>
        </w:rPr>
      </w:pPr>
    </w:p>
    <w:p w14:paraId="471EEF7C">
      <w:pPr>
        <w:spacing w:line="500" w:lineRule="exact"/>
        <w:ind w:left="6972" w:leftChars="-101" w:hanging="7214" w:hangingChars="3006"/>
        <w:rPr>
          <w:rFonts w:cs="楷体" w:asciiTheme="minorEastAsia" w:hAnsiTheme="minorEastAsia" w:eastAsiaTheme="minorEastAsia"/>
          <w:sz w:val="24"/>
          <w:szCs w:val="24"/>
        </w:rPr>
      </w:pPr>
    </w:p>
    <w:p w14:paraId="450A201D">
      <w:pPr>
        <w:spacing w:line="500" w:lineRule="exact"/>
        <w:jc w:val="left"/>
        <w:rPr>
          <w:rFonts w:cs="楷体" w:asciiTheme="minorEastAsia" w:hAnsiTheme="minorEastAsia" w:eastAsiaTheme="minorEastAsia"/>
          <w:sz w:val="24"/>
          <w:szCs w:val="24"/>
        </w:rPr>
      </w:pPr>
      <w:r>
        <w:rPr>
          <w:rFonts w:hint="eastAsia" w:cs="楷体" w:asciiTheme="minorEastAsia" w:hAnsiTheme="minorEastAsia" w:eastAsiaTheme="minorEastAsia"/>
          <w:b/>
          <w:bCs/>
          <w:sz w:val="24"/>
          <w:szCs w:val="24"/>
        </w:rPr>
        <w:t xml:space="preserve">甲方： </w:t>
      </w:r>
      <w:r>
        <w:rPr>
          <w:rFonts w:hint="eastAsia" w:cs="楷体" w:asciiTheme="minorEastAsia" w:hAnsiTheme="minorEastAsia" w:eastAsiaTheme="minorEastAsia"/>
          <w:b/>
          <w:bCs/>
          <w:sz w:val="24"/>
          <w:szCs w:val="24"/>
          <w:u w:val="single"/>
          <w:lang w:val="en-US" w:eastAsia="zh-CN"/>
        </w:rPr>
        <w:t>东莞市新东元环保投资有限公司</w:t>
      </w:r>
      <w:r>
        <w:rPr>
          <w:rFonts w:hint="eastAsia" w:cs="楷体" w:asciiTheme="minorEastAsia" w:hAnsiTheme="minorEastAsia" w:eastAsiaTheme="minorEastAsia"/>
          <w:sz w:val="24"/>
          <w:szCs w:val="24"/>
        </w:rPr>
        <w:t>（盖章）</w:t>
      </w:r>
    </w:p>
    <w:p w14:paraId="65EED528">
      <w:pPr>
        <w:spacing w:line="500" w:lineRule="exact"/>
        <w:jc w:val="left"/>
        <w:rPr>
          <w:rFonts w:cs="楷体" w:asciiTheme="minorEastAsia" w:hAnsiTheme="minorEastAsia" w:eastAsiaTheme="minorEastAsia"/>
          <w:sz w:val="24"/>
          <w:szCs w:val="24"/>
        </w:rPr>
      </w:pPr>
    </w:p>
    <w:p w14:paraId="4B5C9703">
      <w:pPr>
        <w:spacing w:line="500" w:lineRule="exact"/>
        <w:rPr>
          <w:rFonts w:cs="楷体" w:asciiTheme="minorEastAsia" w:hAnsiTheme="minorEastAsia" w:eastAsiaTheme="minorEastAsia"/>
          <w:sz w:val="24"/>
          <w:szCs w:val="24"/>
        </w:rPr>
      </w:pPr>
      <w:r>
        <w:rPr>
          <w:rFonts w:hint="eastAsia" w:cs="楷体" w:asciiTheme="minorEastAsia" w:hAnsiTheme="minorEastAsia" w:eastAsiaTheme="minorEastAsia"/>
          <w:b/>
          <w:bCs/>
          <w:sz w:val="24"/>
          <w:szCs w:val="24"/>
        </w:rPr>
        <w:t>法定代表人/委托代理人：</w:t>
      </w:r>
      <w:r>
        <w:rPr>
          <w:rFonts w:hint="eastAsia" w:cs="楷体" w:asciiTheme="minorEastAsia" w:hAnsiTheme="minorEastAsia" w:eastAsiaTheme="minorEastAsia"/>
          <w:sz w:val="24"/>
          <w:szCs w:val="24"/>
          <w:u w:val="single"/>
        </w:rPr>
        <w:t xml:space="preserve">                    </w:t>
      </w:r>
      <w:r>
        <w:rPr>
          <w:rFonts w:hint="eastAsia" w:cs="楷体" w:asciiTheme="minorEastAsia" w:hAnsiTheme="minorEastAsia" w:eastAsiaTheme="minorEastAsia"/>
          <w:sz w:val="24"/>
          <w:szCs w:val="24"/>
        </w:rPr>
        <w:t>（</w:t>
      </w:r>
      <w:r>
        <w:rPr>
          <w:rFonts w:hint="eastAsia" w:cs="宋体" w:asciiTheme="minorEastAsia" w:hAnsiTheme="minorEastAsia" w:eastAsiaTheme="minorEastAsia"/>
          <w:sz w:val="24"/>
          <w:szCs w:val="24"/>
        </w:rPr>
        <w:t>签字/盖章</w:t>
      </w:r>
      <w:r>
        <w:rPr>
          <w:rFonts w:hint="eastAsia" w:cs="楷体" w:asciiTheme="minorEastAsia" w:hAnsiTheme="minorEastAsia" w:eastAsiaTheme="minorEastAsia"/>
          <w:sz w:val="24"/>
          <w:szCs w:val="24"/>
        </w:rPr>
        <w:t>）</w:t>
      </w:r>
    </w:p>
    <w:p w14:paraId="6F9BD070">
      <w:pPr>
        <w:spacing w:line="500" w:lineRule="exact"/>
        <w:rPr>
          <w:rFonts w:cs="楷体" w:asciiTheme="minorEastAsia" w:hAnsiTheme="minorEastAsia" w:eastAsiaTheme="minorEastAsia"/>
          <w:sz w:val="24"/>
          <w:szCs w:val="24"/>
        </w:rPr>
      </w:pPr>
    </w:p>
    <w:p w14:paraId="5DB985B2">
      <w:pPr>
        <w:spacing w:line="500" w:lineRule="exact"/>
        <w:jc w:val="right"/>
        <w:rPr>
          <w:rFonts w:cs="楷体" w:asciiTheme="minorEastAsia" w:hAnsiTheme="minorEastAsia" w:eastAsiaTheme="minorEastAsia"/>
          <w:sz w:val="24"/>
          <w:szCs w:val="24"/>
        </w:rPr>
      </w:pPr>
      <w:r>
        <w:rPr>
          <w:rFonts w:hint="eastAsia" w:cs="楷体" w:asciiTheme="minorEastAsia" w:hAnsiTheme="minorEastAsia" w:eastAsiaTheme="minorEastAsia"/>
          <w:sz w:val="24"/>
          <w:szCs w:val="24"/>
          <w:lang w:val="en-US" w:eastAsia="zh-CN"/>
        </w:rPr>
        <w:t>2025</w:t>
      </w:r>
      <w:r>
        <w:rPr>
          <w:rFonts w:hint="eastAsia" w:cs="楷体" w:asciiTheme="minorEastAsia" w:hAnsiTheme="minorEastAsia" w:eastAsiaTheme="minorEastAsia"/>
          <w:sz w:val="24"/>
          <w:szCs w:val="24"/>
        </w:rPr>
        <w:t>年      月      日</w:t>
      </w:r>
    </w:p>
    <w:p w14:paraId="2964CD97">
      <w:pPr>
        <w:spacing w:line="500" w:lineRule="exact"/>
        <w:rPr>
          <w:rFonts w:cs="楷体" w:asciiTheme="minorEastAsia" w:hAnsiTheme="minorEastAsia" w:eastAsiaTheme="minorEastAsia"/>
          <w:sz w:val="24"/>
          <w:szCs w:val="24"/>
        </w:rPr>
      </w:pPr>
    </w:p>
    <w:p w14:paraId="7EED12E5">
      <w:pPr>
        <w:spacing w:line="500" w:lineRule="exact"/>
        <w:rPr>
          <w:rFonts w:cs="楷体" w:asciiTheme="minorEastAsia" w:hAnsiTheme="minorEastAsia" w:eastAsiaTheme="minorEastAsia"/>
          <w:sz w:val="24"/>
          <w:szCs w:val="24"/>
        </w:rPr>
      </w:pPr>
    </w:p>
    <w:p w14:paraId="7EC2CD85">
      <w:pPr>
        <w:spacing w:line="500" w:lineRule="exact"/>
        <w:rPr>
          <w:rFonts w:cs="楷体" w:asciiTheme="minorEastAsia" w:hAnsiTheme="minorEastAsia" w:eastAsiaTheme="minorEastAsia"/>
          <w:b/>
          <w:bCs/>
          <w:sz w:val="24"/>
          <w:szCs w:val="24"/>
        </w:rPr>
      </w:pPr>
      <w:r>
        <w:rPr>
          <w:rFonts w:hint="eastAsia" w:cs="楷体" w:asciiTheme="minorEastAsia" w:hAnsiTheme="minorEastAsia" w:eastAsiaTheme="minorEastAsia"/>
          <w:b/>
          <w:bCs/>
          <w:sz w:val="24"/>
          <w:szCs w:val="24"/>
        </w:rPr>
        <w:t xml:space="preserve">乙方： </w:t>
      </w:r>
      <w:r>
        <w:rPr>
          <w:rFonts w:cs="楷体" w:asciiTheme="minorEastAsia" w:hAnsiTheme="minorEastAsia" w:eastAsiaTheme="minorEastAsia"/>
          <w:b/>
          <w:bCs/>
          <w:sz w:val="24"/>
          <w:szCs w:val="24"/>
          <w:u w:val="single"/>
        </w:rPr>
        <w:t xml:space="preserve"> </w:t>
      </w:r>
      <w:r>
        <w:rPr>
          <w:rFonts w:hint="eastAsia" w:cs="楷体" w:asciiTheme="minorEastAsia" w:hAnsiTheme="minorEastAsia" w:eastAsiaTheme="minorEastAsia"/>
          <w:sz w:val="24"/>
          <w:szCs w:val="24"/>
          <w:u w:val="single"/>
        </w:rPr>
        <w:t xml:space="preserve">    </w:t>
      </w:r>
      <w:r>
        <w:rPr>
          <w:rFonts w:cs="楷体" w:asciiTheme="minorEastAsia" w:hAnsiTheme="minorEastAsia" w:eastAsiaTheme="minorEastAsia"/>
          <w:sz w:val="24"/>
          <w:szCs w:val="24"/>
          <w:u w:val="single"/>
        </w:rPr>
        <w:t xml:space="preserve">      </w:t>
      </w:r>
      <w:r>
        <w:rPr>
          <w:rFonts w:hint="eastAsia" w:cs="楷体" w:asciiTheme="minorEastAsia" w:hAnsiTheme="minorEastAsia" w:eastAsiaTheme="minorEastAsia"/>
          <w:sz w:val="24"/>
          <w:szCs w:val="24"/>
          <w:u w:val="single"/>
        </w:rPr>
        <w:t xml:space="preserve"> </w:t>
      </w:r>
      <w:r>
        <w:rPr>
          <w:rFonts w:cs="楷体" w:asciiTheme="minorEastAsia" w:hAnsiTheme="minorEastAsia" w:eastAsiaTheme="minorEastAsia"/>
          <w:sz w:val="24"/>
          <w:szCs w:val="24"/>
          <w:u w:val="single"/>
        </w:rPr>
        <w:t xml:space="preserve">                </w:t>
      </w:r>
      <w:r>
        <w:rPr>
          <w:rFonts w:hint="eastAsia" w:cs="楷体" w:asciiTheme="minorEastAsia" w:hAnsiTheme="minorEastAsia" w:eastAsiaTheme="minorEastAsia"/>
          <w:sz w:val="24"/>
          <w:szCs w:val="24"/>
        </w:rPr>
        <w:t>（盖章）</w:t>
      </w:r>
    </w:p>
    <w:p w14:paraId="18E98C1E">
      <w:pPr>
        <w:spacing w:line="500" w:lineRule="exact"/>
        <w:rPr>
          <w:rFonts w:cs="楷体" w:asciiTheme="minorEastAsia" w:hAnsiTheme="minorEastAsia" w:eastAsiaTheme="minorEastAsia"/>
          <w:sz w:val="24"/>
          <w:szCs w:val="24"/>
        </w:rPr>
      </w:pPr>
    </w:p>
    <w:p w14:paraId="50A72E39">
      <w:pPr>
        <w:spacing w:line="500" w:lineRule="exact"/>
        <w:rPr>
          <w:rFonts w:cs="楷体" w:asciiTheme="minorEastAsia" w:hAnsiTheme="minorEastAsia" w:eastAsiaTheme="minorEastAsia"/>
          <w:sz w:val="24"/>
          <w:szCs w:val="24"/>
        </w:rPr>
      </w:pPr>
      <w:r>
        <w:rPr>
          <w:rFonts w:hint="eastAsia" w:cs="楷体" w:asciiTheme="minorEastAsia" w:hAnsiTheme="minorEastAsia" w:eastAsiaTheme="minorEastAsia"/>
          <w:b/>
          <w:bCs/>
          <w:sz w:val="24"/>
          <w:szCs w:val="24"/>
        </w:rPr>
        <w:t>法定代表人/委托代理人：</w:t>
      </w:r>
      <w:r>
        <w:rPr>
          <w:rFonts w:hint="eastAsia" w:cs="楷体" w:asciiTheme="minorEastAsia" w:hAnsiTheme="minorEastAsia" w:eastAsiaTheme="minorEastAsia"/>
          <w:sz w:val="24"/>
          <w:szCs w:val="24"/>
          <w:u w:val="single"/>
        </w:rPr>
        <w:t xml:space="preserve">                   </w:t>
      </w:r>
      <w:r>
        <w:rPr>
          <w:rFonts w:hint="eastAsia" w:cs="楷体" w:asciiTheme="minorEastAsia" w:hAnsiTheme="minorEastAsia" w:eastAsiaTheme="minorEastAsia"/>
          <w:sz w:val="24"/>
          <w:szCs w:val="24"/>
        </w:rPr>
        <w:t>（签字/盖章）</w:t>
      </w:r>
    </w:p>
    <w:p w14:paraId="3F3AB465">
      <w:pPr>
        <w:spacing w:line="500" w:lineRule="exact"/>
        <w:ind w:firstLine="4800" w:firstLineChars="2000"/>
        <w:rPr>
          <w:rFonts w:cs="楷体" w:asciiTheme="minorEastAsia" w:hAnsiTheme="minorEastAsia" w:eastAsiaTheme="minorEastAsia"/>
          <w:sz w:val="24"/>
          <w:szCs w:val="24"/>
        </w:rPr>
      </w:pPr>
    </w:p>
    <w:p w14:paraId="63CB5452">
      <w:pPr>
        <w:spacing w:line="500" w:lineRule="exact"/>
        <w:ind w:firstLine="4800" w:firstLineChars="2000"/>
        <w:rPr>
          <w:rFonts w:cs="楷体" w:asciiTheme="minorEastAsia" w:hAnsiTheme="minorEastAsia" w:eastAsiaTheme="minorEastAsia"/>
          <w:sz w:val="24"/>
          <w:szCs w:val="24"/>
        </w:rPr>
      </w:pPr>
      <w:r>
        <w:rPr>
          <w:rFonts w:hint="eastAsia" w:cs="楷体" w:asciiTheme="minorEastAsia" w:hAnsiTheme="minorEastAsia" w:eastAsiaTheme="minorEastAsia"/>
          <w:sz w:val="24"/>
          <w:szCs w:val="24"/>
          <w:lang w:val="en-US" w:eastAsia="zh-CN"/>
        </w:rPr>
        <w:t>2025</w:t>
      </w:r>
      <w:r>
        <w:rPr>
          <w:rFonts w:hint="eastAsia" w:cs="楷体" w:asciiTheme="minorEastAsia" w:hAnsiTheme="minorEastAsia" w:eastAsiaTheme="minorEastAsia"/>
          <w:sz w:val="24"/>
          <w:szCs w:val="24"/>
        </w:rPr>
        <w:t>年      月      日</w:t>
      </w:r>
    </w:p>
    <w:p w14:paraId="252BD559">
      <w:pPr>
        <w:rPr>
          <w:highlight w:val="none"/>
        </w:rPr>
      </w:pPr>
      <w:r>
        <w:rPr>
          <w:highlight w:val="none"/>
        </w:rPr>
        <w:br w:type="page"/>
      </w:r>
    </w:p>
    <w:p w14:paraId="4FABD526">
      <w:pPr>
        <w:spacing w:beforeLines="-2147483648" w:line="360" w:lineRule="auto"/>
        <w:jc w:val="both"/>
        <w:rPr>
          <w:rFonts w:hint="eastAsia" w:ascii="宋体" w:hAnsi="宋体" w:eastAsia="宋体"/>
          <w:b/>
          <w:bCs/>
          <w:sz w:val="24"/>
          <w:szCs w:val="24"/>
          <w:highlight w:val="none"/>
        </w:rPr>
      </w:pPr>
      <w:r>
        <w:rPr>
          <w:rFonts w:hint="eastAsia" w:ascii="宋体" w:hAnsi="宋体" w:eastAsia="宋体"/>
          <w:b/>
          <w:bCs/>
          <w:sz w:val="24"/>
          <w:szCs w:val="24"/>
          <w:highlight w:val="none"/>
        </w:rPr>
        <w:t>附件</w:t>
      </w:r>
      <w:r>
        <w:rPr>
          <w:rFonts w:hint="eastAsia" w:ascii="宋体" w:hAnsi="宋体" w:eastAsia="宋体"/>
          <w:b/>
          <w:bCs/>
          <w:sz w:val="24"/>
          <w:szCs w:val="24"/>
          <w:highlight w:val="none"/>
          <w:lang w:val="en-US" w:eastAsia="zh-CN"/>
        </w:rPr>
        <w:t>一</w:t>
      </w:r>
      <w:r>
        <w:rPr>
          <w:rFonts w:hint="eastAsia" w:ascii="宋体" w:hAnsi="宋体" w:eastAsia="宋体"/>
          <w:b/>
          <w:bCs/>
          <w:sz w:val="24"/>
          <w:szCs w:val="24"/>
          <w:highlight w:val="none"/>
        </w:rPr>
        <w:t>：</w:t>
      </w:r>
      <w:r>
        <w:rPr>
          <w:rFonts w:hint="eastAsia" w:ascii="宋体" w:hAnsi="宋体" w:cs="宋体"/>
          <w:sz w:val="24"/>
          <w:highlight w:val="none"/>
          <w:lang w:eastAsia="zh-CN"/>
        </w:rPr>
        <w:t>《</w:t>
      </w:r>
      <w:r>
        <w:rPr>
          <w:rFonts w:hint="eastAsia" w:cs="宋体" w:asciiTheme="minorEastAsia" w:hAnsiTheme="minorEastAsia" w:eastAsiaTheme="minorEastAsia"/>
          <w:sz w:val="24"/>
          <w:szCs w:val="24"/>
        </w:rPr>
        <w:t>海心沙环保热电厂#1、#2厌氧罐外立面防腐采购项目</w:t>
      </w:r>
      <w:r>
        <w:rPr>
          <w:rFonts w:hint="eastAsia" w:ascii="宋体" w:hAnsi="宋体" w:cs="宋体"/>
          <w:sz w:val="24"/>
          <w:highlight w:val="none"/>
          <w:lang w:eastAsia="zh-CN"/>
        </w:rPr>
        <w:t>技术需求书》</w:t>
      </w:r>
    </w:p>
    <w:p w14:paraId="6593786D">
      <w:pPr>
        <w:widowControl w:val="0"/>
        <w:snapToGrid w:val="0"/>
        <w:spacing w:beforeLines="0" w:line="240" w:lineRule="auto"/>
        <w:jc w:val="center"/>
        <w:rPr>
          <w:rFonts w:hint="eastAsia" w:ascii="宋体" w:hAnsi="宋体" w:eastAsia="宋体" w:cs="Times New Roman"/>
          <w:kern w:val="2"/>
          <w:sz w:val="21"/>
          <w:highlight w:val="none"/>
          <w:lang w:val="en-US" w:eastAsia="zh-CN" w:bidi="ar-SA"/>
        </w:rPr>
      </w:pPr>
    </w:p>
    <w:p w14:paraId="32FDA6D9">
      <w:pPr>
        <w:spacing w:beforeLines="-2147483648" w:line="240" w:lineRule="auto"/>
        <w:jc w:val="both"/>
        <w:rPr>
          <w:sz w:val="21"/>
          <w:szCs w:val="20"/>
          <w:highlight w:val="none"/>
        </w:rPr>
      </w:pPr>
    </w:p>
    <w:p w14:paraId="57AAC1B6">
      <w:pPr>
        <w:spacing w:beforeLines="-2147483648" w:line="240" w:lineRule="auto"/>
        <w:jc w:val="left"/>
        <w:rPr>
          <w:rFonts w:hint="eastAsia" w:ascii="宋体" w:hAnsi="宋体" w:eastAsia="宋体"/>
          <w:b/>
          <w:bCs/>
          <w:sz w:val="24"/>
          <w:szCs w:val="24"/>
          <w:highlight w:val="none"/>
        </w:rPr>
      </w:pPr>
      <w:r>
        <w:rPr>
          <w:rFonts w:hint="eastAsia" w:ascii="宋体" w:hAnsi="宋体" w:eastAsia="宋体"/>
          <w:b/>
          <w:bCs/>
          <w:sz w:val="24"/>
          <w:szCs w:val="24"/>
          <w:highlight w:val="none"/>
        </w:rPr>
        <w:br w:type="page"/>
      </w:r>
    </w:p>
    <w:p w14:paraId="041F4801">
      <w:pPr>
        <w:numPr>
          <w:ilvl w:val="-1"/>
          <w:numId w:val="0"/>
        </w:numPr>
        <w:spacing w:before="0" w:beforeLines="-2147483648" w:line="240" w:lineRule="auto"/>
        <w:jc w:val="both"/>
        <w:rPr>
          <w:sz w:val="21"/>
          <w:szCs w:val="20"/>
          <w:highlight w:val="none"/>
        </w:rPr>
      </w:pPr>
      <w:r>
        <w:rPr>
          <w:rFonts w:hint="eastAsia" w:ascii="宋体" w:hAnsi="宋体" w:eastAsia="宋体"/>
          <w:b/>
          <w:bCs/>
          <w:sz w:val="24"/>
          <w:szCs w:val="24"/>
          <w:highlight w:val="none"/>
        </w:rPr>
        <w:t>附</w:t>
      </w:r>
      <w:r>
        <w:rPr>
          <w:rFonts w:hint="eastAsia"/>
          <w:b/>
          <w:bCs/>
          <w:sz w:val="24"/>
          <w:szCs w:val="24"/>
          <w:highlight w:val="none"/>
        </w:rPr>
        <w:t>件二</w:t>
      </w:r>
    </w:p>
    <w:p w14:paraId="3EF5FB1C">
      <w:pPr>
        <w:jc w:val="center"/>
        <w:rPr>
          <w:rFonts w:ascii="宋体" w:hAnsi="宋体" w:eastAsia="宋体"/>
          <w:b/>
          <w:bCs/>
          <w:sz w:val="30"/>
          <w:szCs w:val="30"/>
        </w:rPr>
      </w:pPr>
      <w:bookmarkStart w:id="24" w:name="_Toc6170"/>
      <w:r>
        <w:rPr>
          <w:rFonts w:hint="eastAsia" w:ascii="宋体" w:hAnsi="宋体" w:eastAsia="宋体"/>
          <w:b/>
          <w:bCs/>
          <w:sz w:val="30"/>
          <w:szCs w:val="30"/>
          <w:lang w:val="zh-CN"/>
        </w:rPr>
        <w:t>外包安全协议</w:t>
      </w:r>
      <w:bookmarkEnd w:id="24"/>
    </w:p>
    <w:p w14:paraId="14192FCE">
      <w:pPr>
        <w:spacing w:line="560" w:lineRule="exact"/>
        <w:rPr>
          <w:rFonts w:ascii="宋体" w:hAnsi="宋体" w:eastAsia="宋体"/>
          <w:bCs/>
          <w:spacing w:val="-10"/>
          <w:sz w:val="24"/>
        </w:rPr>
      </w:pPr>
      <w:r>
        <w:rPr>
          <w:rFonts w:hint="eastAsia" w:ascii="宋体" w:hAnsi="宋体" w:eastAsia="宋体"/>
          <w:bCs/>
          <w:spacing w:val="-10"/>
          <w:sz w:val="24"/>
        </w:rPr>
        <w:t>发包单位：</w:t>
      </w:r>
      <w:r>
        <w:rPr>
          <w:rFonts w:hint="eastAsia" w:ascii="宋体" w:hAnsi="宋体" w:eastAsia="宋体"/>
          <w:bCs/>
          <w:spacing w:val="-10"/>
          <w:sz w:val="24"/>
          <w:u w:val="single"/>
        </w:rPr>
        <w:t xml:space="preserve"> 东莞市新东元环保投资有限公司 </w:t>
      </w:r>
      <w:r>
        <w:rPr>
          <w:rFonts w:hint="eastAsia" w:ascii="宋体" w:hAnsi="宋体" w:eastAsia="宋体"/>
          <w:bCs/>
          <w:spacing w:val="-10"/>
          <w:sz w:val="24"/>
        </w:rPr>
        <w:t xml:space="preserve">   （以下简称甲方）</w:t>
      </w:r>
    </w:p>
    <w:p w14:paraId="50180741">
      <w:pPr>
        <w:spacing w:line="560" w:lineRule="exact"/>
        <w:rPr>
          <w:rFonts w:ascii="宋体" w:hAnsi="宋体" w:eastAsia="宋体"/>
          <w:bCs/>
          <w:spacing w:val="-10"/>
          <w:sz w:val="24"/>
        </w:rPr>
      </w:pPr>
      <w:r>
        <w:rPr>
          <w:rFonts w:hint="eastAsia" w:ascii="宋体" w:hAnsi="宋体" w:eastAsia="宋体"/>
          <w:bCs/>
          <w:spacing w:val="-10"/>
          <w:sz w:val="24"/>
        </w:rPr>
        <w:t>承包单位：</w:t>
      </w:r>
      <w:r>
        <w:rPr>
          <w:rFonts w:hint="eastAsia" w:ascii="宋体" w:hAnsi="宋体" w:eastAsia="宋体"/>
          <w:bCs/>
          <w:spacing w:val="-10"/>
          <w:sz w:val="24"/>
          <w:u w:val="single"/>
        </w:rPr>
        <w:t xml:space="preserve"> </w:t>
      </w:r>
      <w:r>
        <w:rPr>
          <w:rFonts w:ascii="宋体" w:hAnsi="宋体" w:eastAsia="宋体"/>
          <w:bCs/>
          <w:spacing w:val="-10"/>
          <w:sz w:val="24"/>
          <w:u w:val="single"/>
        </w:rPr>
        <w:t xml:space="preserve">                              </w:t>
      </w:r>
      <w:r>
        <w:rPr>
          <w:rFonts w:hint="eastAsia" w:ascii="宋体" w:hAnsi="宋体" w:eastAsia="宋体"/>
          <w:bCs/>
          <w:spacing w:val="-10"/>
          <w:sz w:val="24"/>
          <w:u w:val="single"/>
        </w:rPr>
        <w:t xml:space="preserve"> </w:t>
      </w:r>
      <w:r>
        <w:rPr>
          <w:rFonts w:hint="eastAsia" w:ascii="宋体" w:hAnsi="宋体" w:eastAsia="宋体"/>
          <w:bCs/>
          <w:spacing w:val="-10"/>
          <w:sz w:val="24"/>
        </w:rPr>
        <w:t xml:space="preserve">   （以下简称乙方）</w:t>
      </w:r>
    </w:p>
    <w:p w14:paraId="37933C9B">
      <w:pPr>
        <w:spacing w:line="560" w:lineRule="exact"/>
        <w:jc w:val="left"/>
        <w:rPr>
          <w:rFonts w:ascii="宋体" w:hAnsi="宋体" w:eastAsia="宋体"/>
          <w:snapToGrid w:val="0"/>
          <w:color w:val="000000"/>
          <w:sz w:val="24"/>
          <w:szCs w:val="24"/>
        </w:rPr>
      </w:pPr>
      <w:r>
        <w:rPr>
          <w:rFonts w:hint="eastAsia" w:ascii="仿宋_GB2312" w:hAnsi="宋体" w:eastAsia="仿宋_GB2312" w:cs="宋体"/>
          <w:sz w:val="24"/>
        </w:rPr>
        <w:t xml:space="preserve">    </w:t>
      </w:r>
      <w:r>
        <w:rPr>
          <w:rFonts w:hint="eastAsia" w:ascii="宋体" w:hAnsi="宋体" w:eastAsia="宋体" w:cs="宋体"/>
          <w:sz w:val="24"/>
        </w:rPr>
        <w:t>根据甲方工作需要，</w:t>
      </w:r>
      <w:r>
        <w:rPr>
          <w:rFonts w:hint="eastAsia" w:ascii="宋体" w:hAnsi="宋体" w:eastAsia="宋体" w:cs="宋体"/>
          <w:sz w:val="24"/>
          <w:u w:val="single"/>
        </w:rPr>
        <w:t xml:space="preserve">现将    </w:t>
      </w:r>
      <w:r>
        <w:rPr>
          <w:rFonts w:ascii="宋体" w:hAnsi="宋体" w:eastAsia="宋体" w:cs="宋体"/>
          <w:sz w:val="24"/>
          <w:u w:val="single"/>
        </w:rPr>
        <w:t xml:space="preserve">        </w:t>
      </w:r>
      <w:r>
        <w:rPr>
          <w:rFonts w:hint="eastAsia" w:ascii="宋体" w:hAnsi="宋体" w:eastAsia="宋体" w:cs="宋体"/>
          <w:sz w:val="24"/>
          <w:u w:val="single"/>
        </w:rPr>
        <w:t xml:space="preserve">       项目（合同编号：          ）发包乙方</w:t>
      </w:r>
      <w:r>
        <w:rPr>
          <w:rFonts w:hint="eastAsia" w:ascii="宋体" w:hAnsi="宋体" w:eastAsia="宋体" w:cs="宋体"/>
          <w:sz w:val="24"/>
        </w:rPr>
        <w:t>，</w:t>
      </w:r>
      <w:r>
        <w:rPr>
          <w:rFonts w:hint="eastAsia" w:ascii="宋体" w:hAnsi="宋体" w:eastAsia="宋体"/>
          <w:snapToGrid w:val="0"/>
          <w:color w:val="000000"/>
          <w:sz w:val="24"/>
          <w:szCs w:val="24"/>
        </w:rPr>
        <w:t>为了确保实现甲方的安全生产目标，进一步明确双方的安全管理责任，加强安全生产管理工作的协调、管理力度，甲方与乙方依据国家安全生产相关的法律、法规、条例、标准、行业标准，双方同意签订该协议作为正式合同安全管理方面的补充规定，并承诺本协议具有与合同相同的法律效力。具体条款如下：</w:t>
      </w:r>
    </w:p>
    <w:p w14:paraId="6B00BF91">
      <w:pPr>
        <w:pStyle w:val="48"/>
        <w:spacing w:before="0" w:after="0" w:line="560" w:lineRule="exact"/>
        <w:jc w:val="left"/>
        <w:rPr>
          <w:rFonts w:ascii="宋体" w:hAnsi="宋体" w:eastAsia="宋体"/>
          <w:sz w:val="24"/>
          <w:szCs w:val="24"/>
        </w:rPr>
      </w:pPr>
      <w:r>
        <w:rPr>
          <w:rFonts w:hint="eastAsia" w:ascii="宋体" w:hAnsi="宋体" w:eastAsia="宋体"/>
          <w:sz w:val="24"/>
          <w:szCs w:val="24"/>
        </w:rPr>
        <w:t>一、协议有效期限</w:t>
      </w:r>
    </w:p>
    <w:p w14:paraId="6E872C0D">
      <w:pPr>
        <w:spacing w:line="560" w:lineRule="exact"/>
        <w:ind w:firstLine="480" w:firstLineChars="200"/>
        <w:rPr>
          <w:rFonts w:ascii="宋体" w:hAnsi="宋体" w:eastAsia="宋体"/>
          <w:snapToGrid w:val="0"/>
          <w:color w:val="000000"/>
          <w:sz w:val="24"/>
          <w:szCs w:val="24"/>
        </w:rPr>
      </w:pPr>
      <w:r>
        <w:rPr>
          <w:rFonts w:hint="eastAsia" w:ascii="宋体" w:hAnsi="宋体" w:eastAsia="宋体"/>
          <w:snapToGrid w:val="0"/>
          <w:color w:val="000000"/>
          <w:sz w:val="24"/>
          <w:szCs w:val="24"/>
        </w:rPr>
        <w:t>本协议中所涉及的安全管理责任自</w:t>
      </w:r>
      <w:r>
        <w:rPr>
          <w:rFonts w:hint="eastAsia" w:ascii="宋体" w:hAnsi="宋体"/>
          <w:snapToGrid w:val="0"/>
          <w:color w:val="000000"/>
          <w:sz w:val="24"/>
          <w:szCs w:val="24"/>
          <w:lang w:val="en-US" w:eastAsia="zh-CN"/>
        </w:rPr>
        <w:t>项目</w:t>
      </w:r>
      <w:r>
        <w:rPr>
          <w:rFonts w:hint="eastAsia" w:ascii="宋体" w:hAnsi="宋体" w:eastAsia="宋体"/>
          <w:snapToGrid w:val="0"/>
          <w:color w:val="000000"/>
          <w:sz w:val="24"/>
          <w:szCs w:val="24"/>
        </w:rPr>
        <w:t>合同签订之日起开始生效，至</w:t>
      </w:r>
      <w:r>
        <w:rPr>
          <w:rFonts w:hint="eastAsia" w:ascii="宋体" w:hAnsi="宋体"/>
          <w:snapToGrid w:val="0"/>
          <w:color w:val="000000"/>
          <w:sz w:val="24"/>
          <w:szCs w:val="24"/>
          <w:lang w:val="en-US" w:eastAsia="zh-CN"/>
        </w:rPr>
        <w:t>项目</w:t>
      </w:r>
      <w:r>
        <w:rPr>
          <w:rFonts w:hint="eastAsia" w:ascii="宋体" w:hAnsi="宋体" w:eastAsia="宋体"/>
          <w:snapToGrid w:val="0"/>
          <w:color w:val="000000"/>
          <w:sz w:val="24"/>
          <w:szCs w:val="24"/>
        </w:rPr>
        <w:t>合同终止之日。</w:t>
      </w:r>
    </w:p>
    <w:p w14:paraId="18E4F268">
      <w:pPr>
        <w:pStyle w:val="48"/>
        <w:spacing w:before="0" w:after="0" w:line="560" w:lineRule="exact"/>
        <w:jc w:val="left"/>
        <w:rPr>
          <w:rFonts w:ascii="宋体" w:hAnsi="宋体" w:eastAsia="宋体"/>
          <w:sz w:val="24"/>
          <w:szCs w:val="24"/>
        </w:rPr>
      </w:pPr>
      <w:r>
        <w:rPr>
          <w:rFonts w:hint="eastAsia" w:ascii="宋体" w:hAnsi="宋体" w:eastAsia="宋体"/>
          <w:sz w:val="24"/>
          <w:szCs w:val="24"/>
        </w:rPr>
        <w:t>二、安全管理目标</w:t>
      </w:r>
    </w:p>
    <w:p w14:paraId="419E6E3B">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(一)乙方承诺履行和承担合同和甲方程序所规定的安全责任，并完成如下控制目标：</w:t>
      </w:r>
    </w:p>
    <w:p w14:paraId="1B107051">
      <w:pPr>
        <w:pStyle w:val="254"/>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不发生重伤及以上人身伤亡事故；</w:t>
      </w:r>
    </w:p>
    <w:p w14:paraId="38179F75">
      <w:pPr>
        <w:pStyle w:val="254"/>
        <w:numPr>
          <w:ilvl w:val="0"/>
          <w:numId w:val="7"/>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不发生单项直接损失超过20万元以上的经济损失事故；</w:t>
      </w:r>
    </w:p>
    <w:p w14:paraId="3A3E9783">
      <w:pPr>
        <w:pStyle w:val="254"/>
        <w:numPr>
          <w:ilvl w:val="0"/>
          <w:numId w:val="7"/>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不发生造成20万元以上直接经济损失或致人重伤的火灾事故；</w:t>
      </w:r>
    </w:p>
    <w:p w14:paraId="2D5D5C3C">
      <w:pPr>
        <w:pStyle w:val="254"/>
        <w:numPr>
          <w:ilvl w:val="0"/>
          <w:numId w:val="7"/>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不发生负同等及同等以上责任的且导致重伤1人或轻伤3人及以上，或财产损失3万元以上的交通事故；</w:t>
      </w:r>
    </w:p>
    <w:p w14:paraId="6BED336E">
      <w:pPr>
        <w:pStyle w:val="254"/>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cs="宋体"/>
          <w:sz w:val="24"/>
          <w:szCs w:val="24"/>
        </w:rPr>
        <w:t>不发生被生态环境部门挂网通报或行政处罚的环保事件；</w:t>
      </w:r>
    </w:p>
    <w:p w14:paraId="5EE1F24B">
      <w:pPr>
        <w:pStyle w:val="254"/>
        <w:numPr>
          <w:ilvl w:val="0"/>
          <w:numId w:val="7"/>
        </w:numPr>
        <w:snapToGrid w:val="0"/>
        <w:spacing w:line="560" w:lineRule="exact"/>
        <w:ind w:firstLineChars="0"/>
        <w:rPr>
          <w:rFonts w:ascii="宋体" w:hAnsi="宋体" w:eastAsia="宋体" w:cs="宋体"/>
          <w:sz w:val="24"/>
          <w:szCs w:val="24"/>
        </w:rPr>
      </w:pPr>
      <w:r>
        <w:rPr>
          <w:rFonts w:hint="eastAsia" w:ascii="宋体" w:hAnsi="宋体" w:eastAsia="宋体"/>
          <w:snapToGrid w:val="0"/>
          <w:color w:val="000000"/>
          <w:sz w:val="24"/>
          <w:szCs w:val="24"/>
        </w:rPr>
        <w:t>不发生职业病病例；</w:t>
      </w:r>
    </w:p>
    <w:p w14:paraId="27A73DC6">
      <w:pPr>
        <w:pStyle w:val="254"/>
        <w:numPr>
          <w:ilvl w:val="0"/>
          <w:numId w:val="7"/>
        </w:numPr>
        <w:snapToGrid w:val="0"/>
        <w:spacing w:line="560" w:lineRule="exact"/>
        <w:ind w:firstLineChars="0"/>
        <w:rPr>
          <w:rFonts w:ascii="宋体" w:hAnsi="宋体" w:eastAsia="宋体" w:cs="宋体"/>
          <w:sz w:val="24"/>
          <w:szCs w:val="24"/>
        </w:rPr>
      </w:pPr>
      <w:r>
        <w:rPr>
          <w:rFonts w:hint="eastAsia" w:ascii="宋体" w:hAnsi="宋体" w:eastAsia="宋体"/>
          <w:snapToGrid w:val="0"/>
          <w:color w:val="000000"/>
          <w:sz w:val="24"/>
          <w:szCs w:val="24"/>
        </w:rPr>
        <w:t>不发生乙方管理责任导致的治安案件、群体事件；</w:t>
      </w:r>
    </w:p>
    <w:p w14:paraId="78430574">
      <w:pPr>
        <w:pStyle w:val="254"/>
        <w:numPr>
          <w:ilvl w:val="0"/>
          <w:numId w:val="7"/>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w:t>
      </w:r>
      <w:r>
        <w:rPr>
          <w:rFonts w:hint="eastAsia" w:ascii="宋体" w:hAnsi="宋体" w:eastAsia="宋体" w:cs="宋体"/>
          <w:color w:val="000000"/>
          <w:sz w:val="24"/>
          <w:szCs w:val="24"/>
          <w:shd w:val="clear" w:color="auto" w:fill="FFFFFF"/>
        </w:rPr>
        <w:t>安全事故隐瞒不报、谎报或严重迟报（指超过24h）行为。</w:t>
      </w:r>
    </w:p>
    <w:p w14:paraId="0DD68CD1">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（二）乙方承诺在作业中控制以下安全事件（行为）的发生：</w:t>
      </w:r>
    </w:p>
    <w:p w14:paraId="68EBEB42">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人员轻伤事故；</w:t>
      </w:r>
    </w:p>
    <w:p w14:paraId="3CFA3C34">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未遂事故；</w:t>
      </w:r>
    </w:p>
    <w:p w14:paraId="38A8AF3D">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恶性误操作；</w:t>
      </w:r>
    </w:p>
    <w:p w14:paraId="14C02270">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无票作业；</w:t>
      </w:r>
    </w:p>
    <w:p w14:paraId="5EDFE460">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严重违章、群体违章；</w:t>
      </w:r>
    </w:p>
    <w:p w14:paraId="18B6B007">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未经培训或培训不合格人员上岗；</w:t>
      </w:r>
    </w:p>
    <w:p w14:paraId="0208B274">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特种作业人员无证上岗；</w:t>
      </w:r>
    </w:p>
    <w:p w14:paraId="170D9D4E">
      <w:pPr>
        <w:pStyle w:val="254"/>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重大安全隐患。</w:t>
      </w:r>
    </w:p>
    <w:p w14:paraId="62F5D7B4">
      <w:pPr>
        <w:pStyle w:val="48"/>
        <w:spacing w:before="0" w:after="0" w:line="560" w:lineRule="exact"/>
        <w:jc w:val="left"/>
        <w:rPr>
          <w:rFonts w:ascii="宋体" w:hAnsi="宋体" w:eastAsia="宋体"/>
          <w:sz w:val="24"/>
          <w:szCs w:val="24"/>
        </w:rPr>
      </w:pPr>
      <w:r>
        <w:rPr>
          <w:rFonts w:hint="eastAsia" w:ascii="宋体" w:hAnsi="宋体" w:eastAsia="宋体"/>
          <w:sz w:val="24"/>
          <w:szCs w:val="24"/>
        </w:rPr>
        <w:t>三、安全责任</w:t>
      </w:r>
    </w:p>
    <w:p w14:paraId="351CEA03">
      <w:pPr>
        <w:pStyle w:val="48"/>
        <w:spacing w:before="0" w:after="0" w:line="560" w:lineRule="exact"/>
        <w:jc w:val="left"/>
        <w:rPr>
          <w:rFonts w:ascii="宋体" w:hAnsi="宋体" w:eastAsia="宋体"/>
          <w:sz w:val="24"/>
          <w:szCs w:val="24"/>
        </w:rPr>
      </w:pPr>
      <w:r>
        <w:rPr>
          <w:rFonts w:hint="eastAsia" w:ascii="宋体" w:hAnsi="宋体" w:eastAsia="宋体"/>
          <w:sz w:val="24"/>
          <w:szCs w:val="24"/>
        </w:rPr>
        <w:t>（一）甲方安全责任</w:t>
      </w:r>
    </w:p>
    <w:p w14:paraId="06106494">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对乙方的资质、条件进行审查，符合安全生产相关规定的要求。</w:t>
      </w:r>
    </w:p>
    <w:p w14:paraId="18C01262">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开工前，对乙方提供的人员名单进行入厂安全教育培训、考试。</w:t>
      </w:r>
    </w:p>
    <w:p w14:paraId="0EFA7995">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开工前甲方对乙方进行施工安全技术交底，并应有书面记录或资料。</w:t>
      </w:r>
    </w:p>
    <w:p w14:paraId="151250B4">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甲方有权检查督促乙方执行有关安全生产方面的工作规定，对乙方不符合安全文明施工标准的行为进行制止、纠正并发出安全整改通知书。</w:t>
      </w:r>
    </w:p>
    <w:p w14:paraId="3458CBFD">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甲方指派负责与乙方联系安全生产、质量控制、进度协调等方面的工作。</w:t>
      </w:r>
    </w:p>
    <w:p w14:paraId="27AAE7E4">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甲方有权对工作票所填写的安全措施是否正确完备进行监督。</w:t>
      </w:r>
    </w:p>
    <w:p w14:paraId="49E2AD62">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甲方有权要求乙方制定确保施工安全的组织措施、安全措施和技术措施，并监督执行。</w:t>
      </w:r>
    </w:p>
    <w:p w14:paraId="355D4CD7">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甲方有权对乙方参与施工的人员进行安全技术知识和安全工作规程的抽考。</w:t>
      </w:r>
    </w:p>
    <w:p w14:paraId="7C2BA649">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发生如上第二项第（二）条所列不安全事件（或行为）的，甲方有权按照本协议考核条款进行考核；发生如上第二项第（一）条控制目标事故的，除依照本协议考核条款进行考核外，还要遵从地方政府对事故的处理决定；因乙方责任原因造成甲方重大损失或重大影响的，甲方保留追诉权。</w:t>
      </w:r>
    </w:p>
    <w:p w14:paraId="4BB5EE07">
      <w:pPr>
        <w:pStyle w:val="254"/>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在有可能造成火灾、爆炸、中毒、窒息、坍塌、高空坠落、触电等容易引起人身伤害和设备事故的高风险区域内的作业，甲方要求乙方制定安全技术措施，经甲方审查后，监督实施。</w:t>
      </w:r>
    </w:p>
    <w:p w14:paraId="3F561BDB">
      <w:pPr>
        <w:pStyle w:val="48"/>
        <w:spacing w:before="0" w:after="0" w:line="560" w:lineRule="exact"/>
        <w:jc w:val="left"/>
        <w:rPr>
          <w:rFonts w:ascii="宋体" w:hAnsi="宋体" w:eastAsia="宋体"/>
          <w:sz w:val="24"/>
          <w:szCs w:val="24"/>
        </w:rPr>
      </w:pPr>
      <w:r>
        <w:rPr>
          <w:rFonts w:hint="eastAsia" w:ascii="宋体" w:hAnsi="宋体" w:eastAsia="宋体"/>
          <w:sz w:val="24"/>
          <w:szCs w:val="24"/>
        </w:rPr>
        <w:t>（二）乙方安全责任</w:t>
      </w:r>
    </w:p>
    <w:p w14:paraId="7520E3F2">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乙方的法定代表人对本合同内容的安全管理负有全面领导责任。</w:t>
      </w:r>
    </w:p>
    <w:p w14:paraId="18E694E1">
      <w:pPr>
        <w:pStyle w:val="254"/>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乙方项目经理对作业现场的安全工作负有直接领导责任。</w:t>
      </w:r>
    </w:p>
    <w:p w14:paraId="4FE53778">
      <w:pPr>
        <w:pStyle w:val="254"/>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保证服从甲方对安全工作的统一协调和监管，遵守甲方安全管理相关规定，接受甲方安全监督人员的指导和监督。在所有的现场工作中，乙方人员必须严格遵守甲方职业健康、安全、环保相关的管理规定，并接受甲方的监督、落实甲方提出的整改要求。</w:t>
      </w:r>
    </w:p>
    <w:p w14:paraId="43C88EFF">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乙方保证对本项目安全生产条件及其管理资源的投入，保证安全资金的专款专用，并建立适用于本项目的《项目生产安全费用明细一览表》，如实填报，作为项目安全投入的技术性依据。</w:t>
      </w:r>
    </w:p>
    <w:p w14:paraId="516754E1">
      <w:pPr>
        <w:pStyle w:val="254"/>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乙方保证建立本项目的安全管理体系，项目安全管理大纲/手册报甲方审查批准后发布实施，安全奖惩制度等安全管理性的程序/制度文件须报甲方备案，相关文件如有升版，应及时分发甲方。</w:t>
      </w:r>
    </w:p>
    <w:p w14:paraId="0EF40F60">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乙方保证现场的项目经理、安全管理专职人员、特种作业人员必须持有符合规定的安全生产培训考核合格证书。</w:t>
      </w:r>
    </w:p>
    <w:p w14:paraId="201E7850">
      <w:pPr>
        <w:pStyle w:val="254"/>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乙方保证为现场所有工作人员配备符合国家标准的个人劳动保护用品。</w:t>
      </w:r>
    </w:p>
    <w:p w14:paraId="2B7B707D">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乙方保证按照国家法律规定为所有从业人员办理意外伤害保险、工伤保险，保额不低于当地赔付标准。</w:t>
      </w:r>
    </w:p>
    <w:p w14:paraId="385AB375">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乙方保证生活营地（包括自建的和租用的营地）满足消防、环保、安全用电、卫生防疫、防暴雨、防雷击、防台风等方面的安全标准。</w:t>
      </w:r>
    </w:p>
    <w:p w14:paraId="4159065E">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乙方保证对入场大型施工机械、特种设备、工器具、大宗材料按照国家法规和标准进行检测、试验，并按规定持有法定部门出具的检验合格证书。</w:t>
      </w:r>
    </w:p>
    <w:p w14:paraId="275526F2">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开工前，乙方应组织人员对作业区域、作业环境及使用甲方提供的设施设备、工器具等进行检查，熟悉并确认符合安全要求。一经开工，就表示乙方已确认作业现场、作业环境、设施设备、工器具符合安全要求并处于安全状态。</w:t>
      </w:r>
    </w:p>
    <w:p w14:paraId="1E60B444">
      <w:pPr>
        <w:pStyle w:val="254"/>
        <w:numPr>
          <w:ilvl w:val="0"/>
          <w:numId w:val="1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作业现场符合甲方现场安全要求规范，保持作业现场的良好秩序和整洁的作业环境，作业现场的物料堆放要摆放整齐，安全标志和宣传标志要清楚醒目，废料、废物要按规定分类收集处置，安全通道要畅通。</w:t>
      </w:r>
    </w:p>
    <w:p w14:paraId="04D776A5">
      <w:pPr>
        <w:pStyle w:val="48"/>
        <w:spacing w:before="0" w:after="0" w:line="560" w:lineRule="exact"/>
        <w:jc w:val="left"/>
        <w:rPr>
          <w:rFonts w:ascii="宋体" w:hAnsi="宋体" w:eastAsia="宋体"/>
          <w:color w:val="000000"/>
          <w:sz w:val="24"/>
          <w:szCs w:val="24"/>
        </w:rPr>
      </w:pPr>
      <w:r>
        <w:rPr>
          <w:rFonts w:hint="eastAsia" w:ascii="宋体" w:hAnsi="宋体" w:eastAsia="宋体"/>
          <w:sz w:val="24"/>
          <w:szCs w:val="24"/>
        </w:rPr>
        <w:t>四、安全投入</w:t>
      </w:r>
    </w:p>
    <w:p w14:paraId="6CC5FD14">
      <w:pPr>
        <w:pStyle w:val="254"/>
        <w:numPr>
          <w:ilvl w:val="0"/>
          <w:numId w:val="11"/>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乙方应按照法规要求对项目的安全投入做出合理、及时、足量的安排，保证有足够的资金用于建立、维护、改善作业安全环境条件和安全作业条件。</w:t>
      </w:r>
    </w:p>
    <w:p w14:paraId="43DC40F8">
      <w:pPr>
        <w:pStyle w:val="254"/>
        <w:numPr>
          <w:ilvl w:val="0"/>
          <w:numId w:val="11"/>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必须建立专项资金管理机制，保证安全投入专款专用，及时投入，满足现场的安全需求，禁止挪用安全资金。若甲方发现乙方挪用安全资金，则甲方有权在合同支付中扣除，并返作安全投入资金，同时对乙方实施考核。</w:t>
      </w:r>
    </w:p>
    <w:p w14:paraId="728647F4">
      <w:pPr>
        <w:pStyle w:val="254"/>
        <w:numPr>
          <w:ilvl w:val="0"/>
          <w:numId w:val="11"/>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乙方的安全投入项目清单如有遗漏，导致合同规定的安全投入专项资金不能满足“安全投入项目”资金需求时，乙方应从其他渠道安排资金，满足现场安全资金的需求。</w:t>
      </w:r>
    </w:p>
    <w:p w14:paraId="7D144206">
      <w:pPr>
        <w:pStyle w:val="254"/>
        <w:numPr>
          <w:ilvl w:val="0"/>
          <w:numId w:val="11"/>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甲方有权对安全投入的使用情况进行检查，乙方应予以配合。</w:t>
      </w:r>
    </w:p>
    <w:p w14:paraId="083698EF">
      <w:pPr>
        <w:pStyle w:val="48"/>
        <w:spacing w:before="0" w:after="0" w:line="560" w:lineRule="exact"/>
        <w:jc w:val="left"/>
        <w:rPr>
          <w:rFonts w:ascii="宋体" w:hAnsi="宋体" w:eastAsia="宋体"/>
          <w:sz w:val="24"/>
          <w:szCs w:val="24"/>
        </w:rPr>
      </w:pPr>
      <w:r>
        <w:rPr>
          <w:rFonts w:hint="eastAsia" w:ascii="宋体" w:hAnsi="宋体" w:eastAsia="宋体"/>
          <w:sz w:val="24"/>
          <w:szCs w:val="24"/>
        </w:rPr>
        <w:t>五、接口及协调</w:t>
      </w:r>
    </w:p>
    <w:p w14:paraId="1C9AEF08">
      <w:pPr>
        <w:pStyle w:val="254"/>
        <w:numPr>
          <w:ilvl w:val="0"/>
          <w:numId w:val="12"/>
        </w:numPr>
        <w:spacing w:line="560" w:lineRule="exact"/>
        <w:ind w:right="199" w:rightChars="83" w:firstLineChars="0"/>
        <w:rPr>
          <w:rFonts w:ascii="宋体" w:hAnsi="宋体" w:eastAsia="宋体"/>
          <w:b/>
          <w:color w:val="000000"/>
          <w:sz w:val="24"/>
          <w:szCs w:val="24"/>
        </w:rPr>
      </w:pPr>
      <w:r>
        <w:rPr>
          <w:rFonts w:hint="eastAsia" w:ascii="宋体" w:hAnsi="宋体" w:eastAsia="宋体"/>
          <w:snapToGrid w:val="0"/>
          <w:color w:val="000000"/>
          <w:sz w:val="24"/>
          <w:szCs w:val="24"/>
        </w:rPr>
        <w:t>乙方必须符合甲方的安全规范，人员、车辆的出入，带入现场的设备、机具、材料，在现场使用的或直接管理的办公、生活、生产性设施的安全管理须满足甲方现场管理的基本要求。</w:t>
      </w:r>
    </w:p>
    <w:p w14:paraId="2FC10AE1">
      <w:pPr>
        <w:pStyle w:val="254"/>
        <w:numPr>
          <w:ilvl w:val="0"/>
          <w:numId w:val="1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乙方应指定专职（或兼职）安全管理人员与甲方接口，在业务上接受甲方的协调和指导，参与安全协调和管理。</w:t>
      </w:r>
    </w:p>
    <w:p w14:paraId="1DC653CC">
      <w:pPr>
        <w:pStyle w:val="254"/>
        <w:numPr>
          <w:ilvl w:val="0"/>
          <w:numId w:val="12"/>
        </w:numPr>
        <w:spacing w:line="560" w:lineRule="exact"/>
        <w:ind w:right="199" w:rightChars="83" w:firstLineChars="0"/>
        <w:rPr>
          <w:rFonts w:ascii="宋体" w:hAnsi="宋体" w:eastAsia="宋体"/>
          <w:b/>
          <w:color w:val="000000"/>
          <w:sz w:val="24"/>
          <w:szCs w:val="24"/>
        </w:rPr>
      </w:pPr>
      <w:r>
        <w:rPr>
          <w:rFonts w:hint="eastAsia" w:ascii="宋体" w:hAnsi="宋体" w:eastAsia="宋体"/>
          <w:snapToGrid w:val="0"/>
          <w:color w:val="000000"/>
          <w:sz w:val="24"/>
          <w:szCs w:val="24"/>
        </w:rPr>
        <w:t>乙方的安全管理人员应具备协调安全工作的能力和授权。甲方有权对安全管理人员的能力和权力做出评价，对于不能胜任的安全管理人员，甲方有权要求乙方换人。</w:t>
      </w:r>
    </w:p>
    <w:p w14:paraId="4F6821FB">
      <w:pPr>
        <w:pStyle w:val="254"/>
        <w:numPr>
          <w:ilvl w:val="0"/>
          <w:numId w:val="12"/>
        </w:numPr>
        <w:spacing w:line="560" w:lineRule="exact"/>
        <w:ind w:right="199" w:rightChars="83" w:firstLineChars="0"/>
        <w:rPr>
          <w:rFonts w:ascii="宋体" w:hAnsi="宋体" w:eastAsia="宋体"/>
          <w:b/>
          <w:color w:val="000000"/>
          <w:sz w:val="24"/>
          <w:szCs w:val="24"/>
        </w:rPr>
      </w:pPr>
      <w:r>
        <w:rPr>
          <w:rFonts w:hint="eastAsia" w:ascii="宋体" w:hAnsi="宋体" w:eastAsia="宋体"/>
          <w:snapToGrid w:val="0"/>
          <w:color w:val="000000"/>
          <w:sz w:val="24"/>
          <w:szCs w:val="24"/>
        </w:rPr>
        <w:t>如合同内容出现较大变更，本协议的有关条款也应做出相应的修改。</w:t>
      </w:r>
    </w:p>
    <w:p w14:paraId="59158627">
      <w:pPr>
        <w:pStyle w:val="48"/>
        <w:spacing w:before="0" w:after="0" w:line="560" w:lineRule="exact"/>
        <w:jc w:val="left"/>
        <w:rPr>
          <w:rFonts w:ascii="宋体" w:hAnsi="宋体" w:eastAsia="宋体"/>
          <w:sz w:val="24"/>
          <w:szCs w:val="24"/>
        </w:rPr>
      </w:pPr>
      <w:r>
        <w:rPr>
          <w:rFonts w:hint="eastAsia" w:ascii="宋体" w:hAnsi="宋体" w:eastAsia="宋体"/>
          <w:sz w:val="24"/>
          <w:szCs w:val="24"/>
        </w:rPr>
        <w:t>六、安全资质审查</w:t>
      </w:r>
    </w:p>
    <w:p w14:paraId="66496645">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乙方在项目开工前5个工作日向甲方提供以下安全资质供审查和存档：</w:t>
      </w:r>
    </w:p>
    <w:p w14:paraId="7CA557AD">
      <w:pPr>
        <w:pStyle w:val="254"/>
        <w:numPr>
          <w:ilvl w:val="0"/>
          <w:numId w:val="13"/>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项目经理及安全管理人员资质；</w:t>
      </w:r>
    </w:p>
    <w:p w14:paraId="42619CCF">
      <w:pPr>
        <w:pStyle w:val="254"/>
        <w:numPr>
          <w:ilvl w:val="0"/>
          <w:numId w:val="13"/>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特种作业人员资格证书；</w:t>
      </w:r>
    </w:p>
    <w:p w14:paraId="7825614E">
      <w:pPr>
        <w:pStyle w:val="254"/>
        <w:numPr>
          <w:ilvl w:val="0"/>
          <w:numId w:val="13"/>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适用于本项目的安全管理体系文件；</w:t>
      </w:r>
    </w:p>
    <w:p w14:paraId="06D1ACD6">
      <w:pPr>
        <w:pStyle w:val="254"/>
        <w:numPr>
          <w:ilvl w:val="0"/>
          <w:numId w:val="13"/>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适用于本项目的《项目生产安全费用明细一览表》；</w:t>
      </w:r>
    </w:p>
    <w:p w14:paraId="6A99488D">
      <w:pPr>
        <w:pStyle w:val="254"/>
        <w:numPr>
          <w:ilvl w:val="0"/>
          <w:numId w:val="13"/>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近三年的安全无事故证明（针对建设施工单位）。</w:t>
      </w:r>
    </w:p>
    <w:p w14:paraId="7C7096BC">
      <w:pPr>
        <w:pStyle w:val="48"/>
        <w:spacing w:before="0" w:after="0" w:line="560" w:lineRule="exact"/>
        <w:jc w:val="left"/>
        <w:rPr>
          <w:rFonts w:ascii="宋体" w:hAnsi="宋体" w:eastAsia="宋体"/>
          <w:sz w:val="24"/>
          <w:szCs w:val="24"/>
        </w:rPr>
      </w:pPr>
      <w:r>
        <w:rPr>
          <w:rFonts w:hint="eastAsia" w:ascii="宋体" w:hAnsi="宋体" w:eastAsia="宋体"/>
          <w:sz w:val="24"/>
          <w:szCs w:val="24"/>
        </w:rPr>
        <w:t>七、人员基本素质</w:t>
      </w:r>
    </w:p>
    <w:p w14:paraId="295663BC">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乙方提供的人员必须满足下列要求:</w:t>
      </w:r>
    </w:p>
    <w:p w14:paraId="48F8CD98">
      <w:pPr>
        <w:pStyle w:val="254"/>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身体健康，无影响工作的高血压、心脏病、低血糖，无精神疾病、无传染病和其他重大疾病，年龄在</w:t>
      </w:r>
      <w:r>
        <w:rPr>
          <w:rFonts w:hint="eastAsia" w:ascii="宋体" w:hAnsi="宋体" w:eastAsia="宋体"/>
          <w:snapToGrid w:val="0"/>
          <w:color w:val="000000"/>
          <w:sz w:val="24"/>
          <w:szCs w:val="24"/>
          <w:u w:val="single"/>
        </w:rPr>
        <w:t>55</w:t>
      </w:r>
      <w:r>
        <w:rPr>
          <w:rFonts w:hint="eastAsia" w:ascii="宋体" w:hAnsi="宋体" w:eastAsia="宋体"/>
          <w:snapToGrid w:val="0"/>
          <w:color w:val="000000"/>
          <w:sz w:val="24"/>
          <w:szCs w:val="24"/>
        </w:rPr>
        <w:t>岁以下；在上岗前应提供符合甲方要求的体检报告以供审核评价，作为人员办理相应入场授权证件的必备材料；</w:t>
      </w:r>
    </w:p>
    <w:p w14:paraId="13DF61E0">
      <w:pPr>
        <w:pStyle w:val="254"/>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无刑事案件牵连；</w:t>
      </w:r>
    </w:p>
    <w:p w14:paraId="670251F2">
      <w:pPr>
        <w:pStyle w:val="254"/>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无吸毒、酗酒、赌博、嫖娼等恶习及违法行为；</w:t>
      </w:r>
    </w:p>
    <w:p w14:paraId="0E8E49A5">
      <w:pPr>
        <w:pStyle w:val="254"/>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甲方有权对乙方员工的基本素质情况进行检查，对不能满足要求的人员有权进行清理，对乙方则予以考核。</w:t>
      </w:r>
    </w:p>
    <w:p w14:paraId="39D821E9">
      <w:pPr>
        <w:pStyle w:val="48"/>
        <w:spacing w:before="0" w:after="0" w:line="560" w:lineRule="exact"/>
        <w:jc w:val="left"/>
        <w:rPr>
          <w:rFonts w:ascii="宋体" w:hAnsi="宋体" w:eastAsia="宋体"/>
          <w:color w:val="000000"/>
          <w:sz w:val="24"/>
          <w:szCs w:val="24"/>
        </w:rPr>
      </w:pPr>
      <w:r>
        <w:rPr>
          <w:rFonts w:hint="eastAsia" w:ascii="宋体" w:hAnsi="宋体" w:eastAsia="宋体"/>
          <w:sz w:val="24"/>
          <w:szCs w:val="24"/>
        </w:rPr>
        <w:t>八、劳动保护</w:t>
      </w:r>
    </w:p>
    <w:p w14:paraId="1BC9D942">
      <w:pPr>
        <w:pStyle w:val="254"/>
        <w:numPr>
          <w:ilvl w:val="0"/>
          <w:numId w:val="15"/>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乙方须为其从业人员提供符合国家标准的劳动保护用品，包括安全鞋、工作服和安全帽、安全带、防酸碱服和防酸碱手套、呼吸保护器、口罩、护目镜等。</w:t>
      </w:r>
    </w:p>
    <w:p w14:paraId="41BE9398">
      <w:pPr>
        <w:pStyle w:val="254"/>
        <w:numPr>
          <w:ilvl w:val="0"/>
          <w:numId w:val="15"/>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乙方入场前将个人劳动保护用品配用标准交甲方审核。</w:t>
      </w:r>
    </w:p>
    <w:p w14:paraId="1B50C6EC">
      <w:pPr>
        <w:pStyle w:val="254"/>
        <w:numPr>
          <w:ilvl w:val="0"/>
          <w:numId w:val="15"/>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乙方应为其从事射线探伤人员配备个人剂量计。</w:t>
      </w:r>
    </w:p>
    <w:p w14:paraId="11639E94">
      <w:pPr>
        <w:pStyle w:val="254"/>
        <w:numPr>
          <w:ilvl w:val="0"/>
          <w:numId w:val="15"/>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乙方的劳动保护必须满足甲方的劳动保护要求；甲方对乙方安全实施的情况进行检查，乙方应予以配合,不满足安全条件的，甲方有权中止现场活动，由此产生的工期和成本的影响,由乙方自行负责。</w:t>
      </w:r>
    </w:p>
    <w:p w14:paraId="432186FC">
      <w:pPr>
        <w:pStyle w:val="254"/>
        <w:numPr>
          <w:ilvl w:val="0"/>
          <w:numId w:val="15"/>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开工前应组织全体施工人员认真学习《中华人民共和国安全生产法》、《电力安全工作规程》、《电力建设安全工作规程》、甲方安健环管理规章制度等规定中的相关部分，经考试合格方可进行工作，并将考试成绩书面报甲方项目公司审核备案。若发生人员变更，在进入现场前，保证遵照以上程序办理报备。</w:t>
      </w:r>
    </w:p>
    <w:p w14:paraId="5EBD40FE">
      <w:pPr>
        <w:pStyle w:val="254"/>
        <w:numPr>
          <w:ilvl w:val="0"/>
          <w:numId w:val="15"/>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乙方负责所属工作人员着装整齐，符合《电力安全工作规程》着装规定，佩戴《出入证》和反光马甲。乙方保证不使用未成年工和不适应现场安全施工的老、弱、病、残等人员进行施工。</w:t>
      </w:r>
    </w:p>
    <w:p w14:paraId="521755F1">
      <w:pPr>
        <w:pStyle w:val="48"/>
        <w:spacing w:before="0" w:after="0" w:line="560" w:lineRule="exact"/>
        <w:jc w:val="left"/>
        <w:rPr>
          <w:rFonts w:ascii="宋体" w:hAnsi="宋体" w:eastAsia="宋体"/>
          <w:sz w:val="24"/>
          <w:szCs w:val="24"/>
        </w:rPr>
      </w:pPr>
      <w:r>
        <w:rPr>
          <w:rFonts w:hint="eastAsia" w:ascii="宋体" w:hAnsi="宋体" w:eastAsia="宋体"/>
          <w:sz w:val="24"/>
          <w:szCs w:val="24"/>
        </w:rPr>
        <w:t>九、作业机具与材料</w:t>
      </w:r>
    </w:p>
    <w:p w14:paraId="6BC32043">
      <w:pPr>
        <w:pStyle w:val="254"/>
        <w:numPr>
          <w:ilvl w:val="0"/>
          <w:numId w:val="16"/>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乙方对带入现场的作业机械和工器具的安全可靠性负责。</w:t>
      </w:r>
    </w:p>
    <w:p w14:paraId="34F53A00">
      <w:pPr>
        <w:pStyle w:val="254"/>
        <w:numPr>
          <w:ilvl w:val="0"/>
          <w:numId w:val="16"/>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对于乙方带入现场的特殊工器具、设备，如起重设备、索具、机动车辆、压缩气瓶等，乙方必须按国家法规和标准进行检测、试验，并按规定持有法定部门出具的检验合格证书。</w:t>
      </w:r>
    </w:p>
    <w:p w14:paraId="1BA08C86">
      <w:pPr>
        <w:pStyle w:val="254"/>
        <w:numPr>
          <w:ilvl w:val="0"/>
          <w:numId w:val="16"/>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对于不属于法定检测的工器具，乙方也必须建立相应的管理、检测制度。</w:t>
      </w:r>
    </w:p>
    <w:p w14:paraId="3EFC0B33">
      <w:pPr>
        <w:pStyle w:val="48"/>
        <w:spacing w:before="0" w:after="0" w:line="560" w:lineRule="exact"/>
        <w:jc w:val="left"/>
        <w:rPr>
          <w:rFonts w:ascii="宋体" w:hAnsi="宋体" w:eastAsia="宋体"/>
          <w:sz w:val="24"/>
          <w:szCs w:val="24"/>
        </w:rPr>
      </w:pPr>
      <w:r>
        <w:rPr>
          <w:rFonts w:hint="eastAsia" w:ascii="宋体" w:hAnsi="宋体" w:eastAsia="宋体"/>
          <w:sz w:val="24"/>
          <w:szCs w:val="24"/>
        </w:rPr>
        <w:t>十、安全监督</w:t>
      </w:r>
    </w:p>
    <w:p w14:paraId="591219B0">
      <w:pPr>
        <w:pStyle w:val="254"/>
        <w:numPr>
          <w:ilvl w:val="0"/>
          <w:numId w:val="17"/>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乙方应设安全监督机构，建立、健全安全、消防、应急、环保、职业健康等管理体系。配备有满足项目安全管理需要的安全管理人员，并持证上岗。</w:t>
      </w:r>
    </w:p>
    <w:p w14:paraId="2CA7F790">
      <w:pPr>
        <w:pStyle w:val="254"/>
        <w:numPr>
          <w:ilvl w:val="0"/>
          <w:numId w:val="17"/>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乙方的安全管理专职人员必须经过甲方考核，且常驻现场；乙方的专职安全监督人员在业务上接受甲方的协调和指导。</w:t>
      </w:r>
    </w:p>
    <w:p w14:paraId="50FD31D0">
      <w:pPr>
        <w:pStyle w:val="254"/>
        <w:numPr>
          <w:ilvl w:val="0"/>
          <w:numId w:val="17"/>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乙方应定期开展安全生产自我评估，开展经验反馈活动和日常安全宣传教育，传达甲方的安全要求和信息、对本单位的风险和安全指标趋势进行分析和预测，提出安全工作重点，并向甲方提供评估报告。</w:t>
      </w:r>
    </w:p>
    <w:p w14:paraId="5A4FEC6E">
      <w:pPr>
        <w:pStyle w:val="254"/>
        <w:numPr>
          <w:ilvl w:val="0"/>
          <w:numId w:val="17"/>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乙方应接受和配合甲方的监督与安全评估。</w:t>
      </w:r>
    </w:p>
    <w:p w14:paraId="60945C17">
      <w:pPr>
        <w:pStyle w:val="254"/>
        <w:numPr>
          <w:ilvl w:val="0"/>
          <w:numId w:val="17"/>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甲方有权对乙方履行安全条款的情况进行监督，并有权对违章行为进行考核。</w:t>
      </w:r>
    </w:p>
    <w:p w14:paraId="53A083FF">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十一、安全培训与授权</w:t>
      </w:r>
    </w:p>
    <w:p w14:paraId="371F1769">
      <w:pPr>
        <w:pStyle w:val="254"/>
        <w:numPr>
          <w:ilvl w:val="0"/>
          <w:numId w:val="18"/>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乙方所有特种作业人员必须持证上岗，甲方有权对其进行抽查。乙方要建立特种作业定期培训和检查计划，这些工种包括但不限于：高压焊工、起重工、电工、架子工等。</w:t>
      </w:r>
    </w:p>
    <w:p w14:paraId="5C3AAB2D">
      <w:pPr>
        <w:pStyle w:val="254"/>
        <w:numPr>
          <w:ilvl w:val="0"/>
          <w:numId w:val="18"/>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由乙方负责其员工安全、消防、应急、环保、职业健康培训和授权的，其培训大纲、教材内容、教员资格等提交甲方审核。甲方有权对乙方培训质量进行检查，对不符合要求的人员，将不能进入现场工作。</w:t>
      </w:r>
    </w:p>
    <w:p w14:paraId="588708A2">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十二、入场控制</w:t>
      </w:r>
    </w:p>
    <w:p w14:paraId="6FCA41E2">
      <w:pPr>
        <w:pStyle w:val="254"/>
        <w:numPr>
          <w:ilvl w:val="0"/>
          <w:numId w:val="19"/>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甲方对乙方安全准备的情况进行检查。不满足开工安全条件的，乙方不得入场，由此产生的工期和成本的影响，由乙方自行负责。</w:t>
      </w:r>
    </w:p>
    <w:p w14:paraId="19E17557">
      <w:pPr>
        <w:pStyle w:val="254"/>
        <w:numPr>
          <w:ilvl w:val="0"/>
          <w:numId w:val="19"/>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入场前安全检查的基本内容包括：安全责任制建设、安全投入、危险源识别和风险分析、施工机械的安全状况、安全工器具和材料、安全培训教材和教员、专职安全人员的到岗情况、培训的有效性、流动人员控制、个人劳动保护用品的发放等内容。</w:t>
      </w:r>
    </w:p>
    <w:p w14:paraId="2F89816B">
      <w:pPr>
        <w:pStyle w:val="48"/>
        <w:spacing w:before="0" w:after="0" w:line="560" w:lineRule="exact"/>
        <w:jc w:val="both"/>
        <w:rPr>
          <w:rFonts w:ascii="宋体" w:hAnsi="宋体" w:eastAsia="宋体"/>
          <w:sz w:val="24"/>
          <w:szCs w:val="24"/>
        </w:rPr>
      </w:pPr>
      <w:r>
        <w:rPr>
          <w:rFonts w:hint="eastAsia" w:ascii="宋体" w:hAnsi="宋体" w:eastAsia="宋体"/>
          <w:sz w:val="24"/>
          <w:szCs w:val="24"/>
        </w:rPr>
        <w:t>十三、职业健康与卫生防疫</w:t>
      </w:r>
    </w:p>
    <w:p w14:paraId="600FCAE5">
      <w:pPr>
        <w:pStyle w:val="254"/>
        <w:numPr>
          <w:ilvl w:val="0"/>
          <w:numId w:val="20"/>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乙方应有特殊健康检查制度，预防有禁忌症患者从事有关职业，如恐高症患者不得从事高空作业，特种作业人员的体检应符合国家的规定。杜绝体检不合格或犯职业禁忌症人员上岗。</w:t>
      </w:r>
    </w:p>
    <w:p w14:paraId="5A1EAFE2">
      <w:pPr>
        <w:pStyle w:val="254"/>
        <w:numPr>
          <w:ilvl w:val="0"/>
          <w:numId w:val="2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乙方应保证卫生防疫基本设施的投入，以满足医疗、急救的要求。</w:t>
      </w:r>
    </w:p>
    <w:p w14:paraId="5926122C">
      <w:pPr>
        <w:pStyle w:val="254"/>
        <w:numPr>
          <w:ilvl w:val="0"/>
          <w:numId w:val="2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卫生防疫措施计划，做好生活区和作业区的卫生防疫工作；制定和执行保证饮水卫生、饮食卫生、环境卫生和预防集体食物中毒的措施；有灭蚊、灭鼠和消毒的专项工作计划；有针对性地制订预防SARS、冠状病毒肺炎、禽流感、疟疾、霍乱、肠道传染病、肝炎等疾病的措施。</w:t>
      </w:r>
    </w:p>
    <w:p w14:paraId="639C534F">
      <w:pPr>
        <w:pStyle w:val="48"/>
        <w:spacing w:before="0" w:after="0" w:line="560" w:lineRule="exact"/>
        <w:jc w:val="left"/>
        <w:rPr>
          <w:rFonts w:ascii="宋体" w:hAnsi="宋体" w:eastAsia="宋体"/>
          <w:sz w:val="24"/>
          <w:szCs w:val="24"/>
        </w:rPr>
      </w:pPr>
      <w:r>
        <w:rPr>
          <w:rFonts w:hint="eastAsia" w:ascii="宋体" w:hAnsi="宋体" w:eastAsia="宋体"/>
          <w:sz w:val="24"/>
          <w:szCs w:val="24"/>
        </w:rPr>
        <w:t>十四、项目风险管理与事故预防</w:t>
      </w:r>
    </w:p>
    <w:p w14:paraId="581C2F6B">
      <w:pPr>
        <w:pStyle w:val="254"/>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乙方应对作业过程进行全面、深入的危险源识别和风险分析。在作业安全组织设计中提供危险源及重要危险源清单、作业风险分析报告，该报告应包括（但不限于）如下信息：</w:t>
      </w:r>
    </w:p>
    <w:p w14:paraId="2EA270B6">
      <w:pPr>
        <w:pStyle w:val="254"/>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高风险作业和工种清单：作业名称、这些作业工种的类别和数量、主要事故风险。</w:t>
      </w:r>
    </w:p>
    <w:p w14:paraId="3281387C">
      <w:pPr>
        <w:pStyle w:val="254"/>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作业机械的种类、数量和主要事故风险。</w:t>
      </w:r>
    </w:p>
    <w:p w14:paraId="462D366D">
      <w:pPr>
        <w:pStyle w:val="254"/>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作业条件的类型和主要事故风险。</w:t>
      </w:r>
    </w:p>
    <w:p w14:paraId="7D4D9270">
      <w:pPr>
        <w:pStyle w:val="254"/>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主要工艺过程（或作业活动）的类别及其相关的事故风险。</w:t>
      </w:r>
    </w:p>
    <w:p w14:paraId="6BE284D9">
      <w:pPr>
        <w:pStyle w:val="254"/>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主要火灾危险（可燃物、点火源）。</w:t>
      </w:r>
    </w:p>
    <w:p w14:paraId="294A585C">
      <w:pPr>
        <w:pStyle w:val="254"/>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其他。</w:t>
      </w:r>
    </w:p>
    <w:p w14:paraId="73D84D98">
      <w:pPr>
        <w:pStyle w:val="254"/>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乙方应针对识别出的危险源制定有针对性的事故预防措施并确保在作业中得到有效落实。</w:t>
      </w:r>
    </w:p>
    <w:p w14:paraId="6980DB48">
      <w:pPr>
        <w:pStyle w:val="254"/>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乙方应建立日常作业活动的动态作业风险分析和安全交底制度。该制度应明确规定风险分析的方法、责任和交底的内容、时间及记录。</w:t>
      </w:r>
    </w:p>
    <w:p w14:paraId="1203C45A">
      <w:pPr>
        <w:pStyle w:val="254"/>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对于危险性较大的施工、维修作业，乙方必须专门制定施工安全方案，并报甲方备案。甲方认为不合格的方案，有权要求乙方重新进行制定，新方案批准前不得开工。开工前，对作业组成员开展安全技术交底。</w:t>
      </w:r>
    </w:p>
    <w:p w14:paraId="0FB50530">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十五、事故报告与应急救援</w:t>
      </w:r>
    </w:p>
    <w:p w14:paraId="7217844B">
      <w:pPr>
        <w:pStyle w:val="254"/>
        <w:numPr>
          <w:ilvl w:val="0"/>
          <w:numId w:val="23"/>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乙方应建立安全事故统计记录、医学处置事件统计记录、未遂事件统计记录、违章统计记录，并根据统计情况进行分析，并就分析结果制定相应的预防措施。</w:t>
      </w:r>
    </w:p>
    <w:p w14:paraId="40E926D1">
      <w:pPr>
        <w:pStyle w:val="254"/>
        <w:numPr>
          <w:ilvl w:val="0"/>
          <w:numId w:val="23"/>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乙方应根据《电力安全隐患监督管理暂行规定》等规定要求建立安全隐患统计记录，并根据统计情况进行分析，并就分析结果制定相应的预防措施。</w:t>
      </w:r>
    </w:p>
    <w:p w14:paraId="1989453B">
      <w:pPr>
        <w:pStyle w:val="254"/>
        <w:numPr>
          <w:ilvl w:val="0"/>
          <w:numId w:val="23"/>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生产安全事件报告准则；对于未遂事件及以上级别的安全事件和事故，应建立事故快速报告制度，即在事件、事故发生后，立即口头报告甲方。在事件发生后的24小时以内，向甲方发出书面安全事件通告。</w:t>
      </w:r>
    </w:p>
    <w:p w14:paraId="3B2AFFB9">
      <w:pPr>
        <w:pStyle w:val="254"/>
        <w:numPr>
          <w:ilvl w:val="0"/>
          <w:numId w:val="2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乙方应制定安全生产事故/事件管理程序，发生事故/事件后要及时向甲方报告，不得瞒报、漏报、谎报和迟报。</w:t>
      </w:r>
    </w:p>
    <w:p w14:paraId="38EBE93C">
      <w:pPr>
        <w:pStyle w:val="254"/>
        <w:numPr>
          <w:ilvl w:val="0"/>
          <w:numId w:val="23"/>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根据国家相关法规、文件规定和甲方相关管理程序要求，建立应急管理体系和应急救援机制，制定本单位突发事件应急预案和核事故应急撤离计划，准备并保障相应的应急物资，严格按照甲方的要求及时报送应急值班信息和本单位人员、资源等信息，在事故情况下及时启动应急响应机制，及时报告相关信息，并采取措施限制事故扩大,必要时接受甲方的统一协调和指挥。</w:t>
      </w:r>
    </w:p>
    <w:p w14:paraId="101D07BF">
      <w:pPr>
        <w:pStyle w:val="254"/>
        <w:numPr>
          <w:ilvl w:val="0"/>
          <w:numId w:val="23"/>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在现场其他单位发生重大事故时，乙方应无条件立即配合、支持事故抢险。</w:t>
      </w:r>
    </w:p>
    <w:p w14:paraId="27D687FC">
      <w:pPr>
        <w:pStyle w:val="254"/>
        <w:numPr>
          <w:ilvl w:val="0"/>
          <w:numId w:val="2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乙方必须为事故处置支付各项费用，包括受伤者的抚恤、补偿等费用，对甲方造成损失的，造价赔偿。</w:t>
      </w:r>
    </w:p>
    <w:p w14:paraId="549F63A7">
      <w:pPr>
        <w:pStyle w:val="254"/>
        <w:numPr>
          <w:ilvl w:val="0"/>
          <w:numId w:val="23"/>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涉及乙方员工的伤害事故，乙方除要报告甲方外，还应负责按照国家、行业和本单位上级公司的要求，上报事故。</w:t>
      </w:r>
    </w:p>
    <w:p w14:paraId="5B2FE588">
      <w:pPr>
        <w:pStyle w:val="254"/>
        <w:numPr>
          <w:ilvl w:val="0"/>
          <w:numId w:val="2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乙方负责组织事件调查的，甲方有权参与。</w:t>
      </w:r>
    </w:p>
    <w:p w14:paraId="0951E368">
      <w:pPr>
        <w:pStyle w:val="48"/>
        <w:spacing w:before="0" w:after="0" w:line="560" w:lineRule="exact"/>
        <w:jc w:val="left"/>
        <w:rPr>
          <w:rFonts w:ascii="宋体" w:hAnsi="宋体" w:eastAsia="宋体"/>
          <w:sz w:val="24"/>
          <w:szCs w:val="24"/>
        </w:rPr>
      </w:pPr>
      <w:r>
        <w:rPr>
          <w:rFonts w:hint="eastAsia" w:ascii="宋体" w:hAnsi="宋体" w:eastAsia="宋体"/>
          <w:sz w:val="24"/>
          <w:szCs w:val="24"/>
        </w:rPr>
        <w:t>十六、协议条款的修订</w:t>
      </w:r>
    </w:p>
    <w:p w14:paraId="3BFF30A8">
      <w:pPr>
        <w:pStyle w:val="254"/>
        <w:numPr>
          <w:ilvl w:val="0"/>
          <w:numId w:val="2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在项目实施过程中，经双方友好协商，本协议的有关条款也可做出相应的修改。</w:t>
      </w:r>
    </w:p>
    <w:p w14:paraId="5C6C9033">
      <w:pPr>
        <w:pStyle w:val="254"/>
        <w:numPr>
          <w:ilvl w:val="0"/>
          <w:numId w:val="2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本协议自合同生效日起实施，甲方保留最终解释权。</w:t>
      </w:r>
    </w:p>
    <w:p w14:paraId="5E3A1814">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十七、附件</w:t>
      </w:r>
    </w:p>
    <w:p w14:paraId="69CE5A70">
      <w:pPr>
        <w:pStyle w:val="48"/>
        <w:spacing w:before="0" w:after="0" w:line="560" w:lineRule="exact"/>
        <w:jc w:val="left"/>
        <w:rPr>
          <w:rFonts w:ascii="宋体" w:hAnsi="宋体" w:eastAsia="宋体"/>
          <w:b w:val="0"/>
          <w:bCs w:val="0"/>
          <w:sz w:val="24"/>
          <w:szCs w:val="24"/>
        </w:rPr>
      </w:pPr>
      <w:r>
        <w:rPr>
          <w:rFonts w:hint="eastAsia" w:ascii="宋体" w:hAnsi="宋体" w:eastAsia="宋体"/>
          <w:b w:val="0"/>
          <w:bCs w:val="0"/>
          <w:sz w:val="24"/>
          <w:szCs w:val="24"/>
        </w:rPr>
        <w:t>附件1：考核指标定义</w:t>
      </w:r>
    </w:p>
    <w:p w14:paraId="519A114B">
      <w:pPr>
        <w:pStyle w:val="48"/>
        <w:spacing w:before="0" w:after="0" w:line="560" w:lineRule="exact"/>
        <w:jc w:val="left"/>
        <w:rPr>
          <w:rFonts w:ascii="宋体" w:hAnsi="宋体" w:eastAsia="宋体"/>
          <w:b w:val="0"/>
          <w:bCs w:val="0"/>
          <w:sz w:val="24"/>
          <w:szCs w:val="24"/>
        </w:rPr>
      </w:pPr>
      <w:r>
        <w:rPr>
          <w:rFonts w:hint="eastAsia" w:ascii="宋体" w:hAnsi="宋体" w:eastAsia="宋体"/>
          <w:b w:val="0"/>
          <w:bCs w:val="0"/>
          <w:sz w:val="24"/>
          <w:szCs w:val="24"/>
        </w:rPr>
        <w:t>附件2：考核条款</w:t>
      </w:r>
    </w:p>
    <w:p w14:paraId="4E38F4BC">
      <w:pPr>
        <w:tabs>
          <w:tab w:val="center" w:pos="4433"/>
        </w:tabs>
        <w:spacing w:line="560" w:lineRule="exact"/>
        <w:ind w:firstLine="480" w:firstLineChars="200"/>
        <w:rPr>
          <w:rFonts w:ascii="宋体" w:hAnsi="宋体" w:eastAsia="宋体" w:cs="宋体"/>
          <w:sz w:val="24"/>
        </w:rPr>
      </w:pPr>
      <w:r>
        <w:rPr>
          <w:rFonts w:hint="eastAsia" w:ascii="宋体" w:hAnsi="宋体" w:eastAsia="宋体" w:cs="宋体"/>
          <w:sz w:val="24"/>
        </w:rPr>
        <w:t>本协议一式</w:t>
      </w:r>
      <w:r>
        <w:rPr>
          <w:rFonts w:hint="eastAsia" w:ascii="宋体" w:hAnsi="宋体" w:eastAsia="宋体" w:cs="宋体"/>
          <w:sz w:val="24"/>
          <w:lang w:val="en-US" w:eastAsia="zh-CN"/>
        </w:rPr>
        <w:t>伍</w:t>
      </w:r>
      <w:r>
        <w:rPr>
          <w:rFonts w:hint="eastAsia" w:ascii="宋体" w:hAnsi="宋体" w:eastAsia="宋体" w:cs="宋体"/>
          <w:sz w:val="24"/>
        </w:rPr>
        <w:t>份，经双方法定代表人或委托代理人签字、盖章后生效，与合同（合同编号：        ）具有同等法律效率。本协议一式</w:t>
      </w:r>
      <w:r>
        <w:rPr>
          <w:rFonts w:hint="eastAsia" w:ascii="宋体" w:hAnsi="宋体" w:eastAsia="宋体" w:cs="宋体"/>
          <w:sz w:val="24"/>
          <w:lang w:val="en-US" w:eastAsia="zh-CN"/>
        </w:rPr>
        <w:t>伍</w:t>
      </w:r>
      <w:r>
        <w:rPr>
          <w:rFonts w:hint="eastAsia" w:ascii="宋体" w:hAnsi="宋体" w:eastAsia="宋体" w:cs="宋体"/>
          <w:sz w:val="24"/>
        </w:rPr>
        <w:t>份，甲</w:t>
      </w:r>
      <w:r>
        <w:rPr>
          <w:rFonts w:hint="eastAsia" w:ascii="宋体" w:hAnsi="宋体" w:eastAsia="宋体" w:cs="宋体"/>
          <w:sz w:val="24"/>
          <w:lang w:val="en-US" w:eastAsia="zh-CN"/>
        </w:rPr>
        <w:t>方执三份</w:t>
      </w:r>
      <w:r>
        <w:rPr>
          <w:rFonts w:hint="eastAsia" w:ascii="宋体" w:hAnsi="宋体" w:eastAsia="宋体" w:cs="宋体"/>
          <w:sz w:val="24"/>
        </w:rPr>
        <w:t>、乙</w:t>
      </w:r>
      <w:r>
        <w:rPr>
          <w:rFonts w:hint="eastAsia" w:ascii="宋体" w:hAnsi="宋体" w:eastAsia="宋体" w:cs="宋体"/>
          <w:sz w:val="24"/>
          <w:lang w:val="en-US" w:eastAsia="zh-CN"/>
        </w:rPr>
        <w:t>方贰</w:t>
      </w:r>
      <w:r>
        <w:rPr>
          <w:rFonts w:hint="eastAsia" w:ascii="宋体" w:hAnsi="宋体" w:eastAsia="宋体" w:cs="宋体"/>
          <w:sz w:val="24"/>
        </w:rPr>
        <w:t>份。</w:t>
      </w:r>
    </w:p>
    <w:p w14:paraId="6A92D851">
      <w:pPr>
        <w:tabs>
          <w:tab w:val="center" w:pos="4433"/>
        </w:tabs>
        <w:spacing w:line="560" w:lineRule="exact"/>
        <w:rPr>
          <w:rFonts w:ascii="仿宋_GB2312" w:eastAsia="仿宋_GB2312"/>
          <w:sz w:val="24"/>
        </w:rPr>
      </w:pPr>
    </w:p>
    <w:p w14:paraId="65B30A53">
      <w:pPr>
        <w:spacing w:line="560" w:lineRule="exact"/>
        <w:rPr>
          <w:rFonts w:ascii="宋体" w:hAnsi="宋体" w:eastAsia="宋体" w:cs="宋体"/>
          <w:bCs/>
          <w:color w:val="FFFFFF"/>
          <w:sz w:val="24"/>
        </w:rPr>
      </w:pPr>
      <w:r>
        <w:rPr>
          <w:rFonts w:hint="eastAsia" w:ascii="宋体" w:hAnsi="宋体" w:eastAsia="宋体" w:cs="宋体"/>
          <w:bCs/>
          <w:sz w:val="24"/>
        </w:rPr>
        <w:t>发包单位：</w:t>
      </w:r>
      <w:r>
        <w:rPr>
          <w:rFonts w:hint="eastAsia" w:ascii="宋体" w:hAnsi="宋体" w:eastAsia="宋体"/>
          <w:bCs/>
          <w:spacing w:val="-10"/>
          <w:sz w:val="24"/>
          <w:u w:val="single"/>
        </w:rPr>
        <w:t>东莞市新东元环保投资有限公司</w:t>
      </w:r>
      <w:r>
        <w:rPr>
          <w:rFonts w:hint="eastAsia" w:ascii="宋体" w:hAnsi="宋体" w:eastAsia="宋体" w:cs="宋体"/>
          <w:bCs/>
          <w:spacing w:val="-10"/>
          <w:sz w:val="24"/>
        </w:rPr>
        <w:t xml:space="preserve">  </w:t>
      </w:r>
      <w:r>
        <w:rPr>
          <w:rFonts w:hint="eastAsia" w:ascii="宋体" w:hAnsi="宋体" w:eastAsia="宋体" w:cs="宋体"/>
          <w:bCs/>
          <w:sz w:val="24"/>
        </w:rPr>
        <w:t xml:space="preserve">  承包单位：</w:t>
      </w:r>
      <w:r>
        <w:rPr>
          <w:rFonts w:hint="eastAsia" w:ascii="宋体" w:hAnsi="宋体" w:eastAsia="宋体" w:cs="宋体"/>
          <w:bCs/>
          <w:color w:val="FFFFFF"/>
          <w:sz w:val="24"/>
        </w:rPr>
        <w:t xml:space="preserve"> </w:t>
      </w:r>
    </w:p>
    <w:p w14:paraId="5CE4D384">
      <w:pPr>
        <w:pStyle w:val="51"/>
        <w:rPr>
          <w:rFonts w:hint="eastAsia"/>
        </w:rPr>
      </w:pPr>
    </w:p>
    <w:p w14:paraId="0DB34A3E">
      <w:pPr>
        <w:spacing w:line="560" w:lineRule="exact"/>
        <w:rPr>
          <w:rFonts w:ascii="宋体" w:hAnsi="宋体" w:eastAsia="宋体" w:cs="宋体"/>
          <w:bCs/>
          <w:sz w:val="24"/>
        </w:rPr>
      </w:pPr>
      <w:r>
        <w:rPr>
          <w:rFonts w:hint="eastAsia" w:ascii="宋体" w:hAnsi="宋体" w:eastAsia="宋体" w:cs="宋体"/>
          <w:bCs/>
          <w:sz w:val="24"/>
        </w:rPr>
        <w:t>（盖章）                              （盖章）</w:t>
      </w:r>
    </w:p>
    <w:p w14:paraId="743ED2A5">
      <w:pPr>
        <w:spacing w:line="560" w:lineRule="exact"/>
        <w:rPr>
          <w:rFonts w:ascii="宋体" w:hAnsi="宋体" w:eastAsia="宋体" w:cs="宋体"/>
          <w:bCs/>
          <w:sz w:val="24"/>
        </w:rPr>
      </w:pPr>
      <w:r>
        <w:rPr>
          <w:rFonts w:hint="eastAsia" w:ascii="宋体" w:hAnsi="宋体" w:eastAsia="宋体" w:cs="宋体"/>
          <w:bCs/>
          <w:sz w:val="24"/>
        </w:rPr>
        <w:t>法定代表人或                           法定代表人或</w:t>
      </w:r>
    </w:p>
    <w:p w14:paraId="71F22AC5">
      <w:pPr>
        <w:spacing w:line="560" w:lineRule="exact"/>
        <w:rPr>
          <w:rFonts w:ascii="宋体" w:hAnsi="宋体" w:eastAsia="宋体" w:cs="宋体"/>
          <w:bCs/>
          <w:sz w:val="24"/>
        </w:rPr>
      </w:pPr>
      <w:r>
        <w:rPr>
          <w:rFonts w:hint="eastAsia" w:ascii="宋体" w:hAnsi="宋体" w:eastAsia="宋体" w:cs="宋体"/>
          <w:bCs/>
          <w:sz w:val="24"/>
        </w:rPr>
        <w:t>代表人：                               代表人：</w:t>
      </w:r>
    </w:p>
    <w:p w14:paraId="35928125">
      <w:pPr>
        <w:spacing w:line="560" w:lineRule="exact"/>
        <w:rPr>
          <w:rFonts w:ascii="宋体" w:hAnsi="宋体" w:eastAsia="宋体" w:cs="宋体"/>
          <w:snapToGrid w:val="0"/>
          <w:color w:val="000000"/>
          <w:sz w:val="24"/>
          <w:szCs w:val="24"/>
        </w:rPr>
      </w:pPr>
      <w:r>
        <w:rPr>
          <w:rFonts w:hint="eastAsia" w:ascii="宋体" w:hAnsi="宋体" w:eastAsia="宋体" w:cs="宋体"/>
          <w:bCs/>
          <w:sz w:val="24"/>
        </w:rPr>
        <w:t>日  期：  年  月   日                  日  期：  年    月   日</w:t>
      </w:r>
    </w:p>
    <w:p w14:paraId="09D84AC6">
      <w:pPr>
        <w:snapToGrid w:val="0"/>
        <w:spacing w:line="560" w:lineRule="exact"/>
        <w:rPr>
          <w:rFonts w:ascii="宋体" w:hAnsi="宋体" w:eastAsia="宋体" w:cs="宋体"/>
          <w:snapToGrid w:val="0"/>
          <w:color w:val="000000"/>
          <w:sz w:val="24"/>
          <w:szCs w:val="24"/>
        </w:rPr>
        <w:sectPr>
          <w:footerReference r:id="rId13" w:type="default"/>
          <w:pgSz w:w="11906" w:h="16838"/>
          <w:pgMar w:top="2098" w:right="1474" w:bottom="1985" w:left="1588" w:header="851" w:footer="992" w:gutter="0"/>
          <w:pgNumType w:fmt="decimal"/>
          <w:cols w:space="425" w:num="1"/>
          <w:docGrid w:type="lines" w:linePitch="579" w:charSpace="17613"/>
        </w:sectPr>
      </w:pPr>
    </w:p>
    <w:p w14:paraId="0FBED6DF">
      <w:pPr>
        <w:spacing w:line="560" w:lineRule="exact"/>
        <w:jc w:val="left"/>
        <w:rPr>
          <w:rFonts w:ascii="宋体" w:hAnsi="宋体" w:eastAsia="宋体"/>
          <w:bCs/>
          <w:snapToGrid w:val="0"/>
          <w:color w:val="000000"/>
          <w:sz w:val="24"/>
          <w:szCs w:val="24"/>
        </w:rPr>
      </w:pPr>
      <w:r>
        <w:rPr>
          <w:rFonts w:hint="eastAsia" w:ascii="宋体" w:hAnsi="宋体" w:eastAsia="宋体"/>
          <w:bCs/>
          <w:snapToGrid w:val="0"/>
          <w:color w:val="000000"/>
          <w:sz w:val="24"/>
          <w:szCs w:val="24"/>
        </w:rPr>
        <w:t>附件1 考核指标定义</w:t>
      </w:r>
    </w:p>
    <w:p w14:paraId="09EB1B64">
      <w:pPr>
        <w:spacing w:line="560" w:lineRule="exact"/>
        <w:jc w:val="center"/>
        <w:rPr>
          <w:rFonts w:ascii="宋体" w:hAnsi="宋体" w:eastAsia="宋体"/>
          <w:b/>
          <w:snapToGrid w:val="0"/>
          <w:color w:val="000000"/>
          <w:sz w:val="24"/>
          <w:szCs w:val="24"/>
        </w:rPr>
      </w:pPr>
      <w:r>
        <w:rPr>
          <w:rFonts w:hint="eastAsia" w:ascii="宋体" w:hAnsi="宋体" w:eastAsia="宋体"/>
          <w:b/>
          <w:snapToGrid w:val="0"/>
          <w:color w:val="000000"/>
          <w:sz w:val="24"/>
          <w:szCs w:val="24"/>
        </w:rPr>
        <w:t>考核指标定义</w:t>
      </w:r>
    </w:p>
    <w:p w14:paraId="38CEE951">
      <w:pPr>
        <w:pStyle w:val="254"/>
        <w:numPr>
          <w:ilvl w:val="0"/>
          <w:numId w:val="25"/>
        </w:numPr>
        <w:spacing w:line="540" w:lineRule="exact"/>
        <w:ind w:firstLineChars="0"/>
        <w:rPr>
          <w:rStyle w:val="55"/>
          <w:rFonts w:ascii="新宋体" w:hAnsi="新宋体" w:eastAsia="新宋体" w:cs="新宋体"/>
          <w:b w:val="0"/>
          <w:bCs w:val="0"/>
          <w:sz w:val="24"/>
          <w:szCs w:val="24"/>
        </w:rPr>
      </w:pPr>
      <w:r>
        <w:rPr>
          <w:rFonts w:hint="eastAsia" w:ascii="新宋体" w:hAnsi="新宋体" w:eastAsia="新宋体" w:cs="新宋体"/>
          <w:snapToGrid w:val="0"/>
          <w:color w:val="000000"/>
          <w:sz w:val="24"/>
          <w:szCs w:val="24"/>
        </w:rPr>
        <w:t>死亡及以上事故：见</w:t>
      </w:r>
      <w:r>
        <w:rPr>
          <w:rFonts w:hint="eastAsia" w:ascii="新宋体" w:hAnsi="新宋体" w:eastAsia="新宋体" w:cs="新宋体"/>
          <w:sz w:val="24"/>
          <w:szCs w:val="24"/>
        </w:rPr>
        <w:t>中华人民共和国《生产安全事故报告和调查处理条例》（国务院令第493号）事故标准。</w:t>
      </w:r>
    </w:p>
    <w:p w14:paraId="4225DA2D">
      <w:pPr>
        <w:pStyle w:val="254"/>
        <w:numPr>
          <w:ilvl w:val="0"/>
          <w:numId w:val="25"/>
        </w:numPr>
        <w:spacing w:line="540" w:lineRule="exact"/>
        <w:ind w:firstLineChars="0"/>
        <w:rPr>
          <w:rFonts w:ascii="新宋体" w:hAnsi="新宋体" w:eastAsia="新宋体" w:cs="新宋体"/>
          <w:snapToGrid w:val="0"/>
          <w:color w:val="000000"/>
          <w:sz w:val="24"/>
          <w:szCs w:val="24"/>
        </w:rPr>
      </w:pPr>
      <w:r>
        <w:rPr>
          <w:rFonts w:hint="eastAsia" w:ascii="新宋体" w:hAnsi="新宋体" w:eastAsia="新宋体" w:cs="新宋体"/>
          <w:sz w:val="24"/>
          <w:szCs w:val="24"/>
        </w:rPr>
        <w:t>重伤事故：（1）</w:t>
      </w:r>
      <w:r>
        <w:rPr>
          <w:rStyle w:val="55"/>
          <w:rFonts w:hint="eastAsia" w:ascii="新宋体" w:hAnsi="新宋体" w:eastAsia="新宋体" w:cs="新宋体"/>
          <w:b w:val="0"/>
          <w:bCs w:val="0"/>
          <w:sz w:val="24"/>
          <w:szCs w:val="24"/>
        </w:rPr>
        <w:t>指造成人员肢体残废、毁人容貌、丧失听觉、丧失视觉、丧失其他器官功能或者其他对于人身健康有重大伤害的事故，包括重伤一级和重伤二级，具体以劳动能力鉴定委员会的最终评定结果为准。（2）</w:t>
      </w:r>
      <w:r>
        <w:rPr>
          <w:rStyle w:val="55"/>
          <w:rFonts w:hint="eastAsia" w:ascii="新宋体" w:hAnsi="新宋体" w:eastAsia="新宋体" w:cs="新宋体"/>
          <w:b w:val="0"/>
          <w:sz w:val="24"/>
          <w:szCs w:val="24"/>
        </w:rPr>
        <w:t>造成20万元以上100万元以下直接经济损失的，与重伤事故同等级别认定。</w:t>
      </w:r>
    </w:p>
    <w:p w14:paraId="55A59EC2">
      <w:pPr>
        <w:pStyle w:val="254"/>
        <w:numPr>
          <w:ilvl w:val="0"/>
          <w:numId w:val="25"/>
        </w:numPr>
        <w:spacing w:line="540" w:lineRule="exact"/>
        <w:ind w:firstLineChars="0"/>
        <w:rPr>
          <w:rFonts w:ascii="宋体" w:hAnsi="宋体" w:eastAsia="宋体"/>
          <w:snapToGrid w:val="0"/>
          <w:color w:val="000000"/>
          <w:sz w:val="24"/>
          <w:szCs w:val="24"/>
        </w:rPr>
      </w:pPr>
      <w:r>
        <w:rPr>
          <w:rStyle w:val="55"/>
          <w:rFonts w:hint="eastAsia" w:ascii="新宋体" w:hAnsi="新宋体" w:eastAsia="新宋体" w:cs="新宋体"/>
          <w:b w:val="0"/>
          <w:sz w:val="24"/>
          <w:szCs w:val="24"/>
        </w:rPr>
        <w:t>轻伤事故：（1）造成1人肢体或者容貌损害，听觉、视觉或者其他器官功能部分障碍或者其他对于人身健康有中度伤害的事故，</w:t>
      </w:r>
      <w:r>
        <w:rPr>
          <w:rStyle w:val="55"/>
          <w:rFonts w:hint="eastAsia" w:ascii="新宋体" w:hAnsi="新宋体" w:eastAsia="新宋体" w:cs="新宋体"/>
          <w:b w:val="0"/>
          <w:bCs w:val="0"/>
          <w:sz w:val="24"/>
          <w:szCs w:val="24"/>
        </w:rPr>
        <w:t>包括轻伤一级和轻伤二级，具体</w:t>
      </w:r>
      <w:r>
        <w:rPr>
          <w:rStyle w:val="55"/>
          <w:rFonts w:hint="eastAsia" w:ascii="新宋体" w:hAnsi="新宋体" w:eastAsia="新宋体" w:cs="新宋体"/>
          <w:b w:val="0"/>
          <w:sz w:val="24"/>
          <w:szCs w:val="24"/>
        </w:rPr>
        <w:t>以劳动能力鉴定委员会的最终评定结果为准。（2）造成3万元以上20万元以下直接经济损失的，与重伤事故同等级别认定。</w:t>
      </w:r>
    </w:p>
    <w:p w14:paraId="61346F99">
      <w:pPr>
        <w:pStyle w:val="254"/>
        <w:numPr>
          <w:ilvl w:val="0"/>
          <w:numId w:val="25"/>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损失工时事故（LWC）：造成员工离开工作岗位一天或一天以上（不含事故当天）；</w:t>
      </w:r>
    </w:p>
    <w:p w14:paraId="4E84AADC">
      <w:pPr>
        <w:pStyle w:val="254"/>
        <w:numPr>
          <w:ilvl w:val="0"/>
          <w:numId w:val="25"/>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限制工时事故（RWC）：造成员工工作受限制一天或一天以上（不含事故当天）；限制性工业事故由职业医疗根据员工的实际情况和医疗部门给出的休息建议确定；</w:t>
      </w:r>
    </w:p>
    <w:p w14:paraId="0EC60CAD">
      <w:pPr>
        <w:pStyle w:val="254"/>
        <w:numPr>
          <w:ilvl w:val="0"/>
          <w:numId w:val="25"/>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医学处置事件（MTC）：该事故需要医疗处置但又没有LWC和RWC的后果；医疗处置事件分为医护处置事件、急救箱处置事件；</w:t>
      </w:r>
    </w:p>
    <w:p w14:paraId="536A932D">
      <w:pPr>
        <w:pStyle w:val="254"/>
        <w:numPr>
          <w:ilvl w:val="0"/>
          <w:numId w:val="25"/>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医护处置事件：需要专业医护人员进行一般医学处理的事件。</w:t>
      </w:r>
    </w:p>
    <w:p w14:paraId="4DB0EA29">
      <w:pPr>
        <w:pStyle w:val="254"/>
        <w:numPr>
          <w:ilvl w:val="0"/>
          <w:numId w:val="25"/>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急救箱处置事件：需要专业医护人员进行简单医学处理的事件，或可自行处理的伤害事件，例如：</w:t>
      </w:r>
    </w:p>
    <w:p w14:paraId="7CCE5483">
      <w:pPr>
        <w:numPr>
          <w:ilvl w:val="3"/>
          <w:numId w:val="26"/>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使用创可贴、纱布及绷带对伤口包扎，不影响工作活动；</w:t>
      </w:r>
    </w:p>
    <w:p w14:paraId="4DAF93BC">
      <w:pPr>
        <w:numPr>
          <w:ilvl w:val="3"/>
          <w:numId w:val="26"/>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轻微挫伤，皮肤没有破损，只需冷敷或理疗处理；</w:t>
      </w:r>
    </w:p>
    <w:p w14:paraId="05ED89BD">
      <w:pPr>
        <w:numPr>
          <w:ilvl w:val="3"/>
          <w:numId w:val="26"/>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推拿治疗；</w:t>
      </w:r>
    </w:p>
    <w:p w14:paraId="3056C44B">
      <w:pPr>
        <w:numPr>
          <w:ilvl w:val="3"/>
          <w:numId w:val="26"/>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只使用冲洗或棉签来清除眼中的异物；</w:t>
      </w:r>
    </w:p>
    <w:p w14:paraId="249A9414">
      <w:pPr>
        <w:numPr>
          <w:ilvl w:val="3"/>
          <w:numId w:val="26"/>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使用非刚性的方法进行支撑，例如弹性绷带、护套、非刚性的腰背带等；</w:t>
      </w:r>
    </w:p>
    <w:p w14:paraId="4B03A2BF">
      <w:pPr>
        <w:numPr>
          <w:ilvl w:val="3"/>
          <w:numId w:val="26"/>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使用手指防护装置等。</w:t>
      </w:r>
    </w:p>
    <w:p w14:paraId="1930E28C">
      <w:pPr>
        <w:numPr>
          <w:ilvl w:val="0"/>
          <w:numId w:val="27"/>
        </w:num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未遂事件：</w:t>
      </w:r>
    </w:p>
    <w:p w14:paraId="7E34B883">
      <w:pPr>
        <w:spacing w:line="540" w:lineRule="exact"/>
        <w:ind w:firstLine="540" w:firstLineChars="225"/>
        <w:rPr>
          <w:rFonts w:ascii="宋体" w:hAnsi="宋体" w:eastAsia="宋体"/>
          <w:snapToGrid w:val="0"/>
          <w:sz w:val="24"/>
          <w:szCs w:val="24"/>
        </w:rPr>
      </w:pPr>
      <w:r>
        <w:rPr>
          <w:rFonts w:hint="eastAsia" w:ascii="宋体" w:hAnsi="宋体" w:eastAsia="宋体"/>
          <w:snapToGrid w:val="0"/>
          <w:sz w:val="24"/>
          <w:szCs w:val="24"/>
        </w:rPr>
        <w:t>未造成人员伤害但是可能会导致工业事故的事件，未遂事件分为严重未遂事件、普通未遂事件。</w:t>
      </w:r>
    </w:p>
    <w:p w14:paraId="3C723156">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严重未遂事件：指已经发生，未构成事故，潜在后果严重，可能导致人员死亡、重伤的意外事件。满足下列条件的可确定为严重未遂（举例）：</w:t>
      </w:r>
    </w:p>
    <w:p w14:paraId="75BC173B">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脚手架坍塌时人员及时撤离、躲避或不在现场；</w:t>
      </w:r>
    </w:p>
    <w:p w14:paraId="257756EF">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吊运物品过程中挂碰周围设备（施），造成周围设备（施）划痕、变形、不可用但未造成人员受伤的；</w:t>
      </w:r>
    </w:p>
    <w:p w14:paraId="633F72B5">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车辆倾翻但未造成人员受伤的；</w:t>
      </w:r>
    </w:p>
    <w:p w14:paraId="0AFB3379">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物品运输、装卸过程中坠落倾翻，但未造成人员受伤的；</w:t>
      </w:r>
    </w:p>
    <w:p w14:paraId="02CA841B">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较重物体从高处落下或突然弹射出，未砸到人，或人员不在场但落在人行通道上；</w:t>
      </w:r>
    </w:p>
    <w:p w14:paraId="6B920993">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无证作业、作业中发现隔离边界不完整，误操作（如误合刀闸、误开或误关重要阀门）或操作严重漏项，且有较大人身伤害或主要设备损坏风险；</w:t>
      </w:r>
    </w:p>
    <w:p w14:paraId="4DF7E4C6">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人员高处坠落（2m及以上），但因保护设施起作用或缓冲等因素避免人员受伤的；</w:t>
      </w:r>
    </w:p>
    <w:p w14:paraId="79A61B69">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作业过程中安全防护装置发生故障（如起重机电梯限位、紧急制动失效）；</w:t>
      </w:r>
    </w:p>
    <w:p w14:paraId="252DC86B">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高温（</w:t>
      </w:r>
      <w:r>
        <w:rPr>
          <w:rFonts w:ascii="宋体" w:hAnsi="宋体" w:eastAsia="宋体"/>
          <w:snapToGrid w:val="0"/>
          <w:color w:val="000000"/>
          <w:sz w:val="24"/>
          <w:szCs w:val="24"/>
        </w:rPr>
        <w:t>≥</w:t>
      </w:r>
      <w:r>
        <w:rPr>
          <w:rFonts w:hint="eastAsia" w:ascii="宋体" w:hAnsi="宋体" w:eastAsia="宋体"/>
          <w:snapToGrid w:val="0"/>
          <w:color w:val="000000"/>
          <w:sz w:val="24"/>
          <w:szCs w:val="24"/>
        </w:rPr>
        <w:t>70</w:t>
      </w:r>
      <w:r>
        <w:rPr>
          <w:rFonts w:ascii="宋体" w:hAnsi="宋体" w:eastAsia="宋体"/>
          <w:snapToGrid w:val="0"/>
          <w:color w:val="000000"/>
          <w:sz w:val="24"/>
          <w:szCs w:val="24"/>
        </w:rPr>
        <w:t>℃</w:t>
      </w:r>
      <w:r>
        <w:rPr>
          <w:rFonts w:hint="eastAsia" w:ascii="宋体" w:hAnsi="宋体" w:eastAsia="宋体"/>
          <w:snapToGrid w:val="0"/>
          <w:color w:val="000000"/>
          <w:sz w:val="24"/>
          <w:szCs w:val="24"/>
        </w:rPr>
        <w:t>）、高压水（水蒸气、绝对压力＞1bar）、低温液体（液N2）等危险品突然泄漏喷射，没有造成在场人员的受伤的；</w:t>
      </w:r>
    </w:p>
    <w:p w14:paraId="3E157EB3">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设备、设施的专设安全保护装置在非控情况下被拆除，如格栅、盖板、围栏、转动机械防护装置，给人员带来较大伤害风险；</w:t>
      </w:r>
    </w:p>
    <w:p w14:paraId="51799AC6">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可导致人员窒息、中毒、触电、淹溺的作业，未采取有效措施且已出现较大伤害风险；</w:t>
      </w:r>
    </w:p>
    <w:p w14:paraId="248D9E90">
      <w:pPr>
        <w:numPr>
          <w:ilvl w:val="0"/>
          <w:numId w:val="28"/>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经甲方认定的对人身有重大伤害风险的事件。</w:t>
      </w:r>
    </w:p>
    <w:p w14:paraId="6402B231">
      <w:pPr>
        <w:numPr>
          <w:ilvl w:val="0"/>
          <w:numId w:val="29"/>
        </w:numPr>
        <w:tabs>
          <w:tab w:val="left" w:pos="90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普通未遂事件：指已经发生未构成事件，潜在后果一般的意外事件。满足下列条件的可确定为普通未遂（举例）：</w:t>
      </w:r>
    </w:p>
    <w:p w14:paraId="798210FC">
      <w:pPr>
        <w:numPr>
          <w:ilvl w:val="0"/>
          <w:numId w:val="30"/>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较轻物体（如手电、小工具）高处坠落未砸（击）到人；</w:t>
      </w:r>
    </w:p>
    <w:p w14:paraId="7BFDD596">
      <w:pPr>
        <w:numPr>
          <w:ilvl w:val="0"/>
          <w:numId w:val="30"/>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走错间隔，有人身伤害风险，但未造成后果；</w:t>
      </w:r>
    </w:p>
    <w:p w14:paraId="20F34C9B">
      <w:pPr>
        <w:numPr>
          <w:ilvl w:val="0"/>
          <w:numId w:val="30"/>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错用工作票作业，工作开始前被发现且潜在后果存在人身伤害风险；</w:t>
      </w:r>
    </w:p>
    <w:p w14:paraId="6449D4B0">
      <w:pPr>
        <w:numPr>
          <w:ilvl w:val="0"/>
          <w:numId w:val="30"/>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造成人员失足、失手、身体不适的作业条件（如孔洞、照明、通风），并已给人员带来普通风险。</w:t>
      </w:r>
    </w:p>
    <w:p w14:paraId="2322F3A7">
      <w:pPr>
        <w:numPr>
          <w:ilvl w:val="0"/>
          <w:numId w:val="31"/>
        </w:num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 xml:space="preserve"> 异常事件：任何未构成未遂事故的不安全的条件、设备/设施缺陷违章行为、不良工作习惯等不构成未遂事故的事件；或</w:t>
      </w:r>
      <w:r>
        <w:rPr>
          <w:rStyle w:val="55"/>
          <w:rFonts w:hint="eastAsia" w:ascii="新宋体" w:hAnsi="新宋体" w:eastAsia="新宋体" w:cs="新宋体"/>
          <w:b w:val="0"/>
          <w:bCs w:val="0"/>
          <w:sz w:val="24"/>
          <w:szCs w:val="24"/>
        </w:rPr>
        <w:t>主设备被迫停运12h以内、火灾一次损失0.2万以下等生产安全事件。</w:t>
      </w:r>
    </w:p>
    <w:p w14:paraId="0B84E0A7">
      <w:pPr>
        <w:tabs>
          <w:tab w:val="left" w:pos="360"/>
        </w:tabs>
        <w:spacing w:line="540" w:lineRule="exact"/>
        <w:rPr>
          <w:rStyle w:val="55"/>
          <w:rFonts w:ascii="新宋体" w:hAnsi="新宋体" w:eastAsia="新宋体" w:cs="新宋体"/>
          <w:b w:val="0"/>
          <w:bCs w:val="0"/>
          <w:sz w:val="24"/>
          <w:szCs w:val="24"/>
        </w:rPr>
      </w:pPr>
      <w:r>
        <w:rPr>
          <w:rFonts w:hint="eastAsia" w:ascii="宋体" w:hAnsi="宋体" w:eastAsia="宋体"/>
          <w:snapToGrid w:val="0"/>
          <w:color w:val="000000"/>
          <w:sz w:val="24"/>
          <w:szCs w:val="24"/>
        </w:rPr>
        <w:t>12.一类障碍：</w:t>
      </w:r>
      <w:r>
        <w:rPr>
          <w:rFonts w:hint="eastAsia" w:ascii="新宋体" w:hAnsi="新宋体" w:eastAsia="新宋体" w:cs="新宋体"/>
          <w:sz w:val="24"/>
          <w:szCs w:val="24"/>
          <w:shd w:val="clear" w:color="auto" w:fill="FFFFFF"/>
        </w:rPr>
        <w:t>主设备被迫停运超过48h低于96小于、火灾一次损失0.5万—1万元、恶性电气误操作（如带负荷拉、合隔离刀闸等）等安全生产事件。</w:t>
      </w:r>
    </w:p>
    <w:p w14:paraId="3908FD0A">
      <w:pPr>
        <w:tabs>
          <w:tab w:val="left" w:pos="360"/>
        </w:tabs>
        <w:spacing w:line="540" w:lineRule="exact"/>
        <w:rPr>
          <w:rStyle w:val="55"/>
          <w:rFonts w:ascii="新宋体" w:hAnsi="新宋体" w:eastAsia="新宋体" w:cs="新宋体"/>
          <w:b w:val="0"/>
          <w:bCs w:val="0"/>
          <w:sz w:val="24"/>
          <w:szCs w:val="24"/>
        </w:rPr>
      </w:pPr>
      <w:r>
        <w:rPr>
          <w:rStyle w:val="55"/>
          <w:rFonts w:hint="eastAsia" w:ascii="新宋体" w:hAnsi="新宋体" w:eastAsia="新宋体" w:cs="新宋体"/>
          <w:b w:val="0"/>
          <w:bCs w:val="0"/>
          <w:sz w:val="24"/>
          <w:szCs w:val="24"/>
        </w:rPr>
        <w:t>13.二类障碍：主设备被迫停运超过12h低于48h、火灾一次损失0.2万—0.5万、误操作引起主设备被迫停运等安全生产事件。</w:t>
      </w:r>
    </w:p>
    <w:p w14:paraId="0276A957">
      <w:p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14.一类设备缺陷：严重威胁系统主设备安全运行及人身安全的或已造成发电出力降低和影响对外输送电力的重大缺陷。</w:t>
      </w:r>
    </w:p>
    <w:p w14:paraId="4FF726B7">
      <w:p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15.二类设备缺陷：暂时不影响机组继续运行，但对设备安全经济运行和人身安全有一定的威胁，继续发展将导致设备停止运行，或损坏设备，需机组停运或降低出力才能消除的缺陷。</w:t>
      </w:r>
    </w:p>
    <w:p w14:paraId="788DF62B">
      <w:p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16.三类设备缺陷：不需要停用主设备或降低出力可随时消除的设备缺陷，以及不影响主设备正常运行，可结合检修或停机备用期间进行消除的缺陷。</w:t>
      </w:r>
    </w:p>
    <w:p w14:paraId="55E60617">
      <w:pPr>
        <w:numPr>
          <w:ilvl w:val="0"/>
          <w:numId w:val="32"/>
        </w:numPr>
        <w:spacing w:line="560" w:lineRule="exact"/>
        <w:rPr>
          <w:rFonts w:ascii="宋体" w:hAnsi="宋体" w:eastAsia="宋体"/>
          <w:snapToGrid w:val="0"/>
          <w:color w:val="000000"/>
          <w:sz w:val="24"/>
          <w:szCs w:val="24"/>
        </w:rPr>
        <w:sectPr>
          <w:pgSz w:w="11906" w:h="16838"/>
          <w:pgMar w:top="2098" w:right="1138" w:bottom="1985" w:left="1588" w:header="851" w:footer="992" w:gutter="0"/>
          <w:pgNumType w:fmt="decimal"/>
          <w:cols w:space="425" w:num="1"/>
          <w:docGrid w:type="lines" w:linePitch="579" w:charSpace="17613"/>
        </w:sectPr>
      </w:pPr>
    </w:p>
    <w:p w14:paraId="6D8591C9">
      <w:pPr>
        <w:rPr>
          <w:rFonts w:ascii="仿宋" w:hAnsi="仿宋" w:eastAsia="仿宋"/>
          <w:snapToGrid w:val="0"/>
          <w:sz w:val="24"/>
          <w:szCs w:val="28"/>
        </w:rPr>
      </w:pPr>
      <w:r>
        <w:rPr>
          <w:rFonts w:hint="eastAsia" w:ascii="仿宋" w:hAnsi="仿宋" w:eastAsia="仿宋"/>
          <w:snapToGrid w:val="0"/>
          <w:sz w:val="24"/>
          <w:szCs w:val="28"/>
        </w:rPr>
        <w:t>附件2：考核条款</w:t>
      </w:r>
    </w:p>
    <w:p w14:paraId="536FBEC2">
      <w:pPr>
        <w:jc w:val="center"/>
        <w:rPr>
          <w:rFonts w:ascii="宋体" w:hAnsi="宋体" w:eastAsia="宋体"/>
          <w:b/>
          <w:bCs/>
          <w:snapToGrid w:val="0"/>
          <w:sz w:val="28"/>
          <w:szCs w:val="28"/>
        </w:rPr>
      </w:pPr>
      <w:r>
        <w:rPr>
          <w:rFonts w:hint="eastAsia" w:ascii="宋体" w:hAnsi="宋体" w:eastAsia="宋体"/>
          <w:b/>
          <w:bCs/>
          <w:snapToGrid w:val="0"/>
          <w:sz w:val="28"/>
          <w:szCs w:val="28"/>
        </w:rPr>
        <w:t>考核条款</w:t>
      </w:r>
    </w:p>
    <w:tbl>
      <w:tblPr>
        <w:tblStyle w:val="52"/>
        <w:tblW w:w="9466" w:type="dxa"/>
        <w:jc w:val="center"/>
        <w:tblLayout w:type="autofit"/>
        <w:tblCellMar>
          <w:top w:w="0" w:type="dxa"/>
          <w:left w:w="108" w:type="dxa"/>
          <w:bottom w:w="0" w:type="dxa"/>
          <w:right w:w="108" w:type="dxa"/>
        </w:tblCellMar>
      </w:tblPr>
      <w:tblGrid>
        <w:gridCol w:w="716"/>
        <w:gridCol w:w="5030"/>
        <w:gridCol w:w="3720"/>
      </w:tblGrid>
      <w:tr w14:paraId="57404E30">
        <w:tblPrEx>
          <w:tblCellMar>
            <w:top w:w="0" w:type="dxa"/>
            <w:left w:w="108" w:type="dxa"/>
            <w:bottom w:w="0" w:type="dxa"/>
            <w:right w:w="108" w:type="dxa"/>
          </w:tblCellMar>
        </w:tblPrEx>
        <w:trPr>
          <w:trHeight w:val="285" w:hRule="atLeast"/>
          <w:tblHeader/>
          <w:jc w:val="center"/>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7E5FF883">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5030" w:type="dxa"/>
            <w:tcBorders>
              <w:top w:val="single" w:color="auto" w:sz="4" w:space="0"/>
              <w:left w:val="nil"/>
              <w:bottom w:val="single" w:color="auto" w:sz="4" w:space="0"/>
              <w:right w:val="single" w:color="auto" w:sz="4" w:space="0"/>
            </w:tcBorders>
            <w:shd w:val="clear" w:color="auto" w:fill="auto"/>
            <w:vAlign w:val="center"/>
          </w:tcPr>
          <w:p w14:paraId="095BF1B8">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考核项目</w:t>
            </w:r>
          </w:p>
        </w:tc>
        <w:tc>
          <w:tcPr>
            <w:tcW w:w="3720" w:type="dxa"/>
            <w:tcBorders>
              <w:top w:val="single" w:color="auto" w:sz="4" w:space="0"/>
              <w:left w:val="nil"/>
              <w:bottom w:val="single" w:color="auto" w:sz="4" w:space="0"/>
              <w:right w:val="single" w:color="auto" w:sz="4" w:space="0"/>
            </w:tcBorders>
            <w:shd w:val="clear" w:color="auto" w:fill="auto"/>
            <w:vAlign w:val="center"/>
          </w:tcPr>
          <w:p w14:paraId="1F90845B">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考核标准</w:t>
            </w:r>
          </w:p>
        </w:tc>
      </w:tr>
      <w:tr w14:paraId="3D55BE77">
        <w:tblPrEx>
          <w:tblCellMar>
            <w:top w:w="0" w:type="dxa"/>
            <w:left w:w="108" w:type="dxa"/>
            <w:bottom w:w="0" w:type="dxa"/>
            <w:right w:w="108" w:type="dxa"/>
          </w:tblCellMar>
        </w:tblPrEx>
        <w:trPr>
          <w:trHeight w:val="45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9B5D5F6">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一</w:t>
            </w:r>
          </w:p>
        </w:tc>
        <w:tc>
          <w:tcPr>
            <w:tcW w:w="8750" w:type="dxa"/>
            <w:gridSpan w:val="2"/>
            <w:tcBorders>
              <w:top w:val="nil"/>
              <w:left w:val="nil"/>
              <w:bottom w:val="single" w:color="auto" w:sz="4" w:space="0"/>
              <w:right w:val="single" w:color="auto" w:sz="4" w:space="0"/>
            </w:tcBorders>
            <w:shd w:val="clear" w:color="auto" w:fill="auto"/>
            <w:vAlign w:val="center"/>
          </w:tcPr>
          <w:p w14:paraId="624F745A">
            <w:pPr>
              <w:widowControl/>
              <w:spacing w:line="360" w:lineRule="exact"/>
              <w:jc w:val="left"/>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安全目标考核</w:t>
            </w:r>
          </w:p>
        </w:tc>
      </w:tr>
      <w:tr w14:paraId="612D2816">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70D2DB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5030" w:type="dxa"/>
            <w:tcBorders>
              <w:top w:val="nil"/>
              <w:left w:val="nil"/>
              <w:bottom w:val="single" w:color="auto" w:sz="4" w:space="0"/>
              <w:right w:val="single" w:color="auto" w:sz="4" w:space="0"/>
            </w:tcBorders>
            <w:shd w:val="clear" w:color="auto" w:fill="auto"/>
            <w:vAlign w:val="center"/>
          </w:tcPr>
          <w:p w14:paraId="1381BF05">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乙方发生责任性人身死亡事件</w:t>
            </w:r>
          </w:p>
        </w:tc>
        <w:tc>
          <w:tcPr>
            <w:tcW w:w="3720" w:type="dxa"/>
            <w:tcBorders>
              <w:top w:val="nil"/>
              <w:left w:val="nil"/>
              <w:bottom w:val="single" w:color="auto" w:sz="4" w:space="0"/>
              <w:right w:val="single" w:color="auto" w:sz="4" w:space="0"/>
            </w:tcBorders>
            <w:shd w:val="clear" w:color="auto" w:fill="auto"/>
            <w:vAlign w:val="center"/>
          </w:tcPr>
          <w:p w14:paraId="6B3B8C1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乙方除接受政府主管部门的处罚和承担死者善后费用外，甲方对乙方另按每死亡一人不低于</w:t>
            </w:r>
            <w:r>
              <w:rPr>
                <w:rFonts w:ascii="宋体" w:hAnsi="宋体" w:eastAsia="宋体" w:cs="宋体"/>
                <w:color w:val="000000"/>
                <w:kern w:val="0"/>
                <w:sz w:val="24"/>
                <w:szCs w:val="24"/>
              </w:rPr>
              <w:t>10</w:t>
            </w:r>
            <w:r>
              <w:rPr>
                <w:rFonts w:hint="eastAsia" w:ascii="宋体" w:hAnsi="宋体" w:eastAsia="宋体" w:cs="宋体"/>
                <w:color w:val="000000"/>
                <w:kern w:val="0"/>
                <w:sz w:val="24"/>
                <w:szCs w:val="24"/>
              </w:rPr>
              <w:t>万元的标准进行考核。</w:t>
            </w:r>
          </w:p>
        </w:tc>
      </w:tr>
      <w:tr w14:paraId="7E06E3C4">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99B702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5030" w:type="dxa"/>
            <w:tcBorders>
              <w:top w:val="nil"/>
              <w:left w:val="nil"/>
              <w:bottom w:val="single" w:color="auto" w:sz="4" w:space="0"/>
              <w:right w:val="single" w:color="auto" w:sz="4" w:space="0"/>
            </w:tcBorders>
            <w:shd w:val="clear" w:color="auto" w:fill="auto"/>
            <w:vAlign w:val="center"/>
          </w:tcPr>
          <w:p w14:paraId="2809BE7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乙方发生责任性人身重伤事件</w:t>
            </w:r>
          </w:p>
        </w:tc>
        <w:tc>
          <w:tcPr>
            <w:tcW w:w="3720" w:type="dxa"/>
            <w:tcBorders>
              <w:top w:val="nil"/>
              <w:left w:val="nil"/>
              <w:bottom w:val="single" w:color="auto" w:sz="4" w:space="0"/>
              <w:right w:val="single" w:color="auto" w:sz="4" w:space="0"/>
            </w:tcBorders>
            <w:shd w:val="clear" w:color="auto" w:fill="auto"/>
            <w:vAlign w:val="center"/>
          </w:tcPr>
          <w:p w14:paraId="4E86D5B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考核3万-5万元/人·次</w:t>
            </w:r>
          </w:p>
        </w:tc>
      </w:tr>
      <w:tr w14:paraId="3B0D76E6">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F2EED3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5030" w:type="dxa"/>
            <w:tcBorders>
              <w:top w:val="nil"/>
              <w:left w:val="nil"/>
              <w:bottom w:val="single" w:color="auto" w:sz="4" w:space="0"/>
              <w:right w:val="single" w:color="auto" w:sz="4" w:space="0"/>
            </w:tcBorders>
            <w:shd w:val="clear" w:color="auto" w:fill="auto"/>
            <w:vAlign w:val="center"/>
          </w:tcPr>
          <w:p w14:paraId="4E52575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乙方发生责任性人身轻伤事件</w:t>
            </w:r>
          </w:p>
        </w:tc>
        <w:tc>
          <w:tcPr>
            <w:tcW w:w="3720" w:type="dxa"/>
            <w:tcBorders>
              <w:top w:val="nil"/>
              <w:left w:val="nil"/>
              <w:bottom w:val="single" w:color="auto" w:sz="4" w:space="0"/>
              <w:right w:val="single" w:color="auto" w:sz="4" w:space="0"/>
            </w:tcBorders>
            <w:shd w:val="clear" w:color="auto" w:fill="auto"/>
            <w:vAlign w:val="center"/>
          </w:tcPr>
          <w:p w14:paraId="3246529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考核1万-2万元/人·次</w:t>
            </w:r>
          </w:p>
        </w:tc>
      </w:tr>
      <w:tr w14:paraId="57513A9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DDCCEC6">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5030" w:type="dxa"/>
            <w:tcBorders>
              <w:top w:val="nil"/>
              <w:left w:val="nil"/>
              <w:bottom w:val="single" w:color="auto" w:sz="4" w:space="0"/>
              <w:right w:val="single" w:color="auto" w:sz="4" w:space="0"/>
            </w:tcBorders>
            <w:shd w:val="clear" w:color="auto" w:fill="auto"/>
            <w:vAlign w:val="center"/>
          </w:tcPr>
          <w:p w14:paraId="623E02D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乙方发生责任性人身未遂事件</w:t>
            </w:r>
          </w:p>
        </w:tc>
        <w:tc>
          <w:tcPr>
            <w:tcW w:w="3720" w:type="dxa"/>
            <w:tcBorders>
              <w:top w:val="nil"/>
              <w:left w:val="nil"/>
              <w:bottom w:val="single" w:color="auto" w:sz="4" w:space="0"/>
              <w:right w:val="single" w:color="auto" w:sz="4" w:space="0"/>
            </w:tcBorders>
            <w:shd w:val="clear" w:color="auto" w:fill="auto"/>
            <w:vAlign w:val="center"/>
          </w:tcPr>
          <w:p w14:paraId="0E9549D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3万元-0.5万元/次</w:t>
            </w:r>
          </w:p>
        </w:tc>
      </w:tr>
      <w:tr w14:paraId="7962A6C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837FC49">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5030" w:type="dxa"/>
            <w:tcBorders>
              <w:top w:val="nil"/>
              <w:left w:val="nil"/>
              <w:bottom w:val="single" w:color="auto" w:sz="4" w:space="0"/>
              <w:right w:val="single" w:color="auto" w:sz="4" w:space="0"/>
            </w:tcBorders>
            <w:shd w:val="clear" w:color="auto" w:fill="auto"/>
            <w:vAlign w:val="center"/>
          </w:tcPr>
          <w:p w14:paraId="4736B4D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发生乙方责任导致的经济损失事故</w:t>
            </w:r>
          </w:p>
        </w:tc>
        <w:tc>
          <w:tcPr>
            <w:tcW w:w="3720" w:type="dxa"/>
            <w:tcBorders>
              <w:top w:val="nil"/>
              <w:left w:val="nil"/>
              <w:bottom w:val="single" w:color="auto" w:sz="4" w:space="0"/>
              <w:right w:val="single" w:color="auto" w:sz="4" w:space="0"/>
            </w:tcBorders>
            <w:shd w:val="clear" w:color="auto" w:fill="auto"/>
            <w:vAlign w:val="center"/>
          </w:tcPr>
          <w:p w14:paraId="555AA4D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承担相应经济损失并按损失金额的10%进行考核。</w:t>
            </w:r>
          </w:p>
        </w:tc>
      </w:tr>
      <w:tr w14:paraId="6F31BB08">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A9DF7F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5030" w:type="dxa"/>
            <w:tcBorders>
              <w:top w:val="nil"/>
              <w:left w:val="nil"/>
              <w:bottom w:val="single" w:color="auto" w:sz="4" w:space="0"/>
              <w:right w:val="single" w:color="auto" w:sz="4" w:space="0"/>
            </w:tcBorders>
            <w:shd w:val="clear" w:color="auto" w:fill="auto"/>
            <w:vAlign w:val="center"/>
          </w:tcPr>
          <w:p w14:paraId="31BE5D3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乙方发生管辖范围内（含检修厂房、生活区域和运输车辆等）责任性火灾事故。</w:t>
            </w:r>
          </w:p>
        </w:tc>
        <w:tc>
          <w:tcPr>
            <w:tcW w:w="3720" w:type="dxa"/>
            <w:tcBorders>
              <w:top w:val="nil"/>
              <w:left w:val="nil"/>
              <w:bottom w:val="single" w:color="auto" w:sz="4" w:space="0"/>
              <w:right w:val="single" w:color="auto" w:sz="4" w:space="0"/>
            </w:tcBorders>
            <w:shd w:val="clear" w:color="auto" w:fill="auto"/>
            <w:vAlign w:val="center"/>
          </w:tcPr>
          <w:p w14:paraId="5F44706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根据人员伤害及财产损失情况，参照以上标准分别考核。</w:t>
            </w:r>
          </w:p>
        </w:tc>
      </w:tr>
      <w:tr w14:paraId="5937F06D">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CF2271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5030" w:type="dxa"/>
            <w:tcBorders>
              <w:top w:val="nil"/>
              <w:left w:val="nil"/>
              <w:bottom w:val="single" w:color="auto" w:sz="4" w:space="0"/>
              <w:right w:val="single" w:color="auto" w:sz="4" w:space="0"/>
            </w:tcBorders>
            <w:shd w:val="clear" w:color="auto" w:fill="auto"/>
            <w:vAlign w:val="center"/>
          </w:tcPr>
          <w:p w14:paraId="17BDF0A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乙方因管理疏忽、员工违章等原因导致工作期间或管辖范围内发生火灾险情。</w:t>
            </w:r>
          </w:p>
        </w:tc>
        <w:tc>
          <w:tcPr>
            <w:tcW w:w="3720" w:type="dxa"/>
            <w:tcBorders>
              <w:top w:val="nil"/>
              <w:left w:val="nil"/>
              <w:bottom w:val="single" w:color="auto" w:sz="4" w:space="0"/>
              <w:right w:val="single" w:color="auto" w:sz="4" w:space="0"/>
            </w:tcBorders>
            <w:shd w:val="clear" w:color="auto" w:fill="auto"/>
            <w:vAlign w:val="center"/>
          </w:tcPr>
          <w:p w14:paraId="263CD54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4万-1万元/次，并包赔甲方损失。</w:t>
            </w:r>
          </w:p>
        </w:tc>
      </w:tr>
      <w:tr w14:paraId="1278409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D00EB8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5030" w:type="dxa"/>
            <w:tcBorders>
              <w:top w:val="nil"/>
              <w:left w:val="nil"/>
              <w:bottom w:val="single" w:color="auto" w:sz="4" w:space="0"/>
              <w:right w:val="single" w:color="auto" w:sz="4" w:space="0"/>
            </w:tcBorders>
            <w:shd w:val="clear" w:color="auto" w:fill="auto"/>
            <w:vAlign w:val="center"/>
          </w:tcPr>
          <w:p w14:paraId="3E3CC23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乙方在甲方范围内发生责任性交通事故</w:t>
            </w:r>
          </w:p>
        </w:tc>
        <w:tc>
          <w:tcPr>
            <w:tcW w:w="3720" w:type="dxa"/>
            <w:tcBorders>
              <w:top w:val="nil"/>
              <w:left w:val="nil"/>
              <w:bottom w:val="single" w:color="auto" w:sz="4" w:space="0"/>
              <w:right w:val="single" w:color="auto" w:sz="4" w:space="0"/>
            </w:tcBorders>
            <w:shd w:val="clear" w:color="auto" w:fill="auto"/>
            <w:vAlign w:val="center"/>
          </w:tcPr>
          <w:p w14:paraId="52CD83E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按人身伤亡、经济损失类事故考核标准执行，并包赔甲方损失。</w:t>
            </w:r>
          </w:p>
        </w:tc>
      </w:tr>
      <w:tr w14:paraId="4C710EF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CD0257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5030" w:type="dxa"/>
            <w:tcBorders>
              <w:top w:val="nil"/>
              <w:left w:val="nil"/>
              <w:bottom w:val="single" w:color="auto" w:sz="4" w:space="0"/>
              <w:right w:val="single" w:color="auto" w:sz="4" w:space="0"/>
            </w:tcBorders>
            <w:shd w:val="clear" w:color="auto" w:fill="auto"/>
            <w:vAlign w:val="center"/>
          </w:tcPr>
          <w:p w14:paraId="2EBE9B4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乙方管理责任导致发生、发现职业病病例。</w:t>
            </w:r>
          </w:p>
        </w:tc>
        <w:tc>
          <w:tcPr>
            <w:tcW w:w="3720" w:type="dxa"/>
            <w:tcBorders>
              <w:top w:val="nil"/>
              <w:left w:val="nil"/>
              <w:bottom w:val="single" w:color="auto" w:sz="4" w:space="0"/>
              <w:right w:val="single" w:color="auto" w:sz="4" w:space="0"/>
            </w:tcBorders>
            <w:shd w:val="clear" w:color="auto" w:fill="auto"/>
            <w:vAlign w:val="center"/>
          </w:tcPr>
          <w:p w14:paraId="6EB86B1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参照重伤考核标准</w:t>
            </w:r>
          </w:p>
        </w:tc>
      </w:tr>
      <w:tr w14:paraId="70FF0857">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14A3AC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5030" w:type="dxa"/>
            <w:tcBorders>
              <w:top w:val="nil"/>
              <w:left w:val="nil"/>
              <w:bottom w:val="single" w:color="auto" w:sz="4" w:space="0"/>
              <w:right w:val="single" w:color="auto" w:sz="4" w:space="0"/>
            </w:tcBorders>
            <w:shd w:val="clear" w:color="auto" w:fill="auto"/>
            <w:vAlign w:val="center"/>
          </w:tcPr>
          <w:p w14:paraId="78BF3ED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乙方原因导致被环保主管部门通报、考核的环保事件。</w:t>
            </w:r>
          </w:p>
        </w:tc>
        <w:tc>
          <w:tcPr>
            <w:tcW w:w="3720" w:type="dxa"/>
            <w:tcBorders>
              <w:top w:val="nil"/>
              <w:left w:val="nil"/>
              <w:bottom w:val="single" w:color="auto" w:sz="4" w:space="0"/>
              <w:right w:val="single" w:color="auto" w:sz="4" w:space="0"/>
            </w:tcBorders>
            <w:shd w:val="clear" w:color="auto" w:fill="auto"/>
            <w:vAlign w:val="center"/>
          </w:tcPr>
          <w:p w14:paraId="07E15CB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考核1万－5万元/次，并按责任定性承担主管部门的考核或罚款，并包赔甲方损失。</w:t>
            </w:r>
          </w:p>
        </w:tc>
      </w:tr>
      <w:tr w14:paraId="2C28054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099CA5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5030" w:type="dxa"/>
            <w:tcBorders>
              <w:top w:val="nil"/>
              <w:left w:val="nil"/>
              <w:bottom w:val="single" w:color="auto" w:sz="4" w:space="0"/>
              <w:right w:val="single" w:color="auto" w:sz="4" w:space="0"/>
            </w:tcBorders>
            <w:shd w:val="clear" w:color="auto" w:fill="auto"/>
            <w:vAlign w:val="center"/>
          </w:tcPr>
          <w:p w14:paraId="55E4F58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乙方在甲方范围内发生性质恶劣的治安事件，或乙方员工组织或参与盗窃的事件。</w:t>
            </w:r>
          </w:p>
        </w:tc>
        <w:tc>
          <w:tcPr>
            <w:tcW w:w="3720" w:type="dxa"/>
            <w:tcBorders>
              <w:top w:val="nil"/>
              <w:left w:val="nil"/>
              <w:bottom w:val="single" w:color="auto" w:sz="4" w:space="0"/>
              <w:right w:val="single" w:color="auto" w:sz="4" w:space="0"/>
            </w:tcBorders>
            <w:shd w:val="clear" w:color="auto" w:fill="auto"/>
            <w:vAlign w:val="center"/>
          </w:tcPr>
          <w:p w14:paraId="1182C36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3－3万元/次，并负责赔偿损失；情节特别严重的按国家法律处理。</w:t>
            </w:r>
          </w:p>
        </w:tc>
      </w:tr>
      <w:tr w14:paraId="24675657">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8D00323">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5030" w:type="dxa"/>
            <w:tcBorders>
              <w:top w:val="nil"/>
              <w:left w:val="nil"/>
              <w:bottom w:val="single" w:color="auto" w:sz="4" w:space="0"/>
              <w:right w:val="single" w:color="auto" w:sz="4" w:space="0"/>
            </w:tcBorders>
            <w:shd w:val="clear" w:color="auto" w:fill="auto"/>
            <w:vAlign w:val="center"/>
          </w:tcPr>
          <w:p w14:paraId="4CEED03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乙方3个月内重复发生同样性质的人身伤亡、治安事件、违法事件或火灾事故、环保事件、交通事故。</w:t>
            </w:r>
          </w:p>
        </w:tc>
        <w:tc>
          <w:tcPr>
            <w:tcW w:w="3720" w:type="dxa"/>
            <w:tcBorders>
              <w:top w:val="nil"/>
              <w:left w:val="nil"/>
              <w:bottom w:val="single" w:color="auto" w:sz="4" w:space="0"/>
              <w:right w:val="single" w:color="auto" w:sz="4" w:space="0"/>
            </w:tcBorders>
            <w:shd w:val="clear" w:color="auto" w:fill="auto"/>
            <w:vAlign w:val="center"/>
          </w:tcPr>
          <w:p w14:paraId="1AC16C3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对应上述款项加倍处罚。</w:t>
            </w:r>
          </w:p>
        </w:tc>
      </w:tr>
      <w:tr w14:paraId="3ABD7F28">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1164B9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5030" w:type="dxa"/>
            <w:tcBorders>
              <w:top w:val="nil"/>
              <w:left w:val="nil"/>
              <w:bottom w:val="single" w:color="auto" w:sz="4" w:space="0"/>
              <w:right w:val="single" w:color="auto" w:sz="4" w:space="0"/>
            </w:tcBorders>
            <w:shd w:val="clear" w:color="auto" w:fill="auto"/>
            <w:vAlign w:val="center"/>
          </w:tcPr>
          <w:p w14:paraId="5CD92DC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发生乙方原因导致的责任性一类障碍</w:t>
            </w:r>
          </w:p>
        </w:tc>
        <w:tc>
          <w:tcPr>
            <w:tcW w:w="3720" w:type="dxa"/>
            <w:tcBorders>
              <w:top w:val="nil"/>
              <w:left w:val="nil"/>
              <w:bottom w:val="single" w:color="auto" w:sz="4" w:space="0"/>
              <w:right w:val="single" w:color="auto" w:sz="4" w:space="0"/>
            </w:tcBorders>
            <w:shd w:val="clear" w:color="auto" w:fill="auto"/>
            <w:vAlign w:val="center"/>
          </w:tcPr>
          <w:p w14:paraId="7040581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考核1万-3万元/次，视具体情况追加考核同期电量损失。</w:t>
            </w:r>
          </w:p>
        </w:tc>
      </w:tr>
      <w:tr w14:paraId="4C24E80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F37161C">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5030" w:type="dxa"/>
            <w:tcBorders>
              <w:top w:val="nil"/>
              <w:left w:val="nil"/>
              <w:bottom w:val="single" w:color="auto" w:sz="4" w:space="0"/>
              <w:right w:val="single" w:color="auto" w:sz="4" w:space="0"/>
            </w:tcBorders>
            <w:shd w:val="clear" w:color="auto" w:fill="auto"/>
            <w:vAlign w:val="center"/>
          </w:tcPr>
          <w:p w14:paraId="7D4B36A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发生乙方原因导致的责任性二类障碍</w:t>
            </w:r>
          </w:p>
        </w:tc>
        <w:tc>
          <w:tcPr>
            <w:tcW w:w="3720" w:type="dxa"/>
            <w:tcBorders>
              <w:top w:val="nil"/>
              <w:left w:val="nil"/>
              <w:bottom w:val="single" w:color="auto" w:sz="4" w:space="0"/>
              <w:right w:val="single" w:color="auto" w:sz="4" w:space="0"/>
            </w:tcBorders>
            <w:shd w:val="clear" w:color="auto" w:fill="auto"/>
            <w:vAlign w:val="center"/>
          </w:tcPr>
          <w:p w14:paraId="09B5976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4万-1万元/次，视具体情况追加考核同期电量损失。</w:t>
            </w:r>
          </w:p>
        </w:tc>
      </w:tr>
      <w:tr w14:paraId="3AC7163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3946C7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5030" w:type="dxa"/>
            <w:tcBorders>
              <w:top w:val="nil"/>
              <w:left w:val="nil"/>
              <w:bottom w:val="single" w:color="auto" w:sz="4" w:space="0"/>
              <w:right w:val="single" w:color="auto" w:sz="4" w:space="0"/>
            </w:tcBorders>
            <w:shd w:val="clear" w:color="auto" w:fill="auto"/>
            <w:vAlign w:val="center"/>
          </w:tcPr>
          <w:p w14:paraId="7B80985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乙方发生责任性异常事件</w:t>
            </w:r>
          </w:p>
        </w:tc>
        <w:tc>
          <w:tcPr>
            <w:tcW w:w="3720" w:type="dxa"/>
            <w:tcBorders>
              <w:top w:val="nil"/>
              <w:left w:val="nil"/>
              <w:bottom w:val="single" w:color="auto" w:sz="4" w:space="0"/>
              <w:right w:val="single" w:color="auto" w:sz="4" w:space="0"/>
            </w:tcBorders>
            <w:shd w:val="clear" w:color="auto" w:fill="auto"/>
            <w:vAlign w:val="center"/>
          </w:tcPr>
          <w:p w14:paraId="48D8E29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4万元/次，视具体情况追加考核同期电量损失。</w:t>
            </w:r>
          </w:p>
        </w:tc>
      </w:tr>
      <w:tr w14:paraId="267D9C4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BBB067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5030" w:type="dxa"/>
            <w:tcBorders>
              <w:top w:val="nil"/>
              <w:left w:val="nil"/>
              <w:bottom w:val="single" w:color="auto" w:sz="4" w:space="0"/>
              <w:right w:val="single" w:color="auto" w:sz="4" w:space="0"/>
            </w:tcBorders>
            <w:shd w:val="clear" w:color="auto" w:fill="auto"/>
            <w:vAlign w:val="center"/>
          </w:tcPr>
          <w:p w14:paraId="296A7D8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乙方发生误操作事件</w:t>
            </w:r>
          </w:p>
        </w:tc>
        <w:tc>
          <w:tcPr>
            <w:tcW w:w="3720" w:type="dxa"/>
            <w:tcBorders>
              <w:top w:val="nil"/>
              <w:left w:val="nil"/>
              <w:bottom w:val="single" w:color="auto" w:sz="4" w:space="0"/>
              <w:right w:val="single" w:color="auto" w:sz="4" w:space="0"/>
            </w:tcBorders>
            <w:shd w:val="clear" w:color="auto" w:fill="auto"/>
            <w:vAlign w:val="center"/>
          </w:tcPr>
          <w:p w14:paraId="40A319C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一般误操作考核0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4万－1万元/次，恶性误操作按一类障碍考核，造成后果的按责任定性另外考核。</w:t>
            </w:r>
          </w:p>
        </w:tc>
      </w:tr>
      <w:tr w14:paraId="26BCAFE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AC2967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5030" w:type="dxa"/>
            <w:tcBorders>
              <w:top w:val="nil"/>
              <w:left w:val="nil"/>
              <w:bottom w:val="single" w:color="auto" w:sz="4" w:space="0"/>
              <w:right w:val="single" w:color="auto" w:sz="4" w:space="0"/>
            </w:tcBorders>
            <w:shd w:val="clear" w:color="auto" w:fill="auto"/>
            <w:vAlign w:val="center"/>
          </w:tcPr>
          <w:p w14:paraId="12B7EA7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乙方发生安全事故不及时汇报（超过24h），或谎报、瞒报，逃避责任等行为。</w:t>
            </w:r>
          </w:p>
        </w:tc>
        <w:tc>
          <w:tcPr>
            <w:tcW w:w="3720" w:type="dxa"/>
            <w:tcBorders>
              <w:top w:val="nil"/>
              <w:left w:val="nil"/>
              <w:bottom w:val="single" w:color="auto" w:sz="4" w:space="0"/>
              <w:right w:val="single" w:color="auto" w:sz="4" w:space="0"/>
            </w:tcBorders>
            <w:shd w:val="clear" w:color="auto" w:fill="auto"/>
            <w:vAlign w:val="center"/>
          </w:tcPr>
          <w:p w14:paraId="798A499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按事故事件的级别给予不超过2万元/次的考核（事故责任另计）</w:t>
            </w:r>
          </w:p>
        </w:tc>
      </w:tr>
      <w:tr w14:paraId="78365F0B">
        <w:tblPrEx>
          <w:tblCellMar>
            <w:top w:w="0" w:type="dxa"/>
            <w:left w:w="108" w:type="dxa"/>
            <w:bottom w:w="0" w:type="dxa"/>
            <w:right w:w="108" w:type="dxa"/>
          </w:tblCellMar>
        </w:tblPrEx>
        <w:trPr>
          <w:trHeight w:val="372"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D5420C9">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二</w:t>
            </w:r>
          </w:p>
        </w:tc>
        <w:tc>
          <w:tcPr>
            <w:tcW w:w="5030" w:type="dxa"/>
            <w:tcBorders>
              <w:top w:val="nil"/>
              <w:left w:val="nil"/>
              <w:bottom w:val="single" w:color="auto" w:sz="4" w:space="0"/>
              <w:right w:val="single" w:color="auto" w:sz="4" w:space="0"/>
            </w:tcBorders>
            <w:shd w:val="clear" w:color="auto" w:fill="auto"/>
            <w:vAlign w:val="center"/>
          </w:tcPr>
          <w:p w14:paraId="43C36638">
            <w:pPr>
              <w:widowControl/>
              <w:spacing w:line="360" w:lineRule="exact"/>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安全管理考核</w:t>
            </w:r>
          </w:p>
        </w:tc>
        <w:tc>
          <w:tcPr>
            <w:tcW w:w="3720" w:type="dxa"/>
            <w:tcBorders>
              <w:top w:val="nil"/>
              <w:left w:val="nil"/>
              <w:bottom w:val="single" w:color="auto" w:sz="4" w:space="0"/>
              <w:right w:val="single" w:color="auto" w:sz="4" w:space="0"/>
            </w:tcBorders>
            <w:shd w:val="clear" w:color="auto" w:fill="auto"/>
            <w:vAlign w:val="center"/>
          </w:tcPr>
          <w:p w14:paraId="504D6E00">
            <w:pPr>
              <w:widowControl/>
              <w:spacing w:line="360" w:lineRule="exact"/>
              <w:jc w:val="left"/>
              <w:rPr>
                <w:rFonts w:ascii="宋体" w:hAnsi="宋体" w:eastAsia="宋体" w:cs="宋体"/>
                <w:color w:val="000000"/>
                <w:kern w:val="0"/>
                <w:sz w:val="24"/>
                <w:szCs w:val="24"/>
              </w:rPr>
            </w:pPr>
          </w:p>
        </w:tc>
      </w:tr>
      <w:tr w14:paraId="2F9A3537">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6C9E786">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5030" w:type="dxa"/>
            <w:tcBorders>
              <w:top w:val="nil"/>
              <w:left w:val="nil"/>
              <w:bottom w:val="single" w:color="auto" w:sz="4" w:space="0"/>
              <w:right w:val="single" w:color="auto" w:sz="4" w:space="0"/>
            </w:tcBorders>
            <w:shd w:val="clear" w:color="auto" w:fill="auto"/>
            <w:vAlign w:val="center"/>
          </w:tcPr>
          <w:p w14:paraId="0E49B2F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乙方不设立现场安全组织管理机构，不按要求设置安全员，项目经理或专职安全人员不具备国家要求的相应安全资格。</w:t>
            </w:r>
          </w:p>
        </w:tc>
        <w:tc>
          <w:tcPr>
            <w:tcW w:w="3720" w:type="dxa"/>
            <w:tcBorders>
              <w:top w:val="nil"/>
              <w:left w:val="nil"/>
              <w:bottom w:val="single" w:color="auto" w:sz="4" w:space="0"/>
              <w:right w:val="single" w:color="auto" w:sz="4" w:space="0"/>
            </w:tcBorders>
            <w:shd w:val="clear" w:color="auto" w:fill="auto"/>
            <w:vAlign w:val="center"/>
          </w:tcPr>
          <w:p w14:paraId="7AF05C5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1万－0.5万元/人·次</w:t>
            </w:r>
          </w:p>
        </w:tc>
      </w:tr>
      <w:tr w14:paraId="71133328">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C53AC4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5030" w:type="dxa"/>
            <w:tcBorders>
              <w:top w:val="nil"/>
              <w:left w:val="nil"/>
              <w:bottom w:val="single" w:color="auto" w:sz="4" w:space="0"/>
              <w:right w:val="single" w:color="auto" w:sz="4" w:space="0"/>
            </w:tcBorders>
            <w:shd w:val="clear" w:color="auto" w:fill="auto"/>
            <w:vAlign w:val="center"/>
          </w:tcPr>
          <w:p w14:paraId="0E4A797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乙方新人员未经安全教育或考试不合格上岗</w:t>
            </w:r>
          </w:p>
        </w:tc>
        <w:tc>
          <w:tcPr>
            <w:tcW w:w="3720" w:type="dxa"/>
            <w:tcBorders>
              <w:top w:val="nil"/>
              <w:left w:val="nil"/>
              <w:bottom w:val="single" w:color="auto" w:sz="4" w:space="0"/>
              <w:right w:val="single" w:color="auto" w:sz="4" w:space="0"/>
            </w:tcBorders>
            <w:shd w:val="clear" w:color="auto" w:fill="auto"/>
            <w:vAlign w:val="center"/>
          </w:tcPr>
          <w:p w14:paraId="17A7FD0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考核500－1000元/人，屡教不改或形成普遍现象的加倍考核.</w:t>
            </w:r>
          </w:p>
        </w:tc>
      </w:tr>
      <w:tr w14:paraId="17C5CFA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05081A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5030" w:type="dxa"/>
            <w:tcBorders>
              <w:top w:val="nil"/>
              <w:left w:val="nil"/>
              <w:bottom w:val="single" w:color="auto" w:sz="4" w:space="0"/>
              <w:right w:val="single" w:color="auto" w:sz="4" w:space="0"/>
            </w:tcBorders>
            <w:shd w:val="clear" w:color="auto" w:fill="auto"/>
            <w:vAlign w:val="center"/>
          </w:tcPr>
          <w:p w14:paraId="4A63560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乙方人员变更未及时向甲方或监理方申报、备案的。</w:t>
            </w:r>
          </w:p>
        </w:tc>
        <w:tc>
          <w:tcPr>
            <w:tcW w:w="3720" w:type="dxa"/>
            <w:tcBorders>
              <w:top w:val="nil"/>
              <w:left w:val="nil"/>
              <w:bottom w:val="single" w:color="auto" w:sz="4" w:space="0"/>
              <w:right w:val="single" w:color="auto" w:sz="4" w:space="0"/>
            </w:tcBorders>
            <w:shd w:val="clear" w:color="auto" w:fill="auto"/>
            <w:vAlign w:val="center"/>
          </w:tcPr>
          <w:p w14:paraId="0D76649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考核500元－1000元/人·次</w:t>
            </w:r>
          </w:p>
        </w:tc>
      </w:tr>
      <w:tr w14:paraId="7DE35FA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C5949B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5030" w:type="dxa"/>
            <w:tcBorders>
              <w:top w:val="nil"/>
              <w:left w:val="nil"/>
              <w:bottom w:val="single" w:color="auto" w:sz="4" w:space="0"/>
              <w:right w:val="single" w:color="auto" w:sz="4" w:space="0"/>
            </w:tcBorders>
            <w:shd w:val="clear" w:color="auto" w:fill="auto"/>
            <w:vAlign w:val="center"/>
          </w:tcPr>
          <w:p w14:paraId="644D169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乙方施工过程中特种作业人员没有特种作业证，或不随身携带特种作业证。</w:t>
            </w:r>
          </w:p>
        </w:tc>
        <w:tc>
          <w:tcPr>
            <w:tcW w:w="3720" w:type="dxa"/>
            <w:tcBorders>
              <w:top w:val="nil"/>
              <w:left w:val="nil"/>
              <w:bottom w:val="single" w:color="auto" w:sz="4" w:space="0"/>
              <w:right w:val="single" w:color="auto" w:sz="4" w:space="0"/>
            </w:tcBorders>
            <w:shd w:val="clear" w:color="auto" w:fill="auto"/>
            <w:vAlign w:val="center"/>
          </w:tcPr>
          <w:p w14:paraId="335CC33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特种作业人员无证上岗考核0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5万元/人.次，特种作业证未随身携带考核500元/人次</w:t>
            </w:r>
          </w:p>
        </w:tc>
      </w:tr>
      <w:tr w14:paraId="0F8DCEF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4757289">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5030" w:type="dxa"/>
            <w:tcBorders>
              <w:top w:val="nil"/>
              <w:left w:val="nil"/>
              <w:bottom w:val="single" w:color="auto" w:sz="4" w:space="0"/>
              <w:right w:val="single" w:color="auto" w:sz="4" w:space="0"/>
            </w:tcBorders>
            <w:shd w:val="clear" w:color="auto" w:fill="auto"/>
            <w:vAlign w:val="center"/>
          </w:tcPr>
          <w:p w14:paraId="73A4EC4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乙方不按规定开展安全培训、安全交底、风险分析、隐患排查、事故应急等安全活动，或安全活动查无实据、或弄虚作假。</w:t>
            </w:r>
          </w:p>
        </w:tc>
        <w:tc>
          <w:tcPr>
            <w:tcW w:w="3720" w:type="dxa"/>
            <w:tcBorders>
              <w:top w:val="nil"/>
              <w:left w:val="nil"/>
              <w:bottom w:val="single" w:color="auto" w:sz="4" w:space="0"/>
              <w:right w:val="single" w:color="auto" w:sz="4" w:space="0"/>
            </w:tcBorders>
            <w:shd w:val="clear" w:color="auto" w:fill="auto"/>
            <w:vAlign w:val="center"/>
          </w:tcPr>
          <w:p w14:paraId="55B7460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0.3</w:t>
            </w:r>
            <w:r>
              <w:rPr>
                <w:rFonts w:hint="eastAsia" w:ascii="宋体" w:hAnsi="宋体" w:eastAsia="宋体" w:cs="宋体"/>
                <w:color w:val="000000"/>
                <w:kern w:val="0"/>
                <w:sz w:val="24"/>
                <w:szCs w:val="24"/>
              </w:rPr>
              <w:t>万元/项</w:t>
            </w:r>
          </w:p>
        </w:tc>
      </w:tr>
      <w:tr w14:paraId="46BFB18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9448D8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w:t>
            </w:r>
          </w:p>
        </w:tc>
        <w:tc>
          <w:tcPr>
            <w:tcW w:w="5030" w:type="dxa"/>
            <w:tcBorders>
              <w:top w:val="nil"/>
              <w:left w:val="nil"/>
              <w:bottom w:val="single" w:color="auto" w:sz="4" w:space="0"/>
              <w:right w:val="single" w:color="auto" w:sz="4" w:space="0"/>
            </w:tcBorders>
            <w:shd w:val="clear" w:color="auto" w:fill="auto"/>
            <w:vAlign w:val="center"/>
          </w:tcPr>
          <w:p w14:paraId="6536B98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乙方不按要求落实甲方反事故措施或重大安全事故隐患整改措施。</w:t>
            </w:r>
          </w:p>
        </w:tc>
        <w:tc>
          <w:tcPr>
            <w:tcW w:w="3720" w:type="dxa"/>
            <w:tcBorders>
              <w:top w:val="nil"/>
              <w:left w:val="nil"/>
              <w:bottom w:val="single" w:color="auto" w:sz="4" w:space="0"/>
              <w:right w:val="single" w:color="auto" w:sz="4" w:space="0"/>
            </w:tcBorders>
            <w:shd w:val="clear" w:color="auto" w:fill="auto"/>
            <w:vAlign w:val="center"/>
          </w:tcPr>
          <w:p w14:paraId="2130253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5万元/项</w:t>
            </w:r>
          </w:p>
        </w:tc>
      </w:tr>
      <w:tr w14:paraId="7E096CD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6ABB276">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w:t>
            </w:r>
          </w:p>
        </w:tc>
        <w:tc>
          <w:tcPr>
            <w:tcW w:w="5030" w:type="dxa"/>
            <w:tcBorders>
              <w:top w:val="nil"/>
              <w:left w:val="nil"/>
              <w:bottom w:val="single" w:color="auto" w:sz="4" w:space="0"/>
              <w:right w:val="single" w:color="auto" w:sz="4" w:space="0"/>
            </w:tcBorders>
            <w:shd w:val="clear" w:color="auto" w:fill="auto"/>
            <w:vAlign w:val="center"/>
          </w:tcPr>
          <w:p w14:paraId="0D0AF9C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乙方对甲方提出的安全整改意见无特殊原因未安排整改的。</w:t>
            </w:r>
          </w:p>
        </w:tc>
        <w:tc>
          <w:tcPr>
            <w:tcW w:w="3720" w:type="dxa"/>
            <w:tcBorders>
              <w:top w:val="nil"/>
              <w:left w:val="nil"/>
              <w:bottom w:val="single" w:color="auto" w:sz="4" w:space="0"/>
              <w:right w:val="single" w:color="auto" w:sz="4" w:space="0"/>
            </w:tcBorders>
            <w:shd w:val="clear" w:color="auto" w:fill="auto"/>
            <w:vAlign w:val="center"/>
          </w:tcPr>
          <w:p w14:paraId="2791668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每逾期1天考核500元</w:t>
            </w:r>
          </w:p>
        </w:tc>
      </w:tr>
      <w:tr w14:paraId="396C05A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89E7F16">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w:t>
            </w:r>
          </w:p>
        </w:tc>
        <w:tc>
          <w:tcPr>
            <w:tcW w:w="5030" w:type="dxa"/>
            <w:tcBorders>
              <w:top w:val="nil"/>
              <w:left w:val="nil"/>
              <w:bottom w:val="single" w:color="auto" w:sz="4" w:space="0"/>
              <w:right w:val="single" w:color="auto" w:sz="4" w:space="0"/>
            </w:tcBorders>
            <w:shd w:val="clear" w:color="auto" w:fill="auto"/>
            <w:vAlign w:val="center"/>
          </w:tcPr>
          <w:p w14:paraId="50D57D4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乙方在甲方厂区内未经许可，未履行完申请报批手续，违规建设。</w:t>
            </w:r>
          </w:p>
        </w:tc>
        <w:tc>
          <w:tcPr>
            <w:tcW w:w="3720" w:type="dxa"/>
            <w:tcBorders>
              <w:top w:val="nil"/>
              <w:left w:val="nil"/>
              <w:bottom w:val="single" w:color="auto" w:sz="4" w:space="0"/>
              <w:right w:val="single" w:color="auto" w:sz="4" w:space="0"/>
            </w:tcBorders>
            <w:shd w:val="clear" w:color="auto" w:fill="auto"/>
            <w:vAlign w:val="center"/>
          </w:tcPr>
          <w:p w14:paraId="68A3B4D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5万－1万元/次，并恢复原貌。</w:t>
            </w:r>
          </w:p>
        </w:tc>
      </w:tr>
      <w:tr w14:paraId="0BF9AF5D">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906EA7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5030" w:type="dxa"/>
            <w:tcBorders>
              <w:top w:val="nil"/>
              <w:left w:val="nil"/>
              <w:bottom w:val="single" w:color="auto" w:sz="4" w:space="0"/>
              <w:right w:val="single" w:color="auto" w:sz="4" w:space="0"/>
            </w:tcBorders>
            <w:shd w:val="clear" w:color="auto" w:fill="auto"/>
            <w:vAlign w:val="center"/>
          </w:tcPr>
          <w:p w14:paraId="5C8F656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乙方未落实审批程序擅自开工</w:t>
            </w:r>
          </w:p>
        </w:tc>
        <w:tc>
          <w:tcPr>
            <w:tcW w:w="3720" w:type="dxa"/>
            <w:tcBorders>
              <w:top w:val="nil"/>
              <w:left w:val="nil"/>
              <w:bottom w:val="single" w:color="auto" w:sz="4" w:space="0"/>
              <w:right w:val="single" w:color="auto" w:sz="4" w:space="0"/>
            </w:tcBorders>
            <w:shd w:val="clear" w:color="auto" w:fill="auto"/>
            <w:vAlign w:val="center"/>
          </w:tcPr>
          <w:p w14:paraId="5515A11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2万－0.5万元/次，并立即停工整改。</w:t>
            </w:r>
          </w:p>
        </w:tc>
      </w:tr>
      <w:tr w14:paraId="0DE4DBA0">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DD4B784">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w:t>
            </w:r>
          </w:p>
        </w:tc>
        <w:tc>
          <w:tcPr>
            <w:tcW w:w="5030" w:type="dxa"/>
            <w:tcBorders>
              <w:top w:val="nil"/>
              <w:left w:val="nil"/>
              <w:bottom w:val="single" w:color="auto" w:sz="4" w:space="0"/>
              <w:right w:val="single" w:color="auto" w:sz="4" w:space="0"/>
            </w:tcBorders>
            <w:shd w:val="clear" w:color="auto" w:fill="auto"/>
            <w:vAlign w:val="center"/>
          </w:tcPr>
          <w:p w14:paraId="4B7E659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乙方施工现场在用的特种设备未经法定检验或未及时备案，或超检验期使用。</w:t>
            </w:r>
          </w:p>
        </w:tc>
        <w:tc>
          <w:tcPr>
            <w:tcW w:w="3720" w:type="dxa"/>
            <w:tcBorders>
              <w:top w:val="nil"/>
              <w:left w:val="nil"/>
              <w:bottom w:val="single" w:color="auto" w:sz="4" w:space="0"/>
              <w:right w:val="single" w:color="auto" w:sz="4" w:space="0"/>
            </w:tcBorders>
            <w:shd w:val="clear" w:color="auto" w:fill="auto"/>
            <w:vAlign w:val="center"/>
          </w:tcPr>
          <w:p w14:paraId="796A077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5万－1万元/次</w:t>
            </w:r>
          </w:p>
        </w:tc>
      </w:tr>
      <w:tr w14:paraId="1181730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6AC130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w:t>
            </w:r>
          </w:p>
        </w:tc>
        <w:tc>
          <w:tcPr>
            <w:tcW w:w="5030" w:type="dxa"/>
            <w:tcBorders>
              <w:top w:val="nil"/>
              <w:left w:val="nil"/>
              <w:bottom w:val="single" w:color="auto" w:sz="4" w:space="0"/>
              <w:right w:val="single" w:color="auto" w:sz="4" w:space="0"/>
            </w:tcBorders>
            <w:shd w:val="clear" w:color="auto" w:fill="auto"/>
            <w:vAlign w:val="center"/>
          </w:tcPr>
          <w:p w14:paraId="7EDD514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乙方使用未经检验或超过检验期的安全工器具</w:t>
            </w:r>
          </w:p>
        </w:tc>
        <w:tc>
          <w:tcPr>
            <w:tcW w:w="3720" w:type="dxa"/>
            <w:tcBorders>
              <w:top w:val="nil"/>
              <w:left w:val="nil"/>
              <w:bottom w:val="single" w:color="auto" w:sz="4" w:space="0"/>
              <w:right w:val="single" w:color="auto" w:sz="4" w:space="0"/>
            </w:tcBorders>
            <w:shd w:val="clear" w:color="auto" w:fill="auto"/>
            <w:vAlign w:val="center"/>
          </w:tcPr>
          <w:p w14:paraId="5724D4F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2万元/项</w:t>
            </w:r>
          </w:p>
        </w:tc>
      </w:tr>
      <w:tr w14:paraId="0450984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8CAB86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w:t>
            </w:r>
          </w:p>
        </w:tc>
        <w:tc>
          <w:tcPr>
            <w:tcW w:w="5030" w:type="dxa"/>
            <w:tcBorders>
              <w:top w:val="nil"/>
              <w:left w:val="nil"/>
              <w:bottom w:val="single" w:color="auto" w:sz="4" w:space="0"/>
              <w:right w:val="single" w:color="auto" w:sz="4" w:space="0"/>
            </w:tcBorders>
            <w:shd w:val="clear" w:color="auto" w:fill="auto"/>
            <w:vAlign w:val="center"/>
          </w:tcPr>
          <w:p w14:paraId="7A8415F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乙方不按规定投入安全资金或虚报、瞒报安全设施投入情况。</w:t>
            </w:r>
          </w:p>
        </w:tc>
        <w:tc>
          <w:tcPr>
            <w:tcW w:w="3720" w:type="dxa"/>
            <w:tcBorders>
              <w:top w:val="nil"/>
              <w:left w:val="nil"/>
              <w:bottom w:val="single" w:color="auto" w:sz="4" w:space="0"/>
              <w:right w:val="single" w:color="auto" w:sz="4" w:space="0"/>
            </w:tcBorders>
            <w:shd w:val="clear" w:color="auto" w:fill="auto"/>
            <w:vAlign w:val="center"/>
          </w:tcPr>
          <w:p w14:paraId="06CEE88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5万－2万元/次，并责令按规定投入足额安全资金。</w:t>
            </w:r>
          </w:p>
        </w:tc>
      </w:tr>
      <w:tr w14:paraId="0000186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BA018B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29</w:t>
            </w:r>
          </w:p>
        </w:tc>
        <w:tc>
          <w:tcPr>
            <w:tcW w:w="5030" w:type="dxa"/>
            <w:tcBorders>
              <w:top w:val="nil"/>
              <w:left w:val="nil"/>
              <w:bottom w:val="single" w:color="auto" w:sz="4" w:space="0"/>
              <w:right w:val="single" w:color="auto" w:sz="4" w:space="0"/>
            </w:tcBorders>
            <w:shd w:val="clear" w:color="auto" w:fill="auto"/>
            <w:vAlign w:val="center"/>
          </w:tcPr>
          <w:p w14:paraId="2319D42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乙方不服从甲方对口管理部门、管理人员指挥，且态度恶劣、拒不整改的。</w:t>
            </w:r>
          </w:p>
        </w:tc>
        <w:tc>
          <w:tcPr>
            <w:tcW w:w="3720" w:type="dxa"/>
            <w:tcBorders>
              <w:top w:val="nil"/>
              <w:left w:val="nil"/>
              <w:bottom w:val="single" w:color="auto" w:sz="4" w:space="0"/>
              <w:right w:val="single" w:color="auto" w:sz="4" w:space="0"/>
            </w:tcBorders>
            <w:shd w:val="clear" w:color="auto" w:fill="auto"/>
            <w:vAlign w:val="center"/>
          </w:tcPr>
          <w:p w14:paraId="72AB2C4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1万－0.3万元/次，情节严重者驱逐出厂。</w:t>
            </w:r>
          </w:p>
        </w:tc>
      </w:tr>
      <w:tr w14:paraId="170CFA41">
        <w:tblPrEx>
          <w:tblCellMar>
            <w:top w:w="0" w:type="dxa"/>
            <w:left w:w="108" w:type="dxa"/>
            <w:bottom w:w="0" w:type="dxa"/>
            <w:right w:w="108" w:type="dxa"/>
          </w:tblCellMar>
        </w:tblPrEx>
        <w:trPr>
          <w:trHeight w:val="457"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50A447A">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三</w:t>
            </w:r>
          </w:p>
        </w:tc>
        <w:tc>
          <w:tcPr>
            <w:tcW w:w="5030" w:type="dxa"/>
            <w:tcBorders>
              <w:top w:val="nil"/>
              <w:left w:val="nil"/>
              <w:bottom w:val="single" w:color="auto" w:sz="4" w:space="0"/>
              <w:right w:val="single" w:color="auto" w:sz="4" w:space="0"/>
            </w:tcBorders>
            <w:shd w:val="clear" w:color="auto" w:fill="auto"/>
            <w:vAlign w:val="center"/>
          </w:tcPr>
          <w:p w14:paraId="389A5900">
            <w:pPr>
              <w:widowControl/>
              <w:spacing w:line="360" w:lineRule="exact"/>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违章考核</w:t>
            </w:r>
          </w:p>
        </w:tc>
        <w:tc>
          <w:tcPr>
            <w:tcW w:w="3720" w:type="dxa"/>
            <w:tcBorders>
              <w:top w:val="nil"/>
              <w:left w:val="nil"/>
              <w:bottom w:val="single" w:color="auto" w:sz="4" w:space="0"/>
              <w:right w:val="single" w:color="auto" w:sz="4" w:space="0"/>
            </w:tcBorders>
            <w:shd w:val="clear" w:color="auto" w:fill="auto"/>
            <w:vAlign w:val="center"/>
          </w:tcPr>
          <w:p w14:paraId="4DAE484F">
            <w:pPr>
              <w:widowControl/>
              <w:spacing w:line="360" w:lineRule="exact"/>
              <w:jc w:val="left"/>
              <w:rPr>
                <w:rFonts w:ascii="宋体" w:hAnsi="宋体" w:eastAsia="宋体" w:cs="宋体"/>
                <w:color w:val="000000"/>
                <w:kern w:val="0"/>
                <w:sz w:val="24"/>
                <w:szCs w:val="24"/>
              </w:rPr>
            </w:pPr>
          </w:p>
        </w:tc>
      </w:tr>
      <w:tr w14:paraId="618D958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53744ED">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5030" w:type="dxa"/>
            <w:tcBorders>
              <w:top w:val="nil"/>
              <w:left w:val="nil"/>
              <w:bottom w:val="single" w:color="auto" w:sz="4" w:space="0"/>
              <w:right w:val="single" w:color="auto" w:sz="4" w:space="0"/>
            </w:tcBorders>
            <w:shd w:val="clear" w:color="auto" w:fill="auto"/>
            <w:vAlign w:val="center"/>
          </w:tcPr>
          <w:p w14:paraId="383D62D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乙方违反甲方两票管理制度</w:t>
            </w:r>
          </w:p>
        </w:tc>
        <w:tc>
          <w:tcPr>
            <w:tcW w:w="3720" w:type="dxa"/>
            <w:tcBorders>
              <w:top w:val="nil"/>
              <w:left w:val="nil"/>
              <w:bottom w:val="single" w:color="auto" w:sz="4" w:space="0"/>
              <w:right w:val="single" w:color="auto" w:sz="4" w:space="0"/>
            </w:tcBorders>
            <w:shd w:val="clear" w:color="auto" w:fill="auto"/>
            <w:vAlign w:val="center"/>
          </w:tcPr>
          <w:p w14:paraId="1AA556C9">
            <w:pPr>
              <w:widowControl/>
              <w:spacing w:line="30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无票作业考核0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3万－1万元/次，工作票不合格或未按安措执行的每次考核500元－0.2万元</w:t>
            </w:r>
          </w:p>
        </w:tc>
      </w:tr>
      <w:tr w14:paraId="6AD2854E">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D5C9D58">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31</w:t>
            </w:r>
          </w:p>
        </w:tc>
        <w:tc>
          <w:tcPr>
            <w:tcW w:w="5030" w:type="dxa"/>
            <w:tcBorders>
              <w:top w:val="nil"/>
              <w:left w:val="nil"/>
              <w:bottom w:val="single" w:color="auto" w:sz="4" w:space="0"/>
              <w:right w:val="single" w:color="auto" w:sz="4" w:space="0"/>
            </w:tcBorders>
            <w:shd w:val="clear" w:color="auto" w:fill="auto"/>
            <w:vAlign w:val="center"/>
          </w:tcPr>
          <w:p w14:paraId="6FFF015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乙方人员未经许可擅动甲方的生产设备、设施</w:t>
            </w:r>
          </w:p>
        </w:tc>
        <w:tc>
          <w:tcPr>
            <w:tcW w:w="3720" w:type="dxa"/>
            <w:tcBorders>
              <w:top w:val="nil"/>
              <w:left w:val="nil"/>
              <w:bottom w:val="single" w:color="auto" w:sz="4" w:space="0"/>
              <w:right w:val="single" w:color="auto" w:sz="4" w:space="0"/>
            </w:tcBorders>
            <w:shd w:val="clear" w:color="auto" w:fill="auto"/>
            <w:vAlign w:val="center"/>
          </w:tcPr>
          <w:p w14:paraId="729B69F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考核0.2万元-0.5万元/次，造成后果的视损失另行考核。</w:t>
            </w:r>
          </w:p>
        </w:tc>
      </w:tr>
      <w:tr w14:paraId="660C0E02">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7A6518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w:t>
            </w:r>
          </w:p>
        </w:tc>
        <w:tc>
          <w:tcPr>
            <w:tcW w:w="5030" w:type="dxa"/>
            <w:tcBorders>
              <w:top w:val="nil"/>
              <w:left w:val="nil"/>
              <w:bottom w:val="single" w:color="auto" w:sz="4" w:space="0"/>
              <w:right w:val="single" w:color="auto" w:sz="4" w:space="0"/>
            </w:tcBorders>
            <w:shd w:val="clear" w:color="auto" w:fill="auto"/>
            <w:vAlign w:val="center"/>
          </w:tcPr>
          <w:p w14:paraId="43D42A7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乙方不经批准在甲方设备、结构、建筑物上开孔或焊接临时构件，变更设备设施用途。</w:t>
            </w:r>
          </w:p>
        </w:tc>
        <w:tc>
          <w:tcPr>
            <w:tcW w:w="3720" w:type="dxa"/>
            <w:tcBorders>
              <w:top w:val="nil"/>
              <w:left w:val="nil"/>
              <w:bottom w:val="single" w:color="auto" w:sz="4" w:space="0"/>
              <w:right w:val="single" w:color="auto" w:sz="4" w:space="0"/>
            </w:tcBorders>
            <w:shd w:val="clear" w:color="auto" w:fill="auto"/>
            <w:vAlign w:val="center"/>
          </w:tcPr>
          <w:p w14:paraId="2C7AD79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考核0.2万元-0.5万元/次，造成后果的视损失另行考核。</w:t>
            </w:r>
          </w:p>
        </w:tc>
      </w:tr>
      <w:tr w14:paraId="784DB85E">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A7DD0B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33</w:t>
            </w:r>
          </w:p>
        </w:tc>
        <w:tc>
          <w:tcPr>
            <w:tcW w:w="5030" w:type="dxa"/>
            <w:tcBorders>
              <w:top w:val="nil"/>
              <w:left w:val="nil"/>
              <w:bottom w:val="single" w:color="auto" w:sz="4" w:space="0"/>
              <w:right w:val="single" w:color="auto" w:sz="4" w:space="0"/>
            </w:tcBorders>
            <w:shd w:val="clear" w:color="auto" w:fill="auto"/>
            <w:vAlign w:val="center"/>
          </w:tcPr>
          <w:p w14:paraId="5267A11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乙方违规搭设脚手架或无票随意搭设脚手架，脚手架未验收或无验收合格证投入使用。</w:t>
            </w:r>
          </w:p>
        </w:tc>
        <w:tc>
          <w:tcPr>
            <w:tcW w:w="3720" w:type="dxa"/>
            <w:tcBorders>
              <w:top w:val="nil"/>
              <w:left w:val="nil"/>
              <w:bottom w:val="single" w:color="auto" w:sz="4" w:space="0"/>
              <w:right w:val="single" w:color="auto" w:sz="4" w:space="0"/>
            </w:tcBorders>
            <w:shd w:val="clear" w:color="auto" w:fill="auto"/>
            <w:vAlign w:val="center"/>
          </w:tcPr>
          <w:p w14:paraId="01542CA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脚手架存在较大安全隐患考核0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1万－0.5万元/项，未经验收投入使用考核0.5万元-1万元/处。</w:t>
            </w:r>
          </w:p>
        </w:tc>
      </w:tr>
      <w:tr w14:paraId="322B8D6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C757F43">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33</w:t>
            </w:r>
          </w:p>
        </w:tc>
        <w:tc>
          <w:tcPr>
            <w:tcW w:w="5030" w:type="dxa"/>
            <w:tcBorders>
              <w:top w:val="nil"/>
              <w:left w:val="nil"/>
              <w:bottom w:val="single" w:color="auto" w:sz="4" w:space="0"/>
              <w:right w:val="single" w:color="auto" w:sz="4" w:space="0"/>
            </w:tcBorders>
            <w:shd w:val="clear" w:color="auto" w:fill="auto"/>
            <w:vAlign w:val="center"/>
          </w:tcPr>
          <w:p w14:paraId="11FCE52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乙方违反《电力安全工作规程》高处、临边、起重等作业有关规定，隔离、防护设施不到位。</w:t>
            </w:r>
          </w:p>
        </w:tc>
        <w:tc>
          <w:tcPr>
            <w:tcW w:w="3720" w:type="dxa"/>
            <w:tcBorders>
              <w:top w:val="nil"/>
              <w:left w:val="nil"/>
              <w:bottom w:val="single" w:color="auto" w:sz="4" w:space="0"/>
              <w:right w:val="single" w:color="auto" w:sz="4" w:space="0"/>
            </w:tcBorders>
            <w:shd w:val="clear" w:color="auto" w:fill="auto"/>
            <w:vAlign w:val="center"/>
          </w:tcPr>
          <w:p w14:paraId="4F49A9A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0.5</w:t>
            </w:r>
            <w:r>
              <w:rPr>
                <w:rFonts w:hint="eastAsia" w:ascii="宋体" w:hAnsi="宋体" w:eastAsia="宋体" w:cs="宋体"/>
                <w:color w:val="000000"/>
                <w:kern w:val="0"/>
                <w:sz w:val="24"/>
                <w:szCs w:val="24"/>
              </w:rPr>
              <w:t>万元/处</w:t>
            </w:r>
          </w:p>
        </w:tc>
      </w:tr>
      <w:tr w14:paraId="4EEF55E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36514B9">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34</w:t>
            </w:r>
          </w:p>
        </w:tc>
        <w:tc>
          <w:tcPr>
            <w:tcW w:w="5030" w:type="dxa"/>
            <w:tcBorders>
              <w:top w:val="nil"/>
              <w:left w:val="nil"/>
              <w:bottom w:val="single" w:color="auto" w:sz="4" w:space="0"/>
              <w:right w:val="single" w:color="auto" w:sz="4" w:space="0"/>
            </w:tcBorders>
            <w:shd w:val="clear" w:color="auto" w:fill="auto"/>
            <w:vAlign w:val="center"/>
          </w:tcPr>
          <w:p w14:paraId="451D485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乙方在受限空间作业时，未办理许可票，未遵守通风、检测、监护、电动工具的使用、电源管理等有关规定的行为。</w:t>
            </w:r>
          </w:p>
        </w:tc>
        <w:tc>
          <w:tcPr>
            <w:tcW w:w="3720" w:type="dxa"/>
            <w:tcBorders>
              <w:top w:val="nil"/>
              <w:left w:val="nil"/>
              <w:bottom w:val="single" w:color="auto" w:sz="4" w:space="0"/>
              <w:right w:val="single" w:color="auto" w:sz="4" w:space="0"/>
            </w:tcBorders>
            <w:shd w:val="clear" w:color="auto" w:fill="auto"/>
            <w:vAlign w:val="center"/>
          </w:tcPr>
          <w:p w14:paraId="699A1E6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0.5</w:t>
            </w:r>
            <w:r>
              <w:rPr>
                <w:rFonts w:hint="eastAsia" w:ascii="宋体" w:hAnsi="宋体" w:eastAsia="宋体" w:cs="宋体"/>
                <w:color w:val="000000"/>
                <w:kern w:val="0"/>
                <w:sz w:val="24"/>
                <w:szCs w:val="24"/>
              </w:rPr>
              <w:t>万元/处</w:t>
            </w:r>
          </w:p>
        </w:tc>
      </w:tr>
      <w:tr w14:paraId="08770D47">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8654D6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w:t>
            </w:r>
          </w:p>
        </w:tc>
        <w:tc>
          <w:tcPr>
            <w:tcW w:w="5030" w:type="dxa"/>
            <w:tcBorders>
              <w:top w:val="nil"/>
              <w:left w:val="nil"/>
              <w:bottom w:val="single" w:color="auto" w:sz="4" w:space="0"/>
              <w:right w:val="single" w:color="auto" w:sz="4" w:space="0"/>
            </w:tcBorders>
            <w:shd w:val="clear" w:color="auto" w:fill="auto"/>
            <w:vAlign w:val="center"/>
          </w:tcPr>
          <w:p w14:paraId="5D823F9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乙方违反起重设备使用规定或由于使用不当造成起重设备的损坏。</w:t>
            </w:r>
          </w:p>
        </w:tc>
        <w:tc>
          <w:tcPr>
            <w:tcW w:w="3720" w:type="dxa"/>
            <w:tcBorders>
              <w:top w:val="nil"/>
              <w:left w:val="nil"/>
              <w:bottom w:val="single" w:color="auto" w:sz="4" w:space="0"/>
              <w:right w:val="single" w:color="auto" w:sz="4" w:space="0"/>
            </w:tcBorders>
            <w:shd w:val="clear" w:color="auto" w:fill="auto"/>
            <w:vAlign w:val="center"/>
          </w:tcPr>
          <w:p w14:paraId="7136FDE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0.3</w:t>
            </w:r>
            <w:r>
              <w:rPr>
                <w:rFonts w:hint="eastAsia" w:ascii="宋体" w:hAnsi="宋体" w:eastAsia="宋体" w:cs="宋体"/>
                <w:color w:val="000000"/>
                <w:kern w:val="0"/>
                <w:sz w:val="24"/>
                <w:szCs w:val="24"/>
              </w:rPr>
              <w:t>万元/次，并负责修复。</w:t>
            </w:r>
          </w:p>
        </w:tc>
      </w:tr>
      <w:tr w14:paraId="144D8B37">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BFB304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36</w:t>
            </w:r>
          </w:p>
        </w:tc>
        <w:tc>
          <w:tcPr>
            <w:tcW w:w="5030" w:type="dxa"/>
            <w:tcBorders>
              <w:top w:val="nil"/>
              <w:left w:val="nil"/>
              <w:bottom w:val="single" w:color="auto" w:sz="4" w:space="0"/>
              <w:right w:val="single" w:color="auto" w:sz="4" w:space="0"/>
            </w:tcBorders>
            <w:shd w:val="clear" w:color="auto" w:fill="auto"/>
            <w:vAlign w:val="center"/>
          </w:tcPr>
          <w:p w14:paraId="456DC4D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乙方员工工作现场不穿戴或不正确穿戴劳动防护用品，使用不合格工器具。</w:t>
            </w:r>
          </w:p>
        </w:tc>
        <w:tc>
          <w:tcPr>
            <w:tcW w:w="3720" w:type="dxa"/>
            <w:tcBorders>
              <w:top w:val="nil"/>
              <w:left w:val="nil"/>
              <w:bottom w:val="single" w:color="auto" w:sz="4" w:space="0"/>
              <w:right w:val="single" w:color="auto" w:sz="4" w:space="0"/>
            </w:tcBorders>
            <w:shd w:val="clear" w:color="auto" w:fill="auto"/>
            <w:vAlign w:val="center"/>
          </w:tcPr>
          <w:p w14:paraId="4CF3D33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.1</w:t>
            </w:r>
            <w:r>
              <w:rPr>
                <w:rFonts w:hint="eastAsia" w:ascii="宋体" w:hAnsi="宋体" w:eastAsia="宋体" w:cs="宋体"/>
                <w:color w:val="000000"/>
                <w:kern w:val="0"/>
                <w:sz w:val="24"/>
                <w:szCs w:val="24"/>
              </w:rPr>
              <w:t>万元/人·次</w:t>
            </w:r>
          </w:p>
        </w:tc>
      </w:tr>
      <w:tr w14:paraId="23AF6A8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F7700B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37</w:t>
            </w:r>
          </w:p>
        </w:tc>
        <w:tc>
          <w:tcPr>
            <w:tcW w:w="5030" w:type="dxa"/>
            <w:tcBorders>
              <w:top w:val="nil"/>
              <w:left w:val="nil"/>
              <w:bottom w:val="single" w:color="auto" w:sz="4" w:space="0"/>
              <w:right w:val="single" w:color="auto" w:sz="4" w:space="0"/>
            </w:tcBorders>
            <w:shd w:val="clear" w:color="auto" w:fill="auto"/>
            <w:vAlign w:val="center"/>
          </w:tcPr>
          <w:p w14:paraId="392423E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乙方工作人员在甲方厂区内吸烟（规定的吸烟点除外）。</w:t>
            </w:r>
          </w:p>
        </w:tc>
        <w:tc>
          <w:tcPr>
            <w:tcW w:w="3720" w:type="dxa"/>
            <w:tcBorders>
              <w:top w:val="nil"/>
              <w:left w:val="nil"/>
              <w:bottom w:val="single" w:color="auto" w:sz="4" w:space="0"/>
              <w:right w:val="single" w:color="auto" w:sz="4" w:space="0"/>
            </w:tcBorders>
            <w:shd w:val="clear" w:color="auto" w:fill="auto"/>
            <w:vAlign w:val="center"/>
          </w:tcPr>
          <w:p w14:paraId="5371E39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厂（场）区吸烟考核</w:t>
            </w:r>
            <w:r>
              <w:rPr>
                <w:rFonts w:ascii="宋体" w:hAnsi="宋体" w:eastAsia="宋体" w:cs="宋体"/>
                <w:color w:val="000000"/>
                <w:kern w:val="0"/>
                <w:sz w:val="24"/>
                <w:szCs w:val="24"/>
              </w:rPr>
              <w:t>500</w:t>
            </w:r>
            <w:r>
              <w:rPr>
                <w:rFonts w:hint="eastAsia" w:ascii="宋体" w:hAnsi="宋体" w:eastAsia="宋体" w:cs="宋体"/>
                <w:color w:val="000000"/>
                <w:kern w:val="0"/>
                <w:sz w:val="24"/>
                <w:szCs w:val="24"/>
              </w:rPr>
              <w:t>元</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人次，重点防火区域吸烟考核</w:t>
            </w:r>
            <w:r>
              <w:rPr>
                <w:rFonts w:ascii="宋体" w:hAnsi="宋体" w:eastAsia="宋体" w:cs="宋体"/>
                <w:color w:val="000000"/>
                <w:kern w:val="0"/>
                <w:sz w:val="24"/>
                <w:szCs w:val="24"/>
              </w:rPr>
              <w:t>0.1</w:t>
            </w:r>
            <w:r>
              <w:rPr>
                <w:rFonts w:hint="eastAsia" w:ascii="宋体" w:hAnsi="宋体" w:eastAsia="宋体" w:cs="宋体"/>
                <w:color w:val="000000"/>
                <w:kern w:val="0"/>
                <w:sz w:val="24"/>
                <w:szCs w:val="24"/>
              </w:rPr>
              <w:t>万－0</w:t>
            </w:r>
            <w:r>
              <w:rPr>
                <w:rFonts w:ascii="宋体" w:hAnsi="宋体" w:eastAsia="宋体" w:cs="宋体"/>
                <w:color w:val="000000"/>
                <w:kern w:val="0"/>
                <w:sz w:val="24"/>
                <w:szCs w:val="24"/>
              </w:rPr>
              <w:t>.2</w:t>
            </w:r>
            <w:r>
              <w:rPr>
                <w:rFonts w:hint="eastAsia" w:ascii="宋体" w:hAnsi="宋体" w:eastAsia="宋体" w:cs="宋体"/>
                <w:color w:val="000000"/>
                <w:kern w:val="0"/>
                <w:sz w:val="24"/>
                <w:szCs w:val="24"/>
              </w:rPr>
              <w:t>万元</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人</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次。</w:t>
            </w:r>
          </w:p>
        </w:tc>
      </w:tr>
      <w:tr w14:paraId="1BE9B566">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C4B6E6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w:t>
            </w:r>
          </w:p>
        </w:tc>
        <w:tc>
          <w:tcPr>
            <w:tcW w:w="5030" w:type="dxa"/>
            <w:tcBorders>
              <w:top w:val="nil"/>
              <w:left w:val="nil"/>
              <w:bottom w:val="single" w:color="auto" w:sz="4" w:space="0"/>
              <w:right w:val="single" w:color="auto" w:sz="4" w:space="0"/>
            </w:tcBorders>
            <w:shd w:val="clear" w:color="auto" w:fill="auto"/>
            <w:vAlign w:val="center"/>
          </w:tcPr>
          <w:p w14:paraId="1083AC6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乙方在重点防火部位违规动火</w:t>
            </w:r>
          </w:p>
        </w:tc>
        <w:tc>
          <w:tcPr>
            <w:tcW w:w="3720" w:type="dxa"/>
            <w:tcBorders>
              <w:top w:val="nil"/>
              <w:left w:val="nil"/>
              <w:bottom w:val="single" w:color="auto" w:sz="4" w:space="0"/>
              <w:right w:val="single" w:color="auto" w:sz="4" w:space="0"/>
            </w:tcBorders>
            <w:shd w:val="clear" w:color="auto" w:fill="auto"/>
            <w:vAlign w:val="center"/>
          </w:tcPr>
          <w:p w14:paraId="500A6BC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5万元/项</w:t>
            </w:r>
          </w:p>
        </w:tc>
      </w:tr>
      <w:tr w14:paraId="5F99F6B6">
        <w:tblPrEx>
          <w:tblCellMar>
            <w:top w:w="0" w:type="dxa"/>
            <w:left w:w="108" w:type="dxa"/>
            <w:bottom w:w="0" w:type="dxa"/>
            <w:right w:w="108" w:type="dxa"/>
          </w:tblCellMar>
        </w:tblPrEx>
        <w:trPr>
          <w:trHeight w:val="937"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0014FB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39</w:t>
            </w:r>
          </w:p>
        </w:tc>
        <w:tc>
          <w:tcPr>
            <w:tcW w:w="5030" w:type="dxa"/>
            <w:tcBorders>
              <w:top w:val="nil"/>
              <w:left w:val="nil"/>
              <w:bottom w:val="single" w:color="auto" w:sz="4" w:space="0"/>
              <w:right w:val="single" w:color="auto" w:sz="4" w:space="0"/>
            </w:tcBorders>
            <w:shd w:val="clear" w:color="auto" w:fill="auto"/>
            <w:vAlign w:val="center"/>
          </w:tcPr>
          <w:p w14:paraId="6E444B4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乙方高处动火作业，对下方的设备不采取防火隔离措施，或在地板砖、网格栅等处施工未采取保护措施。</w:t>
            </w:r>
          </w:p>
        </w:tc>
        <w:tc>
          <w:tcPr>
            <w:tcW w:w="3720" w:type="dxa"/>
            <w:tcBorders>
              <w:top w:val="nil"/>
              <w:left w:val="nil"/>
              <w:bottom w:val="single" w:color="auto" w:sz="4" w:space="0"/>
              <w:right w:val="single" w:color="auto" w:sz="4" w:space="0"/>
            </w:tcBorders>
            <w:shd w:val="clear" w:color="auto" w:fill="auto"/>
            <w:vAlign w:val="center"/>
          </w:tcPr>
          <w:p w14:paraId="0B84D77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1万元/次</w:t>
            </w:r>
          </w:p>
        </w:tc>
      </w:tr>
      <w:tr w14:paraId="5313DFC4">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209D5B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40</w:t>
            </w:r>
          </w:p>
        </w:tc>
        <w:tc>
          <w:tcPr>
            <w:tcW w:w="5030" w:type="dxa"/>
            <w:tcBorders>
              <w:top w:val="nil"/>
              <w:left w:val="nil"/>
              <w:bottom w:val="single" w:color="auto" w:sz="4" w:space="0"/>
              <w:right w:val="single" w:color="auto" w:sz="4" w:space="0"/>
            </w:tcBorders>
            <w:shd w:val="clear" w:color="auto" w:fill="auto"/>
            <w:vAlign w:val="center"/>
          </w:tcPr>
          <w:p w14:paraId="1E56827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乙方擅自使用甲方消防水源，挪用、摆压、封堵、圈围、拆除、停用甲方消防设施。</w:t>
            </w:r>
          </w:p>
        </w:tc>
        <w:tc>
          <w:tcPr>
            <w:tcW w:w="3720" w:type="dxa"/>
            <w:tcBorders>
              <w:top w:val="nil"/>
              <w:left w:val="nil"/>
              <w:bottom w:val="single" w:color="auto" w:sz="4" w:space="0"/>
              <w:right w:val="single" w:color="auto" w:sz="4" w:space="0"/>
            </w:tcBorders>
            <w:shd w:val="clear" w:color="auto" w:fill="auto"/>
            <w:vAlign w:val="center"/>
          </w:tcPr>
          <w:p w14:paraId="500601E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1万元/项，并负责修复或恢复。</w:t>
            </w:r>
          </w:p>
        </w:tc>
      </w:tr>
      <w:tr w14:paraId="7433082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7DA6D7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41</w:t>
            </w:r>
          </w:p>
        </w:tc>
        <w:tc>
          <w:tcPr>
            <w:tcW w:w="5030" w:type="dxa"/>
            <w:tcBorders>
              <w:top w:val="nil"/>
              <w:left w:val="nil"/>
              <w:bottom w:val="single" w:color="auto" w:sz="4" w:space="0"/>
              <w:right w:val="single" w:color="auto" w:sz="4" w:space="0"/>
            </w:tcBorders>
            <w:shd w:val="clear" w:color="auto" w:fill="auto"/>
            <w:vAlign w:val="center"/>
          </w:tcPr>
          <w:p w14:paraId="333382F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乙方未经批准堵塞安全出口、疏散通道、消防通道或者占用防火间距。</w:t>
            </w:r>
          </w:p>
        </w:tc>
        <w:tc>
          <w:tcPr>
            <w:tcW w:w="3720" w:type="dxa"/>
            <w:tcBorders>
              <w:top w:val="nil"/>
              <w:left w:val="nil"/>
              <w:bottom w:val="single" w:color="auto" w:sz="4" w:space="0"/>
              <w:right w:val="single" w:color="auto" w:sz="4" w:space="0"/>
            </w:tcBorders>
            <w:shd w:val="clear" w:color="auto" w:fill="auto"/>
            <w:vAlign w:val="center"/>
          </w:tcPr>
          <w:p w14:paraId="22D5BE9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1万元/项</w:t>
            </w:r>
          </w:p>
        </w:tc>
      </w:tr>
      <w:tr w14:paraId="185C2B02">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91F1A1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42</w:t>
            </w:r>
          </w:p>
        </w:tc>
        <w:tc>
          <w:tcPr>
            <w:tcW w:w="5030" w:type="dxa"/>
            <w:tcBorders>
              <w:top w:val="nil"/>
              <w:left w:val="nil"/>
              <w:bottom w:val="single" w:color="auto" w:sz="4" w:space="0"/>
              <w:right w:val="single" w:color="auto" w:sz="4" w:space="0"/>
            </w:tcBorders>
            <w:shd w:val="clear" w:color="auto" w:fill="auto"/>
            <w:vAlign w:val="center"/>
          </w:tcPr>
          <w:p w14:paraId="55A7007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乙方不执行甲方临时电源管理规定，私拉乱接电线，或不正确使用现场检修电源箱。</w:t>
            </w:r>
          </w:p>
        </w:tc>
        <w:tc>
          <w:tcPr>
            <w:tcW w:w="3720" w:type="dxa"/>
            <w:tcBorders>
              <w:top w:val="nil"/>
              <w:left w:val="nil"/>
              <w:bottom w:val="single" w:color="auto" w:sz="4" w:space="0"/>
              <w:right w:val="single" w:color="auto" w:sz="4" w:space="0"/>
            </w:tcBorders>
            <w:shd w:val="clear" w:color="auto" w:fill="auto"/>
            <w:vAlign w:val="center"/>
          </w:tcPr>
          <w:p w14:paraId="589CB3D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1万元/项</w:t>
            </w:r>
          </w:p>
        </w:tc>
      </w:tr>
      <w:tr w14:paraId="5E63D09E">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5C61B8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w:t>
            </w:r>
          </w:p>
        </w:tc>
        <w:tc>
          <w:tcPr>
            <w:tcW w:w="5030" w:type="dxa"/>
            <w:tcBorders>
              <w:top w:val="nil"/>
              <w:left w:val="nil"/>
              <w:bottom w:val="single" w:color="auto" w:sz="4" w:space="0"/>
              <w:right w:val="single" w:color="auto" w:sz="4" w:space="0"/>
            </w:tcBorders>
            <w:shd w:val="clear" w:color="auto" w:fill="auto"/>
            <w:vAlign w:val="center"/>
          </w:tcPr>
          <w:p w14:paraId="1780869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乙方违反规程中有关电焊、气焊管理规定，气瓶储存、定置不附合规定，作业工具及施工工艺不附合要求。</w:t>
            </w:r>
          </w:p>
        </w:tc>
        <w:tc>
          <w:tcPr>
            <w:tcW w:w="3720" w:type="dxa"/>
            <w:tcBorders>
              <w:top w:val="nil"/>
              <w:left w:val="nil"/>
              <w:bottom w:val="single" w:color="auto" w:sz="4" w:space="0"/>
              <w:right w:val="single" w:color="auto" w:sz="4" w:space="0"/>
            </w:tcBorders>
            <w:shd w:val="clear" w:color="auto" w:fill="auto"/>
            <w:vAlign w:val="center"/>
          </w:tcPr>
          <w:p w14:paraId="40C068C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1万元/项</w:t>
            </w:r>
          </w:p>
        </w:tc>
      </w:tr>
      <w:tr w14:paraId="73AB66E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F4F7E5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44</w:t>
            </w:r>
          </w:p>
        </w:tc>
        <w:tc>
          <w:tcPr>
            <w:tcW w:w="5030" w:type="dxa"/>
            <w:tcBorders>
              <w:top w:val="nil"/>
              <w:left w:val="nil"/>
              <w:bottom w:val="single" w:color="auto" w:sz="4" w:space="0"/>
              <w:right w:val="single" w:color="auto" w:sz="4" w:space="0"/>
            </w:tcBorders>
            <w:shd w:val="clear" w:color="auto" w:fill="auto"/>
            <w:vAlign w:val="center"/>
          </w:tcPr>
          <w:p w14:paraId="3ED77DE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乙方车辆超速行驶或不按规定线路行驶、停放，违反甲方厂（场）区交通规定。</w:t>
            </w:r>
          </w:p>
        </w:tc>
        <w:tc>
          <w:tcPr>
            <w:tcW w:w="3720" w:type="dxa"/>
            <w:tcBorders>
              <w:top w:val="nil"/>
              <w:left w:val="nil"/>
              <w:bottom w:val="single" w:color="auto" w:sz="4" w:space="0"/>
              <w:right w:val="single" w:color="auto" w:sz="4" w:space="0"/>
            </w:tcBorders>
            <w:shd w:val="clear" w:color="auto" w:fill="auto"/>
            <w:vAlign w:val="center"/>
          </w:tcPr>
          <w:p w14:paraId="5D966FA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考核200元－500万元/次，造成经济损失的照价赔偿。</w:t>
            </w:r>
          </w:p>
        </w:tc>
      </w:tr>
      <w:tr w14:paraId="4677455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3C24E5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w:t>
            </w:r>
          </w:p>
        </w:tc>
        <w:tc>
          <w:tcPr>
            <w:tcW w:w="5030" w:type="dxa"/>
            <w:tcBorders>
              <w:top w:val="nil"/>
              <w:left w:val="nil"/>
              <w:bottom w:val="single" w:color="auto" w:sz="4" w:space="0"/>
              <w:right w:val="single" w:color="auto" w:sz="4" w:space="0"/>
            </w:tcBorders>
            <w:shd w:val="clear" w:color="auto" w:fill="auto"/>
            <w:vAlign w:val="center"/>
          </w:tcPr>
          <w:p w14:paraId="6ABAB20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乙方在甲方范围违反规定使用叉车、推扒机、电瓶车等厂内专用车辆，或车辆维护、保养不到位，安全可靠性不达标。</w:t>
            </w:r>
          </w:p>
        </w:tc>
        <w:tc>
          <w:tcPr>
            <w:tcW w:w="3720" w:type="dxa"/>
            <w:tcBorders>
              <w:top w:val="nil"/>
              <w:left w:val="nil"/>
              <w:bottom w:val="single" w:color="auto" w:sz="4" w:space="0"/>
              <w:right w:val="single" w:color="auto" w:sz="4" w:space="0"/>
            </w:tcBorders>
            <w:shd w:val="clear" w:color="auto" w:fill="auto"/>
            <w:vAlign w:val="center"/>
          </w:tcPr>
          <w:p w14:paraId="40F6A88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2万元/次</w:t>
            </w:r>
          </w:p>
        </w:tc>
      </w:tr>
      <w:tr w14:paraId="7FDFA97D">
        <w:tblPrEx>
          <w:tblCellMar>
            <w:top w:w="0" w:type="dxa"/>
            <w:left w:w="108" w:type="dxa"/>
            <w:bottom w:w="0" w:type="dxa"/>
            <w:right w:w="108" w:type="dxa"/>
          </w:tblCellMar>
        </w:tblPrEx>
        <w:trPr>
          <w:trHeight w:val="415"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E72D5A2">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四</w:t>
            </w:r>
          </w:p>
        </w:tc>
        <w:tc>
          <w:tcPr>
            <w:tcW w:w="5030" w:type="dxa"/>
            <w:tcBorders>
              <w:top w:val="nil"/>
              <w:left w:val="nil"/>
              <w:bottom w:val="single" w:color="auto" w:sz="4" w:space="0"/>
              <w:right w:val="single" w:color="auto" w:sz="4" w:space="0"/>
            </w:tcBorders>
            <w:shd w:val="clear" w:color="auto" w:fill="auto"/>
            <w:vAlign w:val="center"/>
          </w:tcPr>
          <w:p w14:paraId="77ACAA18">
            <w:pPr>
              <w:widowControl/>
              <w:spacing w:line="360" w:lineRule="exact"/>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其它类考核</w:t>
            </w:r>
          </w:p>
        </w:tc>
        <w:tc>
          <w:tcPr>
            <w:tcW w:w="3720" w:type="dxa"/>
            <w:tcBorders>
              <w:top w:val="nil"/>
              <w:left w:val="nil"/>
              <w:bottom w:val="single" w:color="auto" w:sz="4" w:space="0"/>
              <w:right w:val="single" w:color="auto" w:sz="4" w:space="0"/>
            </w:tcBorders>
            <w:shd w:val="clear" w:color="auto" w:fill="auto"/>
            <w:vAlign w:val="center"/>
          </w:tcPr>
          <w:p w14:paraId="7603551B">
            <w:pPr>
              <w:widowControl/>
              <w:spacing w:line="360" w:lineRule="exact"/>
              <w:jc w:val="left"/>
              <w:rPr>
                <w:rFonts w:ascii="宋体" w:hAnsi="宋体" w:eastAsia="宋体" w:cs="宋体"/>
                <w:color w:val="000000"/>
                <w:kern w:val="0"/>
                <w:sz w:val="24"/>
                <w:szCs w:val="24"/>
              </w:rPr>
            </w:pPr>
          </w:p>
        </w:tc>
      </w:tr>
      <w:tr w14:paraId="2EE6464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024274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46</w:t>
            </w:r>
          </w:p>
        </w:tc>
        <w:tc>
          <w:tcPr>
            <w:tcW w:w="5030" w:type="dxa"/>
            <w:tcBorders>
              <w:top w:val="nil"/>
              <w:left w:val="nil"/>
              <w:bottom w:val="single" w:color="auto" w:sz="4" w:space="0"/>
              <w:right w:val="single" w:color="auto" w:sz="4" w:space="0"/>
            </w:tcBorders>
            <w:shd w:val="clear" w:color="auto" w:fill="auto"/>
            <w:vAlign w:val="center"/>
          </w:tcPr>
          <w:p w14:paraId="47DE6EA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乙方无故缺席甲方项目安全会议，或未及时传达、下发甲方专项要求、事故通报等。</w:t>
            </w:r>
          </w:p>
        </w:tc>
        <w:tc>
          <w:tcPr>
            <w:tcW w:w="3720" w:type="dxa"/>
            <w:tcBorders>
              <w:top w:val="nil"/>
              <w:left w:val="nil"/>
              <w:bottom w:val="single" w:color="auto" w:sz="4" w:space="0"/>
              <w:right w:val="single" w:color="auto" w:sz="4" w:space="0"/>
            </w:tcBorders>
            <w:shd w:val="clear" w:color="auto" w:fill="auto"/>
            <w:vAlign w:val="center"/>
          </w:tcPr>
          <w:p w14:paraId="2979BB1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考核200-500元/次</w:t>
            </w:r>
          </w:p>
        </w:tc>
      </w:tr>
      <w:tr w14:paraId="666D387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36B2069">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47</w:t>
            </w:r>
          </w:p>
        </w:tc>
        <w:tc>
          <w:tcPr>
            <w:tcW w:w="5030" w:type="dxa"/>
            <w:tcBorders>
              <w:top w:val="nil"/>
              <w:left w:val="nil"/>
              <w:bottom w:val="single" w:color="auto" w:sz="4" w:space="0"/>
              <w:right w:val="single" w:color="auto" w:sz="4" w:space="0"/>
            </w:tcBorders>
            <w:shd w:val="clear" w:color="auto" w:fill="auto"/>
            <w:vAlign w:val="center"/>
          </w:tcPr>
          <w:p w14:paraId="7B34415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乙方违反《电力安全工作规程》中搬运规定，造成厂区道路污染、草木或设备损坏等。</w:t>
            </w:r>
          </w:p>
        </w:tc>
        <w:tc>
          <w:tcPr>
            <w:tcW w:w="3720" w:type="dxa"/>
            <w:tcBorders>
              <w:top w:val="nil"/>
              <w:left w:val="nil"/>
              <w:bottom w:val="single" w:color="auto" w:sz="4" w:space="0"/>
              <w:right w:val="single" w:color="auto" w:sz="4" w:space="0"/>
            </w:tcBorders>
            <w:shd w:val="clear" w:color="auto" w:fill="auto"/>
            <w:vAlign w:val="center"/>
          </w:tcPr>
          <w:p w14:paraId="6493BF7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2万元/次，并负责修复。</w:t>
            </w:r>
          </w:p>
        </w:tc>
      </w:tr>
      <w:tr w14:paraId="6AD1A9E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2023EA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48</w:t>
            </w:r>
          </w:p>
        </w:tc>
        <w:tc>
          <w:tcPr>
            <w:tcW w:w="5030" w:type="dxa"/>
            <w:tcBorders>
              <w:top w:val="nil"/>
              <w:left w:val="nil"/>
              <w:bottom w:val="single" w:color="auto" w:sz="4" w:space="0"/>
              <w:right w:val="single" w:color="auto" w:sz="4" w:space="0"/>
            </w:tcBorders>
            <w:shd w:val="clear" w:color="auto" w:fill="auto"/>
            <w:vAlign w:val="center"/>
          </w:tcPr>
          <w:p w14:paraId="659C6F6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乙方作业区域脏、乱、差现象严重，工作结束未做到“工完、料尽、场地清”。</w:t>
            </w:r>
          </w:p>
        </w:tc>
        <w:tc>
          <w:tcPr>
            <w:tcW w:w="3720" w:type="dxa"/>
            <w:tcBorders>
              <w:top w:val="nil"/>
              <w:left w:val="nil"/>
              <w:bottom w:val="single" w:color="auto" w:sz="4" w:space="0"/>
              <w:right w:val="single" w:color="auto" w:sz="4" w:space="0"/>
            </w:tcBorders>
            <w:shd w:val="clear" w:color="auto" w:fill="auto"/>
            <w:vAlign w:val="center"/>
          </w:tcPr>
          <w:p w14:paraId="1AD45C2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2万元/次</w:t>
            </w:r>
          </w:p>
        </w:tc>
      </w:tr>
      <w:tr w14:paraId="54626502">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F56E6C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49</w:t>
            </w:r>
          </w:p>
        </w:tc>
        <w:tc>
          <w:tcPr>
            <w:tcW w:w="5030" w:type="dxa"/>
            <w:tcBorders>
              <w:top w:val="nil"/>
              <w:left w:val="nil"/>
              <w:bottom w:val="single" w:color="auto" w:sz="4" w:space="0"/>
              <w:right w:val="single" w:color="auto" w:sz="4" w:space="0"/>
            </w:tcBorders>
            <w:shd w:val="clear" w:color="auto" w:fill="auto"/>
            <w:vAlign w:val="center"/>
          </w:tcPr>
          <w:p w14:paraId="1D5AE24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乙方现场材料、工具、部件、棚架、油漆、废料等不符合定置管理要求，经提出后仍不整改</w:t>
            </w:r>
          </w:p>
        </w:tc>
        <w:tc>
          <w:tcPr>
            <w:tcW w:w="3720" w:type="dxa"/>
            <w:tcBorders>
              <w:top w:val="nil"/>
              <w:left w:val="nil"/>
              <w:bottom w:val="single" w:color="auto" w:sz="4" w:space="0"/>
              <w:right w:val="single" w:color="auto" w:sz="4" w:space="0"/>
            </w:tcBorders>
            <w:shd w:val="clear" w:color="auto" w:fill="auto"/>
            <w:vAlign w:val="center"/>
          </w:tcPr>
          <w:p w14:paraId="7279D48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2万元/项</w:t>
            </w:r>
          </w:p>
        </w:tc>
      </w:tr>
      <w:tr w14:paraId="6F224B6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F06318D">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w:t>
            </w:r>
          </w:p>
        </w:tc>
        <w:tc>
          <w:tcPr>
            <w:tcW w:w="5030" w:type="dxa"/>
            <w:tcBorders>
              <w:top w:val="nil"/>
              <w:left w:val="nil"/>
              <w:bottom w:val="single" w:color="auto" w:sz="4" w:space="0"/>
              <w:right w:val="single" w:color="auto" w:sz="4" w:space="0"/>
            </w:tcBorders>
            <w:shd w:val="clear" w:color="auto" w:fill="auto"/>
            <w:vAlign w:val="center"/>
          </w:tcPr>
          <w:p w14:paraId="67C387F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乙方设备作业区域不采取完善的隔离保护措施，或由此造成设备、备品备件、零配件丢失或损坏，杂物掉入、设施损坏、环境污染等。</w:t>
            </w:r>
          </w:p>
        </w:tc>
        <w:tc>
          <w:tcPr>
            <w:tcW w:w="3720" w:type="dxa"/>
            <w:tcBorders>
              <w:top w:val="nil"/>
              <w:left w:val="nil"/>
              <w:bottom w:val="single" w:color="auto" w:sz="4" w:space="0"/>
              <w:right w:val="single" w:color="auto" w:sz="4" w:space="0"/>
            </w:tcBorders>
            <w:shd w:val="clear" w:color="auto" w:fill="auto"/>
            <w:vAlign w:val="center"/>
          </w:tcPr>
          <w:p w14:paraId="4DB93F7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.1</w:t>
            </w:r>
            <w:r>
              <w:rPr>
                <w:rFonts w:hint="eastAsia" w:ascii="宋体" w:hAnsi="宋体" w:eastAsia="宋体" w:cs="宋体"/>
                <w:color w:val="000000"/>
                <w:kern w:val="0"/>
                <w:sz w:val="24"/>
                <w:szCs w:val="24"/>
              </w:rPr>
              <w:t>万元/次，设备和备件丢失、损坏按原价赔偿。</w:t>
            </w:r>
          </w:p>
        </w:tc>
      </w:tr>
      <w:tr w14:paraId="5A5CECE2">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E338CF3">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w:t>
            </w:r>
          </w:p>
        </w:tc>
        <w:tc>
          <w:tcPr>
            <w:tcW w:w="5030" w:type="dxa"/>
            <w:tcBorders>
              <w:top w:val="nil"/>
              <w:left w:val="nil"/>
              <w:bottom w:val="single" w:color="auto" w:sz="4" w:space="0"/>
              <w:right w:val="single" w:color="auto" w:sz="4" w:space="0"/>
            </w:tcBorders>
            <w:shd w:val="clear" w:color="auto" w:fill="auto"/>
            <w:vAlign w:val="center"/>
          </w:tcPr>
          <w:p w14:paraId="46D8094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乙方损坏或丢弃甲方设备标示牌及安措警示牌，未及时恢复。</w:t>
            </w:r>
          </w:p>
        </w:tc>
        <w:tc>
          <w:tcPr>
            <w:tcW w:w="3720" w:type="dxa"/>
            <w:tcBorders>
              <w:top w:val="nil"/>
              <w:left w:val="nil"/>
              <w:bottom w:val="single" w:color="auto" w:sz="4" w:space="0"/>
              <w:right w:val="single" w:color="auto" w:sz="4" w:space="0"/>
            </w:tcBorders>
            <w:shd w:val="clear" w:color="auto" w:fill="auto"/>
            <w:vAlign w:val="center"/>
          </w:tcPr>
          <w:p w14:paraId="35DA99A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考核100元－200元/个，并负责恢复。</w:t>
            </w:r>
          </w:p>
        </w:tc>
      </w:tr>
      <w:tr w14:paraId="1FAF624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EEF95AD">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52</w:t>
            </w:r>
          </w:p>
        </w:tc>
        <w:tc>
          <w:tcPr>
            <w:tcW w:w="5030" w:type="dxa"/>
            <w:tcBorders>
              <w:top w:val="nil"/>
              <w:left w:val="nil"/>
              <w:bottom w:val="single" w:color="auto" w:sz="4" w:space="0"/>
              <w:right w:val="single" w:color="auto" w:sz="4" w:space="0"/>
            </w:tcBorders>
            <w:shd w:val="clear" w:color="auto" w:fill="auto"/>
            <w:vAlign w:val="center"/>
          </w:tcPr>
          <w:p w14:paraId="0185B6F5">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乙方违反甲方安全管理制度等的其它未列事项。</w:t>
            </w:r>
          </w:p>
        </w:tc>
        <w:tc>
          <w:tcPr>
            <w:tcW w:w="3720" w:type="dxa"/>
            <w:tcBorders>
              <w:top w:val="nil"/>
              <w:left w:val="nil"/>
              <w:bottom w:val="single" w:color="auto" w:sz="4" w:space="0"/>
              <w:right w:val="single" w:color="auto" w:sz="4" w:space="0"/>
            </w:tcBorders>
            <w:shd w:val="clear" w:color="auto" w:fill="auto"/>
            <w:vAlign w:val="center"/>
          </w:tcPr>
          <w:p w14:paraId="3DEA4D4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考核200元－0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1万元/次，或按甲方相关管理制度执行。</w:t>
            </w:r>
          </w:p>
        </w:tc>
      </w:tr>
    </w:tbl>
    <w:p w14:paraId="6D87F159">
      <w:pPr>
        <w:rPr>
          <w:rFonts w:hint="eastAsia"/>
          <w:snapToGrid w:val="0"/>
          <w:sz w:val="10"/>
          <w:szCs w:val="10"/>
        </w:rPr>
      </w:pPr>
    </w:p>
    <w:p w14:paraId="67D13A89">
      <w:pPr>
        <w:spacing w:before="120" w:line="560" w:lineRule="exact"/>
      </w:pPr>
    </w:p>
    <w:p w14:paraId="720115B4">
      <w:pPr>
        <w:overflowPunct w:val="0"/>
        <w:autoSpaceDE w:val="0"/>
        <w:autoSpaceDN w:val="0"/>
        <w:adjustRightInd w:val="0"/>
        <w:spacing w:before="120" w:beforeLines="50" w:line="360" w:lineRule="auto"/>
        <w:ind w:firstLine="560" w:firstLineChars="200"/>
        <w:jc w:val="left"/>
        <w:textAlignment w:val="baseline"/>
        <w:rPr>
          <w:rFonts w:ascii="宋体" w:hAnsi="宋体"/>
          <w:bCs/>
          <w:sz w:val="28"/>
          <w:szCs w:val="28"/>
          <w:highlight w:val="none"/>
        </w:rPr>
      </w:pPr>
    </w:p>
    <w:p w14:paraId="55EAE7BC">
      <w:pPr>
        <w:spacing w:beforeLines="-2147483648" w:line="240" w:lineRule="auto"/>
        <w:jc w:val="both"/>
        <w:rPr>
          <w:sz w:val="21"/>
          <w:szCs w:val="20"/>
          <w:highlight w:val="none"/>
        </w:rPr>
      </w:pPr>
      <w:r>
        <w:rPr>
          <w:rFonts w:hint="eastAsia" w:ascii="方正小标宋简体" w:hAnsi="黑体" w:eastAsia="方正小标宋简体"/>
          <w:b/>
          <w:sz w:val="44"/>
          <w:szCs w:val="44"/>
          <w:highlight w:val="none"/>
        </w:rPr>
        <w:br w:type="page"/>
      </w:r>
    </w:p>
    <w:p w14:paraId="41F95F3F">
      <w:pPr>
        <w:spacing w:beforeLines="-2147483648" w:line="360" w:lineRule="auto"/>
        <w:jc w:val="both"/>
        <w:rPr>
          <w:b/>
          <w:bCs/>
          <w:sz w:val="24"/>
          <w:szCs w:val="24"/>
          <w:highlight w:val="none"/>
        </w:rPr>
      </w:pPr>
      <w:r>
        <w:rPr>
          <w:rFonts w:hint="eastAsia" w:ascii="宋体" w:hAnsi="宋体" w:eastAsia="宋体"/>
          <w:b/>
          <w:bCs/>
          <w:sz w:val="24"/>
          <w:szCs w:val="24"/>
          <w:highlight w:val="none"/>
        </w:rPr>
        <w:t>附件</w:t>
      </w:r>
      <w:r>
        <w:rPr>
          <w:rFonts w:hint="eastAsia" w:ascii="宋体" w:hAnsi="宋体" w:eastAsia="宋体"/>
          <w:b/>
          <w:bCs/>
          <w:sz w:val="24"/>
          <w:szCs w:val="24"/>
          <w:highlight w:val="none"/>
          <w:lang w:val="en-US" w:eastAsia="zh-CN"/>
        </w:rPr>
        <w:t>三</w:t>
      </w:r>
      <w:r>
        <w:rPr>
          <w:rFonts w:hint="eastAsia" w:ascii="宋体" w:hAnsi="宋体" w:eastAsia="宋体"/>
          <w:b/>
          <w:bCs/>
          <w:sz w:val="24"/>
          <w:szCs w:val="24"/>
          <w:highlight w:val="none"/>
        </w:rPr>
        <w:t>：</w:t>
      </w:r>
    </w:p>
    <w:p w14:paraId="3F2360FC">
      <w:pPr>
        <w:spacing w:beforeLines="-2147483648" w:line="480" w:lineRule="exact"/>
        <w:jc w:val="center"/>
        <w:rPr>
          <w:rFonts w:ascii="方正小标宋简体" w:hAnsi="黑体" w:eastAsia="方正小标宋简体"/>
          <w:b/>
          <w:color w:val="000000"/>
          <w:sz w:val="44"/>
          <w:szCs w:val="44"/>
          <w:highlight w:val="none"/>
        </w:rPr>
      </w:pPr>
      <w:r>
        <w:rPr>
          <w:rFonts w:hint="eastAsia" w:ascii="方正小标宋简体" w:hAnsi="黑体" w:eastAsia="方正小标宋简体"/>
          <w:b/>
          <w:color w:val="000000"/>
          <w:sz w:val="44"/>
          <w:szCs w:val="44"/>
          <w:highlight w:val="none"/>
        </w:rPr>
        <w:t>阳光合作协议</w:t>
      </w:r>
    </w:p>
    <w:p w14:paraId="3C9620AA">
      <w:pPr>
        <w:spacing w:beforeLines="-2147483648" w:line="480" w:lineRule="exact"/>
        <w:jc w:val="center"/>
        <w:rPr>
          <w:rFonts w:ascii="宋体"/>
          <w:b/>
          <w:color w:val="000000"/>
          <w:sz w:val="28"/>
          <w:szCs w:val="28"/>
          <w:highlight w:val="none"/>
        </w:rPr>
      </w:pPr>
    </w:p>
    <w:p w14:paraId="21E876B4">
      <w:pPr>
        <w:spacing w:before="156" w:beforeLines="50" w:after="156" w:afterLines="50" w:line="480" w:lineRule="exact"/>
        <w:ind w:firstLine="420" w:firstLineChars="200"/>
        <w:contextualSpacing/>
        <w:jc w:val="both"/>
        <w:rPr>
          <w:rFonts w:ascii="宋体" w:hAnsi="宋体"/>
          <w:color w:val="000000"/>
          <w:sz w:val="21"/>
          <w:szCs w:val="20"/>
          <w:highlight w:val="none"/>
        </w:rPr>
      </w:pPr>
      <w:r>
        <w:rPr>
          <w:rFonts w:hint="eastAsia" w:ascii="宋体" w:hAnsi="宋体"/>
          <w:color w:val="000000"/>
          <w:sz w:val="21"/>
          <w:szCs w:val="20"/>
          <w:highlight w:val="none"/>
        </w:rPr>
        <w:t>甲方（采购方全称）：</w:t>
      </w:r>
      <w:r>
        <w:rPr>
          <w:rFonts w:hint="eastAsia" w:ascii="宋体" w:hAnsi="宋体"/>
          <w:color w:val="000000"/>
          <w:sz w:val="21"/>
          <w:szCs w:val="20"/>
          <w:highlight w:val="none"/>
          <w:lang w:val="en-US" w:eastAsia="zh-CN"/>
        </w:rPr>
        <w:t>东莞市新东元环保投资</w:t>
      </w:r>
      <w:r>
        <w:rPr>
          <w:rFonts w:hint="eastAsia" w:ascii="宋体" w:hAnsi="宋体"/>
          <w:color w:val="000000"/>
          <w:sz w:val="21"/>
          <w:szCs w:val="20"/>
          <w:highlight w:val="none"/>
        </w:rPr>
        <w:t>有限公司</w:t>
      </w:r>
    </w:p>
    <w:p w14:paraId="5E58C5D7">
      <w:pPr>
        <w:spacing w:before="156" w:beforeLines="50" w:after="156" w:afterLines="50" w:line="480" w:lineRule="exact"/>
        <w:ind w:firstLine="420" w:firstLineChars="200"/>
        <w:contextualSpacing/>
        <w:jc w:val="both"/>
        <w:rPr>
          <w:rFonts w:ascii="宋体" w:hAnsi="宋体"/>
          <w:color w:val="000000"/>
          <w:sz w:val="21"/>
          <w:szCs w:val="20"/>
          <w:highlight w:val="none"/>
        </w:rPr>
      </w:pPr>
      <w:r>
        <w:rPr>
          <w:rFonts w:hint="eastAsia" w:ascii="宋体" w:hAnsi="宋体"/>
          <w:color w:val="000000"/>
          <w:sz w:val="21"/>
          <w:szCs w:val="22"/>
          <w:highlight w:val="none"/>
        </w:rPr>
        <w:t xml:space="preserve">乙方（供应方全称）： </w:t>
      </w:r>
      <w:r>
        <w:rPr>
          <w:rFonts w:ascii="宋体" w:hAnsi="宋体"/>
          <w:color w:val="000000"/>
          <w:sz w:val="21"/>
          <w:szCs w:val="22"/>
          <w:highlight w:val="none"/>
        </w:rPr>
        <w:t xml:space="preserve">     </w:t>
      </w:r>
    </w:p>
    <w:p w14:paraId="47650A63">
      <w:pPr>
        <w:spacing w:before="156" w:beforeLines="50" w:after="156" w:afterLines="50" w:line="480" w:lineRule="exact"/>
        <w:contextualSpacing/>
        <w:jc w:val="both"/>
        <w:rPr>
          <w:rFonts w:ascii="宋体"/>
          <w:sz w:val="21"/>
          <w:szCs w:val="20"/>
          <w:highlight w:val="none"/>
        </w:rPr>
      </w:pPr>
      <w:r>
        <w:rPr>
          <w:rFonts w:hint="eastAsia" w:ascii="宋体" w:hAnsi="宋体"/>
          <w:sz w:val="21"/>
          <w:szCs w:val="20"/>
          <w:highlight w:val="none"/>
        </w:rPr>
        <w:t xml:space="preserve">    甲乙双方于年    月   日签署了海心沙环保热电厂#1、#2厌氧罐外立面防腐采购项目</w:t>
      </w:r>
      <w:r>
        <w:rPr>
          <w:rFonts w:hint="eastAsia" w:ascii="宋体" w:hAnsi="宋体"/>
          <w:sz w:val="21"/>
          <w:szCs w:val="20"/>
          <w:highlight w:val="none"/>
          <w:lang w:val="en-US" w:eastAsia="zh-CN"/>
        </w:rPr>
        <w:t>合同</w:t>
      </w:r>
      <w:r>
        <w:rPr>
          <w:rFonts w:hint="eastAsia" w:ascii="宋体" w:hAnsi="宋体"/>
          <w:sz w:val="21"/>
          <w:szCs w:val="20"/>
          <w:highlight w:val="none"/>
        </w:rPr>
        <w:t>（以下简称原合同），为加强双方阳光合作，保证职员职业安全，甲乙双方经协商签定本协议并作为双方共同遵守的阳光合作行为准则。</w:t>
      </w:r>
    </w:p>
    <w:p w14:paraId="790FEE40">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一、甲方责任</w:t>
      </w:r>
    </w:p>
    <w:p w14:paraId="66DBE876">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1.甲方有责任向乙方介绍本单位有关采购管理通用原则和本协议的规定。</w:t>
      </w:r>
    </w:p>
    <w:p w14:paraId="7F4176E8">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2.甲方有责任对本单位相关人员进行阳光合作教育。</w:t>
      </w:r>
    </w:p>
    <w:p w14:paraId="15B12F4E">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758C35E1">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4.甲方人员如违反阳光合作管理制度及本协议规定，甲方视情节轻重、影响大小给予行政及经济处罚。</w:t>
      </w:r>
    </w:p>
    <w:p w14:paraId="4AD53181">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5．对于乙方举报甲方人员违反阳光合作规定的情况，甲方应及时进行调查，根据调查情况进行处理，并将调查结果向乙方反馈。</w:t>
      </w:r>
    </w:p>
    <w:p w14:paraId="17FFCA26">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6.接受举报的一方应为举报方保密，不得对举报方进行报复，对举报属实和严格遵守《阳光合作协议》的合作方，在同等条件下给予后续合作的优先权。</w:t>
      </w:r>
    </w:p>
    <w:p w14:paraId="49703AD6">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二、乙方责任</w:t>
      </w:r>
    </w:p>
    <w:p w14:paraId="3264C26A">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1.乙方应保证乙方人员了解甲方有关采购管理通用原则和及本协议的规定，并遵照执行。</w:t>
      </w:r>
    </w:p>
    <w:p w14:paraId="6705E1BD">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2.乙方不得以任何形式给予甲方人员回扣、赠送实物、现金、有价证券、礼券等有价物品或提供旅游等其他可能影响职务行为公正履行的活动（以下统称“财物”）。</w:t>
      </w:r>
    </w:p>
    <w:p w14:paraId="7437B8FE">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3.乙方有责任接受甲方对乙方在合作期间阳光合作管理执行情况的监督，并对甲方相关调查工作主动配合。</w:t>
      </w:r>
    </w:p>
    <w:p w14:paraId="58EC3078">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4.乙方有义务就甲方人员任何形式的索取或收受财物行为及时向甲方（东莞实业投资控股集团有限公司</w:t>
      </w:r>
      <w:r>
        <w:rPr>
          <w:rFonts w:hint="eastAsia" w:ascii="宋体" w:hAnsi="宋体"/>
          <w:sz w:val="21"/>
          <w:szCs w:val="20"/>
          <w:highlight w:val="none"/>
          <w:lang w:val="en-US" w:eastAsia="zh-CN"/>
        </w:rPr>
        <w:t>风控法务</w:t>
      </w:r>
      <w:r>
        <w:rPr>
          <w:rFonts w:hint="eastAsia" w:ascii="宋体" w:hAnsi="宋体"/>
          <w:sz w:val="21"/>
          <w:szCs w:val="20"/>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E8D7053">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 xml:space="preserve">5．甲方接受乙方实名或匿名举报，保证为举报者的信息保密，常设举报部门及电话： </w:t>
      </w:r>
    </w:p>
    <w:p w14:paraId="64B95B0D">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举报受理部门：东莞实业投资控股集团有限公司</w:t>
      </w:r>
      <w:r>
        <w:rPr>
          <w:rFonts w:hint="eastAsia" w:ascii="宋体" w:hAnsi="宋体"/>
          <w:sz w:val="21"/>
          <w:szCs w:val="20"/>
          <w:highlight w:val="none"/>
          <w:lang w:val="en-US" w:eastAsia="zh-CN"/>
        </w:rPr>
        <w:t>风控法务</w:t>
      </w:r>
      <w:r>
        <w:rPr>
          <w:rFonts w:hint="eastAsia" w:ascii="宋体" w:hAnsi="宋体"/>
          <w:sz w:val="21"/>
          <w:szCs w:val="20"/>
          <w:highlight w:val="none"/>
        </w:rPr>
        <w:t>部</w:t>
      </w:r>
    </w:p>
    <w:p w14:paraId="35861148">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东实集团举报邮箱：dgsyxf@163.com</w:t>
      </w:r>
    </w:p>
    <w:p w14:paraId="35E50BB6">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东实集团举报电话：0769-28820703（周一至周五9:00-12:00和14:00-18:00）</w:t>
      </w:r>
    </w:p>
    <w:p w14:paraId="1A9D46F1">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邮寄地址：东莞市东城区八一路1号机关二号大院9号楼，东莞实业投资控股集团有限公司</w:t>
      </w:r>
      <w:r>
        <w:rPr>
          <w:rFonts w:hint="eastAsia" w:ascii="宋体" w:hAnsi="宋体"/>
          <w:sz w:val="21"/>
          <w:szCs w:val="20"/>
          <w:highlight w:val="none"/>
          <w:lang w:val="en-US" w:eastAsia="zh-CN"/>
        </w:rPr>
        <w:t>风控法务</w:t>
      </w:r>
      <w:r>
        <w:rPr>
          <w:rFonts w:hint="eastAsia" w:ascii="宋体" w:hAnsi="宋体"/>
          <w:sz w:val="21"/>
          <w:szCs w:val="20"/>
          <w:highlight w:val="none"/>
        </w:rPr>
        <w:t>部收，邮编523000。</w:t>
      </w:r>
    </w:p>
    <w:p w14:paraId="3F2B2994">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三、其他</w:t>
      </w:r>
    </w:p>
    <w:p w14:paraId="52747694">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1.本协议是原合同的补充协议，与原合同有同等法律效力。</w:t>
      </w:r>
    </w:p>
    <w:p w14:paraId="33DF4E80">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2.本协议一式</w:t>
      </w:r>
      <w:r>
        <w:rPr>
          <w:rFonts w:hint="eastAsia" w:ascii="宋体" w:hAnsi="宋体"/>
          <w:sz w:val="21"/>
          <w:szCs w:val="20"/>
          <w:highlight w:val="none"/>
          <w:lang w:val="en-US" w:eastAsia="zh-CN"/>
        </w:rPr>
        <w:t>伍</w:t>
      </w:r>
      <w:r>
        <w:rPr>
          <w:rFonts w:hint="eastAsia" w:ascii="宋体" w:hAnsi="宋体"/>
          <w:sz w:val="21"/>
          <w:szCs w:val="20"/>
          <w:highlight w:val="none"/>
        </w:rPr>
        <w:t>份，甲方执</w:t>
      </w:r>
      <w:r>
        <w:rPr>
          <w:rFonts w:hint="eastAsia" w:ascii="宋体" w:hAnsi="宋体"/>
          <w:sz w:val="21"/>
          <w:szCs w:val="20"/>
          <w:highlight w:val="none"/>
          <w:lang w:val="en-US" w:eastAsia="zh-CN"/>
        </w:rPr>
        <w:t>叁</w:t>
      </w:r>
      <w:r>
        <w:rPr>
          <w:rFonts w:hint="eastAsia" w:ascii="宋体" w:hAnsi="宋体"/>
          <w:sz w:val="21"/>
          <w:szCs w:val="20"/>
          <w:highlight w:val="none"/>
        </w:rPr>
        <w:t>份，乙方执</w:t>
      </w:r>
      <w:r>
        <w:rPr>
          <w:rFonts w:hint="eastAsia" w:ascii="宋体" w:hAnsi="宋体"/>
          <w:sz w:val="21"/>
          <w:szCs w:val="20"/>
          <w:highlight w:val="none"/>
          <w:lang w:val="en-US" w:eastAsia="zh-CN"/>
        </w:rPr>
        <w:t>贰</w:t>
      </w:r>
      <w:r>
        <w:rPr>
          <w:rFonts w:hint="eastAsia" w:ascii="宋体" w:hAnsi="宋体"/>
          <w:sz w:val="21"/>
          <w:szCs w:val="20"/>
          <w:highlight w:val="none"/>
        </w:rPr>
        <w:t>份,具有同等法律效力。</w:t>
      </w:r>
    </w:p>
    <w:p w14:paraId="2A6DA0AA">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3.本协议经双方签署后生效。</w:t>
      </w:r>
    </w:p>
    <w:p w14:paraId="2CD81F7A">
      <w:pPr>
        <w:spacing w:before="156" w:beforeLines="50" w:after="156" w:afterLines="50" w:line="480" w:lineRule="exact"/>
        <w:contextualSpacing/>
        <w:jc w:val="both"/>
        <w:rPr>
          <w:rFonts w:hint="eastAsia" w:ascii="宋体" w:hAnsi="宋体"/>
          <w:sz w:val="21"/>
          <w:szCs w:val="20"/>
          <w:highlight w:val="none"/>
        </w:rPr>
      </w:pPr>
    </w:p>
    <w:p w14:paraId="0DDC95F6">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 xml:space="preserve">甲方（盖章）：                      乙方（盖章）： </w:t>
      </w:r>
    </w:p>
    <w:p w14:paraId="77BF9E6C">
      <w:pPr>
        <w:spacing w:before="156" w:beforeLines="50" w:after="156" w:afterLines="50" w:line="480" w:lineRule="exact"/>
        <w:contextualSpacing/>
        <w:jc w:val="both"/>
        <w:rPr>
          <w:rFonts w:hint="eastAsia" w:ascii="宋体" w:hAnsi="宋体"/>
          <w:sz w:val="21"/>
          <w:szCs w:val="20"/>
          <w:highlight w:val="none"/>
        </w:rPr>
      </w:pPr>
    </w:p>
    <w:p w14:paraId="7515661E">
      <w:pPr>
        <w:spacing w:before="156" w:beforeLines="50" w:after="156" w:afterLines="50" w:line="480" w:lineRule="exact"/>
        <w:contextualSpacing/>
        <w:jc w:val="both"/>
        <w:rPr>
          <w:rFonts w:hint="eastAsia" w:ascii="宋体" w:hAnsi="宋体"/>
          <w:sz w:val="21"/>
          <w:szCs w:val="20"/>
          <w:highlight w:val="none"/>
        </w:rPr>
      </w:pPr>
      <w:r>
        <w:rPr>
          <w:rFonts w:hint="eastAsia" w:ascii="宋体" w:hAnsi="宋体"/>
          <w:sz w:val="21"/>
          <w:szCs w:val="20"/>
          <w:highlight w:val="none"/>
        </w:rPr>
        <w:t>法定代表人（授权代表）：</w:t>
      </w:r>
      <w:r>
        <w:rPr>
          <w:rFonts w:hint="eastAsia" w:ascii="宋体" w:hAnsi="宋体"/>
          <w:sz w:val="21"/>
          <w:szCs w:val="20"/>
          <w:highlight w:val="none"/>
        </w:rPr>
        <w:tab/>
      </w:r>
      <w:r>
        <w:rPr>
          <w:rFonts w:hint="eastAsia" w:ascii="宋体" w:hAnsi="宋体"/>
          <w:sz w:val="21"/>
          <w:szCs w:val="20"/>
          <w:highlight w:val="none"/>
        </w:rPr>
        <w:tab/>
      </w:r>
      <w:r>
        <w:rPr>
          <w:rFonts w:hint="eastAsia" w:ascii="宋体" w:hAnsi="宋体"/>
          <w:sz w:val="21"/>
          <w:szCs w:val="20"/>
          <w:highlight w:val="none"/>
        </w:rPr>
        <w:t xml:space="preserve">  </w:t>
      </w:r>
      <w:r>
        <w:rPr>
          <w:rFonts w:hint="eastAsia" w:ascii="宋体" w:hAnsi="宋体"/>
          <w:sz w:val="21"/>
          <w:szCs w:val="20"/>
          <w:highlight w:val="none"/>
        </w:rPr>
        <w:tab/>
      </w:r>
      <w:r>
        <w:rPr>
          <w:rFonts w:hint="eastAsia" w:ascii="宋体" w:hAnsi="宋体"/>
          <w:sz w:val="21"/>
          <w:szCs w:val="20"/>
          <w:highlight w:val="none"/>
        </w:rPr>
        <w:t xml:space="preserve">   法定代表人（授权代表）：</w:t>
      </w:r>
    </w:p>
    <w:p w14:paraId="2267F807">
      <w:pPr>
        <w:spacing w:before="156" w:beforeLines="50" w:after="156" w:afterLines="50" w:line="480" w:lineRule="exact"/>
        <w:contextualSpacing/>
        <w:jc w:val="both"/>
        <w:rPr>
          <w:rFonts w:hint="eastAsia" w:ascii="宋体" w:hAnsi="宋体"/>
          <w:sz w:val="21"/>
          <w:szCs w:val="20"/>
          <w:highlight w:val="none"/>
        </w:rPr>
      </w:pPr>
    </w:p>
    <w:p w14:paraId="1D1FBFDA">
      <w:pPr>
        <w:spacing w:before="156" w:beforeLines="50" w:after="156" w:afterLines="50" w:line="480" w:lineRule="exact"/>
        <w:contextualSpacing/>
        <w:jc w:val="both"/>
        <w:rPr>
          <w:color w:val="auto"/>
          <w:highlight w:val="none"/>
        </w:rPr>
      </w:pPr>
      <w:r>
        <w:rPr>
          <w:rFonts w:hint="eastAsia" w:ascii="宋体" w:hAnsi="宋体"/>
          <w:sz w:val="21"/>
          <w:szCs w:val="20"/>
          <w:highlight w:val="none"/>
        </w:rPr>
        <w:t>签约日期：   年   月   日</w:t>
      </w:r>
      <w:bookmarkStart w:id="25" w:name="现场签证通知单"/>
      <w:bookmarkEnd w:id="25"/>
      <w:bookmarkStart w:id="26" w:name="设计变更通知单"/>
      <w:bookmarkEnd w:id="26"/>
      <w:r>
        <w:rPr>
          <w:rFonts w:hint="eastAsia" w:ascii="宋体" w:hAnsi="宋体"/>
          <w:sz w:val="21"/>
          <w:szCs w:val="20"/>
          <w:highlight w:val="none"/>
        </w:rPr>
        <w:tab/>
      </w:r>
      <w:r>
        <w:rPr>
          <w:rFonts w:hint="eastAsia" w:ascii="宋体" w:hAnsi="宋体"/>
          <w:sz w:val="21"/>
          <w:szCs w:val="20"/>
          <w:highlight w:val="none"/>
        </w:rPr>
        <w:t xml:space="preserve">       签约日期：   年   月   日</w:t>
      </w:r>
    </w:p>
    <w:p w14:paraId="15F6DC56">
      <w:pPr>
        <w:widowControl w:val="0"/>
        <w:spacing w:line="500" w:lineRule="exact"/>
        <w:ind w:left="420" w:firstLine="0" w:firstLineChars="0"/>
        <w:jc w:val="center"/>
        <w:rPr>
          <w:rFonts w:ascii="Times New Roman" w:hAnsi="Times New Roman" w:eastAsia="仿宋_GB2312" w:cs="Times New Roman"/>
          <w:b/>
          <w:kern w:val="2"/>
          <w:sz w:val="24"/>
          <w:szCs w:val="28"/>
          <w:highlight w:val="none"/>
          <w:lang w:val="en-US" w:eastAsia="zh-CN" w:bidi="ar-SA"/>
        </w:rPr>
      </w:pPr>
    </w:p>
    <w:p w14:paraId="20253BA7">
      <w:pPr>
        <w:widowControl w:val="0"/>
        <w:spacing w:line="500" w:lineRule="exact"/>
        <w:ind w:left="420" w:firstLine="0" w:firstLineChars="0"/>
        <w:jc w:val="left"/>
        <w:rPr>
          <w:rFonts w:ascii="Times New Roman" w:hAnsi="Times New Roman" w:eastAsia="仿宋_GB2312" w:cs="Times New Roman"/>
          <w:b/>
          <w:kern w:val="2"/>
          <w:sz w:val="24"/>
          <w:szCs w:val="28"/>
          <w:highlight w:val="none"/>
          <w:lang w:val="en-US" w:eastAsia="zh-CN" w:bidi="ar-SA"/>
        </w:rPr>
      </w:pPr>
    </w:p>
    <w:p w14:paraId="775310FE">
      <w:pPr>
        <w:spacing w:beforeLines="-2147483648" w:line="240" w:lineRule="auto"/>
        <w:jc w:val="both"/>
        <w:rPr>
          <w:sz w:val="21"/>
          <w:szCs w:val="20"/>
          <w:highlight w:val="none"/>
        </w:rPr>
      </w:pPr>
    </w:p>
    <w:p w14:paraId="5A001CE1">
      <w:pPr>
        <w:spacing w:beforeLines="-2147483648" w:line="240" w:lineRule="auto"/>
        <w:jc w:val="both"/>
        <w:rPr>
          <w:sz w:val="21"/>
          <w:szCs w:val="20"/>
          <w:highlight w:val="none"/>
        </w:rPr>
      </w:pPr>
    </w:p>
    <w:p w14:paraId="639F0165">
      <w:pPr>
        <w:spacing w:beforeLines="-2147483648" w:line="360" w:lineRule="auto"/>
        <w:jc w:val="both"/>
        <w:rPr>
          <w:sz w:val="21"/>
          <w:szCs w:val="20"/>
          <w:highlight w:val="none"/>
        </w:rPr>
      </w:pPr>
      <w:bookmarkStart w:id="27" w:name="Content"/>
      <w:bookmarkEnd w:id="27"/>
    </w:p>
    <w:p w14:paraId="4856ED80">
      <w:pPr>
        <w:pStyle w:val="256"/>
        <w:numPr>
          <w:ilvl w:val="-1"/>
          <w:numId w:val="0"/>
        </w:numPr>
        <w:spacing w:before="120"/>
        <w:ind w:left="0" w:firstLine="0" w:firstLineChars="0"/>
        <w:outlineLvl w:val="1"/>
        <w:rPr>
          <w:rFonts w:hAnsi="宋体"/>
          <w:highlight w:val="none"/>
        </w:rPr>
      </w:pPr>
    </w:p>
    <w:p w14:paraId="6570DAD8"/>
    <w:p w14:paraId="081229E1">
      <w:pPr>
        <w:pStyle w:val="256"/>
        <w:numPr>
          <w:ilvl w:val="-1"/>
          <w:numId w:val="0"/>
        </w:numPr>
        <w:spacing w:before="0" w:beforeLines="0" w:line="240" w:lineRule="auto"/>
        <w:ind w:left="0" w:firstLine="0" w:firstLineChars="0"/>
        <w:outlineLvl w:val="1"/>
        <w:rPr>
          <w:rFonts w:hint="default" w:hAnsi="宋体" w:eastAsia="宋体"/>
          <w:highlight w:val="none"/>
          <w:lang w:val="en-US" w:eastAsia="zh-CN"/>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247" w:right="1361" w:bottom="935" w:left="1474" w:header="680" w:footer="316" w:gutter="0"/>
      <w:pgNumType w:fmt="decimal"/>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Plotter">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MS Gothic">
    <w:panose1 w:val="020B0609070205080204"/>
    <w:charset w:val="80"/>
    <w:family w:val="modern"/>
    <w:pitch w:val="default"/>
    <w:sig w:usb0="E00002FF" w:usb1="6AC7FDFB" w:usb2="08000012" w:usb3="00000000" w:csb0="4002009F" w:csb1="DFD70000"/>
  </w:font>
  <w:font w:name="Century">
    <w:panose1 w:val="02040604050505020304"/>
    <w:charset w:val="00"/>
    <w:family w:val="roman"/>
    <w:pitch w:val="default"/>
    <w:sig w:usb0="00000287" w:usb1="00000000" w:usb2="00000000" w:usb3="00000000" w:csb0="2000009F" w:csb1="DFD70000"/>
  </w:font>
  <w:font w:name="MS Mincho">
    <w:panose1 w:val="02020609040205080304"/>
    <w:charset w:val="80"/>
    <w:family w:val="modern"/>
    <w:pitch w:val="default"/>
    <w:sig w:usb0="A00002BF" w:usb1="68C7FCFB" w:usb2="00000010" w:usb3="00000000" w:csb0="4002009F" w:csb1="DFD7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新宋体">
    <w:panose1 w:val="02010609030101010101"/>
    <w:charset w:val="86"/>
    <w:family w:val="modern"/>
    <w:pitch w:val="default"/>
    <w:sig w:usb0="00000283" w:usb1="288F0000" w:usb2="00000006" w:usb3="00000000" w:csb0="00040001" w:csb1="00000000"/>
  </w:font>
  <w:font w:name="Vivaldi">
    <w:panose1 w:val="03020602050506090804"/>
    <w:charset w:val="00"/>
    <w:family w:val="script"/>
    <w:pitch w:val="default"/>
    <w:sig w:usb0="00000003" w:usb1="00000000" w:usb2="00000000" w:usb3="00000000" w:csb0="2000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9551B">
    <w:pPr>
      <w:pStyle w:val="32"/>
      <w:spacing w:before="1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FAAD4">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1DFAAD4">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97544">
    <w:pPr>
      <w:pStyle w:val="3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320DB5">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20</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3320DB5">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20</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9E365">
    <w:pPr>
      <w:framePr w:wrap="around" w:vAnchor="text" w:hAnchor="margin" w:xAlign="right" w:y="1"/>
      <w:tabs>
        <w:tab w:val="center" w:pos="4153"/>
        <w:tab w:val="right" w:pos="8306"/>
      </w:tabs>
      <w:autoSpaceDE w:val="0"/>
      <w:autoSpaceDN w:val="0"/>
      <w:adjustRightInd w:val="0"/>
      <w:snapToGrid w:val="0"/>
      <w:jc w:val="left"/>
      <w:textAlignment w:val="baseline"/>
      <w:rPr>
        <w:rFonts w:ascii="宋体"/>
        <w:sz w:val="18"/>
      </w:rPr>
    </w:pPr>
    <w:r>
      <w:rPr>
        <w:rFonts w:ascii="宋体"/>
        <w:sz w:val="18"/>
      </w:rPr>
      <w:fldChar w:fldCharType="begin"/>
    </w:r>
    <w:r>
      <w:rPr>
        <w:rFonts w:ascii="Tahoma" w:hAnsi="Tahoma"/>
        <w:sz w:val="24"/>
      </w:rPr>
      <w:instrText xml:space="preserve">PAGE  </w:instrText>
    </w:r>
    <w:r>
      <w:rPr>
        <w:rFonts w:ascii="宋体"/>
        <w:sz w:val="18"/>
      </w:rPr>
      <w:fldChar w:fldCharType="end"/>
    </w:r>
  </w:p>
  <w:p w14:paraId="1018BE01">
    <w:pPr>
      <w:tabs>
        <w:tab w:val="center" w:pos="4153"/>
        <w:tab w:val="right" w:pos="8306"/>
      </w:tabs>
      <w:autoSpaceDE w:val="0"/>
      <w:autoSpaceDN w:val="0"/>
      <w:adjustRightInd w:val="0"/>
      <w:snapToGrid w:val="0"/>
      <w:ind w:right="360"/>
      <w:jc w:val="left"/>
      <w:textAlignment w:val="baseline"/>
      <w:rPr>
        <w:rFonts w:ascii="宋体"/>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ED8B1">
    <w:pPr>
      <w:pStyle w:val="3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405923">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79405923">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E31DC">
    <w:pPr>
      <w:pStyle w:val="3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3F370">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9E3F370">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2B0CC">
    <w:pPr>
      <w:pStyle w:val="32"/>
      <w:spacing w:beforeLines="0"/>
      <w:jc w:val="center"/>
      <w:rPr>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A5578D">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60</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61A5578D">
                    <w:pPr>
                      <w:pStyle w:val="3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60</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7F365">
    <w:pPr>
      <w:pStyle w:val="32"/>
      <w:spacing w:before="12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125AB">
    <w:pPr>
      <w:pStyle w:val="32"/>
      <w:spacing w:before="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5E378">
    <w:pPr>
      <w:pStyle w:val="33"/>
      <w:pBdr>
        <w:bottom w:val="none" w:color="auto" w:sz="0" w:space="0"/>
      </w:pBdr>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0927B">
    <w:pPr>
      <w:pStyle w:val="33"/>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752FF">
    <w:pPr>
      <w:pBdr>
        <w:bottom w:val="single" w:color="auto" w:sz="6" w:space="1"/>
      </w:pBdr>
      <w:tabs>
        <w:tab w:val="center" w:pos="4153"/>
        <w:tab w:val="right" w:pos="8306"/>
      </w:tabs>
      <w:autoSpaceDE w:val="0"/>
      <w:autoSpaceDN w:val="0"/>
      <w:adjustRightInd w:val="0"/>
      <w:snapToGrid w:val="0"/>
      <w:jc w:val="center"/>
      <w:textAlignment w:val="baseline"/>
      <w:rPr>
        <w:rFonts w:ascii="宋体"/>
        <w:sz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2F626">
    <w:pPr>
      <w:pStyle w:val="33"/>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4B62A">
    <w:pPr>
      <w:pStyle w:val="33"/>
      <w:spacing w:before="1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44A17">
    <w:pPr>
      <w:pStyle w:val="33"/>
      <w:spacing w:before="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D5B3E">
    <w:pPr>
      <w:pStyle w:val="33"/>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AE7680"/>
    <w:multiLevelType w:val="singleLevel"/>
    <w:tmpl w:val="8AAE7680"/>
    <w:lvl w:ilvl="0" w:tentative="0">
      <w:start w:val="1"/>
      <w:numFmt w:val="decimal"/>
      <w:lvlText w:val="%1)"/>
      <w:lvlJc w:val="left"/>
      <w:pPr>
        <w:ind w:left="425" w:hanging="425"/>
      </w:pPr>
      <w:rPr>
        <w:rFonts w:hint="default"/>
      </w:rPr>
    </w:lvl>
  </w:abstractNum>
  <w:abstractNum w:abstractNumId="1">
    <w:nsid w:val="AD2819AC"/>
    <w:multiLevelType w:val="singleLevel"/>
    <w:tmpl w:val="AD2819AC"/>
    <w:lvl w:ilvl="0" w:tentative="0">
      <w:start w:val="1"/>
      <w:numFmt w:val="decimal"/>
      <w:lvlText w:val="%1."/>
      <w:lvlJc w:val="left"/>
      <w:pPr>
        <w:ind w:left="425" w:hanging="425"/>
      </w:pPr>
      <w:rPr>
        <w:rFonts w:hint="default"/>
      </w:rPr>
    </w:lvl>
  </w:abstractNum>
  <w:abstractNum w:abstractNumId="2">
    <w:nsid w:val="C27DD8A2"/>
    <w:multiLevelType w:val="singleLevel"/>
    <w:tmpl w:val="C27DD8A2"/>
    <w:lvl w:ilvl="0" w:tentative="0">
      <w:start w:val="1"/>
      <w:numFmt w:val="none"/>
      <w:lvlText w:val="9."/>
      <w:lvlJc w:val="left"/>
      <w:pPr>
        <w:tabs>
          <w:tab w:val="left" w:pos="420"/>
        </w:tabs>
        <w:ind w:left="425" w:hanging="425"/>
      </w:pPr>
      <w:rPr>
        <w:rFonts w:hint="default"/>
      </w:rPr>
    </w:lvl>
  </w:abstractNum>
  <w:abstractNum w:abstractNumId="3">
    <w:nsid w:val="D2923793"/>
    <w:multiLevelType w:val="singleLevel"/>
    <w:tmpl w:val="D2923793"/>
    <w:lvl w:ilvl="0" w:tentative="0">
      <w:start w:val="1"/>
      <w:numFmt w:val="none"/>
      <w:lvlText w:val="11."/>
      <w:lvlJc w:val="left"/>
      <w:pPr>
        <w:tabs>
          <w:tab w:val="left" w:pos="420"/>
        </w:tabs>
        <w:ind w:left="425" w:hanging="425"/>
      </w:pPr>
      <w:rPr>
        <w:rFonts w:hint="default"/>
      </w:rPr>
    </w:lvl>
  </w:abstractNum>
  <w:abstractNum w:abstractNumId="4">
    <w:nsid w:val="D3721727"/>
    <w:multiLevelType w:val="singleLevel"/>
    <w:tmpl w:val="D3721727"/>
    <w:lvl w:ilvl="0" w:tentative="0">
      <w:start w:val="1"/>
      <w:numFmt w:val="decimal"/>
      <w:lvlText w:val="%1."/>
      <w:lvlJc w:val="left"/>
      <w:pPr>
        <w:ind w:left="425" w:hanging="425"/>
      </w:pPr>
      <w:rPr>
        <w:rFonts w:hint="default"/>
      </w:rPr>
    </w:lvl>
  </w:abstractNum>
  <w:abstractNum w:abstractNumId="5">
    <w:nsid w:val="00000001"/>
    <w:multiLevelType w:val="multilevel"/>
    <w:tmpl w:val="00000001"/>
    <w:lvl w:ilvl="0" w:tentative="0">
      <w:start w:val="1"/>
      <w:numFmt w:val="chineseCountingThousand"/>
      <w:lvlText w:val="附件%1"/>
      <w:lvlJc w:val="left"/>
      <w:pPr>
        <w:ind w:left="1272" w:hanging="420"/>
      </w:pPr>
      <w:rPr>
        <w:rFonts w:hint="eastAsia"/>
      </w:rPr>
    </w:lvl>
    <w:lvl w:ilvl="1" w:tentative="0">
      <w:start w:val="1"/>
      <w:numFmt w:val="lowerLetter"/>
      <w:lvlText w:val="%2)"/>
      <w:lvlJc w:val="left"/>
      <w:pPr>
        <w:ind w:left="1692" w:hanging="420"/>
      </w:pPr>
    </w:lvl>
    <w:lvl w:ilvl="2" w:tentative="0">
      <w:start w:val="1"/>
      <w:numFmt w:val="lowerRoman"/>
      <w:lvlText w:val="%3."/>
      <w:lvlJc w:val="right"/>
      <w:pPr>
        <w:ind w:left="2112" w:hanging="420"/>
      </w:pPr>
    </w:lvl>
    <w:lvl w:ilvl="3" w:tentative="0">
      <w:start w:val="1"/>
      <w:numFmt w:val="decimal"/>
      <w:lvlText w:val="%4."/>
      <w:lvlJc w:val="left"/>
      <w:pPr>
        <w:ind w:left="2532" w:hanging="420"/>
      </w:pPr>
    </w:lvl>
    <w:lvl w:ilvl="4" w:tentative="0">
      <w:start w:val="1"/>
      <w:numFmt w:val="lowerLetter"/>
      <w:lvlText w:val="%5)"/>
      <w:lvlJc w:val="left"/>
      <w:pPr>
        <w:ind w:left="2952" w:hanging="420"/>
      </w:pPr>
    </w:lvl>
    <w:lvl w:ilvl="5" w:tentative="0">
      <w:start w:val="1"/>
      <w:numFmt w:val="lowerRoman"/>
      <w:lvlText w:val="%6."/>
      <w:lvlJc w:val="right"/>
      <w:pPr>
        <w:ind w:left="3372" w:hanging="420"/>
      </w:pPr>
    </w:lvl>
    <w:lvl w:ilvl="6" w:tentative="0">
      <w:start w:val="1"/>
      <w:numFmt w:val="decimal"/>
      <w:lvlText w:val="%7."/>
      <w:lvlJc w:val="left"/>
      <w:pPr>
        <w:ind w:left="3792" w:hanging="420"/>
      </w:pPr>
    </w:lvl>
    <w:lvl w:ilvl="7" w:tentative="0">
      <w:start w:val="1"/>
      <w:numFmt w:val="lowerLetter"/>
      <w:lvlText w:val="%8)"/>
      <w:lvlJc w:val="left"/>
      <w:pPr>
        <w:ind w:left="4212" w:hanging="420"/>
      </w:pPr>
    </w:lvl>
    <w:lvl w:ilvl="8" w:tentative="0">
      <w:start w:val="1"/>
      <w:numFmt w:val="lowerRoman"/>
      <w:lvlText w:val="%9."/>
      <w:lvlJc w:val="right"/>
      <w:pPr>
        <w:ind w:left="4632" w:hanging="420"/>
      </w:pPr>
    </w:lvl>
  </w:abstractNum>
  <w:abstractNum w:abstractNumId="6">
    <w:nsid w:val="063373CA"/>
    <w:multiLevelType w:val="multilevel"/>
    <w:tmpl w:val="063373CA"/>
    <w:lvl w:ilvl="0" w:tentative="0">
      <w:start w:val="1"/>
      <w:numFmt w:val="decimal"/>
      <w:lvlText w:val="%1)"/>
      <w:lvlJc w:val="left"/>
      <w:pPr>
        <w:tabs>
          <w:tab w:val="left" w:pos="1848"/>
        </w:tabs>
        <w:ind w:left="1848"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8B957E8"/>
    <w:multiLevelType w:val="multilevel"/>
    <w:tmpl w:val="08B957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45249B9"/>
    <w:multiLevelType w:val="multilevel"/>
    <w:tmpl w:val="145249B9"/>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5966065"/>
    <w:multiLevelType w:val="multilevel"/>
    <w:tmpl w:val="15966065"/>
    <w:lvl w:ilvl="0" w:tentative="0">
      <w:start w:val="1"/>
      <w:numFmt w:val="bullet"/>
      <w:pStyle w:val="232"/>
      <w:lvlText w:val=""/>
      <w:lvlJc w:val="left"/>
      <w:pPr>
        <w:tabs>
          <w:tab w:val="left" w:pos="420"/>
        </w:tabs>
        <w:ind w:left="420" w:hanging="136"/>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27AA7115"/>
    <w:multiLevelType w:val="multilevel"/>
    <w:tmpl w:val="27AA711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84A5AE6"/>
    <w:multiLevelType w:val="multilevel"/>
    <w:tmpl w:val="284A5AE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E2F0E49"/>
    <w:multiLevelType w:val="multilevel"/>
    <w:tmpl w:val="2E2F0E4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048E292"/>
    <w:multiLevelType w:val="singleLevel"/>
    <w:tmpl w:val="3048E292"/>
    <w:lvl w:ilvl="0" w:tentative="0">
      <w:start w:val="1"/>
      <w:numFmt w:val="none"/>
      <w:lvlText w:val="10."/>
      <w:lvlJc w:val="left"/>
      <w:pPr>
        <w:tabs>
          <w:tab w:val="left" w:pos="420"/>
        </w:tabs>
        <w:ind w:left="425" w:hanging="425"/>
      </w:pPr>
      <w:rPr>
        <w:rFonts w:hint="default"/>
      </w:rPr>
    </w:lvl>
  </w:abstractNum>
  <w:abstractNum w:abstractNumId="14">
    <w:nsid w:val="3E9C347D"/>
    <w:multiLevelType w:val="multilevel"/>
    <w:tmpl w:val="3E9C347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0F54389"/>
    <w:multiLevelType w:val="multilevel"/>
    <w:tmpl w:val="40F5438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AE62E51"/>
    <w:multiLevelType w:val="multilevel"/>
    <w:tmpl w:val="4AE62E51"/>
    <w:lvl w:ilvl="0" w:tentative="0">
      <w:start w:val="1"/>
      <w:numFmt w:val="decimal"/>
      <w:lvlText w:val="%1."/>
      <w:lvlJc w:val="left"/>
      <w:pPr>
        <w:ind w:left="1129" w:hanging="420"/>
      </w:pPr>
    </w:lvl>
    <w:lvl w:ilvl="1" w:tentative="0">
      <w:start w:val="1"/>
      <w:numFmt w:val="decimal"/>
      <w:lvlText w:val="%2."/>
      <w:lvlJc w:val="left"/>
      <w:pPr>
        <w:tabs>
          <w:tab w:val="left" w:pos="1368"/>
        </w:tabs>
        <w:ind w:left="1368" w:hanging="360"/>
      </w:pPr>
      <w:rPr>
        <w:rFonts w:hint="default"/>
      </w:rPr>
    </w:lvl>
    <w:lvl w:ilvl="2" w:tentative="0">
      <w:start w:val="1"/>
      <w:numFmt w:val="bullet"/>
      <w:lvlText w:val=""/>
      <w:lvlJc w:val="left"/>
      <w:pPr>
        <w:tabs>
          <w:tab w:val="left" w:pos="1848"/>
        </w:tabs>
        <w:ind w:left="1848" w:hanging="420"/>
      </w:pPr>
      <w:rPr>
        <w:rFonts w:hint="default" w:ascii="Wingdings" w:hAnsi="Wingdings"/>
      </w:rPr>
    </w:lvl>
    <w:lvl w:ilvl="3" w:tentative="0">
      <w:start w:val="1"/>
      <w:numFmt w:val="bullet"/>
      <w:lvlText w:val="—"/>
      <w:lvlJc w:val="left"/>
      <w:pPr>
        <w:tabs>
          <w:tab w:val="left" w:pos="2268"/>
        </w:tabs>
        <w:ind w:left="2268" w:hanging="420"/>
      </w:pPr>
      <w:rPr>
        <w:rFonts w:hint="default" w:ascii="Vivaldi" w:hAnsi="Vivaldi"/>
      </w:rPr>
    </w:lvl>
    <w:lvl w:ilvl="4" w:tentative="0">
      <w:start w:val="6"/>
      <w:numFmt w:val="decimal"/>
      <w:lvlText w:val="%5)"/>
      <w:lvlJc w:val="left"/>
      <w:pPr>
        <w:tabs>
          <w:tab w:val="left" w:pos="2688"/>
        </w:tabs>
        <w:ind w:left="2688" w:hanging="420"/>
      </w:pPr>
      <w:rPr>
        <w:rFonts w:hint="eastAsia"/>
      </w:rPr>
    </w:lvl>
    <w:lvl w:ilvl="5" w:tentative="0">
      <w:start w:val="1"/>
      <w:numFmt w:val="lowerRoman"/>
      <w:lvlText w:val="%6."/>
      <w:lvlJc w:val="right"/>
      <w:pPr>
        <w:ind w:left="3108" w:hanging="420"/>
      </w:pPr>
    </w:lvl>
    <w:lvl w:ilvl="6" w:tentative="0">
      <w:start w:val="1"/>
      <w:numFmt w:val="decimal"/>
      <w:lvlText w:val="%7."/>
      <w:lvlJc w:val="left"/>
      <w:pPr>
        <w:ind w:left="3528" w:hanging="420"/>
      </w:pPr>
    </w:lvl>
    <w:lvl w:ilvl="7" w:tentative="0">
      <w:start w:val="1"/>
      <w:numFmt w:val="lowerLetter"/>
      <w:lvlText w:val="%8)"/>
      <w:lvlJc w:val="left"/>
      <w:pPr>
        <w:ind w:left="3948" w:hanging="420"/>
      </w:pPr>
    </w:lvl>
    <w:lvl w:ilvl="8" w:tentative="0">
      <w:start w:val="1"/>
      <w:numFmt w:val="lowerRoman"/>
      <w:lvlText w:val="%9."/>
      <w:lvlJc w:val="right"/>
      <w:pPr>
        <w:ind w:left="4368" w:hanging="420"/>
      </w:pPr>
    </w:lvl>
  </w:abstractNum>
  <w:abstractNum w:abstractNumId="17">
    <w:nsid w:val="50A51977"/>
    <w:multiLevelType w:val="singleLevel"/>
    <w:tmpl w:val="50A51977"/>
    <w:lvl w:ilvl="0" w:tentative="0">
      <w:start w:val="1"/>
      <w:numFmt w:val="bullet"/>
      <w:pStyle w:val="255"/>
      <w:lvlText w:val=""/>
      <w:lvlJc w:val="left"/>
      <w:pPr>
        <w:tabs>
          <w:tab w:val="left" w:pos="425"/>
        </w:tabs>
        <w:ind w:left="425" w:hanging="425"/>
      </w:pPr>
      <w:rPr>
        <w:rFonts w:hint="default" w:ascii="Wingdings" w:hAnsi="Wingdings"/>
      </w:rPr>
    </w:lvl>
  </w:abstractNum>
  <w:abstractNum w:abstractNumId="18">
    <w:nsid w:val="5142289F"/>
    <w:multiLevelType w:val="multilevel"/>
    <w:tmpl w:val="5142289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5932DD5"/>
    <w:multiLevelType w:val="multilevel"/>
    <w:tmpl w:val="55932DD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55A72853"/>
    <w:multiLevelType w:val="multilevel"/>
    <w:tmpl w:val="55A72853"/>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67E6C43"/>
    <w:multiLevelType w:val="multilevel"/>
    <w:tmpl w:val="567E6C4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57133F65"/>
    <w:multiLevelType w:val="multilevel"/>
    <w:tmpl w:val="57133F65"/>
    <w:lvl w:ilvl="0" w:tentative="0">
      <w:start w:val="1"/>
      <w:numFmt w:val="decimal"/>
      <w:pStyle w:val="75"/>
      <w:lvlText w:val="第%1章 "/>
      <w:lvlJc w:val="left"/>
      <w:pPr>
        <w:tabs>
          <w:tab w:val="left" w:pos="5671"/>
        </w:tabs>
        <w:ind w:left="5671" w:hanging="425"/>
      </w:pPr>
      <w:rPr>
        <w:rFonts w:hint="eastAsia"/>
      </w:rPr>
    </w:lvl>
    <w:lvl w:ilvl="1" w:tentative="0">
      <w:start w:val="1"/>
      <w:numFmt w:val="decimal"/>
      <w:pStyle w:val="76"/>
      <w:lvlText w:val="%2 "/>
      <w:lvlJc w:val="left"/>
      <w:pPr>
        <w:tabs>
          <w:tab w:val="left" w:pos="284"/>
        </w:tabs>
        <w:ind w:left="747" w:hanging="567"/>
      </w:pPr>
      <w:rPr>
        <w:rFonts w:hint="eastAsia"/>
        <w:b/>
      </w:rPr>
    </w:lvl>
    <w:lvl w:ilvl="2" w:tentative="0">
      <w:start w:val="1"/>
      <w:numFmt w:val="decimal"/>
      <w:pStyle w:val="77"/>
      <w:lvlText w:val="%2.%3 "/>
      <w:lvlJc w:val="left"/>
      <w:pPr>
        <w:tabs>
          <w:tab w:val="left" w:pos="927"/>
        </w:tabs>
        <w:ind w:left="76" w:firstLine="284"/>
      </w:pPr>
      <w:rPr>
        <w:rFonts w:hint="default" w:ascii="Times New Roman" w:hAnsi="Times New Roman" w:eastAsia="宋体"/>
        <w:b w:val="0"/>
        <w:i w:val="0"/>
        <w:sz w:val="24"/>
      </w:rPr>
    </w:lvl>
    <w:lvl w:ilvl="3" w:tentative="0">
      <w:start w:val="1"/>
      <w:numFmt w:val="decimal"/>
      <w:pStyle w:val="78"/>
      <w:lvlText w:val="%2.%3.%4 "/>
      <w:lvlJc w:val="left"/>
      <w:pPr>
        <w:tabs>
          <w:tab w:val="left" w:pos="1524"/>
        </w:tabs>
        <w:ind w:left="390" w:firstLine="510"/>
      </w:pPr>
      <w:rPr>
        <w:rFonts w:hint="default" w:ascii="Times New Roman" w:hAnsi="Times New Roman" w:eastAsia="华文中宋" w:cs="Times New Roman"/>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3">
    <w:nsid w:val="5FB902D1"/>
    <w:multiLevelType w:val="multilevel"/>
    <w:tmpl w:val="5FB902D1"/>
    <w:lvl w:ilvl="0" w:tentative="0">
      <w:start w:val="1"/>
      <w:numFmt w:val="decimal"/>
      <w:lvlText w:val="%1."/>
      <w:lvlJc w:val="left"/>
      <w:pPr>
        <w:ind w:left="420" w:hanging="420"/>
      </w:pPr>
      <w:rPr>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682E7D62"/>
    <w:multiLevelType w:val="multilevel"/>
    <w:tmpl w:val="682E7D6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6C816579"/>
    <w:multiLevelType w:val="multilevel"/>
    <w:tmpl w:val="6C81657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6FDE7289"/>
    <w:multiLevelType w:val="singleLevel"/>
    <w:tmpl w:val="6FDE7289"/>
    <w:lvl w:ilvl="0" w:tentative="0">
      <w:start w:val="1"/>
      <w:numFmt w:val="decimal"/>
      <w:pStyle w:val="115"/>
      <w:lvlText w:val="%1."/>
      <w:lvlJc w:val="left"/>
      <w:pPr>
        <w:tabs>
          <w:tab w:val="left" w:pos="360"/>
        </w:tabs>
        <w:ind w:left="0" w:firstLine="0"/>
      </w:pPr>
      <w:rPr>
        <w:rFonts w:hint="eastAsia"/>
      </w:rPr>
    </w:lvl>
  </w:abstractNum>
  <w:abstractNum w:abstractNumId="27">
    <w:nsid w:val="71940EDB"/>
    <w:multiLevelType w:val="multilevel"/>
    <w:tmpl w:val="71940ED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39315A4"/>
    <w:multiLevelType w:val="multilevel"/>
    <w:tmpl w:val="739315A4"/>
    <w:lvl w:ilvl="0" w:tentative="0">
      <w:start w:val="1"/>
      <w:numFmt w:val="decimal"/>
      <w:lvlText w:val="%1."/>
      <w:lvlJc w:val="left"/>
      <w:pPr>
        <w:ind w:left="420" w:hanging="420"/>
      </w:pPr>
      <w:rPr>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4EC6053"/>
    <w:multiLevelType w:val="multilevel"/>
    <w:tmpl w:val="74EC6053"/>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EA970C7"/>
    <w:multiLevelType w:val="multilevel"/>
    <w:tmpl w:val="7EA970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7F50071B"/>
    <w:multiLevelType w:val="multilevel"/>
    <w:tmpl w:val="7F50071B"/>
    <w:lvl w:ilvl="0" w:tentative="0">
      <w:start w:val="1"/>
      <w:numFmt w:val="decimal"/>
      <w:lvlText w:val="%1."/>
      <w:lvlJc w:val="left"/>
      <w:pPr>
        <w:ind w:left="1129" w:hanging="420"/>
      </w:pPr>
    </w:lvl>
    <w:lvl w:ilvl="1" w:tentative="0">
      <w:start w:val="1"/>
      <w:numFmt w:val="decimal"/>
      <w:lvlText w:val="%2）"/>
      <w:lvlJc w:val="left"/>
      <w:pPr>
        <w:tabs>
          <w:tab w:val="left" w:pos="1368"/>
        </w:tabs>
        <w:ind w:left="1368" w:hanging="360"/>
      </w:pPr>
      <w:rPr>
        <w:rFonts w:hint="default"/>
      </w:rPr>
    </w:lvl>
    <w:lvl w:ilvl="2" w:tentative="0">
      <w:start w:val="1"/>
      <w:numFmt w:val="bullet"/>
      <w:lvlText w:val=""/>
      <w:lvlJc w:val="left"/>
      <w:pPr>
        <w:tabs>
          <w:tab w:val="left" w:pos="1848"/>
        </w:tabs>
        <w:ind w:left="1848" w:hanging="420"/>
      </w:pPr>
      <w:rPr>
        <w:rFonts w:hint="default" w:ascii="Wingdings" w:hAnsi="Wingdings"/>
      </w:rPr>
    </w:lvl>
    <w:lvl w:ilvl="3" w:tentative="0">
      <w:start w:val="1"/>
      <w:numFmt w:val="decimal"/>
      <w:lvlText w:val="（%4）"/>
      <w:lvlJc w:val="left"/>
      <w:pPr>
        <w:tabs>
          <w:tab w:val="left" w:pos="2268"/>
        </w:tabs>
        <w:ind w:left="2268" w:hanging="420"/>
      </w:pPr>
      <w:rPr>
        <w:rFonts w:hint="default"/>
      </w:rPr>
    </w:lvl>
    <w:lvl w:ilvl="4" w:tentative="0">
      <w:start w:val="6"/>
      <w:numFmt w:val="decimal"/>
      <w:lvlText w:val="%5)"/>
      <w:lvlJc w:val="left"/>
      <w:pPr>
        <w:tabs>
          <w:tab w:val="left" w:pos="2688"/>
        </w:tabs>
        <w:ind w:left="2688" w:hanging="420"/>
      </w:pPr>
      <w:rPr>
        <w:rFonts w:hint="eastAsia"/>
      </w:rPr>
    </w:lvl>
    <w:lvl w:ilvl="5" w:tentative="0">
      <w:start w:val="1"/>
      <w:numFmt w:val="lowerRoman"/>
      <w:lvlText w:val="%6."/>
      <w:lvlJc w:val="right"/>
      <w:pPr>
        <w:ind w:left="3108" w:hanging="420"/>
      </w:pPr>
    </w:lvl>
    <w:lvl w:ilvl="6" w:tentative="0">
      <w:start w:val="1"/>
      <w:numFmt w:val="decimal"/>
      <w:lvlText w:val="%7."/>
      <w:lvlJc w:val="left"/>
      <w:pPr>
        <w:ind w:left="3528" w:hanging="420"/>
      </w:pPr>
    </w:lvl>
    <w:lvl w:ilvl="7" w:tentative="0">
      <w:start w:val="1"/>
      <w:numFmt w:val="lowerLetter"/>
      <w:lvlText w:val="%8)"/>
      <w:lvlJc w:val="left"/>
      <w:pPr>
        <w:ind w:left="3948" w:hanging="420"/>
      </w:pPr>
    </w:lvl>
    <w:lvl w:ilvl="8" w:tentative="0">
      <w:start w:val="1"/>
      <w:numFmt w:val="lowerRoman"/>
      <w:lvlText w:val="%9."/>
      <w:lvlJc w:val="right"/>
      <w:pPr>
        <w:ind w:left="4368" w:hanging="420"/>
      </w:pPr>
    </w:lvl>
  </w:abstractNum>
  <w:num w:numId="1">
    <w:abstractNumId w:val="22"/>
  </w:num>
  <w:num w:numId="2">
    <w:abstractNumId w:val="26"/>
  </w:num>
  <w:num w:numId="3">
    <w:abstractNumId w:val="9"/>
  </w:num>
  <w:num w:numId="4">
    <w:abstractNumId w:val="17"/>
  </w:num>
  <w:num w:numId="5">
    <w:abstractNumId w:val="5"/>
  </w:num>
  <w:num w:numId="6">
    <w:abstractNumId w:val="4"/>
  </w:num>
  <w:num w:numId="7">
    <w:abstractNumId w:val="29"/>
  </w:num>
  <w:num w:numId="8">
    <w:abstractNumId w:val="8"/>
  </w:num>
  <w:num w:numId="9">
    <w:abstractNumId w:val="25"/>
  </w:num>
  <w:num w:numId="10">
    <w:abstractNumId w:val="10"/>
  </w:num>
  <w:num w:numId="11">
    <w:abstractNumId w:val="7"/>
  </w:num>
  <w:num w:numId="12">
    <w:abstractNumId w:val="23"/>
  </w:num>
  <w:num w:numId="13">
    <w:abstractNumId w:val="15"/>
  </w:num>
  <w:num w:numId="14">
    <w:abstractNumId w:val="19"/>
  </w:num>
  <w:num w:numId="15">
    <w:abstractNumId w:val="14"/>
  </w:num>
  <w:num w:numId="16">
    <w:abstractNumId w:val="28"/>
  </w:num>
  <w:num w:numId="17">
    <w:abstractNumId w:val="21"/>
  </w:num>
  <w:num w:numId="18">
    <w:abstractNumId w:val="24"/>
  </w:num>
  <w:num w:numId="19">
    <w:abstractNumId w:val="27"/>
  </w:num>
  <w:num w:numId="20">
    <w:abstractNumId w:val="18"/>
  </w:num>
  <w:num w:numId="21">
    <w:abstractNumId w:val="12"/>
  </w:num>
  <w:num w:numId="22">
    <w:abstractNumId w:val="20"/>
  </w:num>
  <w:num w:numId="23">
    <w:abstractNumId w:val="11"/>
  </w:num>
  <w:num w:numId="24">
    <w:abstractNumId w:val="30"/>
  </w:num>
  <w:num w:numId="25">
    <w:abstractNumId w:val="1"/>
  </w:num>
  <w:num w:numId="26">
    <w:abstractNumId w:val="31"/>
  </w:num>
  <w:num w:numId="27">
    <w:abstractNumId w:val="2"/>
  </w:num>
  <w:num w:numId="28">
    <w:abstractNumId w:val="6"/>
  </w:num>
  <w:num w:numId="29">
    <w:abstractNumId w:val="13"/>
  </w:num>
  <w:num w:numId="30">
    <w:abstractNumId w:val="0"/>
  </w:num>
  <w:num w:numId="31">
    <w:abstractNumId w:val="3"/>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12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wMTFkMDI3ZjBmZjczM2Q3M2EwOGI5M2VjYzUzMDkifQ=="/>
  </w:docVars>
  <w:rsids>
    <w:rsidRoot w:val="00172A27"/>
    <w:rsid w:val="000042B9"/>
    <w:rsid w:val="00004C44"/>
    <w:rsid w:val="00010B5A"/>
    <w:rsid w:val="00011939"/>
    <w:rsid w:val="00013809"/>
    <w:rsid w:val="0002203C"/>
    <w:rsid w:val="00022360"/>
    <w:rsid w:val="0002288C"/>
    <w:rsid w:val="00023EF0"/>
    <w:rsid w:val="000306F3"/>
    <w:rsid w:val="000317CD"/>
    <w:rsid w:val="0003334F"/>
    <w:rsid w:val="0003615F"/>
    <w:rsid w:val="00040215"/>
    <w:rsid w:val="000414B1"/>
    <w:rsid w:val="0004354E"/>
    <w:rsid w:val="0004367E"/>
    <w:rsid w:val="000447DE"/>
    <w:rsid w:val="000449DE"/>
    <w:rsid w:val="00052380"/>
    <w:rsid w:val="000527ED"/>
    <w:rsid w:val="00052A89"/>
    <w:rsid w:val="000572DB"/>
    <w:rsid w:val="00057CB5"/>
    <w:rsid w:val="00062C8B"/>
    <w:rsid w:val="00063478"/>
    <w:rsid w:val="00065739"/>
    <w:rsid w:val="00066975"/>
    <w:rsid w:val="00074E4C"/>
    <w:rsid w:val="000837E0"/>
    <w:rsid w:val="000850CE"/>
    <w:rsid w:val="00085FC4"/>
    <w:rsid w:val="000A728F"/>
    <w:rsid w:val="000B469F"/>
    <w:rsid w:val="000C48DF"/>
    <w:rsid w:val="000D52DD"/>
    <w:rsid w:val="000E071A"/>
    <w:rsid w:val="000E2663"/>
    <w:rsid w:val="000E57C6"/>
    <w:rsid w:val="000F3079"/>
    <w:rsid w:val="000F3A83"/>
    <w:rsid w:val="00102509"/>
    <w:rsid w:val="00112A57"/>
    <w:rsid w:val="00115FC1"/>
    <w:rsid w:val="00116B9A"/>
    <w:rsid w:val="001205A7"/>
    <w:rsid w:val="001238B9"/>
    <w:rsid w:val="00125CFC"/>
    <w:rsid w:val="001306D9"/>
    <w:rsid w:val="001411FB"/>
    <w:rsid w:val="00152287"/>
    <w:rsid w:val="0015365E"/>
    <w:rsid w:val="001544B9"/>
    <w:rsid w:val="00154EC5"/>
    <w:rsid w:val="00164F32"/>
    <w:rsid w:val="001704E7"/>
    <w:rsid w:val="0017094D"/>
    <w:rsid w:val="00172A27"/>
    <w:rsid w:val="00173836"/>
    <w:rsid w:val="00177F7D"/>
    <w:rsid w:val="00182B36"/>
    <w:rsid w:val="00182DA8"/>
    <w:rsid w:val="001846FC"/>
    <w:rsid w:val="00185C12"/>
    <w:rsid w:val="0019059C"/>
    <w:rsid w:val="00191300"/>
    <w:rsid w:val="001933EF"/>
    <w:rsid w:val="00195B58"/>
    <w:rsid w:val="001A219E"/>
    <w:rsid w:val="001A72E8"/>
    <w:rsid w:val="001B551B"/>
    <w:rsid w:val="001C22EA"/>
    <w:rsid w:val="001C586F"/>
    <w:rsid w:val="001E254A"/>
    <w:rsid w:val="001E6595"/>
    <w:rsid w:val="001F1D21"/>
    <w:rsid w:val="001F369D"/>
    <w:rsid w:val="00207BB7"/>
    <w:rsid w:val="00210514"/>
    <w:rsid w:val="0021104C"/>
    <w:rsid w:val="00216008"/>
    <w:rsid w:val="002174DC"/>
    <w:rsid w:val="0022172B"/>
    <w:rsid w:val="00227BFD"/>
    <w:rsid w:val="002343FC"/>
    <w:rsid w:val="002349EE"/>
    <w:rsid w:val="002524C8"/>
    <w:rsid w:val="002539C7"/>
    <w:rsid w:val="00253CFA"/>
    <w:rsid w:val="00255C64"/>
    <w:rsid w:val="00260CE8"/>
    <w:rsid w:val="0026315C"/>
    <w:rsid w:val="00270282"/>
    <w:rsid w:val="00282839"/>
    <w:rsid w:val="00287324"/>
    <w:rsid w:val="00293890"/>
    <w:rsid w:val="002A3533"/>
    <w:rsid w:val="002A360A"/>
    <w:rsid w:val="002A3E7B"/>
    <w:rsid w:val="002B157E"/>
    <w:rsid w:val="002B4294"/>
    <w:rsid w:val="002C7F38"/>
    <w:rsid w:val="002D388A"/>
    <w:rsid w:val="002E1FDD"/>
    <w:rsid w:val="002F5145"/>
    <w:rsid w:val="002F702A"/>
    <w:rsid w:val="003010FC"/>
    <w:rsid w:val="00301A6F"/>
    <w:rsid w:val="00312976"/>
    <w:rsid w:val="003165B0"/>
    <w:rsid w:val="0032336B"/>
    <w:rsid w:val="00327CB1"/>
    <w:rsid w:val="0033190D"/>
    <w:rsid w:val="0033780D"/>
    <w:rsid w:val="00340650"/>
    <w:rsid w:val="003448BA"/>
    <w:rsid w:val="00345B76"/>
    <w:rsid w:val="00347150"/>
    <w:rsid w:val="0035079F"/>
    <w:rsid w:val="00355CA7"/>
    <w:rsid w:val="00357514"/>
    <w:rsid w:val="00361962"/>
    <w:rsid w:val="003625FB"/>
    <w:rsid w:val="00363319"/>
    <w:rsid w:val="0036407F"/>
    <w:rsid w:val="00366201"/>
    <w:rsid w:val="0037396C"/>
    <w:rsid w:val="00380BA9"/>
    <w:rsid w:val="00381142"/>
    <w:rsid w:val="0038218A"/>
    <w:rsid w:val="00391E3B"/>
    <w:rsid w:val="0039583D"/>
    <w:rsid w:val="003A1131"/>
    <w:rsid w:val="003A1859"/>
    <w:rsid w:val="003A2955"/>
    <w:rsid w:val="003A7C12"/>
    <w:rsid w:val="003B24DD"/>
    <w:rsid w:val="003B2528"/>
    <w:rsid w:val="003B2622"/>
    <w:rsid w:val="003C6793"/>
    <w:rsid w:val="003D71F8"/>
    <w:rsid w:val="003E7D8D"/>
    <w:rsid w:val="003F31CD"/>
    <w:rsid w:val="003F5784"/>
    <w:rsid w:val="003F7F9A"/>
    <w:rsid w:val="00411C1C"/>
    <w:rsid w:val="00412230"/>
    <w:rsid w:val="00412880"/>
    <w:rsid w:val="00432639"/>
    <w:rsid w:val="00440A73"/>
    <w:rsid w:val="00450762"/>
    <w:rsid w:val="0045638E"/>
    <w:rsid w:val="00456A16"/>
    <w:rsid w:val="004753CA"/>
    <w:rsid w:val="00475B45"/>
    <w:rsid w:val="00477759"/>
    <w:rsid w:val="00481A10"/>
    <w:rsid w:val="00484D8A"/>
    <w:rsid w:val="004864A2"/>
    <w:rsid w:val="00497EB8"/>
    <w:rsid w:val="004A5A37"/>
    <w:rsid w:val="004B7477"/>
    <w:rsid w:val="004C5F2E"/>
    <w:rsid w:val="004C630D"/>
    <w:rsid w:val="004E3B70"/>
    <w:rsid w:val="004E4399"/>
    <w:rsid w:val="004E4D64"/>
    <w:rsid w:val="004E60EA"/>
    <w:rsid w:val="004F0AA8"/>
    <w:rsid w:val="004F3BEB"/>
    <w:rsid w:val="004F6812"/>
    <w:rsid w:val="00500AC0"/>
    <w:rsid w:val="00517503"/>
    <w:rsid w:val="00520EA1"/>
    <w:rsid w:val="005267CE"/>
    <w:rsid w:val="00527DA6"/>
    <w:rsid w:val="005301FD"/>
    <w:rsid w:val="0053178D"/>
    <w:rsid w:val="005369D5"/>
    <w:rsid w:val="005403DE"/>
    <w:rsid w:val="005429BF"/>
    <w:rsid w:val="00543254"/>
    <w:rsid w:val="00543F27"/>
    <w:rsid w:val="005469F8"/>
    <w:rsid w:val="005564AB"/>
    <w:rsid w:val="00557951"/>
    <w:rsid w:val="0056010E"/>
    <w:rsid w:val="005618A1"/>
    <w:rsid w:val="0056783D"/>
    <w:rsid w:val="00567B26"/>
    <w:rsid w:val="00584861"/>
    <w:rsid w:val="00584C36"/>
    <w:rsid w:val="00590AA1"/>
    <w:rsid w:val="0059214E"/>
    <w:rsid w:val="005A5697"/>
    <w:rsid w:val="005B38CE"/>
    <w:rsid w:val="005C070E"/>
    <w:rsid w:val="005C1CC0"/>
    <w:rsid w:val="005C3182"/>
    <w:rsid w:val="005C5608"/>
    <w:rsid w:val="005D09BA"/>
    <w:rsid w:val="005E22C3"/>
    <w:rsid w:val="005F2413"/>
    <w:rsid w:val="005F4057"/>
    <w:rsid w:val="00600558"/>
    <w:rsid w:val="00604640"/>
    <w:rsid w:val="006059F0"/>
    <w:rsid w:val="0061386F"/>
    <w:rsid w:val="00614D8D"/>
    <w:rsid w:val="00615B8D"/>
    <w:rsid w:val="006222CB"/>
    <w:rsid w:val="0062733E"/>
    <w:rsid w:val="00627684"/>
    <w:rsid w:val="00632DCF"/>
    <w:rsid w:val="0064287E"/>
    <w:rsid w:val="006565D5"/>
    <w:rsid w:val="00666614"/>
    <w:rsid w:val="00672209"/>
    <w:rsid w:val="00673688"/>
    <w:rsid w:val="00673DBF"/>
    <w:rsid w:val="0067610B"/>
    <w:rsid w:val="00676E2A"/>
    <w:rsid w:val="00681A17"/>
    <w:rsid w:val="00682FF7"/>
    <w:rsid w:val="00683EA2"/>
    <w:rsid w:val="006856BD"/>
    <w:rsid w:val="00686B14"/>
    <w:rsid w:val="006D0B40"/>
    <w:rsid w:val="006D27D1"/>
    <w:rsid w:val="006D6E2F"/>
    <w:rsid w:val="006E0583"/>
    <w:rsid w:val="006F5233"/>
    <w:rsid w:val="0070463D"/>
    <w:rsid w:val="00710F28"/>
    <w:rsid w:val="0071255D"/>
    <w:rsid w:val="00716B45"/>
    <w:rsid w:val="00717D50"/>
    <w:rsid w:val="007254C7"/>
    <w:rsid w:val="007362C9"/>
    <w:rsid w:val="00745D79"/>
    <w:rsid w:val="007509EA"/>
    <w:rsid w:val="0075129C"/>
    <w:rsid w:val="00754495"/>
    <w:rsid w:val="00762DAA"/>
    <w:rsid w:val="00764314"/>
    <w:rsid w:val="0076595F"/>
    <w:rsid w:val="00766124"/>
    <w:rsid w:val="00767634"/>
    <w:rsid w:val="00767F3D"/>
    <w:rsid w:val="00781D18"/>
    <w:rsid w:val="00786549"/>
    <w:rsid w:val="00786F0A"/>
    <w:rsid w:val="007913D1"/>
    <w:rsid w:val="00792C84"/>
    <w:rsid w:val="007944CE"/>
    <w:rsid w:val="00794EB8"/>
    <w:rsid w:val="00796C4D"/>
    <w:rsid w:val="007A047C"/>
    <w:rsid w:val="007A0FD5"/>
    <w:rsid w:val="007A4E51"/>
    <w:rsid w:val="007B4C47"/>
    <w:rsid w:val="007B55B1"/>
    <w:rsid w:val="007B63C6"/>
    <w:rsid w:val="007C13E7"/>
    <w:rsid w:val="007C5995"/>
    <w:rsid w:val="007D5162"/>
    <w:rsid w:val="007D746B"/>
    <w:rsid w:val="007F60B9"/>
    <w:rsid w:val="007F6884"/>
    <w:rsid w:val="007F75BB"/>
    <w:rsid w:val="0080518C"/>
    <w:rsid w:val="0081159E"/>
    <w:rsid w:val="0081546C"/>
    <w:rsid w:val="00817FD5"/>
    <w:rsid w:val="008230F0"/>
    <w:rsid w:val="00823AD1"/>
    <w:rsid w:val="008256E2"/>
    <w:rsid w:val="0082678C"/>
    <w:rsid w:val="0083267B"/>
    <w:rsid w:val="008403D3"/>
    <w:rsid w:val="00845482"/>
    <w:rsid w:val="00861E34"/>
    <w:rsid w:val="00864054"/>
    <w:rsid w:val="00867E24"/>
    <w:rsid w:val="008705C5"/>
    <w:rsid w:val="00872251"/>
    <w:rsid w:val="008741F7"/>
    <w:rsid w:val="00874C5A"/>
    <w:rsid w:val="00880ED9"/>
    <w:rsid w:val="00881991"/>
    <w:rsid w:val="00882480"/>
    <w:rsid w:val="0088700F"/>
    <w:rsid w:val="00890A18"/>
    <w:rsid w:val="00890B47"/>
    <w:rsid w:val="00894799"/>
    <w:rsid w:val="0089668B"/>
    <w:rsid w:val="00897E52"/>
    <w:rsid w:val="008A59E8"/>
    <w:rsid w:val="008A5C9A"/>
    <w:rsid w:val="008A6A87"/>
    <w:rsid w:val="008A7F67"/>
    <w:rsid w:val="008B150B"/>
    <w:rsid w:val="008B5D70"/>
    <w:rsid w:val="008B7664"/>
    <w:rsid w:val="008C30D4"/>
    <w:rsid w:val="008C335C"/>
    <w:rsid w:val="008D1E53"/>
    <w:rsid w:val="008D1ECC"/>
    <w:rsid w:val="008E11EB"/>
    <w:rsid w:val="008F18E5"/>
    <w:rsid w:val="008F201A"/>
    <w:rsid w:val="008F47A2"/>
    <w:rsid w:val="00905CDA"/>
    <w:rsid w:val="009062A9"/>
    <w:rsid w:val="00907352"/>
    <w:rsid w:val="00907CFF"/>
    <w:rsid w:val="00907DF1"/>
    <w:rsid w:val="00913E9F"/>
    <w:rsid w:val="009168A1"/>
    <w:rsid w:val="009172F2"/>
    <w:rsid w:val="0092018C"/>
    <w:rsid w:val="00921C22"/>
    <w:rsid w:val="00926961"/>
    <w:rsid w:val="00926AD2"/>
    <w:rsid w:val="009351D8"/>
    <w:rsid w:val="00935D9F"/>
    <w:rsid w:val="00944AFD"/>
    <w:rsid w:val="00952CF3"/>
    <w:rsid w:val="009606DE"/>
    <w:rsid w:val="00982AAC"/>
    <w:rsid w:val="0099044A"/>
    <w:rsid w:val="00994658"/>
    <w:rsid w:val="00995BFE"/>
    <w:rsid w:val="009A1EFA"/>
    <w:rsid w:val="009A20D0"/>
    <w:rsid w:val="009A22E9"/>
    <w:rsid w:val="009A39E9"/>
    <w:rsid w:val="009C18C5"/>
    <w:rsid w:val="009C2874"/>
    <w:rsid w:val="009C4690"/>
    <w:rsid w:val="009C4FD0"/>
    <w:rsid w:val="009C7505"/>
    <w:rsid w:val="009D4966"/>
    <w:rsid w:val="009D56DB"/>
    <w:rsid w:val="009D7C4C"/>
    <w:rsid w:val="009D7FFB"/>
    <w:rsid w:val="009F2155"/>
    <w:rsid w:val="009F70F5"/>
    <w:rsid w:val="00A04F2D"/>
    <w:rsid w:val="00A2528F"/>
    <w:rsid w:val="00A30225"/>
    <w:rsid w:val="00A3091A"/>
    <w:rsid w:val="00A33641"/>
    <w:rsid w:val="00A37B81"/>
    <w:rsid w:val="00A51524"/>
    <w:rsid w:val="00A52881"/>
    <w:rsid w:val="00A54BC8"/>
    <w:rsid w:val="00A72D7F"/>
    <w:rsid w:val="00A731D8"/>
    <w:rsid w:val="00A750A7"/>
    <w:rsid w:val="00A8258C"/>
    <w:rsid w:val="00A87687"/>
    <w:rsid w:val="00AA29FC"/>
    <w:rsid w:val="00AA7C07"/>
    <w:rsid w:val="00AC21A5"/>
    <w:rsid w:val="00AD1DBD"/>
    <w:rsid w:val="00AE0CF5"/>
    <w:rsid w:val="00AE41E8"/>
    <w:rsid w:val="00AE780B"/>
    <w:rsid w:val="00AF0688"/>
    <w:rsid w:val="00B04FD5"/>
    <w:rsid w:val="00B11CE4"/>
    <w:rsid w:val="00B2411F"/>
    <w:rsid w:val="00B26166"/>
    <w:rsid w:val="00B26FFF"/>
    <w:rsid w:val="00B33A42"/>
    <w:rsid w:val="00B3617B"/>
    <w:rsid w:val="00B4275F"/>
    <w:rsid w:val="00B47197"/>
    <w:rsid w:val="00B474A4"/>
    <w:rsid w:val="00B51A0A"/>
    <w:rsid w:val="00B631E4"/>
    <w:rsid w:val="00B705A4"/>
    <w:rsid w:val="00B76251"/>
    <w:rsid w:val="00B76801"/>
    <w:rsid w:val="00B77056"/>
    <w:rsid w:val="00B80525"/>
    <w:rsid w:val="00B853F9"/>
    <w:rsid w:val="00B93982"/>
    <w:rsid w:val="00B94DC7"/>
    <w:rsid w:val="00B97325"/>
    <w:rsid w:val="00BA1187"/>
    <w:rsid w:val="00BA247D"/>
    <w:rsid w:val="00BA3AC1"/>
    <w:rsid w:val="00BA57E8"/>
    <w:rsid w:val="00BB09D1"/>
    <w:rsid w:val="00BB0DC6"/>
    <w:rsid w:val="00BB2194"/>
    <w:rsid w:val="00BB4C17"/>
    <w:rsid w:val="00BB7F52"/>
    <w:rsid w:val="00BC05DC"/>
    <w:rsid w:val="00BC359F"/>
    <w:rsid w:val="00BC7E0D"/>
    <w:rsid w:val="00BD0159"/>
    <w:rsid w:val="00BD294B"/>
    <w:rsid w:val="00BD56AF"/>
    <w:rsid w:val="00BE175F"/>
    <w:rsid w:val="00BE433A"/>
    <w:rsid w:val="00BE5209"/>
    <w:rsid w:val="00BE7610"/>
    <w:rsid w:val="00BF1348"/>
    <w:rsid w:val="00BF389A"/>
    <w:rsid w:val="00C06A1F"/>
    <w:rsid w:val="00C200AB"/>
    <w:rsid w:val="00C20AAF"/>
    <w:rsid w:val="00C35837"/>
    <w:rsid w:val="00C375B7"/>
    <w:rsid w:val="00C40097"/>
    <w:rsid w:val="00C41FCF"/>
    <w:rsid w:val="00C44D52"/>
    <w:rsid w:val="00C46022"/>
    <w:rsid w:val="00C47D4F"/>
    <w:rsid w:val="00C515A5"/>
    <w:rsid w:val="00C55461"/>
    <w:rsid w:val="00C56ACD"/>
    <w:rsid w:val="00C577DD"/>
    <w:rsid w:val="00C57D65"/>
    <w:rsid w:val="00C64505"/>
    <w:rsid w:val="00C73A49"/>
    <w:rsid w:val="00C7471A"/>
    <w:rsid w:val="00C812FA"/>
    <w:rsid w:val="00C84C3D"/>
    <w:rsid w:val="00C85E4E"/>
    <w:rsid w:val="00C9433A"/>
    <w:rsid w:val="00C96659"/>
    <w:rsid w:val="00C972A5"/>
    <w:rsid w:val="00C979BC"/>
    <w:rsid w:val="00C97C72"/>
    <w:rsid w:val="00CA6DA6"/>
    <w:rsid w:val="00CB439F"/>
    <w:rsid w:val="00CB56F9"/>
    <w:rsid w:val="00CB5D51"/>
    <w:rsid w:val="00CB7161"/>
    <w:rsid w:val="00CC53A3"/>
    <w:rsid w:val="00CC5D37"/>
    <w:rsid w:val="00CD103F"/>
    <w:rsid w:val="00CF6058"/>
    <w:rsid w:val="00CF7E33"/>
    <w:rsid w:val="00D0059D"/>
    <w:rsid w:val="00D07ADB"/>
    <w:rsid w:val="00D11242"/>
    <w:rsid w:val="00D153D4"/>
    <w:rsid w:val="00D26D9F"/>
    <w:rsid w:val="00D27667"/>
    <w:rsid w:val="00D31771"/>
    <w:rsid w:val="00D32D9B"/>
    <w:rsid w:val="00D45E2E"/>
    <w:rsid w:val="00D570BE"/>
    <w:rsid w:val="00D62BDD"/>
    <w:rsid w:val="00D6472F"/>
    <w:rsid w:val="00D72EBD"/>
    <w:rsid w:val="00D743E1"/>
    <w:rsid w:val="00D75117"/>
    <w:rsid w:val="00D8195A"/>
    <w:rsid w:val="00D8575A"/>
    <w:rsid w:val="00D93056"/>
    <w:rsid w:val="00DA0C02"/>
    <w:rsid w:val="00DA1571"/>
    <w:rsid w:val="00DA3FC4"/>
    <w:rsid w:val="00DA704F"/>
    <w:rsid w:val="00DB2D26"/>
    <w:rsid w:val="00DC2657"/>
    <w:rsid w:val="00DC35B8"/>
    <w:rsid w:val="00DC4714"/>
    <w:rsid w:val="00DC471D"/>
    <w:rsid w:val="00DC69B0"/>
    <w:rsid w:val="00DD2632"/>
    <w:rsid w:val="00DD4A57"/>
    <w:rsid w:val="00DE6709"/>
    <w:rsid w:val="00DF5220"/>
    <w:rsid w:val="00E0361F"/>
    <w:rsid w:val="00E0759E"/>
    <w:rsid w:val="00E13A1B"/>
    <w:rsid w:val="00E16940"/>
    <w:rsid w:val="00E26F27"/>
    <w:rsid w:val="00E325BC"/>
    <w:rsid w:val="00E419AB"/>
    <w:rsid w:val="00E5496A"/>
    <w:rsid w:val="00E56495"/>
    <w:rsid w:val="00E614AF"/>
    <w:rsid w:val="00E93EF6"/>
    <w:rsid w:val="00EA014C"/>
    <w:rsid w:val="00EA3496"/>
    <w:rsid w:val="00EA4EDC"/>
    <w:rsid w:val="00EA5594"/>
    <w:rsid w:val="00EB4DB1"/>
    <w:rsid w:val="00EC3C91"/>
    <w:rsid w:val="00ED06E1"/>
    <w:rsid w:val="00ED11C0"/>
    <w:rsid w:val="00ED1E2A"/>
    <w:rsid w:val="00ED568A"/>
    <w:rsid w:val="00EE2FD7"/>
    <w:rsid w:val="00EE46A4"/>
    <w:rsid w:val="00EF26A1"/>
    <w:rsid w:val="00F17E20"/>
    <w:rsid w:val="00F216EE"/>
    <w:rsid w:val="00F26F23"/>
    <w:rsid w:val="00F4098B"/>
    <w:rsid w:val="00F50B8C"/>
    <w:rsid w:val="00F51A4E"/>
    <w:rsid w:val="00F543B0"/>
    <w:rsid w:val="00F56545"/>
    <w:rsid w:val="00F6098A"/>
    <w:rsid w:val="00F6670A"/>
    <w:rsid w:val="00F66913"/>
    <w:rsid w:val="00F751EC"/>
    <w:rsid w:val="00F77A49"/>
    <w:rsid w:val="00F81CD8"/>
    <w:rsid w:val="00F94E34"/>
    <w:rsid w:val="00F95337"/>
    <w:rsid w:val="00FA4D60"/>
    <w:rsid w:val="00FA4EF4"/>
    <w:rsid w:val="00FB2BBC"/>
    <w:rsid w:val="00FB777C"/>
    <w:rsid w:val="00FC1C02"/>
    <w:rsid w:val="00FC2BA9"/>
    <w:rsid w:val="00FC7236"/>
    <w:rsid w:val="00FC7865"/>
    <w:rsid w:val="00FD2D5A"/>
    <w:rsid w:val="00FE22BE"/>
    <w:rsid w:val="00FE31C5"/>
    <w:rsid w:val="00FE7D2C"/>
    <w:rsid w:val="00FF06F0"/>
    <w:rsid w:val="00FF6FC6"/>
    <w:rsid w:val="00FF7556"/>
    <w:rsid w:val="011F366B"/>
    <w:rsid w:val="01402D51"/>
    <w:rsid w:val="018E309C"/>
    <w:rsid w:val="01964270"/>
    <w:rsid w:val="01C73AFE"/>
    <w:rsid w:val="01C8325B"/>
    <w:rsid w:val="01E807FB"/>
    <w:rsid w:val="02110778"/>
    <w:rsid w:val="028608FF"/>
    <w:rsid w:val="02870FDB"/>
    <w:rsid w:val="0304783B"/>
    <w:rsid w:val="035B66F8"/>
    <w:rsid w:val="03613CE2"/>
    <w:rsid w:val="03752762"/>
    <w:rsid w:val="03D074C4"/>
    <w:rsid w:val="04504E8A"/>
    <w:rsid w:val="048A1C7E"/>
    <w:rsid w:val="049E173A"/>
    <w:rsid w:val="04CB26B7"/>
    <w:rsid w:val="050F53AB"/>
    <w:rsid w:val="053B3B1E"/>
    <w:rsid w:val="05784549"/>
    <w:rsid w:val="05A30F1F"/>
    <w:rsid w:val="05AD47C7"/>
    <w:rsid w:val="05CD222A"/>
    <w:rsid w:val="0615055A"/>
    <w:rsid w:val="0631588F"/>
    <w:rsid w:val="065E0261"/>
    <w:rsid w:val="06AD1B15"/>
    <w:rsid w:val="06C47B27"/>
    <w:rsid w:val="06EA49B3"/>
    <w:rsid w:val="0701100C"/>
    <w:rsid w:val="071A63DD"/>
    <w:rsid w:val="07A65E36"/>
    <w:rsid w:val="07C76C81"/>
    <w:rsid w:val="08052CF5"/>
    <w:rsid w:val="08557673"/>
    <w:rsid w:val="08801C8E"/>
    <w:rsid w:val="08F207F5"/>
    <w:rsid w:val="09786D05"/>
    <w:rsid w:val="098866B2"/>
    <w:rsid w:val="0A4E70F2"/>
    <w:rsid w:val="0A8C64DD"/>
    <w:rsid w:val="0B3B1B5A"/>
    <w:rsid w:val="0B446AEB"/>
    <w:rsid w:val="0B78117E"/>
    <w:rsid w:val="0B963AEC"/>
    <w:rsid w:val="0BA75DF7"/>
    <w:rsid w:val="0BCC0530"/>
    <w:rsid w:val="0BE24F81"/>
    <w:rsid w:val="0BF3082B"/>
    <w:rsid w:val="0C8135F0"/>
    <w:rsid w:val="0CC340C9"/>
    <w:rsid w:val="0D002EE5"/>
    <w:rsid w:val="0D0E60B6"/>
    <w:rsid w:val="0D347631"/>
    <w:rsid w:val="0D485DCB"/>
    <w:rsid w:val="0D705350"/>
    <w:rsid w:val="0D8A4B9A"/>
    <w:rsid w:val="0DA97047"/>
    <w:rsid w:val="0DBB0E9B"/>
    <w:rsid w:val="0DBE0943"/>
    <w:rsid w:val="0E0A12DA"/>
    <w:rsid w:val="0E3C619F"/>
    <w:rsid w:val="0E3D165C"/>
    <w:rsid w:val="0E592D56"/>
    <w:rsid w:val="0E7D10EA"/>
    <w:rsid w:val="0E7E3DF2"/>
    <w:rsid w:val="0E8404DC"/>
    <w:rsid w:val="0E9814F3"/>
    <w:rsid w:val="0E9E29B6"/>
    <w:rsid w:val="0EB75C42"/>
    <w:rsid w:val="0F3F5F47"/>
    <w:rsid w:val="0F4946D0"/>
    <w:rsid w:val="0F64775C"/>
    <w:rsid w:val="0F7F4595"/>
    <w:rsid w:val="0F8842B3"/>
    <w:rsid w:val="0F9C342C"/>
    <w:rsid w:val="10000AFE"/>
    <w:rsid w:val="100113A0"/>
    <w:rsid w:val="105C5FAD"/>
    <w:rsid w:val="10831E63"/>
    <w:rsid w:val="10E912B5"/>
    <w:rsid w:val="10F01560"/>
    <w:rsid w:val="10F16C99"/>
    <w:rsid w:val="11522D6E"/>
    <w:rsid w:val="117E41A1"/>
    <w:rsid w:val="118C2F9A"/>
    <w:rsid w:val="11CD37C5"/>
    <w:rsid w:val="12016952"/>
    <w:rsid w:val="121C431D"/>
    <w:rsid w:val="12216CBE"/>
    <w:rsid w:val="122E75DC"/>
    <w:rsid w:val="128A572B"/>
    <w:rsid w:val="12A823F7"/>
    <w:rsid w:val="12E3308D"/>
    <w:rsid w:val="137837D5"/>
    <w:rsid w:val="138F6E9A"/>
    <w:rsid w:val="13FC3671"/>
    <w:rsid w:val="14030828"/>
    <w:rsid w:val="14101C60"/>
    <w:rsid w:val="142627B9"/>
    <w:rsid w:val="144B0EEA"/>
    <w:rsid w:val="14595AAE"/>
    <w:rsid w:val="148B33F0"/>
    <w:rsid w:val="14D1069C"/>
    <w:rsid w:val="14D262DB"/>
    <w:rsid w:val="15381D54"/>
    <w:rsid w:val="153834E1"/>
    <w:rsid w:val="15A76263"/>
    <w:rsid w:val="15AB1A68"/>
    <w:rsid w:val="15B30581"/>
    <w:rsid w:val="160716EE"/>
    <w:rsid w:val="16184DFC"/>
    <w:rsid w:val="163C514D"/>
    <w:rsid w:val="164F7C62"/>
    <w:rsid w:val="168115CC"/>
    <w:rsid w:val="168B0E6E"/>
    <w:rsid w:val="16E53CCF"/>
    <w:rsid w:val="17193BE1"/>
    <w:rsid w:val="174D35A1"/>
    <w:rsid w:val="177054EB"/>
    <w:rsid w:val="17C34EC0"/>
    <w:rsid w:val="18045DBA"/>
    <w:rsid w:val="185D2F9A"/>
    <w:rsid w:val="188D4B03"/>
    <w:rsid w:val="189972E0"/>
    <w:rsid w:val="18A60DE5"/>
    <w:rsid w:val="18A74401"/>
    <w:rsid w:val="18E16944"/>
    <w:rsid w:val="190C4763"/>
    <w:rsid w:val="19254ADE"/>
    <w:rsid w:val="194B1064"/>
    <w:rsid w:val="19A86E39"/>
    <w:rsid w:val="19FF69FF"/>
    <w:rsid w:val="1A527884"/>
    <w:rsid w:val="1A5B1819"/>
    <w:rsid w:val="1A7647E7"/>
    <w:rsid w:val="1AB76F41"/>
    <w:rsid w:val="1AD2658C"/>
    <w:rsid w:val="1ADB5522"/>
    <w:rsid w:val="1B1C6FAE"/>
    <w:rsid w:val="1B1F6493"/>
    <w:rsid w:val="1B4920E9"/>
    <w:rsid w:val="1B835638"/>
    <w:rsid w:val="1B9E0D05"/>
    <w:rsid w:val="1BC91424"/>
    <w:rsid w:val="1BD623CA"/>
    <w:rsid w:val="1CC7608C"/>
    <w:rsid w:val="1CFE2A48"/>
    <w:rsid w:val="1D90300A"/>
    <w:rsid w:val="1D961630"/>
    <w:rsid w:val="1DA37704"/>
    <w:rsid w:val="1DBD047F"/>
    <w:rsid w:val="1E215C85"/>
    <w:rsid w:val="1E715E08"/>
    <w:rsid w:val="1E960ADB"/>
    <w:rsid w:val="1EA47B74"/>
    <w:rsid w:val="1EBB4305"/>
    <w:rsid w:val="1EE91A2B"/>
    <w:rsid w:val="1F550C60"/>
    <w:rsid w:val="1FFE150D"/>
    <w:rsid w:val="201F0EF2"/>
    <w:rsid w:val="20AB317A"/>
    <w:rsid w:val="20CB45B3"/>
    <w:rsid w:val="20D67D8D"/>
    <w:rsid w:val="2197751D"/>
    <w:rsid w:val="223855F6"/>
    <w:rsid w:val="239E7BE9"/>
    <w:rsid w:val="23E80038"/>
    <w:rsid w:val="23FB45A4"/>
    <w:rsid w:val="24A361D8"/>
    <w:rsid w:val="24C62875"/>
    <w:rsid w:val="2512309D"/>
    <w:rsid w:val="25421884"/>
    <w:rsid w:val="255F47F5"/>
    <w:rsid w:val="257218E3"/>
    <w:rsid w:val="26075791"/>
    <w:rsid w:val="261B0589"/>
    <w:rsid w:val="264753F0"/>
    <w:rsid w:val="269009DE"/>
    <w:rsid w:val="26E529CE"/>
    <w:rsid w:val="26F30E58"/>
    <w:rsid w:val="26F5590F"/>
    <w:rsid w:val="2727306B"/>
    <w:rsid w:val="2753038A"/>
    <w:rsid w:val="27587896"/>
    <w:rsid w:val="27706CBD"/>
    <w:rsid w:val="27A54C6F"/>
    <w:rsid w:val="27B36CF2"/>
    <w:rsid w:val="27DA623C"/>
    <w:rsid w:val="282C1D95"/>
    <w:rsid w:val="2877726A"/>
    <w:rsid w:val="28C57B77"/>
    <w:rsid w:val="28FE2577"/>
    <w:rsid w:val="28FF6580"/>
    <w:rsid w:val="298F1421"/>
    <w:rsid w:val="29A46FED"/>
    <w:rsid w:val="29B04DA9"/>
    <w:rsid w:val="29CC61D1"/>
    <w:rsid w:val="29F80D74"/>
    <w:rsid w:val="2A1717D7"/>
    <w:rsid w:val="2A447D2C"/>
    <w:rsid w:val="2AB05B2A"/>
    <w:rsid w:val="2AE46E13"/>
    <w:rsid w:val="2B67340F"/>
    <w:rsid w:val="2BF678DA"/>
    <w:rsid w:val="2C153E60"/>
    <w:rsid w:val="2C610D7D"/>
    <w:rsid w:val="2C6B447F"/>
    <w:rsid w:val="2C7F577D"/>
    <w:rsid w:val="2CC63841"/>
    <w:rsid w:val="2CD4195C"/>
    <w:rsid w:val="2D0A42BF"/>
    <w:rsid w:val="2D256324"/>
    <w:rsid w:val="2D595FCE"/>
    <w:rsid w:val="2D5A67F6"/>
    <w:rsid w:val="2DD969E5"/>
    <w:rsid w:val="2DF7117E"/>
    <w:rsid w:val="2E03610C"/>
    <w:rsid w:val="2E5909DA"/>
    <w:rsid w:val="2E6171BA"/>
    <w:rsid w:val="2EDD4D30"/>
    <w:rsid w:val="2EE06191"/>
    <w:rsid w:val="2EF91839"/>
    <w:rsid w:val="2F0E16ED"/>
    <w:rsid w:val="2F3E191F"/>
    <w:rsid w:val="2F626709"/>
    <w:rsid w:val="2F684BD8"/>
    <w:rsid w:val="30185CCC"/>
    <w:rsid w:val="30674E78"/>
    <w:rsid w:val="30784F0B"/>
    <w:rsid w:val="307A2C8C"/>
    <w:rsid w:val="30AF0B42"/>
    <w:rsid w:val="30FE1366"/>
    <w:rsid w:val="310D15A9"/>
    <w:rsid w:val="311B0CF4"/>
    <w:rsid w:val="31427BBE"/>
    <w:rsid w:val="314447E7"/>
    <w:rsid w:val="31524CF8"/>
    <w:rsid w:val="319A1CC9"/>
    <w:rsid w:val="31B53E57"/>
    <w:rsid w:val="31F91D11"/>
    <w:rsid w:val="322F6DE6"/>
    <w:rsid w:val="32AC3AF6"/>
    <w:rsid w:val="32AF5BAB"/>
    <w:rsid w:val="32F5704F"/>
    <w:rsid w:val="33077137"/>
    <w:rsid w:val="330D6A25"/>
    <w:rsid w:val="33692F8A"/>
    <w:rsid w:val="33C41711"/>
    <w:rsid w:val="33E01835"/>
    <w:rsid w:val="34000EC8"/>
    <w:rsid w:val="34365265"/>
    <w:rsid w:val="34731F7E"/>
    <w:rsid w:val="347859F6"/>
    <w:rsid w:val="34B12388"/>
    <w:rsid w:val="34C04878"/>
    <w:rsid w:val="34F00AAD"/>
    <w:rsid w:val="34FB70AD"/>
    <w:rsid w:val="3552504E"/>
    <w:rsid w:val="35BF0FB7"/>
    <w:rsid w:val="35CA01F3"/>
    <w:rsid w:val="35F44AE6"/>
    <w:rsid w:val="3600556A"/>
    <w:rsid w:val="3609632F"/>
    <w:rsid w:val="36381F00"/>
    <w:rsid w:val="364F4280"/>
    <w:rsid w:val="367E562E"/>
    <w:rsid w:val="36897924"/>
    <w:rsid w:val="368D51BC"/>
    <w:rsid w:val="369723FD"/>
    <w:rsid w:val="36BE1CFB"/>
    <w:rsid w:val="36F12E1A"/>
    <w:rsid w:val="3704505B"/>
    <w:rsid w:val="37273501"/>
    <w:rsid w:val="372B5C82"/>
    <w:rsid w:val="37BB6477"/>
    <w:rsid w:val="38170461"/>
    <w:rsid w:val="38653A79"/>
    <w:rsid w:val="38C51378"/>
    <w:rsid w:val="38E42F75"/>
    <w:rsid w:val="38F06382"/>
    <w:rsid w:val="39033292"/>
    <w:rsid w:val="39267C56"/>
    <w:rsid w:val="3975218C"/>
    <w:rsid w:val="39C271AC"/>
    <w:rsid w:val="3A315113"/>
    <w:rsid w:val="3A7A352D"/>
    <w:rsid w:val="3A8E0086"/>
    <w:rsid w:val="3AD971AA"/>
    <w:rsid w:val="3B143534"/>
    <w:rsid w:val="3B35724B"/>
    <w:rsid w:val="3B545028"/>
    <w:rsid w:val="3B586573"/>
    <w:rsid w:val="3B6411B5"/>
    <w:rsid w:val="3B693F8A"/>
    <w:rsid w:val="3B6D240D"/>
    <w:rsid w:val="3BDB0795"/>
    <w:rsid w:val="3BDD217E"/>
    <w:rsid w:val="3C1E17FF"/>
    <w:rsid w:val="3C56537A"/>
    <w:rsid w:val="3CA93776"/>
    <w:rsid w:val="3CBD1660"/>
    <w:rsid w:val="3CC33464"/>
    <w:rsid w:val="3CEC130A"/>
    <w:rsid w:val="3CF96C18"/>
    <w:rsid w:val="3D0A4789"/>
    <w:rsid w:val="3D272C20"/>
    <w:rsid w:val="3E025B71"/>
    <w:rsid w:val="3E246404"/>
    <w:rsid w:val="3E256174"/>
    <w:rsid w:val="3E3C7FE6"/>
    <w:rsid w:val="3E711E08"/>
    <w:rsid w:val="3E8A4E08"/>
    <w:rsid w:val="3EAF3825"/>
    <w:rsid w:val="3ED010C6"/>
    <w:rsid w:val="3F3A12AC"/>
    <w:rsid w:val="3F6C39A3"/>
    <w:rsid w:val="3FAE0274"/>
    <w:rsid w:val="3FC258B5"/>
    <w:rsid w:val="40857B6C"/>
    <w:rsid w:val="40862CE1"/>
    <w:rsid w:val="40A1586A"/>
    <w:rsid w:val="40BC4452"/>
    <w:rsid w:val="40C23686"/>
    <w:rsid w:val="40DF02BF"/>
    <w:rsid w:val="41171415"/>
    <w:rsid w:val="411D4CA8"/>
    <w:rsid w:val="421050CC"/>
    <w:rsid w:val="428B4A24"/>
    <w:rsid w:val="42A914FE"/>
    <w:rsid w:val="430009BE"/>
    <w:rsid w:val="4387343D"/>
    <w:rsid w:val="43AA127F"/>
    <w:rsid w:val="43B17975"/>
    <w:rsid w:val="43B72B11"/>
    <w:rsid w:val="449B7D7B"/>
    <w:rsid w:val="44A13802"/>
    <w:rsid w:val="44DC3089"/>
    <w:rsid w:val="45576B21"/>
    <w:rsid w:val="45696E94"/>
    <w:rsid w:val="457D21A8"/>
    <w:rsid w:val="45855719"/>
    <w:rsid w:val="46041880"/>
    <w:rsid w:val="462C5BD6"/>
    <w:rsid w:val="46487947"/>
    <w:rsid w:val="46713250"/>
    <w:rsid w:val="46D617DC"/>
    <w:rsid w:val="473F0C67"/>
    <w:rsid w:val="479B74B7"/>
    <w:rsid w:val="47A345BE"/>
    <w:rsid w:val="4808378E"/>
    <w:rsid w:val="484B3897"/>
    <w:rsid w:val="48562C83"/>
    <w:rsid w:val="48922D43"/>
    <w:rsid w:val="489D722A"/>
    <w:rsid w:val="48A41D26"/>
    <w:rsid w:val="48EB32B7"/>
    <w:rsid w:val="48EE358C"/>
    <w:rsid w:val="48F3391A"/>
    <w:rsid w:val="48FC1188"/>
    <w:rsid w:val="491D5CAA"/>
    <w:rsid w:val="49325BF9"/>
    <w:rsid w:val="49624F30"/>
    <w:rsid w:val="49B06A66"/>
    <w:rsid w:val="49B93C25"/>
    <w:rsid w:val="4A21438D"/>
    <w:rsid w:val="4A2D6956"/>
    <w:rsid w:val="4A4E6A63"/>
    <w:rsid w:val="4A510664"/>
    <w:rsid w:val="4A546F2F"/>
    <w:rsid w:val="4AA76173"/>
    <w:rsid w:val="4ABF03EA"/>
    <w:rsid w:val="4AC97E97"/>
    <w:rsid w:val="4AF26AD7"/>
    <w:rsid w:val="4B123A0B"/>
    <w:rsid w:val="4B6F1570"/>
    <w:rsid w:val="4BC468B1"/>
    <w:rsid w:val="4C107D48"/>
    <w:rsid w:val="4C59524B"/>
    <w:rsid w:val="4CAD5396"/>
    <w:rsid w:val="4CC648E3"/>
    <w:rsid w:val="4D0B499C"/>
    <w:rsid w:val="4D237560"/>
    <w:rsid w:val="4D8266C5"/>
    <w:rsid w:val="4E1C5B68"/>
    <w:rsid w:val="4E5A0392"/>
    <w:rsid w:val="4E7A6052"/>
    <w:rsid w:val="4E7C5CF7"/>
    <w:rsid w:val="4EA6348E"/>
    <w:rsid w:val="4ED14FA5"/>
    <w:rsid w:val="4EE320C5"/>
    <w:rsid w:val="4EF85004"/>
    <w:rsid w:val="4F390BD3"/>
    <w:rsid w:val="4FD24D0F"/>
    <w:rsid w:val="505A1BFD"/>
    <w:rsid w:val="50600B1D"/>
    <w:rsid w:val="50831B91"/>
    <w:rsid w:val="509749B5"/>
    <w:rsid w:val="50C9060B"/>
    <w:rsid w:val="50FE0AB7"/>
    <w:rsid w:val="51082D12"/>
    <w:rsid w:val="511C2A69"/>
    <w:rsid w:val="516B526B"/>
    <w:rsid w:val="51DB0B6F"/>
    <w:rsid w:val="51EC0D9B"/>
    <w:rsid w:val="52591BFD"/>
    <w:rsid w:val="52831274"/>
    <w:rsid w:val="52B72CCB"/>
    <w:rsid w:val="52D63FE7"/>
    <w:rsid w:val="52F57CA6"/>
    <w:rsid w:val="5328098C"/>
    <w:rsid w:val="53486019"/>
    <w:rsid w:val="53490A09"/>
    <w:rsid w:val="53977049"/>
    <w:rsid w:val="53BA1121"/>
    <w:rsid w:val="53C943B4"/>
    <w:rsid w:val="53EE32EC"/>
    <w:rsid w:val="548E3F00"/>
    <w:rsid w:val="54DF41C9"/>
    <w:rsid w:val="55071018"/>
    <w:rsid w:val="554271C4"/>
    <w:rsid w:val="5632548A"/>
    <w:rsid w:val="56497B49"/>
    <w:rsid w:val="56BF5960"/>
    <w:rsid w:val="56C241C3"/>
    <w:rsid w:val="56DB28F3"/>
    <w:rsid w:val="56DD097A"/>
    <w:rsid w:val="57135CED"/>
    <w:rsid w:val="571A4386"/>
    <w:rsid w:val="572979C2"/>
    <w:rsid w:val="576D4F71"/>
    <w:rsid w:val="57770C7B"/>
    <w:rsid w:val="57B04F9B"/>
    <w:rsid w:val="582B04F4"/>
    <w:rsid w:val="5857245C"/>
    <w:rsid w:val="585C67EF"/>
    <w:rsid w:val="58661700"/>
    <w:rsid w:val="58902B2E"/>
    <w:rsid w:val="5890618B"/>
    <w:rsid w:val="59105754"/>
    <w:rsid w:val="59127B54"/>
    <w:rsid w:val="591C2680"/>
    <w:rsid w:val="596834AC"/>
    <w:rsid w:val="59E03BB5"/>
    <w:rsid w:val="59F674F1"/>
    <w:rsid w:val="59FD62DE"/>
    <w:rsid w:val="5A07295D"/>
    <w:rsid w:val="5AAB47A4"/>
    <w:rsid w:val="5AC64CA7"/>
    <w:rsid w:val="5B5C4D58"/>
    <w:rsid w:val="5B7338CD"/>
    <w:rsid w:val="5B7B2F9F"/>
    <w:rsid w:val="5BF57C3B"/>
    <w:rsid w:val="5C1A592C"/>
    <w:rsid w:val="5C1F0D29"/>
    <w:rsid w:val="5C5E6E2F"/>
    <w:rsid w:val="5C5F7F06"/>
    <w:rsid w:val="5C9B19FD"/>
    <w:rsid w:val="5D133864"/>
    <w:rsid w:val="5D8B63DD"/>
    <w:rsid w:val="5DF062A8"/>
    <w:rsid w:val="5E005E6E"/>
    <w:rsid w:val="5E1339CC"/>
    <w:rsid w:val="5E4D2736"/>
    <w:rsid w:val="5E4F2952"/>
    <w:rsid w:val="5E7F1E10"/>
    <w:rsid w:val="5EAC3813"/>
    <w:rsid w:val="5EB83EC4"/>
    <w:rsid w:val="5EEA7A89"/>
    <w:rsid w:val="5F206BAE"/>
    <w:rsid w:val="5F2C2948"/>
    <w:rsid w:val="5F7408B4"/>
    <w:rsid w:val="5F9F6D1A"/>
    <w:rsid w:val="5FC4574E"/>
    <w:rsid w:val="608A3672"/>
    <w:rsid w:val="60914018"/>
    <w:rsid w:val="609B59DA"/>
    <w:rsid w:val="60A95FA7"/>
    <w:rsid w:val="60BB4A24"/>
    <w:rsid w:val="611507A1"/>
    <w:rsid w:val="61316435"/>
    <w:rsid w:val="61464B17"/>
    <w:rsid w:val="616C3D15"/>
    <w:rsid w:val="61954B1F"/>
    <w:rsid w:val="619A2136"/>
    <w:rsid w:val="61EE3664"/>
    <w:rsid w:val="621B22F2"/>
    <w:rsid w:val="627B5AC3"/>
    <w:rsid w:val="628C29ED"/>
    <w:rsid w:val="6378687F"/>
    <w:rsid w:val="640C74E9"/>
    <w:rsid w:val="642108EC"/>
    <w:rsid w:val="645D61D6"/>
    <w:rsid w:val="64765808"/>
    <w:rsid w:val="64A070C0"/>
    <w:rsid w:val="64D60EB1"/>
    <w:rsid w:val="64DE2339"/>
    <w:rsid w:val="651359A8"/>
    <w:rsid w:val="65217C1B"/>
    <w:rsid w:val="65501D46"/>
    <w:rsid w:val="658F2657"/>
    <w:rsid w:val="659B0BD9"/>
    <w:rsid w:val="65CA2FE0"/>
    <w:rsid w:val="65EB7404"/>
    <w:rsid w:val="663C5C2C"/>
    <w:rsid w:val="66E46117"/>
    <w:rsid w:val="66F92166"/>
    <w:rsid w:val="67185EBD"/>
    <w:rsid w:val="6780592A"/>
    <w:rsid w:val="67A01438"/>
    <w:rsid w:val="684A230B"/>
    <w:rsid w:val="68923B67"/>
    <w:rsid w:val="68DF716D"/>
    <w:rsid w:val="68E36FFD"/>
    <w:rsid w:val="69201173"/>
    <w:rsid w:val="6942733B"/>
    <w:rsid w:val="6A133F2B"/>
    <w:rsid w:val="6A57516F"/>
    <w:rsid w:val="6A646F73"/>
    <w:rsid w:val="6AC35A8C"/>
    <w:rsid w:val="6AE32E8B"/>
    <w:rsid w:val="6AEC4144"/>
    <w:rsid w:val="6B630F29"/>
    <w:rsid w:val="6B8C146E"/>
    <w:rsid w:val="6B8D6F88"/>
    <w:rsid w:val="6BAD39EA"/>
    <w:rsid w:val="6BB73E24"/>
    <w:rsid w:val="6BC830C9"/>
    <w:rsid w:val="6C0076FE"/>
    <w:rsid w:val="6C653E35"/>
    <w:rsid w:val="6C6E666B"/>
    <w:rsid w:val="6CA72163"/>
    <w:rsid w:val="6D2F64C7"/>
    <w:rsid w:val="6D4D63E2"/>
    <w:rsid w:val="6D582E02"/>
    <w:rsid w:val="6E492CE4"/>
    <w:rsid w:val="6E6C520E"/>
    <w:rsid w:val="6E7270D2"/>
    <w:rsid w:val="6EA410E6"/>
    <w:rsid w:val="6EA940F3"/>
    <w:rsid w:val="6F67421D"/>
    <w:rsid w:val="6F903864"/>
    <w:rsid w:val="6F9A02D2"/>
    <w:rsid w:val="6FAE3232"/>
    <w:rsid w:val="6FCA62DC"/>
    <w:rsid w:val="6FF64DE2"/>
    <w:rsid w:val="70232909"/>
    <w:rsid w:val="702E27B7"/>
    <w:rsid w:val="70932B72"/>
    <w:rsid w:val="70CF71A1"/>
    <w:rsid w:val="71111CA4"/>
    <w:rsid w:val="711C1149"/>
    <w:rsid w:val="71235CBD"/>
    <w:rsid w:val="71460109"/>
    <w:rsid w:val="717E737E"/>
    <w:rsid w:val="71AA2491"/>
    <w:rsid w:val="71DE7E1D"/>
    <w:rsid w:val="72294C12"/>
    <w:rsid w:val="723B6CEF"/>
    <w:rsid w:val="72BA6194"/>
    <w:rsid w:val="72D3384E"/>
    <w:rsid w:val="72D82B47"/>
    <w:rsid w:val="731421C6"/>
    <w:rsid w:val="73634A7D"/>
    <w:rsid w:val="737F38AD"/>
    <w:rsid w:val="73867968"/>
    <w:rsid w:val="738B5E60"/>
    <w:rsid w:val="738D7834"/>
    <w:rsid w:val="73970283"/>
    <w:rsid w:val="739C1D3D"/>
    <w:rsid w:val="73D5594F"/>
    <w:rsid w:val="73DC3339"/>
    <w:rsid w:val="73EA283C"/>
    <w:rsid w:val="73EC2FAF"/>
    <w:rsid w:val="746C7A2D"/>
    <w:rsid w:val="75280ACF"/>
    <w:rsid w:val="757656C2"/>
    <w:rsid w:val="75C41A82"/>
    <w:rsid w:val="761F1D47"/>
    <w:rsid w:val="76340E3F"/>
    <w:rsid w:val="76403704"/>
    <w:rsid w:val="76446EE6"/>
    <w:rsid w:val="764D1DB4"/>
    <w:rsid w:val="76753A2A"/>
    <w:rsid w:val="768A744B"/>
    <w:rsid w:val="769D790F"/>
    <w:rsid w:val="76CE4CCE"/>
    <w:rsid w:val="7758288A"/>
    <w:rsid w:val="776D06B7"/>
    <w:rsid w:val="77AF7E8E"/>
    <w:rsid w:val="77B40166"/>
    <w:rsid w:val="77C20938"/>
    <w:rsid w:val="77C55584"/>
    <w:rsid w:val="77D03B81"/>
    <w:rsid w:val="77D063D6"/>
    <w:rsid w:val="77DB230C"/>
    <w:rsid w:val="77FA5285"/>
    <w:rsid w:val="780828F1"/>
    <w:rsid w:val="784140E0"/>
    <w:rsid w:val="785F7E38"/>
    <w:rsid w:val="78A85693"/>
    <w:rsid w:val="795F7A95"/>
    <w:rsid w:val="796E6815"/>
    <w:rsid w:val="79801597"/>
    <w:rsid w:val="799B49F2"/>
    <w:rsid w:val="79B969C1"/>
    <w:rsid w:val="79FF5B51"/>
    <w:rsid w:val="7A053C05"/>
    <w:rsid w:val="7AC02529"/>
    <w:rsid w:val="7B1A0DA0"/>
    <w:rsid w:val="7B54690B"/>
    <w:rsid w:val="7B590514"/>
    <w:rsid w:val="7B6310D2"/>
    <w:rsid w:val="7BB75966"/>
    <w:rsid w:val="7BBD6CF5"/>
    <w:rsid w:val="7C4116D4"/>
    <w:rsid w:val="7CB04F9D"/>
    <w:rsid w:val="7CD12A8A"/>
    <w:rsid w:val="7D624992"/>
    <w:rsid w:val="7D7B0C16"/>
    <w:rsid w:val="7D9C12B8"/>
    <w:rsid w:val="7DCC01E0"/>
    <w:rsid w:val="7DF37706"/>
    <w:rsid w:val="7E3A4A4A"/>
    <w:rsid w:val="7ECE0944"/>
    <w:rsid w:val="7ECF2CE8"/>
    <w:rsid w:val="7F1E7AAB"/>
    <w:rsid w:val="7F213B10"/>
    <w:rsid w:val="7F4C1278"/>
    <w:rsid w:val="7FAB2094"/>
    <w:rsid w:val="7FB17757"/>
    <w:rsid w:val="7FBA4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iPriority="99" w:name="page number"/>
    <w:lsdException w:qFormat="1" w:uiPriority="99" w:name="endnote reference"/>
    <w:lsdException w:qFormat="1" w:uiPriority="99" w:name="endnote text"/>
    <w:lsdException w:uiPriority="99" w:name="table of authorities"/>
    <w:lsdException w:uiPriority="99" w:name="macro"/>
    <w:lsdException w:qFormat="1" w:unhideWhenUsed="0" w:uiPriority="0" w:name="toa heading"/>
    <w:lsdException w:qFormat="1" w:uiPriority="99" w:name="List"/>
    <w:lsdException w:qFormat="1" w:uiPriority="99" w:name="List Bullet"/>
    <w:lsdException w:uiPriority="99" w:name="List Number"/>
    <w:lsdException w:qFormat="1" w:uiPriority="99" w:name="List 2"/>
    <w:lsdException w:uiPriority="99" w:name="List 3"/>
    <w:lsdException w:uiPriority="99" w:name="List 4"/>
    <w:lsdException w:uiPriority="99" w:name="List 5"/>
    <w:lsdException w:qFormat="1"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qFormat="1" w:uiPriority="0" w:semiHidden="0" w:name="Body Text First Indent 2"/>
    <w:lsdException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qFormat="1"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50" w:line="360" w:lineRule="auto"/>
    </w:pPr>
    <w:rPr>
      <w:rFonts w:ascii="Times New Roman" w:hAnsi="Times New Roman" w:eastAsia="宋体" w:cs="Times New Roman"/>
      <w:kern w:val="2"/>
      <w:sz w:val="24"/>
      <w:szCs w:val="24"/>
      <w:lang w:val="en-US" w:eastAsia="zh-CN" w:bidi="ar-SA"/>
    </w:rPr>
  </w:style>
  <w:style w:type="paragraph" w:styleId="3">
    <w:name w:val="heading 1"/>
    <w:basedOn w:val="1"/>
    <w:next w:val="1"/>
    <w:link w:val="93"/>
    <w:autoRedefine/>
    <w:qFormat/>
    <w:uiPriority w:val="9"/>
    <w:pPr>
      <w:keepNext/>
      <w:keepLines/>
      <w:spacing w:beforeLines="0" w:line="480" w:lineRule="auto"/>
      <w:jc w:val="center"/>
      <w:outlineLvl w:val="0"/>
    </w:pPr>
    <w:rPr>
      <w:rFonts w:ascii="宋体"/>
      <w:bCs/>
      <w:kern w:val="44"/>
      <w:sz w:val="36"/>
      <w:szCs w:val="44"/>
    </w:rPr>
  </w:style>
  <w:style w:type="paragraph" w:styleId="4">
    <w:name w:val="heading 2"/>
    <w:basedOn w:val="1"/>
    <w:next w:val="1"/>
    <w:link w:val="107"/>
    <w:qFormat/>
    <w:uiPriority w:val="0"/>
    <w:pPr>
      <w:keepNext/>
      <w:keepLines/>
      <w:spacing w:beforeLines="0" w:line="416" w:lineRule="auto"/>
      <w:jc w:val="both"/>
      <w:outlineLvl w:val="1"/>
    </w:pPr>
    <w:rPr>
      <w:rFonts w:ascii="Arial" w:hAnsi="Arial" w:eastAsia="黑体"/>
      <w:b/>
      <w:bCs/>
      <w:sz w:val="32"/>
      <w:szCs w:val="32"/>
    </w:rPr>
  </w:style>
  <w:style w:type="paragraph" w:styleId="5">
    <w:name w:val="heading 3"/>
    <w:basedOn w:val="1"/>
    <w:next w:val="1"/>
    <w:link w:val="86"/>
    <w:autoRedefine/>
    <w:qFormat/>
    <w:uiPriority w:val="0"/>
    <w:pPr>
      <w:keepNext/>
      <w:keepLines/>
      <w:spacing w:beforeLines="0" w:line="416" w:lineRule="auto"/>
      <w:outlineLvl w:val="2"/>
    </w:pPr>
    <w:rPr>
      <w:b/>
      <w:bCs/>
      <w:sz w:val="32"/>
      <w:szCs w:val="32"/>
    </w:rPr>
  </w:style>
  <w:style w:type="paragraph" w:styleId="6">
    <w:name w:val="heading 4"/>
    <w:basedOn w:val="1"/>
    <w:next w:val="1"/>
    <w:link w:val="104"/>
    <w:autoRedefine/>
    <w:semiHidden/>
    <w:unhideWhenUsed/>
    <w:qFormat/>
    <w:uiPriority w:val="9"/>
    <w:pPr>
      <w:keepNext/>
      <w:keepLines/>
      <w:adjustRightInd w:val="0"/>
      <w:spacing w:beforeLines="0" w:after="290" w:line="376" w:lineRule="atLeast"/>
      <w:outlineLvl w:val="3"/>
    </w:pPr>
    <w:rPr>
      <w:rFonts w:ascii="Arial" w:hAnsi="Arial" w:eastAsia="黑体"/>
      <w:b/>
      <w:kern w:val="0"/>
      <w:sz w:val="28"/>
      <w:szCs w:val="20"/>
    </w:rPr>
  </w:style>
  <w:style w:type="paragraph" w:styleId="7">
    <w:name w:val="heading 5"/>
    <w:basedOn w:val="1"/>
    <w:next w:val="1"/>
    <w:autoRedefine/>
    <w:semiHidden/>
    <w:unhideWhenUsed/>
    <w:qFormat/>
    <w:uiPriority w:val="9"/>
    <w:pPr>
      <w:keepNext/>
      <w:keepLines/>
      <w:adjustRightInd w:val="0"/>
      <w:spacing w:beforeLines="0" w:line="376" w:lineRule="atLeast"/>
      <w:outlineLvl w:val="4"/>
    </w:pPr>
    <w:rPr>
      <w:b/>
      <w:kern w:val="0"/>
      <w:sz w:val="28"/>
      <w:szCs w:val="20"/>
    </w:rPr>
  </w:style>
  <w:style w:type="paragraph" w:styleId="8">
    <w:name w:val="heading 6"/>
    <w:basedOn w:val="1"/>
    <w:next w:val="1"/>
    <w:link w:val="113"/>
    <w:autoRedefine/>
    <w:semiHidden/>
    <w:unhideWhenUsed/>
    <w:qFormat/>
    <w:uiPriority w:val="9"/>
    <w:pPr>
      <w:keepNext/>
      <w:keepLines/>
      <w:adjustRightInd w:val="0"/>
      <w:spacing w:beforeLines="0" w:line="320" w:lineRule="atLeast"/>
      <w:outlineLvl w:val="5"/>
    </w:pPr>
    <w:rPr>
      <w:rFonts w:ascii="Arial" w:hAnsi="Arial" w:eastAsia="黑体"/>
      <w:b/>
      <w:kern w:val="0"/>
      <w:szCs w:val="20"/>
    </w:rPr>
  </w:style>
  <w:style w:type="paragraph" w:styleId="9">
    <w:name w:val="heading 7"/>
    <w:next w:val="1"/>
    <w:link w:val="88"/>
    <w:autoRedefine/>
    <w:semiHidden/>
    <w:unhideWhenUsed/>
    <w:qFormat/>
    <w:uiPriority w:val="9"/>
    <w:pPr>
      <w:widowControl w:val="0"/>
      <w:ind w:firstLine="200" w:firstLineChars="200"/>
      <w:outlineLvl w:val="6"/>
    </w:pPr>
    <w:rPr>
      <w:rFonts w:ascii="黑体" w:hAnsi="Times New Roman" w:eastAsia="黑体" w:cs="Times New Roman"/>
      <w:bCs/>
      <w:sz w:val="28"/>
      <w:lang w:val="en-US" w:eastAsia="zh-CN" w:bidi="ar-SA"/>
    </w:rPr>
  </w:style>
  <w:style w:type="paragraph" w:styleId="10">
    <w:name w:val="heading 8"/>
    <w:basedOn w:val="1"/>
    <w:next w:val="1"/>
    <w:autoRedefine/>
    <w:semiHidden/>
    <w:unhideWhenUsed/>
    <w:qFormat/>
    <w:uiPriority w:val="9"/>
    <w:pPr>
      <w:keepNext/>
      <w:keepLines/>
      <w:spacing w:beforeLines="0" w:line="320" w:lineRule="auto"/>
      <w:outlineLvl w:val="7"/>
    </w:pPr>
    <w:rPr>
      <w:rFonts w:ascii="Arial" w:hAnsi="Arial" w:eastAsia="黑体"/>
    </w:rPr>
  </w:style>
  <w:style w:type="paragraph" w:styleId="11">
    <w:name w:val="heading 9"/>
    <w:basedOn w:val="1"/>
    <w:next w:val="1"/>
    <w:link w:val="81"/>
    <w:autoRedefine/>
    <w:semiHidden/>
    <w:unhideWhenUsed/>
    <w:qFormat/>
    <w:uiPriority w:val="9"/>
    <w:pPr>
      <w:keepNext/>
      <w:keepLines/>
      <w:spacing w:beforeLines="0" w:line="320" w:lineRule="auto"/>
      <w:outlineLvl w:val="8"/>
    </w:pPr>
    <w:rPr>
      <w:rFonts w:ascii="Arial" w:hAnsi="Arial" w:eastAsia="黑体"/>
      <w:sz w:val="21"/>
      <w:szCs w:val="21"/>
    </w:rPr>
  </w:style>
  <w:style w:type="character" w:default="1" w:styleId="54">
    <w:name w:val="Default Paragraph Font"/>
    <w:autoRedefine/>
    <w:semiHidden/>
    <w:unhideWhenUsed/>
    <w:qFormat/>
    <w:uiPriority w:val="1"/>
  </w:style>
  <w:style w:type="table" w:default="1" w:styleId="52">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60"/>
    <w:autoRedefine/>
    <w:qFormat/>
    <w:uiPriority w:val="99"/>
    <w:pPr>
      <w:snapToGrid w:val="0"/>
      <w:spacing w:beforeLines="0" w:line="240" w:lineRule="auto"/>
      <w:jc w:val="center"/>
    </w:pPr>
    <w:rPr>
      <w:rFonts w:ascii="宋体" w:hAnsi="宋体"/>
      <w:sz w:val="21"/>
    </w:rPr>
  </w:style>
  <w:style w:type="paragraph" w:styleId="12">
    <w:name w:val="toc 7"/>
    <w:basedOn w:val="1"/>
    <w:next w:val="1"/>
    <w:autoRedefine/>
    <w:semiHidden/>
    <w:unhideWhenUsed/>
    <w:qFormat/>
    <w:uiPriority w:val="39"/>
    <w:pPr>
      <w:spacing w:beforeLines="0" w:line="240" w:lineRule="auto"/>
      <w:ind w:left="2520" w:leftChars="1200"/>
      <w:jc w:val="both"/>
    </w:pPr>
    <w:rPr>
      <w:rFonts w:ascii="仿宋_GB2312" w:eastAsia="仿宋_GB2312"/>
      <w:sz w:val="28"/>
    </w:rPr>
  </w:style>
  <w:style w:type="paragraph" w:styleId="13">
    <w:name w:val="Normal Indent"/>
    <w:basedOn w:val="1"/>
    <w:link w:val="82"/>
    <w:autoRedefine/>
    <w:semiHidden/>
    <w:unhideWhenUsed/>
    <w:qFormat/>
    <w:uiPriority w:val="99"/>
    <w:pPr>
      <w:spacing w:beforeLines="0" w:line="240" w:lineRule="auto"/>
      <w:ind w:firstLine="560" w:firstLineChars="200"/>
      <w:jc w:val="both"/>
    </w:pPr>
    <w:rPr>
      <w:rFonts w:ascii="仿宋_GB2312" w:eastAsia="仿宋_GB2312"/>
      <w:sz w:val="28"/>
      <w:szCs w:val="20"/>
    </w:rPr>
  </w:style>
  <w:style w:type="paragraph" w:styleId="14">
    <w:name w:val="caption"/>
    <w:basedOn w:val="1"/>
    <w:next w:val="1"/>
    <w:autoRedefine/>
    <w:semiHidden/>
    <w:unhideWhenUsed/>
    <w:qFormat/>
    <w:uiPriority w:val="35"/>
    <w:pPr>
      <w:widowControl/>
      <w:spacing w:beforeLines="0" w:line="351" w:lineRule="atLeast"/>
      <w:ind w:firstLine="6287"/>
      <w:jc w:val="center"/>
      <w:textAlignment w:val="baseline"/>
    </w:pPr>
    <w:rPr>
      <w:b/>
      <w:bCs/>
      <w:color w:val="000080"/>
      <w:kern w:val="0"/>
      <w:sz w:val="28"/>
      <w:szCs w:val="20"/>
      <w:u w:color="000000"/>
    </w:rPr>
  </w:style>
  <w:style w:type="paragraph" w:styleId="15">
    <w:name w:val="List Bullet"/>
    <w:basedOn w:val="1"/>
    <w:autoRedefine/>
    <w:semiHidden/>
    <w:unhideWhenUsed/>
    <w:qFormat/>
    <w:uiPriority w:val="99"/>
    <w:pPr>
      <w:tabs>
        <w:tab w:val="left" w:pos="1020"/>
        <w:tab w:val="center" w:pos="6360"/>
      </w:tabs>
      <w:adjustRightInd w:val="0"/>
      <w:spacing w:beforeLines="0" w:line="360" w:lineRule="exact"/>
      <w:ind w:left="1020" w:hanging="420"/>
      <w:jc w:val="center"/>
      <w:textAlignment w:val="baseline"/>
    </w:pPr>
    <w:rPr>
      <w:b/>
      <w:bCs/>
      <w:snapToGrid w:val="0"/>
      <w:kern w:val="0"/>
      <w:sz w:val="20"/>
      <w:szCs w:val="20"/>
    </w:rPr>
  </w:style>
  <w:style w:type="paragraph" w:styleId="16">
    <w:name w:val="Document Map"/>
    <w:basedOn w:val="1"/>
    <w:link w:val="264"/>
    <w:autoRedefine/>
    <w:qFormat/>
    <w:uiPriority w:val="99"/>
    <w:pPr>
      <w:shd w:val="clear" w:color="auto" w:fill="000080"/>
    </w:pPr>
  </w:style>
  <w:style w:type="paragraph" w:styleId="17">
    <w:name w:val="toa heading"/>
    <w:basedOn w:val="1"/>
    <w:next w:val="1"/>
    <w:semiHidden/>
    <w:qFormat/>
    <w:uiPriority w:val="0"/>
    <w:pPr>
      <w:adjustRightInd w:val="0"/>
      <w:spacing w:before="120" w:line="360" w:lineRule="atLeast"/>
      <w:textAlignment w:val="baseline"/>
    </w:pPr>
    <w:rPr>
      <w:rFonts w:ascii="Arial" w:hAnsi="Arial"/>
      <w:b/>
      <w:bCs/>
    </w:rPr>
  </w:style>
  <w:style w:type="paragraph" w:styleId="18">
    <w:name w:val="annotation text"/>
    <w:basedOn w:val="1"/>
    <w:link w:val="265"/>
    <w:autoRedefine/>
    <w:qFormat/>
    <w:uiPriority w:val="0"/>
    <w:pPr>
      <w:autoSpaceDE w:val="0"/>
      <w:autoSpaceDN w:val="0"/>
      <w:adjustRightInd w:val="0"/>
      <w:spacing w:beforeLines="0" w:line="240" w:lineRule="auto"/>
      <w:textAlignment w:val="baseline"/>
    </w:pPr>
    <w:rPr>
      <w:rFonts w:ascii="宋体" w:hAnsi="Plotter"/>
      <w:kern w:val="0"/>
      <w:sz w:val="34"/>
      <w:szCs w:val="20"/>
    </w:rPr>
  </w:style>
  <w:style w:type="paragraph" w:styleId="19">
    <w:name w:val="Body Text 3"/>
    <w:basedOn w:val="1"/>
    <w:autoRedefine/>
    <w:semiHidden/>
    <w:unhideWhenUsed/>
    <w:qFormat/>
    <w:uiPriority w:val="99"/>
    <w:pPr>
      <w:spacing w:beforeLines="0"/>
      <w:jc w:val="center"/>
    </w:pPr>
    <w:rPr>
      <w:bCs/>
      <w:color w:val="000000"/>
      <w:szCs w:val="20"/>
    </w:rPr>
  </w:style>
  <w:style w:type="paragraph" w:styleId="20">
    <w:name w:val="Body Text Indent"/>
    <w:basedOn w:val="1"/>
    <w:link w:val="316"/>
    <w:autoRedefine/>
    <w:semiHidden/>
    <w:unhideWhenUsed/>
    <w:qFormat/>
    <w:uiPriority w:val="99"/>
    <w:pPr>
      <w:spacing w:beforeLines="0" w:line="500" w:lineRule="exact"/>
      <w:ind w:firstLine="442"/>
      <w:jc w:val="both"/>
    </w:pPr>
  </w:style>
  <w:style w:type="paragraph" w:styleId="21">
    <w:name w:val="List 2"/>
    <w:basedOn w:val="1"/>
    <w:autoRedefine/>
    <w:semiHidden/>
    <w:unhideWhenUsed/>
    <w:qFormat/>
    <w:uiPriority w:val="99"/>
    <w:pPr>
      <w:spacing w:beforeLines="0" w:line="360" w:lineRule="exact"/>
      <w:ind w:left="100" w:leftChars="200" w:hanging="200" w:hangingChars="200"/>
      <w:jc w:val="center"/>
    </w:pPr>
    <w:rPr>
      <w:rFonts w:ascii="宋体" w:hAnsi="宋体"/>
      <w:bCs/>
      <w:szCs w:val="21"/>
    </w:rPr>
  </w:style>
  <w:style w:type="paragraph" w:styleId="22">
    <w:name w:val="Block Text"/>
    <w:basedOn w:val="1"/>
    <w:autoRedefine/>
    <w:semiHidden/>
    <w:unhideWhenUsed/>
    <w:qFormat/>
    <w:uiPriority w:val="99"/>
    <w:pPr>
      <w:autoSpaceDE w:val="0"/>
      <w:autoSpaceDN w:val="0"/>
      <w:adjustRightInd w:val="0"/>
      <w:spacing w:beforeLines="0" w:line="320" w:lineRule="exact"/>
      <w:ind w:left="79" w:right="79"/>
      <w:jc w:val="both"/>
      <w:textAlignment w:val="baseline"/>
    </w:pPr>
    <w:rPr>
      <w:rFonts w:ascii="MS Gothic" w:hAnsi="Century" w:eastAsia="MS Gothic"/>
      <w:color w:val="000000"/>
      <w:spacing w:val="-3"/>
      <w:kern w:val="0"/>
      <w:sz w:val="20"/>
      <w:szCs w:val="20"/>
      <w:lang w:eastAsia="ja-JP"/>
    </w:rPr>
  </w:style>
  <w:style w:type="paragraph" w:styleId="23">
    <w:name w:val="List Bullet 2"/>
    <w:basedOn w:val="1"/>
    <w:autoRedefine/>
    <w:semiHidden/>
    <w:unhideWhenUsed/>
    <w:qFormat/>
    <w:uiPriority w:val="99"/>
    <w:pPr>
      <w:tabs>
        <w:tab w:val="left" w:pos="1020"/>
        <w:tab w:val="center" w:pos="6360"/>
      </w:tabs>
      <w:adjustRightInd w:val="0"/>
      <w:spacing w:beforeLines="0" w:line="360" w:lineRule="exact"/>
      <w:ind w:left="1020" w:hanging="420"/>
      <w:jc w:val="center"/>
      <w:textAlignment w:val="baseline"/>
    </w:pPr>
    <w:rPr>
      <w:b/>
      <w:bCs/>
      <w:snapToGrid w:val="0"/>
      <w:kern w:val="0"/>
      <w:sz w:val="20"/>
      <w:szCs w:val="20"/>
    </w:rPr>
  </w:style>
  <w:style w:type="paragraph" w:styleId="24">
    <w:name w:val="toc 5"/>
    <w:basedOn w:val="1"/>
    <w:next w:val="1"/>
    <w:autoRedefine/>
    <w:semiHidden/>
    <w:unhideWhenUsed/>
    <w:qFormat/>
    <w:uiPriority w:val="39"/>
    <w:pPr>
      <w:spacing w:beforeLines="0" w:line="240" w:lineRule="auto"/>
      <w:ind w:left="1680" w:leftChars="800"/>
      <w:jc w:val="both"/>
    </w:pPr>
    <w:rPr>
      <w:sz w:val="21"/>
    </w:rPr>
  </w:style>
  <w:style w:type="paragraph" w:styleId="25">
    <w:name w:val="toc 3"/>
    <w:basedOn w:val="1"/>
    <w:next w:val="1"/>
    <w:autoRedefine/>
    <w:semiHidden/>
    <w:unhideWhenUsed/>
    <w:qFormat/>
    <w:uiPriority w:val="39"/>
    <w:pPr>
      <w:spacing w:beforeLines="0" w:line="240" w:lineRule="auto"/>
      <w:ind w:left="420"/>
    </w:pPr>
    <w:rPr>
      <w:rFonts w:ascii="仿宋_GB2312" w:eastAsia="仿宋_GB2312"/>
      <w:iCs/>
      <w:szCs w:val="20"/>
    </w:rPr>
  </w:style>
  <w:style w:type="paragraph" w:styleId="26">
    <w:name w:val="Plain Text"/>
    <w:basedOn w:val="1"/>
    <w:link w:val="87"/>
    <w:autoRedefine/>
    <w:qFormat/>
    <w:uiPriority w:val="0"/>
    <w:pPr>
      <w:spacing w:beforeLines="0" w:line="240" w:lineRule="auto"/>
      <w:jc w:val="both"/>
    </w:pPr>
    <w:rPr>
      <w:rFonts w:ascii="宋体" w:hAnsi="Courier New" w:cs="Courier New"/>
      <w:sz w:val="21"/>
      <w:szCs w:val="21"/>
    </w:rPr>
  </w:style>
  <w:style w:type="paragraph" w:styleId="27">
    <w:name w:val="toc 8"/>
    <w:basedOn w:val="1"/>
    <w:next w:val="1"/>
    <w:autoRedefine/>
    <w:semiHidden/>
    <w:unhideWhenUsed/>
    <w:qFormat/>
    <w:uiPriority w:val="39"/>
    <w:pPr>
      <w:spacing w:beforeLines="0" w:line="240" w:lineRule="auto"/>
      <w:ind w:left="2940" w:leftChars="1400"/>
      <w:jc w:val="both"/>
    </w:pPr>
    <w:rPr>
      <w:sz w:val="21"/>
    </w:rPr>
  </w:style>
  <w:style w:type="paragraph" w:styleId="28">
    <w:name w:val="Date"/>
    <w:basedOn w:val="1"/>
    <w:next w:val="1"/>
    <w:autoRedefine/>
    <w:semiHidden/>
    <w:unhideWhenUsed/>
    <w:qFormat/>
    <w:uiPriority w:val="99"/>
    <w:pPr>
      <w:spacing w:beforeLines="0" w:line="360" w:lineRule="atLeast"/>
      <w:jc w:val="both"/>
    </w:pPr>
    <w:rPr>
      <w:rFonts w:eastAsia="MS Mincho"/>
      <w:snapToGrid w:val="0"/>
      <w:lang w:eastAsia="ja-JP"/>
    </w:rPr>
  </w:style>
  <w:style w:type="paragraph" w:styleId="29">
    <w:name w:val="Body Text Indent 2"/>
    <w:basedOn w:val="1"/>
    <w:link w:val="100"/>
    <w:autoRedefine/>
    <w:semiHidden/>
    <w:unhideWhenUsed/>
    <w:qFormat/>
    <w:uiPriority w:val="99"/>
    <w:pPr>
      <w:spacing w:beforeLines="0" w:line="240" w:lineRule="auto"/>
      <w:ind w:firstLine="560" w:firstLineChars="200"/>
      <w:jc w:val="both"/>
    </w:pPr>
    <w:rPr>
      <w:rFonts w:ascii="仿宋_GB2312" w:hAnsi="宋体" w:eastAsia="仿宋_GB2312"/>
      <w:sz w:val="28"/>
    </w:rPr>
  </w:style>
  <w:style w:type="paragraph" w:styleId="30">
    <w:name w:val="endnote text"/>
    <w:basedOn w:val="1"/>
    <w:link w:val="112"/>
    <w:autoRedefine/>
    <w:semiHidden/>
    <w:unhideWhenUsed/>
    <w:qFormat/>
    <w:uiPriority w:val="99"/>
    <w:pPr>
      <w:adjustRightInd w:val="0"/>
      <w:snapToGrid w:val="0"/>
      <w:spacing w:beforeLines="0" w:line="360" w:lineRule="atLeast"/>
      <w:textAlignment w:val="baseline"/>
    </w:pPr>
    <w:rPr>
      <w:kern w:val="0"/>
      <w:szCs w:val="20"/>
    </w:rPr>
  </w:style>
  <w:style w:type="paragraph" w:styleId="31">
    <w:name w:val="Balloon Text"/>
    <w:basedOn w:val="1"/>
    <w:link w:val="263"/>
    <w:autoRedefine/>
    <w:qFormat/>
    <w:uiPriority w:val="0"/>
    <w:rPr>
      <w:sz w:val="18"/>
      <w:szCs w:val="18"/>
    </w:rPr>
  </w:style>
  <w:style w:type="paragraph" w:styleId="32">
    <w:name w:val="footer"/>
    <w:basedOn w:val="1"/>
    <w:link w:val="80"/>
    <w:autoRedefine/>
    <w:qFormat/>
    <w:uiPriority w:val="99"/>
    <w:pPr>
      <w:tabs>
        <w:tab w:val="center" w:pos="4153"/>
        <w:tab w:val="right" w:pos="8306"/>
      </w:tabs>
      <w:snapToGrid w:val="0"/>
    </w:pPr>
    <w:rPr>
      <w:sz w:val="18"/>
      <w:szCs w:val="18"/>
    </w:rPr>
  </w:style>
  <w:style w:type="paragraph" w:styleId="33">
    <w:name w:val="header"/>
    <w:basedOn w:val="1"/>
    <w:link w:val="262"/>
    <w:autoRedefine/>
    <w:qFormat/>
    <w:uiPriority w:val="99"/>
    <w:pPr>
      <w:pBdr>
        <w:bottom w:val="single" w:color="auto" w:sz="6" w:space="1"/>
      </w:pBdr>
      <w:tabs>
        <w:tab w:val="center" w:pos="4153"/>
        <w:tab w:val="right" w:pos="8306"/>
      </w:tabs>
      <w:snapToGrid w:val="0"/>
      <w:jc w:val="center"/>
    </w:pPr>
    <w:rPr>
      <w:sz w:val="18"/>
      <w:szCs w:val="18"/>
    </w:rPr>
  </w:style>
  <w:style w:type="paragraph" w:styleId="34">
    <w:name w:val="toc 1"/>
    <w:next w:val="1"/>
    <w:autoRedefine/>
    <w:semiHidden/>
    <w:unhideWhenUsed/>
    <w:qFormat/>
    <w:uiPriority w:val="39"/>
    <w:pPr>
      <w:widowControl w:val="0"/>
      <w:spacing w:line="360" w:lineRule="auto"/>
      <w:jc w:val="both"/>
    </w:pPr>
    <w:rPr>
      <w:rFonts w:ascii="仿宋_GB2312" w:hAnsi="Times New Roman" w:eastAsia="宋体" w:cs="Times New Roman"/>
      <w:b/>
      <w:kern w:val="2"/>
      <w:sz w:val="24"/>
      <w:lang w:val="en-US" w:eastAsia="zh-CN" w:bidi="ar-SA"/>
    </w:rPr>
  </w:style>
  <w:style w:type="paragraph" w:styleId="35">
    <w:name w:val="toc 4"/>
    <w:basedOn w:val="1"/>
    <w:next w:val="1"/>
    <w:autoRedefine/>
    <w:semiHidden/>
    <w:unhideWhenUsed/>
    <w:qFormat/>
    <w:uiPriority w:val="39"/>
    <w:pPr>
      <w:spacing w:beforeLines="0" w:line="240" w:lineRule="auto"/>
      <w:ind w:left="1260" w:leftChars="600"/>
      <w:jc w:val="both"/>
    </w:pPr>
    <w:rPr>
      <w:rFonts w:ascii="仿宋_GB2312" w:eastAsia="仿宋_GB2312"/>
      <w:sz w:val="28"/>
    </w:rPr>
  </w:style>
  <w:style w:type="paragraph" w:styleId="36">
    <w:name w:val="List"/>
    <w:basedOn w:val="1"/>
    <w:autoRedefine/>
    <w:semiHidden/>
    <w:unhideWhenUsed/>
    <w:qFormat/>
    <w:uiPriority w:val="99"/>
    <w:pPr>
      <w:suppressAutoHyphens/>
      <w:adjustRightInd w:val="0"/>
      <w:spacing w:beforeLines="0" w:line="240" w:lineRule="auto"/>
      <w:jc w:val="center"/>
    </w:pPr>
    <w:rPr>
      <w:kern w:val="0"/>
      <w:sz w:val="21"/>
      <w:szCs w:val="20"/>
    </w:rPr>
  </w:style>
  <w:style w:type="paragraph" w:styleId="37">
    <w:name w:val="footnote text"/>
    <w:basedOn w:val="1"/>
    <w:link w:val="268"/>
    <w:autoRedefine/>
    <w:qFormat/>
    <w:uiPriority w:val="0"/>
    <w:pPr>
      <w:snapToGrid w:val="0"/>
      <w:spacing w:beforeLines="0" w:line="240" w:lineRule="auto"/>
    </w:pPr>
    <w:rPr>
      <w:rFonts w:asciiTheme="minorHAnsi" w:hAnsiTheme="minorHAnsi" w:eastAsiaTheme="minorEastAsia" w:cstheme="minorBidi"/>
      <w:sz w:val="18"/>
    </w:rPr>
  </w:style>
  <w:style w:type="paragraph" w:styleId="38">
    <w:name w:val="toc 6"/>
    <w:basedOn w:val="1"/>
    <w:next w:val="1"/>
    <w:autoRedefine/>
    <w:semiHidden/>
    <w:unhideWhenUsed/>
    <w:qFormat/>
    <w:uiPriority w:val="39"/>
    <w:pPr>
      <w:spacing w:beforeLines="0" w:line="240" w:lineRule="auto"/>
      <w:ind w:left="2100" w:leftChars="1000"/>
      <w:jc w:val="both"/>
    </w:pPr>
    <w:rPr>
      <w:sz w:val="21"/>
    </w:rPr>
  </w:style>
  <w:style w:type="paragraph" w:styleId="39">
    <w:name w:val="Body Text Indent 3"/>
    <w:basedOn w:val="1"/>
    <w:autoRedefine/>
    <w:semiHidden/>
    <w:unhideWhenUsed/>
    <w:qFormat/>
    <w:uiPriority w:val="99"/>
    <w:pPr>
      <w:ind w:left="420" w:leftChars="200"/>
    </w:pPr>
    <w:rPr>
      <w:sz w:val="16"/>
      <w:szCs w:val="16"/>
    </w:rPr>
  </w:style>
  <w:style w:type="paragraph" w:styleId="40">
    <w:name w:val="table of figures"/>
    <w:basedOn w:val="1"/>
    <w:next w:val="1"/>
    <w:autoRedefine/>
    <w:semiHidden/>
    <w:unhideWhenUsed/>
    <w:qFormat/>
    <w:uiPriority w:val="99"/>
    <w:pPr>
      <w:autoSpaceDE w:val="0"/>
      <w:autoSpaceDN w:val="0"/>
      <w:adjustRightInd w:val="0"/>
      <w:spacing w:beforeLines="0" w:line="240" w:lineRule="auto"/>
      <w:ind w:left="680" w:hanging="680"/>
      <w:textAlignment w:val="baseline"/>
    </w:pPr>
    <w:rPr>
      <w:smallCaps/>
      <w:kern w:val="0"/>
      <w:sz w:val="20"/>
      <w:szCs w:val="20"/>
    </w:rPr>
  </w:style>
  <w:style w:type="paragraph" w:styleId="41">
    <w:name w:val="toc 2"/>
    <w:basedOn w:val="1"/>
    <w:next w:val="1"/>
    <w:autoRedefine/>
    <w:semiHidden/>
    <w:unhideWhenUsed/>
    <w:qFormat/>
    <w:uiPriority w:val="39"/>
    <w:pPr>
      <w:tabs>
        <w:tab w:val="left" w:pos="1020"/>
        <w:tab w:val="right" w:leader="dot" w:pos="8302"/>
      </w:tabs>
      <w:spacing w:beforeLines="0"/>
      <w:ind w:left="960" w:leftChars="225" w:hanging="420" w:hangingChars="175"/>
    </w:pPr>
    <w:rPr>
      <w:bCs/>
      <w:smallCaps/>
      <w:szCs w:val="21"/>
    </w:rPr>
  </w:style>
  <w:style w:type="paragraph" w:styleId="42">
    <w:name w:val="toc 9"/>
    <w:basedOn w:val="1"/>
    <w:next w:val="1"/>
    <w:autoRedefine/>
    <w:semiHidden/>
    <w:unhideWhenUsed/>
    <w:qFormat/>
    <w:uiPriority w:val="39"/>
    <w:pPr>
      <w:spacing w:beforeLines="0" w:line="240" w:lineRule="auto"/>
      <w:ind w:left="3360" w:leftChars="1600"/>
      <w:jc w:val="both"/>
    </w:pPr>
    <w:rPr>
      <w:sz w:val="21"/>
    </w:rPr>
  </w:style>
  <w:style w:type="paragraph" w:styleId="43">
    <w:name w:val="Body Text 2"/>
    <w:basedOn w:val="1"/>
    <w:autoRedefine/>
    <w:semiHidden/>
    <w:unhideWhenUsed/>
    <w:qFormat/>
    <w:uiPriority w:val="99"/>
    <w:pPr>
      <w:spacing w:beforeLines="0" w:line="200" w:lineRule="exact"/>
      <w:jc w:val="both"/>
    </w:pPr>
    <w:rPr>
      <w:rFonts w:eastAsia="MS Mincho"/>
      <w:sz w:val="20"/>
      <w:lang w:eastAsia="ja-JP"/>
    </w:rPr>
  </w:style>
  <w:style w:type="paragraph" w:styleId="44">
    <w:name w:val="Message Header"/>
    <w:basedOn w:val="1"/>
    <w:autoRedefine/>
    <w:semiHidden/>
    <w:unhideWhenUsed/>
    <w:qFormat/>
    <w:uiPriority w:val="99"/>
    <w:pPr>
      <w:pBdr>
        <w:top w:val="single" w:color="auto" w:sz="6" w:space="1"/>
        <w:left w:val="single" w:color="auto" w:sz="6" w:space="1"/>
        <w:bottom w:val="single" w:color="auto" w:sz="6" w:space="1"/>
        <w:right w:val="single" w:color="auto" w:sz="6" w:space="1"/>
      </w:pBdr>
      <w:shd w:val="pct20" w:color="auto" w:fill="auto"/>
      <w:spacing w:beforeLines="0" w:line="240" w:lineRule="auto"/>
      <w:ind w:left="1080" w:leftChars="500" w:hanging="1080" w:hangingChars="500"/>
      <w:jc w:val="both"/>
    </w:pPr>
    <w:rPr>
      <w:rFonts w:ascii="Arial" w:hAnsi="Arial" w:cs="Arial"/>
    </w:rPr>
  </w:style>
  <w:style w:type="paragraph" w:styleId="45">
    <w:name w:val="HTML Preformatted"/>
    <w:basedOn w:val="1"/>
    <w:link w:val="249"/>
    <w:autoRedefine/>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0" w:line="360" w:lineRule="exact"/>
    </w:pPr>
    <w:rPr>
      <w:rFonts w:ascii="宋体" w:hAnsi="宋体" w:cs="宋体"/>
      <w:bCs/>
      <w:kern w:val="0"/>
      <w:szCs w:val="21"/>
    </w:rPr>
  </w:style>
  <w:style w:type="paragraph" w:styleId="46">
    <w:name w:val="Normal (Web)"/>
    <w:basedOn w:val="1"/>
    <w:autoRedefine/>
    <w:unhideWhenUsed/>
    <w:qFormat/>
    <w:uiPriority w:val="99"/>
    <w:pPr>
      <w:widowControl/>
      <w:tabs>
        <w:tab w:val="left" w:pos="1020"/>
      </w:tabs>
      <w:spacing w:beforeLines="0" w:beforeAutospacing="1" w:afterAutospacing="1" w:line="360" w:lineRule="exact"/>
    </w:pPr>
    <w:rPr>
      <w:rFonts w:ascii="宋体" w:hAnsi="宋体"/>
      <w:bCs/>
      <w:kern w:val="0"/>
      <w:szCs w:val="21"/>
    </w:rPr>
  </w:style>
  <w:style w:type="paragraph" w:styleId="47">
    <w:name w:val="index 1"/>
    <w:basedOn w:val="1"/>
    <w:next w:val="1"/>
    <w:autoRedefine/>
    <w:semiHidden/>
    <w:unhideWhenUsed/>
    <w:qFormat/>
    <w:uiPriority w:val="99"/>
    <w:pPr>
      <w:spacing w:beforeLines="0" w:line="240" w:lineRule="auto"/>
      <w:jc w:val="center"/>
    </w:pPr>
    <w:rPr>
      <w:rFonts w:ascii="宋体" w:hAnsi="宋体"/>
      <w:sz w:val="28"/>
    </w:rPr>
  </w:style>
  <w:style w:type="paragraph" w:styleId="48">
    <w:name w:val="Title"/>
    <w:basedOn w:val="1"/>
    <w:next w:val="1"/>
    <w:autoRedefine/>
    <w:qFormat/>
    <w:uiPriority w:val="10"/>
    <w:pPr>
      <w:autoSpaceDE w:val="0"/>
      <w:autoSpaceDN w:val="0"/>
      <w:adjustRightInd w:val="0"/>
      <w:spacing w:beforeLines="0" w:line="240" w:lineRule="auto"/>
      <w:jc w:val="center"/>
      <w:textAlignment w:val="baseline"/>
      <w:outlineLvl w:val="0"/>
    </w:pPr>
    <w:rPr>
      <w:rFonts w:ascii="Arial" w:hAnsi="Arial"/>
      <w:b/>
      <w:kern w:val="0"/>
      <w:sz w:val="32"/>
      <w:szCs w:val="20"/>
    </w:rPr>
  </w:style>
  <w:style w:type="paragraph" w:styleId="49">
    <w:name w:val="annotation subject"/>
    <w:basedOn w:val="18"/>
    <w:next w:val="18"/>
    <w:link w:val="267"/>
    <w:autoRedefine/>
    <w:unhideWhenUsed/>
    <w:qFormat/>
    <w:uiPriority w:val="0"/>
    <w:pPr>
      <w:autoSpaceDE/>
      <w:autoSpaceDN/>
      <w:adjustRightInd/>
      <w:textAlignment w:val="auto"/>
    </w:pPr>
    <w:rPr>
      <w:rFonts w:ascii="Times New Roman" w:hAnsi="Times New Roman"/>
      <w:b/>
      <w:bCs/>
      <w:kern w:val="2"/>
      <w:sz w:val="21"/>
    </w:rPr>
  </w:style>
  <w:style w:type="paragraph" w:styleId="50">
    <w:name w:val="Body Text First Indent"/>
    <w:basedOn w:val="2"/>
    <w:link w:val="261"/>
    <w:autoRedefine/>
    <w:qFormat/>
    <w:uiPriority w:val="0"/>
    <w:pPr>
      <w:snapToGrid/>
      <w:ind w:firstLine="420" w:firstLineChars="100"/>
      <w:jc w:val="both"/>
    </w:pPr>
    <w:rPr>
      <w:rFonts w:ascii="Times New Roman" w:hAnsi="Times New Roman"/>
      <w:szCs w:val="20"/>
    </w:rPr>
  </w:style>
  <w:style w:type="paragraph" w:styleId="51">
    <w:name w:val="Body Text First Indent 2"/>
    <w:basedOn w:val="20"/>
    <w:autoRedefine/>
    <w:unhideWhenUsed/>
    <w:qFormat/>
    <w:uiPriority w:val="0"/>
    <w:pPr>
      <w:spacing w:beforeLines="50" w:after="120" w:line="360" w:lineRule="auto"/>
      <w:ind w:left="420" w:leftChars="200" w:firstLine="420" w:firstLineChars="200"/>
      <w:jc w:val="left"/>
    </w:pPr>
  </w:style>
  <w:style w:type="table" w:styleId="53">
    <w:name w:val="Table Grid"/>
    <w:basedOn w:val="52"/>
    <w:autoRedefine/>
    <w:qFormat/>
    <w:uiPriority w:val="59"/>
    <w:pPr>
      <w:widowControl w:val="0"/>
      <w:numPr>
        <w:numId w:val="1"/>
      </w:numPr>
      <w:tabs>
        <w:tab w:val="left" w:pos="360"/>
        <w:tab w:val="left" w:pos="851"/>
      </w:tabs>
      <w:ind w:left="851" w:hanging="851"/>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autoRedefine/>
    <w:qFormat/>
    <w:uiPriority w:val="0"/>
    <w:rPr>
      <w:b/>
      <w:bCs/>
    </w:rPr>
  </w:style>
  <w:style w:type="character" w:styleId="56">
    <w:name w:val="endnote reference"/>
    <w:autoRedefine/>
    <w:semiHidden/>
    <w:unhideWhenUsed/>
    <w:qFormat/>
    <w:uiPriority w:val="99"/>
    <w:rPr>
      <w:vertAlign w:val="superscript"/>
    </w:rPr>
  </w:style>
  <w:style w:type="character" w:styleId="57">
    <w:name w:val="page number"/>
    <w:basedOn w:val="54"/>
    <w:autoRedefine/>
    <w:semiHidden/>
    <w:unhideWhenUsed/>
    <w:qFormat/>
    <w:uiPriority w:val="99"/>
  </w:style>
  <w:style w:type="character" w:styleId="58">
    <w:name w:val="FollowedHyperlink"/>
    <w:basedOn w:val="54"/>
    <w:autoRedefine/>
    <w:qFormat/>
    <w:uiPriority w:val="0"/>
    <w:rPr>
      <w:color w:val="800080"/>
      <w:u w:val="single"/>
    </w:rPr>
  </w:style>
  <w:style w:type="character" w:styleId="59">
    <w:name w:val="HTML Definition"/>
    <w:basedOn w:val="54"/>
    <w:autoRedefine/>
    <w:qFormat/>
    <w:uiPriority w:val="0"/>
    <w:rPr>
      <w:rFonts w:ascii="Times New Roman" w:hAnsi="Times New Roman" w:eastAsia="宋体" w:cs="Times New Roman"/>
    </w:rPr>
  </w:style>
  <w:style w:type="character" w:styleId="60">
    <w:name w:val="HTML Variable"/>
    <w:basedOn w:val="54"/>
    <w:autoRedefine/>
    <w:qFormat/>
    <w:uiPriority w:val="0"/>
    <w:rPr>
      <w:rFonts w:ascii="Times New Roman" w:hAnsi="Times New Roman" w:eastAsia="宋体" w:cs="Times New Roman"/>
    </w:rPr>
  </w:style>
  <w:style w:type="character" w:styleId="61">
    <w:name w:val="Hyperlink"/>
    <w:basedOn w:val="54"/>
    <w:autoRedefine/>
    <w:qFormat/>
    <w:uiPriority w:val="0"/>
    <w:rPr>
      <w:color w:val="261CDC"/>
      <w:u w:val="single"/>
    </w:rPr>
  </w:style>
  <w:style w:type="character" w:styleId="62">
    <w:name w:val="HTML Code"/>
    <w:basedOn w:val="54"/>
    <w:autoRedefine/>
    <w:qFormat/>
    <w:uiPriority w:val="0"/>
    <w:rPr>
      <w:rFonts w:ascii="微软雅黑" w:hAnsi="微软雅黑" w:eastAsia="微软雅黑" w:cs="微软雅黑"/>
      <w:sz w:val="20"/>
    </w:rPr>
  </w:style>
  <w:style w:type="character" w:styleId="63">
    <w:name w:val="annotation reference"/>
    <w:basedOn w:val="54"/>
    <w:autoRedefine/>
    <w:qFormat/>
    <w:uiPriority w:val="0"/>
    <w:rPr>
      <w:sz w:val="21"/>
    </w:rPr>
  </w:style>
  <w:style w:type="character" w:styleId="64">
    <w:name w:val="HTML Cite"/>
    <w:basedOn w:val="54"/>
    <w:autoRedefine/>
    <w:qFormat/>
    <w:uiPriority w:val="0"/>
    <w:rPr>
      <w:rFonts w:ascii="Times New Roman" w:hAnsi="Times New Roman" w:eastAsia="宋体" w:cs="Times New Roman"/>
    </w:rPr>
  </w:style>
  <w:style w:type="character" w:styleId="65">
    <w:name w:val="footnote reference"/>
    <w:basedOn w:val="54"/>
    <w:autoRedefine/>
    <w:qFormat/>
    <w:uiPriority w:val="0"/>
    <w:rPr>
      <w:rFonts w:ascii="Times New Roman" w:hAnsi="Times New Roman" w:eastAsia="宋体" w:cs="Times New Roman"/>
      <w:vertAlign w:val="superscript"/>
    </w:rPr>
  </w:style>
  <w:style w:type="character" w:customStyle="1" w:styleId="66">
    <w:name w:val="para"/>
    <w:basedOn w:val="54"/>
    <w:autoRedefine/>
    <w:qFormat/>
    <w:uiPriority w:val="0"/>
  </w:style>
  <w:style w:type="character" w:customStyle="1" w:styleId="67">
    <w:name w:val="cucd-TB-Head Char Char"/>
    <w:link w:val="68"/>
    <w:autoRedefine/>
    <w:qFormat/>
    <w:uiPriority w:val="0"/>
    <w:rPr>
      <w:rFonts w:eastAsia="黑体"/>
      <w:kern w:val="2"/>
      <w:sz w:val="24"/>
      <w:szCs w:val="24"/>
      <w:lang w:val="en-US" w:eastAsia="zh-CN" w:bidi="ar-SA"/>
    </w:rPr>
  </w:style>
  <w:style w:type="paragraph" w:customStyle="1" w:styleId="68">
    <w:name w:val="cucd-TB-Head"/>
    <w:basedOn w:val="1"/>
    <w:next w:val="69"/>
    <w:link w:val="67"/>
    <w:autoRedefine/>
    <w:qFormat/>
    <w:uiPriority w:val="0"/>
    <w:pPr>
      <w:jc w:val="center"/>
    </w:pPr>
    <w:rPr>
      <w:rFonts w:eastAsia="黑体"/>
    </w:rPr>
  </w:style>
  <w:style w:type="paragraph" w:customStyle="1" w:styleId="69">
    <w:name w:val="cucd-0"/>
    <w:link w:val="85"/>
    <w:autoRedefine/>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70">
    <w:name w:val="3号宋体居中行距2倍 Char Char"/>
    <w:autoRedefine/>
    <w:qFormat/>
    <w:uiPriority w:val="0"/>
    <w:rPr>
      <w:rFonts w:ascii="Arial" w:hAnsi="Arial" w:eastAsia="黑体"/>
      <w:b/>
      <w:bCs/>
      <w:kern w:val="2"/>
      <w:sz w:val="32"/>
      <w:szCs w:val="32"/>
      <w:lang w:val="en-US" w:eastAsia="zh-CN" w:bidi="ar-SA"/>
    </w:rPr>
  </w:style>
  <w:style w:type="character" w:customStyle="1" w:styleId="71">
    <w:name w:val="4号宋体左齐行距1.5倍 Char Char"/>
    <w:autoRedefine/>
    <w:qFormat/>
    <w:uiPriority w:val="0"/>
    <w:rPr>
      <w:rFonts w:eastAsia="宋体"/>
      <w:b/>
      <w:bCs/>
      <w:kern w:val="2"/>
      <w:sz w:val="32"/>
      <w:szCs w:val="32"/>
      <w:lang w:val="en-US" w:eastAsia="zh-CN" w:bidi="ar-SA"/>
    </w:rPr>
  </w:style>
  <w:style w:type="character" w:customStyle="1" w:styleId="72">
    <w:name w:val="正文文字 Char Char"/>
    <w:link w:val="73"/>
    <w:autoRedefine/>
    <w:qFormat/>
    <w:uiPriority w:val="0"/>
    <w:rPr>
      <w:rFonts w:ascii="Arial" w:hAnsi="Arial" w:eastAsia="仿宋_GB2312" w:cs="Arial"/>
      <w:bCs/>
      <w:sz w:val="24"/>
      <w:szCs w:val="24"/>
      <w:lang w:val="de-DE" w:eastAsia="zh-CN" w:bidi="ar-SA"/>
    </w:rPr>
  </w:style>
  <w:style w:type="paragraph" w:customStyle="1" w:styleId="73">
    <w:name w:val="正文文字"/>
    <w:basedOn w:val="1"/>
    <w:link w:val="72"/>
    <w:autoRedefine/>
    <w:qFormat/>
    <w:uiPriority w:val="0"/>
    <w:pPr>
      <w:snapToGrid w:val="0"/>
      <w:spacing w:beforeLines="0" w:line="312" w:lineRule="auto"/>
      <w:ind w:firstLine="480" w:firstLineChars="200"/>
      <w:jc w:val="both"/>
    </w:pPr>
    <w:rPr>
      <w:rFonts w:ascii="Arial" w:hAnsi="Arial" w:eastAsia="仿宋_GB2312" w:cs="Arial"/>
      <w:bCs/>
      <w:kern w:val="0"/>
      <w:lang w:val="de-DE"/>
    </w:rPr>
  </w:style>
  <w:style w:type="character" w:customStyle="1" w:styleId="74">
    <w:name w:val="cucd-1 Char Char"/>
    <w:link w:val="75"/>
    <w:autoRedefine/>
    <w:qFormat/>
    <w:uiPriority w:val="0"/>
    <w:rPr>
      <w:rFonts w:hAnsi="宋体" w:eastAsia="黑体"/>
      <w:b/>
      <w:color w:val="000000"/>
      <w:kern w:val="2"/>
      <w:sz w:val="30"/>
      <w:szCs w:val="30"/>
    </w:rPr>
  </w:style>
  <w:style w:type="paragraph" w:customStyle="1" w:styleId="75">
    <w:name w:val="cucd-1"/>
    <w:next w:val="76"/>
    <w:link w:val="74"/>
    <w:autoRedefine/>
    <w:qFormat/>
    <w:uiPriority w:val="0"/>
    <w:pPr>
      <w:pageBreakBefore/>
      <w:numPr>
        <w:ilvl w:val="0"/>
        <w:numId w:val="1"/>
      </w:numPr>
      <w:tabs>
        <w:tab w:val="left" w:pos="425"/>
      </w:tabs>
      <w:spacing w:beforeLines="100" w:afterLines="50" w:line="360" w:lineRule="auto"/>
      <w:jc w:val="center"/>
      <w:outlineLvl w:val="0"/>
    </w:pPr>
    <w:rPr>
      <w:rFonts w:ascii="Times New Roman" w:hAnsi="宋体" w:eastAsia="黑体" w:cs="Times New Roman"/>
      <w:b/>
      <w:color w:val="000000"/>
      <w:kern w:val="2"/>
      <w:sz w:val="30"/>
      <w:szCs w:val="30"/>
      <w:lang w:val="en-US" w:eastAsia="zh-CN" w:bidi="ar-SA"/>
    </w:rPr>
  </w:style>
  <w:style w:type="paragraph" w:customStyle="1" w:styleId="76">
    <w:name w:val="cucd-2"/>
    <w:next w:val="77"/>
    <w:link w:val="110"/>
    <w:autoRedefine/>
    <w:qFormat/>
    <w:uiPriority w:val="0"/>
    <w:pPr>
      <w:numPr>
        <w:ilvl w:val="1"/>
        <w:numId w:val="1"/>
      </w:numPr>
      <w:tabs>
        <w:tab w:val="left" w:pos="720"/>
      </w:tabs>
      <w:spacing w:line="360" w:lineRule="auto"/>
      <w:outlineLvl w:val="1"/>
    </w:pPr>
    <w:rPr>
      <w:rFonts w:ascii="宋体" w:hAnsi="宋体" w:eastAsia="宋体" w:cs="Times New Roman"/>
      <w:b/>
      <w:bCs/>
      <w:color w:val="000000"/>
      <w:kern w:val="2"/>
      <w:sz w:val="24"/>
      <w:szCs w:val="24"/>
      <w:lang w:val="en-US" w:eastAsia="zh-CN" w:bidi="ar-SA"/>
    </w:rPr>
  </w:style>
  <w:style w:type="paragraph" w:customStyle="1" w:styleId="77">
    <w:name w:val="cucd-3"/>
    <w:next w:val="78"/>
    <w:link w:val="84"/>
    <w:autoRedefine/>
    <w:qFormat/>
    <w:uiPriority w:val="0"/>
    <w:pPr>
      <w:widowControl w:val="0"/>
      <w:numPr>
        <w:ilvl w:val="2"/>
        <w:numId w:val="1"/>
      </w:numPr>
      <w:tabs>
        <w:tab w:val="left" w:pos="720"/>
      </w:tabs>
      <w:spacing w:line="360" w:lineRule="auto"/>
      <w:outlineLvl w:val="2"/>
    </w:pPr>
    <w:rPr>
      <w:rFonts w:ascii="宋体" w:hAnsi="宋体" w:eastAsia="宋体" w:cs="Times New Roman"/>
      <w:color w:val="000000"/>
      <w:kern w:val="2"/>
      <w:sz w:val="24"/>
      <w:szCs w:val="24"/>
      <w:lang w:val="en-US" w:eastAsia="zh-CN" w:bidi="ar-SA"/>
    </w:rPr>
  </w:style>
  <w:style w:type="paragraph" w:customStyle="1" w:styleId="78">
    <w:name w:val="cucd-4"/>
    <w:next w:val="69"/>
    <w:link w:val="109"/>
    <w:qFormat/>
    <w:uiPriority w:val="0"/>
    <w:pPr>
      <w:numPr>
        <w:ilvl w:val="3"/>
        <w:numId w:val="1"/>
      </w:numPr>
      <w:tabs>
        <w:tab w:val="left" w:pos="1200"/>
      </w:tabs>
      <w:spacing w:line="360" w:lineRule="auto"/>
      <w:outlineLvl w:val="3"/>
    </w:pPr>
    <w:rPr>
      <w:rFonts w:ascii="Times New Roman" w:hAnsi="Times New Roman" w:eastAsia="宋体" w:cs="Times New Roman"/>
      <w:kern w:val="2"/>
      <w:sz w:val="24"/>
      <w:szCs w:val="24"/>
      <w:lang w:val="en-US" w:eastAsia="zh-CN" w:bidi="ar-SA"/>
    </w:rPr>
  </w:style>
  <w:style w:type="character" w:customStyle="1" w:styleId="79">
    <w:name w:val="p11"/>
    <w:autoRedefine/>
    <w:qFormat/>
    <w:uiPriority w:val="0"/>
    <w:rPr>
      <w:spacing w:val="280"/>
      <w:sz w:val="18"/>
      <w:szCs w:val="18"/>
    </w:rPr>
  </w:style>
  <w:style w:type="character" w:customStyle="1" w:styleId="80">
    <w:name w:val="页脚 字符"/>
    <w:basedOn w:val="54"/>
    <w:link w:val="32"/>
    <w:qFormat/>
    <w:uiPriority w:val="0"/>
    <w:rPr>
      <w:rFonts w:eastAsia="宋体"/>
      <w:kern w:val="2"/>
      <w:sz w:val="18"/>
      <w:szCs w:val="18"/>
      <w:lang w:val="en-US" w:eastAsia="zh-CN" w:bidi="ar-SA"/>
    </w:rPr>
  </w:style>
  <w:style w:type="character" w:customStyle="1" w:styleId="81">
    <w:name w:val="标题 9 字符"/>
    <w:link w:val="11"/>
    <w:qFormat/>
    <w:uiPriority w:val="0"/>
    <w:rPr>
      <w:rFonts w:ascii="Arial" w:hAnsi="Arial" w:eastAsia="黑体"/>
      <w:kern w:val="2"/>
      <w:sz w:val="21"/>
      <w:szCs w:val="21"/>
      <w:lang w:val="en-US" w:eastAsia="zh-CN" w:bidi="ar-SA"/>
    </w:rPr>
  </w:style>
  <w:style w:type="character" w:customStyle="1" w:styleId="82">
    <w:name w:val="正文缩进 字符"/>
    <w:link w:val="13"/>
    <w:autoRedefine/>
    <w:qFormat/>
    <w:uiPriority w:val="0"/>
    <w:rPr>
      <w:rFonts w:ascii="仿宋_GB2312" w:eastAsia="仿宋_GB2312"/>
      <w:kern w:val="2"/>
      <w:sz w:val="28"/>
      <w:lang w:val="en-US" w:eastAsia="zh-CN" w:bidi="ar-SA"/>
    </w:rPr>
  </w:style>
  <w:style w:type="character" w:customStyle="1" w:styleId="83">
    <w:name w:val="cucd-4 Char Char"/>
    <w:autoRedefine/>
    <w:qFormat/>
    <w:uiPriority w:val="0"/>
    <w:rPr>
      <w:b/>
      <w:kern w:val="2"/>
      <w:sz w:val="24"/>
      <w:szCs w:val="24"/>
      <w:lang w:val="en-US" w:eastAsia="zh-CN" w:bidi="ar-SA"/>
    </w:rPr>
  </w:style>
  <w:style w:type="character" w:customStyle="1" w:styleId="84">
    <w:name w:val="cucd-3 Char Char1"/>
    <w:link w:val="77"/>
    <w:autoRedefine/>
    <w:qFormat/>
    <w:uiPriority w:val="0"/>
    <w:rPr>
      <w:rFonts w:ascii="宋体" w:hAnsi="宋体"/>
      <w:color w:val="000000"/>
      <w:kern w:val="2"/>
      <w:sz w:val="24"/>
      <w:szCs w:val="24"/>
    </w:rPr>
  </w:style>
  <w:style w:type="character" w:customStyle="1" w:styleId="85">
    <w:name w:val="cucd-0 Char Char"/>
    <w:link w:val="69"/>
    <w:autoRedefine/>
    <w:qFormat/>
    <w:uiPriority w:val="0"/>
    <w:rPr>
      <w:kern w:val="2"/>
      <w:sz w:val="24"/>
      <w:szCs w:val="24"/>
      <w:lang w:val="en-US" w:eastAsia="zh-CN" w:bidi="ar-SA"/>
    </w:rPr>
  </w:style>
  <w:style w:type="character" w:customStyle="1" w:styleId="86">
    <w:name w:val="标题 3 字符"/>
    <w:basedOn w:val="54"/>
    <w:link w:val="5"/>
    <w:autoRedefine/>
    <w:qFormat/>
    <w:uiPriority w:val="0"/>
    <w:rPr>
      <w:rFonts w:eastAsia="宋体"/>
      <w:b/>
      <w:bCs/>
      <w:kern w:val="2"/>
      <w:sz w:val="32"/>
      <w:szCs w:val="32"/>
      <w:lang w:val="en-US" w:eastAsia="zh-CN" w:bidi="ar-SA"/>
    </w:rPr>
  </w:style>
  <w:style w:type="character" w:customStyle="1" w:styleId="87">
    <w:name w:val="纯文本 字符"/>
    <w:basedOn w:val="54"/>
    <w:link w:val="26"/>
    <w:autoRedefine/>
    <w:qFormat/>
    <w:uiPriority w:val="0"/>
    <w:rPr>
      <w:rFonts w:ascii="宋体" w:hAnsi="Courier New" w:eastAsia="宋体" w:cs="Courier New"/>
      <w:kern w:val="2"/>
      <w:sz w:val="21"/>
      <w:szCs w:val="21"/>
      <w:lang w:val="en-US" w:eastAsia="zh-CN" w:bidi="ar-SA"/>
    </w:rPr>
  </w:style>
  <w:style w:type="character" w:customStyle="1" w:styleId="88">
    <w:name w:val="标题 7 字符"/>
    <w:link w:val="9"/>
    <w:qFormat/>
    <w:uiPriority w:val="0"/>
    <w:rPr>
      <w:rFonts w:ascii="黑体" w:eastAsia="黑体"/>
      <w:bCs/>
      <w:sz w:val="28"/>
      <w:lang w:val="en-US" w:eastAsia="zh-CN" w:bidi="ar-SA"/>
    </w:rPr>
  </w:style>
  <w:style w:type="character" w:customStyle="1" w:styleId="89">
    <w:name w:val="5号宋体居中 Char Char"/>
    <w:qFormat/>
    <w:uiPriority w:val="0"/>
    <w:rPr>
      <w:rFonts w:ascii="Arial" w:hAnsi="Arial" w:eastAsia="黑体"/>
      <w:kern w:val="2"/>
      <w:sz w:val="21"/>
      <w:szCs w:val="21"/>
      <w:lang w:val="en-US" w:eastAsia="zh-CN" w:bidi="ar-SA"/>
    </w:rPr>
  </w:style>
  <w:style w:type="character" w:customStyle="1" w:styleId="90">
    <w:name w:val="Char Char2"/>
    <w:autoRedefine/>
    <w:qFormat/>
    <w:uiPriority w:val="0"/>
    <w:rPr>
      <w:kern w:val="2"/>
      <w:sz w:val="18"/>
      <w:szCs w:val="18"/>
    </w:rPr>
  </w:style>
  <w:style w:type="character" w:customStyle="1" w:styleId="91">
    <w:name w:val="cucd-TB Char Char"/>
    <w:link w:val="92"/>
    <w:autoRedefine/>
    <w:qFormat/>
    <w:uiPriority w:val="0"/>
    <w:rPr>
      <w:kern w:val="2"/>
      <w:sz w:val="21"/>
      <w:szCs w:val="24"/>
      <w:lang w:val="en-US" w:eastAsia="zh-CN" w:bidi="ar-SA"/>
    </w:rPr>
  </w:style>
  <w:style w:type="paragraph" w:customStyle="1" w:styleId="92">
    <w:name w:val="cucd-TB"/>
    <w:link w:val="91"/>
    <w:qFormat/>
    <w:uiPriority w:val="0"/>
    <w:pPr>
      <w:spacing w:line="360" w:lineRule="auto"/>
      <w:jc w:val="center"/>
    </w:pPr>
    <w:rPr>
      <w:rFonts w:ascii="Times New Roman" w:hAnsi="Times New Roman" w:eastAsia="宋体" w:cs="Times New Roman"/>
      <w:kern w:val="2"/>
      <w:sz w:val="21"/>
      <w:szCs w:val="24"/>
      <w:lang w:val="en-US" w:eastAsia="zh-CN" w:bidi="ar-SA"/>
    </w:rPr>
  </w:style>
  <w:style w:type="character" w:customStyle="1" w:styleId="93">
    <w:name w:val="标题 1 字符"/>
    <w:link w:val="3"/>
    <w:autoRedefine/>
    <w:qFormat/>
    <w:uiPriority w:val="0"/>
    <w:rPr>
      <w:rFonts w:ascii="宋体" w:eastAsia="宋体"/>
      <w:bCs/>
      <w:kern w:val="44"/>
      <w:sz w:val="36"/>
      <w:szCs w:val="44"/>
      <w:lang w:val="en-US" w:eastAsia="zh-CN" w:bidi="ar-SA"/>
    </w:rPr>
  </w:style>
  <w:style w:type="character" w:customStyle="1" w:styleId="94">
    <w:name w:val="cucd-C Char Char"/>
    <w:link w:val="95"/>
    <w:autoRedefine/>
    <w:qFormat/>
    <w:uiPriority w:val="0"/>
    <w:rPr>
      <w:b/>
      <w:kern w:val="2"/>
      <w:sz w:val="28"/>
      <w:szCs w:val="24"/>
      <w:lang w:val="en-US" w:eastAsia="zh-CN" w:bidi="ar-SA"/>
    </w:rPr>
  </w:style>
  <w:style w:type="paragraph" w:customStyle="1" w:styleId="95">
    <w:name w:val="cucd-C"/>
    <w:next w:val="69"/>
    <w:link w:val="94"/>
    <w:qFormat/>
    <w:uiPriority w:val="0"/>
    <w:pPr>
      <w:spacing w:line="360" w:lineRule="auto"/>
      <w:outlineLvl w:val="2"/>
    </w:pPr>
    <w:rPr>
      <w:rFonts w:ascii="Times New Roman" w:hAnsi="Times New Roman" w:eastAsia="宋体" w:cs="Times New Roman"/>
      <w:b/>
      <w:kern w:val="2"/>
      <w:sz w:val="28"/>
      <w:szCs w:val="24"/>
      <w:lang w:val="en-US" w:eastAsia="zh-CN" w:bidi="ar-SA"/>
    </w:rPr>
  </w:style>
  <w:style w:type="character" w:customStyle="1" w:styleId="96">
    <w:name w:val="小2号宋体居中行距2倍 Char Char"/>
    <w:qFormat/>
    <w:uiPriority w:val="0"/>
    <w:rPr>
      <w:rFonts w:ascii="宋体" w:eastAsia="宋体"/>
      <w:bCs/>
      <w:kern w:val="44"/>
      <w:sz w:val="36"/>
      <w:szCs w:val="44"/>
      <w:lang w:val="en-US" w:eastAsia="zh-CN" w:bidi="ar-SA"/>
    </w:rPr>
  </w:style>
  <w:style w:type="character" w:customStyle="1" w:styleId="97">
    <w:name w:val="cauc-0 Char1"/>
    <w:link w:val="98"/>
    <w:qFormat/>
    <w:uiPriority w:val="0"/>
    <w:rPr>
      <w:kern w:val="2"/>
      <w:sz w:val="24"/>
      <w:szCs w:val="24"/>
      <w:lang w:val="en-US" w:eastAsia="zh-CN" w:bidi="ar-SA"/>
    </w:rPr>
  </w:style>
  <w:style w:type="paragraph" w:customStyle="1" w:styleId="98">
    <w:name w:val="cauc-0"/>
    <w:link w:val="97"/>
    <w:autoRedefine/>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99">
    <w:name w:val="Char Char3"/>
    <w:autoRedefine/>
    <w:semiHidden/>
    <w:qFormat/>
    <w:uiPriority w:val="0"/>
    <w:rPr>
      <w:rFonts w:ascii="Arial" w:hAnsi="Arial" w:eastAsia="黑体"/>
      <w:b/>
      <w:sz w:val="28"/>
      <w:lang w:val="en-US" w:eastAsia="zh-CN" w:bidi="ar-SA"/>
    </w:rPr>
  </w:style>
  <w:style w:type="character" w:customStyle="1" w:styleId="100">
    <w:name w:val="正文文本缩进 2 字符"/>
    <w:link w:val="29"/>
    <w:autoRedefine/>
    <w:qFormat/>
    <w:uiPriority w:val="0"/>
    <w:rPr>
      <w:rFonts w:ascii="仿宋_GB2312" w:hAnsi="宋体" w:eastAsia="仿宋_GB2312"/>
      <w:kern w:val="2"/>
      <w:sz w:val="28"/>
      <w:szCs w:val="24"/>
      <w:lang w:val="en-US" w:eastAsia="zh-CN" w:bidi="ar-SA"/>
    </w:rPr>
  </w:style>
  <w:style w:type="character" w:customStyle="1" w:styleId="101">
    <w:name w:val="样式 cucd-3 + (中文) 黑体 小三 Char Char"/>
    <w:link w:val="102"/>
    <w:autoRedefine/>
    <w:qFormat/>
    <w:uiPriority w:val="0"/>
    <w:rPr>
      <w:rFonts w:ascii="宋体" w:hAnsi="宋体"/>
      <w:bCs/>
      <w:color w:val="000000"/>
      <w:kern w:val="2"/>
      <w:sz w:val="24"/>
      <w:szCs w:val="24"/>
      <w:lang w:val="en-US" w:eastAsia="zh-CN" w:bidi="ar-SA"/>
    </w:rPr>
  </w:style>
  <w:style w:type="paragraph" w:customStyle="1" w:styleId="102">
    <w:name w:val="样式 cucd-3 + (中文) 黑体 小三"/>
    <w:basedOn w:val="77"/>
    <w:link w:val="101"/>
    <w:autoRedefine/>
    <w:qFormat/>
    <w:uiPriority w:val="0"/>
    <w:pPr>
      <w:numPr>
        <w:numId w:val="0"/>
      </w:numPr>
      <w:ind w:left="1820" w:hanging="420"/>
    </w:pPr>
    <w:rPr>
      <w:bCs/>
    </w:rPr>
  </w:style>
  <w:style w:type="character" w:customStyle="1" w:styleId="103">
    <w:name w:val="title_emph"/>
    <w:basedOn w:val="54"/>
    <w:autoRedefine/>
    <w:qFormat/>
    <w:uiPriority w:val="0"/>
  </w:style>
  <w:style w:type="character" w:customStyle="1" w:styleId="104">
    <w:name w:val="标题 4 字符"/>
    <w:link w:val="6"/>
    <w:autoRedefine/>
    <w:qFormat/>
    <w:uiPriority w:val="0"/>
    <w:rPr>
      <w:rFonts w:ascii="Arial" w:hAnsi="Arial" w:eastAsia="黑体"/>
      <w:b/>
      <w:sz w:val="28"/>
    </w:rPr>
  </w:style>
  <w:style w:type="character" w:customStyle="1" w:styleId="105">
    <w:name w:val="cucd-3 Char Char"/>
    <w:autoRedefine/>
    <w:qFormat/>
    <w:uiPriority w:val="0"/>
    <w:rPr>
      <w:rFonts w:eastAsia="宋体"/>
      <w:b/>
      <w:color w:val="FF0000"/>
      <w:kern w:val="2"/>
      <w:sz w:val="28"/>
      <w:szCs w:val="24"/>
      <w:lang w:val="en-US" w:eastAsia="zh-CN" w:bidi="ar-SA"/>
    </w:rPr>
  </w:style>
  <w:style w:type="character" w:customStyle="1" w:styleId="106">
    <w:name w:val="4号黑体左空2格行距1倍 Char Char"/>
    <w:autoRedefine/>
    <w:qFormat/>
    <w:uiPriority w:val="0"/>
    <w:rPr>
      <w:rFonts w:ascii="黑体" w:eastAsia="黑体"/>
      <w:bCs/>
      <w:sz w:val="28"/>
      <w:lang w:val="en-US" w:eastAsia="zh-CN" w:bidi="ar-SA"/>
    </w:rPr>
  </w:style>
  <w:style w:type="character" w:customStyle="1" w:styleId="107">
    <w:name w:val="标题 2 字符"/>
    <w:link w:val="4"/>
    <w:qFormat/>
    <w:uiPriority w:val="0"/>
    <w:rPr>
      <w:rFonts w:ascii="Arial" w:hAnsi="Arial" w:eastAsia="黑体"/>
      <w:b/>
      <w:bCs/>
      <w:kern w:val="2"/>
      <w:sz w:val="32"/>
      <w:szCs w:val="32"/>
      <w:lang w:val="en-US" w:eastAsia="zh-CN" w:bidi="ar-SA"/>
    </w:rPr>
  </w:style>
  <w:style w:type="character" w:customStyle="1" w:styleId="108">
    <w:name w:val="cucd-3 Char1"/>
    <w:autoRedefine/>
    <w:qFormat/>
    <w:uiPriority w:val="0"/>
    <w:rPr>
      <w:rFonts w:eastAsia="宋体"/>
      <w:b/>
      <w:kern w:val="2"/>
      <w:sz w:val="28"/>
      <w:szCs w:val="24"/>
      <w:lang w:val="en-US" w:eastAsia="zh-CN" w:bidi="ar-SA"/>
    </w:rPr>
  </w:style>
  <w:style w:type="character" w:customStyle="1" w:styleId="109">
    <w:name w:val="cucd-4 Char Char1"/>
    <w:link w:val="78"/>
    <w:autoRedefine/>
    <w:qFormat/>
    <w:uiPriority w:val="0"/>
    <w:rPr>
      <w:kern w:val="2"/>
      <w:sz w:val="24"/>
      <w:szCs w:val="24"/>
    </w:rPr>
  </w:style>
  <w:style w:type="character" w:customStyle="1" w:styleId="110">
    <w:name w:val="cucd-2 Char Char"/>
    <w:link w:val="76"/>
    <w:autoRedefine/>
    <w:qFormat/>
    <w:uiPriority w:val="0"/>
    <w:rPr>
      <w:rFonts w:ascii="宋体" w:hAnsi="宋体"/>
      <w:b/>
      <w:bCs/>
      <w:color w:val="000000"/>
      <w:kern w:val="2"/>
      <w:sz w:val="24"/>
      <w:szCs w:val="24"/>
    </w:rPr>
  </w:style>
  <w:style w:type="character" w:customStyle="1" w:styleId="111">
    <w:name w:val="4号宋体左齐行距1.25倍 Char Char"/>
    <w:autoRedefine/>
    <w:qFormat/>
    <w:uiPriority w:val="0"/>
    <w:rPr>
      <w:rFonts w:ascii="Arial" w:hAnsi="Arial" w:eastAsia="黑体"/>
      <w:b/>
      <w:sz w:val="24"/>
      <w:lang w:val="en-US" w:eastAsia="zh-CN" w:bidi="ar-SA"/>
    </w:rPr>
  </w:style>
  <w:style w:type="character" w:customStyle="1" w:styleId="112">
    <w:name w:val="尾注文本 字符"/>
    <w:link w:val="30"/>
    <w:autoRedefine/>
    <w:qFormat/>
    <w:uiPriority w:val="0"/>
    <w:rPr>
      <w:sz w:val="24"/>
      <w:lang w:bidi="ar-SA"/>
    </w:rPr>
  </w:style>
  <w:style w:type="character" w:customStyle="1" w:styleId="113">
    <w:name w:val="标题 6 字符"/>
    <w:link w:val="8"/>
    <w:autoRedefine/>
    <w:qFormat/>
    <w:uiPriority w:val="0"/>
    <w:rPr>
      <w:rFonts w:ascii="Arial" w:hAnsi="Arial" w:eastAsia="黑体"/>
      <w:b/>
      <w:sz w:val="24"/>
      <w:lang w:val="en-US" w:eastAsia="zh-CN" w:bidi="ar-SA"/>
    </w:rPr>
  </w:style>
  <w:style w:type="character" w:customStyle="1" w:styleId="114">
    <w:name w:val="h31"/>
    <w:qFormat/>
    <w:uiPriority w:val="0"/>
    <w:rPr>
      <w:spacing w:val="330"/>
      <w:sz w:val="21"/>
      <w:szCs w:val="21"/>
    </w:rPr>
  </w:style>
  <w:style w:type="paragraph" w:customStyle="1" w:styleId="115">
    <w:name w:val="标题 11"/>
    <w:basedOn w:val="3"/>
    <w:next w:val="3"/>
    <w:autoRedefine/>
    <w:qFormat/>
    <w:uiPriority w:val="0"/>
    <w:pPr>
      <w:keepNext w:val="0"/>
      <w:keepLines w:val="0"/>
      <w:widowControl/>
      <w:numPr>
        <w:ilvl w:val="0"/>
        <w:numId w:val="2"/>
      </w:numPr>
      <w:tabs>
        <w:tab w:val="left" w:pos="425"/>
        <w:tab w:val="clear" w:pos="360"/>
      </w:tabs>
      <w:overflowPunct w:val="0"/>
      <w:spacing w:before="240" w:after="120" w:line="360" w:lineRule="auto"/>
      <w:ind w:left="425" w:hanging="425"/>
    </w:pPr>
    <w:rPr>
      <w:rFonts w:ascii="楷体" w:eastAsia="楷体"/>
      <w:b/>
      <w:bCs w:val="0"/>
      <w:sz w:val="40"/>
      <w:szCs w:val="20"/>
      <w:lang w:val="en-GB"/>
    </w:rPr>
  </w:style>
  <w:style w:type="paragraph" w:customStyle="1" w:styleId="116">
    <w:name w:val="cucd-A"/>
    <w:next w:val="69"/>
    <w:qFormat/>
    <w:uiPriority w:val="0"/>
    <w:pPr>
      <w:pageBreakBefore/>
      <w:spacing w:beforeLines="100" w:afterLines="50" w:line="360" w:lineRule="auto"/>
      <w:jc w:val="center"/>
      <w:outlineLvl w:val="0"/>
    </w:pPr>
    <w:rPr>
      <w:rFonts w:ascii="Times New Roman" w:hAnsi="Times New Roman" w:eastAsia="黑体" w:cs="Times New Roman"/>
      <w:b/>
      <w:kern w:val="2"/>
      <w:sz w:val="36"/>
      <w:szCs w:val="24"/>
      <w:lang w:val="en-US" w:eastAsia="zh-CN" w:bidi="ar-SA"/>
    </w:rPr>
  </w:style>
  <w:style w:type="paragraph" w:customStyle="1" w:styleId="117">
    <w:name w:val="①"/>
    <w:basedOn w:val="1"/>
    <w:autoRedefine/>
    <w:qFormat/>
    <w:uiPriority w:val="0"/>
    <w:pPr>
      <w:tabs>
        <w:tab w:val="left" w:pos="5529"/>
        <w:tab w:val="right" w:pos="6946"/>
        <w:tab w:val="left" w:pos="7088"/>
      </w:tabs>
      <w:spacing w:beforeLines="0" w:line="240" w:lineRule="auto"/>
      <w:ind w:left="1134" w:leftChars="540"/>
      <w:jc w:val="both"/>
    </w:pPr>
    <w:rPr>
      <w:rFonts w:ascii="Tahoma" w:hAnsi="Tahoma" w:eastAsia="MS Mincho" w:cs="Tahoma"/>
      <w:sz w:val="21"/>
      <w:lang w:val="en-AU" w:eastAsia="ja-JP"/>
    </w:rPr>
  </w:style>
  <w:style w:type="paragraph" w:customStyle="1" w:styleId="118">
    <w:name w:val="段2後"/>
    <w:basedOn w:val="1"/>
    <w:next w:val="1"/>
    <w:qFormat/>
    <w:uiPriority w:val="0"/>
    <w:pPr>
      <w:autoSpaceDE w:val="0"/>
      <w:autoSpaceDN w:val="0"/>
      <w:adjustRightInd w:val="0"/>
      <w:spacing w:beforeLines="0" w:line="440" w:lineRule="atLeast"/>
      <w:ind w:left="425"/>
      <w:jc w:val="both"/>
      <w:textAlignment w:val="baseline"/>
    </w:pPr>
    <w:rPr>
      <w:rFonts w:ascii="MS Mincho" w:hAnsi="Century" w:eastAsia="MS Mincho"/>
      <w:kern w:val="0"/>
      <w:sz w:val="21"/>
      <w:szCs w:val="20"/>
      <w:lang w:eastAsia="ja-JP"/>
    </w:rPr>
  </w:style>
  <w:style w:type="paragraph" w:customStyle="1" w:styleId="119">
    <w:name w:val="Char"/>
    <w:basedOn w:val="1"/>
    <w:autoRedefine/>
    <w:qFormat/>
    <w:uiPriority w:val="0"/>
    <w:pPr>
      <w:widowControl/>
      <w:spacing w:afterLines="50" w:line="400" w:lineRule="exact"/>
      <w:jc w:val="center"/>
    </w:pPr>
    <w:rPr>
      <w:szCs w:val="20"/>
    </w:rPr>
  </w:style>
  <w:style w:type="paragraph" w:customStyle="1" w:styleId="120">
    <w:name w:val="段1後"/>
    <w:basedOn w:val="1"/>
    <w:next w:val="1"/>
    <w:autoRedefine/>
    <w:qFormat/>
    <w:uiPriority w:val="0"/>
    <w:pPr>
      <w:autoSpaceDE w:val="0"/>
      <w:autoSpaceDN w:val="0"/>
      <w:adjustRightInd w:val="0"/>
      <w:spacing w:beforeLines="0" w:line="440" w:lineRule="atLeast"/>
      <w:ind w:left="216"/>
      <w:jc w:val="both"/>
      <w:textAlignment w:val="baseline"/>
    </w:pPr>
    <w:rPr>
      <w:rFonts w:ascii="MS Mincho" w:hAnsi="Century" w:eastAsia="MS Mincho"/>
      <w:kern w:val="0"/>
      <w:sz w:val="21"/>
      <w:szCs w:val="20"/>
      <w:lang w:eastAsia="ja-JP"/>
    </w:rPr>
  </w:style>
  <w:style w:type="paragraph" w:customStyle="1" w:styleId="121">
    <w:name w:val="段3"/>
    <w:basedOn w:val="1"/>
    <w:next w:val="122"/>
    <w:autoRedefine/>
    <w:qFormat/>
    <w:uiPriority w:val="0"/>
    <w:pPr>
      <w:tabs>
        <w:tab w:val="right" w:pos="635"/>
        <w:tab w:val="left" w:pos="851"/>
      </w:tabs>
      <w:autoSpaceDE w:val="0"/>
      <w:autoSpaceDN w:val="0"/>
      <w:adjustRightInd w:val="0"/>
      <w:spacing w:beforeLines="0" w:line="440" w:lineRule="atLeast"/>
      <w:ind w:left="635" w:hanging="635"/>
      <w:jc w:val="both"/>
      <w:textAlignment w:val="baseline"/>
    </w:pPr>
    <w:rPr>
      <w:rFonts w:ascii="MS Gothic" w:hAnsi="Century" w:eastAsia="MS Gothic"/>
      <w:kern w:val="0"/>
      <w:sz w:val="21"/>
      <w:szCs w:val="20"/>
      <w:lang w:eastAsia="ja-JP"/>
    </w:rPr>
  </w:style>
  <w:style w:type="paragraph" w:customStyle="1" w:styleId="122">
    <w:name w:val="段3後"/>
    <w:basedOn w:val="1"/>
    <w:next w:val="1"/>
    <w:qFormat/>
    <w:uiPriority w:val="0"/>
    <w:pPr>
      <w:autoSpaceDE w:val="0"/>
      <w:autoSpaceDN w:val="0"/>
      <w:adjustRightInd w:val="0"/>
      <w:spacing w:beforeLines="0" w:line="440" w:lineRule="atLeast"/>
      <w:ind w:left="635"/>
      <w:jc w:val="both"/>
      <w:textAlignment w:val="baseline"/>
    </w:pPr>
    <w:rPr>
      <w:rFonts w:ascii="MS Mincho" w:hAnsi="Century" w:eastAsia="MS Mincho"/>
      <w:kern w:val="0"/>
      <w:sz w:val="21"/>
      <w:szCs w:val="20"/>
      <w:lang w:eastAsia="ja-JP"/>
    </w:rPr>
  </w:style>
  <w:style w:type="paragraph" w:customStyle="1" w:styleId="123">
    <w:name w:val="cauc-TB"/>
    <w:qFormat/>
    <w:uiPriority w:val="0"/>
    <w:pPr>
      <w:jc w:val="center"/>
    </w:pPr>
    <w:rPr>
      <w:rFonts w:ascii="Times New Roman" w:hAnsi="Times New Roman" w:eastAsia="宋体" w:cs="Times New Roman"/>
      <w:kern w:val="2"/>
      <w:sz w:val="24"/>
      <w:szCs w:val="24"/>
      <w:lang w:val="en-US" w:eastAsia="zh-CN" w:bidi="ar-SA"/>
    </w:rPr>
  </w:style>
  <w:style w:type="paragraph" w:customStyle="1" w:styleId="124">
    <w:name w:val="Char4"/>
    <w:basedOn w:val="1"/>
    <w:autoRedefine/>
    <w:qFormat/>
    <w:uiPriority w:val="0"/>
    <w:pPr>
      <w:spacing w:beforeLines="0" w:line="240" w:lineRule="auto"/>
      <w:jc w:val="both"/>
    </w:pPr>
    <w:rPr>
      <w:sz w:val="21"/>
    </w:rPr>
  </w:style>
  <w:style w:type="paragraph" w:customStyle="1" w:styleId="125">
    <w:name w:val="标题 21"/>
    <w:basedOn w:val="1"/>
    <w:next w:val="126"/>
    <w:autoRedefine/>
    <w:qFormat/>
    <w:uiPriority w:val="0"/>
    <w:pPr>
      <w:widowControl/>
      <w:overflowPunct w:val="0"/>
      <w:autoSpaceDE w:val="0"/>
      <w:autoSpaceDN w:val="0"/>
      <w:adjustRightInd w:val="0"/>
      <w:spacing w:beforeLines="0"/>
      <w:textAlignment w:val="baseline"/>
    </w:pPr>
    <w:rPr>
      <w:rFonts w:ascii="楷体" w:eastAsia="楷体"/>
      <w:b/>
      <w:kern w:val="0"/>
      <w:sz w:val="36"/>
      <w:szCs w:val="20"/>
      <w:lang w:val="en-GB"/>
    </w:rPr>
  </w:style>
  <w:style w:type="paragraph" w:customStyle="1" w:styleId="126">
    <w:name w:val="标题 31"/>
    <w:basedOn w:val="1"/>
    <w:next w:val="127"/>
    <w:autoRedefine/>
    <w:qFormat/>
    <w:uiPriority w:val="0"/>
    <w:pPr>
      <w:widowControl/>
      <w:overflowPunct w:val="0"/>
      <w:autoSpaceDE w:val="0"/>
      <w:autoSpaceDN w:val="0"/>
      <w:adjustRightInd w:val="0"/>
      <w:spacing w:beforeLines="0"/>
      <w:textAlignment w:val="baseline"/>
    </w:pPr>
    <w:rPr>
      <w:rFonts w:ascii="楷体" w:eastAsia="楷体"/>
      <w:b/>
      <w:kern w:val="0"/>
      <w:sz w:val="32"/>
      <w:szCs w:val="20"/>
      <w:lang w:val="en-GB"/>
    </w:rPr>
  </w:style>
  <w:style w:type="paragraph" w:customStyle="1" w:styleId="127">
    <w:name w:val="正文1"/>
    <w:basedOn w:val="1"/>
    <w:autoRedefine/>
    <w:qFormat/>
    <w:uiPriority w:val="0"/>
    <w:pPr>
      <w:widowControl/>
      <w:overflowPunct w:val="0"/>
      <w:autoSpaceDE w:val="0"/>
      <w:autoSpaceDN w:val="0"/>
      <w:adjustRightInd w:val="0"/>
      <w:spacing w:beforeLines="0"/>
      <w:ind w:left="567" w:firstLine="567"/>
      <w:jc w:val="both"/>
      <w:textAlignment w:val="baseline"/>
    </w:pPr>
    <w:rPr>
      <w:rFonts w:ascii="楷体" w:eastAsia="楷体"/>
      <w:kern w:val="0"/>
      <w:sz w:val="28"/>
      <w:szCs w:val="20"/>
      <w:lang w:val="en-GB"/>
    </w:rPr>
  </w:style>
  <w:style w:type="paragraph" w:customStyle="1" w:styleId="128">
    <w:name w:val="1-表内"/>
    <w:basedOn w:val="1"/>
    <w:autoRedefine/>
    <w:qFormat/>
    <w:uiPriority w:val="0"/>
    <w:pPr>
      <w:spacing w:beforeLines="0" w:line="360" w:lineRule="exact"/>
      <w:jc w:val="center"/>
    </w:pPr>
    <w:rPr>
      <w:rFonts w:ascii="宋体" w:hAnsi="宋体"/>
      <w:bCs/>
      <w:sz w:val="21"/>
      <w:szCs w:val="21"/>
    </w:rPr>
  </w:style>
  <w:style w:type="paragraph" w:customStyle="1" w:styleId="129">
    <w:name w:val="xl34"/>
    <w:basedOn w:val="1"/>
    <w:autoRedefine/>
    <w:qFormat/>
    <w:uiPriority w:val="0"/>
    <w:pPr>
      <w:widowControl/>
      <w:pBdr>
        <w:top w:val="single" w:color="auto" w:sz="4" w:space="0"/>
        <w:left w:val="single" w:color="auto" w:sz="4" w:space="0"/>
        <w:right w:val="single" w:color="auto" w:sz="4" w:space="0"/>
      </w:pBdr>
      <w:tabs>
        <w:tab w:val="left" w:pos="1320"/>
      </w:tabs>
      <w:spacing w:beforeLines="0" w:beforeAutospacing="1" w:afterAutospacing="1" w:line="360" w:lineRule="exact"/>
      <w:jc w:val="center"/>
      <w:textAlignment w:val="center"/>
    </w:pPr>
    <w:rPr>
      <w:rFonts w:eastAsia="Arial Unicode MS"/>
      <w:b/>
      <w:kern w:val="0"/>
      <w:sz w:val="18"/>
      <w:szCs w:val="18"/>
    </w:rPr>
  </w:style>
  <w:style w:type="paragraph" w:customStyle="1" w:styleId="130">
    <w:name w:val="正文11"/>
    <w:link w:val="247"/>
    <w:autoRedefine/>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31">
    <w:name w:val="正文1 Char Char Char"/>
    <w:basedOn w:val="1"/>
    <w:qFormat/>
    <w:uiPriority w:val="0"/>
    <w:pPr>
      <w:adjustRightInd w:val="0"/>
      <w:snapToGrid w:val="0"/>
      <w:spacing w:beforeLines="0" w:line="240" w:lineRule="auto"/>
      <w:jc w:val="both"/>
    </w:pPr>
    <w:rPr>
      <w:szCs w:val="20"/>
    </w:rPr>
  </w:style>
  <w:style w:type="paragraph" w:customStyle="1" w:styleId="132">
    <w:name w:val="cucd-B"/>
    <w:next w:val="69"/>
    <w:autoRedefine/>
    <w:qFormat/>
    <w:uiPriority w:val="0"/>
    <w:pPr>
      <w:spacing w:line="360" w:lineRule="auto"/>
      <w:outlineLvl w:val="1"/>
    </w:pPr>
    <w:rPr>
      <w:rFonts w:ascii="Times New Roman" w:hAnsi="Times New Roman" w:eastAsia="黑体" w:cs="Times New Roman"/>
      <w:kern w:val="2"/>
      <w:sz w:val="30"/>
      <w:szCs w:val="24"/>
      <w:lang w:val="en-US" w:eastAsia="zh-CN" w:bidi="ar-SA"/>
    </w:rPr>
  </w:style>
  <w:style w:type="paragraph" w:customStyle="1" w:styleId="133">
    <w:name w:val="cucd-D"/>
    <w:next w:val="69"/>
    <w:qFormat/>
    <w:uiPriority w:val="0"/>
    <w:pPr>
      <w:spacing w:line="360" w:lineRule="auto"/>
      <w:outlineLvl w:val="3"/>
    </w:pPr>
    <w:rPr>
      <w:rFonts w:ascii="Times New Roman" w:hAnsi="Times New Roman" w:eastAsia="宋体" w:cs="Times New Roman"/>
      <w:b/>
      <w:kern w:val="2"/>
      <w:sz w:val="24"/>
      <w:szCs w:val="24"/>
      <w:lang w:val="en-US" w:eastAsia="zh-CN" w:bidi="ar-SA"/>
    </w:rPr>
  </w:style>
  <w:style w:type="paragraph" w:customStyle="1" w:styleId="134">
    <w:name w:val="cauc-0 Char"/>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35">
    <w:name w:val="默认段落字体 Para Char Char Char Char"/>
    <w:basedOn w:val="1"/>
    <w:autoRedefine/>
    <w:qFormat/>
    <w:uiPriority w:val="0"/>
    <w:pPr>
      <w:spacing w:afterLines="50"/>
      <w:jc w:val="both"/>
    </w:pPr>
  </w:style>
  <w:style w:type="paragraph" w:customStyle="1" w:styleId="136">
    <w:name w:val="Char11"/>
    <w:basedOn w:val="1"/>
    <w:autoRedefine/>
    <w:qFormat/>
    <w:uiPriority w:val="0"/>
    <w:pPr>
      <w:widowControl/>
      <w:spacing w:beforeLines="0" w:line="400" w:lineRule="exact"/>
      <w:jc w:val="center"/>
    </w:pPr>
    <w:rPr>
      <w:rFonts w:ascii="Verdana" w:hAnsi="Verdana"/>
      <w:kern w:val="0"/>
      <w:sz w:val="21"/>
      <w:szCs w:val="20"/>
      <w:lang w:eastAsia="en-US"/>
    </w:rPr>
  </w:style>
  <w:style w:type="paragraph" w:customStyle="1" w:styleId="137">
    <w:name w:val="样式2"/>
    <w:basedOn w:val="1"/>
    <w:autoRedefine/>
    <w:qFormat/>
    <w:uiPriority w:val="0"/>
    <w:pPr>
      <w:tabs>
        <w:tab w:val="left" w:pos="360"/>
      </w:tabs>
      <w:adjustRightInd w:val="0"/>
      <w:snapToGrid w:val="0"/>
      <w:spacing w:beforeLines="0"/>
      <w:jc w:val="both"/>
    </w:pPr>
    <w:rPr>
      <w:rFonts w:ascii="宋体" w:hAnsi="宋体"/>
    </w:rPr>
  </w:style>
  <w:style w:type="paragraph" w:customStyle="1" w:styleId="138">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pPr>
    <w:rPr>
      <w:rFonts w:ascii="Arial Unicode MS" w:hAnsi="Arial Unicode MS"/>
      <w:bCs/>
      <w:kern w:val="0"/>
      <w:szCs w:val="21"/>
    </w:rPr>
  </w:style>
  <w:style w:type="paragraph" w:customStyle="1" w:styleId="139">
    <w:name w:val="Char Char Char Char Char Char Char"/>
    <w:basedOn w:val="1"/>
    <w:autoRedefine/>
    <w:qFormat/>
    <w:uiPriority w:val="0"/>
    <w:pPr>
      <w:spacing w:beforeLines="0"/>
    </w:pPr>
    <w:rPr>
      <w:szCs w:val="20"/>
    </w:rPr>
  </w:style>
  <w:style w:type="paragraph" w:customStyle="1" w:styleId="140">
    <w:name w:val="普通表格1"/>
    <w:basedOn w:val="26"/>
    <w:autoRedefine/>
    <w:qFormat/>
    <w:uiPriority w:val="0"/>
    <w:pPr>
      <w:snapToGrid w:val="0"/>
      <w:spacing w:line="380" w:lineRule="exact"/>
    </w:pPr>
    <w:rPr>
      <w:rFonts w:ascii="Times New Roman" w:hAnsi="Times New Roman" w:cs="Times New Roman"/>
      <w:sz w:val="24"/>
      <w:szCs w:val="24"/>
    </w:rPr>
  </w:style>
  <w:style w:type="paragraph" w:customStyle="1" w:styleId="141">
    <w:name w:val="样式 (西文) Arial (中文) 宋体 两端对齐 加宽量  0.6 磅 行距: 1.5 倍行距 首行缩进:  2 ..."/>
    <w:basedOn w:val="1"/>
    <w:autoRedefine/>
    <w:qFormat/>
    <w:uiPriority w:val="0"/>
    <w:pPr>
      <w:adjustRightInd w:val="0"/>
      <w:spacing w:beforeLines="0"/>
      <w:ind w:firstLine="528" w:firstLineChars="200"/>
      <w:jc w:val="both"/>
      <w:textAlignment w:val="baseline"/>
    </w:pPr>
    <w:rPr>
      <w:rFonts w:ascii="Arial" w:hAnsi="Arial" w:eastAsia="仿宋_GB2312"/>
      <w:spacing w:val="12"/>
      <w:szCs w:val="20"/>
      <w:lang w:eastAsia="zh-TW"/>
    </w:rPr>
  </w:style>
  <w:style w:type="paragraph" w:customStyle="1" w:styleId="142">
    <w:name w:val="样式 宋体 小四 段前: 6 磅 段后: 6 磅"/>
    <w:basedOn w:val="1"/>
    <w:autoRedefine/>
    <w:qFormat/>
    <w:uiPriority w:val="0"/>
    <w:pPr>
      <w:spacing w:beforeLines="0" w:line="240" w:lineRule="auto"/>
      <w:ind w:firstLine="480" w:firstLineChars="200"/>
      <w:jc w:val="both"/>
    </w:pPr>
    <w:rPr>
      <w:rFonts w:ascii="宋体" w:hAnsi="宋体"/>
      <w:szCs w:val="20"/>
    </w:rPr>
  </w:style>
  <w:style w:type="paragraph" w:customStyle="1" w:styleId="143">
    <w:name w:val="段1"/>
    <w:basedOn w:val="1"/>
    <w:next w:val="120"/>
    <w:autoRedefine/>
    <w:qFormat/>
    <w:uiPriority w:val="0"/>
    <w:pPr>
      <w:autoSpaceDE w:val="0"/>
      <w:autoSpaceDN w:val="0"/>
      <w:adjustRightInd w:val="0"/>
      <w:spacing w:beforeLines="0" w:line="440" w:lineRule="atLeast"/>
      <w:ind w:left="284" w:hanging="284"/>
      <w:jc w:val="both"/>
      <w:textAlignment w:val="baseline"/>
    </w:pPr>
    <w:rPr>
      <w:rFonts w:ascii="MS Gothic" w:hAnsi="Century" w:eastAsia="MS Gothic"/>
      <w:kern w:val="0"/>
      <w:szCs w:val="20"/>
      <w:lang w:eastAsia="ja-JP"/>
    </w:rPr>
  </w:style>
  <w:style w:type="paragraph" w:customStyle="1" w:styleId="144">
    <w:name w:val="Char Char Char Char Char Char Char Char Char Char"/>
    <w:basedOn w:val="1"/>
    <w:autoRedefine/>
    <w:qFormat/>
    <w:uiPriority w:val="0"/>
    <w:pPr>
      <w:spacing w:beforeLines="0" w:line="360" w:lineRule="exact"/>
      <w:jc w:val="center"/>
    </w:pPr>
    <w:rPr>
      <w:bCs/>
      <w:sz w:val="21"/>
      <w:szCs w:val="21"/>
    </w:rPr>
  </w:style>
  <w:style w:type="paragraph" w:customStyle="1" w:styleId="145">
    <w:name w:val="段2"/>
    <w:basedOn w:val="1"/>
    <w:next w:val="118"/>
    <w:autoRedefine/>
    <w:qFormat/>
    <w:uiPriority w:val="0"/>
    <w:pPr>
      <w:tabs>
        <w:tab w:val="right" w:pos="425"/>
        <w:tab w:val="left" w:pos="641"/>
      </w:tabs>
      <w:autoSpaceDE w:val="0"/>
      <w:autoSpaceDN w:val="0"/>
      <w:adjustRightInd w:val="0"/>
      <w:spacing w:beforeLines="0" w:line="440" w:lineRule="atLeast"/>
      <w:ind w:left="425" w:hanging="425"/>
      <w:jc w:val="both"/>
      <w:textAlignment w:val="baseline"/>
    </w:pPr>
    <w:rPr>
      <w:rFonts w:ascii="MS Gothic" w:hAnsi="Century" w:eastAsia="MS Gothic"/>
      <w:kern w:val="0"/>
      <w:sz w:val="21"/>
      <w:szCs w:val="20"/>
      <w:lang w:eastAsia="ja-JP"/>
    </w:rPr>
  </w:style>
  <w:style w:type="paragraph" w:customStyle="1" w:styleId="146">
    <w:name w:val="表前等"/>
    <w:basedOn w:val="1"/>
    <w:next w:val="1"/>
    <w:qFormat/>
    <w:uiPriority w:val="0"/>
    <w:pPr>
      <w:autoSpaceDE w:val="0"/>
      <w:autoSpaceDN w:val="0"/>
      <w:adjustRightInd w:val="0"/>
      <w:spacing w:beforeLines="0" w:line="100" w:lineRule="exact"/>
      <w:jc w:val="both"/>
      <w:textAlignment w:val="baseline"/>
    </w:pPr>
    <w:rPr>
      <w:rFonts w:ascii="MS Mincho" w:hAnsi="Century" w:eastAsia="MS Mincho"/>
      <w:kern w:val="0"/>
      <w:sz w:val="21"/>
      <w:szCs w:val="20"/>
      <w:lang w:eastAsia="ja-JP"/>
    </w:rPr>
  </w:style>
  <w:style w:type="paragraph" w:customStyle="1" w:styleId="147">
    <w:name w:val="样式 纯文本 + 行距: 1.5 倍行距"/>
    <w:basedOn w:val="26"/>
    <w:autoRedefine/>
    <w:qFormat/>
    <w:uiPriority w:val="0"/>
    <w:pPr>
      <w:snapToGrid w:val="0"/>
      <w:spacing w:beforeLines="50" w:line="360" w:lineRule="auto"/>
      <w:ind w:firstLine="480" w:firstLineChars="200"/>
    </w:pPr>
    <w:rPr>
      <w:rFonts w:ascii="Times New Roman" w:hAnsi="Times New Roman" w:cs="宋体"/>
      <w:sz w:val="24"/>
      <w:szCs w:val="20"/>
    </w:rPr>
  </w:style>
  <w:style w:type="paragraph" w:customStyle="1" w:styleId="148">
    <w:name w:val="Char Char Char Char"/>
    <w:basedOn w:val="1"/>
    <w:autoRedefine/>
    <w:qFormat/>
    <w:uiPriority w:val="0"/>
    <w:pPr>
      <w:widowControl/>
      <w:spacing w:beforeLines="0" w:line="400" w:lineRule="exact"/>
      <w:jc w:val="center"/>
    </w:pPr>
    <w:rPr>
      <w:rFonts w:ascii="Verdana" w:hAnsi="Verdana"/>
      <w:bCs/>
      <w:kern w:val="0"/>
      <w:sz w:val="21"/>
      <w:szCs w:val="20"/>
      <w:lang w:eastAsia="en-US"/>
    </w:rPr>
  </w:style>
  <w:style w:type="paragraph" w:customStyle="1" w:styleId="149">
    <w:name w:val="样式 标题 1 + 居中"/>
    <w:basedOn w:val="3"/>
    <w:qFormat/>
    <w:uiPriority w:val="0"/>
    <w:pPr>
      <w:autoSpaceDE w:val="0"/>
      <w:autoSpaceDN w:val="0"/>
      <w:adjustRightInd w:val="0"/>
      <w:textAlignment w:val="baseline"/>
    </w:pPr>
    <w:rPr>
      <w:rFonts w:ascii="Times New Roman"/>
      <w:b/>
      <w:bCs w:val="0"/>
      <w:snapToGrid w:val="0"/>
      <w:sz w:val="44"/>
      <w:szCs w:val="20"/>
    </w:rPr>
  </w:style>
  <w:style w:type="paragraph" w:customStyle="1" w:styleId="150">
    <w:name w:val="正文文本 21"/>
    <w:basedOn w:val="1"/>
    <w:autoRedefine/>
    <w:qFormat/>
    <w:uiPriority w:val="0"/>
    <w:pPr>
      <w:adjustRightInd w:val="0"/>
      <w:spacing w:beforeLines="0" w:line="400" w:lineRule="exact"/>
      <w:ind w:firstLine="567"/>
      <w:textAlignment w:val="baseline"/>
    </w:pPr>
    <w:rPr>
      <w:rFonts w:ascii="仿宋_GB2312"/>
      <w:bCs/>
      <w:color w:val="000000"/>
      <w:spacing w:val="20"/>
      <w:kern w:val="28"/>
      <w:szCs w:val="20"/>
    </w:rPr>
  </w:style>
  <w:style w:type="paragraph" w:customStyle="1" w:styleId="151">
    <w:name w:val="Char2"/>
    <w:basedOn w:val="1"/>
    <w:autoRedefine/>
    <w:qFormat/>
    <w:uiPriority w:val="0"/>
    <w:pPr>
      <w:spacing w:beforeLines="0" w:line="360" w:lineRule="exact"/>
      <w:jc w:val="center"/>
    </w:pPr>
    <w:rPr>
      <w:bCs/>
      <w:sz w:val="21"/>
      <w:szCs w:val="21"/>
    </w:rPr>
  </w:style>
  <w:style w:type="paragraph" w:customStyle="1" w:styleId="152">
    <w:name w:val="tll"/>
    <w:basedOn w:val="1"/>
    <w:autoRedefine/>
    <w:qFormat/>
    <w:uiPriority w:val="0"/>
    <w:pPr>
      <w:autoSpaceDE w:val="0"/>
      <w:autoSpaceDN w:val="0"/>
      <w:adjustRightInd w:val="0"/>
      <w:spacing w:beforeLines="0" w:line="360" w:lineRule="exact"/>
      <w:textAlignment w:val="baseline"/>
    </w:pPr>
    <w:rPr>
      <w:rFonts w:ascii="仿宋_GB2312" w:hAnsi="Arial" w:eastAsia="仿宋_GB2312"/>
      <w:bCs/>
      <w:kern w:val="0"/>
      <w:sz w:val="21"/>
      <w:szCs w:val="20"/>
    </w:rPr>
  </w:style>
  <w:style w:type="paragraph" w:customStyle="1" w:styleId="153">
    <w:name w:val="样式1"/>
    <w:basedOn w:val="1"/>
    <w:autoRedefine/>
    <w:qFormat/>
    <w:uiPriority w:val="0"/>
    <w:pPr>
      <w:adjustRightInd w:val="0"/>
      <w:spacing w:beforeLines="0" w:line="420" w:lineRule="auto"/>
      <w:jc w:val="center"/>
      <w:textAlignment w:val="baseline"/>
    </w:pPr>
    <w:rPr>
      <w:rFonts w:ascii="宋体"/>
      <w:bCs/>
      <w:kern w:val="0"/>
      <w:szCs w:val="20"/>
    </w:rPr>
  </w:style>
  <w:style w:type="paragraph" w:customStyle="1" w:styleId="154">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55">
    <w:name w:val="xl31"/>
    <w:basedOn w:val="1"/>
    <w:autoRedefine/>
    <w:qFormat/>
    <w:uiPriority w:val="0"/>
    <w:pPr>
      <w:widowControl/>
      <w:spacing w:beforeLines="0" w:line="360" w:lineRule="exact"/>
      <w:jc w:val="center"/>
      <w:textAlignment w:val="center"/>
    </w:pPr>
    <w:rPr>
      <w:rFonts w:ascii="Arial" w:hAnsi="Arial"/>
      <w:bCs/>
      <w:kern w:val="0"/>
      <w:sz w:val="18"/>
      <w:szCs w:val="20"/>
    </w:rPr>
  </w:style>
  <w:style w:type="paragraph" w:customStyle="1" w:styleId="156">
    <w:name w:val="(1)"/>
    <w:basedOn w:val="1"/>
    <w:autoRedefine/>
    <w:qFormat/>
    <w:uiPriority w:val="0"/>
    <w:pPr>
      <w:tabs>
        <w:tab w:val="left" w:pos="573"/>
      </w:tabs>
      <w:adjustRightInd w:val="0"/>
      <w:snapToGrid w:val="0"/>
      <w:spacing w:beforeLines="0" w:line="240" w:lineRule="atLeast"/>
      <w:jc w:val="center"/>
      <w:textAlignment w:val="baseline"/>
    </w:pPr>
    <w:rPr>
      <w:rFonts w:ascii="Arial" w:hAnsi="Arial"/>
      <w:bCs/>
      <w:kern w:val="44"/>
      <w:szCs w:val="21"/>
    </w:rPr>
  </w:style>
  <w:style w:type="paragraph" w:customStyle="1" w:styleId="157">
    <w:name w:val="Char2 Char Char Char"/>
    <w:basedOn w:val="1"/>
    <w:autoRedefine/>
    <w:qFormat/>
    <w:uiPriority w:val="0"/>
    <w:pPr>
      <w:spacing w:beforeLines="0" w:line="240" w:lineRule="auto"/>
      <w:jc w:val="both"/>
    </w:pPr>
    <w:rPr>
      <w:sz w:val="21"/>
      <w:szCs w:val="21"/>
    </w:rPr>
  </w:style>
  <w:style w:type="paragraph" w:customStyle="1" w:styleId="158">
    <w:name w:val="xl30"/>
    <w:basedOn w:val="1"/>
    <w:autoRedefine/>
    <w:qFormat/>
    <w:uiPriority w:val="0"/>
    <w:pPr>
      <w:widowControl/>
      <w:pBdr>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w:hAnsi="Arial" w:cs="Arial"/>
      <w:bCs/>
      <w:kern w:val="0"/>
      <w:sz w:val="18"/>
      <w:szCs w:val="18"/>
    </w:rPr>
  </w:style>
  <w:style w:type="paragraph" w:customStyle="1" w:styleId="159">
    <w:name w:val="表格"/>
    <w:basedOn w:val="1"/>
    <w:qFormat/>
    <w:uiPriority w:val="0"/>
    <w:pPr>
      <w:adjustRightInd w:val="0"/>
      <w:spacing w:beforeLines="0" w:line="360" w:lineRule="exact"/>
      <w:jc w:val="center"/>
      <w:textAlignment w:val="baseline"/>
    </w:pPr>
    <w:rPr>
      <w:rFonts w:ascii="宋体"/>
      <w:bCs/>
      <w:kern w:val="0"/>
      <w:szCs w:val="20"/>
    </w:rPr>
  </w:style>
  <w:style w:type="paragraph" w:customStyle="1" w:styleId="160">
    <w:name w:val="标题1"/>
    <w:basedOn w:val="3"/>
    <w:autoRedefine/>
    <w:qFormat/>
    <w:uiPriority w:val="0"/>
    <w:pPr>
      <w:tabs>
        <w:tab w:val="left" w:pos="900"/>
      </w:tabs>
      <w:adjustRightInd w:val="0"/>
      <w:spacing w:line="360" w:lineRule="auto"/>
      <w:jc w:val="left"/>
      <w:textAlignment w:val="baseline"/>
    </w:pPr>
    <w:rPr>
      <w:rFonts w:ascii="Times New Roman"/>
      <w:sz w:val="24"/>
      <w:szCs w:val="24"/>
    </w:rPr>
  </w:style>
  <w:style w:type="paragraph" w:customStyle="1" w:styleId="161">
    <w:name w:val="样式 两端对齐 段前: 0.5 行"/>
    <w:basedOn w:val="1"/>
    <w:autoRedefine/>
    <w:qFormat/>
    <w:uiPriority w:val="0"/>
    <w:pPr>
      <w:spacing w:beforeLines="0"/>
      <w:jc w:val="both"/>
    </w:pPr>
    <w:rPr>
      <w:rFonts w:cs="宋体"/>
      <w:szCs w:val="20"/>
    </w:rPr>
  </w:style>
  <w:style w:type="paragraph" w:customStyle="1" w:styleId="162">
    <w:name w:val="Char1"/>
    <w:basedOn w:val="1"/>
    <w:autoRedefine/>
    <w:qFormat/>
    <w:uiPriority w:val="0"/>
    <w:pPr>
      <w:spacing w:beforeLines="0" w:line="240" w:lineRule="auto"/>
      <w:jc w:val="both"/>
    </w:pPr>
    <w:rPr>
      <w:sz w:val="21"/>
    </w:rPr>
  </w:style>
  <w:style w:type="paragraph" w:customStyle="1" w:styleId="163">
    <w:name w:val="标题2"/>
    <w:basedOn w:val="4"/>
    <w:autoRedefine/>
    <w:qFormat/>
    <w:uiPriority w:val="0"/>
    <w:pPr>
      <w:tabs>
        <w:tab w:val="left" w:pos="1320"/>
      </w:tabs>
      <w:adjustRightInd w:val="0"/>
      <w:snapToGrid w:val="0"/>
      <w:spacing w:beforeLines="50" w:line="360" w:lineRule="auto"/>
      <w:ind w:left="1320" w:hanging="420"/>
      <w:jc w:val="center"/>
      <w:textAlignment w:val="baseline"/>
    </w:pPr>
    <w:rPr>
      <w:rFonts w:ascii="Times New Roman" w:hAnsi="Times New Roman" w:eastAsia="宋体"/>
      <w:b w:val="0"/>
      <w:bCs w:val="0"/>
      <w:color w:val="000000"/>
      <w:kern w:val="0"/>
      <w:sz w:val="24"/>
      <w:szCs w:val="20"/>
    </w:rPr>
  </w:style>
  <w:style w:type="paragraph" w:customStyle="1" w:styleId="164">
    <w:name w:val="样式 小四 首行缩进:  0.85 厘米 行距: 1.5 倍行距"/>
    <w:basedOn w:val="1"/>
    <w:qFormat/>
    <w:uiPriority w:val="0"/>
    <w:pPr>
      <w:spacing w:beforeLines="0"/>
      <w:ind w:firstLine="200" w:firstLineChars="200"/>
      <w:jc w:val="center"/>
    </w:pPr>
    <w:rPr>
      <w:bCs/>
      <w:snapToGrid w:val="0"/>
      <w:kern w:val="0"/>
      <w:szCs w:val="21"/>
    </w:rPr>
  </w:style>
  <w:style w:type="paragraph" w:customStyle="1" w:styleId="165">
    <w:name w:val="标题3"/>
    <w:basedOn w:val="5"/>
    <w:autoRedefine/>
    <w:qFormat/>
    <w:uiPriority w:val="0"/>
    <w:pPr>
      <w:keepLines w:val="0"/>
      <w:tabs>
        <w:tab w:val="left" w:pos="840"/>
        <w:tab w:val="left" w:pos="1740"/>
      </w:tabs>
      <w:adjustRightInd w:val="0"/>
      <w:spacing w:line="360" w:lineRule="auto"/>
      <w:ind w:left="1740" w:hanging="420"/>
      <w:jc w:val="center"/>
      <w:textAlignment w:val="baseline"/>
    </w:pPr>
    <w:rPr>
      <w:b w:val="0"/>
      <w:kern w:val="0"/>
      <w:sz w:val="24"/>
      <w:szCs w:val="20"/>
    </w:rPr>
  </w:style>
  <w:style w:type="paragraph" w:customStyle="1" w:styleId="166">
    <w:name w:val="标题4"/>
    <w:basedOn w:val="6"/>
    <w:autoRedefine/>
    <w:qFormat/>
    <w:uiPriority w:val="0"/>
    <w:pPr>
      <w:keepLines w:val="0"/>
      <w:tabs>
        <w:tab w:val="left" w:pos="2160"/>
      </w:tabs>
      <w:spacing w:line="360" w:lineRule="auto"/>
      <w:ind w:left="2160" w:hanging="420"/>
      <w:jc w:val="center"/>
      <w:textAlignment w:val="baseline"/>
    </w:pPr>
    <w:rPr>
      <w:rFonts w:eastAsia="宋体"/>
      <w:b w:val="0"/>
      <w:bCs/>
      <w:sz w:val="24"/>
    </w:rPr>
  </w:style>
  <w:style w:type="paragraph" w:customStyle="1" w:styleId="167">
    <w:name w:val="正文12"/>
    <w:basedOn w:val="1"/>
    <w:autoRedefine/>
    <w:qFormat/>
    <w:uiPriority w:val="0"/>
    <w:pPr>
      <w:adjustRightInd w:val="0"/>
      <w:spacing w:beforeLines="0" w:line="360" w:lineRule="atLeast"/>
      <w:textAlignment w:val="baseline"/>
    </w:pPr>
    <w:rPr>
      <w:rFonts w:ascii="宋体"/>
      <w:bCs/>
      <w:kern w:val="0"/>
      <w:szCs w:val="20"/>
    </w:rPr>
  </w:style>
  <w:style w:type="paragraph" w:customStyle="1" w:styleId="168">
    <w:name w:val="Char Char Char Char Char Char Char Char Char Char Char Char Char Char"/>
    <w:basedOn w:val="1"/>
    <w:qFormat/>
    <w:uiPriority w:val="0"/>
    <w:pPr>
      <w:spacing w:beforeLines="0"/>
      <w:ind w:firstLine="200" w:firstLineChars="200"/>
      <w:jc w:val="center"/>
    </w:pPr>
    <w:rPr>
      <w:rFonts w:ascii="宋体" w:hAnsi="宋体" w:cs="宋体"/>
      <w:bCs/>
      <w:szCs w:val="21"/>
    </w:rPr>
  </w:style>
  <w:style w:type="paragraph" w:customStyle="1" w:styleId="169">
    <w:name w:val="xl22"/>
    <w:basedOn w:val="1"/>
    <w:qFormat/>
    <w:uiPriority w:val="0"/>
    <w:pPr>
      <w:widowControl/>
      <w:spacing w:beforeLines="0" w:beforeAutospacing="1" w:afterAutospacing="1" w:line="360" w:lineRule="exact"/>
      <w:jc w:val="center"/>
    </w:pPr>
    <w:rPr>
      <w:rFonts w:ascii="宋体" w:hAnsi="宋体"/>
      <w:bCs/>
      <w:kern w:val="0"/>
      <w:szCs w:val="21"/>
    </w:rPr>
  </w:style>
  <w:style w:type="paragraph" w:customStyle="1" w:styleId="170">
    <w:name w:val="附件"/>
    <w:basedOn w:val="1"/>
    <w:qFormat/>
    <w:uiPriority w:val="0"/>
    <w:pPr>
      <w:adjustRightInd w:val="0"/>
      <w:spacing w:beforeLines="0" w:line="360" w:lineRule="exact"/>
      <w:jc w:val="center"/>
      <w:textAlignment w:val="center"/>
    </w:pPr>
    <w:rPr>
      <w:rFonts w:ascii="黑体" w:eastAsia="黑体"/>
      <w:b/>
      <w:bCs/>
      <w:kern w:val="0"/>
      <w:sz w:val="32"/>
      <w:szCs w:val="32"/>
    </w:rPr>
  </w:style>
  <w:style w:type="paragraph" w:customStyle="1" w:styleId="171">
    <w:name w:val="样式 宋体 两端对齐 段前: 0.5 行2"/>
    <w:basedOn w:val="1"/>
    <w:autoRedefine/>
    <w:qFormat/>
    <w:uiPriority w:val="0"/>
    <w:pPr>
      <w:ind w:left="400" w:hanging="400" w:hangingChars="400"/>
      <w:jc w:val="both"/>
    </w:pPr>
    <w:rPr>
      <w:rFonts w:ascii="宋体" w:hAnsi="宋体" w:cs="宋体"/>
      <w:spacing w:val="10"/>
      <w:szCs w:val="20"/>
    </w:rPr>
  </w:style>
  <w:style w:type="paragraph" w:customStyle="1" w:styleId="172">
    <w:name w:val="报告表头"/>
    <w:basedOn w:val="1"/>
    <w:next w:val="1"/>
    <w:autoRedefine/>
    <w:qFormat/>
    <w:uiPriority w:val="0"/>
    <w:pPr>
      <w:widowControl/>
      <w:spacing w:beforeLines="0" w:line="360" w:lineRule="exact"/>
      <w:jc w:val="center"/>
    </w:pPr>
    <w:rPr>
      <w:rFonts w:eastAsia="黑体"/>
      <w:b/>
      <w:bCs/>
      <w:sz w:val="18"/>
      <w:szCs w:val="20"/>
    </w:rPr>
  </w:style>
  <w:style w:type="paragraph" w:customStyle="1" w:styleId="173">
    <w:name w:val="font5"/>
    <w:basedOn w:val="1"/>
    <w:qFormat/>
    <w:uiPriority w:val="0"/>
    <w:pPr>
      <w:widowControl/>
      <w:spacing w:beforeLines="0" w:beforeAutospacing="1" w:afterAutospacing="1" w:line="360" w:lineRule="exact"/>
    </w:pPr>
    <w:rPr>
      <w:rFonts w:hint="eastAsia" w:ascii="宋体" w:hAnsi="宋体"/>
      <w:bCs/>
      <w:kern w:val="0"/>
      <w:szCs w:val="21"/>
    </w:rPr>
  </w:style>
  <w:style w:type="paragraph" w:customStyle="1" w:styleId="174">
    <w:name w:val="我的正文格式"/>
    <w:basedOn w:val="1"/>
    <w:next w:val="1"/>
    <w:autoRedefine/>
    <w:qFormat/>
    <w:uiPriority w:val="0"/>
    <w:pPr>
      <w:snapToGrid w:val="0"/>
      <w:spacing w:beforeLines="0"/>
      <w:jc w:val="center"/>
    </w:pPr>
    <w:rPr>
      <w:bCs/>
      <w:kern w:val="16"/>
      <w:szCs w:val="21"/>
    </w:rPr>
  </w:style>
  <w:style w:type="paragraph" w:customStyle="1" w:styleId="175">
    <w:name w:val="2"/>
    <w:basedOn w:val="1"/>
    <w:next w:val="13"/>
    <w:autoRedefine/>
    <w:qFormat/>
    <w:uiPriority w:val="0"/>
    <w:pPr>
      <w:spacing w:beforeLines="0" w:line="240" w:lineRule="atLeast"/>
      <w:ind w:firstLine="510"/>
      <w:jc w:val="center"/>
    </w:pPr>
    <w:rPr>
      <w:bCs/>
      <w:szCs w:val="20"/>
    </w:rPr>
  </w:style>
  <w:style w:type="paragraph" w:customStyle="1" w:styleId="176">
    <w:name w:val="报告表中"/>
    <w:basedOn w:val="1"/>
    <w:autoRedefine/>
    <w:qFormat/>
    <w:uiPriority w:val="0"/>
    <w:pPr>
      <w:spacing w:beforeLines="0" w:line="360" w:lineRule="exact"/>
      <w:jc w:val="center"/>
    </w:pPr>
    <w:rPr>
      <w:bCs/>
      <w:sz w:val="18"/>
      <w:szCs w:val="20"/>
    </w:rPr>
  </w:style>
  <w:style w:type="paragraph" w:customStyle="1" w:styleId="177">
    <w:name w:val="Fliestext/Aufz."/>
    <w:basedOn w:val="1"/>
    <w:qFormat/>
    <w:uiPriority w:val="0"/>
    <w:pPr>
      <w:widowControl/>
      <w:overflowPunct w:val="0"/>
      <w:autoSpaceDE w:val="0"/>
      <w:autoSpaceDN w:val="0"/>
      <w:adjustRightInd w:val="0"/>
      <w:spacing w:beforeLines="0" w:line="360" w:lineRule="exact"/>
      <w:jc w:val="center"/>
      <w:textAlignment w:val="baseline"/>
    </w:pPr>
    <w:rPr>
      <w:rFonts w:ascii="Arial" w:hAnsi="Arial" w:eastAsia="MS Mincho"/>
      <w:bCs/>
      <w:kern w:val="0"/>
      <w:sz w:val="22"/>
      <w:szCs w:val="20"/>
      <w:lang w:val="de-DE" w:eastAsia="ja-JP"/>
    </w:rPr>
  </w:style>
  <w:style w:type="paragraph" w:customStyle="1" w:styleId="178">
    <w:name w:val="日期1"/>
    <w:basedOn w:val="1"/>
    <w:next w:val="1"/>
    <w:autoRedefine/>
    <w:qFormat/>
    <w:uiPriority w:val="0"/>
    <w:pPr>
      <w:adjustRightInd w:val="0"/>
      <w:spacing w:beforeLines="0" w:line="360" w:lineRule="exact"/>
      <w:jc w:val="center"/>
      <w:textAlignment w:val="baseline"/>
    </w:pPr>
    <w:rPr>
      <w:bCs/>
      <w:sz w:val="28"/>
      <w:szCs w:val="20"/>
    </w:rPr>
  </w:style>
  <w:style w:type="paragraph" w:customStyle="1" w:styleId="179">
    <w:name w:val="xl49"/>
    <w:basedOn w:val="1"/>
    <w:autoRedefine/>
    <w:qFormat/>
    <w:uiPriority w:val="0"/>
    <w:pPr>
      <w:widowControl/>
      <w:spacing w:beforeLines="0" w:line="360" w:lineRule="exact"/>
      <w:jc w:val="center"/>
      <w:textAlignment w:val="center"/>
    </w:pPr>
    <w:rPr>
      <w:rFonts w:ascii="宋体" w:hAnsi="宋体"/>
      <w:bCs/>
      <w:kern w:val="0"/>
      <w:szCs w:val="20"/>
    </w:rPr>
  </w:style>
  <w:style w:type="paragraph" w:customStyle="1" w:styleId="180">
    <w:name w:val="Char Char Char Char Char Char1 Char Char Char Char Char Char Char"/>
    <w:basedOn w:val="1"/>
    <w:qFormat/>
    <w:uiPriority w:val="0"/>
    <w:pPr>
      <w:spacing w:beforeLines="0" w:line="240" w:lineRule="auto"/>
      <w:jc w:val="both"/>
    </w:pPr>
    <w:rPr>
      <w:sz w:val="21"/>
    </w:rPr>
  </w:style>
  <w:style w:type="paragraph" w:customStyle="1" w:styleId="181">
    <w:name w:val="Char Char Char Char11"/>
    <w:basedOn w:val="1"/>
    <w:next w:val="1"/>
    <w:qFormat/>
    <w:uiPriority w:val="0"/>
    <w:pPr>
      <w:tabs>
        <w:tab w:val="left" w:pos="425"/>
      </w:tabs>
      <w:spacing w:beforeLines="0" w:line="240" w:lineRule="auto"/>
      <w:ind w:left="425" w:hanging="425"/>
      <w:jc w:val="both"/>
    </w:pPr>
  </w:style>
  <w:style w:type="paragraph" w:customStyle="1" w:styleId="182">
    <w:name w:val="1-表头"/>
    <w:basedOn w:val="1"/>
    <w:autoRedefine/>
    <w:qFormat/>
    <w:uiPriority w:val="0"/>
    <w:pPr>
      <w:spacing w:beforeLines="0" w:afterLines="20" w:line="360" w:lineRule="exact"/>
      <w:jc w:val="center"/>
    </w:pPr>
    <w:rPr>
      <w:rFonts w:ascii="宋体" w:hAnsi="宋体"/>
      <w:bCs/>
      <w:sz w:val="21"/>
      <w:szCs w:val="21"/>
    </w:rPr>
  </w:style>
  <w:style w:type="paragraph" w:customStyle="1" w:styleId="183">
    <w:name w:val="正文3"/>
    <w:basedOn w:val="1"/>
    <w:autoRedefine/>
    <w:qFormat/>
    <w:uiPriority w:val="0"/>
    <w:pPr>
      <w:tabs>
        <w:tab w:val="left" w:pos="1134"/>
      </w:tabs>
      <w:adjustRightInd w:val="0"/>
      <w:spacing w:beforeLines="0" w:line="318" w:lineRule="atLeast"/>
      <w:textAlignment w:val="baseline"/>
    </w:pPr>
    <w:rPr>
      <w:rFonts w:ascii="Arial" w:hAnsi="Arial"/>
      <w:bCs/>
      <w:kern w:val="0"/>
      <w:szCs w:val="20"/>
    </w:rPr>
  </w:style>
  <w:style w:type="paragraph" w:customStyle="1" w:styleId="184">
    <w:name w:val="K01"/>
    <w:basedOn w:val="1"/>
    <w:autoRedefine/>
    <w:qFormat/>
    <w:uiPriority w:val="0"/>
    <w:pPr>
      <w:widowControl/>
      <w:autoSpaceDE w:val="0"/>
      <w:autoSpaceDN w:val="0"/>
      <w:adjustRightInd w:val="0"/>
      <w:spacing w:beforeLines="0" w:line="480" w:lineRule="atLeast"/>
      <w:ind w:left="840" w:hanging="360"/>
      <w:textAlignment w:val="bottom"/>
    </w:pPr>
    <w:rPr>
      <w:rFonts w:ascii="宋体"/>
      <w:bCs/>
      <w:kern w:val="0"/>
      <w:szCs w:val="20"/>
    </w:rPr>
  </w:style>
  <w:style w:type="paragraph" w:customStyle="1" w:styleId="185">
    <w:name w:val="1"/>
    <w:basedOn w:val="1"/>
    <w:next w:val="43"/>
    <w:qFormat/>
    <w:uiPriority w:val="0"/>
    <w:pPr>
      <w:spacing w:beforeLines="0" w:line="360" w:lineRule="exact"/>
      <w:jc w:val="center"/>
    </w:pPr>
    <w:rPr>
      <w:bCs/>
      <w:color w:val="000000"/>
      <w:sz w:val="21"/>
      <w:szCs w:val="20"/>
    </w:rPr>
  </w:style>
  <w:style w:type="paragraph" w:customStyle="1" w:styleId="186">
    <w:name w:val="表格文字"/>
    <w:qFormat/>
    <w:uiPriority w:val="0"/>
    <w:pPr>
      <w:widowControl w:val="0"/>
      <w:autoSpaceDE w:val="0"/>
      <w:autoSpaceDN w:val="0"/>
      <w:adjustRightInd w:val="0"/>
      <w:jc w:val="both"/>
    </w:pPr>
    <w:rPr>
      <w:rFonts w:ascii="Times New Roman" w:hAnsi="Times New Roman" w:eastAsia="宋体" w:cs="Times New Roman"/>
      <w:color w:val="000000"/>
      <w:lang w:val="en-US" w:eastAsia="zh-CN" w:bidi="ar-SA"/>
    </w:rPr>
  </w:style>
  <w:style w:type="paragraph" w:customStyle="1" w:styleId="187">
    <w:name w:val="样式 样式 段前: 0.5 行 + 段前: 0.5 行"/>
    <w:basedOn w:val="188"/>
    <w:autoRedefine/>
    <w:qFormat/>
    <w:uiPriority w:val="0"/>
    <w:pPr>
      <w:spacing w:line="360" w:lineRule="auto"/>
      <w:ind w:firstLine="480" w:firstLineChars="200"/>
    </w:pPr>
  </w:style>
  <w:style w:type="paragraph" w:customStyle="1" w:styleId="188">
    <w:name w:val="样式 段前: 0.5 行"/>
    <w:basedOn w:val="1"/>
    <w:autoRedefine/>
    <w:qFormat/>
    <w:uiPriority w:val="0"/>
    <w:pPr>
      <w:spacing w:beforeLines="0" w:line="240" w:lineRule="auto"/>
    </w:pPr>
    <w:rPr>
      <w:rFonts w:cs="宋体"/>
      <w:szCs w:val="20"/>
    </w:rPr>
  </w:style>
  <w:style w:type="paragraph" w:customStyle="1" w:styleId="189">
    <w:name w:val="表格侧编号"/>
    <w:next w:val="1"/>
    <w:autoRedefine/>
    <w:qFormat/>
    <w:uiPriority w:val="0"/>
    <w:pPr>
      <w:widowControl w:val="0"/>
      <w:adjustRightInd w:val="0"/>
      <w:snapToGrid w:val="0"/>
      <w:jc w:val="center"/>
      <w:textAlignment w:val="baseline"/>
    </w:pPr>
    <w:rPr>
      <w:rFonts w:ascii="宋体" w:hAnsi="Times New Roman" w:eastAsia="宋体" w:cs="Times New Roman"/>
      <w:sz w:val="24"/>
      <w:lang w:val="en-US" w:eastAsia="zh-CN" w:bidi="ar-SA"/>
    </w:rPr>
  </w:style>
  <w:style w:type="paragraph" w:customStyle="1" w:styleId="190">
    <w:name w:val="样式3"/>
    <w:basedOn w:val="1"/>
    <w:autoRedefine/>
    <w:qFormat/>
    <w:uiPriority w:val="0"/>
    <w:pPr>
      <w:spacing w:beforeLines="0"/>
      <w:ind w:left="1"/>
    </w:pPr>
    <w:rPr>
      <w:rFonts w:ascii="宋体"/>
      <w:bCs/>
      <w:szCs w:val="28"/>
    </w:rPr>
  </w:style>
  <w:style w:type="paragraph" w:customStyle="1" w:styleId="191">
    <w:name w:val="复选框1"/>
    <w:basedOn w:val="1"/>
    <w:autoRedefine/>
    <w:qFormat/>
    <w:uiPriority w:val="0"/>
    <w:pPr>
      <w:widowControl/>
      <w:spacing w:beforeLines="0" w:line="360" w:lineRule="exact"/>
    </w:pPr>
    <w:rPr>
      <w:bCs/>
      <w:kern w:val="0"/>
      <w:sz w:val="20"/>
      <w:szCs w:val="20"/>
    </w:rPr>
  </w:style>
  <w:style w:type="paragraph" w:customStyle="1" w:styleId="192">
    <w:name w:val="wenzhang"/>
    <w:basedOn w:val="69"/>
    <w:autoRedefine/>
    <w:qFormat/>
    <w:uiPriority w:val="0"/>
    <w:pPr>
      <w:jc w:val="both"/>
    </w:pPr>
    <w:rPr>
      <w:rFonts w:cs="宋体"/>
      <w:szCs w:val="20"/>
    </w:rPr>
  </w:style>
  <w:style w:type="paragraph" w:customStyle="1" w:styleId="193">
    <w:name w:val="正文报告"/>
    <w:basedOn w:val="1"/>
    <w:qFormat/>
    <w:uiPriority w:val="0"/>
    <w:pPr>
      <w:tabs>
        <w:tab w:val="left" w:pos="510"/>
      </w:tabs>
      <w:adjustRightInd w:val="0"/>
      <w:spacing w:beforeLines="0" w:line="460" w:lineRule="exact"/>
      <w:ind w:firstLine="482"/>
      <w:jc w:val="center"/>
      <w:textAlignment w:val="baseline"/>
    </w:pPr>
    <w:rPr>
      <w:bCs/>
      <w:kern w:val="0"/>
      <w:szCs w:val="20"/>
    </w:rPr>
  </w:style>
  <w:style w:type="paragraph" w:customStyle="1" w:styleId="194">
    <w:name w:val="样式 宋体 两端对齐 段前: 0.5 行3"/>
    <w:basedOn w:val="1"/>
    <w:autoRedefine/>
    <w:qFormat/>
    <w:uiPriority w:val="0"/>
    <w:pPr>
      <w:ind w:left="400" w:leftChars="400"/>
      <w:jc w:val="both"/>
    </w:pPr>
    <w:rPr>
      <w:rFonts w:ascii="宋体" w:hAnsi="宋体" w:cs="宋体"/>
      <w:spacing w:val="10"/>
      <w:szCs w:val="20"/>
    </w:rPr>
  </w:style>
  <w:style w:type="paragraph" w:customStyle="1" w:styleId="195">
    <w:name w:val="纯文本1"/>
    <w:basedOn w:val="1"/>
    <w:autoRedefine/>
    <w:qFormat/>
    <w:uiPriority w:val="0"/>
    <w:pPr>
      <w:adjustRightInd w:val="0"/>
      <w:spacing w:beforeLines="0" w:line="360" w:lineRule="exact"/>
      <w:jc w:val="center"/>
      <w:textAlignment w:val="baseline"/>
    </w:pPr>
    <w:rPr>
      <w:rFonts w:ascii="宋体"/>
      <w:bCs/>
      <w:kern w:val="0"/>
      <w:sz w:val="21"/>
      <w:szCs w:val="20"/>
    </w:rPr>
  </w:style>
  <w:style w:type="paragraph" w:customStyle="1" w:styleId="196">
    <w:name w:val="四级标题"/>
    <w:basedOn w:val="28"/>
    <w:autoRedefine/>
    <w:qFormat/>
    <w:uiPriority w:val="0"/>
    <w:pPr>
      <w:spacing w:line="360" w:lineRule="auto"/>
      <w:jc w:val="center"/>
    </w:pPr>
    <w:rPr>
      <w:rFonts w:eastAsia="黑体"/>
      <w:bCs/>
      <w:snapToGrid/>
      <w:szCs w:val="20"/>
      <w:lang w:eastAsia="zh-CN"/>
    </w:rPr>
  </w:style>
  <w:style w:type="paragraph" w:customStyle="1" w:styleId="197">
    <w:name w:val="font6"/>
    <w:basedOn w:val="1"/>
    <w:autoRedefine/>
    <w:qFormat/>
    <w:uiPriority w:val="0"/>
    <w:pPr>
      <w:widowControl/>
      <w:spacing w:beforeLines="0" w:beforeAutospacing="1" w:afterAutospacing="1" w:line="360" w:lineRule="exact"/>
    </w:pPr>
    <w:rPr>
      <w:rFonts w:hint="eastAsia" w:ascii="宋体" w:hAnsi="宋体"/>
      <w:bCs/>
      <w:kern w:val="0"/>
      <w:sz w:val="18"/>
      <w:szCs w:val="18"/>
    </w:rPr>
  </w:style>
  <w:style w:type="paragraph" w:customStyle="1" w:styleId="198">
    <w:name w:val="xl32"/>
    <w:basedOn w:val="1"/>
    <w:qFormat/>
    <w:uiPriority w:val="0"/>
    <w:pPr>
      <w:widowControl/>
      <w:pBdr>
        <w:top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eastAsia="Arial Unicode MS" w:cs="Arial Unicode MS"/>
      <w:bCs/>
      <w:kern w:val="0"/>
      <w:sz w:val="18"/>
      <w:szCs w:val="18"/>
    </w:rPr>
  </w:style>
  <w:style w:type="paragraph" w:customStyle="1" w:styleId="199">
    <w:name w:val="font7"/>
    <w:basedOn w:val="1"/>
    <w:qFormat/>
    <w:uiPriority w:val="0"/>
    <w:pPr>
      <w:widowControl/>
      <w:spacing w:beforeLines="0" w:beforeAutospacing="1" w:afterAutospacing="1" w:line="360" w:lineRule="exact"/>
    </w:pPr>
    <w:rPr>
      <w:bCs/>
      <w:kern w:val="0"/>
      <w:szCs w:val="21"/>
    </w:rPr>
  </w:style>
  <w:style w:type="paragraph" w:customStyle="1" w:styleId="200">
    <w:name w:val="段落"/>
    <w:basedOn w:val="1"/>
    <w:autoRedefine/>
    <w:qFormat/>
    <w:uiPriority w:val="0"/>
    <w:pPr>
      <w:adjustRightInd w:val="0"/>
      <w:spacing w:beforeLines="0" w:line="400" w:lineRule="atLeast"/>
      <w:ind w:firstLine="482"/>
      <w:textAlignment w:val="baseline"/>
    </w:pPr>
    <w:rPr>
      <w:bCs/>
      <w:snapToGrid w:val="0"/>
      <w:kern w:val="0"/>
      <w:sz w:val="28"/>
      <w:szCs w:val="20"/>
    </w:rPr>
  </w:style>
  <w:style w:type="paragraph" w:customStyle="1" w:styleId="201">
    <w:name w:val="xl33"/>
    <w:basedOn w:val="1"/>
    <w:qFormat/>
    <w:uiPriority w:val="0"/>
    <w:pPr>
      <w:widowControl/>
      <w:pBdr>
        <w:left w:val="single" w:color="auto" w:sz="4" w:space="0"/>
        <w:right w:val="single" w:color="auto" w:sz="4" w:space="0"/>
      </w:pBdr>
      <w:spacing w:beforeLines="0" w:beforeAutospacing="1" w:afterAutospacing="1" w:line="360" w:lineRule="exact"/>
      <w:jc w:val="center"/>
      <w:textAlignment w:val="center"/>
    </w:pPr>
    <w:rPr>
      <w:rFonts w:ascii="Arial Unicode MS" w:hAnsi="Arial Unicode MS" w:eastAsia="Arial Unicode MS" w:cs="Arial Unicode MS"/>
      <w:b/>
      <w:kern w:val="0"/>
      <w:sz w:val="18"/>
      <w:szCs w:val="18"/>
    </w:rPr>
  </w:style>
  <w:style w:type="paragraph" w:customStyle="1" w:styleId="202">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bCs/>
      <w:color w:val="FF0000"/>
      <w:kern w:val="0"/>
      <w:szCs w:val="21"/>
    </w:rPr>
  </w:style>
  <w:style w:type="paragraph" w:customStyle="1" w:styleId="203">
    <w:name w:val="Char Char Char Char Char Char Char Char"/>
    <w:basedOn w:val="1"/>
    <w:qFormat/>
    <w:uiPriority w:val="0"/>
    <w:pPr>
      <w:spacing w:beforeLines="0" w:line="240" w:lineRule="auto"/>
      <w:jc w:val="both"/>
    </w:pPr>
    <w:rPr>
      <w:sz w:val="21"/>
      <w:szCs w:val="21"/>
    </w:rPr>
  </w:style>
  <w:style w:type="paragraph" w:customStyle="1" w:styleId="204">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bCs/>
      <w:kern w:val="0"/>
      <w:szCs w:val="21"/>
    </w:rPr>
  </w:style>
  <w:style w:type="paragraph" w:customStyle="1" w:styleId="205">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pPr>
    <w:rPr>
      <w:rFonts w:ascii="Arial Unicode MS" w:hAnsi="Arial Unicode MS"/>
      <w:bCs/>
      <w:kern w:val="0"/>
      <w:szCs w:val="21"/>
    </w:rPr>
  </w:style>
  <w:style w:type="paragraph" w:customStyle="1" w:styleId="206">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bCs/>
      <w:kern w:val="0"/>
      <w:szCs w:val="21"/>
    </w:rPr>
  </w:style>
  <w:style w:type="paragraph" w:customStyle="1" w:styleId="207">
    <w:name w:val="xl29"/>
    <w:basedOn w:val="1"/>
    <w:qFormat/>
    <w:uiPriority w:val="0"/>
    <w:pPr>
      <w:widowControl/>
      <w:pBdr>
        <w:top w:val="single" w:color="auto" w:sz="4" w:space="0"/>
        <w:left w:val="single" w:color="auto" w:sz="4" w:space="0"/>
        <w:bottom w:val="single" w:color="auto" w:sz="4" w:space="0"/>
      </w:pBdr>
      <w:spacing w:beforeLines="0" w:beforeAutospacing="1" w:afterAutospacing="1" w:line="360" w:lineRule="exact"/>
      <w:jc w:val="center"/>
      <w:textAlignment w:val="center"/>
    </w:pPr>
    <w:rPr>
      <w:rFonts w:ascii="Arial Unicode MS" w:hAnsi="Arial Unicode MS" w:eastAsia="Arial Unicode MS" w:cs="Arial Unicode MS"/>
      <w:b/>
      <w:kern w:val="0"/>
      <w:sz w:val="18"/>
      <w:szCs w:val="18"/>
    </w:rPr>
  </w:style>
  <w:style w:type="paragraph" w:customStyle="1" w:styleId="208">
    <w:name w:val="默认段落字体 Para Char"/>
    <w:basedOn w:val="1"/>
    <w:autoRedefine/>
    <w:qFormat/>
    <w:uiPriority w:val="0"/>
    <w:pPr>
      <w:spacing w:beforeLines="0" w:line="240" w:lineRule="auto"/>
      <w:jc w:val="both"/>
    </w:pPr>
    <w:rPr>
      <w:rFonts w:ascii="Tahoma" w:hAnsi="Tahoma"/>
      <w:szCs w:val="20"/>
    </w:rPr>
  </w:style>
  <w:style w:type="paragraph" w:customStyle="1" w:styleId="209">
    <w:name w:val="xl54"/>
    <w:basedOn w:val="1"/>
    <w:autoRedefine/>
    <w:qFormat/>
    <w:uiPriority w:val="0"/>
    <w:pPr>
      <w:widowControl/>
      <w:spacing w:beforeLines="0" w:beforeAutospacing="1" w:afterAutospacing="1" w:line="360" w:lineRule="exact"/>
      <w:jc w:val="center"/>
    </w:pPr>
    <w:rPr>
      <w:rFonts w:hint="eastAsia" w:ascii="宋体" w:hAnsi="宋体"/>
      <w:b/>
      <w:snapToGrid w:val="0"/>
      <w:kern w:val="0"/>
      <w:sz w:val="36"/>
      <w:szCs w:val="36"/>
    </w:rPr>
  </w:style>
  <w:style w:type="paragraph" w:customStyle="1" w:styleId="210">
    <w:name w:val="Char Char Char Char Char Char"/>
    <w:basedOn w:val="1"/>
    <w:autoRedefine/>
    <w:qFormat/>
    <w:uiPriority w:val="0"/>
    <w:pPr>
      <w:spacing w:beforeLines="0" w:line="360" w:lineRule="exact"/>
      <w:jc w:val="center"/>
    </w:pPr>
    <w:rPr>
      <w:bCs/>
      <w:sz w:val="21"/>
      <w:szCs w:val="21"/>
    </w:rPr>
  </w:style>
  <w:style w:type="paragraph" w:customStyle="1" w:styleId="211">
    <w:name w:val="小四两端对齐"/>
    <w:autoRedefine/>
    <w:qFormat/>
    <w:uiPriority w:val="0"/>
    <w:pPr>
      <w:widowControl w:val="0"/>
      <w:jc w:val="center"/>
    </w:pPr>
    <w:rPr>
      <w:rFonts w:ascii="Times New Roman" w:hAnsi="Times New Roman" w:eastAsia="宋体" w:cs="Times New Roman"/>
      <w:sz w:val="24"/>
      <w:szCs w:val="28"/>
      <w:lang w:val="en-US" w:eastAsia="zh-CN" w:bidi="ar-SA"/>
    </w:rPr>
  </w:style>
  <w:style w:type="paragraph" w:customStyle="1" w:styleId="212">
    <w:name w:val="BG"/>
    <w:basedOn w:val="1"/>
    <w:next w:val="1"/>
    <w:qFormat/>
    <w:uiPriority w:val="0"/>
    <w:pPr>
      <w:tabs>
        <w:tab w:val="left" w:pos="1134"/>
      </w:tabs>
      <w:adjustRightInd w:val="0"/>
      <w:spacing w:beforeLines="0" w:line="360" w:lineRule="atLeast"/>
      <w:jc w:val="center"/>
      <w:textAlignment w:val="baseline"/>
    </w:pPr>
    <w:rPr>
      <w:rFonts w:ascii="Arial" w:hAnsi="Arial"/>
      <w:bCs/>
      <w:snapToGrid w:val="0"/>
      <w:kern w:val="0"/>
      <w:szCs w:val="20"/>
    </w:rPr>
  </w:style>
  <w:style w:type="paragraph" w:customStyle="1" w:styleId="213">
    <w:name w:val="样式 宋体 段前: 0.5 行 行距: 多倍行距 1.3 字行1"/>
    <w:basedOn w:val="1"/>
    <w:autoRedefine/>
    <w:qFormat/>
    <w:uiPriority w:val="0"/>
    <w:pPr>
      <w:spacing w:beforeLines="0" w:line="312" w:lineRule="auto"/>
      <w:ind w:left="100" w:leftChars="100"/>
    </w:pPr>
    <w:rPr>
      <w:rFonts w:ascii="宋体" w:hAnsi="宋体" w:cs="宋体"/>
      <w:szCs w:val="20"/>
    </w:rPr>
  </w:style>
  <w:style w:type="paragraph" w:customStyle="1" w:styleId="214">
    <w:name w:val="Char Char Char Char Char Char Char Char Char Char Char Char Char Char Char Char Char Char Char"/>
    <w:basedOn w:val="1"/>
    <w:autoRedefine/>
    <w:qFormat/>
    <w:uiPriority w:val="0"/>
    <w:pPr>
      <w:spacing w:beforeLines="0" w:line="360" w:lineRule="exact"/>
      <w:jc w:val="center"/>
    </w:pPr>
    <w:rPr>
      <w:bCs/>
      <w:sz w:val="21"/>
      <w:szCs w:val="21"/>
    </w:rPr>
  </w:style>
  <w:style w:type="paragraph" w:customStyle="1" w:styleId="215">
    <w:name w:val="样式 样式 小四 首行缩进:  0.85 厘米 行距: 1.5 倍行距 + 首行缩进:  2 字符"/>
    <w:basedOn w:val="164"/>
    <w:autoRedefine/>
    <w:qFormat/>
    <w:uiPriority w:val="0"/>
    <w:pPr>
      <w:ind w:firstLine="480"/>
    </w:pPr>
  </w:style>
  <w:style w:type="paragraph" w:customStyle="1" w:styleId="216">
    <w:name w:val="标题后正文"/>
    <w:basedOn w:val="1"/>
    <w:autoRedefine/>
    <w:qFormat/>
    <w:uiPriority w:val="0"/>
    <w:pPr>
      <w:adjustRightInd w:val="0"/>
      <w:spacing w:beforeLines="0"/>
      <w:ind w:firstLine="200" w:firstLineChars="200"/>
      <w:jc w:val="center"/>
      <w:textAlignment w:val="baseline"/>
    </w:pPr>
    <w:rPr>
      <w:rFonts w:ascii="Arial" w:hAnsi="Arial"/>
      <w:bCs/>
      <w:snapToGrid w:val="0"/>
      <w:kern w:val="28"/>
      <w:szCs w:val="20"/>
    </w:rPr>
  </w:style>
  <w:style w:type="paragraph" w:customStyle="1" w:styleId="217">
    <w:name w:val="样式  + 小四 行距: 1.5 倍行距"/>
    <w:basedOn w:val="1"/>
    <w:autoRedefine/>
    <w:qFormat/>
    <w:uiPriority w:val="0"/>
    <w:pPr>
      <w:spacing w:beforeLines="0"/>
      <w:ind w:firstLine="200" w:firstLineChars="200"/>
      <w:jc w:val="center"/>
    </w:pPr>
    <w:rPr>
      <w:bCs/>
      <w:snapToGrid w:val="0"/>
      <w:szCs w:val="20"/>
    </w:rPr>
  </w:style>
  <w:style w:type="paragraph" w:customStyle="1" w:styleId="218">
    <w:name w:val="Char Char Char Char Char Char Char Char Char Char Char Char Char Char1"/>
    <w:basedOn w:val="1"/>
    <w:qFormat/>
    <w:uiPriority w:val="0"/>
    <w:pPr>
      <w:spacing w:beforeLines="0"/>
      <w:ind w:firstLine="200" w:firstLineChars="200"/>
      <w:jc w:val="center"/>
    </w:pPr>
    <w:rPr>
      <w:rFonts w:ascii="宋体" w:hAnsi="宋体" w:cs="宋体"/>
      <w:bCs/>
      <w:szCs w:val="21"/>
    </w:rPr>
  </w:style>
  <w:style w:type="paragraph" w:customStyle="1" w:styleId="219">
    <w:name w:val="不缩进"/>
    <w:basedOn w:val="1"/>
    <w:autoRedefine/>
    <w:qFormat/>
    <w:uiPriority w:val="0"/>
    <w:pPr>
      <w:autoSpaceDE w:val="0"/>
      <w:autoSpaceDN w:val="0"/>
      <w:adjustRightInd w:val="0"/>
      <w:spacing w:beforeLines="0"/>
      <w:jc w:val="center"/>
      <w:textAlignment w:val="baseline"/>
    </w:pPr>
    <w:rPr>
      <w:rFonts w:ascii="宋体"/>
      <w:kern w:val="0"/>
      <w:sz w:val="21"/>
      <w:szCs w:val="20"/>
    </w:rPr>
  </w:style>
  <w:style w:type="paragraph" w:customStyle="1" w:styleId="220">
    <w:name w:val="表格内正文"/>
    <w:autoRedefine/>
    <w:qFormat/>
    <w:uiPriority w:val="0"/>
    <w:pPr>
      <w:spacing w:before="20" w:line="180" w:lineRule="atLeast"/>
      <w:jc w:val="center"/>
    </w:pPr>
    <w:rPr>
      <w:rFonts w:ascii="Arial" w:hAnsi="Arial" w:eastAsia="宋体" w:cs="Times New Roman"/>
      <w:sz w:val="24"/>
      <w:lang w:val="en-US" w:eastAsia="zh-CN" w:bidi="ar-SA"/>
    </w:rPr>
  </w:style>
  <w:style w:type="paragraph" w:customStyle="1" w:styleId="221">
    <w:name w:val="xl85"/>
    <w:basedOn w:val="1"/>
    <w:autoRedefine/>
    <w:qFormat/>
    <w:uiPriority w:val="0"/>
    <w:pPr>
      <w:widowControl/>
      <w:pBdr>
        <w:left w:val="single" w:color="auto" w:sz="4" w:space="0"/>
        <w:bottom w:val="single" w:color="000000" w:sz="4" w:space="0"/>
        <w:right w:val="single" w:color="auto" w:sz="4" w:space="0"/>
      </w:pBdr>
      <w:spacing w:beforeLines="0" w:beforeAutospacing="1" w:afterAutospacing="1" w:line="240" w:lineRule="auto"/>
      <w:jc w:val="center"/>
    </w:pPr>
    <w:rPr>
      <w:rFonts w:ascii="Arial Unicode MS" w:hAnsi="Arial Unicode MS" w:eastAsia="Arial Unicode MS"/>
      <w:kern w:val="0"/>
      <w:sz w:val="21"/>
      <w:szCs w:val="21"/>
    </w:rPr>
  </w:style>
  <w:style w:type="paragraph" w:customStyle="1" w:styleId="222">
    <w:name w:val="xl23"/>
    <w:basedOn w:val="1"/>
    <w:autoRedefine/>
    <w:qFormat/>
    <w:uiPriority w:val="0"/>
    <w:pPr>
      <w:widowControl/>
      <w:spacing w:beforeLines="0" w:beforeAutospacing="1" w:afterAutospacing="1"/>
      <w:jc w:val="center"/>
      <w:textAlignment w:val="top"/>
    </w:pPr>
    <w:rPr>
      <w:bCs/>
      <w:kern w:val="0"/>
      <w:szCs w:val="21"/>
    </w:rPr>
  </w:style>
  <w:style w:type="paragraph" w:customStyle="1" w:styleId="223">
    <w:name w:val="样式 宋体 两端对齐 段前: 0.5 行"/>
    <w:basedOn w:val="1"/>
    <w:autoRedefine/>
    <w:qFormat/>
    <w:uiPriority w:val="0"/>
    <w:pPr>
      <w:spacing w:beforeLines="0"/>
      <w:jc w:val="both"/>
    </w:pPr>
    <w:rPr>
      <w:rFonts w:ascii="宋体" w:hAnsi="宋体" w:cs="宋体"/>
      <w:szCs w:val="20"/>
    </w:rPr>
  </w:style>
  <w:style w:type="paragraph" w:customStyle="1" w:styleId="224">
    <w:name w:val="Char Char Char Char Char Char Char Char Char"/>
    <w:basedOn w:val="1"/>
    <w:qFormat/>
    <w:uiPriority w:val="0"/>
    <w:pPr>
      <w:spacing w:beforeLines="0" w:line="360" w:lineRule="exact"/>
      <w:jc w:val="center"/>
    </w:pPr>
    <w:rPr>
      <w:bCs/>
      <w:sz w:val="21"/>
      <w:szCs w:val="21"/>
    </w:rPr>
  </w:style>
  <w:style w:type="paragraph" w:customStyle="1" w:styleId="225">
    <w:name w:val="Normal1"/>
    <w:autoRedefine/>
    <w:qFormat/>
    <w:uiPriority w:val="0"/>
    <w:pPr>
      <w:widowControl w:val="0"/>
      <w:adjustRightInd w:val="0"/>
      <w:spacing w:line="360" w:lineRule="atLeast"/>
      <w:jc w:val="both"/>
      <w:textAlignment w:val="baseline"/>
    </w:pPr>
    <w:rPr>
      <w:rFonts w:ascii="宋体" w:hAnsi="Times New Roman" w:eastAsia="宋体" w:cs="Times New Roman"/>
      <w:sz w:val="24"/>
      <w:lang w:val="en-US" w:eastAsia="zh-CN" w:bidi="ar-SA"/>
    </w:rPr>
  </w:style>
  <w:style w:type="paragraph" w:customStyle="1" w:styleId="226">
    <w:name w:val="Char Char Char1 Char"/>
    <w:basedOn w:val="1"/>
    <w:autoRedefine/>
    <w:qFormat/>
    <w:uiPriority w:val="0"/>
    <w:pPr>
      <w:spacing w:beforeLines="0" w:line="240" w:lineRule="auto"/>
      <w:jc w:val="both"/>
    </w:pPr>
    <w:rPr>
      <w:sz w:val="21"/>
    </w:rPr>
  </w:style>
  <w:style w:type="paragraph" w:customStyle="1" w:styleId="227">
    <w:name w:val="正文缩进0.90"/>
    <w:basedOn w:val="1"/>
    <w:autoRedefine/>
    <w:qFormat/>
    <w:uiPriority w:val="0"/>
    <w:pPr>
      <w:snapToGrid w:val="0"/>
      <w:spacing w:beforeLines="0" w:line="360" w:lineRule="exact"/>
      <w:ind w:firstLine="540" w:firstLineChars="225"/>
      <w:jc w:val="center"/>
    </w:pPr>
    <w:rPr>
      <w:bCs/>
      <w:szCs w:val="20"/>
    </w:rPr>
  </w:style>
  <w:style w:type="paragraph" w:customStyle="1" w:styleId="228">
    <w:name w:val="样式 宋体 段前: 0.5 行 行距: 多倍行距 1.3 字行"/>
    <w:basedOn w:val="1"/>
    <w:autoRedefine/>
    <w:qFormat/>
    <w:uiPriority w:val="0"/>
    <w:pPr>
      <w:spacing w:beforeLines="0" w:line="312" w:lineRule="auto"/>
      <w:ind w:left="200" w:hanging="200" w:hangingChars="200"/>
    </w:pPr>
    <w:rPr>
      <w:rFonts w:ascii="宋体" w:hAnsi="宋体" w:cs="宋体"/>
      <w:szCs w:val="20"/>
    </w:rPr>
  </w:style>
  <w:style w:type="paragraph" w:customStyle="1" w:styleId="229">
    <w:name w:val="Char Char Char Char1"/>
    <w:basedOn w:val="1"/>
    <w:autoRedefine/>
    <w:qFormat/>
    <w:uiPriority w:val="0"/>
    <w:pPr>
      <w:spacing w:beforeLines="0" w:line="360" w:lineRule="exact"/>
      <w:jc w:val="center"/>
    </w:pPr>
    <w:rPr>
      <w:bCs/>
      <w:sz w:val="21"/>
      <w:szCs w:val="21"/>
    </w:rPr>
  </w:style>
  <w:style w:type="paragraph" w:customStyle="1" w:styleId="230">
    <w:name w:val="Char Char Char1 Char1"/>
    <w:basedOn w:val="1"/>
    <w:autoRedefine/>
    <w:semiHidden/>
    <w:qFormat/>
    <w:uiPriority w:val="0"/>
    <w:pPr>
      <w:spacing w:beforeLines="0"/>
      <w:ind w:firstLine="200" w:firstLineChars="200"/>
      <w:jc w:val="both"/>
    </w:pPr>
    <w:rPr>
      <w:rFonts w:ascii="宋体" w:hAnsi="宋体" w:cs="宋体"/>
    </w:rPr>
  </w:style>
  <w:style w:type="paragraph" w:customStyle="1" w:styleId="231">
    <w:name w:val="简单回函地址"/>
    <w:basedOn w:val="1"/>
    <w:autoRedefine/>
    <w:qFormat/>
    <w:uiPriority w:val="0"/>
    <w:pPr>
      <w:adjustRightInd w:val="0"/>
      <w:spacing w:beforeLines="0" w:line="312" w:lineRule="atLeast"/>
      <w:jc w:val="center"/>
      <w:textAlignment w:val="baseline"/>
    </w:pPr>
    <w:rPr>
      <w:rFonts w:ascii="宋体"/>
      <w:bCs/>
      <w:kern w:val="0"/>
      <w:szCs w:val="20"/>
    </w:rPr>
  </w:style>
  <w:style w:type="paragraph" w:customStyle="1" w:styleId="232">
    <w:name w:val="样式 宋体 段前: 0.5 行 行距: 多倍行距 1.3 字行2"/>
    <w:basedOn w:val="1"/>
    <w:autoRedefine/>
    <w:qFormat/>
    <w:uiPriority w:val="0"/>
    <w:pPr>
      <w:numPr>
        <w:ilvl w:val="0"/>
        <w:numId w:val="3"/>
      </w:numPr>
      <w:spacing w:beforeLines="0" w:line="312" w:lineRule="auto"/>
    </w:pPr>
    <w:rPr>
      <w:rFonts w:ascii="宋体" w:hAnsi="宋体" w:cs="宋体"/>
      <w:szCs w:val="20"/>
    </w:rPr>
  </w:style>
  <w:style w:type="paragraph" w:customStyle="1" w:styleId="233">
    <w:name w:val="样式 cucd-0 + 行距: 1.5 倍行距"/>
    <w:basedOn w:val="69"/>
    <w:autoRedefine/>
    <w:qFormat/>
    <w:uiPriority w:val="0"/>
    <w:rPr>
      <w:rFonts w:cs="宋体"/>
      <w:szCs w:val="20"/>
    </w:rPr>
  </w:style>
  <w:style w:type="paragraph" w:customStyle="1" w:styleId="234">
    <w:name w:val="Char1 Char Char Char Char Char Char Char Char Char"/>
    <w:basedOn w:val="1"/>
    <w:autoRedefine/>
    <w:qFormat/>
    <w:uiPriority w:val="0"/>
    <w:pPr>
      <w:spacing w:beforeLines="0" w:line="240" w:lineRule="auto"/>
      <w:jc w:val="both"/>
    </w:pPr>
    <w:rPr>
      <w:rFonts w:ascii="Tahoma" w:hAnsi="Tahoma"/>
      <w:szCs w:val="20"/>
    </w:rPr>
  </w:style>
  <w:style w:type="paragraph" w:customStyle="1" w:styleId="235">
    <w:name w:val="Char Char Char Char Char Char1"/>
    <w:basedOn w:val="1"/>
    <w:autoRedefine/>
    <w:qFormat/>
    <w:uiPriority w:val="0"/>
    <w:pPr>
      <w:spacing w:beforeLines="0" w:line="240" w:lineRule="auto"/>
      <w:jc w:val="both"/>
    </w:pPr>
    <w:rPr>
      <w:sz w:val="21"/>
      <w:szCs w:val="21"/>
    </w:rPr>
  </w:style>
  <w:style w:type="paragraph" w:customStyle="1" w:styleId="236">
    <w:name w:val="q3"/>
    <w:basedOn w:val="1"/>
    <w:autoRedefine/>
    <w:qFormat/>
    <w:uiPriority w:val="0"/>
    <w:pPr>
      <w:keepNext/>
      <w:keepLines/>
      <w:tabs>
        <w:tab w:val="left" w:pos="851"/>
      </w:tabs>
      <w:adjustRightInd w:val="0"/>
      <w:spacing w:beforeLines="0" w:line="300" w:lineRule="exact"/>
      <w:ind w:firstLine="510"/>
      <w:textAlignment w:val="baseline"/>
    </w:pPr>
    <w:rPr>
      <w:rFonts w:ascii="Arial" w:hAnsi="Arial"/>
      <w:b/>
      <w:color w:val="000000"/>
      <w:kern w:val="44"/>
      <w:szCs w:val="20"/>
    </w:rPr>
  </w:style>
  <w:style w:type="paragraph" w:customStyle="1" w:styleId="237">
    <w:name w:val="Char Char Char1 Char Char Char"/>
    <w:basedOn w:val="1"/>
    <w:autoRedefine/>
    <w:qFormat/>
    <w:uiPriority w:val="0"/>
    <w:pPr>
      <w:spacing w:beforeLines="0" w:line="240" w:lineRule="auto"/>
      <w:jc w:val="both"/>
    </w:pPr>
    <w:rPr>
      <w:sz w:val="21"/>
    </w:rPr>
  </w:style>
  <w:style w:type="paragraph" w:customStyle="1" w:styleId="238">
    <w:name w:val="Char12"/>
    <w:basedOn w:val="1"/>
    <w:autoRedefine/>
    <w:qFormat/>
    <w:uiPriority w:val="0"/>
    <w:pPr>
      <w:spacing w:beforeLines="0" w:line="240" w:lineRule="auto"/>
      <w:jc w:val="both"/>
    </w:pPr>
    <w:rPr>
      <w:sz w:val="21"/>
    </w:rPr>
  </w:style>
  <w:style w:type="paragraph" w:customStyle="1" w:styleId="239">
    <w:name w:val="文档正文"/>
    <w:basedOn w:val="1"/>
    <w:autoRedefine/>
    <w:qFormat/>
    <w:uiPriority w:val="0"/>
    <w:pPr>
      <w:spacing w:beforeLines="0"/>
      <w:jc w:val="both"/>
    </w:pPr>
    <w:rPr>
      <w:rFonts w:ascii="宋体" w:hAnsi="宋体"/>
      <w:b/>
      <w:bCs/>
      <w:sz w:val="21"/>
    </w:rPr>
  </w:style>
  <w:style w:type="paragraph" w:customStyle="1" w:styleId="240">
    <w:name w:val="正文1.2"/>
    <w:basedOn w:val="1"/>
    <w:autoRedefine/>
    <w:qFormat/>
    <w:uiPriority w:val="0"/>
    <w:pPr>
      <w:spacing w:beforeLines="0" w:line="288" w:lineRule="auto"/>
    </w:pPr>
    <w:rPr>
      <w:rFonts w:ascii="宋体"/>
      <w:kern w:val="0"/>
      <w:sz w:val="28"/>
      <w:szCs w:val="20"/>
      <w:lang w:eastAsia="en-US"/>
    </w:rPr>
  </w:style>
  <w:style w:type="paragraph" w:customStyle="1" w:styleId="241">
    <w:name w:val="文档结构图1"/>
    <w:basedOn w:val="1"/>
    <w:autoRedefine/>
    <w:qFormat/>
    <w:uiPriority w:val="0"/>
    <w:pPr>
      <w:shd w:val="clear" w:color="auto" w:fill="000080"/>
      <w:adjustRightInd w:val="0"/>
      <w:spacing w:beforeLines="0" w:line="360" w:lineRule="atLeast"/>
      <w:textAlignment w:val="baseline"/>
    </w:pPr>
    <w:rPr>
      <w:rFonts w:ascii="宋体"/>
      <w:kern w:val="0"/>
      <w:szCs w:val="20"/>
    </w:rPr>
  </w:style>
  <w:style w:type="paragraph" w:customStyle="1" w:styleId="242">
    <w:name w:val="Char Char1 Char Char Char Char"/>
    <w:basedOn w:val="1"/>
    <w:autoRedefine/>
    <w:qFormat/>
    <w:uiPriority w:val="0"/>
    <w:pPr>
      <w:snapToGrid w:val="0"/>
      <w:spacing w:beforeLines="0" w:line="440" w:lineRule="atLeast"/>
      <w:ind w:firstLine="200" w:firstLineChars="200"/>
      <w:jc w:val="both"/>
    </w:pPr>
    <w:rPr>
      <w:rFonts w:ascii="宋体"/>
    </w:rPr>
  </w:style>
  <w:style w:type="paragraph" w:customStyle="1" w:styleId="243">
    <w:name w:val="Char Char Char"/>
    <w:basedOn w:val="1"/>
    <w:autoRedefine/>
    <w:qFormat/>
    <w:uiPriority w:val="0"/>
    <w:pPr>
      <w:spacing w:beforeLines="0" w:line="240" w:lineRule="auto"/>
      <w:jc w:val="both"/>
    </w:pPr>
    <w:rPr>
      <w:sz w:val="21"/>
    </w:rPr>
  </w:style>
  <w:style w:type="paragraph" w:customStyle="1" w:styleId="244">
    <w:name w:val="样式 宋体 两端对齐 段前: 0.5 行1"/>
    <w:basedOn w:val="1"/>
    <w:autoRedefine/>
    <w:qFormat/>
    <w:uiPriority w:val="0"/>
    <w:pPr>
      <w:spacing w:beforeLines="0"/>
      <w:jc w:val="both"/>
    </w:pPr>
    <w:rPr>
      <w:rFonts w:ascii="宋体" w:hAnsi="宋体" w:cs="宋体"/>
      <w:szCs w:val="20"/>
    </w:rPr>
  </w:style>
  <w:style w:type="paragraph" w:customStyle="1" w:styleId="245">
    <w:name w:val="样式 首行缩进:  0 字符"/>
    <w:basedOn w:val="1"/>
    <w:autoRedefine/>
    <w:qFormat/>
    <w:uiPriority w:val="0"/>
    <w:pPr>
      <w:spacing w:beforeLines="0"/>
      <w:ind w:firstLine="200" w:firstLineChars="200"/>
      <w:jc w:val="both"/>
    </w:pPr>
    <w:rPr>
      <w:sz w:val="28"/>
      <w:szCs w:val="20"/>
    </w:rPr>
  </w:style>
  <w:style w:type="character" w:customStyle="1" w:styleId="246">
    <w:name w:val="cucd-0 Char"/>
    <w:autoRedefine/>
    <w:qFormat/>
    <w:uiPriority w:val="0"/>
    <w:rPr>
      <w:rFonts w:eastAsia="宋体"/>
      <w:kern w:val="2"/>
      <w:sz w:val="24"/>
      <w:szCs w:val="24"/>
      <w:lang w:val="en-US" w:eastAsia="zh-CN" w:bidi="ar-SA"/>
    </w:rPr>
  </w:style>
  <w:style w:type="character" w:customStyle="1" w:styleId="247">
    <w:name w:val="Normal Char Char"/>
    <w:link w:val="130"/>
    <w:autoRedefine/>
    <w:qFormat/>
    <w:locked/>
    <w:uiPriority w:val="0"/>
    <w:rPr>
      <w:rFonts w:ascii="宋体"/>
      <w:position w:val="-6"/>
      <w:sz w:val="32"/>
    </w:rPr>
  </w:style>
  <w:style w:type="paragraph" w:customStyle="1" w:styleId="248">
    <w:name w:val="正文文字缩进"/>
    <w:basedOn w:val="1"/>
    <w:autoRedefine/>
    <w:qFormat/>
    <w:uiPriority w:val="0"/>
    <w:pPr>
      <w:widowControl/>
      <w:spacing w:beforeLines="0" w:line="606" w:lineRule="atLeast"/>
      <w:ind w:firstLine="481"/>
      <w:jc w:val="both"/>
      <w:textAlignment w:val="baseline"/>
    </w:pPr>
    <w:rPr>
      <w:color w:val="000000"/>
      <w:kern w:val="0"/>
      <w:szCs w:val="20"/>
      <w:u w:color="000000"/>
    </w:rPr>
  </w:style>
  <w:style w:type="character" w:customStyle="1" w:styleId="249">
    <w:name w:val="HTML 预设格式 字符"/>
    <w:link w:val="45"/>
    <w:qFormat/>
    <w:uiPriority w:val="0"/>
    <w:rPr>
      <w:rFonts w:ascii="宋体" w:hAnsi="宋体" w:cs="宋体"/>
      <w:bCs/>
      <w:sz w:val="24"/>
      <w:szCs w:val="21"/>
    </w:rPr>
  </w:style>
  <w:style w:type="paragraph" w:customStyle="1" w:styleId="250">
    <w:name w:val="列出段落2"/>
    <w:basedOn w:val="1"/>
    <w:autoRedefine/>
    <w:qFormat/>
    <w:uiPriority w:val="34"/>
    <w:pPr>
      <w:autoSpaceDE w:val="0"/>
      <w:autoSpaceDN w:val="0"/>
      <w:adjustRightInd w:val="0"/>
      <w:spacing w:beforeLines="0"/>
      <w:ind w:firstLine="420" w:firstLineChars="200"/>
      <w:textAlignment w:val="baseline"/>
    </w:pPr>
    <w:rPr>
      <w:rFonts w:ascii="宋体" w:hAnsi="Plotter"/>
      <w:kern w:val="0"/>
      <w:szCs w:val="20"/>
    </w:rPr>
  </w:style>
  <w:style w:type="character" w:customStyle="1" w:styleId="251">
    <w:name w:val="样式 小五"/>
    <w:autoRedefine/>
    <w:qFormat/>
    <w:uiPriority w:val="0"/>
    <w:rPr>
      <w:rFonts w:ascii="Times New Roman" w:hAnsi="Times New Roman" w:eastAsia="宋体"/>
      <w:kern w:val="0"/>
      <w:sz w:val="24"/>
      <w:szCs w:val="24"/>
      <w:lang w:val="en-US" w:eastAsia="zh-CN" w:bidi="ar-SA"/>
    </w:rPr>
  </w:style>
  <w:style w:type="paragraph" w:customStyle="1" w:styleId="252">
    <w:name w:val="样式 小五 左 首行缩进:  0.53 厘米"/>
    <w:basedOn w:val="1"/>
    <w:autoRedefine/>
    <w:qFormat/>
    <w:uiPriority w:val="0"/>
    <w:pPr>
      <w:spacing w:beforeLines="0"/>
      <w:ind w:firstLine="301"/>
    </w:pPr>
    <w:rPr>
      <w:rFonts w:cs="宋体"/>
      <w:kern w:val="0"/>
      <w:szCs w:val="20"/>
    </w:rPr>
  </w:style>
  <w:style w:type="paragraph" w:customStyle="1" w:styleId="253">
    <w:name w:val="列出段落11"/>
    <w:basedOn w:val="1"/>
    <w:autoRedefine/>
    <w:qFormat/>
    <w:uiPriority w:val="0"/>
    <w:pPr>
      <w:spacing w:beforeLines="0" w:after="200" w:line="276" w:lineRule="auto"/>
      <w:ind w:firstLine="420" w:firstLineChars="200"/>
      <w:jc w:val="both"/>
    </w:pPr>
    <w:rPr>
      <w:rFonts w:ascii="Calibri" w:hAnsi="Calibri"/>
      <w:b/>
      <w:szCs w:val="22"/>
    </w:rPr>
  </w:style>
  <w:style w:type="paragraph" w:styleId="254">
    <w:name w:val="List Paragraph"/>
    <w:basedOn w:val="1"/>
    <w:autoRedefine/>
    <w:qFormat/>
    <w:uiPriority w:val="34"/>
    <w:pPr>
      <w:spacing w:beforeLines="0" w:line="240" w:lineRule="auto"/>
      <w:ind w:firstLine="420" w:firstLineChars="200"/>
      <w:jc w:val="both"/>
    </w:pPr>
    <w:rPr>
      <w:rFonts w:ascii="Calibri" w:hAnsi="Calibri"/>
      <w:sz w:val="21"/>
      <w:szCs w:val="22"/>
    </w:rPr>
  </w:style>
  <w:style w:type="paragraph" w:customStyle="1" w:styleId="255">
    <w:name w:val="样式 行距: 固定值 20 磅"/>
    <w:basedOn w:val="1"/>
    <w:autoRedefine/>
    <w:qFormat/>
    <w:uiPriority w:val="0"/>
    <w:pPr>
      <w:numPr>
        <w:ilvl w:val="0"/>
        <w:numId w:val="4"/>
      </w:numPr>
      <w:tabs>
        <w:tab w:val="left" w:pos="482"/>
      </w:tabs>
      <w:spacing w:beforeLines="0" w:line="400" w:lineRule="exact"/>
      <w:jc w:val="both"/>
    </w:pPr>
    <w:rPr>
      <w:rFonts w:cs="宋体"/>
      <w:sz w:val="21"/>
      <w:szCs w:val="20"/>
    </w:rPr>
  </w:style>
  <w:style w:type="paragraph" w:customStyle="1" w:styleId="256">
    <w:name w:val="列出段落1"/>
    <w:basedOn w:val="1"/>
    <w:autoRedefine/>
    <w:qFormat/>
    <w:uiPriority w:val="99"/>
    <w:pPr>
      <w:ind w:firstLine="420" w:firstLineChars="200"/>
    </w:pPr>
  </w:style>
  <w:style w:type="paragraph" w:customStyle="1" w:styleId="257">
    <w:name w:val="正文缩进2格"/>
    <w:basedOn w:val="1"/>
    <w:link w:val="259"/>
    <w:autoRedefine/>
    <w:qFormat/>
    <w:uiPriority w:val="99"/>
    <w:pPr>
      <w:spacing w:line="600" w:lineRule="exact"/>
      <w:ind w:firstLine="639" w:firstLineChars="206"/>
    </w:pPr>
    <w:rPr>
      <w:rFonts w:ascii="仿宋_GB2312" w:hAnsi="宋体" w:eastAsia="仿宋_GB2312"/>
      <w:kern w:val="0"/>
      <w:sz w:val="31"/>
    </w:rPr>
  </w:style>
  <w:style w:type="paragraph" w:customStyle="1" w:styleId="258">
    <w:name w:val="修订1"/>
    <w:autoRedefine/>
    <w:hidden/>
    <w:unhideWhenUsed/>
    <w:qFormat/>
    <w:uiPriority w:val="99"/>
    <w:rPr>
      <w:rFonts w:ascii="Times New Roman" w:hAnsi="Times New Roman" w:eastAsia="宋体" w:cs="Times New Roman"/>
      <w:kern w:val="2"/>
      <w:sz w:val="24"/>
      <w:szCs w:val="24"/>
      <w:lang w:val="en-US" w:eastAsia="zh-CN" w:bidi="ar-SA"/>
    </w:rPr>
  </w:style>
  <w:style w:type="character" w:customStyle="1" w:styleId="259">
    <w:name w:val="正文缩进2格 Char"/>
    <w:link w:val="257"/>
    <w:autoRedefine/>
    <w:qFormat/>
    <w:uiPriority w:val="0"/>
    <w:rPr>
      <w:rFonts w:ascii="仿宋_GB2312" w:hAnsi="宋体" w:eastAsia="仿宋_GB2312" w:cs="Times New Roman"/>
      <w:kern w:val="0"/>
      <w:sz w:val="31"/>
    </w:rPr>
  </w:style>
  <w:style w:type="character" w:customStyle="1" w:styleId="260">
    <w:name w:val="正文文本 字符"/>
    <w:basedOn w:val="54"/>
    <w:link w:val="2"/>
    <w:autoRedefine/>
    <w:qFormat/>
    <w:uiPriority w:val="99"/>
    <w:rPr>
      <w:rFonts w:ascii="宋体" w:hAnsi="宋体" w:eastAsia="宋体" w:cs="Times New Roman"/>
      <w:sz w:val="21"/>
    </w:rPr>
  </w:style>
  <w:style w:type="character" w:customStyle="1" w:styleId="261">
    <w:name w:val="正文文本首行缩进 字符"/>
    <w:basedOn w:val="260"/>
    <w:link w:val="50"/>
    <w:autoRedefine/>
    <w:qFormat/>
    <w:uiPriority w:val="0"/>
    <w:rPr>
      <w:rFonts w:ascii="Times New Roman" w:hAnsi="Times New Roman" w:eastAsia="宋体" w:cs="Times New Roman"/>
      <w:sz w:val="21"/>
      <w:szCs w:val="20"/>
    </w:rPr>
  </w:style>
  <w:style w:type="character" w:customStyle="1" w:styleId="262">
    <w:name w:val="页眉 字符"/>
    <w:basedOn w:val="54"/>
    <w:link w:val="33"/>
    <w:autoRedefine/>
    <w:qFormat/>
    <w:uiPriority w:val="99"/>
    <w:rPr>
      <w:rFonts w:ascii="Times New Roman" w:hAnsi="Times New Roman" w:eastAsia="宋体" w:cs="Times New Roman"/>
      <w:sz w:val="18"/>
      <w:szCs w:val="18"/>
    </w:rPr>
  </w:style>
  <w:style w:type="character" w:customStyle="1" w:styleId="263">
    <w:name w:val="批注框文本 字符"/>
    <w:basedOn w:val="54"/>
    <w:link w:val="31"/>
    <w:autoRedefine/>
    <w:qFormat/>
    <w:uiPriority w:val="0"/>
    <w:rPr>
      <w:rFonts w:ascii="Times New Roman" w:hAnsi="Times New Roman" w:eastAsia="宋体" w:cs="Times New Roman"/>
      <w:sz w:val="18"/>
      <w:szCs w:val="18"/>
    </w:rPr>
  </w:style>
  <w:style w:type="character" w:customStyle="1" w:styleId="264">
    <w:name w:val="文档结构图 字符"/>
    <w:basedOn w:val="54"/>
    <w:link w:val="16"/>
    <w:autoRedefine/>
    <w:qFormat/>
    <w:uiPriority w:val="99"/>
    <w:rPr>
      <w:rFonts w:ascii="Times New Roman" w:hAnsi="Times New Roman" w:eastAsia="宋体" w:cs="Times New Roman"/>
    </w:rPr>
  </w:style>
  <w:style w:type="character" w:customStyle="1" w:styleId="265">
    <w:name w:val="批注文字 字符"/>
    <w:basedOn w:val="54"/>
    <w:link w:val="18"/>
    <w:autoRedefine/>
    <w:qFormat/>
    <w:uiPriority w:val="0"/>
    <w:rPr>
      <w:rFonts w:ascii="宋体" w:hAnsi="Plotter" w:eastAsia="宋体" w:cs="Times New Roman"/>
      <w:kern w:val="0"/>
      <w:sz w:val="34"/>
      <w:szCs w:val="20"/>
    </w:rPr>
  </w:style>
  <w:style w:type="character" w:customStyle="1" w:styleId="266">
    <w:name w:val="fontstyle01"/>
    <w:basedOn w:val="54"/>
    <w:autoRedefine/>
    <w:qFormat/>
    <w:uiPriority w:val="0"/>
    <w:rPr>
      <w:rFonts w:hint="eastAsia" w:ascii="仿宋" w:hAnsi="仿宋" w:eastAsia="仿宋" w:cs="Times New Roman"/>
      <w:color w:val="000000"/>
      <w:sz w:val="28"/>
      <w:szCs w:val="28"/>
    </w:rPr>
  </w:style>
  <w:style w:type="character" w:customStyle="1" w:styleId="267">
    <w:name w:val="批注主题 字符"/>
    <w:basedOn w:val="265"/>
    <w:link w:val="49"/>
    <w:qFormat/>
    <w:uiPriority w:val="0"/>
    <w:rPr>
      <w:rFonts w:ascii="Times New Roman" w:hAnsi="Times New Roman" w:eastAsia="宋体" w:cs="Times New Roman"/>
      <w:b/>
      <w:bCs/>
      <w:kern w:val="2"/>
      <w:sz w:val="21"/>
      <w:szCs w:val="20"/>
    </w:rPr>
  </w:style>
  <w:style w:type="character" w:customStyle="1" w:styleId="268">
    <w:name w:val="脚注文本 字符"/>
    <w:basedOn w:val="54"/>
    <w:link w:val="37"/>
    <w:autoRedefine/>
    <w:qFormat/>
    <w:uiPriority w:val="0"/>
    <w:rPr>
      <w:rFonts w:asciiTheme="minorHAnsi" w:hAnsiTheme="minorHAnsi" w:eastAsiaTheme="minorEastAsia" w:cstheme="minorBidi"/>
      <w:sz w:val="18"/>
      <w:szCs w:val="24"/>
    </w:rPr>
  </w:style>
  <w:style w:type="paragraph" w:customStyle="1" w:styleId="269">
    <w:name w:val="修订11"/>
    <w:autoRedefine/>
    <w:hidden/>
    <w:semiHidden/>
    <w:qFormat/>
    <w:uiPriority w:val="99"/>
    <w:rPr>
      <w:rFonts w:asciiTheme="minorHAnsi" w:hAnsiTheme="minorHAnsi" w:eastAsiaTheme="minorEastAsia" w:cstheme="minorBidi"/>
      <w:kern w:val="2"/>
      <w:sz w:val="24"/>
      <w:szCs w:val="24"/>
      <w:lang w:val="en-US" w:eastAsia="zh-CN" w:bidi="ar-SA"/>
    </w:rPr>
  </w:style>
  <w:style w:type="paragraph" w:customStyle="1" w:styleId="270">
    <w:name w:val="正文文本缩进 21"/>
    <w:basedOn w:val="1"/>
    <w:autoRedefine/>
    <w:qFormat/>
    <w:uiPriority w:val="0"/>
    <w:pPr>
      <w:adjustRightInd w:val="0"/>
      <w:spacing w:beforeLines="0" w:line="480" w:lineRule="auto"/>
      <w:ind w:firstLine="540"/>
      <w:jc w:val="both"/>
    </w:pPr>
    <w:rPr>
      <w:rFonts w:ascii="Calibri" w:hAnsi="Calibri" w:cs="Calibri"/>
      <w:kern w:val="0"/>
      <w:sz w:val="20"/>
    </w:rPr>
  </w:style>
  <w:style w:type="character" w:customStyle="1" w:styleId="271">
    <w:name w:val="hilite"/>
    <w:basedOn w:val="54"/>
    <w:autoRedefine/>
    <w:qFormat/>
    <w:uiPriority w:val="0"/>
    <w:rPr>
      <w:rFonts w:ascii="Times New Roman" w:hAnsi="Times New Roman" w:eastAsia="宋体" w:cs="Times New Roman"/>
      <w:color w:val="FFFFFF"/>
      <w:shd w:val="clear" w:color="auto" w:fill="666666"/>
    </w:rPr>
  </w:style>
  <w:style w:type="character" w:customStyle="1" w:styleId="272">
    <w:name w:val="last-child"/>
    <w:basedOn w:val="54"/>
    <w:autoRedefine/>
    <w:qFormat/>
    <w:uiPriority w:val="0"/>
    <w:rPr>
      <w:rFonts w:ascii="Times New Roman" w:hAnsi="Times New Roman" w:eastAsia="宋体" w:cs="Times New Roman"/>
    </w:rPr>
  </w:style>
  <w:style w:type="character" w:customStyle="1" w:styleId="273">
    <w:name w:val="w32"/>
    <w:basedOn w:val="54"/>
    <w:qFormat/>
    <w:uiPriority w:val="0"/>
    <w:rPr>
      <w:rFonts w:ascii="Times New Roman" w:hAnsi="Times New Roman" w:eastAsia="宋体" w:cs="Times New Roman"/>
    </w:rPr>
  </w:style>
  <w:style w:type="character" w:customStyle="1" w:styleId="274">
    <w:name w:val="ico1658"/>
    <w:basedOn w:val="54"/>
    <w:autoRedefine/>
    <w:qFormat/>
    <w:uiPriority w:val="0"/>
    <w:rPr>
      <w:rFonts w:ascii="Times New Roman" w:hAnsi="Times New Roman" w:eastAsia="宋体" w:cs="Times New Roman"/>
    </w:rPr>
  </w:style>
  <w:style w:type="character" w:customStyle="1" w:styleId="275">
    <w:name w:val="ico1659"/>
    <w:basedOn w:val="54"/>
    <w:qFormat/>
    <w:uiPriority w:val="0"/>
    <w:rPr>
      <w:rFonts w:ascii="Times New Roman" w:hAnsi="Times New Roman" w:eastAsia="宋体" w:cs="Times New Roman"/>
    </w:rPr>
  </w:style>
  <w:style w:type="character" w:customStyle="1" w:styleId="276">
    <w:name w:val="ico1660"/>
    <w:basedOn w:val="54"/>
    <w:autoRedefine/>
    <w:qFormat/>
    <w:uiPriority w:val="0"/>
    <w:rPr>
      <w:rFonts w:ascii="Times New Roman" w:hAnsi="Times New Roman" w:eastAsia="宋体" w:cs="Times New Roman"/>
    </w:rPr>
  </w:style>
  <w:style w:type="character" w:customStyle="1" w:styleId="277">
    <w:name w:val="button"/>
    <w:basedOn w:val="54"/>
    <w:autoRedefine/>
    <w:qFormat/>
    <w:uiPriority w:val="0"/>
    <w:rPr>
      <w:rFonts w:ascii="Times New Roman" w:hAnsi="Times New Roman" w:eastAsia="宋体" w:cs="Times New Roman"/>
    </w:rPr>
  </w:style>
  <w:style w:type="character" w:customStyle="1" w:styleId="278">
    <w:name w:val="biggerthanmax"/>
    <w:basedOn w:val="54"/>
    <w:autoRedefine/>
    <w:qFormat/>
    <w:uiPriority w:val="0"/>
    <w:rPr>
      <w:rFonts w:ascii="Times New Roman" w:hAnsi="Times New Roman" w:eastAsia="宋体" w:cs="Times New Roman"/>
      <w:shd w:val="clear" w:color="auto" w:fill="FFFF00"/>
    </w:rPr>
  </w:style>
  <w:style w:type="character" w:customStyle="1" w:styleId="279">
    <w:name w:val="cdropright"/>
    <w:basedOn w:val="54"/>
    <w:autoRedefine/>
    <w:qFormat/>
    <w:uiPriority w:val="0"/>
    <w:rPr>
      <w:rFonts w:ascii="Times New Roman" w:hAnsi="Times New Roman" w:eastAsia="宋体" w:cs="Times New Roman"/>
    </w:rPr>
  </w:style>
  <w:style w:type="character" w:customStyle="1" w:styleId="280">
    <w:name w:val="liked_gray"/>
    <w:basedOn w:val="54"/>
    <w:autoRedefine/>
    <w:qFormat/>
    <w:uiPriority w:val="0"/>
    <w:rPr>
      <w:rFonts w:ascii="Times New Roman" w:hAnsi="Times New Roman" w:eastAsia="宋体" w:cs="Times New Roman"/>
      <w:color w:val="FFFFFF"/>
    </w:rPr>
  </w:style>
  <w:style w:type="character" w:customStyle="1" w:styleId="281">
    <w:name w:val="browse_class&gt;span"/>
    <w:basedOn w:val="54"/>
    <w:autoRedefine/>
    <w:qFormat/>
    <w:uiPriority w:val="0"/>
    <w:rPr>
      <w:rFonts w:ascii="Times New Roman" w:hAnsi="Times New Roman" w:eastAsia="宋体" w:cs="Times New Roman"/>
    </w:rPr>
  </w:style>
  <w:style w:type="character" w:customStyle="1" w:styleId="282">
    <w:name w:val="pagechatarealistclose_box"/>
    <w:basedOn w:val="54"/>
    <w:autoRedefine/>
    <w:qFormat/>
    <w:uiPriority w:val="0"/>
    <w:rPr>
      <w:rFonts w:ascii="Times New Roman" w:hAnsi="Times New Roman" w:eastAsia="宋体" w:cs="Times New Roman"/>
    </w:rPr>
  </w:style>
  <w:style w:type="character" w:customStyle="1" w:styleId="283">
    <w:name w:val="pagechatarealistclose_box1"/>
    <w:basedOn w:val="54"/>
    <w:autoRedefine/>
    <w:qFormat/>
    <w:uiPriority w:val="0"/>
    <w:rPr>
      <w:rFonts w:ascii="Times New Roman" w:hAnsi="Times New Roman" w:eastAsia="宋体" w:cs="Times New Roman"/>
    </w:rPr>
  </w:style>
  <w:style w:type="character" w:customStyle="1" w:styleId="284">
    <w:name w:val="hover46"/>
    <w:basedOn w:val="54"/>
    <w:qFormat/>
    <w:uiPriority w:val="0"/>
    <w:rPr>
      <w:rFonts w:ascii="Times New Roman" w:hAnsi="Times New Roman" w:eastAsia="宋体" w:cs="Times New Roman"/>
      <w:color w:val="FFFFFF"/>
    </w:rPr>
  </w:style>
  <w:style w:type="character" w:customStyle="1" w:styleId="285">
    <w:name w:val="layui-layer-tabnow"/>
    <w:basedOn w:val="54"/>
    <w:autoRedefine/>
    <w:qFormat/>
    <w:uiPriority w:val="0"/>
    <w:rPr>
      <w:rFonts w:ascii="Times New Roman" w:hAnsi="Times New Roman" w:eastAsia="宋体" w:cs="Times New Roman"/>
      <w:bdr w:val="single" w:color="CCCCCC" w:sz="6" w:space="0"/>
      <w:shd w:val="clear" w:color="auto" w:fill="FFFFFF"/>
    </w:rPr>
  </w:style>
  <w:style w:type="character" w:customStyle="1" w:styleId="286">
    <w:name w:val="first-child"/>
    <w:basedOn w:val="54"/>
    <w:autoRedefine/>
    <w:qFormat/>
    <w:uiPriority w:val="0"/>
    <w:rPr>
      <w:rFonts w:ascii="Times New Roman" w:hAnsi="Times New Roman" w:eastAsia="宋体" w:cs="Times New Roman"/>
    </w:rPr>
  </w:style>
  <w:style w:type="character" w:customStyle="1" w:styleId="287">
    <w:name w:val="viewscale"/>
    <w:basedOn w:val="54"/>
    <w:autoRedefine/>
    <w:qFormat/>
    <w:uiPriority w:val="0"/>
    <w:rPr>
      <w:rFonts w:ascii="Times New Roman" w:hAnsi="Times New Roman" w:eastAsia="宋体" w:cs="Times New Roman"/>
      <w:color w:val="FFFFFF"/>
      <w:sz w:val="24"/>
      <w:szCs w:val="24"/>
    </w:rPr>
  </w:style>
  <w:style w:type="character" w:customStyle="1" w:styleId="288">
    <w:name w:val="icontext1"/>
    <w:basedOn w:val="54"/>
    <w:autoRedefine/>
    <w:qFormat/>
    <w:uiPriority w:val="0"/>
    <w:rPr>
      <w:rFonts w:ascii="Times New Roman" w:hAnsi="Times New Roman" w:eastAsia="宋体" w:cs="Times New Roman"/>
    </w:rPr>
  </w:style>
  <w:style w:type="character" w:customStyle="1" w:styleId="289">
    <w:name w:val="icontext11"/>
    <w:basedOn w:val="54"/>
    <w:autoRedefine/>
    <w:qFormat/>
    <w:uiPriority w:val="0"/>
    <w:rPr>
      <w:rFonts w:ascii="Times New Roman" w:hAnsi="Times New Roman" w:eastAsia="宋体" w:cs="Times New Roman"/>
    </w:rPr>
  </w:style>
  <w:style w:type="character" w:customStyle="1" w:styleId="290">
    <w:name w:val="icontext12"/>
    <w:basedOn w:val="54"/>
    <w:autoRedefine/>
    <w:qFormat/>
    <w:uiPriority w:val="0"/>
    <w:rPr>
      <w:rFonts w:ascii="Times New Roman" w:hAnsi="Times New Roman" w:eastAsia="宋体" w:cs="Times New Roman"/>
    </w:rPr>
  </w:style>
  <w:style w:type="character" w:customStyle="1" w:styleId="291">
    <w:name w:val="after"/>
    <w:basedOn w:val="54"/>
    <w:autoRedefine/>
    <w:qFormat/>
    <w:uiPriority w:val="0"/>
    <w:rPr>
      <w:rFonts w:ascii="Times New Roman" w:hAnsi="Times New Roman" w:eastAsia="宋体" w:cs="Times New Roman"/>
      <w:sz w:val="0"/>
      <w:szCs w:val="0"/>
    </w:rPr>
  </w:style>
  <w:style w:type="character" w:customStyle="1" w:styleId="292">
    <w:name w:val="color_gray3"/>
    <w:basedOn w:val="54"/>
    <w:autoRedefine/>
    <w:qFormat/>
    <w:uiPriority w:val="0"/>
    <w:rPr>
      <w:rFonts w:ascii="Times New Roman" w:hAnsi="Times New Roman" w:eastAsia="宋体" w:cs="Times New Roman"/>
      <w:color w:val="999999"/>
    </w:rPr>
  </w:style>
  <w:style w:type="character" w:customStyle="1" w:styleId="293">
    <w:name w:val="drapbtn"/>
    <w:basedOn w:val="54"/>
    <w:autoRedefine/>
    <w:qFormat/>
    <w:uiPriority w:val="0"/>
    <w:rPr>
      <w:rFonts w:ascii="Times New Roman" w:hAnsi="Times New Roman" w:eastAsia="宋体" w:cs="Times New Roman"/>
    </w:rPr>
  </w:style>
  <w:style w:type="character" w:customStyle="1" w:styleId="294">
    <w:name w:val="cdropleft"/>
    <w:basedOn w:val="54"/>
    <w:autoRedefine/>
    <w:qFormat/>
    <w:uiPriority w:val="0"/>
    <w:rPr>
      <w:rFonts w:ascii="Times New Roman" w:hAnsi="Times New Roman" w:eastAsia="宋体" w:cs="Times New Roman"/>
    </w:rPr>
  </w:style>
  <w:style w:type="character" w:customStyle="1" w:styleId="295">
    <w:name w:val="active6"/>
    <w:basedOn w:val="54"/>
    <w:autoRedefine/>
    <w:qFormat/>
    <w:uiPriority w:val="0"/>
    <w:rPr>
      <w:rFonts w:ascii="Times New Roman" w:hAnsi="Times New Roman" w:eastAsia="宋体" w:cs="Times New Roman"/>
      <w:color w:val="00FF00"/>
      <w:shd w:val="clear" w:color="auto" w:fill="111111"/>
    </w:rPr>
  </w:style>
  <w:style w:type="character" w:customStyle="1" w:styleId="296">
    <w:name w:val="tmpztreemove_arrow"/>
    <w:basedOn w:val="54"/>
    <w:autoRedefine/>
    <w:qFormat/>
    <w:uiPriority w:val="0"/>
    <w:rPr>
      <w:rFonts w:ascii="Times New Roman" w:hAnsi="Times New Roman" w:eastAsia="宋体" w:cs="Times New Roman"/>
    </w:rPr>
  </w:style>
  <w:style w:type="character" w:customStyle="1" w:styleId="297">
    <w:name w:val="moreaction32"/>
    <w:basedOn w:val="54"/>
    <w:autoRedefine/>
    <w:qFormat/>
    <w:uiPriority w:val="0"/>
    <w:rPr>
      <w:rFonts w:ascii="Times New Roman" w:hAnsi="Times New Roman" w:eastAsia="宋体" w:cs="Times New Roman"/>
    </w:rPr>
  </w:style>
  <w:style w:type="character" w:customStyle="1" w:styleId="298">
    <w:name w:val="icontext2"/>
    <w:basedOn w:val="54"/>
    <w:autoRedefine/>
    <w:qFormat/>
    <w:uiPriority w:val="0"/>
    <w:rPr>
      <w:rFonts w:ascii="Times New Roman" w:hAnsi="Times New Roman" w:eastAsia="宋体" w:cs="Times New Roman"/>
    </w:rPr>
  </w:style>
  <w:style w:type="character" w:customStyle="1" w:styleId="299">
    <w:name w:val="icontext3"/>
    <w:basedOn w:val="54"/>
    <w:qFormat/>
    <w:uiPriority w:val="0"/>
    <w:rPr>
      <w:rFonts w:ascii="Times New Roman" w:hAnsi="Times New Roman" w:eastAsia="宋体" w:cs="Times New Roman"/>
    </w:rPr>
  </w:style>
  <w:style w:type="character" w:customStyle="1" w:styleId="300">
    <w:name w:val="iconline2"/>
    <w:basedOn w:val="54"/>
    <w:autoRedefine/>
    <w:qFormat/>
    <w:uiPriority w:val="0"/>
    <w:rPr>
      <w:rFonts w:ascii="Times New Roman" w:hAnsi="Times New Roman" w:eastAsia="宋体" w:cs="Times New Roman"/>
    </w:rPr>
  </w:style>
  <w:style w:type="character" w:customStyle="1" w:styleId="301">
    <w:name w:val="iconline21"/>
    <w:basedOn w:val="54"/>
    <w:autoRedefine/>
    <w:qFormat/>
    <w:uiPriority w:val="0"/>
    <w:rPr>
      <w:rFonts w:ascii="Times New Roman" w:hAnsi="Times New Roman" w:eastAsia="宋体" w:cs="Times New Roman"/>
    </w:rPr>
  </w:style>
  <w:style w:type="character" w:customStyle="1" w:styleId="302">
    <w:name w:val="choosename"/>
    <w:basedOn w:val="54"/>
    <w:autoRedefine/>
    <w:qFormat/>
    <w:uiPriority w:val="0"/>
    <w:rPr>
      <w:rFonts w:ascii="Times New Roman" w:hAnsi="Times New Roman" w:eastAsia="宋体" w:cs="Times New Roman"/>
    </w:rPr>
  </w:style>
  <w:style w:type="character" w:customStyle="1" w:styleId="303">
    <w:name w:val="estimate_gray"/>
    <w:basedOn w:val="54"/>
    <w:autoRedefine/>
    <w:qFormat/>
    <w:uiPriority w:val="0"/>
    <w:rPr>
      <w:rFonts w:ascii="Times New Roman" w:hAnsi="Times New Roman" w:eastAsia="宋体" w:cs="Times New Roman"/>
    </w:rPr>
  </w:style>
  <w:style w:type="character" w:customStyle="1" w:styleId="304">
    <w:name w:val="estimate_gray1"/>
    <w:basedOn w:val="54"/>
    <w:autoRedefine/>
    <w:qFormat/>
    <w:uiPriority w:val="0"/>
    <w:rPr>
      <w:rFonts w:ascii="Times New Roman" w:hAnsi="Times New Roman" w:eastAsia="宋体" w:cs="Times New Roman"/>
      <w:color w:val="FFFFFF"/>
    </w:rPr>
  </w:style>
  <w:style w:type="character" w:customStyle="1" w:styleId="305">
    <w:name w:val="design_class"/>
    <w:basedOn w:val="54"/>
    <w:autoRedefine/>
    <w:qFormat/>
    <w:uiPriority w:val="0"/>
    <w:rPr>
      <w:rFonts w:ascii="Times New Roman" w:hAnsi="Times New Roman" w:eastAsia="宋体" w:cs="Times New Roman"/>
    </w:rPr>
  </w:style>
  <w:style w:type="character" w:customStyle="1" w:styleId="306">
    <w:name w:val="xdrichtextbox2"/>
    <w:basedOn w:val="54"/>
    <w:qFormat/>
    <w:uiPriority w:val="0"/>
    <w:rPr>
      <w:rFonts w:ascii="Times New Roman" w:hAnsi="Times New Roman" w:eastAsia="宋体" w:cs="Times New Roman"/>
    </w:rPr>
  </w:style>
  <w:style w:type="character" w:customStyle="1" w:styleId="307">
    <w:name w:val="cy"/>
    <w:basedOn w:val="54"/>
    <w:autoRedefine/>
    <w:qFormat/>
    <w:uiPriority w:val="0"/>
    <w:rPr>
      <w:rFonts w:ascii="Times New Roman" w:hAnsi="Times New Roman" w:eastAsia="宋体" w:cs="Times New Roman"/>
    </w:rPr>
  </w:style>
  <w:style w:type="character" w:customStyle="1" w:styleId="308">
    <w:name w:val="edit_class"/>
    <w:basedOn w:val="54"/>
    <w:autoRedefine/>
    <w:qFormat/>
    <w:uiPriority w:val="0"/>
    <w:rPr>
      <w:rFonts w:ascii="Times New Roman" w:hAnsi="Times New Roman" w:eastAsia="宋体" w:cs="Times New Roman"/>
    </w:rPr>
  </w:style>
  <w:style w:type="character" w:customStyle="1" w:styleId="309">
    <w:name w:val="ico16"/>
    <w:basedOn w:val="54"/>
    <w:autoRedefine/>
    <w:qFormat/>
    <w:uiPriority w:val="0"/>
    <w:rPr>
      <w:rFonts w:ascii="Times New Roman" w:hAnsi="Times New Roman" w:eastAsia="宋体" w:cs="Times New Roman"/>
    </w:rPr>
  </w:style>
  <w:style w:type="character" w:customStyle="1" w:styleId="310">
    <w:name w:val="ico161"/>
    <w:basedOn w:val="54"/>
    <w:autoRedefine/>
    <w:qFormat/>
    <w:uiPriority w:val="0"/>
    <w:rPr>
      <w:rFonts w:ascii="Times New Roman" w:hAnsi="Times New Roman" w:eastAsia="宋体" w:cs="Times New Roman"/>
    </w:rPr>
  </w:style>
  <w:style w:type="character" w:customStyle="1" w:styleId="311">
    <w:name w:val="ico162"/>
    <w:basedOn w:val="54"/>
    <w:autoRedefine/>
    <w:qFormat/>
    <w:uiPriority w:val="0"/>
    <w:rPr>
      <w:rFonts w:ascii="Times New Roman" w:hAnsi="Times New Roman" w:eastAsia="宋体" w:cs="Times New Roman"/>
    </w:rPr>
  </w:style>
  <w:style w:type="character" w:customStyle="1" w:styleId="312">
    <w:name w:val="hilite6"/>
    <w:basedOn w:val="54"/>
    <w:qFormat/>
    <w:uiPriority w:val="0"/>
    <w:rPr>
      <w:rFonts w:ascii="Times New Roman" w:hAnsi="Times New Roman" w:eastAsia="宋体" w:cs="Times New Roman"/>
      <w:color w:val="FFFFFF"/>
      <w:shd w:val="clear" w:color="auto" w:fill="666666"/>
    </w:rPr>
  </w:style>
  <w:style w:type="character" w:customStyle="1" w:styleId="313">
    <w:name w:val="button4"/>
    <w:basedOn w:val="54"/>
    <w:autoRedefine/>
    <w:qFormat/>
    <w:uiPriority w:val="0"/>
    <w:rPr>
      <w:rFonts w:ascii="Times New Roman" w:hAnsi="Times New Roman" w:eastAsia="宋体" w:cs="Times New Roman"/>
    </w:rPr>
  </w:style>
  <w:style w:type="character" w:customStyle="1" w:styleId="314">
    <w:name w:val="xdrichtextbox"/>
    <w:basedOn w:val="54"/>
    <w:qFormat/>
    <w:uiPriority w:val="0"/>
    <w:rPr>
      <w:rFonts w:ascii="Times New Roman" w:hAnsi="Times New Roman" w:eastAsia="宋体" w:cs="Times New Roman"/>
      <w:color w:val="auto"/>
      <w:sz w:val="18"/>
      <w:szCs w:val="18"/>
      <w:u w:val="none"/>
      <w:bdr w:val="single" w:color="DCDCDC" w:sz="8" w:space="0"/>
      <w:shd w:val="clear" w:color="auto" w:fill="auto"/>
    </w:rPr>
  </w:style>
  <w:style w:type="character" w:customStyle="1" w:styleId="315">
    <w:name w:val="hover42"/>
    <w:basedOn w:val="54"/>
    <w:autoRedefine/>
    <w:qFormat/>
    <w:uiPriority w:val="0"/>
    <w:rPr>
      <w:rFonts w:ascii="Times New Roman" w:hAnsi="Times New Roman" w:eastAsia="宋体" w:cs="Times New Roman"/>
      <w:color w:val="FFFFFF"/>
    </w:rPr>
  </w:style>
  <w:style w:type="character" w:customStyle="1" w:styleId="316">
    <w:name w:val="正文文本缩进 字符"/>
    <w:basedOn w:val="54"/>
    <w:link w:val="20"/>
    <w:autoRedefine/>
    <w:semiHidden/>
    <w:qFormat/>
    <w:uiPriority w:val="99"/>
    <w:rPr>
      <w:rFonts w:ascii="Times New Roman" w:hAnsi="Times New Roman" w:eastAsia="宋体" w:cs="Times New Roman"/>
    </w:rPr>
  </w:style>
  <w:style w:type="paragraph" w:customStyle="1" w:styleId="317">
    <w:name w:val="paragraph"/>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318">
    <w:name w:val="alpha_contract_review_append_comment_b871ff55ed124452bc307d0d2e3d7a3c"/>
    <w:basedOn w:val="54"/>
    <w:autoRedefine/>
    <w:qFormat/>
    <w:uiPriority w:val="0"/>
  </w:style>
  <w:style w:type="character" w:customStyle="1" w:styleId="319">
    <w:name w:val="alpha_contract_review_append_comment_bcc0bd89ea824b798b112d507b1f7465"/>
    <w:basedOn w:val="54"/>
    <w:autoRedefine/>
    <w:qFormat/>
    <w:uiPriority w:val="0"/>
  </w:style>
  <w:style w:type="character" w:customStyle="1" w:styleId="320">
    <w:name w:val="alpha_contract_review_append_comment_8f81cd11ddb74e9880c91cac0f431ee4"/>
    <w:basedOn w:val="54"/>
    <w:autoRedefine/>
    <w:qFormat/>
    <w:uiPriority w:val="0"/>
  </w:style>
  <w:style w:type="character" w:customStyle="1" w:styleId="321">
    <w:name w:val="alpha_contract_review_append_comment_87cbe73c29e844498b73c5e5d19064f0"/>
    <w:basedOn w:val="54"/>
    <w:autoRedefine/>
    <w:qFormat/>
    <w:uiPriority w:val="0"/>
  </w:style>
  <w:style w:type="character" w:customStyle="1" w:styleId="322">
    <w:name w:val="alpha_contract_review_append_comment_31e5cf332d4a42649fb633a240a651f3"/>
    <w:basedOn w:val="54"/>
    <w:autoRedefine/>
    <w:qFormat/>
    <w:uiPriority w:val="0"/>
  </w:style>
  <w:style w:type="character" w:customStyle="1" w:styleId="323">
    <w:name w:val="alpha_contract_review_append_comment_b37837416a384fcdaf5e99100d63bbc2"/>
    <w:basedOn w:val="54"/>
    <w:qFormat/>
    <w:uiPriority w:val="0"/>
  </w:style>
  <w:style w:type="paragraph" w:customStyle="1" w:styleId="324">
    <w:name w:val="引用1"/>
    <w:basedOn w:val="1"/>
    <w:next w:val="1"/>
    <w:qFormat/>
    <w:uiPriority w:val="29"/>
    <w:pPr>
      <w:spacing w:line="360" w:lineRule="auto"/>
    </w:pPr>
    <w:rPr>
      <w:rFonts w:eastAsia="黑体" w:asciiTheme="minorHAnsi" w:hAnsiTheme="minorHAnsi" w:cstheme="minorBidi"/>
      <w:iCs/>
      <w:color w:val="000000" w:themeColor="text1"/>
      <w:sz w:val="24"/>
      <w:szCs w:val="22"/>
      <w14:textFill>
        <w14:solidFill>
          <w14:schemeClr w14:val="tx1"/>
        </w14:solidFill>
      </w14:textFill>
    </w:rPr>
  </w:style>
  <w:style w:type="table" w:customStyle="1" w:styleId="32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3.jpeg"/><Relationship Id="rId22" Type="http://schemas.openxmlformats.org/officeDocument/2006/relationships/image" Target="media/image2.jpeg"/><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65</Pages>
  <Words>8837</Words>
  <Characters>9232</Characters>
  <Lines>184</Lines>
  <Paragraphs>52</Paragraphs>
  <TotalTime>19</TotalTime>
  <ScaleCrop>false</ScaleCrop>
  <LinksUpToDate>false</LinksUpToDate>
  <CharactersWithSpaces>9435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2020-09-27T04:06:00Z</dcterms:created>
  <dc:creator>Jeo Xie</dc:creator>
  <cp:lastModifiedBy> </cp:lastModifiedBy>
  <cp:lastPrinted>2025-11-27T01:56:00Z</cp:lastPrinted>
  <dcterms:modified xsi:type="dcterms:W3CDTF">2025-11-27T07:47:24Z</dcterms:modified>
  <dc:title>第1章 </dc:title>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75CCF0091C194AB8ACDD441AF67EDB21_13</vt:lpwstr>
  </property>
  <property fmtid="{D5CDD505-2E9C-101B-9397-08002B2CF9AE}" pid="4" name="commondata">
    <vt:lpwstr>eyJoZGlkIjoiYjdjNGY2NGRkMWViYjU5M2JjMzEyYWU0ODA0ZWRkNDUifQ==</vt:lpwstr>
  </property>
  <property fmtid="{D5CDD505-2E9C-101B-9397-08002B2CF9AE}" pid="5" name="KSOTemplateDocerSaveRecord">
    <vt:lpwstr>eyJoZGlkIjoiN2ZmNGE0NjRjYTU2OTJjMjE3ZjcyYmQ3ZmYzYmY2NjciLCJ1c2VySWQiOiIxNjEyMzQ1MDU4In0=</vt:lpwstr>
  </property>
</Properties>
</file>