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eastAsia="方正小标宋简体"/>
          <w:color w:val="auto"/>
          <w:sz w:val="32"/>
          <w:szCs w:val="32"/>
        </w:rPr>
      </w:pPr>
    </w:p>
    <w:p>
      <w:pPr>
        <w:jc w:val="center"/>
        <w:rPr>
          <w:rFonts w:hint="eastAsia" w:ascii="HarmonyOS Sans SC Medium" w:hAnsi="HarmonyOS Sans SC Medium" w:eastAsia="HarmonyOS Sans SC Medium" w:cs="HarmonyOS Sans SC Medium"/>
          <w:color w:val="auto"/>
          <w:sz w:val="40"/>
          <w:szCs w:val="40"/>
        </w:rPr>
      </w:pPr>
      <w:r>
        <w:rPr>
          <w:rFonts w:hint="eastAsia" w:ascii="HarmonyOS Sans SC Medium" w:hAnsi="HarmonyOS Sans SC Medium" w:eastAsia="HarmonyOS Sans SC Medium" w:cs="HarmonyOS Sans SC Medium"/>
          <w:color w:val="auto"/>
          <w:sz w:val="48"/>
          <w:szCs w:val="48"/>
        </w:rPr>
        <w:t>东莞市海心沙资源循环利用基地</w:t>
      </w:r>
    </w:p>
    <w:tbl>
      <w:tblPr>
        <w:tblStyle w:val="13"/>
        <w:tblpPr w:leftFromText="180" w:rightFromText="180" w:vertAnchor="text" w:horzAnchor="margin" w:tblpXSpec="center" w:tblpY="7756"/>
        <w:tblOverlap w:val="never"/>
        <w:tblW w:w="6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4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需求部门：</w:t>
            </w:r>
          </w:p>
        </w:tc>
        <w:tc>
          <w:tcPr>
            <w:tcW w:w="4187" w:type="dxa"/>
            <w:tcBorders>
              <w:top w:val="nil"/>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安全环境部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需求部门经办人：</w:t>
            </w:r>
          </w:p>
        </w:tc>
        <w:tc>
          <w:tcPr>
            <w:tcW w:w="4187" w:type="dxa"/>
            <w:tcBorders>
              <w:top w:val="single" w:color="auto" w:sz="4" w:space="0"/>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冯立容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需求部门负责人：</w:t>
            </w:r>
          </w:p>
        </w:tc>
        <w:tc>
          <w:tcPr>
            <w:tcW w:w="4187" w:type="dxa"/>
            <w:tcBorders>
              <w:top w:val="single" w:color="auto" w:sz="4" w:space="0"/>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杨大展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需求部门分管领导：</w:t>
            </w:r>
          </w:p>
        </w:tc>
        <w:tc>
          <w:tcPr>
            <w:tcW w:w="4187" w:type="dxa"/>
            <w:tcBorders>
              <w:top w:val="single" w:color="auto" w:sz="4" w:space="0"/>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顾四海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项目主体负责人：</w:t>
            </w:r>
          </w:p>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（第一部分）</w:t>
            </w:r>
          </w:p>
        </w:tc>
        <w:tc>
          <w:tcPr>
            <w:tcW w:w="4187" w:type="dxa"/>
            <w:tcBorders>
              <w:top w:val="single" w:color="auto" w:sz="4" w:space="0"/>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温玮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52" w:type="dxa"/>
            <w:tcBorders>
              <w:top w:val="nil"/>
              <w:left w:val="nil"/>
              <w:bottom w:val="nil"/>
              <w:right w:val="nil"/>
            </w:tcBorders>
            <w:vAlign w:val="center"/>
          </w:tcPr>
          <w:p>
            <w:pPr>
              <w:pStyle w:val="7"/>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项目主体负责人：</w:t>
            </w:r>
          </w:p>
          <w:p>
            <w:pPr>
              <w:pStyle w:val="7"/>
              <w:jc w:val="distribute"/>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（第二部分）</w:t>
            </w:r>
          </w:p>
        </w:tc>
        <w:tc>
          <w:tcPr>
            <w:tcW w:w="4187" w:type="dxa"/>
            <w:tcBorders>
              <w:top w:val="single" w:color="auto" w:sz="4" w:space="0"/>
              <w:left w:val="nil"/>
              <w:bottom w:val="single" w:color="auto" w:sz="4" w:space="0"/>
              <w:right w:val="nil"/>
            </w:tcBorders>
            <w:vAlign w:val="center"/>
          </w:tcPr>
          <w:p>
            <w:pPr>
              <w:pStyle w:val="7"/>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雷鸣</w:t>
            </w:r>
          </w:p>
        </w:tc>
      </w:tr>
    </w:tbl>
    <w:p>
      <w:pPr>
        <w:jc w:val="center"/>
        <w:rPr>
          <w:rFonts w:hint="eastAsia" w:ascii="HarmonyOS Sans SC Medium" w:hAnsi="HarmonyOS Sans SC Medium" w:eastAsia="HarmonyOS Sans SC Medium" w:cs="HarmonyOS Sans SC Medium"/>
          <w:color w:val="auto"/>
          <w:sz w:val="48"/>
          <w:szCs w:val="48"/>
        </w:rPr>
      </w:pPr>
      <w:r>
        <w:rPr>
          <w:rFonts w:hint="eastAsia" w:ascii="HarmonyOS Sans SC Medium" w:hAnsi="HarmonyOS Sans SC Medium" w:eastAsia="HarmonyOS Sans SC Medium" w:cs="HarmonyOS Sans SC Medium"/>
          <w:color w:val="auto"/>
          <w:sz w:val="48"/>
          <w:szCs w:val="48"/>
        </w:rPr>
        <w:t>烟气在线监测设备运维服务需求书</w:t>
      </w:r>
    </w:p>
    <w:p>
      <w:pPr>
        <w:pStyle w:val="7"/>
        <w:rPr>
          <w:color w:val="auto"/>
          <w:sz w:val="11"/>
          <w:szCs w:val="13"/>
          <w:vertAlign w:val="subscript"/>
        </w:rPr>
        <w:sectPr>
          <w:pgSz w:w="11906" w:h="16838"/>
          <w:pgMar w:top="1440" w:right="1800" w:bottom="1440" w:left="1800" w:header="851" w:footer="992" w:gutter="0"/>
          <w:cols w:space="425" w:num="1"/>
          <w:docGrid w:type="lines" w:linePitch="312" w:charSpace="0"/>
        </w:sectPr>
      </w:pPr>
      <w:r>
        <w:rPr>
          <w:rFonts w:hint="eastAsia"/>
          <w:color w:val="auto"/>
          <w:sz w:val="11"/>
          <w:szCs w:val="13"/>
        </w:rPr>
        <w:t>-</w:t>
      </w:r>
      <w:r>
        <w:rPr>
          <w:rFonts w:hint="eastAsia"/>
          <w:color w:val="auto"/>
          <w:sz w:val="11"/>
          <w:szCs w:val="13"/>
          <w:vertAlign w:val="subscript"/>
        </w:rPr>
        <w:t>-</w:t>
      </w:r>
    </w:p>
    <w:p>
      <w:pPr>
        <w:spacing w:line="400" w:lineRule="exact"/>
        <w:jc w:val="left"/>
        <w:rPr>
          <w:rFonts w:ascii="方正小标宋简体" w:eastAsia="方正小标宋简体"/>
          <w:color w:val="auto"/>
          <w:sz w:val="28"/>
          <w:szCs w:val="28"/>
        </w:rPr>
      </w:pPr>
      <w:r>
        <w:rPr>
          <w:rFonts w:hint="eastAsia" w:ascii="方正小标宋简体" w:eastAsia="方正小标宋简体"/>
          <w:color w:val="auto"/>
          <w:sz w:val="28"/>
          <w:szCs w:val="28"/>
        </w:rPr>
        <w:t>第一部分：</w:t>
      </w:r>
    </w:p>
    <w:p>
      <w:pPr>
        <w:spacing w:line="400" w:lineRule="exact"/>
        <w:ind w:firstLine="560" w:firstLineChars="200"/>
        <w:jc w:val="center"/>
        <w:rPr>
          <w:rFonts w:ascii="方正小标宋简体" w:eastAsia="方正小标宋简体"/>
          <w:color w:val="auto"/>
          <w:sz w:val="28"/>
          <w:szCs w:val="28"/>
        </w:rPr>
      </w:pPr>
      <w:r>
        <w:rPr>
          <w:rFonts w:hint="eastAsia" w:ascii="方正小标宋简体" w:eastAsia="方正小标宋简体"/>
          <w:color w:val="auto"/>
          <w:sz w:val="28"/>
          <w:szCs w:val="28"/>
        </w:rPr>
        <w:t>绿色工业服务项目烟气在线监测设备运维服务需求书</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一、项目概况</w:t>
      </w:r>
    </w:p>
    <w:p>
      <w:pPr>
        <w:spacing w:line="4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莞市新东欣环保投资有限公司规划建设东莞市海心沙资源综合利用中心绿色工业服务项目。项目设计接收处置26大类工业危险废物共约31.61万t/a的处理规模，其中焚烧危险废物6万吨，综合利用危险废物6.78万吨，物化处理危险废物5.5万吨，表面处理废物处理13.3万吨，暂存转运危险废物300吨。</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二、服务清单</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（一）服务范围</w:t>
      </w:r>
    </w:p>
    <w:p>
      <w:pPr>
        <w:spacing w:line="4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莞市海心沙资源循环利用基地东莞市新东欣环保投资有限公司绿色工业服务项目烟气在线监控系统运维服务，服务单位须依据采购人的要求负责烟气排放连续监测系统的日常巡检、校准、维护及数据异常汇报工作。</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（二）运维要求</w:t>
      </w:r>
    </w:p>
    <w:p>
      <w:pPr>
        <w:pStyle w:val="2"/>
        <w:spacing w:line="400" w:lineRule="exact"/>
        <w:ind w:firstLine="480"/>
        <w:rPr>
          <w:rFonts w:hint="eastAsia" w:ascii="仿宋_GB2312" w:hAnsi="仿宋_GB2312" w:eastAsia="仿宋_GB2312" w:cs="仿宋_GB2312"/>
          <w:bCs/>
          <w:color w:val="auto"/>
          <w:sz w:val="24"/>
          <w:szCs w:val="24"/>
        </w:rPr>
      </w:pPr>
      <w:r>
        <w:rPr>
          <w:rFonts w:hint="eastAsia" w:ascii="仿宋_GB2312" w:hAnsi="仿宋_GB2312" w:eastAsia="仿宋_GB2312" w:cs="仿宋_GB2312"/>
          <w:b/>
          <w:bCs/>
          <w:color w:val="auto"/>
          <w:sz w:val="24"/>
          <w:szCs w:val="24"/>
        </w:rPr>
        <w:t>绿色工业服务项目与海心沙热电厂项目各安排一人24h驻厂，且不得为同一人，遇紧急抢修或作业强度高、难度大时按现场实际需求加派人员。</w:t>
      </w:r>
    </w:p>
    <w:p>
      <w:pPr>
        <w:numPr>
          <w:ilvl w:val="0"/>
          <w:numId w:val="2"/>
        </w:num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服务内容</w:t>
      </w:r>
    </w:p>
    <w:p>
      <w:pPr>
        <w:spacing w:line="4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依据《固定污染源烟气（SO</w:t>
      </w:r>
      <w:r>
        <w:rPr>
          <w:rFonts w:hint="eastAsia" w:ascii="仿宋_GB2312" w:hAnsi="仿宋_GB2312" w:eastAsia="仿宋_GB2312" w:cs="仿宋_GB2312"/>
          <w:color w:val="auto"/>
          <w:sz w:val="24"/>
          <w:szCs w:val="24"/>
          <w:vertAlign w:val="subscript"/>
        </w:rPr>
        <w:t>2</w:t>
      </w:r>
      <w:r>
        <w:rPr>
          <w:rFonts w:hint="eastAsia" w:ascii="仿宋_GB2312" w:hAnsi="仿宋_GB2312" w:eastAsia="仿宋_GB2312" w:cs="仿宋_GB2312"/>
          <w:color w:val="auto"/>
          <w:sz w:val="24"/>
          <w:szCs w:val="24"/>
        </w:rPr>
        <w:t>、NO</w:t>
      </w:r>
      <w:r>
        <w:rPr>
          <w:rFonts w:hint="eastAsia" w:ascii="仿宋_GB2312" w:hAnsi="仿宋_GB2312" w:eastAsia="仿宋_GB2312" w:cs="仿宋_GB2312"/>
          <w:color w:val="auto"/>
          <w:sz w:val="24"/>
          <w:szCs w:val="24"/>
          <w:vertAlign w:val="subscript"/>
        </w:rPr>
        <w:t>X</w:t>
      </w:r>
      <w:r>
        <w:rPr>
          <w:rFonts w:hint="eastAsia" w:ascii="仿宋_GB2312" w:hAnsi="仿宋_GB2312" w:eastAsia="仿宋_GB2312" w:cs="仿宋_GB2312"/>
          <w:color w:val="auto"/>
          <w:sz w:val="24"/>
          <w:szCs w:val="24"/>
        </w:rPr>
        <w:t>、颗粒物）排放连续监测技术规范》（HJ 75-2017）进行</w:t>
      </w:r>
      <w:r>
        <w:rPr>
          <w:rFonts w:hint="eastAsia" w:ascii="仿宋_GB2312" w:hAnsi="仿宋_GB2312" w:eastAsia="仿宋_GB2312" w:cs="仿宋_GB2312"/>
          <w:color w:val="auto"/>
          <w:sz w:val="24"/>
          <w:szCs w:val="24"/>
          <w:lang w:val="en-US" w:eastAsia="zh-CN"/>
        </w:rPr>
        <w:t>四套CEMS及四套VOCs在线分析仪</w:t>
      </w:r>
      <w:r>
        <w:rPr>
          <w:rFonts w:hint="eastAsia" w:ascii="仿宋_GB2312" w:hAnsi="仿宋_GB2312" w:eastAsia="仿宋_GB2312" w:cs="仿宋_GB2312"/>
          <w:color w:val="auto"/>
          <w:sz w:val="24"/>
          <w:szCs w:val="24"/>
        </w:rPr>
        <w:t>的日常巡检、校准、维护及异常汇报工作，主要维护设备清单如下表1，最终以发标方现场设备情况为准。</w:t>
      </w:r>
    </w:p>
    <w:p>
      <w:pPr>
        <w:spacing w:line="400" w:lineRule="exact"/>
        <w:ind w:firstLine="480" w:firstLineChars="20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表1：拟委外运维清单</w:t>
      </w:r>
    </w:p>
    <w:tbl>
      <w:tblPr>
        <w:tblStyle w:val="12"/>
        <w:tblW w:w="9096" w:type="dxa"/>
        <w:tblInd w:w="0" w:type="dxa"/>
        <w:tblLayout w:type="autofit"/>
        <w:tblCellMar>
          <w:top w:w="0" w:type="dxa"/>
          <w:left w:w="108" w:type="dxa"/>
          <w:bottom w:w="0" w:type="dxa"/>
          <w:right w:w="108" w:type="dxa"/>
        </w:tblCellMar>
      </w:tblPr>
      <w:tblGrid>
        <w:gridCol w:w="1600"/>
        <w:gridCol w:w="2120"/>
        <w:gridCol w:w="3216"/>
        <w:gridCol w:w="1080"/>
        <w:gridCol w:w="1080"/>
      </w:tblGrid>
      <w:tr>
        <w:tblPrEx>
          <w:tblCellMar>
            <w:top w:w="0" w:type="dxa"/>
            <w:left w:w="108" w:type="dxa"/>
            <w:bottom w:w="0" w:type="dxa"/>
            <w:right w:w="108" w:type="dxa"/>
          </w:tblCellMar>
        </w:tblPrEx>
        <w:trPr>
          <w:trHeight w:val="285" w:hRule="atLeast"/>
          <w:tblHeader/>
        </w:trPr>
        <w:tc>
          <w:tcPr>
            <w:tcW w:w="1600" w:type="dxa"/>
            <w:tcBorders>
              <w:top w:val="single" w:color="auto" w:sz="4" w:space="0"/>
              <w:left w:val="single" w:color="auto" w:sz="4" w:space="0"/>
              <w:bottom w:val="single" w:color="auto" w:sz="4" w:space="0"/>
              <w:right w:val="single" w:color="auto" w:sz="4" w:space="0"/>
            </w:tcBorders>
            <w:shd w:val="clear" w:color="000000" w:fill="F2F2F2"/>
            <w:noWrap/>
            <w:vAlign w:val="center"/>
          </w:tcPr>
          <w:p>
            <w:pPr>
              <w:widowControl/>
              <w:spacing w:line="4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设备总和</w:t>
            </w:r>
          </w:p>
        </w:tc>
        <w:tc>
          <w:tcPr>
            <w:tcW w:w="2120" w:type="dxa"/>
            <w:tcBorders>
              <w:top w:val="single" w:color="auto" w:sz="4" w:space="0"/>
              <w:left w:val="nil"/>
              <w:bottom w:val="single" w:color="auto" w:sz="4" w:space="0"/>
              <w:right w:val="single" w:color="auto" w:sz="4" w:space="0"/>
            </w:tcBorders>
            <w:shd w:val="clear" w:color="000000" w:fill="F2F2F2"/>
            <w:noWrap/>
            <w:vAlign w:val="center"/>
          </w:tcPr>
          <w:p>
            <w:pPr>
              <w:widowControl/>
              <w:spacing w:line="4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描述</w:t>
            </w:r>
          </w:p>
        </w:tc>
        <w:tc>
          <w:tcPr>
            <w:tcW w:w="3216" w:type="dxa"/>
            <w:tcBorders>
              <w:top w:val="single" w:color="auto" w:sz="4" w:space="0"/>
              <w:left w:val="nil"/>
              <w:bottom w:val="single" w:color="auto" w:sz="4" w:space="0"/>
              <w:right w:val="single" w:color="auto" w:sz="4" w:space="0"/>
            </w:tcBorders>
            <w:shd w:val="clear" w:color="000000" w:fill="F2F2F2"/>
            <w:noWrap/>
            <w:vAlign w:val="center"/>
          </w:tcPr>
          <w:p>
            <w:pPr>
              <w:widowControl/>
              <w:spacing w:line="4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型号/规格</w:t>
            </w:r>
          </w:p>
        </w:tc>
        <w:tc>
          <w:tcPr>
            <w:tcW w:w="1080" w:type="dxa"/>
            <w:tcBorders>
              <w:top w:val="single" w:color="auto" w:sz="4" w:space="0"/>
              <w:left w:val="nil"/>
              <w:bottom w:val="single" w:color="auto" w:sz="4" w:space="0"/>
              <w:right w:val="single" w:color="auto" w:sz="4" w:space="0"/>
            </w:tcBorders>
            <w:shd w:val="clear" w:color="000000" w:fill="F2F2F2"/>
            <w:noWrap/>
            <w:vAlign w:val="center"/>
          </w:tcPr>
          <w:p>
            <w:pPr>
              <w:widowControl/>
              <w:spacing w:line="4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单位</w:t>
            </w:r>
          </w:p>
        </w:tc>
        <w:tc>
          <w:tcPr>
            <w:tcW w:w="1080" w:type="dxa"/>
            <w:tcBorders>
              <w:top w:val="single" w:color="auto" w:sz="4" w:space="0"/>
              <w:left w:val="nil"/>
              <w:bottom w:val="single" w:color="auto" w:sz="4" w:space="0"/>
              <w:right w:val="single" w:color="auto" w:sz="4" w:space="0"/>
            </w:tcBorders>
            <w:shd w:val="clear" w:color="000000" w:fill="F2F2F2"/>
            <w:noWrap/>
            <w:vAlign w:val="center"/>
          </w:tcPr>
          <w:p>
            <w:pPr>
              <w:widowControl/>
              <w:spacing w:line="400" w:lineRule="exact"/>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数量</w:t>
            </w:r>
          </w:p>
        </w:tc>
      </w:tr>
      <w:tr>
        <w:tblPrEx>
          <w:tblCellMar>
            <w:top w:w="0" w:type="dxa"/>
            <w:left w:w="108" w:type="dxa"/>
            <w:bottom w:w="0" w:type="dxa"/>
            <w:right w:w="108" w:type="dxa"/>
          </w:tblCellMar>
        </w:tblPrEx>
        <w:trPr>
          <w:trHeight w:val="285" w:hRule="atLeast"/>
        </w:trPr>
        <w:tc>
          <w:tcPr>
            <w:tcW w:w="16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SICK CEMS系统</w:t>
            </w:r>
            <w:r>
              <w:rPr>
                <w:rFonts w:hint="eastAsia" w:ascii="仿宋_GB2312" w:hAnsi="仿宋_GB2312" w:eastAsia="仿宋_GB2312" w:cs="仿宋_GB2312"/>
                <w:color w:val="auto"/>
                <w:kern w:val="0"/>
                <w:sz w:val="24"/>
                <w:szCs w:val="24"/>
                <w:lang w:eastAsia="zh"/>
              </w:rPr>
              <w:t>1</w:t>
            </w:r>
            <w:r>
              <w:rPr>
                <w:rFonts w:hint="eastAsia" w:ascii="仿宋_GB2312" w:hAnsi="仿宋_GB2312" w:eastAsia="仿宋_GB2312" w:cs="仿宋_GB2312"/>
                <w:color w:val="auto"/>
                <w:kern w:val="0"/>
                <w:sz w:val="24"/>
                <w:szCs w:val="24"/>
              </w:rPr>
              <w:t>套净烟气</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rPr>
              <w:t xml:space="preserve">博控K37A型数采仪1套 </w:t>
            </w: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取样探头</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SMB-503</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取样管线</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570"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加热管线</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ELH/2ADW NW6/8 最高200℃ 90W/M 30M</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85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集成管线</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有色电缆6X1.5MM2+7X1MM2,管2*D6/8 1*D4/6</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分析系统</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MCS100FT系统</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570"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分析机柜及电气控制系统</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傅立叶红外分析仪</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MCS100FT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8"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粉尘仪</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SB30标准集成组件</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皮托管流量计</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PT1 L600  银谷</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570"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温压变送器成套</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温变0-300度L800压变+-2KPA L600 银谷</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570"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参数设置</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DHSB30 CANBUS ET800 107761</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数据采集系统DAS</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SMC-900</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电脑主机</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T40  DELL</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显示器</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液晶 19寸 DELL</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打印机</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A4 激光 黑白 HP</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UPS电源</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MT1000 山特</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电脑桌/转椅</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1140"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标准气体</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氧气/氯化氢/一氧化碳/二氧化碳/一氧化氮/二氧化氮/二氧化硫/氟化氢低中高浓度</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减压阀组</w:t>
            </w:r>
          </w:p>
        </w:tc>
        <w:tc>
          <w:tcPr>
            <w:tcW w:w="3216"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MCS100FT仪表气</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吸附式干燥器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PDAD-09-G3/8</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SDL CEMS系统净烟气SCS900FT 1套及博控K37A型数采仪1套</w:t>
            </w: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采样探头</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SD200-CD-26,材质316L</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采样管线</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F8-F6-180℃/高温</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米</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r>
      <w:tr>
        <w:tblPrEx>
          <w:tblCellMar>
            <w:top w:w="0" w:type="dxa"/>
            <w:left w:w="108" w:type="dxa"/>
            <w:bottom w:w="0" w:type="dxa"/>
            <w:right w:w="108" w:type="dxa"/>
          </w:tblCellMar>
        </w:tblPrEx>
        <w:trPr>
          <w:trHeight w:val="570"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傅里叶红外气体分析仪</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MODEL 4000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氧分析仪</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MODEL 1080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570"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预处理系统及其机柜</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800(W)×800(D)×2100(H)mm</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系统反吹装置</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粉尘仪</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MODEL 2030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温度仪</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SITRANS 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压力计</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SITRANS P</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流量计</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SITRANS P</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UPS</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系统内部电缆</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570"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数据采集系统硬件</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含计算机、显示器、激光打印机、电脑桌椅</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数采仪</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博控K37A型</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稳压器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稳压器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570"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电源及信号浪涌保护器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000000"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平台电源分配箱</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过滤器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r>
      <w:tr>
        <w:tblPrEx>
          <w:tblCellMar>
            <w:top w:w="0" w:type="dxa"/>
            <w:left w:w="108" w:type="dxa"/>
            <w:bottom w:w="0" w:type="dxa"/>
            <w:right w:w="108" w:type="dxa"/>
          </w:tblCellMar>
        </w:tblPrEx>
        <w:trPr>
          <w:trHeight w:val="285" w:hRule="atLeast"/>
        </w:trPr>
        <w:tc>
          <w:tcPr>
            <w:tcW w:w="1600" w:type="dxa"/>
            <w:vMerge w:val="restart"/>
            <w:tcBorders>
              <w:top w:val="nil"/>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SDL CEMS系统净烟气SCS900FT 1套及</w:t>
            </w:r>
            <w:r>
              <w:rPr>
                <w:rFonts w:hint="default" w:ascii="仿宋_GB2312" w:hAnsi="Calibri" w:eastAsia="仿宋_GB2312" w:cs="仿宋_GB2312"/>
                <w:color w:val="auto"/>
                <w:kern w:val="0"/>
                <w:sz w:val="24"/>
                <w:szCs w:val="24"/>
                <w:lang w:val="en-US" w:eastAsia="zh-CN" w:bidi="ar"/>
              </w:rPr>
              <w:t>西安长数采仪天山珍II型数采仪一套</w:t>
            </w: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采样探头</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SD200-CD-26,材质316L</w:t>
            </w:r>
          </w:p>
        </w:tc>
        <w:tc>
          <w:tcPr>
            <w:tcW w:w="1080"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采样管线</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F8-F6-180℃/高温</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米</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傅里叶红外气体分析仪</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MODEL 4000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氧分析仪</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MODEL 2062</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预处理系统及其机柜</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800(W)×800(D)×2100(H)mm</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系统反吹装置</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粉尘仪</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SCS-900CPMS</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温度仪</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MODEL 2010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压力计</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MODEL 2010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流量计</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MODEL 2010</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UPS</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6KVA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
              </w:rPr>
              <w:t>台</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系统内部电缆</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数据采集系统硬件</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计算机、显示器、激光打印机、电脑桌椅</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数采仪</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西安长数采仪天山珍II型数采仪一套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稳压器</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30KVA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稳压器</w:t>
            </w:r>
          </w:p>
        </w:tc>
        <w:tc>
          <w:tcPr>
            <w:tcW w:w="3216" w:type="dxa"/>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30KVA</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电源及信号浪涌保护器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平台电源分配箱</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p>
        </w:tc>
        <w:tc>
          <w:tcPr>
            <w:tcW w:w="2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过滤器</w:t>
            </w:r>
          </w:p>
        </w:tc>
        <w:tc>
          <w:tcPr>
            <w:tcW w:w="3216"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rPr>
            </w:pPr>
            <w:r>
              <w:rPr>
                <w:rFonts w:hint="default" w:ascii="仿宋_GB2312" w:hAnsi="Calibri" w:eastAsia="仿宋_GB2312" w:cs="仿宋_GB2312"/>
                <w:color w:val="auto"/>
                <w:kern w:val="0"/>
                <w:sz w:val="24"/>
                <w:szCs w:val="24"/>
                <w:lang w:val="en-US" w:eastAsia="zh-CN" w:bidi="ar"/>
              </w:rPr>
              <w:t>套</w:t>
            </w:r>
          </w:p>
        </w:tc>
        <w:tc>
          <w:tcPr>
            <w:tcW w:w="1080" w:type="dxa"/>
            <w:tcBorders>
              <w:top w:val="nil"/>
              <w:left w:val="nil"/>
              <w:bottom w:val="single" w:color="auto" w:sz="4" w:space="0"/>
              <w:right w:val="single" w:color="auto" w:sz="4" w:space="0"/>
            </w:tcBorders>
            <w:shd w:val="clear" w:color="auto" w:fill="auto"/>
            <w:vAlign w:val="center"/>
          </w:tcPr>
          <w:p>
            <w:pPr>
              <w:widowControl/>
              <w:spacing w:line="400" w:lineRule="exact"/>
              <w:ind w:left="0" w:leftChars="0" w:firstLine="0" w:firstLineChars="0"/>
              <w:jc w:val="center"/>
              <w:rPr>
                <w:rFonts w:hint="eastAsia" w:ascii="仿宋_GB2312" w:hAnsi="仿宋_GB2312" w:eastAsia="仿宋_GB2312" w:cs="仿宋_GB2312"/>
                <w:color w:val="auto"/>
                <w:kern w:val="0"/>
                <w:sz w:val="24"/>
                <w:szCs w:val="24"/>
                <w:lang w:eastAsia="zh"/>
              </w:rPr>
            </w:pPr>
            <w:r>
              <w:rPr>
                <w:rFonts w:hint="eastAsia" w:ascii="仿宋_GB2312" w:hAnsi="仿宋_GB2312" w:eastAsia="仿宋_GB2312" w:cs="仿宋_GB2312"/>
                <w:color w:val="auto"/>
                <w:kern w:val="0"/>
                <w:sz w:val="24"/>
                <w:szCs w:val="24"/>
                <w:lang w:eastAsia="zh"/>
              </w:rPr>
              <w:t>1</w:t>
            </w:r>
          </w:p>
        </w:tc>
      </w:tr>
      <w:tr>
        <w:tblPrEx>
          <w:tblCellMar>
            <w:top w:w="0" w:type="dxa"/>
            <w:left w:w="108" w:type="dxa"/>
            <w:bottom w:w="0" w:type="dxa"/>
            <w:right w:w="108" w:type="dxa"/>
          </w:tblCellMar>
        </w:tblPrEx>
        <w:trPr>
          <w:trHeight w:val="285" w:hRule="atLeast"/>
        </w:trPr>
        <w:tc>
          <w:tcPr>
            <w:tcW w:w="1600"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山东新泽TK-1000型CEMS系统1套、数据采集系统1套</w:t>
            </w: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采样探头</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XZ-QYQ-O1，材质316L</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采样管线</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XZ-2Φ8*6-P1</w:t>
            </w:r>
            <w:r>
              <w:rPr>
                <w:rFonts w:hint="eastAsia" w:ascii="仿宋_GB2312" w:hAnsi="等线" w:eastAsia="仿宋_GB2312" w:cs="宋体"/>
                <w:color w:val="auto"/>
                <w:kern w:val="0"/>
                <w:sz w:val="22"/>
              </w:rPr>
              <w:br w:type="textWrapping"/>
            </w:r>
            <w:r>
              <w:rPr>
                <w:rFonts w:hint="eastAsia" w:ascii="仿宋_GB2312" w:hAnsi="等线" w:eastAsia="仿宋_GB2312" w:cs="宋体"/>
                <w:color w:val="auto"/>
                <w:kern w:val="0"/>
                <w:sz w:val="22"/>
              </w:rPr>
              <w:t>温度180</w:t>
            </w:r>
            <w:r>
              <w:rPr>
                <w:rFonts w:hint="eastAsia" w:ascii="宋体" w:hAnsi="宋体" w:eastAsia="宋体" w:cs="宋体"/>
                <w:color w:val="auto"/>
                <w:kern w:val="0"/>
                <w:sz w:val="22"/>
              </w:rPr>
              <w:t>℃</w:t>
            </w:r>
            <w:r>
              <w:rPr>
                <w:rFonts w:hint="eastAsia" w:ascii="仿宋_GB2312" w:hAnsi="等线" w:eastAsia="仿宋_GB2312" w:cs="宋体"/>
                <w:color w:val="auto"/>
                <w:kern w:val="0"/>
                <w:sz w:val="22"/>
              </w:rPr>
              <w:t>,60W/m</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米</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35</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气体分析仪</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SUV-100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集成管线</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氧分析仪</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预处理系统及其机柜</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(800×600×2000)mm</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系统反吹装置</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粉尘仪</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SDUST-110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温压流监测仪</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SVPT-100</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系统内部电缆</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数据采集系统硬件</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含工控机、人机界面</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数据采集系统DAS</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SINZEN组态软件</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数采仪</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W5100HB-III</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电源及信号浪涌保护器</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平台电源分配箱</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XZ-KZX-01</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过滤器</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个</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3</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参数设置</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451"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标准气体</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auto"/>
              </w:rPr>
            </w:pPr>
            <w:r>
              <w:rPr>
                <w:rFonts w:hint="eastAsia" w:ascii="仿宋_GB2312" w:hAnsi="等线" w:eastAsia="仿宋_GB2312" w:cs="宋体"/>
                <w:color w:val="auto"/>
                <w:kern w:val="0"/>
                <w:sz w:val="22"/>
              </w:rPr>
              <w:t>高纯氮气    8L</w:t>
            </w:r>
            <w:r>
              <w:rPr>
                <w:rFonts w:hint="eastAsia" w:ascii="仿宋_GB2312" w:hAnsi="等线" w:eastAsia="仿宋_GB2312" w:cs="宋体"/>
                <w:color w:val="auto"/>
                <w:kern w:val="0"/>
                <w:sz w:val="22"/>
              </w:rPr>
              <w:br w:type="textWrapping"/>
            </w:r>
            <w:r>
              <w:rPr>
                <w:rFonts w:hint="eastAsia" w:ascii="仿宋_GB2312" w:hAnsi="等线" w:eastAsia="仿宋_GB2312" w:cs="宋体"/>
                <w:color w:val="auto"/>
                <w:kern w:val="0"/>
                <w:sz w:val="22"/>
              </w:rPr>
              <w:t xml:space="preserve">SO2/NO混合标气 余氮 8L </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瓶</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2</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right w:val="single" w:color="auto" w:sz="4" w:space="0"/>
            </w:tcBorders>
            <w:vAlign w:val="center"/>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减压阀组</w:t>
            </w:r>
          </w:p>
        </w:tc>
        <w:tc>
          <w:tcPr>
            <w:tcW w:w="3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continue"/>
            <w:tcBorders>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气源调压过滤器</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XZ-GL-12，0.15-0.9MPa，亚德客</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w:t>
            </w:r>
          </w:p>
        </w:tc>
      </w:tr>
      <w:tr>
        <w:tblPrEx>
          <w:tblCellMar>
            <w:top w:w="0" w:type="dxa"/>
            <w:left w:w="108" w:type="dxa"/>
            <w:bottom w:w="0" w:type="dxa"/>
            <w:right w:w="108" w:type="dxa"/>
          </w:tblCellMar>
        </w:tblPrEx>
        <w:trPr>
          <w:trHeight w:val="285" w:hRule="atLeast"/>
        </w:trPr>
        <w:tc>
          <w:tcPr>
            <w:tcW w:w="1600" w:type="dxa"/>
            <w:vMerge w:val="restart"/>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南林NL-2020型VOCs在线监测分析仪4套、腾朐T36数采仪4套</w:t>
            </w: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VOCs在线监测分析仪</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仿宋_GB2312" w:eastAsia="仿宋_GB2312" w:cs="仿宋_GB2312"/>
                <w:color w:val="auto"/>
                <w:kern w:val="0"/>
                <w:sz w:val="24"/>
                <w:szCs w:val="24"/>
              </w:rPr>
              <w:t>南林NL-2020型</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4</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仿宋_GB2312" w:eastAsia="仿宋_GB2312" w:cs="仿宋_GB2312"/>
                <w:color w:val="auto"/>
                <w:kern w:val="0"/>
                <w:sz w:val="24"/>
                <w:szCs w:val="24"/>
              </w:rPr>
              <w:t>数采仪</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仿宋_GB2312" w:eastAsia="仿宋_GB2312" w:cs="仿宋_GB2312"/>
                <w:color w:val="auto"/>
                <w:kern w:val="0"/>
                <w:sz w:val="24"/>
                <w:szCs w:val="24"/>
              </w:rPr>
              <w:t>腾朐T36</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4</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生产或企业用电配电柜</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4</w:t>
            </w:r>
          </w:p>
        </w:tc>
      </w:tr>
      <w:tr>
        <w:tblPrEx>
          <w:tblCellMar>
            <w:top w:w="0" w:type="dxa"/>
            <w:left w:w="108" w:type="dxa"/>
            <w:bottom w:w="0" w:type="dxa"/>
            <w:right w:w="108" w:type="dxa"/>
          </w:tblCellMar>
        </w:tblPrEx>
        <w:trPr>
          <w:trHeight w:val="285" w:hRule="atLeast"/>
        </w:trPr>
        <w:tc>
          <w:tcPr>
            <w:tcW w:w="1600" w:type="dxa"/>
            <w:vMerge w:val="continue"/>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治理设施用电总控电柜</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4</w:t>
            </w:r>
          </w:p>
        </w:tc>
      </w:tr>
      <w:tr>
        <w:tblPrEx>
          <w:tblCellMar>
            <w:top w:w="0" w:type="dxa"/>
            <w:left w:w="108" w:type="dxa"/>
            <w:bottom w:w="0" w:type="dxa"/>
            <w:right w:w="108" w:type="dxa"/>
          </w:tblCellMar>
        </w:tblPrEx>
        <w:trPr>
          <w:trHeight w:val="221" w:hRule="atLeast"/>
        </w:trPr>
        <w:tc>
          <w:tcPr>
            <w:tcW w:w="1600" w:type="dxa"/>
            <w:vMerge w:val="continue"/>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收集风机、排放风机配电控制柜</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16</w:t>
            </w:r>
          </w:p>
        </w:tc>
      </w:tr>
      <w:tr>
        <w:tblPrEx>
          <w:tblCellMar>
            <w:top w:w="0" w:type="dxa"/>
            <w:left w:w="108" w:type="dxa"/>
            <w:bottom w:w="0" w:type="dxa"/>
            <w:right w:w="108" w:type="dxa"/>
          </w:tblCellMar>
        </w:tblPrEx>
        <w:trPr>
          <w:trHeight w:val="221" w:hRule="atLeast"/>
        </w:trPr>
        <w:tc>
          <w:tcPr>
            <w:tcW w:w="1600" w:type="dxa"/>
            <w:vMerge w:val="continue"/>
            <w:tcBorders>
              <w:top w:val="single" w:color="auto" w:sz="4" w:space="0"/>
              <w:left w:val="single" w:color="auto" w:sz="4" w:space="0"/>
              <w:bottom w:val="single" w:color="auto" w:sz="4" w:space="0"/>
              <w:right w:val="single" w:color="auto" w:sz="4" w:space="0"/>
            </w:tcBorders>
          </w:tcPr>
          <w:p>
            <w:pPr>
              <w:widowControl/>
              <w:spacing w:line="400" w:lineRule="exact"/>
              <w:jc w:val="center"/>
              <w:rPr>
                <w:rFonts w:hint="eastAsia" w:ascii="仿宋_GB2312" w:hAnsi="仿宋_GB2312" w:eastAsia="仿宋_GB2312" w:cs="仿宋_GB2312"/>
                <w:color w:val="auto"/>
                <w:kern w:val="0"/>
                <w:sz w:val="24"/>
                <w:szCs w:val="24"/>
              </w:rPr>
            </w:pPr>
          </w:p>
        </w:tc>
        <w:tc>
          <w:tcPr>
            <w:tcW w:w="21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过程监控数据采集模块</w:t>
            </w:r>
          </w:p>
        </w:tc>
        <w:tc>
          <w:tcPr>
            <w:tcW w:w="32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无线传输模块</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台</w:t>
            </w:r>
          </w:p>
        </w:tc>
        <w:tc>
          <w:tcPr>
            <w:tcW w:w="0" w:type="auto"/>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color w:val="auto"/>
                <w:kern w:val="0"/>
                <w:sz w:val="22"/>
              </w:rPr>
            </w:pPr>
            <w:r>
              <w:rPr>
                <w:rFonts w:hint="eastAsia" w:ascii="仿宋_GB2312" w:hAnsi="等线" w:eastAsia="仿宋_GB2312" w:cs="宋体"/>
                <w:color w:val="auto"/>
                <w:kern w:val="0"/>
                <w:sz w:val="22"/>
              </w:rPr>
              <w:t>21</w:t>
            </w:r>
          </w:p>
        </w:tc>
      </w:tr>
    </w:tbl>
    <w:p>
      <w:pPr>
        <w:pStyle w:val="2"/>
        <w:rPr>
          <w:color w:val="auto"/>
        </w:rPr>
      </w:pP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rPr>
        <w:sectPr>
          <w:footerReference r:id="rId3" w:type="default"/>
          <w:pgSz w:w="11906" w:h="16838"/>
          <w:pgMar w:top="1440" w:right="1800" w:bottom="1440" w:left="1800" w:header="851" w:footer="992" w:gutter="0"/>
          <w:pgNumType w:start="1"/>
          <w:cols w:space="425" w:num="1"/>
          <w:docGrid w:type="lines" w:linePitch="312" w:charSpace="0"/>
        </w:sectPr>
      </w:pPr>
    </w:p>
    <w:p>
      <w:pPr>
        <w:spacing w:line="400" w:lineRule="exact"/>
        <w:jc w:val="left"/>
        <w:rPr>
          <w:rFonts w:ascii="方正小标宋简体" w:eastAsia="方正小标宋简体"/>
          <w:color w:val="auto"/>
          <w:sz w:val="28"/>
          <w:szCs w:val="28"/>
        </w:rPr>
      </w:pPr>
      <w:r>
        <w:rPr>
          <w:rFonts w:hint="eastAsia" w:ascii="方正小标宋简体" w:eastAsia="方正小标宋简体"/>
          <w:color w:val="auto"/>
          <w:sz w:val="28"/>
          <w:szCs w:val="28"/>
        </w:rPr>
        <w:t>第二部分：</w:t>
      </w:r>
    </w:p>
    <w:p>
      <w:pPr>
        <w:pStyle w:val="11"/>
        <w:shd w:val="clear" w:color="auto" w:fill="FFFFFF"/>
        <w:spacing w:before="0" w:beforeAutospacing="0" w:after="0" w:afterAutospacing="0" w:line="400" w:lineRule="exact"/>
        <w:jc w:val="center"/>
        <w:rPr>
          <w:rFonts w:hint="eastAsia" w:ascii="方正小标宋简体" w:eastAsia="方正小标宋简体"/>
          <w:color w:val="auto"/>
          <w:sz w:val="28"/>
          <w:szCs w:val="28"/>
        </w:rPr>
      </w:pPr>
      <w:r>
        <w:rPr>
          <w:rFonts w:hint="eastAsia" w:ascii="方正小标宋简体" w:eastAsia="方正小标宋简体"/>
          <w:color w:val="auto"/>
          <w:sz w:val="28"/>
          <w:szCs w:val="28"/>
        </w:rPr>
        <w:t>海心沙热电厂项目烟气在线监测设备运维服务需求书</w:t>
      </w:r>
    </w:p>
    <w:p>
      <w:pPr>
        <w:adjustRightInd w:val="0"/>
        <w:snapToGrid w:val="0"/>
        <w:spacing w:line="400" w:lineRule="exact"/>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一、项目简介</w:t>
      </w:r>
    </w:p>
    <w:p>
      <w:pPr>
        <w:tabs>
          <w:tab w:val="left" w:pos="495"/>
        </w:tabs>
        <w:adjustRightInd w:val="0"/>
        <w:snapToGrid w:val="0"/>
        <w:spacing w:line="400" w:lineRule="exact"/>
        <w:ind w:firstLine="480" w:firstLineChars="200"/>
        <w:rPr>
          <w:rFonts w:hint="eastAsia" w:ascii="仿宋_GB2312" w:hAnsi="仿宋_GB2312" w:eastAsia="仿宋_GB2312" w:cs="仿宋_GB2312"/>
          <w:color w:val="auto"/>
          <w:kern w:val="24"/>
          <w:sz w:val="24"/>
          <w:szCs w:val="24"/>
        </w:rPr>
      </w:pPr>
      <w:bookmarkStart w:id="0" w:name="_Hlt45194105"/>
      <w:bookmarkEnd w:id="0"/>
      <w:bookmarkStart w:id="1" w:name="_Toc451431779"/>
      <w:r>
        <w:rPr>
          <w:rFonts w:hint="eastAsia" w:ascii="仿宋_GB2312" w:hAnsi="仿宋_GB2312" w:eastAsia="仿宋_GB2312" w:cs="仿宋_GB2312"/>
          <w:color w:val="auto"/>
          <w:kern w:val="24"/>
          <w:sz w:val="24"/>
          <w:szCs w:val="24"/>
        </w:rPr>
        <w:t>本技术规范所提及的要求和服务范围都是最低限度要求，并未对一切技术细节做出规定，也未充分地详述有关标准和规范条文，但报价人必须保证提供符合本技术规范和工业标准的功能齐全的优质产品及服务。</w:t>
      </w:r>
    </w:p>
    <w:bookmarkEnd w:id="1"/>
    <w:p>
      <w:pPr>
        <w:tabs>
          <w:tab w:val="left" w:pos="495"/>
        </w:tabs>
        <w:adjustRightInd w:val="0"/>
        <w:snapToGrid w:val="0"/>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项目名称：东莞市海心沙资源综合利用中心环保热电厂项目烟气在线监测设备（CEMS）维护服务项目</w:t>
      </w:r>
    </w:p>
    <w:p>
      <w:pPr>
        <w:tabs>
          <w:tab w:val="left" w:pos="495"/>
        </w:tabs>
        <w:adjustRightInd w:val="0"/>
        <w:snapToGrid w:val="0"/>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厂址：东莞市麻涌镇大步村海心沙岛</w:t>
      </w:r>
    </w:p>
    <w:p>
      <w:pPr>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项目规模：总处理规模为日处理生活垃圾和一般工业垃圾2250吨，年处理垃圾82.125万吨。配置安装3×750吨/日焚烧线及对应配套系统（包括烟气净化系统、飞灰螯合稳定化系统、给排水系统等），2×40MW纯凝式汽轮发电机组。项目用地总面积为6.96公顷。</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二、服务清单</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（一）服务范围</w:t>
      </w:r>
    </w:p>
    <w:p>
      <w:pPr>
        <w:spacing w:line="4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莞市海心沙资源循环利用基地东莞市新东元环保投资有限公司海心沙热电厂项目烟气在线监控系统运维服务，服务单位须依据采购人的要求负责烟气排放连续监测系统的日常巡检、校准、维护及数据异常汇报工作。</w:t>
      </w:r>
    </w:p>
    <w:p>
      <w:p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（二）运维要求</w:t>
      </w:r>
    </w:p>
    <w:p>
      <w:pPr>
        <w:pStyle w:val="2"/>
        <w:spacing w:line="400" w:lineRule="exact"/>
        <w:ind w:firstLine="482"/>
        <w:rPr>
          <w:rFonts w:hint="eastAsia" w:ascii="仿宋_GB2312" w:hAnsi="仿宋_GB2312" w:eastAsia="仿宋_GB2312" w:cs="仿宋_GB2312"/>
          <w:bCs/>
          <w:color w:val="auto"/>
          <w:sz w:val="24"/>
          <w:szCs w:val="24"/>
        </w:rPr>
      </w:pPr>
      <w:r>
        <w:rPr>
          <w:rFonts w:hint="eastAsia" w:ascii="仿宋_GB2312" w:hAnsi="仿宋_GB2312" w:eastAsia="仿宋_GB2312" w:cs="仿宋_GB2312"/>
          <w:b/>
          <w:color w:val="auto"/>
          <w:sz w:val="24"/>
          <w:szCs w:val="24"/>
          <w:u w:val="single"/>
        </w:rPr>
        <w:t>1人长期驻厂服务</w:t>
      </w:r>
      <w:r>
        <w:rPr>
          <w:rFonts w:hint="eastAsia" w:ascii="仿宋_GB2312" w:hAnsi="仿宋_GB2312" w:eastAsia="仿宋_GB2312" w:cs="仿宋_GB2312"/>
          <w:bCs/>
          <w:color w:val="auto"/>
          <w:sz w:val="24"/>
          <w:szCs w:val="24"/>
        </w:rPr>
        <w:t>，遇紧急抢修或作业强度高、难度大时按现场实际需求加派人员。</w:t>
      </w:r>
    </w:p>
    <w:p>
      <w:pPr>
        <w:numPr>
          <w:ilvl w:val="0"/>
          <w:numId w:val="3"/>
        </w:numPr>
        <w:spacing w:line="400" w:lineRule="exac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服务内容</w:t>
      </w:r>
    </w:p>
    <w:p>
      <w:pPr>
        <w:pStyle w:val="2"/>
        <w:spacing w:line="400" w:lineRule="exact"/>
        <w:ind w:firstLine="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维保服务对象为东莞市海心沙资源综合利用中心环保热电厂全部6套CEMS系统及3套烟气排放数据采集系统设备的日常维护、故障处理及定期维护工作等内容，主要对象的清单如下表（包含但不限于以下，最终以发包方现场实际情况为准）</w:t>
      </w:r>
    </w:p>
    <w:p>
      <w:pPr>
        <w:pStyle w:val="2"/>
        <w:ind w:firstLine="480"/>
        <w:jc w:val="center"/>
        <w:rPr>
          <w:rFonts w:eastAsia="仿宋_GB2312"/>
          <w:color w:val="auto"/>
        </w:rPr>
      </w:pPr>
      <w:r>
        <w:rPr>
          <w:rFonts w:hint="eastAsia" w:ascii="仿宋_GB2312" w:hAnsi="仿宋_GB2312" w:eastAsia="仿宋_GB2312" w:cs="仿宋_GB2312"/>
          <w:bCs/>
          <w:color w:val="auto"/>
          <w:sz w:val="24"/>
          <w:szCs w:val="24"/>
        </w:rPr>
        <w:t>表1：拟委外运维清单：</w:t>
      </w:r>
    </w:p>
    <w:tbl>
      <w:tblPr>
        <w:tblStyle w:val="12"/>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2340"/>
        <w:gridCol w:w="2539"/>
        <w:gridCol w:w="1080"/>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blHeader/>
        </w:trPr>
        <w:tc>
          <w:tcPr>
            <w:tcW w:w="1826" w:type="dxa"/>
            <w:vAlign w:val="center"/>
          </w:tcPr>
          <w:p>
            <w:pPr>
              <w:spacing w:line="400" w:lineRule="exact"/>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设备总和</w:t>
            </w:r>
          </w:p>
        </w:tc>
        <w:tc>
          <w:tcPr>
            <w:tcW w:w="2340" w:type="dxa"/>
            <w:vAlign w:val="center"/>
          </w:tcPr>
          <w:p>
            <w:pPr>
              <w:widowControl/>
              <w:spacing w:line="400" w:lineRule="exact"/>
              <w:jc w:val="center"/>
              <w:textAlignment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设备名称</w:t>
            </w:r>
          </w:p>
        </w:tc>
        <w:tc>
          <w:tcPr>
            <w:tcW w:w="2539" w:type="dxa"/>
            <w:vAlign w:val="center"/>
          </w:tcPr>
          <w:p>
            <w:pPr>
              <w:widowControl/>
              <w:spacing w:line="400" w:lineRule="exact"/>
              <w:jc w:val="center"/>
              <w:textAlignment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规格型号</w:t>
            </w:r>
          </w:p>
        </w:tc>
        <w:tc>
          <w:tcPr>
            <w:tcW w:w="1080" w:type="dxa"/>
            <w:vAlign w:val="center"/>
          </w:tcPr>
          <w:p>
            <w:pPr>
              <w:widowControl/>
              <w:spacing w:line="400" w:lineRule="exact"/>
              <w:jc w:val="center"/>
              <w:textAlignment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单位</w:t>
            </w:r>
          </w:p>
        </w:tc>
        <w:tc>
          <w:tcPr>
            <w:tcW w:w="1094" w:type="dxa"/>
            <w:vAlign w:val="center"/>
          </w:tcPr>
          <w:p>
            <w:pPr>
              <w:widowControl/>
              <w:spacing w:line="400" w:lineRule="exact"/>
              <w:jc w:val="center"/>
              <w:textAlignment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restart"/>
            <w:vAlign w:val="center"/>
          </w:tcPr>
          <w:p>
            <w:pPr>
              <w:spacing w:line="400" w:lineRule="exact"/>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雪迪龙CEMS系统6套</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其中3套为原烟气</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、西安长天山珍II数采仪3套</w:t>
            </w: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采样探头</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SD200-CD-26,材质316L</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采样管线</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F8-F6-180℃</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米</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傅里叶红外气体分析仪</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MODEL 4000</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氧分析仪</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MODEL 1080</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预处理系统及其机柜</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800(W)×800(D)×2100(H)mm</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系统反吹装置</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粉尘仪</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MODEL 2030</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温度仪</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西门子SITRANS 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压力计</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西门子SITRANS P</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流量计</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西门子SITRANS P</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UPS</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10KVA</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台</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系统内部电缆</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备品备件</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数据采集系统硬件</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含计算机、显示器、激光打印机M1136、电脑桌椅</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数采仪</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西安长天山珍II</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稳压器</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30KVA</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稳压器</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10KVA</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电源及信号浪涌保护器</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平台电源分配箱</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6" w:type="dxa"/>
            <w:vMerge w:val="continue"/>
            <w:vAlign w:val="center"/>
          </w:tcPr>
          <w:p>
            <w:pPr>
              <w:spacing w:line="400" w:lineRule="exact"/>
              <w:jc w:val="center"/>
              <w:rPr>
                <w:rFonts w:hint="eastAsia" w:ascii="仿宋_GB2312" w:hAnsi="仿宋_GB2312" w:eastAsia="仿宋_GB2312" w:cs="仿宋_GB2312"/>
                <w:bCs/>
                <w:color w:val="auto"/>
                <w:sz w:val="24"/>
                <w:szCs w:val="24"/>
              </w:rPr>
            </w:pPr>
          </w:p>
        </w:tc>
        <w:tc>
          <w:tcPr>
            <w:tcW w:w="234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过滤器</w:t>
            </w:r>
          </w:p>
        </w:tc>
        <w:tc>
          <w:tcPr>
            <w:tcW w:w="2539"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p>
        </w:tc>
        <w:tc>
          <w:tcPr>
            <w:tcW w:w="1080"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套</w:t>
            </w:r>
          </w:p>
        </w:tc>
        <w:tc>
          <w:tcPr>
            <w:tcW w:w="1094" w:type="dxa"/>
            <w:vAlign w:val="center"/>
          </w:tcPr>
          <w:p>
            <w:pPr>
              <w:widowControl/>
              <w:spacing w:line="400" w:lineRule="exact"/>
              <w:jc w:val="center"/>
              <w:textAlignment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w:t>
            </w:r>
          </w:p>
        </w:tc>
      </w:tr>
    </w:tbl>
    <w:p>
      <w:pP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br w:type="page"/>
      </w:r>
    </w:p>
    <w:p>
      <w:pPr>
        <w:pStyle w:val="33"/>
        <w:ind w:firstLine="0" w:firstLineChars="0"/>
        <w:jc w:val="left"/>
        <w:rPr>
          <w:rFonts w:eastAsia="仿宋_GB2312"/>
          <w:b/>
          <w:color w:val="auto"/>
          <w:sz w:val="32"/>
          <w:szCs w:val="32"/>
        </w:rPr>
      </w:pPr>
      <w:r>
        <w:rPr>
          <w:rFonts w:hint="eastAsia" w:eastAsia="仿宋_GB2312"/>
          <w:b/>
          <w:color w:val="auto"/>
          <w:sz w:val="32"/>
          <w:szCs w:val="32"/>
        </w:rPr>
        <w:t>第三部分：</w:t>
      </w:r>
    </w:p>
    <w:p>
      <w:pPr>
        <w:pStyle w:val="7"/>
        <w:jc w:val="center"/>
        <w:rPr>
          <w:rFonts w:eastAsia="方正小标宋简体"/>
          <w:color w:val="auto"/>
        </w:rPr>
      </w:pPr>
      <w:bookmarkStart w:id="2" w:name="_Hlk137801208"/>
      <w:r>
        <w:rPr>
          <w:rFonts w:hint="eastAsia" w:ascii="方正小标宋简体" w:eastAsia="方正小标宋简体"/>
          <w:color w:val="auto"/>
          <w:sz w:val="32"/>
          <w:szCs w:val="32"/>
        </w:rPr>
        <w:t>东莞市海心沙资源循环利用基地</w:t>
      </w:r>
      <w:bookmarkEnd w:id="2"/>
      <w:r>
        <w:rPr>
          <w:rFonts w:hint="eastAsia" w:ascii="方正小标宋简体" w:eastAsia="方正小标宋简体"/>
          <w:color w:val="auto"/>
          <w:sz w:val="32"/>
          <w:szCs w:val="32"/>
        </w:rPr>
        <w:t>在线监测设备运维运维服务需求书商务文件</w:t>
      </w:r>
    </w:p>
    <w:p>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一、项目需求</w:t>
      </w:r>
    </w:p>
    <w:p>
      <w:pPr>
        <w:spacing w:line="400" w:lineRule="exact"/>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（一）服务期限</w:t>
      </w:r>
    </w:p>
    <w:p>
      <w:pPr>
        <w:spacing w:line="400" w:lineRule="exact"/>
        <w:ind w:firstLine="480" w:firstLineChars="200"/>
        <w:rPr>
          <w:rFonts w:hint="eastAsia" w:ascii="仿宋_GB2312" w:hAnsi="宋体" w:eastAsia="仿宋_GB2312" w:cs="Times New Roman"/>
          <w:color w:val="auto"/>
          <w:sz w:val="24"/>
          <w:szCs w:val="24"/>
        </w:rPr>
      </w:pPr>
      <w:r>
        <w:rPr>
          <w:rFonts w:hint="eastAsia" w:ascii="仿宋_GB2312" w:hAnsi="宋体" w:eastAsia="仿宋_GB2312" w:cs="Times New Roman"/>
          <w:color w:val="auto"/>
          <w:sz w:val="24"/>
          <w:szCs w:val="24"/>
        </w:rPr>
        <w:t>海心沙资源循环利用基地烟气在线监测设备运维服务自项目通知进场之日起</w:t>
      </w:r>
      <w:r>
        <w:rPr>
          <w:rFonts w:hint="eastAsia" w:ascii="仿宋_GB2312" w:hAnsi="宋体" w:eastAsia="仿宋_GB2312" w:cs="Times New Roman"/>
          <w:b/>
          <w:bCs/>
          <w:color w:val="auto"/>
          <w:sz w:val="24"/>
          <w:szCs w:val="24"/>
          <w:lang w:val="en-US" w:eastAsia="zh-CN"/>
        </w:rPr>
        <w:t>两</w:t>
      </w:r>
      <w:r>
        <w:rPr>
          <w:rFonts w:hint="eastAsia" w:ascii="仿宋_GB2312" w:hAnsi="宋体" w:eastAsia="仿宋_GB2312" w:cs="Times New Roman"/>
          <w:b/>
          <w:bCs/>
          <w:color w:val="auto"/>
          <w:sz w:val="24"/>
          <w:szCs w:val="24"/>
        </w:rPr>
        <w:t>年。</w:t>
      </w:r>
    </w:p>
    <w:p>
      <w:pPr>
        <w:spacing w:line="400" w:lineRule="exact"/>
        <w:ind w:firstLine="482" w:firstLineChars="200"/>
        <w:rPr>
          <w:rFonts w:hint="eastAsia" w:ascii="仿宋_GB2312" w:hAnsi="宋体" w:eastAsia="仿宋_GB2312"/>
          <w:b/>
          <w:bCs/>
          <w:color w:val="auto"/>
          <w:sz w:val="24"/>
          <w:szCs w:val="24"/>
        </w:rPr>
      </w:pPr>
      <w:r>
        <w:rPr>
          <w:rFonts w:hint="eastAsia" w:ascii="仿宋_GB2312" w:hAnsi="宋体" w:eastAsia="仿宋_GB2312"/>
          <w:b/>
          <w:bCs/>
          <w:color w:val="auto"/>
          <w:sz w:val="24"/>
          <w:szCs w:val="24"/>
        </w:rPr>
        <w:t>（二）服务要求</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EMS运维单位应根据CEMS使用说明书和本标准的要求编制仪器运行管理规程,确定系统运行操作人员和管理维护人员的工作职责。运维人员应当熟练掌握烟气排放连续监测仪器设备的原理、使用和维护方法。依据《固定污染源烟气（SO2、NOX、颗粒物）排放连续监测技术规范HJ 75-2017》及</w:t>
      </w:r>
      <w:r>
        <w:rPr>
          <w:rFonts w:hint="eastAsia" w:ascii="仿宋_GB2312" w:hAnsi="仿宋_GB2312" w:eastAsia="仿宋_GB2312" w:cs="仿宋_GB2312"/>
          <w:bCs/>
          <w:color w:val="auto"/>
          <w:sz w:val="24"/>
          <w:szCs w:val="24"/>
        </w:rPr>
        <w:t>固定污染源烟气（SO2、NOX、颗粒物）排放连续监测系统技术要求及检测方法（HJ76-2017）</w:t>
      </w:r>
      <w:r>
        <w:rPr>
          <w:rFonts w:hint="eastAsia" w:ascii="仿宋_GB2312" w:hAnsi="仿宋_GB2312" w:eastAsia="仿宋_GB2312" w:cs="仿宋_GB2312"/>
          <w:color w:val="auto"/>
          <w:sz w:val="24"/>
          <w:szCs w:val="24"/>
        </w:rPr>
        <w:t>标准要求落实CEMS日常运行管理并按照东莞市生态环境保护局的要求上传自动监控设施电子台账，主要包含以下内容:</w:t>
      </w:r>
    </w:p>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1.日常巡检</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CEMS运维单位应根据本标准和仪器使用说明中的相关要求制订巡检规程，并严格按照规程开展日常巡检工作并做好记录。日常巡检记录应包括检查项目、检查日期、被检项目的运行状态等内容，每次巡检应记录、归档并。具体巡检内容如下：</w:t>
      </w:r>
    </w:p>
    <w:p>
      <w:pPr>
        <w:spacing w:line="400" w:lineRule="exact"/>
        <w:ind w:firstLine="480" w:firstLineChars="20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表2：日常巡检一览表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126"/>
        <w:gridCol w:w="5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46" w:type="dxa"/>
            <w:shd w:val="clear" w:color="auto" w:fill="D8D8D8" w:themeFill="background1" w:themeFillShade="D9"/>
            <w:vAlign w:val="center"/>
          </w:tcPr>
          <w:p>
            <w:pPr>
              <w:spacing w:line="4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序号</w:t>
            </w:r>
          </w:p>
        </w:tc>
        <w:tc>
          <w:tcPr>
            <w:tcW w:w="2126" w:type="dxa"/>
            <w:shd w:val="clear" w:color="auto" w:fill="D8D8D8" w:themeFill="background1" w:themeFillShade="D9"/>
            <w:vAlign w:val="center"/>
          </w:tcPr>
          <w:p>
            <w:pPr>
              <w:spacing w:line="4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系统</w:t>
            </w:r>
          </w:p>
        </w:tc>
        <w:tc>
          <w:tcPr>
            <w:tcW w:w="5324" w:type="dxa"/>
            <w:shd w:val="clear" w:color="auto" w:fill="D8D8D8" w:themeFill="background1" w:themeFillShade="D9"/>
            <w:vAlign w:val="center"/>
          </w:tcPr>
          <w:p>
            <w:pPr>
              <w:spacing w:line="4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212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CEMS工控机数据和报表功能的检查</w:t>
            </w:r>
          </w:p>
        </w:tc>
        <w:tc>
          <w:tcPr>
            <w:tcW w:w="5324" w:type="dxa"/>
            <w:vAlign w:val="center"/>
          </w:tcPr>
          <w:p>
            <w:pPr>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工控机历史数据报表有无缺失（分钟、小时、日报表）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2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电路系统</w:t>
            </w:r>
          </w:p>
        </w:tc>
        <w:tc>
          <w:tcPr>
            <w:tcW w:w="5324" w:type="dxa"/>
            <w:vAlign w:val="center"/>
          </w:tcPr>
          <w:p>
            <w:pPr>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电压是否稳定、线路是否存在隐患，输出回路电源是否稳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2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气路系统</w:t>
            </w:r>
          </w:p>
        </w:tc>
        <w:tc>
          <w:tcPr>
            <w:tcW w:w="5324" w:type="dxa"/>
            <w:vAlign w:val="center"/>
          </w:tcPr>
          <w:p>
            <w:pPr>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是否正常供气、气压是否达到标准值、气源是否达标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2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自动监控设备</w:t>
            </w:r>
          </w:p>
        </w:tc>
        <w:tc>
          <w:tcPr>
            <w:tcW w:w="5324" w:type="dxa"/>
            <w:vAlign w:val="center"/>
          </w:tcPr>
          <w:p>
            <w:pPr>
              <w:pStyle w:val="27"/>
              <w:numPr>
                <w:ilvl w:val="0"/>
                <w:numId w:val="0"/>
              </w:numPr>
              <w:adjustRightInd w:val="0"/>
              <w:snapToGrid w:val="0"/>
              <w:ind w:firstLine="480" w:firstLineChars="200"/>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探头清洁、伴热管线及设其他部件是否正常工作；包括伴热管线加热温度、氮气发生器运行状态、过滤器颜色为绿色；FTIR样气流量正常无报警；烟气分析仪分析后气废排气通道是否通畅。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26" w:type="dxa"/>
            <w:vAlign w:val="center"/>
          </w:tcPr>
          <w:p>
            <w:pPr>
              <w:widowControl/>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通讯系统</w:t>
            </w:r>
          </w:p>
        </w:tc>
        <w:tc>
          <w:tcPr>
            <w:tcW w:w="5324" w:type="dxa"/>
            <w:vAlign w:val="center"/>
          </w:tcPr>
          <w:p>
            <w:pPr>
              <w:spacing w:line="400" w:lineRule="exact"/>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通讯模块是否正常工作、通讯传输是否正常；包括分析仪和工控机数据是否一致；分析仪和上传环保数采仪数据是否一致；分析仪和户外大屏数据是否一致。</w:t>
            </w:r>
          </w:p>
        </w:tc>
      </w:tr>
    </w:tbl>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2.日常维护保养</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应根据CEMS说明书的要求对CEMS系统保养内容、保养周期或耗材更换周期等做出明确规定，每次保养情况应记录并归档。每次进行备件或材料更换时，更换的备件或材料的品名、规格、数量等应记录并归档。如更换有证标准物质或标准样品，还需记录新标准物质或标准样品的来源、有效期和浓度等信息。对日常巡检或维护保养中发现的故障或问题，系统管理维护人员应及时处理、记录并向我司设备部、安管部联系人报备。</w:t>
      </w:r>
    </w:p>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3.CEMS的校准和校验</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依据《固定污染源烟气（SO2、NOX、颗粒物）排放连续监测技术规范HJ 75-2017》标准规定方法及要求制订CEMS系统的日常校准和校验操作规程。校准和校验记录应及时记录、归档。</w:t>
      </w:r>
    </w:p>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4.其他预防性维护</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保持分析小屋和设备的清洁。分析仪小室外1米内属运维单位工作管理范围，实行“三包”管理，室内清洁，物件摆放有序，私人物品不得放置室内，定期清理无用物品，保证分析小屋内的温、湿度不影响仪器的正常运行。</w:t>
      </w:r>
    </w:p>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5.CEMS系统的检修</w:t>
      </w:r>
    </w:p>
    <w:p>
      <w:pPr>
        <w:spacing w:line="400" w:lineRule="exact"/>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为了使自动监控设备能维持完整的数据获取率，需具备迅速的故障排除、便捷的交通和通讯工具等必要的保证条件：</w:t>
      </w:r>
    </w:p>
    <w:p>
      <w:pPr>
        <w:pStyle w:val="17"/>
        <w:spacing w:line="400" w:lineRule="exact"/>
        <w:ind w:firstLine="48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（1）发现故障或接到故障通知（电话、微信信息或书面形式），专业技术人员须在</w:t>
      </w:r>
      <w:r>
        <w:rPr>
          <w:rFonts w:hint="eastAsia" w:ascii="仿宋_GB2312" w:hAnsi="仿宋_GB2312" w:eastAsia="仿宋_GB2312" w:cs="仿宋_GB2312"/>
          <w:b/>
          <w:bCs/>
          <w:color w:val="auto"/>
          <w:sz w:val="24"/>
          <w:szCs w:val="24"/>
          <w:u w:val="single"/>
        </w:rPr>
        <w:t>10min</w:t>
      </w:r>
      <w:r>
        <w:rPr>
          <w:rFonts w:hint="eastAsia" w:ascii="仿宋_GB2312" w:hAnsi="仿宋_GB2312" w:eastAsia="仿宋_GB2312" w:cs="仿宋_GB2312"/>
          <w:color w:val="auto"/>
          <w:sz w:val="24"/>
          <w:szCs w:val="24"/>
        </w:rPr>
        <w:t>以内到现场进行处理。</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（2）设备经过维修后，在正常使用和运行之前必须确保维修内容全部完成、性能通过检测程序，按国家有关技术规定对仪器进行校准检查。</w:t>
      </w:r>
    </w:p>
    <w:p>
      <w:pPr>
        <w:spacing w:line="400" w:lineRule="exact"/>
        <w:ind w:firstLine="482" w:firstLineChars="200"/>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6.其他要求</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（1）若自动监控设备产生较大故障，致使监测数据缺失的，需将故障原因和处理方案及时上报管理部门。</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现场机在线率为95%以上。正常情况下，掉线后应在5min之内重新上线，单台数据采集传输仪每日掉线次数在3次以内。报文传输稳定性在99%以上，当出现报文错误或丢失时，启动纠错逻辑，要求数据采集传输仪重新发送报文。</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（3）运维单位需建立管理制度、责任制度，设备设施的操作规程并妥善填报日常巡检记录、CEMS维修记录、易耗件更换记录及标准气体更换记录等，运维单位应对数据的准确性负责。</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（4）若运维单位在进行维护、保养测试过程中造成设备损坏、上传数据不符规范及未按合同约定履行维保服务，给</w:t>
      </w:r>
      <w:r>
        <w:rPr>
          <w:rFonts w:hint="eastAsia" w:ascii="仿宋_GB2312" w:hAnsi="仿宋_GB2312" w:eastAsia="仿宋_GB2312" w:cs="仿宋_GB2312"/>
          <w:color w:val="auto"/>
          <w:sz w:val="24"/>
          <w:szCs w:val="24"/>
          <w:lang w:val="en-US" w:eastAsia="zh-CN"/>
        </w:rPr>
        <w:t>采购人</w:t>
      </w:r>
      <w:r>
        <w:rPr>
          <w:rFonts w:hint="eastAsia" w:ascii="仿宋_GB2312" w:hAnsi="仿宋_GB2312" w:eastAsia="仿宋_GB2312" w:cs="仿宋_GB2312"/>
          <w:color w:val="auto"/>
          <w:sz w:val="24"/>
          <w:szCs w:val="24"/>
        </w:rPr>
        <w:t>造成损失由运维单位负责。</w:t>
      </w:r>
    </w:p>
    <w:p>
      <w:pPr>
        <w:pStyle w:val="27"/>
        <w:numPr>
          <w:ilvl w:val="0"/>
          <w:numId w:val="0"/>
        </w:numPr>
        <w:adjustRightInd w:val="0"/>
        <w:snapToGrid w:val="0"/>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（5）运维单位应配合在线监测仪器的验收、环保监察部门的监督性监测及第三方现场数据准确性比对等工作。</w:t>
      </w:r>
    </w:p>
    <w:p>
      <w:pPr>
        <w:pStyle w:val="27"/>
        <w:numPr>
          <w:ilvl w:val="0"/>
          <w:numId w:val="0"/>
        </w:numPr>
        <w:adjustRightInd w:val="0"/>
        <w:snapToGrid w:val="0"/>
        <w:ind w:firstLine="48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（6）专业技术人员需服从我司设备部及安管部的指挥，做好日常运维工作，积极配合处理东莞市污染源在线监控平台及国发平台的异常故障，积极协助</w:t>
      </w:r>
      <w:r>
        <w:rPr>
          <w:rFonts w:hint="eastAsia" w:ascii="仿宋_GB2312" w:hAnsi="仿宋_GB2312" w:eastAsia="仿宋_GB2312" w:cs="仿宋_GB2312"/>
          <w:color w:val="auto"/>
          <w:sz w:val="24"/>
          <w:szCs w:val="24"/>
          <w:lang w:val="en-US" w:eastAsia="zh-CN"/>
        </w:rPr>
        <w:t>采购人</w:t>
      </w:r>
      <w:r>
        <w:rPr>
          <w:rFonts w:hint="eastAsia" w:ascii="仿宋_GB2312" w:hAnsi="仿宋_GB2312" w:eastAsia="仿宋_GB2312" w:cs="仿宋_GB2312"/>
          <w:color w:val="auto"/>
          <w:sz w:val="24"/>
          <w:szCs w:val="24"/>
        </w:rPr>
        <w:t>烟气在线监测设备的联网申请、设备验收及登记备案等工作。</w:t>
      </w:r>
    </w:p>
    <w:p>
      <w:pPr>
        <w:pStyle w:val="27"/>
        <w:numPr>
          <w:ilvl w:val="0"/>
          <w:numId w:val="0"/>
        </w:numPr>
        <w:adjustRightInd w:val="0"/>
        <w:snapToGrid w:val="0"/>
        <w:ind w:firstLine="48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（7）未经采购人同意，运维单位人员不得挂靠，运维单位不得分包、转包给第三方单位进行运维服务。否则采购人有权取消</w:t>
      </w:r>
      <w:r>
        <w:rPr>
          <w:rFonts w:hint="eastAsia" w:ascii="仿宋_GB2312" w:hAnsi="仿宋_GB2312" w:eastAsia="仿宋_GB2312" w:cs="仿宋_GB2312"/>
          <w:color w:val="auto"/>
          <w:sz w:val="24"/>
          <w:szCs w:val="24"/>
          <w:lang w:val="en-US" w:eastAsia="zh-CN"/>
        </w:rPr>
        <w:t>成交人</w:t>
      </w:r>
      <w:r>
        <w:rPr>
          <w:rFonts w:hint="eastAsia" w:ascii="仿宋_GB2312" w:hAnsi="仿宋_GB2312" w:eastAsia="仿宋_GB2312" w:cs="仿宋_GB2312"/>
          <w:color w:val="auto"/>
          <w:sz w:val="24"/>
          <w:szCs w:val="24"/>
        </w:rPr>
        <w:t>中标资格并要求其承担采购人的一切损失。</w:t>
      </w:r>
    </w:p>
    <w:p>
      <w:pPr>
        <w:pStyle w:val="27"/>
        <w:numPr>
          <w:ilvl w:val="0"/>
          <w:numId w:val="0"/>
        </w:numPr>
        <w:adjustRightInd w:val="0"/>
        <w:snapToGrid w:val="0"/>
        <w:spacing w:line="400" w:lineRule="exact"/>
        <w:ind w:firstLine="480" w:firstLineChars="200"/>
        <w:jc w:val="left"/>
        <w:rPr>
          <w:rFonts w:hint="eastAsia" w:ascii="仿宋_GB2312" w:hAnsi="仿宋_GB2312" w:eastAsia="仿宋_GB2312" w:cs="仿宋_GB2312"/>
          <w:bCs w:val="0"/>
          <w:color w:val="auto"/>
          <w:sz w:val="24"/>
          <w:szCs w:val="24"/>
          <w:lang w:eastAsia="zh-CN"/>
        </w:rPr>
      </w:pPr>
      <w:r>
        <w:rPr>
          <w:rFonts w:hint="eastAsia" w:ascii="仿宋_GB2312" w:hAnsi="仿宋_GB2312" w:eastAsia="仿宋_GB2312" w:cs="仿宋_GB2312"/>
          <w:bCs w:val="0"/>
          <w:color w:val="auto"/>
          <w:sz w:val="24"/>
          <w:szCs w:val="24"/>
          <w:lang w:val="en-US" w:eastAsia="zh-CN"/>
        </w:rPr>
        <w:t>（8）成交人</w:t>
      </w:r>
      <w:r>
        <w:rPr>
          <w:rFonts w:hint="eastAsia" w:ascii="仿宋_GB2312" w:hAnsi="仿宋_GB2312" w:eastAsia="仿宋_GB2312" w:cs="仿宋_GB2312"/>
          <w:bCs w:val="0"/>
          <w:color w:val="auto"/>
          <w:sz w:val="24"/>
          <w:szCs w:val="24"/>
        </w:rPr>
        <w:t>需在合同签订</w:t>
      </w:r>
      <w:r>
        <w:rPr>
          <w:rFonts w:hint="eastAsia" w:ascii="仿宋_GB2312" w:hAnsi="仿宋_GB2312" w:eastAsia="仿宋_GB2312" w:cs="仿宋_GB2312"/>
          <w:bCs w:val="0"/>
          <w:color w:val="auto"/>
          <w:sz w:val="24"/>
          <w:szCs w:val="24"/>
          <w:lang w:val="en-US" w:eastAsia="zh-CN"/>
        </w:rPr>
        <w:t>后</w:t>
      </w:r>
      <w:r>
        <w:rPr>
          <w:rFonts w:hint="eastAsia" w:ascii="仿宋_GB2312" w:hAnsi="仿宋_GB2312" w:eastAsia="仿宋_GB2312" w:cs="仿宋_GB2312"/>
          <w:bCs w:val="0"/>
          <w:color w:val="auto"/>
          <w:sz w:val="24"/>
          <w:szCs w:val="24"/>
        </w:rPr>
        <w:t>一个月按照《东莞市污染源自动监控第三方运维机构信息采集资料要求》取得东莞市在线监控平台运维端账号</w:t>
      </w:r>
      <w:r>
        <w:rPr>
          <w:rFonts w:hint="eastAsia" w:ascii="仿宋_GB2312" w:hAnsi="仿宋_GB2312" w:eastAsia="仿宋_GB2312" w:cs="仿宋_GB2312"/>
          <w:bCs w:val="0"/>
          <w:color w:val="auto"/>
          <w:sz w:val="24"/>
          <w:szCs w:val="24"/>
          <w:lang w:eastAsia="zh-CN"/>
        </w:rPr>
        <w:t>。</w:t>
      </w:r>
    </w:p>
    <w:p>
      <w:pPr>
        <w:pStyle w:val="27"/>
        <w:numPr>
          <w:ilvl w:val="-1"/>
          <w:numId w:val="0"/>
        </w:numPr>
        <w:adjustRightInd w:val="0"/>
        <w:snapToGrid w:val="0"/>
        <w:ind w:left="0"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bCs w:val="0"/>
          <w:color w:val="auto"/>
          <w:sz w:val="24"/>
          <w:szCs w:val="24"/>
          <w:lang w:val="en-US" w:eastAsia="zh-CN"/>
        </w:rPr>
        <w:t>（9）成交人</w:t>
      </w:r>
      <w:r>
        <w:rPr>
          <w:rFonts w:hint="eastAsia" w:ascii="仿宋_GB2312" w:hAnsi="仿宋_GB2312" w:eastAsia="仿宋_GB2312" w:cs="仿宋_GB2312"/>
          <w:bCs w:val="0"/>
          <w:color w:val="auto"/>
          <w:sz w:val="24"/>
          <w:szCs w:val="24"/>
        </w:rPr>
        <w:t>正式进场前一周需配合发标方完成对接运维人员的进场出入证明、人脸识别信息录入工作及安全培训等</w:t>
      </w:r>
      <w:r>
        <w:rPr>
          <w:rFonts w:hint="eastAsia" w:ascii="仿宋_GB2312" w:hAnsi="仿宋_GB2312" w:eastAsia="仿宋_GB2312" w:cs="仿宋_GB2312"/>
          <w:bCs w:val="0"/>
          <w:color w:val="auto"/>
          <w:sz w:val="24"/>
          <w:szCs w:val="24"/>
          <w:lang w:eastAsia="zh-CN"/>
        </w:rPr>
        <w:t>。</w:t>
      </w:r>
    </w:p>
    <w:p>
      <w:pPr>
        <w:pStyle w:val="27"/>
        <w:numPr>
          <w:ilvl w:val="0"/>
          <w:numId w:val="0"/>
        </w:numPr>
        <w:adjustRightInd w:val="0"/>
        <w:snapToGrid w:val="0"/>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10</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在运维服务期中，</w:t>
      </w:r>
      <w:r>
        <w:rPr>
          <w:rFonts w:hint="eastAsia" w:ascii="仿宋_GB2312" w:hAnsi="仿宋_GB2312" w:eastAsia="仿宋_GB2312" w:cs="仿宋_GB2312"/>
          <w:color w:val="auto"/>
          <w:sz w:val="24"/>
          <w:szCs w:val="24"/>
          <w:highlight w:val="none"/>
          <w:lang w:val="en-US" w:eastAsia="zh-CN"/>
        </w:rPr>
        <w:t>成交人</w:t>
      </w:r>
      <w:r>
        <w:rPr>
          <w:rFonts w:hint="eastAsia" w:ascii="仿宋_GB2312" w:hAnsi="仿宋_GB2312" w:eastAsia="仿宋_GB2312" w:cs="仿宋_GB2312"/>
          <w:color w:val="auto"/>
          <w:sz w:val="24"/>
          <w:szCs w:val="24"/>
          <w:highlight w:val="none"/>
        </w:rPr>
        <w:t>同时需处理</w:t>
      </w:r>
      <w:r>
        <w:rPr>
          <w:rFonts w:hint="eastAsia" w:ascii="仿宋_GB2312" w:hAnsi="仿宋_GB2312" w:eastAsia="仿宋_GB2312" w:cs="仿宋_GB2312"/>
          <w:color w:val="auto"/>
          <w:sz w:val="24"/>
          <w:szCs w:val="24"/>
          <w:highlight w:val="none"/>
          <w:lang w:val="en-US" w:eastAsia="zh-CN"/>
        </w:rPr>
        <w:t>采购人</w:t>
      </w:r>
      <w:r>
        <w:rPr>
          <w:rFonts w:hint="eastAsia" w:ascii="仿宋_GB2312" w:hAnsi="仿宋_GB2312" w:eastAsia="仿宋_GB2312" w:cs="仿宋_GB2312"/>
          <w:color w:val="auto"/>
          <w:sz w:val="24"/>
          <w:szCs w:val="24"/>
          <w:highlight w:val="none"/>
        </w:rPr>
        <w:t>在东莞市污染源一体化监控平台(污染源在线监控)的运维管理栏目的运维电子台账、检修台账、易耗品台账等的上报、盖章、确认等工作。</w:t>
      </w:r>
    </w:p>
    <w:p>
      <w:pPr>
        <w:pStyle w:val="27"/>
        <w:numPr>
          <w:ilvl w:val="0"/>
          <w:numId w:val="0"/>
        </w:numPr>
        <w:adjustRightInd w:val="0"/>
        <w:snapToGrid w:val="0"/>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11</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采购人</w:t>
      </w:r>
      <w:r>
        <w:rPr>
          <w:rFonts w:hint="eastAsia" w:ascii="仿宋_GB2312" w:hAnsi="仿宋_GB2312" w:eastAsia="仿宋_GB2312" w:cs="仿宋_GB2312"/>
          <w:color w:val="auto"/>
          <w:sz w:val="24"/>
          <w:szCs w:val="24"/>
          <w:highlight w:val="none"/>
        </w:rPr>
        <w:t>有权要求</w:t>
      </w:r>
      <w:r>
        <w:rPr>
          <w:rFonts w:hint="eastAsia" w:ascii="仿宋_GB2312" w:hAnsi="仿宋_GB2312" w:eastAsia="仿宋_GB2312" w:cs="仿宋_GB2312"/>
          <w:color w:val="auto"/>
          <w:sz w:val="24"/>
          <w:szCs w:val="24"/>
          <w:highlight w:val="none"/>
          <w:lang w:val="en-US" w:eastAsia="zh-CN"/>
        </w:rPr>
        <w:t>成交人</w:t>
      </w:r>
      <w:r>
        <w:rPr>
          <w:rFonts w:hint="eastAsia" w:ascii="仿宋_GB2312" w:hAnsi="仿宋_GB2312" w:eastAsia="仿宋_GB2312" w:cs="仿宋_GB2312"/>
          <w:color w:val="auto"/>
          <w:sz w:val="24"/>
          <w:szCs w:val="24"/>
          <w:highlight w:val="none"/>
        </w:rPr>
        <w:t>协助配合接待生态环境局等政府部门（及其委托的第三方监督单位）对CEMS等在线监测设备、监测站房的检查工作，并就检查结果作出及时整改以及接受</w:t>
      </w:r>
      <w:r>
        <w:rPr>
          <w:rFonts w:hint="eastAsia" w:ascii="仿宋_GB2312" w:hAnsi="仿宋_GB2312" w:eastAsia="仿宋_GB2312" w:cs="仿宋_GB2312"/>
          <w:color w:val="auto"/>
          <w:sz w:val="24"/>
          <w:szCs w:val="24"/>
          <w:highlight w:val="none"/>
          <w:lang w:val="en-US" w:eastAsia="zh-CN"/>
        </w:rPr>
        <w:t>采购人</w:t>
      </w:r>
      <w:r>
        <w:rPr>
          <w:rFonts w:hint="eastAsia" w:ascii="仿宋_GB2312" w:hAnsi="仿宋_GB2312" w:eastAsia="仿宋_GB2312" w:cs="仿宋_GB2312"/>
          <w:color w:val="auto"/>
          <w:sz w:val="24"/>
          <w:szCs w:val="24"/>
          <w:highlight w:val="none"/>
        </w:rPr>
        <w:t>的考核。</w:t>
      </w:r>
    </w:p>
    <w:p>
      <w:pPr>
        <w:pStyle w:val="27"/>
        <w:numPr>
          <w:ilvl w:val="0"/>
          <w:numId w:val="0"/>
        </w:numPr>
        <w:adjustRightInd w:val="0"/>
        <w:snapToGrid w:val="0"/>
        <w:ind w:left="422" w:hanging="422" w:hangingChars="175"/>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三、双方责任</w:t>
      </w:r>
    </w:p>
    <w:p>
      <w:pPr>
        <w:tabs>
          <w:tab w:val="left" w:pos="495"/>
        </w:tabs>
        <w:adjustRightInd w:val="0"/>
        <w:snapToGrid w:val="0"/>
        <w:spacing w:line="400" w:lineRule="exact"/>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1.采购人的责任</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（1）负责现有治污设施的正常运行，使污染物排放持续稳定达到国家环保标准或者地方管理要求。</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（2）所选设备必须符合污染源自动监控设备建设的有关要求。</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（3）所选设备的通讯接口必须满足省、市污染源在线监控的联网要求，并提供相应的数据接口和通讯协议。</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4）提供设备运行需要的合格电、气及设备房间，保证监测设备的安全（防盗、防损坏），并保证电、气等的正常供应。若遇停电、停气及检修等影响设备正常运行和数据传输的情况时，应提前一天以书面形式通知成交人并上报当地环境保护部门，若出现紧急停电时必须及时通知成交人，并上报当地环境保护部门。否则由上述原因造成监控设备损坏或停运及其它损失，采购人应承担相应责任。</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（5）为成交人的现场检修、维护工作提供合适的办公场所及食宿条件，伙食费用、住宿费用由成交人自理。</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（6）明确在线岗位负责人，并将姓名、联系电话交予成交人。如人员发生变动，应及时通知成交人作相应备案。</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（7）所有的在线监测设备，任何实质性改动（拆除、闲置、更换等）都必须报经当地环境保护行政主管部门同意并备案。</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（8）按合同要求及时支付给成交人运营管理服务费。</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9）采购人的法律责任不随运营权的委托发生相应变化，自动监控设备是污染防治设施的组成部分，采购人对自动监控设备按照污染防治设施管理，依法承担法律责任，成交人依照合同约定对采购人承担相应责任。 </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（10）烟气排放口傅立叶水标定及其他检测机构对设备的强检费用由采购人负责，成交人做好配合工作。</w:t>
      </w:r>
    </w:p>
    <w:p>
      <w:pPr>
        <w:tabs>
          <w:tab w:val="left" w:pos="495"/>
        </w:tabs>
        <w:adjustRightInd w:val="0"/>
        <w:snapToGrid w:val="0"/>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（11）设备日常维护、检修所需备件由采购人负责。</w:t>
      </w:r>
    </w:p>
    <w:p>
      <w:pPr>
        <w:tabs>
          <w:tab w:val="left" w:pos="495"/>
        </w:tabs>
        <w:adjustRightInd w:val="0"/>
        <w:snapToGrid w:val="0"/>
        <w:spacing w:line="400" w:lineRule="exact"/>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2、成交人的责任</w:t>
      </w:r>
    </w:p>
    <w:p>
      <w:pP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（1）成交人负责建立完善在线监控设备运维相关的管理制度及在线监控设备的运行、维修、维护、保养工作。及时将相关的运维制度、备案表等上墙</w:t>
      </w:r>
      <w:r>
        <w:rPr>
          <w:rFonts w:hint="eastAsia" w:ascii="仿宋_GB2312" w:hAnsi="仿宋_GB2312" w:eastAsia="仿宋_GB2312" w:cs="仿宋_GB2312"/>
          <w:bCs/>
          <w:color w:val="auto"/>
          <w:sz w:val="24"/>
          <w:szCs w:val="24"/>
          <w:lang w:eastAsia="zh-CN"/>
        </w:rPr>
        <w:t>。</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（2）成交人需在当地环境保护部门备案，成交人现场维护人员必须具有环保局要求考取的自动监控（气）运行工证。</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（3）成交人在对CEMS维护期间，由于成交人原因导致监测数据异常给采购人造成的一切损失由成交人负责。</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（4）建立系统（或设备）技术体系资料(包含相应记录本，台账本等)</w:t>
      </w:r>
    </w:p>
    <w:p>
      <w:pPr>
        <w:ind w:firstLine="482"/>
        <w:rPr>
          <w:rFonts w:hint="eastAsia"/>
          <w:b/>
          <w:bCs/>
          <w:color w:val="auto"/>
          <w:highlight w:val="yellow"/>
        </w:rPr>
      </w:pPr>
      <w:r>
        <w:rPr>
          <w:rFonts w:hint="eastAsia" w:ascii="仿宋_GB2312" w:hAnsi="仿宋_GB2312" w:eastAsia="仿宋_GB2312" w:cs="仿宋_GB2312"/>
          <w:bCs/>
          <w:color w:val="auto"/>
          <w:sz w:val="24"/>
          <w:szCs w:val="24"/>
        </w:rPr>
        <w:t>成交人应当建立系统（或设备）维护的技术体系资料，提交采购人，并进行实时更新。</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技术体系资料包含但不限于以下内容：</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①设备的生产厂家、设备的安装单位和竣工验收记录及仪器的通讯协议。</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②自动监控设备的例行检查台账。</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③环境监测机构的年检台账。</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④设备的检修登记台账。</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⑤各种仪器的操作、使用、维护规范。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⑥采购人公司或部门要求其他定期/日常、临时工作台账。</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⑦技术档案基本要求:</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a.档案中的表格必须采用统一的表格，并经采购人审核。</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b.记录必须清晰、完整，现场记录必须在现场及时填写，有专业维护人员的签字。</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c.配合采购人开展编制或修订系统运行规程、检修规程及检修文件包等技术工作。</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d.发生系统或设备运行异常、故障时，及时向采购人专业负责人报告。</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e.所有记录均应按采购人要求妥善保存。</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（5）日常维护的基本内容</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对自动监控设备的维护按照系统的维护规范和各种仪器相应的操作维护规程以及采购人要求进行，包含但不限于以下内容：</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①烟气连续排放监测系统日常维护：</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a.每日8:30巡检仪器仪表及烟道采样点；11:30再作一次巡检；14:30作一次巡检18:00再作一次巡检。每次巡检必须做好记录并上传水印照片，若发现问题或隐患及时汇报采购人监管人员，并详细写明故障原因、处理结果及起止时间，若需要停机处理要征得采购人许可，巡检项目表格内容由采购人确定。</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b.巡检内容包括：CEMS工控机数据和报表功能的检查、电路系统的检查、气路系统的检查、自动监控设备的检查、通讯系统的检查。</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各系统日常巡检具体项目如下：</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（a）CEMS工控机数据和报表功能的检查：工控机历史数据报表有无缺失（分钟、小时、日报表）；</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（b）气路系统：是否正常供气、气压是否达到标准值、气源是否达标、高纯氮气瓶压力是否正常；</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（c）自动监控设备：探头清洁、伴热管线及设其他部件是否正常工作；包括伴热管线加热温度、氮气发生器运行状态、过滤器颜色为绿色；FTIR样气流量正常无报警；烟气分析仪分析后废气排气通道是否通畅。</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（d）通讯系统：通讯模块是否正常工作、通讯传输是否正常；包括分析仪和工控机数据是否一致；分析仪和上传环保数采仪数据是否一致；分析仪和户外大屏数据是否一致。</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②定期维护项目：</w:t>
      </w:r>
    </w:p>
    <w:p>
      <w:pPr>
        <w:tabs>
          <w:tab w:val="left" w:pos="495"/>
        </w:tabs>
        <w:spacing w:line="400" w:lineRule="exact"/>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a.定期对粉尘仪镜面进行清洁，每半个月对仪表进行校准，并检查吹扫风机压力</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b.每7天定期对原烟气CEMS、净烟气CEMS分析仪进行标气校验，并做好记录</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c.每月定期对取样探头和取样管线进行清洁，确保探头和管线无堵塞</w:t>
      </w:r>
      <w:r>
        <w:rPr>
          <w:rFonts w:hint="eastAsia" w:ascii="仿宋_GB2312" w:hAnsi="仿宋_GB2312" w:eastAsia="仿宋_GB2312" w:cs="仿宋_GB2312"/>
          <w:bCs/>
          <w:color w:val="auto"/>
          <w:sz w:val="24"/>
          <w:szCs w:val="24"/>
          <w:lang w:eastAsia="zh-CN"/>
        </w:rPr>
        <w:t>；</w:t>
      </w:r>
    </w:p>
    <w:p>
      <w:pPr>
        <w:tabs>
          <w:tab w:val="left" w:pos="495"/>
        </w:tabs>
        <w:spacing w:line="400" w:lineRule="exact"/>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d.每6个月或按实际需要（采购人通知）更换高温加热箱过滤器、取样探头密封圈、探杆过滤器</w:t>
      </w:r>
      <w:r>
        <w:rPr>
          <w:rFonts w:hint="eastAsia" w:ascii="仿宋_GB2312" w:hAnsi="仿宋_GB2312" w:eastAsia="仿宋_GB2312" w:cs="仿宋_GB2312"/>
          <w:bCs/>
          <w:color w:val="auto"/>
          <w:sz w:val="24"/>
          <w:szCs w:val="24"/>
          <w:lang w:eastAsia="zh-CN"/>
        </w:rPr>
        <w:t>；</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e.每3个月或按实际需要（采购人通知）更换探头过滤器，并对探头内部进行清洁；</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f.净化器过滤器及仪表风过滤器变色的情况下须更换；</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g.定期（1次/3月）清洗分析仪</w:t>
      </w:r>
      <w:r>
        <w:rPr>
          <w:rFonts w:hint="eastAsia" w:ascii="仿宋_GB2312" w:hAnsi="仿宋_GB2312" w:eastAsia="仿宋_GB2312" w:cs="仿宋_GB2312"/>
          <w:bCs/>
          <w:color w:val="auto"/>
          <w:sz w:val="24"/>
          <w:szCs w:val="24"/>
          <w:lang w:val="en-US" w:eastAsia="zh-CN"/>
        </w:rPr>
        <w:t>重要单元</w:t>
      </w:r>
      <w:r>
        <w:rPr>
          <w:rFonts w:hint="eastAsia" w:ascii="仿宋_GB2312" w:hAnsi="仿宋_GB2312" w:eastAsia="仿宋_GB2312" w:cs="仿宋_GB2312"/>
          <w:bCs/>
          <w:color w:val="auto"/>
          <w:sz w:val="24"/>
          <w:szCs w:val="24"/>
        </w:rPr>
        <w:t>、工控机主机；</w:t>
      </w:r>
    </w:p>
    <w:p>
      <w:pPr>
        <w:tabs>
          <w:tab w:val="left" w:pos="495"/>
        </w:tabs>
        <w:spacing w:line="400" w:lineRule="exact"/>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h.定期清理粉尘仪、流速仪吹扫风机滤芯，保持吹扫风的清洁</w:t>
      </w:r>
      <w:r>
        <w:rPr>
          <w:rFonts w:hint="eastAsia" w:ascii="仿宋_GB2312" w:hAnsi="仿宋_GB2312" w:eastAsia="仿宋_GB2312" w:cs="仿宋_GB2312"/>
          <w:bCs/>
          <w:color w:val="auto"/>
          <w:sz w:val="24"/>
          <w:szCs w:val="24"/>
          <w:lang w:eastAsia="zh-CN"/>
        </w:rPr>
        <w:t>；</w:t>
      </w:r>
    </w:p>
    <w:p>
      <w:pPr>
        <w:tabs>
          <w:tab w:val="left" w:pos="495"/>
        </w:tabs>
        <w:spacing w:line="400" w:lineRule="exact"/>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I.定期检查冷凝水接收桶液位，超过桶高三分之一后需将水清理倒掉</w:t>
      </w:r>
      <w:r>
        <w:rPr>
          <w:rFonts w:hint="eastAsia" w:ascii="仿宋_GB2312" w:hAnsi="仿宋_GB2312" w:eastAsia="仿宋_GB2312" w:cs="仿宋_GB2312"/>
          <w:bCs/>
          <w:color w:val="auto"/>
          <w:sz w:val="24"/>
          <w:szCs w:val="24"/>
          <w:lang w:eastAsia="zh-CN"/>
        </w:rPr>
        <w:t>；</w:t>
      </w:r>
    </w:p>
    <w:p>
      <w:pPr>
        <w:pStyle w:val="2"/>
        <w:spacing w:line="400" w:lineRule="exact"/>
        <w:ind w:left="0" w:leftChars="0"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J.每年第四季度末按采购人需求更换取样泵及冷凝器冷凝管；</w:t>
      </w:r>
    </w:p>
    <w:p>
      <w:pPr>
        <w:tabs>
          <w:tab w:val="left" w:pos="495"/>
        </w:tabs>
        <w:spacing w:line="400" w:lineRule="exact"/>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rPr>
        <w:t>K.每季度末或停炉时，清理或更换机柜风扇滤网，分析仪风扇滤网</w:t>
      </w:r>
      <w:r>
        <w:rPr>
          <w:rFonts w:hint="eastAsia" w:ascii="仿宋_GB2312" w:hAnsi="仿宋_GB2312" w:eastAsia="仿宋_GB2312" w:cs="仿宋_GB2312"/>
          <w:bCs/>
          <w:color w:val="auto"/>
          <w:sz w:val="24"/>
          <w:szCs w:val="24"/>
          <w:lang w:eastAsia="zh-CN"/>
        </w:rPr>
        <w:t>；</w:t>
      </w:r>
    </w:p>
    <w:p>
      <w:pPr>
        <w:pStyle w:val="2"/>
        <w:spacing w:line="400" w:lineRule="exact"/>
        <w:ind w:left="0" w:leftChars="0"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L.停炉时按采购人要求更换探头滤芯，探杆滤芯，高温加热箱滤芯；探杆打磨防腐刷漆；皮托管打磨防腐刷漆；取样管路清洁。</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③其他预防性维护</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保持分析小屋和设备的清洁。分析仪小室外1米内属成交人工作管理范围，实行“三包”管理，室内清洁，物件摆放有序，私人物品不得放置室内，定期清理无用物品，保证分析小屋内的温、湿度不影响仪器的正常运行。</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（6）系统的检修</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为了使自动监控设备能维持完整的数据获取率，需具备迅速的故障排除、便捷的交通和通讯工具等必要的保证条件：</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①发现故障或接到故障通知，专业技术人员须10</w:t>
      </w:r>
      <w:r>
        <w:rPr>
          <w:rFonts w:hint="eastAsia" w:ascii="仿宋_GB2312" w:hAnsi="仿宋_GB2312" w:eastAsia="仿宋_GB2312" w:cs="仿宋_GB2312"/>
          <w:bCs/>
          <w:color w:val="auto"/>
          <w:sz w:val="24"/>
          <w:szCs w:val="24"/>
          <w:lang w:val="en-US" w:eastAsia="zh-CN"/>
        </w:rPr>
        <w:t>min</w:t>
      </w:r>
      <w:r>
        <w:rPr>
          <w:rFonts w:hint="eastAsia" w:ascii="仿宋_GB2312" w:hAnsi="仿宋_GB2312" w:eastAsia="仿宋_GB2312" w:cs="仿宋_GB2312"/>
          <w:bCs/>
          <w:color w:val="auto"/>
          <w:sz w:val="24"/>
          <w:szCs w:val="24"/>
        </w:rPr>
        <w:t>以内到现场进行处理</w:t>
      </w:r>
      <w:r>
        <w:rPr>
          <w:rFonts w:hint="eastAsia" w:ascii="仿宋_GB2312" w:hAnsi="仿宋_GB2312" w:eastAsia="仿宋_GB2312" w:cs="仿宋_GB2312"/>
          <w:bCs/>
          <w:color w:val="auto"/>
          <w:sz w:val="24"/>
          <w:szCs w:val="24"/>
          <w:lang w:eastAsia="zh-CN"/>
        </w:rPr>
        <w:t>；</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②设备经过维修后，在正常使用和运行之前必须确保维修内容全部完成、性能通过检测程序，按国家有关技术规定对仪器进行校准检查。</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③备件管理工作：</w:t>
      </w:r>
    </w:p>
    <w:p>
      <w:pPr>
        <w:numPr>
          <w:ilvl w:val="0"/>
          <w:numId w:val="0"/>
        </w:num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kern w:val="2"/>
          <w:sz w:val="24"/>
          <w:szCs w:val="24"/>
          <w:lang w:val="en-US" w:eastAsia="zh-CN" w:bidi="ar-SA"/>
        </w:rPr>
        <w:t>a.</w:t>
      </w:r>
      <w:r>
        <w:rPr>
          <w:rFonts w:hint="eastAsia" w:ascii="仿宋_GB2312" w:hAnsi="仿宋_GB2312" w:eastAsia="仿宋_GB2312" w:cs="仿宋_GB2312"/>
          <w:bCs/>
          <w:color w:val="auto"/>
          <w:sz w:val="24"/>
          <w:szCs w:val="24"/>
        </w:rPr>
        <w:t>成交人每月10日前向采购人提交备品、耗材采购计划。</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b.成交人每月10日前向采购人提交月度工作总结及下月工作计划。</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c.急件立即向采购人提供备品配件清单，一式两份，供需双方各备一份。</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（7）若自动监控设备产生较大故障，致使监测数据缺失的，需将故障原因和处理方案及时上报采购人管理部门。</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8）按国家相关标准（自动监测数据有效性）成交人应保证所运营的自动监控设备每小时的测定时间不得低于45min，烟气监测指标至少每1分钟获得一个监测值；同时，总测定时间不得小于总运行时间的75%，监测有效数据合格率在9</w:t>
      </w:r>
      <w:r>
        <w:rPr>
          <w:rFonts w:hint="eastAsia" w:ascii="仿宋_GB2312" w:hAnsi="仿宋_GB2312" w:eastAsia="仿宋_GB2312" w:cs="仿宋_GB2312"/>
          <w:bCs/>
          <w:color w:val="auto"/>
          <w:sz w:val="24"/>
          <w:szCs w:val="24"/>
          <w:lang w:val="en-US" w:eastAsia="zh-CN"/>
        </w:rPr>
        <w:t>5</w:t>
      </w:r>
      <w:r>
        <w:rPr>
          <w:rFonts w:hint="eastAsia" w:ascii="仿宋_GB2312" w:hAnsi="仿宋_GB2312" w:eastAsia="仿宋_GB2312" w:cs="仿宋_GB2312"/>
          <w:bCs/>
          <w:color w:val="auto"/>
          <w:sz w:val="24"/>
          <w:szCs w:val="24"/>
        </w:rPr>
        <w:t>%以上。</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（9）需增加自动生成符合环保要求的月报等报表，并按时提供给采购人，对数据的准确性负责。</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（10）人员安排：指定专人负责绿色工业服务项目烟气的日常运维，紧急抢修或作业强度高、难度大时按现场实际需求加派人员。乙方人员在进入生产现场后必须遵守甲方相关管理制度。</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（11）若在成交人进行维护、保养测试过程中造成设备损坏及上传数据不符规范或成交人违反未按合同约定对CEMS进行维护，给采购人造成后果全由成交人负责。</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（12）配合环保监测或第三方现场比对的各项工作。</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（13）日常标定所需标气、高纯氮气、试剂等由成交人负责提供。</w:t>
      </w:r>
    </w:p>
    <w:p>
      <w:pPr>
        <w:tabs>
          <w:tab w:val="left" w:pos="495"/>
        </w:tabs>
        <w:adjustRightInd w:val="0"/>
        <w:snapToGrid w:val="0"/>
        <w:spacing w:line="400" w:lineRule="exact"/>
        <w:jc w:val="left"/>
        <w:rPr>
          <w:rFonts w:hint="eastAsia" w:ascii="仿宋_GB2312" w:hAnsi="仿宋_GB2312" w:eastAsia="仿宋_GB2312" w:cs="仿宋_GB2312"/>
          <w:b/>
          <w:color w:val="auto"/>
          <w:sz w:val="24"/>
          <w:szCs w:val="24"/>
        </w:rPr>
      </w:pPr>
      <w:r>
        <w:rPr>
          <w:rFonts w:hint="eastAsia" w:ascii="仿宋_GB2312" w:hAnsi="仿宋_GB2312" w:eastAsia="仿宋_GB2312" w:cs="仿宋_GB2312"/>
          <w:bCs/>
          <w:color w:val="auto"/>
          <w:sz w:val="24"/>
          <w:szCs w:val="24"/>
        </w:rPr>
        <w:t>（14）日常检修及维护所需耗材（如：取样管接头，气源管接头，气源管，密封垫，密封圈，密封胶条等单个价值</w:t>
      </w:r>
      <w:r>
        <w:rPr>
          <w:rFonts w:hint="eastAsia" w:ascii="仿宋_GB2312" w:hAnsi="仿宋_GB2312" w:eastAsia="仿宋_GB2312" w:cs="仿宋_GB2312"/>
          <w:b/>
          <w:color w:val="auto"/>
          <w:sz w:val="24"/>
          <w:szCs w:val="24"/>
          <w:u w:val="single"/>
        </w:rPr>
        <w:t>低于5000元以下</w:t>
      </w:r>
      <w:r>
        <w:rPr>
          <w:rFonts w:hint="eastAsia" w:ascii="仿宋_GB2312" w:hAnsi="仿宋_GB2312" w:eastAsia="仿宋_GB2312" w:cs="仿宋_GB2312"/>
          <w:b/>
          <w:color w:val="auto"/>
          <w:sz w:val="24"/>
          <w:szCs w:val="24"/>
        </w:rPr>
        <w:t>的材料费用（仅为材料费用，不得将人员服务费用纳入计算）</w:t>
      </w:r>
      <w:r>
        <w:rPr>
          <w:rFonts w:hint="eastAsia" w:ascii="仿宋_GB2312" w:hAnsi="仿宋_GB2312" w:eastAsia="仿宋_GB2312" w:cs="仿宋_GB2312"/>
          <w:bCs/>
          <w:color w:val="auto"/>
          <w:sz w:val="24"/>
          <w:szCs w:val="24"/>
          <w:lang w:val="en-US" w:eastAsia="zh-CN"/>
        </w:rPr>
        <w:t>及</w:t>
      </w:r>
      <w:r>
        <w:rPr>
          <w:rFonts w:hint="eastAsia" w:ascii="仿宋_GB2312" w:hAnsi="仿宋_GB2312" w:eastAsia="仿宋_GB2312" w:cs="仿宋_GB2312"/>
          <w:b/>
          <w:bCs w:val="0"/>
          <w:color w:val="auto"/>
          <w:sz w:val="24"/>
          <w:szCs w:val="24"/>
          <w:lang w:val="en-US" w:eastAsia="zh-CN"/>
        </w:rPr>
        <w:t>年度维保服务过程中消耗的标准气体（含零气，低、中、高浓度标气）</w:t>
      </w:r>
      <w:r>
        <w:rPr>
          <w:rFonts w:hint="eastAsia" w:ascii="仿宋_GB2312" w:hAnsi="仿宋_GB2312" w:eastAsia="仿宋_GB2312" w:cs="仿宋_GB2312"/>
          <w:bCs/>
          <w:color w:val="auto"/>
          <w:sz w:val="24"/>
          <w:szCs w:val="24"/>
          <w:lang w:val="en-US" w:eastAsia="zh-CN"/>
        </w:rPr>
        <w:t>由乙方负责提供。</w:t>
      </w:r>
    </w:p>
    <w:p>
      <w:pPr>
        <w:pStyle w:val="27"/>
        <w:numPr>
          <w:ilvl w:val="0"/>
          <w:numId w:val="0"/>
        </w:numPr>
        <w:adjustRightInd w:val="0"/>
        <w:snapToGrid w:val="0"/>
        <w:ind w:left="422" w:hanging="422" w:hangingChars="175"/>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四、现场管理</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1、现场安全管理</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坚决贯彻执行党和国家及设备维修工程所在地各级人民政府关于安全生产的一系列方针、政策、法规、条例和规定，必须采取一切必要措施和手段强化维修安全管理，提高安全维修水平，确定严格的安全维修秩序以保证现场人员和设备在维修工作中的安全与健康。</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（2）成交人贯彻执行“安全第一、预防为主”的方针，严格执行国家法律法规及行业标准等有关规定。</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（3）成交人人员保证熟悉各项目工作票执行中的相关事项并依据国家法律法规及行业标准和采购人有关工作票的相关规定执行。</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（4）成交人在本合同开始履行前，组织维修人员认真听取采购人的安全生产技术部管理人员的安全技术交底和安全等方面的培训，制定出维修工作安全技术措施和防火防盗措施，经采购人审核批准后开工。</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（5）成交人人员在现场维修工作过程中，接受采购人安全各项考核制度和管理人员的安全监督。</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成交人自行负责合同范围内的人员和设备的安全；成交人必须对项目驻场人员做好职业病监护工作，并为在现场服务的全部人员购买人身意外伤亡保险（保额100万元以上/人），并将保险合同复印件交采购人备案；成交人未为员工购买保险的，采购人有权随时单方中止合同并不支付当季度劳务费，且不对成交人进行任何赔偿。</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2、现场文明生产</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（1）成交人人员在现场遵守采购人有关文明生产的文件、规定、考核办法。</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（2）成交人人员在现场着装统一。</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（3）成交人采取一切合理措施，保护现场及周围的环境，避免污染、噪音或由于其设备维修方法的不当造成的对公共人员和财产等的危害或干扰。</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（4）成交人随时保持所负责维修设备的整洁与卫生，保证每个维修作业点都做到“工完、料净、场地清”。</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（5）成交人人员在现场解体检修时，采取一切合理的预防措施，以防止零件遗失或异物落入测量设备中。</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（6）成交人的生产办公场所遵守采购人有关文明管理的规定。</w:t>
      </w:r>
    </w:p>
    <w:p>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★五、合格投标方的资格要求：</w:t>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1.投标方应是在法律上和财务上独立，合法运作并独立于招标人的；投标方没有直接或间接地与招标人雇用或曾经雇用过的，为本次招标编制技术规范和其他文件或提供咨询服务的公司包括其附属机构有关联；否则作废标处理。</w:t>
      </w:r>
    </w:p>
    <w:p>
      <w:pPr>
        <w:pStyle w:val="11"/>
        <w:shd w:val="clear" w:color="auto" w:fill="FFFFFF"/>
        <w:spacing w:before="0" w:beforeAutospacing="0" w:after="0" w:afterAutospacing="0" w:line="400" w:lineRule="exact"/>
        <w:rPr>
          <w:rFonts w:hint="default"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rPr>
        <w:t>2.</w:t>
      </w:r>
      <w:r>
        <w:rPr>
          <w:rFonts w:hint="eastAsia" w:ascii="仿宋_GB2312" w:hAnsi="仿宋_GB2312" w:eastAsia="仿宋_GB2312" w:cs="仿宋_GB2312"/>
          <w:color w:val="auto"/>
          <w:kern w:val="2"/>
          <w:u w:val="single"/>
        </w:rPr>
        <w:t>投标方经过中国环境服务认证，具备从事固定污染源烟气自动监控设备运营服务的资质。运维人员应具备相关专业知识，通过相应的培训教育和能力确认并具备中国环境保护产业协会印发的自动监控（气）运行工</w:t>
      </w:r>
      <w:r>
        <w:rPr>
          <w:rFonts w:hint="eastAsia" w:ascii="仿宋_GB2312" w:hAnsi="仿宋_GB2312" w:eastAsia="仿宋_GB2312" w:cs="仿宋_GB2312"/>
          <w:color w:val="auto"/>
          <w:kern w:val="2"/>
        </w:rPr>
        <w:t>。</w:t>
      </w:r>
      <w:r>
        <w:rPr>
          <w:rFonts w:hint="eastAsia" w:ascii="仿宋_GB2312" w:hAnsi="仿宋_GB2312" w:eastAsia="仿宋_GB2312" w:cs="仿宋_GB2312"/>
          <w:b/>
          <w:bCs/>
          <w:color w:val="auto"/>
          <w:kern w:val="2"/>
        </w:rPr>
        <w:t>运维</w:t>
      </w:r>
      <w:r>
        <w:rPr>
          <w:rFonts w:hint="eastAsia" w:ascii="仿宋_GB2312" w:hAnsi="仿宋_GB2312" w:eastAsia="仿宋_GB2312" w:cs="仿宋_GB2312"/>
          <w:b/>
          <w:bCs/>
          <w:color w:val="auto"/>
          <w:kern w:val="2"/>
          <w:lang w:val="en-US" w:eastAsia="zh-CN"/>
        </w:rPr>
        <w:t>人员西克麦哈克和雪迪龙CEMS设备运维的</w:t>
      </w:r>
      <w:r>
        <w:rPr>
          <w:rFonts w:hint="eastAsia" w:ascii="仿宋_GB2312" w:hAnsi="仿宋_GB2312" w:eastAsia="仿宋_GB2312" w:cs="仿宋_GB2312"/>
          <w:b/>
          <w:bCs/>
          <w:color w:val="auto"/>
          <w:kern w:val="2"/>
        </w:rPr>
        <w:t>从业经验不得低于两年。</w:t>
      </w:r>
      <w:r>
        <w:rPr>
          <w:rFonts w:hint="eastAsia" w:ascii="仿宋_GB2312" w:hAnsi="仿宋_GB2312" w:eastAsia="仿宋_GB2312" w:cs="仿宋_GB2312"/>
          <w:color w:val="auto"/>
          <w:kern w:val="2"/>
          <w:lang w:val="en-US" w:eastAsia="zh-CN"/>
        </w:rPr>
        <w:t>(合同或其他补充证明材料)</w:t>
      </w:r>
    </w:p>
    <w:p>
      <w:pPr>
        <w:pStyle w:val="11"/>
        <w:shd w:val="clear" w:color="auto" w:fill="FFFFFF"/>
        <w:spacing w:before="0" w:beforeAutospacing="0" w:after="0" w:afterAutospacing="0" w:line="400" w:lineRule="exact"/>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color w:val="auto"/>
          <w:kern w:val="2"/>
          <w:lang w:val="en-US" w:eastAsia="zh-CN"/>
        </w:rPr>
        <w:t>*3.</w:t>
      </w:r>
      <w:r>
        <w:rPr>
          <w:rFonts w:hint="eastAsia" w:ascii="仿宋_GB2312" w:hAnsi="仿宋_GB2312" w:eastAsia="仿宋_GB2312" w:cs="仿宋_GB2312"/>
          <w:b/>
          <w:bCs/>
          <w:color w:val="auto"/>
          <w:kern w:val="2"/>
          <w:lang w:val="en-US" w:eastAsia="zh-CN"/>
        </w:rPr>
        <w:t>运维单位储备5000元以下备品备件（参考附件2：</w:t>
      </w:r>
      <w:bookmarkStart w:id="3" w:name="_GoBack"/>
      <w:r>
        <w:rPr>
          <w:rFonts w:hint="eastAsia" w:ascii="仿宋_GB2312" w:hAnsi="仿宋_GB2312" w:eastAsia="仿宋_GB2312" w:cs="仿宋_GB2312"/>
          <w:b/>
          <w:bCs/>
          <w:color w:val="auto"/>
          <w:kern w:val="2"/>
          <w:lang w:val="en-US" w:eastAsia="zh-CN"/>
        </w:rPr>
        <w:t>CEMS备品备件报价清单（参考）</w:t>
      </w:r>
      <w:bookmarkEnd w:id="3"/>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w:t>
      </w:r>
    </w:p>
    <w:p>
      <w:pPr>
        <w:pStyle w:val="3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default" w:ascii="仿宋_GB2312" w:hAnsi="仿宋_GB2312" w:eastAsia="仿宋_GB2312" w:cs="仿宋_GB2312"/>
          <w:b/>
          <w:bCs/>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*4.</w:t>
      </w:r>
      <w:r>
        <w:rPr>
          <w:rFonts w:hint="eastAsia" w:ascii="仿宋_GB2312" w:hAnsi="仿宋_GB2312" w:eastAsia="仿宋_GB2312" w:cs="仿宋_GB2312"/>
          <w:b/>
          <w:bCs/>
          <w:color w:val="auto"/>
          <w:kern w:val="2"/>
          <w:sz w:val="24"/>
          <w:szCs w:val="24"/>
          <w:lang w:val="en-US" w:eastAsia="zh-CN" w:bidi="ar-SA"/>
        </w:rPr>
        <w:t>运维单位还应负责故障期间2h内按要求采取临时监测措施,使用备用的CEMS落实故障期间的监测（提供备用CEMS的采购或者租赁发票）。</w:t>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val="en-US" w:eastAsia="zh-CN"/>
        </w:rPr>
        <w:t>*5.</w:t>
      </w:r>
      <w:r>
        <w:rPr>
          <w:rFonts w:hint="eastAsia" w:ascii="仿宋_GB2312" w:hAnsi="仿宋_GB2312" w:eastAsia="仿宋_GB2312" w:cs="仿宋_GB2312"/>
          <w:color w:val="auto"/>
          <w:kern w:val="2"/>
        </w:rPr>
        <w:t>投标方需承诺中标后在1个月内完成东莞市生态环境局备案。（以通过东莞市生态环境局官方网站（https://dgepb.dg.gov.cn/sjzx/index.html）查询备案信息为准。）</w:t>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val="en-US" w:eastAsia="zh-CN"/>
        </w:rPr>
        <w:t>6</w:t>
      </w:r>
      <w:r>
        <w:rPr>
          <w:rFonts w:hint="eastAsia" w:ascii="仿宋_GB2312" w:hAnsi="仿宋_GB2312" w:eastAsia="仿宋_GB2312" w:cs="仿宋_GB2312"/>
          <w:color w:val="auto"/>
          <w:kern w:val="2"/>
        </w:rPr>
        <w:t>.本次招标不接受联合体形式投标。</w:t>
      </w:r>
    </w:p>
    <w:p>
      <w:pPr>
        <w:spacing w:line="400" w:lineRule="exact"/>
        <w:rPr>
          <w:rFonts w:hint="eastAsia" w:ascii="仿宋_GB2312" w:hAnsi="宋体" w:eastAsia="仿宋_GB2312"/>
          <w:color w:val="auto"/>
          <w:sz w:val="24"/>
          <w:szCs w:val="24"/>
        </w:rPr>
      </w:pPr>
      <w:r>
        <w:rPr>
          <w:rFonts w:hint="eastAsia" w:ascii="仿宋_GB2312" w:hAnsi="宋体" w:eastAsia="仿宋_GB2312"/>
          <w:color w:val="auto"/>
          <w:sz w:val="24"/>
          <w:szCs w:val="24"/>
          <w:lang w:val="en-US" w:eastAsia="zh-CN"/>
        </w:rPr>
        <w:t>7</w:t>
      </w:r>
      <w:r>
        <w:rPr>
          <w:rFonts w:hint="eastAsia" w:ascii="仿宋_GB2312" w:hAnsi="宋体" w:eastAsia="仿宋_GB2312"/>
          <w:color w:val="auto"/>
          <w:sz w:val="24"/>
          <w:szCs w:val="24"/>
        </w:rPr>
        <w:t>.投标人参加采购活动前三年内，在经营活动中没有重大违法记录（投标人资格声明书）；</w:t>
      </w:r>
    </w:p>
    <w:p>
      <w:pPr>
        <w:spacing w:line="400" w:lineRule="exact"/>
        <w:rPr>
          <w:rFonts w:hint="eastAsia" w:ascii="仿宋_GB2312" w:hAnsi="宋体" w:eastAsia="仿宋_GB2312"/>
          <w:color w:val="auto"/>
          <w:sz w:val="24"/>
          <w:szCs w:val="24"/>
        </w:rPr>
      </w:pPr>
      <w:r>
        <w:rPr>
          <w:rFonts w:hint="eastAsia" w:ascii="仿宋_GB2312" w:hAnsi="宋体" w:eastAsia="仿宋_GB2312"/>
          <w:color w:val="auto"/>
          <w:sz w:val="24"/>
          <w:szCs w:val="24"/>
          <w:lang w:val="en-US" w:eastAsia="zh-CN"/>
        </w:rPr>
        <w:t>8</w:t>
      </w:r>
      <w:r>
        <w:rPr>
          <w:rFonts w:hint="eastAsia" w:ascii="仿宋_GB2312" w:hAnsi="宋体" w:eastAsia="仿宋_GB2312"/>
          <w:color w:val="auto"/>
          <w:sz w:val="24"/>
          <w:szCs w:val="24"/>
        </w:rPr>
        <w:t>.投标人未被列入“信用中国”网站(www.creditchina.gov.cn)“记录失信被执行人或重大税收违法案件当事人名单或严重违法失信行为”记录名单（以采购代理机构投标截止日当天在“信用中国”网站（www.creditchina.gov.cn）查询结果为准，如相关失信记录已失效，供应商需提供相关证明资料）。</w:t>
      </w:r>
    </w:p>
    <w:p>
      <w:pPr>
        <w:spacing w:line="400" w:lineRule="exact"/>
        <w:jc w:val="left"/>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六、费用及支付说明</w:t>
      </w:r>
    </w:p>
    <w:p>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（一）费用要求</w:t>
      </w:r>
    </w:p>
    <w:p>
      <w:pPr>
        <w:spacing w:line="400" w:lineRule="exact"/>
        <w:ind w:firstLine="480" w:firstLineChars="200"/>
        <w:jc w:val="left"/>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color w:val="auto"/>
          <w:sz w:val="24"/>
          <w:szCs w:val="24"/>
        </w:rPr>
        <w:t>投标方报价费用需含固定污染源烟气自动监控设备的整个过程，报价须</w:t>
      </w:r>
      <w:r>
        <w:rPr>
          <w:rFonts w:hint="eastAsia" w:ascii="仿宋_GB2312" w:hAnsi="仿宋_GB2312" w:eastAsia="仿宋_GB2312" w:cs="仿宋_GB2312"/>
          <w:b w:val="0"/>
          <w:bCs w:val="0"/>
          <w:color w:val="auto"/>
          <w:sz w:val="24"/>
          <w:szCs w:val="24"/>
        </w:rPr>
        <w:t>包含自动监控设备日常运维，包单价在5000元以内备品备件的采购与更换，包年度运维服务过程中消耗的标准气体费用（含零气，低、中、高浓度的标气）及人员差旅费用等，发标方不承担其他额外费用。</w:t>
      </w:r>
    </w:p>
    <w:p>
      <w:pPr>
        <w:spacing w:line="40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（二）支付方式</w:t>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rPr>
      </w:pPr>
      <w:r>
        <w:rPr>
          <w:rFonts w:hint="eastAsia" w:ascii="仿宋_GB2312" w:hAnsi="仿宋_GB2312" w:eastAsia="仿宋_GB2312" w:cs="仿宋_GB2312"/>
          <w:color w:val="auto"/>
        </w:rPr>
        <w:t>1.自动监控设备运维服务费用依据实际投用和委托运维情况按实结算，投标方每个季度开始后10日内向投标方提交前一季度付款申请。</w:t>
      </w:r>
    </w:p>
    <w:p>
      <w:pPr>
        <w:pStyle w:val="11"/>
        <w:shd w:val="clear" w:color="auto" w:fill="FFFFFF"/>
        <w:spacing w:before="0" w:beforeAutospacing="0" w:after="0" w:afterAutospacing="0" w:line="400" w:lineRule="exact"/>
        <w:rPr>
          <w:rFonts w:hint="eastAsia" w:ascii="仿宋_GB2312" w:hAnsi="仿宋_GB2312" w:eastAsia="仿宋_GB2312" w:cs="仿宋_GB2312"/>
          <w:color w:val="auto"/>
        </w:rPr>
      </w:pPr>
      <w:r>
        <w:rPr>
          <w:rFonts w:hint="eastAsia" w:ascii="仿宋_GB2312" w:hAnsi="仿宋_GB2312" w:eastAsia="仿宋_GB2312" w:cs="仿宋_GB2312"/>
          <w:color w:val="auto"/>
        </w:rPr>
        <w:t>2. 在投标方无违法违约的情况下，发标方收到投标方开具的等额增值税专用发票后，30个工作日内完成款项支付。如因投标方未能准时、准确提供发票而造成付款延误，不属发标方违约。</w:t>
      </w:r>
    </w:p>
    <w:p>
      <w:pPr>
        <w:pStyle w:val="27"/>
        <w:numPr>
          <w:ilvl w:val="0"/>
          <w:numId w:val="0"/>
        </w:numPr>
        <w:adjustRightInd w:val="0"/>
        <w:snapToGrid w:val="0"/>
        <w:ind w:left="422" w:hanging="422" w:hangingChars="175"/>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七、违约责任</w:t>
      </w:r>
    </w:p>
    <w:p>
      <w:pPr>
        <w:spacing w:line="400" w:lineRule="exact"/>
        <w:ind w:firstLineChars="200"/>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1、成交人</w:t>
      </w:r>
      <w:r>
        <w:rPr>
          <w:rFonts w:hint="eastAsia" w:ascii="仿宋_GB2312" w:hAnsi="仿宋_GB2312" w:eastAsia="仿宋_GB2312" w:cs="仿宋_GB2312"/>
          <w:bCs/>
          <w:color w:val="auto"/>
          <w:sz w:val="24"/>
          <w:szCs w:val="24"/>
        </w:rPr>
        <w:t>需在合同签订</w:t>
      </w:r>
      <w:r>
        <w:rPr>
          <w:rFonts w:hint="eastAsia" w:ascii="仿宋_GB2312" w:hAnsi="仿宋_GB2312" w:eastAsia="仿宋_GB2312" w:cs="仿宋_GB2312"/>
          <w:bCs/>
          <w:color w:val="auto"/>
          <w:sz w:val="24"/>
          <w:szCs w:val="24"/>
          <w:lang w:val="en-US" w:eastAsia="zh-CN"/>
        </w:rPr>
        <w:t>后</w:t>
      </w:r>
      <w:r>
        <w:rPr>
          <w:rFonts w:hint="eastAsia" w:ascii="仿宋_GB2312" w:hAnsi="仿宋_GB2312" w:eastAsia="仿宋_GB2312" w:cs="仿宋_GB2312"/>
          <w:bCs/>
          <w:color w:val="auto"/>
          <w:sz w:val="24"/>
          <w:szCs w:val="24"/>
        </w:rPr>
        <w:t>一个月按照《东莞市污染源自动监控第三方运维机构信息采集资料要求》取得东莞市在线监控平台运维端账号，</w:t>
      </w:r>
      <w:r>
        <w:rPr>
          <w:rFonts w:hint="eastAsia" w:ascii="仿宋_GB2312" w:hAnsi="仿宋_GB2312" w:eastAsia="仿宋_GB2312" w:cs="仿宋_GB2312"/>
          <w:bCs/>
          <w:color w:val="auto"/>
          <w:sz w:val="24"/>
          <w:szCs w:val="24"/>
          <w:lang w:val="en-US" w:eastAsia="zh-CN"/>
        </w:rPr>
        <w:t>采购有权取消合同</w:t>
      </w: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val="en-US" w:eastAsia="zh-CN"/>
        </w:rPr>
        <w:t>并不予支付本月度运维费</w:t>
      </w:r>
      <w:r>
        <w:rPr>
          <w:rFonts w:hint="eastAsia" w:ascii="仿宋_GB2312" w:hAnsi="仿宋_GB2312" w:eastAsia="仿宋_GB2312" w:cs="仿宋_GB2312"/>
          <w:bCs/>
          <w:color w:val="auto"/>
          <w:sz w:val="24"/>
          <w:szCs w:val="24"/>
        </w:rPr>
        <w:t>。</w:t>
      </w:r>
    </w:p>
    <w:p>
      <w:pPr>
        <w:spacing w:line="400" w:lineRule="exact"/>
        <w:ind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2、成交人</w:t>
      </w:r>
      <w:r>
        <w:rPr>
          <w:rFonts w:hint="eastAsia" w:ascii="仿宋_GB2312" w:hAnsi="仿宋_GB2312" w:eastAsia="仿宋_GB2312" w:cs="仿宋_GB2312"/>
          <w:bCs/>
          <w:color w:val="auto"/>
          <w:sz w:val="24"/>
          <w:szCs w:val="24"/>
        </w:rPr>
        <w:t>正式进场前一周需配合发标方完成对接运维人员的进场出入证明、人脸识别信息录入工作及安全培训等，</w:t>
      </w:r>
      <w:r>
        <w:rPr>
          <w:rFonts w:hint="eastAsia" w:ascii="仿宋_GB2312" w:hAnsi="仿宋_GB2312" w:eastAsia="仿宋_GB2312" w:cs="仿宋_GB2312"/>
          <w:bCs/>
          <w:color w:val="auto"/>
          <w:sz w:val="24"/>
          <w:szCs w:val="24"/>
          <w:lang w:val="en-US" w:eastAsia="zh-CN"/>
        </w:rPr>
        <w:t>采购有权取消合同</w:t>
      </w: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val="en-US" w:eastAsia="zh-CN"/>
        </w:rPr>
        <w:t>并不予支付本月度运维费</w:t>
      </w:r>
      <w:r>
        <w:rPr>
          <w:rFonts w:hint="eastAsia" w:ascii="仿宋_GB2312" w:hAnsi="仿宋_GB2312" w:eastAsia="仿宋_GB2312" w:cs="仿宋_GB2312"/>
          <w:bCs/>
          <w:color w:val="auto"/>
          <w:sz w:val="24"/>
          <w:szCs w:val="24"/>
        </w:rPr>
        <w:t>。</w:t>
      </w:r>
    </w:p>
    <w:p>
      <w:pPr>
        <w:ind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3、成交人</w:t>
      </w:r>
      <w:r>
        <w:rPr>
          <w:rFonts w:hint="eastAsia" w:ascii="仿宋_GB2312" w:hAnsi="仿宋_GB2312" w:eastAsia="仿宋_GB2312" w:cs="仿宋_GB2312"/>
          <w:bCs/>
          <w:color w:val="auto"/>
          <w:sz w:val="24"/>
          <w:szCs w:val="24"/>
        </w:rPr>
        <w:t>若超2次或以上出现在线监测设备故障或在线监测数据异常/超标时未在规定时间内到达厂区现场或拒绝到达现场的，</w:t>
      </w:r>
      <w:r>
        <w:rPr>
          <w:rFonts w:hint="eastAsia" w:ascii="仿宋_GB2312" w:hAnsi="仿宋_GB2312" w:eastAsia="仿宋_GB2312" w:cs="仿宋_GB2312"/>
          <w:bCs/>
          <w:color w:val="auto"/>
          <w:sz w:val="24"/>
          <w:szCs w:val="24"/>
          <w:lang w:val="en-US" w:eastAsia="zh-CN"/>
        </w:rPr>
        <w:t>采购有权取消合同</w:t>
      </w: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val="en-US" w:eastAsia="zh-CN"/>
        </w:rPr>
        <w:t>并不予支付本月度运维费</w:t>
      </w:r>
      <w:r>
        <w:rPr>
          <w:rFonts w:hint="eastAsia" w:ascii="仿宋_GB2312" w:hAnsi="仿宋_GB2312" w:eastAsia="仿宋_GB2312" w:cs="仿宋_GB2312"/>
          <w:bCs/>
          <w:color w:val="auto"/>
          <w:sz w:val="24"/>
          <w:szCs w:val="24"/>
        </w:rPr>
        <w:t>。</w:t>
      </w:r>
    </w:p>
    <w:p>
      <w:pPr>
        <w:numPr>
          <w:ilvl w:val="0"/>
          <w:numId w:val="0"/>
        </w:numPr>
        <w:adjustRightInd w:val="0"/>
        <w:snapToGrid w:val="0"/>
        <w:spacing w:line="400" w:lineRule="exact"/>
        <w:ind w:firstLine="480"/>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kern w:val="2"/>
          <w:sz w:val="24"/>
          <w:szCs w:val="24"/>
          <w:lang w:val="en-US" w:eastAsia="zh-CN" w:bidi="ar-SA"/>
        </w:rPr>
        <w:t>4、</w:t>
      </w:r>
      <w:r>
        <w:rPr>
          <w:rFonts w:hint="eastAsia" w:ascii="仿宋_GB2312" w:hAnsi="仿宋_GB2312" w:eastAsia="仿宋_GB2312" w:cs="仿宋_GB2312"/>
          <w:bCs/>
          <w:color w:val="auto"/>
          <w:sz w:val="24"/>
          <w:szCs w:val="24"/>
        </w:rPr>
        <w:t>成交人负责建立完善在线监控设备运维相关的管理制度及在线监控设备的运行、维修、维护、保养工作。及时将相关的运维制度、备案表等上墙，若未及时处理或受检查被发现未做，一次罚款2000元，后续未及时整改，每周累计罚款1000元。</w:t>
      </w:r>
    </w:p>
    <w:p>
      <w:pPr>
        <w:pStyle w:val="2"/>
        <w:numPr>
          <w:ilvl w:val="0"/>
          <w:numId w:val="0"/>
        </w:numPr>
        <w:ind w:firstLine="480"/>
        <w:rPr>
          <w:rFonts w:hint="eastAsia" w:ascii="仿宋_GB2312" w:hAnsi="仿宋_GB2312" w:eastAsia="仿宋_GB2312" w:cs="仿宋_GB2312"/>
          <w:bCs/>
          <w:color w:val="auto"/>
          <w:kern w:val="2"/>
          <w:sz w:val="24"/>
          <w:szCs w:val="24"/>
          <w:lang w:val="en-US" w:eastAsia="zh-CN" w:bidi="ar-SA"/>
        </w:rPr>
      </w:pPr>
      <w:r>
        <w:rPr>
          <w:rFonts w:hint="eastAsia" w:ascii="仿宋_GB2312" w:hAnsi="仿宋_GB2312" w:eastAsia="仿宋_GB2312" w:cs="仿宋_GB2312"/>
          <w:bCs/>
          <w:color w:val="auto"/>
          <w:kern w:val="2"/>
          <w:sz w:val="24"/>
          <w:szCs w:val="24"/>
          <w:lang w:val="en-US" w:eastAsia="zh-CN" w:bidi="ar-SA"/>
        </w:rPr>
        <w:t>5、</w:t>
      </w:r>
      <w:r>
        <w:rPr>
          <w:rFonts w:hint="eastAsia" w:ascii="仿宋_GB2312" w:hAnsi="仿宋_GB2312" w:eastAsia="仿宋_GB2312" w:cs="仿宋_GB2312"/>
          <w:color w:val="auto"/>
          <w:sz w:val="24"/>
          <w:szCs w:val="24"/>
        </w:rPr>
        <w:t>未经采购人同意，运维单位人员不得挂靠，运维单位不得分包、转包给第三方单位进行运维服务。否则采购人有权取消中标资格并要求其承担采购人的一切损失</w:t>
      </w:r>
    </w:p>
    <w:p>
      <w:pPr>
        <w:pStyle w:val="2"/>
        <w:numPr>
          <w:ilvl w:val="0"/>
          <w:numId w:val="0"/>
        </w:numPr>
        <w:ind w:firstLine="480"/>
        <w:rPr>
          <w:rFonts w:hint="eastAsia"/>
          <w:color w:val="auto"/>
          <w:lang w:val="en-US" w:eastAsia="zh-CN"/>
        </w:rPr>
      </w:pPr>
      <w:r>
        <w:rPr>
          <w:rFonts w:hint="eastAsia" w:ascii="仿宋_GB2312" w:hAnsi="仿宋_GB2312" w:eastAsia="仿宋_GB2312" w:cs="仿宋_GB2312"/>
          <w:bCs/>
          <w:color w:val="auto"/>
          <w:sz w:val="24"/>
          <w:szCs w:val="24"/>
          <w:lang w:val="en-US" w:eastAsia="zh-CN"/>
        </w:rPr>
        <w:t>6、</w:t>
      </w:r>
      <w:r>
        <w:rPr>
          <w:rFonts w:hint="eastAsia" w:ascii="仿宋_GB2312" w:hAnsi="仿宋_GB2312" w:eastAsia="仿宋_GB2312" w:cs="仿宋_GB2312"/>
          <w:bCs/>
          <w:color w:val="auto"/>
          <w:sz w:val="24"/>
          <w:szCs w:val="24"/>
        </w:rPr>
        <w:t>成交人应当建立系统（或设备）维护的技术体系资料，提交采购人，并进行实时更新。如台帐和记录未及时更新，检查出一次罚款</w:t>
      </w:r>
      <w:r>
        <w:rPr>
          <w:rFonts w:hint="eastAsia" w:ascii="仿宋_GB2312" w:hAnsi="仿宋_GB2312" w:eastAsia="仿宋_GB2312" w:cs="仿宋_GB2312"/>
          <w:bCs/>
          <w:color w:val="auto"/>
          <w:sz w:val="24"/>
          <w:szCs w:val="24"/>
          <w:lang w:val="en-US" w:eastAsia="zh-CN"/>
        </w:rPr>
        <w:t>20</w:t>
      </w:r>
      <w:r>
        <w:rPr>
          <w:rFonts w:hint="eastAsia" w:ascii="仿宋_GB2312" w:hAnsi="仿宋_GB2312" w:eastAsia="仿宋_GB2312" w:cs="仿宋_GB2312"/>
          <w:bCs/>
          <w:color w:val="auto"/>
          <w:sz w:val="24"/>
          <w:szCs w:val="24"/>
        </w:rPr>
        <w:t>00元，若乙方被发现未做相应的台账及未及时上传运维平台电子台账（运维记录电子台账、检修台账、易耗品台账等），一次罚款3000元。</w:t>
      </w:r>
    </w:p>
    <w:p>
      <w:pPr>
        <w:tabs>
          <w:tab w:val="left" w:pos="495"/>
        </w:tabs>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7、成交人</w:t>
      </w:r>
      <w:r>
        <w:rPr>
          <w:rFonts w:hint="eastAsia" w:ascii="仿宋_GB2312" w:hAnsi="仿宋_GB2312" w:eastAsia="仿宋_GB2312" w:cs="仿宋_GB2312"/>
          <w:bCs/>
          <w:color w:val="auto"/>
          <w:sz w:val="24"/>
          <w:szCs w:val="24"/>
        </w:rPr>
        <w:t>日常</w:t>
      </w:r>
      <w:r>
        <w:rPr>
          <w:rFonts w:hint="eastAsia" w:ascii="仿宋_GB2312" w:hAnsi="仿宋_GB2312" w:eastAsia="仿宋_GB2312" w:cs="仿宋_GB2312"/>
          <w:bCs/>
          <w:color w:val="auto"/>
          <w:sz w:val="24"/>
          <w:szCs w:val="24"/>
          <w:lang w:val="en-US" w:eastAsia="zh-CN"/>
        </w:rPr>
        <w:t>维护中</w:t>
      </w:r>
      <w:r>
        <w:rPr>
          <w:rFonts w:hint="eastAsia" w:ascii="仿宋_GB2312" w:hAnsi="仿宋_GB2312" w:eastAsia="仿宋_GB2312" w:cs="仿宋_GB2312"/>
          <w:bCs/>
          <w:color w:val="auto"/>
          <w:sz w:val="24"/>
          <w:szCs w:val="24"/>
        </w:rPr>
        <w:t>每次巡检必须做好记录并上传水印照片，如未按时打卡并上传照片视为巡检失职一次，罚款</w:t>
      </w:r>
      <w:r>
        <w:rPr>
          <w:rFonts w:hint="eastAsia" w:ascii="仿宋_GB2312" w:hAnsi="仿宋_GB2312" w:eastAsia="仿宋_GB2312" w:cs="仿宋_GB2312"/>
          <w:bCs/>
          <w:color w:val="auto"/>
          <w:sz w:val="24"/>
          <w:szCs w:val="24"/>
          <w:lang w:val="en-US" w:eastAsia="zh-CN"/>
        </w:rPr>
        <w:t>50</w:t>
      </w:r>
      <w:r>
        <w:rPr>
          <w:rFonts w:hint="eastAsia" w:ascii="仿宋_GB2312" w:hAnsi="仿宋_GB2312" w:eastAsia="仿宋_GB2312" w:cs="仿宋_GB2312"/>
          <w:bCs/>
          <w:color w:val="auto"/>
          <w:sz w:val="24"/>
          <w:szCs w:val="24"/>
        </w:rPr>
        <w:t>0元。</w:t>
      </w:r>
    </w:p>
    <w:p>
      <w:pPr>
        <w:tabs>
          <w:tab w:val="left" w:pos="495"/>
        </w:tabs>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8、</w:t>
      </w:r>
      <w:r>
        <w:rPr>
          <w:rFonts w:hint="eastAsia" w:ascii="仿宋_GB2312" w:hAnsi="仿宋_GB2312" w:eastAsia="仿宋_GB2312" w:cs="仿宋_GB2312"/>
          <w:bCs/>
          <w:color w:val="auto"/>
          <w:sz w:val="24"/>
          <w:szCs w:val="24"/>
        </w:rPr>
        <w:t>定期维护项目：</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a.定期对粉尘仪镜面进行清洁，每半个月对仪表进行校准，并检查吹扫风机压力；如未按时定期维护一次罚款</w:t>
      </w:r>
      <w:r>
        <w:rPr>
          <w:rFonts w:hint="eastAsia" w:ascii="仿宋_GB2312" w:hAnsi="仿宋_GB2312" w:eastAsia="仿宋_GB2312" w:cs="仿宋_GB2312"/>
          <w:bCs/>
          <w:color w:val="auto"/>
          <w:sz w:val="24"/>
          <w:szCs w:val="24"/>
          <w:lang w:val="en-US" w:eastAsia="zh-CN"/>
        </w:rPr>
        <w:t>20</w:t>
      </w:r>
      <w:r>
        <w:rPr>
          <w:rFonts w:hint="eastAsia" w:ascii="仿宋_GB2312" w:hAnsi="仿宋_GB2312" w:eastAsia="仿宋_GB2312" w:cs="仿宋_GB2312"/>
          <w:bCs/>
          <w:color w:val="auto"/>
          <w:sz w:val="24"/>
          <w:szCs w:val="24"/>
        </w:rPr>
        <w:t>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b.每7天定期对原烟气CEMS、净烟气CEMS分析仪进行标气校验，并做好记录；如未按时定期维护一次罚款</w:t>
      </w: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c.每月定期对取样探头和取样管线进行清洁，确保探头和管线无堵塞；如未按时定期维护一次罚款1000元。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d.每6个月或按实际需要（采购人通知）更换高温加热箱过滤器、取样探头密封圈、探杆过滤器；如未按时定期维护一次罚款1000元。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e.每3个月或按实际需要（采购人通知）更换探头过滤器，并对探头内部进行清洁；如未按时定期维护一次罚款1000元。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f.净化器过滤器及仪表风过滤器变色的情况下须更换；如未及时维护一次罚款500元。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g.定期（1次/3月）清洗分析仪</w:t>
      </w:r>
      <w:r>
        <w:rPr>
          <w:rFonts w:hint="eastAsia" w:ascii="仿宋_GB2312" w:hAnsi="仿宋_GB2312" w:eastAsia="仿宋_GB2312" w:cs="仿宋_GB2312"/>
          <w:bCs/>
          <w:color w:val="auto"/>
          <w:sz w:val="24"/>
          <w:szCs w:val="24"/>
          <w:lang w:val="en-US" w:eastAsia="zh-CN"/>
        </w:rPr>
        <w:t>重要单元</w:t>
      </w:r>
      <w:r>
        <w:rPr>
          <w:rFonts w:hint="eastAsia" w:ascii="仿宋_GB2312" w:hAnsi="仿宋_GB2312" w:eastAsia="仿宋_GB2312" w:cs="仿宋_GB2312"/>
          <w:bCs/>
          <w:color w:val="auto"/>
          <w:sz w:val="24"/>
          <w:szCs w:val="24"/>
        </w:rPr>
        <w:t>、工控机主机；如未按时定期维护一次罚款</w:t>
      </w: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h.定期清理粉尘仪、流速仪吹扫风机滤芯，保持吹扫风的清洁。如未按时定期维护一次罚款1000元。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I.定期检查冷凝水接收桶液位，超过桶高三分之一后需将水清理倒掉。如未按时定期维护一次罚款200元。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K.每季度末或停炉时，清理或更换机柜风扇滤网，分析仪风扇滤网；如未按时定期维护一次罚款500元。</w:t>
      </w:r>
    </w:p>
    <w:p>
      <w:pPr>
        <w:tabs>
          <w:tab w:val="left" w:pos="495"/>
        </w:tabs>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9、</w:t>
      </w:r>
      <w:r>
        <w:rPr>
          <w:rFonts w:hint="eastAsia" w:ascii="仿宋_GB2312" w:hAnsi="仿宋_GB2312" w:eastAsia="仿宋_GB2312" w:cs="仿宋_GB2312"/>
          <w:bCs/>
          <w:color w:val="auto"/>
          <w:sz w:val="24"/>
          <w:szCs w:val="24"/>
        </w:rPr>
        <w:t>其他预防性维护</w:t>
      </w:r>
      <w:r>
        <w:rPr>
          <w:rFonts w:hint="eastAsia" w:ascii="仿宋_GB2312" w:hAnsi="仿宋_GB2312" w:eastAsia="仿宋_GB2312" w:cs="仿宋_GB2312"/>
          <w:bCs/>
          <w:color w:val="auto"/>
          <w:sz w:val="24"/>
          <w:szCs w:val="24"/>
          <w:lang w:val="en-US" w:eastAsia="zh-CN"/>
        </w:rPr>
        <w:t>:</w:t>
      </w:r>
      <w:r>
        <w:rPr>
          <w:rFonts w:hint="eastAsia" w:ascii="仿宋_GB2312" w:hAnsi="仿宋_GB2312" w:eastAsia="仿宋_GB2312" w:cs="仿宋_GB2312"/>
          <w:bCs/>
          <w:color w:val="auto"/>
          <w:sz w:val="24"/>
          <w:szCs w:val="24"/>
        </w:rPr>
        <w:t>保持分析小屋和设备的清洁。分析仪小室外1米内属成交人工作管理范围，实行“三包”管理，室内清洁，物件摆放有序，私人物品不得放置室内，定期清理无用物品，保证分析小屋内的温、湿度不影响仪器的正常运行。如未按时定期清理一次罚款</w:t>
      </w: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00元。</w:t>
      </w:r>
    </w:p>
    <w:p>
      <w:pPr>
        <w:tabs>
          <w:tab w:val="left" w:pos="495"/>
        </w:tabs>
        <w:spacing w:line="400" w:lineRule="exact"/>
        <w:ind w:firstLine="480" w:firstLineChars="2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系统的检修</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为了使自动监控设备能维持完整的数据获取率，需具备迅速的故障排除、便捷的交通和通讯工具等必要的保证条件：</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①发现故障或接到故障通知，专业技术人员须10</w:t>
      </w:r>
      <w:r>
        <w:rPr>
          <w:rFonts w:hint="eastAsia" w:ascii="仿宋_GB2312" w:hAnsi="仿宋_GB2312" w:eastAsia="仿宋_GB2312" w:cs="仿宋_GB2312"/>
          <w:bCs/>
          <w:color w:val="auto"/>
          <w:sz w:val="24"/>
          <w:szCs w:val="24"/>
          <w:lang w:val="en-US" w:eastAsia="zh-CN"/>
        </w:rPr>
        <w:t>min</w:t>
      </w:r>
      <w:r>
        <w:rPr>
          <w:rFonts w:hint="eastAsia" w:ascii="仿宋_GB2312" w:hAnsi="仿宋_GB2312" w:eastAsia="仿宋_GB2312" w:cs="仿宋_GB2312"/>
          <w:bCs/>
          <w:color w:val="auto"/>
          <w:sz w:val="24"/>
          <w:szCs w:val="24"/>
        </w:rPr>
        <w:t>以内到现场进行处理</w:t>
      </w:r>
      <w:r>
        <w:rPr>
          <w:rFonts w:hint="eastAsia" w:ascii="仿宋_GB2312" w:hAnsi="仿宋_GB2312" w:eastAsia="仿宋_GB2312" w:cs="仿宋_GB2312"/>
          <w:bCs/>
          <w:color w:val="auto"/>
          <w:sz w:val="24"/>
          <w:szCs w:val="24"/>
          <w:lang w:val="en-US" w:eastAsia="zh-CN"/>
        </w:rPr>
        <w:t>,</w:t>
      </w:r>
      <w:r>
        <w:rPr>
          <w:rFonts w:hint="eastAsia" w:ascii="仿宋_GB2312" w:hAnsi="仿宋_GB2312" w:eastAsia="仿宋_GB2312" w:cs="仿宋_GB2312"/>
          <w:bCs/>
          <w:color w:val="auto"/>
          <w:sz w:val="24"/>
          <w:szCs w:val="24"/>
        </w:rPr>
        <w:t>存在以下情况的，均视为乙方工作态度抗拒消极或违反、拒绝履行合同义务：</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a.</w:t>
      </w:r>
      <w:r>
        <w:rPr>
          <w:rFonts w:hint="eastAsia" w:ascii="仿宋_GB2312" w:hAnsi="仿宋_GB2312" w:eastAsia="仿宋_GB2312" w:cs="仿宋_GB2312"/>
          <w:bCs/>
          <w:color w:val="auto"/>
          <w:sz w:val="24"/>
          <w:szCs w:val="24"/>
        </w:rPr>
        <w:t>在线监测设备出现故障、监测数据异常/缺失的，乙方技术人员未按时到达现场的一次罚款2000元；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b.</w:t>
      </w:r>
      <w:r>
        <w:rPr>
          <w:rFonts w:hint="eastAsia" w:ascii="仿宋_GB2312" w:hAnsi="仿宋_GB2312" w:eastAsia="仿宋_GB2312" w:cs="仿宋_GB2312"/>
          <w:bCs/>
          <w:color w:val="auto"/>
          <w:sz w:val="24"/>
          <w:szCs w:val="24"/>
        </w:rPr>
        <w:t>在线监测设备出现故障、监测数据异常/缺失的，乙方技术人员以各种理由推托、拖延不到达现场一次罚款3000元；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c.</w:t>
      </w:r>
      <w:r>
        <w:rPr>
          <w:rFonts w:hint="eastAsia" w:ascii="仿宋_GB2312" w:hAnsi="仿宋_GB2312" w:eastAsia="仿宋_GB2312" w:cs="仿宋_GB2312"/>
          <w:bCs/>
          <w:color w:val="auto"/>
          <w:sz w:val="24"/>
          <w:szCs w:val="24"/>
        </w:rPr>
        <w:t>甲方催促过需整改、维修、应急等的事项，乙方仍然未完成或未进行的，一次罚款2000元；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d.</w:t>
      </w:r>
      <w:r>
        <w:rPr>
          <w:rFonts w:hint="eastAsia" w:ascii="仿宋_GB2312" w:hAnsi="仿宋_GB2312" w:eastAsia="仿宋_GB2312" w:cs="仿宋_GB2312"/>
          <w:bCs/>
          <w:color w:val="auto"/>
          <w:sz w:val="24"/>
          <w:szCs w:val="24"/>
        </w:rPr>
        <w:t>出现上述情况2次（含）以上，甲方有权额外处罚乙方10000元/次，情节严重者，甲方有权解除合同；乙方拒交罚款的，甲方有权从乙方应得运维款项中扣除。</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②设备经过维修后，在正常使用和运行之前必须确保维修内容全部完成、性能通过检测程序，按国家有关技术规定对仪器进行校准检查。</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③备件管理工作：</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a.成交人每月10日前向采购人提交备品、耗材采购计划。如未按时提交采购计划一次罚款</w:t>
      </w: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b.成交人每月10日前向采购人提交月度工作总结及下月工作计划。如未按时提交月底工作总结及下月工作计划一次罚款</w:t>
      </w:r>
      <w:r>
        <w:rPr>
          <w:rFonts w:hint="eastAsia" w:ascii="仿宋_GB2312" w:hAnsi="仿宋_GB2312" w:eastAsia="仿宋_GB2312" w:cs="仿宋_GB2312"/>
          <w:bCs/>
          <w:color w:val="auto"/>
          <w:sz w:val="24"/>
          <w:szCs w:val="24"/>
          <w:lang w:val="en-US" w:eastAsia="zh-CN"/>
        </w:rPr>
        <w:t>10</w:t>
      </w:r>
      <w:r>
        <w:rPr>
          <w:rFonts w:hint="eastAsia" w:ascii="仿宋_GB2312" w:hAnsi="仿宋_GB2312" w:eastAsia="仿宋_GB2312" w:cs="仿宋_GB2312"/>
          <w:bCs/>
          <w:color w:val="auto"/>
          <w:sz w:val="24"/>
          <w:szCs w:val="24"/>
        </w:rPr>
        <w:t>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c.急件立即向采购人提供备品配件清单，一式两份，供需双方各备一份。</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11、</w:t>
      </w:r>
      <w:r>
        <w:rPr>
          <w:rFonts w:hint="eastAsia" w:ascii="仿宋_GB2312" w:hAnsi="仿宋_GB2312" w:eastAsia="仿宋_GB2312" w:cs="仿宋_GB2312"/>
          <w:bCs/>
          <w:color w:val="auto"/>
          <w:sz w:val="24"/>
          <w:szCs w:val="24"/>
        </w:rPr>
        <w:t>人员安排：指定专人负责绿色工业服务项目烟气的日常运维，紧急抢修或作业强度高、难度大时按现场实际需求加派人员。乙方人员在进入生产现场后必须遵守甲方相关管理制度。如乙方人员不服从甲方管理的，一次罚款1000元。</w:t>
      </w:r>
    </w:p>
    <w:p>
      <w:pPr>
        <w:tabs>
          <w:tab w:val="left" w:pos="495"/>
        </w:tabs>
        <w:spacing w:line="400" w:lineRule="exac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若在成交人进行维护、保养测试过程中造成设备损坏及上传数据不符规范或成交人违反未按合同约定对CEMS进行维护，给采购人造成后果全由成交人负责。</w:t>
      </w:r>
    </w:p>
    <w:p>
      <w:pPr>
        <w:tabs>
          <w:tab w:val="left" w:pos="495"/>
        </w:tabs>
        <w:adjustRightInd w:val="0"/>
        <w:snapToGrid w:val="0"/>
        <w:spacing w:line="400" w:lineRule="exact"/>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13、</w:t>
      </w:r>
      <w:r>
        <w:rPr>
          <w:rFonts w:hint="eastAsia" w:ascii="仿宋_GB2312" w:hAnsi="仿宋_GB2312" w:eastAsia="仿宋_GB2312" w:cs="仿宋_GB2312"/>
          <w:bCs/>
          <w:color w:val="auto"/>
          <w:sz w:val="24"/>
          <w:szCs w:val="24"/>
        </w:rPr>
        <w:t>日常标定所需标气、高纯氮气、试剂等由成交人负责提供。如未及时供应造成设备出现故障一次罚款2000元。</w:t>
      </w:r>
    </w:p>
    <w:p>
      <w:pPr>
        <w:tabs>
          <w:tab w:val="left" w:pos="495"/>
        </w:tabs>
        <w:adjustRightInd w:val="0"/>
        <w:snapToGrid w:val="0"/>
        <w:spacing w:line="400" w:lineRule="exact"/>
        <w:jc w:val="left"/>
        <w:rPr>
          <w:rFonts w:hint="eastAsia" w:ascii="仿宋_GB2312" w:hAnsi="仿宋_GB2312" w:eastAsia="仿宋_GB2312" w:cs="仿宋_GB2312"/>
          <w:b/>
          <w:color w:val="auto"/>
          <w:sz w:val="24"/>
          <w:szCs w:val="24"/>
        </w:rPr>
      </w:pPr>
      <w:r>
        <w:rPr>
          <w:rFonts w:hint="eastAsia" w:ascii="仿宋_GB2312" w:hAnsi="仿宋_GB2312" w:eastAsia="仿宋_GB2312" w:cs="仿宋_GB2312"/>
          <w:bCs/>
          <w:color w:val="auto"/>
          <w:sz w:val="24"/>
          <w:szCs w:val="24"/>
          <w:lang w:val="en-US" w:eastAsia="zh-CN"/>
        </w:rPr>
        <w:t>14、</w:t>
      </w:r>
      <w:r>
        <w:rPr>
          <w:rFonts w:hint="eastAsia" w:ascii="仿宋_GB2312" w:hAnsi="仿宋_GB2312" w:eastAsia="仿宋_GB2312" w:cs="仿宋_GB2312"/>
          <w:bCs/>
          <w:color w:val="auto"/>
          <w:sz w:val="24"/>
          <w:szCs w:val="24"/>
        </w:rPr>
        <w:t>日常检修及维护所需耗材（如：取样管接头，气源管接头，气源管，密封垫，密封圈，密封胶条等单个价值</w:t>
      </w:r>
      <w:r>
        <w:rPr>
          <w:rFonts w:hint="eastAsia" w:ascii="仿宋_GB2312" w:hAnsi="仿宋_GB2312" w:eastAsia="仿宋_GB2312" w:cs="仿宋_GB2312"/>
          <w:b w:val="0"/>
          <w:bCs/>
          <w:color w:val="auto"/>
          <w:sz w:val="24"/>
          <w:szCs w:val="24"/>
          <w:u w:val="single"/>
        </w:rPr>
        <w:t>低于5000元以下</w:t>
      </w:r>
      <w:r>
        <w:rPr>
          <w:rFonts w:hint="eastAsia" w:ascii="仿宋_GB2312" w:hAnsi="仿宋_GB2312" w:eastAsia="仿宋_GB2312" w:cs="仿宋_GB2312"/>
          <w:b w:val="0"/>
          <w:bCs/>
          <w:color w:val="auto"/>
          <w:sz w:val="24"/>
          <w:szCs w:val="24"/>
        </w:rPr>
        <w:t>的材料费用（仅为材料费用，不得将人员服务费用纳入计算）</w:t>
      </w:r>
      <w:r>
        <w:rPr>
          <w:rFonts w:hint="eastAsia" w:ascii="仿宋_GB2312" w:hAnsi="仿宋_GB2312" w:eastAsia="仿宋_GB2312" w:cs="仿宋_GB2312"/>
          <w:bCs/>
          <w:color w:val="auto"/>
          <w:sz w:val="24"/>
          <w:szCs w:val="24"/>
          <w:lang w:val="en-US" w:eastAsia="zh-CN"/>
        </w:rPr>
        <w:t>及年度维保服务过程中消耗的标准气体（含零气，低、中、高浓度标气）由乙方负责提供。</w:t>
      </w:r>
      <w:r>
        <w:rPr>
          <w:rFonts w:hint="eastAsia" w:ascii="仿宋_GB2312" w:hAnsi="仿宋_GB2312" w:eastAsia="仿宋_GB2312" w:cs="仿宋_GB2312"/>
          <w:bCs/>
          <w:color w:val="auto"/>
          <w:sz w:val="24"/>
          <w:szCs w:val="24"/>
        </w:rPr>
        <w:t>如未及时提供造成设备出现故障一次罚款</w:t>
      </w:r>
      <w:r>
        <w:rPr>
          <w:rFonts w:hint="eastAsia" w:ascii="仿宋_GB2312" w:hAnsi="仿宋_GB2312" w:eastAsia="仿宋_GB2312" w:cs="仿宋_GB2312"/>
          <w:bCs/>
          <w:color w:val="auto"/>
          <w:sz w:val="24"/>
          <w:szCs w:val="24"/>
          <w:lang w:val="en-US" w:eastAsia="zh-CN"/>
        </w:rPr>
        <w:t>20</w:t>
      </w:r>
      <w:r>
        <w:rPr>
          <w:rFonts w:hint="eastAsia" w:ascii="仿宋_GB2312" w:hAnsi="仿宋_GB2312" w:eastAsia="仿宋_GB2312" w:cs="仿宋_GB2312"/>
          <w:bCs/>
          <w:color w:val="auto"/>
          <w:sz w:val="24"/>
          <w:szCs w:val="24"/>
        </w:rPr>
        <w:t>00元。</w:t>
      </w:r>
    </w:p>
    <w:p>
      <w:pPr>
        <w:tabs>
          <w:tab w:val="left" w:pos="495"/>
        </w:tabs>
        <w:adjustRightInd w:val="0"/>
        <w:snapToGrid w:val="0"/>
        <w:spacing w:line="400" w:lineRule="exact"/>
        <w:ind w:firstLine="0" w:firstLineChars="0"/>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15</w:t>
      </w:r>
      <w:r>
        <w:rPr>
          <w:rFonts w:hint="eastAsia" w:ascii="仿宋_GB2312" w:hAnsi="仿宋_GB2312" w:eastAsia="仿宋_GB2312" w:cs="仿宋_GB2312"/>
          <w:bCs/>
          <w:color w:val="auto"/>
          <w:sz w:val="24"/>
          <w:szCs w:val="24"/>
        </w:rPr>
        <w:t>、因自身原因，成交人如未按技术协议供应服务，或给采购人造成其他损失的，成交人应进行相应赔偿,但成交人的赔偿总额以成交人年供应服务运行费总额的50%为上限。违反本合同条款或附件条款，或未实施本合同条款或附件，给另一方造成损失的，均有权向对方提出赔偿。</w:t>
      </w:r>
    </w:p>
    <w:p>
      <w:pPr>
        <w:tabs>
          <w:tab w:val="left" w:pos="495"/>
        </w:tabs>
        <w:adjustRightInd w:val="0"/>
        <w:snapToGrid w:val="0"/>
        <w:spacing w:line="400" w:lineRule="exact"/>
        <w:ind w:firstLine="0" w:firstLineChars="0"/>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16</w:t>
      </w:r>
      <w:r>
        <w:rPr>
          <w:rFonts w:hint="eastAsia" w:ascii="仿宋_GB2312" w:hAnsi="仿宋_GB2312" w:eastAsia="仿宋_GB2312" w:cs="仿宋_GB2312"/>
          <w:bCs/>
          <w:color w:val="auto"/>
          <w:sz w:val="24"/>
          <w:szCs w:val="24"/>
        </w:rPr>
        <w:t>、因成交人原因，导致运行数据不达标或导致设备运行损坏其所有责任和费用由成交人承担。</w:t>
      </w:r>
    </w:p>
    <w:p>
      <w:pPr>
        <w:tabs>
          <w:tab w:val="left" w:pos="495"/>
        </w:tabs>
        <w:adjustRightInd w:val="0"/>
        <w:snapToGrid w:val="0"/>
        <w:spacing w:line="400" w:lineRule="exact"/>
        <w:ind w:firstLine="0" w:firstLineChars="0"/>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17</w:t>
      </w:r>
      <w:r>
        <w:rPr>
          <w:rFonts w:hint="eastAsia" w:ascii="仿宋_GB2312" w:hAnsi="仿宋_GB2312" w:eastAsia="仿宋_GB2312" w:cs="仿宋_GB2312"/>
          <w:bCs/>
          <w:color w:val="auto"/>
          <w:sz w:val="24"/>
          <w:szCs w:val="24"/>
        </w:rPr>
        <w:t>、因成交人原因，导致运行数据不达标或导致设备损坏对采购人生产造成影响，采购人有权提出考核或索赔；同时采购人有权自行或安排第三方处理，所产生的费用由成交人承担。</w:t>
      </w:r>
    </w:p>
    <w:p>
      <w:pPr>
        <w:numPr>
          <w:ilvl w:val="-1"/>
          <w:numId w:val="0"/>
        </w:numPr>
        <w:tabs>
          <w:tab w:val="left" w:pos="495"/>
        </w:tabs>
        <w:adjustRightInd w:val="0"/>
        <w:snapToGrid w:val="0"/>
        <w:spacing w:line="400" w:lineRule="exact"/>
        <w:jc w:val="left"/>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18</w:t>
      </w:r>
      <w:r>
        <w:rPr>
          <w:rFonts w:hint="eastAsia" w:ascii="仿宋_GB2312" w:hAnsi="仿宋_GB2312" w:eastAsia="仿宋_GB2312" w:cs="仿宋_GB2312"/>
          <w:bCs/>
          <w:color w:val="auto"/>
          <w:sz w:val="24"/>
          <w:szCs w:val="24"/>
        </w:rPr>
        <w:t>、双方一致同意，在本合同的履行过程中，任何一方虽然可能存在偏差、遗漏、缺陷、不妥、延误等过失行为，但是，只要这些过失行为对另一方并未产生严重的不利影响，这些过失行为可不认定为违约行为。但是这些确认不表示对存在过失的当事人任何责任的免除，存在过失行为的一方必须及时地采取必要的措施，以纠正、弥补这些过失行为。</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HarmonyOS Sans SC Medium">
    <w:panose1 w:val="00000600000000000000"/>
    <w:charset w:val="86"/>
    <w:family w:val="auto"/>
    <w:pitch w:val="default"/>
    <w:sig w:usb0="00000001" w:usb1="08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jc w:val="center"/>
        </w:pPr>
        <w:r>
          <w:rPr>
            <w:rFonts w:hint="eastAsia"/>
          </w:rPr>
          <w:t>第</w:t>
        </w:r>
        <w:r>
          <w:fldChar w:fldCharType="begin"/>
        </w:r>
        <w:r>
          <w:instrText xml:space="preserve">PAGE   \* MERGEFORMAT</w:instrText>
        </w:r>
        <w:r>
          <w:fldChar w:fldCharType="separate"/>
        </w:r>
        <w:r>
          <w:rPr>
            <w:lang w:val="zh-CN"/>
          </w:rPr>
          <w:t>2</w:t>
        </w:r>
        <w:r>
          <w:fldChar w:fldCharType="end"/>
        </w:r>
        <w:r>
          <w:rPr>
            <w:rFonts w:hint="eastAsia"/>
          </w:rPr>
          <w:t>页 共</w:t>
        </w:r>
        <w:r>
          <w:t>16</w:t>
        </w:r>
        <w:r>
          <w:rPr>
            <w:rFonts w:hint="eastAsia"/>
          </w:rPr>
          <w:t>页</w:t>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4887112"/>
    </w:sdtPr>
    <w:sdtContent>
      <w:p>
        <w:pPr>
          <w:pStyle w:val="9"/>
          <w:jc w:val="center"/>
        </w:pPr>
        <w:r>
          <w:rPr>
            <w:rFonts w:hint="eastAsia"/>
          </w:rPr>
          <w:t>第</w:t>
        </w:r>
        <w:r>
          <w:fldChar w:fldCharType="begin"/>
        </w:r>
        <w:r>
          <w:instrText xml:space="preserve">PAGE   \* MERGEFORMAT</w:instrText>
        </w:r>
        <w:r>
          <w:fldChar w:fldCharType="separate"/>
        </w:r>
        <w:r>
          <w:rPr>
            <w:lang w:val="zh-CN"/>
          </w:rPr>
          <w:t>2</w:t>
        </w:r>
        <w:r>
          <w:fldChar w:fldCharType="end"/>
        </w:r>
        <w:r>
          <w:rPr>
            <w:rFonts w:hint="eastAsia"/>
          </w:rPr>
          <w:t>页 共</w:t>
        </w:r>
        <w:r>
          <w:rPr>
            <w:rFonts w:hint="eastAsia"/>
            <w:lang w:val="en-US" w:eastAsia="zh-CN"/>
          </w:rPr>
          <w:t>17</w:t>
        </w:r>
        <w:r>
          <w:rPr>
            <w:rFonts w:hint="eastAsia"/>
          </w:rPr>
          <w:t>页</w:t>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8B635"/>
    <w:multiLevelType w:val="singleLevel"/>
    <w:tmpl w:val="E718B635"/>
    <w:lvl w:ilvl="0" w:tentative="0">
      <w:start w:val="3"/>
      <w:numFmt w:val="chineseCounting"/>
      <w:suff w:val="nothing"/>
      <w:lvlText w:val="（%1）"/>
      <w:lvlJc w:val="left"/>
      <w:rPr>
        <w:rFonts w:hint="eastAsia"/>
      </w:rPr>
    </w:lvl>
  </w:abstractNum>
  <w:abstractNum w:abstractNumId="1">
    <w:nsid w:val="FD59316A"/>
    <w:multiLevelType w:val="singleLevel"/>
    <w:tmpl w:val="FD59316A"/>
    <w:lvl w:ilvl="0" w:tentative="0">
      <w:start w:val="3"/>
      <w:numFmt w:val="chineseCounting"/>
      <w:suff w:val="nothing"/>
      <w:lvlText w:val="（%1）"/>
      <w:lvlJc w:val="left"/>
      <w:rPr>
        <w:rFonts w:hint="eastAsia"/>
      </w:rPr>
    </w:lvl>
  </w:abstractNum>
  <w:abstractNum w:abstractNumId="2">
    <w:nsid w:val="54CA7F6D"/>
    <w:multiLevelType w:val="multilevel"/>
    <w:tmpl w:val="54CA7F6D"/>
    <w:lvl w:ilvl="0" w:tentative="0">
      <w:start w:val="1"/>
      <w:numFmt w:val="decimal"/>
      <w:pStyle w:val="27"/>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WYyYTNjNGM2NmNjZDUzMTcxM2IyMzJjZTg1NTUifQ=="/>
    <w:docVar w:name="KSO_WPS_MARK_KEY" w:val="7861e44b-e522-42f1-98f8-d2945f97949c"/>
  </w:docVars>
  <w:rsids>
    <w:rsidRoot w:val="00037717"/>
    <w:rsid w:val="00000231"/>
    <w:rsid w:val="00011D86"/>
    <w:rsid w:val="00020693"/>
    <w:rsid w:val="000236CD"/>
    <w:rsid w:val="00037717"/>
    <w:rsid w:val="00037867"/>
    <w:rsid w:val="00037903"/>
    <w:rsid w:val="00040754"/>
    <w:rsid w:val="000416C0"/>
    <w:rsid w:val="00042404"/>
    <w:rsid w:val="0004543C"/>
    <w:rsid w:val="00046776"/>
    <w:rsid w:val="00066A54"/>
    <w:rsid w:val="00070EFF"/>
    <w:rsid w:val="00075E82"/>
    <w:rsid w:val="000768AB"/>
    <w:rsid w:val="00081918"/>
    <w:rsid w:val="0009691B"/>
    <w:rsid w:val="000978E3"/>
    <w:rsid w:val="000A29CE"/>
    <w:rsid w:val="000A495D"/>
    <w:rsid w:val="000A4B64"/>
    <w:rsid w:val="000A61D6"/>
    <w:rsid w:val="000A65D6"/>
    <w:rsid w:val="000B4C6E"/>
    <w:rsid w:val="000C65A8"/>
    <w:rsid w:val="000C6AE6"/>
    <w:rsid w:val="000D60EB"/>
    <w:rsid w:val="00120F87"/>
    <w:rsid w:val="0012521B"/>
    <w:rsid w:val="00136729"/>
    <w:rsid w:val="001414E5"/>
    <w:rsid w:val="00144EE9"/>
    <w:rsid w:val="001565B4"/>
    <w:rsid w:val="00162187"/>
    <w:rsid w:val="0017607D"/>
    <w:rsid w:val="00180F78"/>
    <w:rsid w:val="00181404"/>
    <w:rsid w:val="001900A2"/>
    <w:rsid w:val="00195A2F"/>
    <w:rsid w:val="001B142D"/>
    <w:rsid w:val="001B2B50"/>
    <w:rsid w:val="001B7971"/>
    <w:rsid w:val="001C0EF8"/>
    <w:rsid w:val="001C1957"/>
    <w:rsid w:val="001C7B47"/>
    <w:rsid w:val="001D0903"/>
    <w:rsid w:val="001E1C23"/>
    <w:rsid w:val="001F792A"/>
    <w:rsid w:val="00205F04"/>
    <w:rsid w:val="00210D58"/>
    <w:rsid w:val="00230F0B"/>
    <w:rsid w:val="002366DA"/>
    <w:rsid w:val="00240ABC"/>
    <w:rsid w:val="00242A0D"/>
    <w:rsid w:val="00252181"/>
    <w:rsid w:val="00254E24"/>
    <w:rsid w:val="002631A9"/>
    <w:rsid w:val="00277126"/>
    <w:rsid w:val="00287CB8"/>
    <w:rsid w:val="00287EDC"/>
    <w:rsid w:val="00295A81"/>
    <w:rsid w:val="002A65BB"/>
    <w:rsid w:val="002C14BD"/>
    <w:rsid w:val="002C21C4"/>
    <w:rsid w:val="002C3BB9"/>
    <w:rsid w:val="002C5570"/>
    <w:rsid w:val="002D48A7"/>
    <w:rsid w:val="002D672B"/>
    <w:rsid w:val="002E0042"/>
    <w:rsid w:val="002E70D2"/>
    <w:rsid w:val="002F2A20"/>
    <w:rsid w:val="002F59D2"/>
    <w:rsid w:val="002F7D13"/>
    <w:rsid w:val="00311ABA"/>
    <w:rsid w:val="00315666"/>
    <w:rsid w:val="00333AE4"/>
    <w:rsid w:val="00334DC0"/>
    <w:rsid w:val="0033531E"/>
    <w:rsid w:val="0033608A"/>
    <w:rsid w:val="00337B61"/>
    <w:rsid w:val="00341FDF"/>
    <w:rsid w:val="003501A7"/>
    <w:rsid w:val="003536DD"/>
    <w:rsid w:val="00355F51"/>
    <w:rsid w:val="003635AD"/>
    <w:rsid w:val="00366A07"/>
    <w:rsid w:val="00373E49"/>
    <w:rsid w:val="003933A9"/>
    <w:rsid w:val="003B0639"/>
    <w:rsid w:val="003B5C65"/>
    <w:rsid w:val="003C7EBA"/>
    <w:rsid w:val="003D6866"/>
    <w:rsid w:val="003F2C54"/>
    <w:rsid w:val="003F6A17"/>
    <w:rsid w:val="003F7AC6"/>
    <w:rsid w:val="0040448B"/>
    <w:rsid w:val="00420110"/>
    <w:rsid w:val="0042052C"/>
    <w:rsid w:val="00421205"/>
    <w:rsid w:val="0043468B"/>
    <w:rsid w:val="00446306"/>
    <w:rsid w:val="00455FE5"/>
    <w:rsid w:val="00460E58"/>
    <w:rsid w:val="004745FE"/>
    <w:rsid w:val="0047716F"/>
    <w:rsid w:val="00482BFA"/>
    <w:rsid w:val="00486828"/>
    <w:rsid w:val="00495793"/>
    <w:rsid w:val="00497130"/>
    <w:rsid w:val="004A3122"/>
    <w:rsid w:val="004B5E3A"/>
    <w:rsid w:val="004C05AA"/>
    <w:rsid w:val="004C1F87"/>
    <w:rsid w:val="004D32BE"/>
    <w:rsid w:val="004E7162"/>
    <w:rsid w:val="004F1EBE"/>
    <w:rsid w:val="005019E1"/>
    <w:rsid w:val="00506F52"/>
    <w:rsid w:val="00510478"/>
    <w:rsid w:val="005130CD"/>
    <w:rsid w:val="00525A9C"/>
    <w:rsid w:val="0052716F"/>
    <w:rsid w:val="00535980"/>
    <w:rsid w:val="0053693E"/>
    <w:rsid w:val="00554AEB"/>
    <w:rsid w:val="00572D57"/>
    <w:rsid w:val="005754FA"/>
    <w:rsid w:val="00580BD6"/>
    <w:rsid w:val="00583DB7"/>
    <w:rsid w:val="005868D1"/>
    <w:rsid w:val="00591690"/>
    <w:rsid w:val="005B365D"/>
    <w:rsid w:val="005C197A"/>
    <w:rsid w:val="005C21FE"/>
    <w:rsid w:val="005D1A81"/>
    <w:rsid w:val="005D37A5"/>
    <w:rsid w:val="005D5100"/>
    <w:rsid w:val="005E1F04"/>
    <w:rsid w:val="005E308C"/>
    <w:rsid w:val="005E438F"/>
    <w:rsid w:val="0060543C"/>
    <w:rsid w:val="006068C5"/>
    <w:rsid w:val="0061072E"/>
    <w:rsid w:val="0061126B"/>
    <w:rsid w:val="00614259"/>
    <w:rsid w:val="00616E3A"/>
    <w:rsid w:val="0063672C"/>
    <w:rsid w:val="006443D9"/>
    <w:rsid w:val="00644E2E"/>
    <w:rsid w:val="00652832"/>
    <w:rsid w:val="00654674"/>
    <w:rsid w:val="006553DD"/>
    <w:rsid w:val="00655C77"/>
    <w:rsid w:val="0066274F"/>
    <w:rsid w:val="006832C1"/>
    <w:rsid w:val="006847B1"/>
    <w:rsid w:val="00697956"/>
    <w:rsid w:val="006A0128"/>
    <w:rsid w:val="006B344A"/>
    <w:rsid w:val="006B5853"/>
    <w:rsid w:val="006B7B2E"/>
    <w:rsid w:val="006B7F07"/>
    <w:rsid w:val="006C1D0A"/>
    <w:rsid w:val="006D4455"/>
    <w:rsid w:val="006E3064"/>
    <w:rsid w:val="006F16F9"/>
    <w:rsid w:val="006F2BF3"/>
    <w:rsid w:val="006F6C44"/>
    <w:rsid w:val="007020C0"/>
    <w:rsid w:val="00705644"/>
    <w:rsid w:val="007074C7"/>
    <w:rsid w:val="00717C65"/>
    <w:rsid w:val="007273E6"/>
    <w:rsid w:val="007310B0"/>
    <w:rsid w:val="00735EC0"/>
    <w:rsid w:val="0073619E"/>
    <w:rsid w:val="00741499"/>
    <w:rsid w:val="007633FF"/>
    <w:rsid w:val="00771CA7"/>
    <w:rsid w:val="0077577B"/>
    <w:rsid w:val="00781B02"/>
    <w:rsid w:val="007874E4"/>
    <w:rsid w:val="00792BF6"/>
    <w:rsid w:val="007B28A9"/>
    <w:rsid w:val="007D22EC"/>
    <w:rsid w:val="007D4051"/>
    <w:rsid w:val="007D5661"/>
    <w:rsid w:val="007E34F6"/>
    <w:rsid w:val="007E5AEC"/>
    <w:rsid w:val="007F14A1"/>
    <w:rsid w:val="0080182A"/>
    <w:rsid w:val="008037EA"/>
    <w:rsid w:val="00804D62"/>
    <w:rsid w:val="008147E3"/>
    <w:rsid w:val="00815E1C"/>
    <w:rsid w:val="00817452"/>
    <w:rsid w:val="00817D5F"/>
    <w:rsid w:val="0084079C"/>
    <w:rsid w:val="00843C24"/>
    <w:rsid w:val="00843FAD"/>
    <w:rsid w:val="00854AB9"/>
    <w:rsid w:val="008602F0"/>
    <w:rsid w:val="008608D7"/>
    <w:rsid w:val="00865FAF"/>
    <w:rsid w:val="00873804"/>
    <w:rsid w:val="00880FEA"/>
    <w:rsid w:val="00896D58"/>
    <w:rsid w:val="008A036F"/>
    <w:rsid w:val="008A0867"/>
    <w:rsid w:val="008A2C3F"/>
    <w:rsid w:val="008A3FA7"/>
    <w:rsid w:val="008B76BC"/>
    <w:rsid w:val="008C78EF"/>
    <w:rsid w:val="008D270E"/>
    <w:rsid w:val="008D3CA5"/>
    <w:rsid w:val="008E46DC"/>
    <w:rsid w:val="008E4D1D"/>
    <w:rsid w:val="008E5454"/>
    <w:rsid w:val="008E58E0"/>
    <w:rsid w:val="008E6915"/>
    <w:rsid w:val="008E7099"/>
    <w:rsid w:val="008F17D0"/>
    <w:rsid w:val="008F4F72"/>
    <w:rsid w:val="009014D3"/>
    <w:rsid w:val="00902FE8"/>
    <w:rsid w:val="00903538"/>
    <w:rsid w:val="009076A9"/>
    <w:rsid w:val="009111EB"/>
    <w:rsid w:val="00916721"/>
    <w:rsid w:val="0092366D"/>
    <w:rsid w:val="00931B0C"/>
    <w:rsid w:val="00933A9A"/>
    <w:rsid w:val="00934351"/>
    <w:rsid w:val="00960716"/>
    <w:rsid w:val="00961107"/>
    <w:rsid w:val="00963D2A"/>
    <w:rsid w:val="0096408C"/>
    <w:rsid w:val="00972F82"/>
    <w:rsid w:val="009731DF"/>
    <w:rsid w:val="00975891"/>
    <w:rsid w:val="00984AFD"/>
    <w:rsid w:val="009900F8"/>
    <w:rsid w:val="009901E0"/>
    <w:rsid w:val="00992AA7"/>
    <w:rsid w:val="009A6D4A"/>
    <w:rsid w:val="009A76F2"/>
    <w:rsid w:val="009B0FD6"/>
    <w:rsid w:val="009B70E5"/>
    <w:rsid w:val="009C5DF1"/>
    <w:rsid w:val="009D2BFF"/>
    <w:rsid w:val="009D2F8F"/>
    <w:rsid w:val="009D49E7"/>
    <w:rsid w:val="009E1D60"/>
    <w:rsid w:val="009E25A2"/>
    <w:rsid w:val="009E74C0"/>
    <w:rsid w:val="009E767B"/>
    <w:rsid w:val="009F1E03"/>
    <w:rsid w:val="009F292C"/>
    <w:rsid w:val="009F47AD"/>
    <w:rsid w:val="009F4DEE"/>
    <w:rsid w:val="00A021AF"/>
    <w:rsid w:val="00A062C0"/>
    <w:rsid w:val="00A11F3B"/>
    <w:rsid w:val="00A1305A"/>
    <w:rsid w:val="00A13F90"/>
    <w:rsid w:val="00A13FEB"/>
    <w:rsid w:val="00A1435D"/>
    <w:rsid w:val="00A34589"/>
    <w:rsid w:val="00A351CC"/>
    <w:rsid w:val="00A36819"/>
    <w:rsid w:val="00A36F4B"/>
    <w:rsid w:val="00A5276D"/>
    <w:rsid w:val="00A52C96"/>
    <w:rsid w:val="00A62CE8"/>
    <w:rsid w:val="00A652D9"/>
    <w:rsid w:val="00A70BA6"/>
    <w:rsid w:val="00A71AE8"/>
    <w:rsid w:val="00A741AC"/>
    <w:rsid w:val="00A86703"/>
    <w:rsid w:val="00A9345F"/>
    <w:rsid w:val="00AA706F"/>
    <w:rsid w:val="00AB49C6"/>
    <w:rsid w:val="00AB6812"/>
    <w:rsid w:val="00AC22D7"/>
    <w:rsid w:val="00AC2D97"/>
    <w:rsid w:val="00AC339C"/>
    <w:rsid w:val="00AC770A"/>
    <w:rsid w:val="00AD2DAA"/>
    <w:rsid w:val="00AF1CF3"/>
    <w:rsid w:val="00B03D68"/>
    <w:rsid w:val="00B109B1"/>
    <w:rsid w:val="00B113DB"/>
    <w:rsid w:val="00B1351A"/>
    <w:rsid w:val="00B151A8"/>
    <w:rsid w:val="00B20F02"/>
    <w:rsid w:val="00B32F0E"/>
    <w:rsid w:val="00B3601F"/>
    <w:rsid w:val="00B471FD"/>
    <w:rsid w:val="00B538B1"/>
    <w:rsid w:val="00B53D7C"/>
    <w:rsid w:val="00B5628F"/>
    <w:rsid w:val="00B576B1"/>
    <w:rsid w:val="00B5788C"/>
    <w:rsid w:val="00B7446C"/>
    <w:rsid w:val="00B759E1"/>
    <w:rsid w:val="00B93294"/>
    <w:rsid w:val="00B979A1"/>
    <w:rsid w:val="00BA17D0"/>
    <w:rsid w:val="00BA3803"/>
    <w:rsid w:val="00BA5AD1"/>
    <w:rsid w:val="00BA6464"/>
    <w:rsid w:val="00BA6FFF"/>
    <w:rsid w:val="00BB386A"/>
    <w:rsid w:val="00BD454B"/>
    <w:rsid w:val="00BE3F73"/>
    <w:rsid w:val="00BF057E"/>
    <w:rsid w:val="00C02F63"/>
    <w:rsid w:val="00C10FF3"/>
    <w:rsid w:val="00C11268"/>
    <w:rsid w:val="00C120DF"/>
    <w:rsid w:val="00C223B1"/>
    <w:rsid w:val="00C26999"/>
    <w:rsid w:val="00C33B4A"/>
    <w:rsid w:val="00C36FA2"/>
    <w:rsid w:val="00C42D2C"/>
    <w:rsid w:val="00C42DE9"/>
    <w:rsid w:val="00C4401B"/>
    <w:rsid w:val="00C473A2"/>
    <w:rsid w:val="00C54096"/>
    <w:rsid w:val="00C628CE"/>
    <w:rsid w:val="00C71C50"/>
    <w:rsid w:val="00C71FA5"/>
    <w:rsid w:val="00C743E7"/>
    <w:rsid w:val="00C927E4"/>
    <w:rsid w:val="00C92D42"/>
    <w:rsid w:val="00C96529"/>
    <w:rsid w:val="00C967E7"/>
    <w:rsid w:val="00CB0A58"/>
    <w:rsid w:val="00CB3A35"/>
    <w:rsid w:val="00CC6A78"/>
    <w:rsid w:val="00CD0F48"/>
    <w:rsid w:val="00CD5374"/>
    <w:rsid w:val="00CE0BF9"/>
    <w:rsid w:val="00CF5082"/>
    <w:rsid w:val="00CF7CB8"/>
    <w:rsid w:val="00D01DF6"/>
    <w:rsid w:val="00D04F16"/>
    <w:rsid w:val="00D116D8"/>
    <w:rsid w:val="00D1580F"/>
    <w:rsid w:val="00D17456"/>
    <w:rsid w:val="00D206D9"/>
    <w:rsid w:val="00D30BB5"/>
    <w:rsid w:val="00D36309"/>
    <w:rsid w:val="00D414A4"/>
    <w:rsid w:val="00D44A1A"/>
    <w:rsid w:val="00D6009C"/>
    <w:rsid w:val="00D73E48"/>
    <w:rsid w:val="00D753C9"/>
    <w:rsid w:val="00D80716"/>
    <w:rsid w:val="00D811C8"/>
    <w:rsid w:val="00D86C9F"/>
    <w:rsid w:val="00D975B3"/>
    <w:rsid w:val="00DB61B6"/>
    <w:rsid w:val="00DC30DE"/>
    <w:rsid w:val="00DC582D"/>
    <w:rsid w:val="00DC65EC"/>
    <w:rsid w:val="00DC6F85"/>
    <w:rsid w:val="00DE3A20"/>
    <w:rsid w:val="00DE78E5"/>
    <w:rsid w:val="00DF08C5"/>
    <w:rsid w:val="00DF6F4F"/>
    <w:rsid w:val="00E005A5"/>
    <w:rsid w:val="00E01781"/>
    <w:rsid w:val="00E07495"/>
    <w:rsid w:val="00E10E9E"/>
    <w:rsid w:val="00E15518"/>
    <w:rsid w:val="00E2754A"/>
    <w:rsid w:val="00E27B13"/>
    <w:rsid w:val="00E31F47"/>
    <w:rsid w:val="00E434B0"/>
    <w:rsid w:val="00E504CE"/>
    <w:rsid w:val="00E51BB0"/>
    <w:rsid w:val="00E534D5"/>
    <w:rsid w:val="00E615ED"/>
    <w:rsid w:val="00E62DA9"/>
    <w:rsid w:val="00E77B91"/>
    <w:rsid w:val="00E86BC0"/>
    <w:rsid w:val="00E871E9"/>
    <w:rsid w:val="00E94FE1"/>
    <w:rsid w:val="00E976A4"/>
    <w:rsid w:val="00EA05E6"/>
    <w:rsid w:val="00EB2197"/>
    <w:rsid w:val="00EB6F60"/>
    <w:rsid w:val="00EC3061"/>
    <w:rsid w:val="00EC4AB4"/>
    <w:rsid w:val="00ED4743"/>
    <w:rsid w:val="00ED64D6"/>
    <w:rsid w:val="00EE224D"/>
    <w:rsid w:val="00EE25A4"/>
    <w:rsid w:val="00EF4AE1"/>
    <w:rsid w:val="00F0054F"/>
    <w:rsid w:val="00F045C5"/>
    <w:rsid w:val="00F12FFD"/>
    <w:rsid w:val="00F1452E"/>
    <w:rsid w:val="00F15906"/>
    <w:rsid w:val="00F20E53"/>
    <w:rsid w:val="00F247FF"/>
    <w:rsid w:val="00F34C24"/>
    <w:rsid w:val="00F3644B"/>
    <w:rsid w:val="00F367AC"/>
    <w:rsid w:val="00F40FEB"/>
    <w:rsid w:val="00F461E4"/>
    <w:rsid w:val="00F515A6"/>
    <w:rsid w:val="00F54B42"/>
    <w:rsid w:val="00F621FB"/>
    <w:rsid w:val="00F77A80"/>
    <w:rsid w:val="00F80640"/>
    <w:rsid w:val="00F90E7C"/>
    <w:rsid w:val="00F934DC"/>
    <w:rsid w:val="00FA04A9"/>
    <w:rsid w:val="00FA380E"/>
    <w:rsid w:val="00FA5FAA"/>
    <w:rsid w:val="00FB2BC9"/>
    <w:rsid w:val="00FB39DC"/>
    <w:rsid w:val="00FC2CED"/>
    <w:rsid w:val="00FC3863"/>
    <w:rsid w:val="00FD1EF4"/>
    <w:rsid w:val="00FD24E1"/>
    <w:rsid w:val="00FE05E7"/>
    <w:rsid w:val="00FE567B"/>
    <w:rsid w:val="00FF1DF8"/>
    <w:rsid w:val="00FF59B2"/>
    <w:rsid w:val="033778E0"/>
    <w:rsid w:val="04301080"/>
    <w:rsid w:val="051C683A"/>
    <w:rsid w:val="068612E3"/>
    <w:rsid w:val="07A661F8"/>
    <w:rsid w:val="0EA74D4C"/>
    <w:rsid w:val="10C5266D"/>
    <w:rsid w:val="12461FC6"/>
    <w:rsid w:val="12A9470F"/>
    <w:rsid w:val="13387309"/>
    <w:rsid w:val="149A4DAD"/>
    <w:rsid w:val="15727649"/>
    <w:rsid w:val="15EF33DA"/>
    <w:rsid w:val="160C6220"/>
    <w:rsid w:val="194E124C"/>
    <w:rsid w:val="1B48314D"/>
    <w:rsid w:val="1D5C0132"/>
    <w:rsid w:val="1DCB069B"/>
    <w:rsid w:val="1E763007"/>
    <w:rsid w:val="1ECE5AE0"/>
    <w:rsid w:val="1F692561"/>
    <w:rsid w:val="202026FE"/>
    <w:rsid w:val="21A0790D"/>
    <w:rsid w:val="21E35B0F"/>
    <w:rsid w:val="22ED3511"/>
    <w:rsid w:val="249F79CA"/>
    <w:rsid w:val="28B5394F"/>
    <w:rsid w:val="28B54DAB"/>
    <w:rsid w:val="28D86C6E"/>
    <w:rsid w:val="29CE019B"/>
    <w:rsid w:val="2F993224"/>
    <w:rsid w:val="31716F7B"/>
    <w:rsid w:val="325C216A"/>
    <w:rsid w:val="33D53928"/>
    <w:rsid w:val="35EE2724"/>
    <w:rsid w:val="3699050A"/>
    <w:rsid w:val="36EA1A1E"/>
    <w:rsid w:val="3C3C740B"/>
    <w:rsid w:val="3C430575"/>
    <w:rsid w:val="3C627733"/>
    <w:rsid w:val="3C8A61A4"/>
    <w:rsid w:val="3CF5317A"/>
    <w:rsid w:val="3F68280F"/>
    <w:rsid w:val="40E24A03"/>
    <w:rsid w:val="4165590C"/>
    <w:rsid w:val="41A11665"/>
    <w:rsid w:val="45060392"/>
    <w:rsid w:val="45EF0E26"/>
    <w:rsid w:val="462D194E"/>
    <w:rsid w:val="48C93BB0"/>
    <w:rsid w:val="4CE0771A"/>
    <w:rsid w:val="4F0A4F22"/>
    <w:rsid w:val="4F5E60FC"/>
    <w:rsid w:val="4FC551EA"/>
    <w:rsid w:val="5387115E"/>
    <w:rsid w:val="53EB693E"/>
    <w:rsid w:val="5451111F"/>
    <w:rsid w:val="57AB3EAE"/>
    <w:rsid w:val="57B63614"/>
    <w:rsid w:val="59564AAB"/>
    <w:rsid w:val="5AEC1082"/>
    <w:rsid w:val="5E03028E"/>
    <w:rsid w:val="5F696721"/>
    <w:rsid w:val="60B2098E"/>
    <w:rsid w:val="620F6C40"/>
    <w:rsid w:val="62FA43F2"/>
    <w:rsid w:val="64AE0359"/>
    <w:rsid w:val="64C63B78"/>
    <w:rsid w:val="64D95B82"/>
    <w:rsid w:val="654A79CF"/>
    <w:rsid w:val="674624ED"/>
    <w:rsid w:val="6754142D"/>
    <w:rsid w:val="68F93D53"/>
    <w:rsid w:val="6AB27972"/>
    <w:rsid w:val="6D3E250F"/>
    <w:rsid w:val="6EC41857"/>
    <w:rsid w:val="700866ED"/>
    <w:rsid w:val="720934D6"/>
    <w:rsid w:val="722A1952"/>
    <w:rsid w:val="72FE3DA4"/>
    <w:rsid w:val="73EF00BF"/>
    <w:rsid w:val="74E53270"/>
    <w:rsid w:val="754F6853"/>
    <w:rsid w:val="76A3304C"/>
    <w:rsid w:val="7B2F16E9"/>
    <w:rsid w:val="7B9B28DB"/>
    <w:rsid w:val="7D621F56"/>
    <w:rsid w:val="7D7E17C5"/>
    <w:rsid w:val="7D882768"/>
    <w:rsid w:val="7D956782"/>
    <w:rsid w:val="7EF05D67"/>
    <w:rsid w:val="7FD3D17D"/>
    <w:rsid w:val="FEABC90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qFormat="1" w:unhideWhenUsed="0" w:uiPriority="39" w:semiHidden="0"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spacing w:after="120" w:line="240" w:lineRule="auto"/>
      <w:ind w:left="420" w:leftChars="200" w:firstLine="420"/>
    </w:pPr>
    <w:rPr>
      <w:rFonts w:ascii="Times New Roman" w:hAnsi="Times New Roman"/>
      <w:sz w:val="21"/>
      <w:szCs w:val="20"/>
    </w:rPr>
  </w:style>
  <w:style w:type="paragraph" w:styleId="3">
    <w:name w:val="Body Text Indent"/>
    <w:basedOn w:val="1"/>
    <w:autoRedefine/>
    <w:qFormat/>
    <w:uiPriority w:val="0"/>
    <w:pPr>
      <w:spacing w:line="600" w:lineRule="atLeast"/>
      <w:ind w:firstLine="480" w:firstLineChars="200"/>
    </w:pPr>
    <w:rPr>
      <w:rFonts w:ascii="宋体" w:hAnsi="宋体"/>
      <w:sz w:val="24"/>
      <w:szCs w:val="24"/>
    </w:rPr>
  </w:style>
  <w:style w:type="paragraph" w:styleId="4">
    <w:name w:val="toc 7"/>
    <w:basedOn w:val="1"/>
    <w:next w:val="1"/>
    <w:autoRedefine/>
    <w:qFormat/>
    <w:uiPriority w:val="39"/>
    <w:pPr>
      <w:ind w:left="2520" w:leftChars="1200"/>
    </w:pPr>
    <w:rPr>
      <w:rFonts w:ascii="Times New Roman" w:hAnsi="Times New Roman" w:eastAsia="宋体" w:cs="Times New Roman"/>
      <w:szCs w:val="24"/>
    </w:rPr>
  </w:style>
  <w:style w:type="paragraph" w:styleId="5">
    <w:name w:val="Normal Indent"/>
    <w:basedOn w:val="1"/>
    <w:autoRedefine/>
    <w:unhideWhenUsed/>
    <w:qFormat/>
    <w:uiPriority w:val="0"/>
    <w:pPr>
      <w:ind w:firstLine="420"/>
    </w:pPr>
  </w:style>
  <w:style w:type="paragraph" w:styleId="6">
    <w:name w:val="annotation text"/>
    <w:basedOn w:val="1"/>
    <w:link w:val="21"/>
    <w:autoRedefine/>
    <w:qFormat/>
    <w:uiPriority w:val="0"/>
    <w:pPr>
      <w:jc w:val="left"/>
    </w:pPr>
    <w:rPr>
      <w:szCs w:val="24"/>
    </w:rPr>
  </w:style>
  <w:style w:type="paragraph" w:styleId="7">
    <w:name w:val="Body Text"/>
    <w:basedOn w:val="1"/>
    <w:next w:val="1"/>
    <w:link w:val="26"/>
    <w:autoRedefine/>
    <w:qFormat/>
    <w:uiPriority w:val="0"/>
    <w:pPr>
      <w:autoSpaceDE w:val="0"/>
      <w:autoSpaceDN w:val="0"/>
      <w:adjustRightInd w:val="0"/>
      <w:jc w:val="left"/>
    </w:pPr>
    <w:rPr>
      <w:rFonts w:ascii="宋体" w:hAnsi="Tahoma" w:eastAsia="宋体" w:cs="Times New Roman"/>
      <w:kern w:val="0"/>
      <w:sz w:val="28"/>
      <w:szCs w:val="24"/>
    </w:rPr>
  </w:style>
  <w:style w:type="paragraph" w:styleId="8">
    <w:name w:val="Balloon Text"/>
    <w:basedOn w:val="1"/>
    <w:link w:val="16"/>
    <w:autoRedefine/>
    <w:semiHidden/>
    <w:unhideWhenUsed/>
    <w:qFormat/>
    <w:uiPriority w:val="99"/>
    <w:rPr>
      <w:sz w:val="18"/>
      <w:szCs w:val="18"/>
    </w:rPr>
  </w:style>
  <w:style w:type="paragraph" w:styleId="9">
    <w:name w:val="footer"/>
    <w:basedOn w:val="1"/>
    <w:link w:val="19"/>
    <w:autoRedefine/>
    <w:unhideWhenUsed/>
    <w:qFormat/>
    <w:uiPriority w:val="99"/>
    <w:pPr>
      <w:tabs>
        <w:tab w:val="center" w:pos="4153"/>
        <w:tab w:val="right" w:pos="8306"/>
      </w:tabs>
      <w:snapToGrid w:val="0"/>
      <w:jc w:val="left"/>
    </w:pPr>
    <w:rPr>
      <w:sz w:val="18"/>
      <w:szCs w:val="18"/>
    </w:rPr>
  </w:style>
  <w:style w:type="paragraph" w:styleId="10">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3">
    <w:name w:val="Table Grid"/>
    <w:basedOn w:val="1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semiHidden/>
    <w:unhideWhenUsed/>
    <w:qFormat/>
    <w:uiPriority w:val="99"/>
    <w:rPr>
      <w:color w:val="0000FF"/>
      <w:u w:val="single"/>
    </w:rPr>
  </w:style>
  <w:style w:type="character" w:customStyle="1" w:styleId="16">
    <w:name w:val="批注框文本 字符"/>
    <w:basedOn w:val="14"/>
    <w:link w:val="8"/>
    <w:autoRedefine/>
    <w:semiHidden/>
    <w:qFormat/>
    <w:uiPriority w:val="99"/>
    <w:rPr>
      <w:sz w:val="18"/>
      <w:szCs w:val="18"/>
    </w:rPr>
  </w:style>
  <w:style w:type="paragraph" w:styleId="17">
    <w:name w:val="List Paragraph"/>
    <w:basedOn w:val="1"/>
    <w:autoRedefine/>
    <w:qFormat/>
    <w:uiPriority w:val="34"/>
    <w:pPr>
      <w:ind w:firstLine="420" w:firstLineChars="200"/>
    </w:pPr>
  </w:style>
  <w:style w:type="character" w:customStyle="1" w:styleId="18">
    <w:name w:val="页眉 字符"/>
    <w:basedOn w:val="14"/>
    <w:link w:val="10"/>
    <w:autoRedefine/>
    <w:qFormat/>
    <w:uiPriority w:val="99"/>
    <w:rPr>
      <w:sz w:val="18"/>
      <w:szCs w:val="18"/>
    </w:rPr>
  </w:style>
  <w:style w:type="character" w:customStyle="1" w:styleId="19">
    <w:name w:val="页脚 字符"/>
    <w:basedOn w:val="14"/>
    <w:link w:val="9"/>
    <w:autoRedefine/>
    <w:qFormat/>
    <w:uiPriority w:val="99"/>
    <w:rPr>
      <w:sz w:val="18"/>
      <w:szCs w:val="18"/>
    </w:rPr>
  </w:style>
  <w:style w:type="table" w:customStyle="1" w:styleId="20">
    <w:name w:val="网格型1"/>
    <w:basedOn w:val="12"/>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21">
    <w:name w:val="批注文字 字符"/>
    <w:link w:val="6"/>
    <w:autoRedefine/>
    <w:qFormat/>
    <w:uiPriority w:val="0"/>
    <w:rPr>
      <w:szCs w:val="24"/>
    </w:rPr>
  </w:style>
  <w:style w:type="character" w:customStyle="1" w:styleId="22">
    <w:name w:val="批注文字 字符1"/>
    <w:basedOn w:val="14"/>
    <w:autoRedefine/>
    <w:semiHidden/>
    <w:qFormat/>
    <w:uiPriority w:val="99"/>
  </w:style>
  <w:style w:type="paragraph" w:customStyle="1" w:styleId="23">
    <w:name w:val="报告正文"/>
    <w:next w:val="1"/>
    <w:link w:val="24"/>
    <w:autoRedefine/>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character" w:customStyle="1" w:styleId="24">
    <w:name w:val="报告正文 Char"/>
    <w:link w:val="23"/>
    <w:autoRedefine/>
    <w:qFormat/>
    <w:uiPriority w:val="0"/>
    <w:rPr>
      <w:rFonts w:ascii="Times New Roman" w:hAnsi="Times New Roman" w:eastAsia="宋体" w:cs="Times New Roman"/>
      <w:sz w:val="24"/>
      <w:szCs w:val="24"/>
    </w:rPr>
  </w:style>
  <w:style w:type="character" w:customStyle="1" w:styleId="25">
    <w:name w:val="正文文本 字符"/>
    <w:basedOn w:val="14"/>
    <w:autoRedefine/>
    <w:semiHidden/>
    <w:qFormat/>
    <w:uiPriority w:val="99"/>
  </w:style>
  <w:style w:type="character" w:customStyle="1" w:styleId="26">
    <w:name w:val="正文文本 字符1"/>
    <w:basedOn w:val="14"/>
    <w:link w:val="7"/>
    <w:autoRedefine/>
    <w:qFormat/>
    <w:uiPriority w:val="0"/>
    <w:rPr>
      <w:rFonts w:ascii="宋体" w:hAnsi="Tahoma" w:eastAsia="宋体" w:cs="Times New Roman"/>
      <w:kern w:val="0"/>
      <w:sz w:val="28"/>
      <w:szCs w:val="24"/>
    </w:rPr>
  </w:style>
  <w:style w:type="paragraph" w:customStyle="1" w:styleId="27">
    <w:name w:val="样式 行距: 固定值 20 磅"/>
    <w:basedOn w:val="1"/>
    <w:autoRedefine/>
    <w:qFormat/>
    <w:uiPriority w:val="0"/>
    <w:pPr>
      <w:numPr>
        <w:ilvl w:val="0"/>
        <w:numId w:val="1"/>
      </w:numPr>
      <w:tabs>
        <w:tab w:val="left" w:pos="482"/>
      </w:tabs>
      <w:spacing w:line="400" w:lineRule="exact"/>
    </w:pPr>
    <w:rPr>
      <w:rFonts w:ascii="Times New Roman" w:hAnsi="Times New Roman" w:eastAsia="宋体" w:cs="宋体"/>
      <w:szCs w:val="20"/>
    </w:rPr>
  </w:style>
  <w:style w:type="character" w:customStyle="1" w:styleId="28">
    <w:name w:val="fontstyle01"/>
    <w:basedOn w:val="14"/>
    <w:autoRedefine/>
    <w:qFormat/>
    <w:uiPriority w:val="0"/>
    <w:rPr>
      <w:rFonts w:hint="eastAsia" w:ascii="宋体" w:hAnsi="宋体" w:eastAsia="宋体"/>
      <w:color w:val="000000"/>
      <w:sz w:val="22"/>
      <w:szCs w:val="22"/>
    </w:rPr>
  </w:style>
  <w:style w:type="character" w:customStyle="1" w:styleId="29">
    <w:name w:val="fontstyle11"/>
    <w:basedOn w:val="14"/>
    <w:autoRedefine/>
    <w:qFormat/>
    <w:uiPriority w:val="0"/>
    <w:rPr>
      <w:rFonts w:hint="eastAsia" w:ascii="宋体" w:hAnsi="宋体" w:eastAsia="宋体"/>
      <w:color w:val="000000"/>
      <w:sz w:val="22"/>
      <w:szCs w:val="22"/>
    </w:rPr>
  </w:style>
  <w:style w:type="character" w:customStyle="1" w:styleId="30">
    <w:name w:val="fontstyle31"/>
    <w:basedOn w:val="14"/>
    <w:autoRedefine/>
    <w:qFormat/>
    <w:uiPriority w:val="0"/>
    <w:rPr>
      <w:rFonts w:hint="default" w:ascii="TimesNewRomanPSMT" w:hAnsi="TimesNewRomanPSMT"/>
      <w:color w:val="000000"/>
      <w:sz w:val="22"/>
      <w:szCs w:val="22"/>
    </w:rPr>
  </w:style>
  <w:style w:type="table" w:customStyle="1" w:styleId="31">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32">
    <w:name w:val="Table Paragraph"/>
    <w:basedOn w:val="1"/>
    <w:autoRedefine/>
    <w:qFormat/>
    <w:uiPriority w:val="1"/>
    <w:pPr>
      <w:autoSpaceDE w:val="0"/>
      <w:autoSpaceDN w:val="0"/>
      <w:spacing w:before="50"/>
      <w:jc w:val="center"/>
    </w:pPr>
    <w:rPr>
      <w:rFonts w:ascii="宋体" w:hAnsi="宋体" w:eastAsia="宋体" w:cs="宋体"/>
      <w:kern w:val="0"/>
      <w:sz w:val="22"/>
      <w:lang w:eastAsia="en-US"/>
    </w:rPr>
  </w:style>
  <w:style w:type="paragraph" w:customStyle="1" w:styleId="33">
    <w:name w:val="列出段落1"/>
    <w:basedOn w:val="1"/>
    <w:autoRedefine/>
    <w:qFormat/>
    <w:uiPriority w:val="99"/>
    <w:pPr>
      <w:ind w:firstLine="420" w:firstLineChars="200"/>
    </w:pPr>
  </w:style>
  <w:style w:type="paragraph" w:customStyle="1" w:styleId="34">
    <w:name w:val="_Style 13"/>
    <w:autoRedefine/>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Version="6" SelectedStyle="\APASixthEditionOfficeOnline.xsl"/>
</file>

<file path=customXml/itemProps1.xml><?xml version="1.0" encoding="utf-8"?>
<ds:datastoreItem xmlns:ds="http://schemas.openxmlformats.org/officeDocument/2006/customXml" ds:itemID="{B863AD35-62F4-4202-9FDF-B496038397D6}">
  <ds:schemaRefs/>
</ds:datastoreItem>
</file>

<file path=docProps/app.xml><?xml version="1.0" encoding="utf-8"?>
<Properties xmlns="http://schemas.openxmlformats.org/officeDocument/2006/extended-properties" xmlns:vt="http://schemas.openxmlformats.org/officeDocument/2006/docPropsVTypes">
  <Pages>18</Pages>
  <Words>11557</Words>
  <Characters>12668</Characters>
  <Lines>1</Lines>
  <Paragraphs>1</Paragraphs>
  <TotalTime>20</TotalTime>
  <ScaleCrop>false</ScaleCrop>
  <LinksUpToDate>false</LinksUpToDate>
  <CharactersWithSpaces>12724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2021-05-19T02:00:00Z</dcterms:created>
  <dc:creator>吴 忠平</dc:creator>
  <cp:lastModifiedBy>冯立容</cp:lastModifiedBy>
  <cp:lastPrinted>2024-09-14T22:47:00Z</cp:lastPrinted>
  <dcterms:modified xsi:type="dcterms:W3CDTF">2025-10-27T07:19:13Z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B472D97DB8072CE250F8D468BD503DC7_43</vt:lpwstr>
  </property>
  <property fmtid="{D5CDD505-2E9C-101B-9397-08002B2CF9AE}" pid="4" name="KSOTemplateDocerSaveRecord">
    <vt:lpwstr>eyJoZGlkIjoiYTI5MDBhZDU3ZDc5NzZlYmFmMDQ2ZDNmOGM2ZmZkMTUiLCJ1c2VySWQiOiIxNTkwOTA0MDk2In0=</vt:lpwstr>
  </property>
</Properties>
</file>