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21470">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3B32EEC2">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35KV变压器高压柜供货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79BAA7D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5A645C68">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rPr>
        <w:t>阳江开能环保能源有限公司余热发电项目35KV变压器高压配电柜采购及指导安装项目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（项目编号：YJKN（2025）-HW-00</w:t>
      </w:r>
      <w:r>
        <w:rPr>
          <w:rFonts w:hint="eastAsia" w:eastAsia="仿宋_GB2312"/>
          <w:color w:val="auto"/>
          <w:sz w:val="32"/>
          <w:szCs w:val="32"/>
          <w:highlight w:val="none"/>
          <w:u w:val="single"/>
          <w:lang w:val="en-US" w:eastAsia="zh-CN"/>
        </w:rPr>
        <w:t>4-1</w:t>
      </w:r>
      <w:r>
        <w:rPr>
          <w:rFonts w:hint="eastAsia" w:eastAsia="仿宋_GB2312"/>
          <w:color w:val="auto"/>
          <w:sz w:val="32"/>
          <w:szCs w:val="32"/>
          <w:highlight w:val="none"/>
          <w:u w:val="single"/>
        </w:rPr>
        <w:t>）；</w:t>
      </w:r>
    </w:p>
    <w:p w14:paraId="2B3CA709">
      <w:pPr>
        <w:adjustRightInd/>
        <w:snapToGrid/>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完成阳江开能环保能源有限公司余热发电项35KV配电室三个配电柜、综合保护装置及线路的设计、供货、现场指导安装调试等</w:t>
      </w:r>
      <w:r>
        <w:rPr>
          <w:rFonts w:hint="eastAsia" w:eastAsia="仿宋_GB2312"/>
          <w:color w:val="auto"/>
          <w:sz w:val="32"/>
          <w:szCs w:val="32"/>
          <w:highlight w:val="none"/>
          <w:u w:val="single"/>
          <w:lang w:val="en-US" w:eastAsia="zh-CN"/>
        </w:rPr>
        <w:t>。</w:t>
      </w:r>
    </w:p>
    <w:p w14:paraId="0C8DB78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广东省阳江高新技术产业开发区港口工业园广东广青金属科技有限公司厂区内</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0E299666">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、供货时间要求：</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成交人需在合同签订后的</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0个日历日内将所有货物交货至采购人项目指定地点；</w:t>
      </w:r>
    </w:p>
    <w:p w14:paraId="18F5C94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6012A1B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02EE320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73E8072A">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0D31158">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35KV及以上高压柜供货</w:t>
      </w:r>
      <w:r>
        <w:rPr>
          <w:rFonts w:hint="eastAsia" w:ascii="仿宋" w:hAnsi="仿宋" w:eastAsia="仿宋"/>
          <w:color w:val="auto"/>
          <w:sz w:val="32"/>
          <w:szCs w:val="32"/>
          <w:highlight w:val="none"/>
          <w:u w:val="single"/>
        </w:rPr>
        <w:t xml:space="preserve">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9</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35KV及以上高压柜供货</w:t>
      </w:r>
      <w:r>
        <w:rPr>
          <w:rFonts w:hint="eastAsia" w:ascii="仿宋" w:hAnsi="仿宋" w:eastAsia="仿宋"/>
          <w:color w:val="auto"/>
          <w:sz w:val="32"/>
          <w:szCs w:val="32"/>
          <w:highlight w:val="none"/>
          <w:u w:val="single"/>
        </w:rPr>
        <w:t>供货</w:t>
      </w:r>
      <w:r>
        <w:rPr>
          <w:rFonts w:hint="eastAsia" w:ascii="仿宋" w:hAnsi="仿宋" w:eastAsia="仿宋"/>
          <w:color w:val="auto"/>
          <w:sz w:val="32"/>
          <w:szCs w:val="32"/>
          <w:highlight w:val="none"/>
          <w:u w:val="single"/>
          <w:lang w:val="en-US" w:eastAsia="zh-CN"/>
        </w:rPr>
        <w:t>（整体供货项目中含有或单独供货项目的均可）</w:t>
      </w:r>
      <w:r>
        <w:rPr>
          <w:rFonts w:hint="eastAsia" w:ascii="仿宋" w:hAnsi="仿宋" w:eastAsia="仿宋"/>
          <w:color w:val="auto"/>
          <w:sz w:val="32"/>
          <w:szCs w:val="32"/>
          <w:highlight w:val="none"/>
          <w:u w:val="single"/>
        </w:rPr>
        <w:t xml:space="preserve">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1253681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1E0F831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54C9FC97">
      <w:pPr>
        <w:spacing w:line="600" w:lineRule="exact"/>
        <w:ind w:firstLine="640" w:firstLineChars="200"/>
        <w:rPr>
          <w:rFonts w:hint="eastAsia" w:eastAsia="仿宋_GB2312"/>
          <w:color w:val="auto"/>
          <w:sz w:val="32"/>
          <w:szCs w:val="32"/>
          <w:highlight w:val="none"/>
          <w:u w:val="single"/>
          <w:lang w:eastAsia="zh-CN"/>
        </w:rPr>
      </w:pPr>
      <w:r>
        <w:rPr>
          <w:rFonts w:hint="eastAsia" w:eastAsia="仿宋_GB2312"/>
          <w:color w:val="auto"/>
          <w:sz w:val="32"/>
          <w:szCs w:val="32"/>
          <w:highlight w:val="none"/>
        </w:rPr>
        <w:t>1、</w:t>
      </w:r>
      <w:r>
        <w:rPr>
          <w:rFonts w:hint="eastAsia" w:eastAsia="仿宋_GB2312"/>
          <w:color w:val="auto"/>
          <w:sz w:val="32"/>
          <w:szCs w:val="32"/>
          <w:highlight w:val="none"/>
          <w:u w:val="single"/>
          <w:lang w:eastAsia="zh-CN"/>
        </w:rPr>
        <w:t>阳江开能环保能源有限公司余热发电项目35KV变压器高压配电柜采购及指导安装项目。</w:t>
      </w:r>
    </w:p>
    <w:p w14:paraId="59716108">
      <w:pPr>
        <w:pStyle w:val="2"/>
        <w:ind w:firstLine="640"/>
        <w:rPr>
          <w:rFonts w:eastAsia="仿宋_GB2312"/>
          <w:color w:val="auto"/>
          <w:sz w:val="32"/>
          <w:szCs w:val="32"/>
          <w:highlight w:val="none"/>
        </w:rPr>
      </w:pPr>
      <w:r>
        <w:rPr>
          <w:rFonts w:hint="eastAsia" w:eastAsia="仿宋_GB2312"/>
          <w:color w:val="auto"/>
          <w:sz w:val="32"/>
          <w:szCs w:val="32"/>
          <w:highlight w:val="none"/>
        </w:rPr>
        <w:t>2、响应人所报所有货物必须为合法销售、原厂原装、全新合格正品，带出厂凭证，物资须符合采购清单</w:t>
      </w:r>
      <w:r>
        <w:rPr>
          <w:rFonts w:hint="eastAsia" w:eastAsia="仿宋_GB2312"/>
          <w:color w:val="auto"/>
          <w:sz w:val="32"/>
          <w:szCs w:val="32"/>
          <w:highlight w:val="none"/>
          <w:lang w:val="en-US" w:eastAsia="zh-CN"/>
        </w:rPr>
        <w:t>及技术协议</w:t>
      </w:r>
      <w:r>
        <w:rPr>
          <w:rFonts w:hint="eastAsia" w:eastAsia="仿宋_GB2312"/>
          <w:color w:val="auto"/>
          <w:sz w:val="32"/>
          <w:szCs w:val="32"/>
          <w:highlight w:val="none"/>
        </w:rPr>
        <w:t>内的规格参数及品牌要求。</w:t>
      </w:r>
    </w:p>
    <w:p w14:paraId="33C9BF1C">
      <w:pPr>
        <w:pStyle w:val="2"/>
        <w:ind w:firstLine="640"/>
        <w:rPr>
          <w:rFonts w:hint="default" w:eastAsia="仿宋_GB2312"/>
          <w:color w:val="auto"/>
          <w:sz w:val="32"/>
          <w:szCs w:val="32"/>
          <w:highlight w:val="none"/>
          <w:lang w:val="en-US" w:eastAsia="zh-CN"/>
        </w:rPr>
      </w:pPr>
      <w:r>
        <w:rPr>
          <w:rFonts w:hint="eastAsia" w:eastAsia="仿宋_GB2312"/>
          <w:color w:val="auto"/>
          <w:sz w:val="32"/>
          <w:szCs w:val="32"/>
          <w:highlight w:val="none"/>
          <w:u w:val="single"/>
        </w:rPr>
        <w:t>3、具体要求详见本询价文件附件</w:t>
      </w:r>
      <w:r>
        <w:rPr>
          <w:rFonts w:hint="eastAsia" w:eastAsia="仿宋_GB2312"/>
          <w:color w:val="auto"/>
          <w:sz w:val="32"/>
          <w:szCs w:val="32"/>
          <w:highlight w:val="none"/>
          <w:u w:val="single"/>
          <w:lang w:val="en-US" w:eastAsia="zh-CN"/>
        </w:rPr>
        <w:t>七</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阳江开能环保能源有限公司余热发电项目35KV变压器高压配电柜采购及指导安装项目技术协议》</w:t>
      </w:r>
      <w:r>
        <w:rPr>
          <w:rFonts w:hint="eastAsia" w:eastAsia="仿宋_GB2312"/>
          <w:color w:val="auto"/>
          <w:sz w:val="32"/>
          <w:szCs w:val="32"/>
          <w:highlight w:val="none"/>
        </w:rPr>
        <w:t>。响应人须仔细阅读本技术</w:t>
      </w:r>
      <w:r>
        <w:rPr>
          <w:rFonts w:hint="eastAsia" w:eastAsia="仿宋_GB2312"/>
          <w:color w:val="auto"/>
          <w:sz w:val="32"/>
          <w:szCs w:val="32"/>
          <w:highlight w:val="none"/>
          <w:lang w:val="en-US" w:eastAsia="zh-CN"/>
        </w:rPr>
        <w:t>方案</w:t>
      </w:r>
      <w:r>
        <w:rPr>
          <w:rFonts w:hint="eastAsia" w:eastAsia="仿宋_GB2312"/>
          <w:color w:val="auto"/>
          <w:sz w:val="32"/>
          <w:szCs w:val="32"/>
          <w:highlight w:val="none"/>
        </w:rPr>
        <w:t>，因未详细了解本技术</w:t>
      </w:r>
      <w:r>
        <w:rPr>
          <w:rFonts w:hint="eastAsia" w:eastAsia="仿宋_GB2312"/>
          <w:color w:val="auto"/>
          <w:sz w:val="32"/>
          <w:szCs w:val="32"/>
          <w:highlight w:val="none"/>
          <w:lang w:val="en-US" w:eastAsia="zh-CN"/>
        </w:rPr>
        <w:t>方案</w:t>
      </w:r>
      <w:r>
        <w:rPr>
          <w:rFonts w:hint="eastAsia" w:eastAsia="仿宋_GB2312"/>
          <w:color w:val="auto"/>
          <w:sz w:val="32"/>
          <w:szCs w:val="32"/>
          <w:highlight w:val="none"/>
        </w:rPr>
        <w:t>造成报价项目遗漏，由响应人自行负责</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响应人应根据附件七要求选择符合询价文件需求品牌的对应系列产品，如响应文件中的品牌和技术方案不符合询价文件要求的，采购人有权否决其投标。</w:t>
      </w:r>
    </w:p>
    <w:p w14:paraId="1A46627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4A86E425">
      <w:pPr>
        <w:spacing w:line="600" w:lineRule="exact"/>
        <w:ind w:firstLine="640" w:firstLineChars="200"/>
        <w:rPr>
          <w:rFonts w:eastAsia="仿宋_GB2312"/>
          <w:color w:val="auto"/>
          <w:sz w:val="32"/>
          <w:szCs w:val="32"/>
          <w:highlight w:val="none"/>
          <w:u w:val="single"/>
        </w:rPr>
      </w:pPr>
      <w:bookmarkStart w:id="0" w:name="_Hlk38897553"/>
      <w:r>
        <w:rPr>
          <w:rFonts w:hint="eastAsia" w:eastAsia="仿宋_GB2312"/>
          <w:color w:val="auto"/>
          <w:sz w:val="32"/>
          <w:szCs w:val="32"/>
          <w:highlight w:val="none"/>
        </w:rPr>
        <w:t xml:space="preserve">供货时间要求： </w:t>
      </w:r>
      <w:r>
        <w:rPr>
          <w:rFonts w:hint="eastAsia" w:eastAsia="仿宋_GB2312"/>
          <w:color w:val="auto"/>
          <w:sz w:val="32"/>
          <w:szCs w:val="32"/>
          <w:highlight w:val="none"/>
          <w:u w:val="single"/>
        </w:rPr>
        <w:t xml:space="preserve"> 成交人需在合同签订后的</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0个日历日内将所有货物交货至采购人项目指定地点。</w:t>
      </w:r>
      <w:bookmarkEnd w:id="0"/>
    </w:p>
    <w:p w14:paraId="39B5E83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57B5E698">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1、合同签订完后，成交人向采购人提交请款资料及等额发票，采购人收到前述材料之日起十个工作日内向成交人支付合同总价30%作为预付款；</w:t>
      </w:r>
    </w:p>
    <w:p w14:paraId="6DCA7CDA">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2、合同项下所有货物送达采购人指定交货地点，经采购人确认后，采购人在十个工作日内支付合同总价的50%作为到货验收款；</w:t>
      </w:r>
    </w:p>
    <w:p w14:paraId="7CF37D70">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3、合同项下所有货物完成安装调试后，采购人十五个工作日内支付合同结算总价的15%作为安装调试款；</w:t>
      </w:r>
    </w:p>
    <w:p w14:paraId="2908196D">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4、保留合同结算总价的5%作为质保金，质保期为货物交付至采购人现场满18个月或安装运行满12个月，以先到时间为准。质保期满后，由成交人提交请款资料，采购人在三十个日历日内一次性无息支付。</w:t>
      </w:r>
    </w:p>
    <w:p w14:paraId="04D12A6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024C0D9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490</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0</w:t>
      </w:r>
      <w:r>
        <w:rPr>
          <w:rFonts w:hint="eastAsia" w:eastAsia="仿宋_GB2312"/>
          <w:color w:val="auto"/>
          <w:sz w:val="32"/>
          <w:szCs w:val="32"/>
          <w:highlight w:val="none"/>
          <w:u w:val="single"/>
        </w:rPr>
        <w:t>00.00</w:t>
      </w:r>
      <w:r>
        <w:rPr>
          <w:rFonts w:eastAsia="仿宋_GB2312"/>
          <w:color w:val="auto"/>
          <w:sz w:val="32"/>
          <w:szCs w:val="32"/>
          <w:highlight w:val="none"/>
          <w:u w:val="single"/>
        </w:rPr>
        <w:t xml:space="preserve">     </w:t>
      </w:r>
      <w:r>
        <w:rPr>
          <w:rFonts w:hint="eastAsia" w:eastAsia="仿宋_GB2312"/>
          <w:color w:val="auto"/>
          <w:sz w:val="32"/>
          <w:szCs w:val="32"/>
          <w:highlight w:val="none"/>
        </w:rPr>
        <w:t>元（大写：人民币</w:t>
      </w:r>
      <w:r>
        <w:rPr>
          <w:rFonts w:hint="eastAsia" w:eastAsia="仿宋_GB2312"/>
          <w:color w:val="auto"/>
          <w:sz w:val="32"/>
          <w:szCs w:val="32"/>
          <w:highlight w:val="none"/>
          <w:lang w:val="en-US" w:eastAsia="zh-CN"/>
        </w:rPr>
        <w:t>肆拾玖万</w:t>
      </w:r>
      <w:r>
        <w:rPr>
          <w:rFonts w:hint="eastAsia" w:eastAsia="仿宋_GB2312"/>
          <w:color w:val="auto"/>
          <w:sz w:val="32"/>
          <w:szCs w:val="32"/>
          <w:highlight w:val="none"/>
        </w:rPr>
        <w:t>元整）（含税）。</w:t>
      </w:r>
    </w:p>
    <w:p w14:paraId="303B68D2">
      <w:pPr>
        <w:spacing w:line="360" w:lineRule="auto"/>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w:t>
      </w:r>
      <w:r>
        <w:rPr>
          <w:rFonts w:hint="eastAsia" w:ascii="仿宋_GB2312" w:hAnsi="仿宋_GB2312" w:eastAsia="仿宋_GB2312" w:cs="仿宋_GB2312"/>
          <w:color w:val="auto"/>
          <w:sz w:val="32"/>
          <w:szCs w:val="32"/>
          <w:highlight w:val="none"/>
        </w:rPr>
        <w:t>包干总价报价包含货物、税费、人工费、材料费、辅材费、装卸费、机械费、运输费、措施费、保险费、</w:t>
      </w:r>
      <w:r>
        <w:rPr>
          <w:rFonts w:hint="eastAsia" w:ascii="仿宋_GB2312" w:hAnsi="仿宋_GB2312" w:eastAsia="仿宋_GB2312" w:cs="仿宋_GB2312"/>
          <w:color w:val="auto"/>
          <w:sz w:val="32"/>
          <w:szCs w:val="32"/>
          <w:highlight w:val="none"/>
          <w:lang w:val="en-US" w:eastAsia="zh-CN"/>
        </w:rPr>
        <w:t>现场</w:t>
      </w:r>
      <w:r>
        <w:rPr>
          <w:rFonts w:hint="eastAsia" w:ascii="仿宋_GB2312" w:hAnsi="仿宋_GB2312" w:eastAsia="仿宋_GB2312" w:cs="仿宋_GB2312"/>
          <w:color w:val="auto"/>
          <w:sz w:val="32"/>
          <w:szCs w:val="32"/>
          <w:highlight w:val="none"/>
        </w:rPr>
        <w:t>安装调试</w:t>
      </w:r>
      <w:r>
        <w:rPr>
          <w:rFonts w:hint="eastAsia" w:ascii="仿宋_GB2312" w:hAnsi="仿宋_GB2312" w:eastAsia="仿宋_GB2312" w:cs="仿宋_GB2312"/>
          <w:color w:val="auto"/>
          <w:sz w:val="32"/>
          <w:szCs w:val="32"/>
          <w:highlight w:val="none"/>
          <w:lang w:val="en-US" w:eastAsia="zh-CN"/>
        </w:rPr>
        <w:t>指导</w:t>
      </w:r>
      <w:r>
        <w:rPr>
          <w:rFonts w:hint="eastAsia" w:ascii="仿宋_GB2312" w:hAnsi="仿宋_GB2312" w:eastAsia="仿宋_GB2312" w:cs="仿宋_GB2312"/>
          <w:color w:val="auto"/>
          <w:sz w:val="32"/>
          <w:szCs w:val="32"/>
          <w:highlight w:val="none"/>
        </w:rPr>
        <w:t>费等一切为满足项目实施可能产生的费用，结算时不做调整。要求</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人提供总价及分项报价清单（格式参照附件二及附件三），分项包括：</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人认为需要列出的其他分项。</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人所报价格不得高于采购限价。</w:t>
      </w:r>
    </w:p>
    <w:p w14:paraId="08DEC00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0D919BD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本次项目采用询价方式进行采购，询价小组对各供应商响应文件进行审核，并根据满足采购文件实质性响应要求且</w:t>
      </w:r>
      <w:r>
        <w:rPr>
          <w:rFonts w:hint="eastAsia" w:eastAsia="仿宋_GB2312"/>
          <w:color w:val="auto"/>
          <w:sz w:val="32"/>
          <w:szCs w:val="32"/>
          <w:highlight w:val="none"/>
          <w:u w:val="single"/>
          <w:lang w:val="en-US" w:eastAsia="zh-CN"/>
        </w:rPr>
        <w:t>不</w:t>
      </w:r>
      <w:r>
        <w:rPr>
          <w:rFonts w:hint="eastAsia" w:eastAsia="仿宋_GB2312"/>
          <w:color w:val="auto"/>
          <w:sz w:val="32"/>
          <w:szCs w:val="32"/>
          <w:highlight w:val="none"/>
          <w:u w:val="single"/>
        </w:rPr>
        <w:t>含税总价最低的原则，推荐成交候选人。</w:t>
      </w:r>
    </w:p>
    <w:p w14:paraId="7528D022">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F14486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92A11AE">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71E6C68E">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5BC6B248">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18B92518">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报价函（模板）及报价清单（清单自拟，</w:t>
      </w:r>
      <w:r>
        <w:rPr>
          <w:rFonts w:hint="eastAsia" w:ascii="仿宋_GB2312" w:hAnsi="仿宋_GB2312" w:eastAsia="仿宋_GB2312" w:cs="仿宋_GB2312"/>
          <w:color w:val="auto"/>
          <w:sz w:val="32"/>
          <w:szCs w:val="32"/>
          <w:highlight w:val="none"/>
        </w:rPr>
        <w:t>必须包含本项目所有的子项报价</w:t>
      </w:r>
      <w:r>
        <w:rPr>
          <w:rFonts w:hint="eastAsia" w:eastAsia="仿宋_GB2312"/>
          <w:color w:val="auto"/>
          <w:sz w:val="32"/>
          <w:szCs w:val="32"/>
          <w:highlight w:val="none"/>
        </w:rPr>
        <w:t>）；</w:t>
      </w:r>
    </w:p>
    <w:p w14:paraId="74BF0D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526A20B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515ACA6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2484904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5、技术</w:t>
      </w:r>
      <w:r>
        <w:rPr>
          <w:rFonts w:hint="eastAsia" w:eastAsia="仿宋_GB2312"/>
          <w:color w:val="auto"/>
          <w:sz w:val="32"/>
          <w:szCs w:val="32"/>
          <w:highlight w:val="none"/>
          <w:lang w:val="en-US" w:eastAsia="zh-CN"/>
        </w:rPr>
        <w:t>方案</w:t>
      </w:r>
      <w:r>
        <w:rPr>
          <w:rFonts w:hint="eastAsia" w:eastAsia="仿宋_GB2312"/>
          <w:color w:val="auto"/>
          <w:sz w:val="32"/>
          <w:szCs w:val="32"/>
          <w:highlight w:val="none"/>
        </w:rPr>
        <w:t>（由响应人完善填写部分内容）；</w:t>
      </w:r>
    </w:p>
    <w:p w14:paraId="26E49D76">
      <w:pPr>
        <w:pStyle w:val="9"/>
        <w:rPr>
          <w:rFonts w:eastAsia="仿宋_GB2312"/>
          <w:color w:val="auto"/>
          <w:highlight w:val="none"/>
        </w:rPr>
      </w:pPr>
      <w:r>
        <w:rPr>
          <w:rFonts w:hint="eastAsia" w:eastAsia="仿宋_GB2312"/>
          <w:color w:val="auto"/>
          <w:sz w:val="32"/>
          <w:szCs w:val="32"/>
          <w:highlight w:val="none"/>
        </w:rPr>
        <w:t xml:space="preserve"> 6、商务技术偏离表（模板）</w:t>
      </w:r>
    </w:p>
    <w:p w14:paraId="1EB63E88">
      <w:pPr>
        <w:pStyle w:val="2"/>
        <w:ind w:firstLine="640" w:firstLineChars="200"/>
        <w:rPr>
          <w:rFonts w:eastAsia="仿宋_GB2312"/>
          <w:color w:val="auto"/>
          <w:sz w:val="32"/>
          <w:szCs w:val="32"/>
          <w:highlight w:val="none"/>
        </w:rPr>
      </w:pPr>
      <w:r>
        <w:rPr>
          <w:rFonts w:hint="eastAsia" w:eastAsia="仿宋_GB2312"/>
          <w:color w:val="auto"/>
          <w:sz w:val="32"/>
          <w:szCs w:val="32"/>
          <w:highlight w:val="none"/>
        </w:rPr>
        <w:t>7、符合“响应人资格要求”对应的证明资料；</w:t>
      </w:r>
    </w:p>
    <w:p w14:paraId="5F4EBC57">
      <w:pPr>
        <w:pStyle w:val="2"/>
        <w:ind w:firstLine="640" w:firstLineChars="200"/>
        <w:rPr>
          <w:rFonts w:eastAsia="仿宋_GB2312"/>
          <w:b/>
          <w:color w:val="auto"/>
          <w:sz w:val="32"/>
          <w:szCs w:val="32"/>
          <w:highlight w:val="none"/>
        </w:rPr>
      </w:pPr>
      <w:r>
        <w:rPr>
          <w:rFonts w:hint="eastAsia" w:eastAsia="仿宋_GB2312"/>
          <w:color w:val="auto"/>
          <w:sz w:val="32"/>
          <w:szCs w:val="32"/>
          <w:highlight w:val="none"/>
        </w:rPr>
        <w:t>8、响应人认为需要提供的其他资料。</w:t>
      </w:r>
    </w:p>
    <w:p w14:paraId="297B785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6A96EF2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431141F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14BD7275">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6CB3314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玖仟捌佰</w:t>
      </w:r>
      <w:r>
        <w:rPr>
          <w:rFonts w:hint="eastAsia" w:eastAsia="仿宋_GB2312"/>
          <w:color w:val="auto"/>
          <w:sz w:val="32"/>
          <w:szCs w:val="32"/>
          <w:highlight w:val="none"/>
        </w:rPr>
        <w:t>元整（小写￥</w:t>
      </w:r>
      <w:r>
        <w:rPr>
          <w:rFonts w:hint="eastAsia" w:eastAsia="仿宋_GB2312"/>
          <w:color w:val="auto"/>
          <w:sz w:val="32"/>
          <w:szCs w:val="32"/>
          <w:highlight w:val="none"/>
          <w:lang w:val="en-US" w:eastAsia="zh-CN"/>
        </w:rPr>
        <w:t>9800</w:t>
      </w:r>
      <w:r>
        <w:rPr>
          <w:rFonts w:hint="eastAsia" w:eastAsia="仿宋_GB2312"/>
          <w:color w:val="auto"/>
          <w:sz w:val="32"/>
          <w:szCs w:val="32"/>
          <w:highlight w:val="none"/>
        </w:rPr>
        <w:t>.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5169BAD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62678C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eastAsia="zh-CN"/>
        </w:rPr>
        <w:t>阳江开能</w:t>
      </w:r>
      <w:r>
        <w:rPr>
          <w:rFonts w:hint="eastAsia" w:eastAsia="仿宋_GB2312"/>
          <w:color w:val="auto"/>
          <w:sz w:val="32"/>
          <w:szCs w:val="32"/>
          <w:highlight w:val="none"/>
          <w:u w:val="single"/>
        </w:rPr>
        <w:t>环保能源有限公司；</w:t>
      </w:r>
    </w:p>
    <w:p w14:paraId="574DA60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0A6D5A7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B1D8F7C">
      <w:pPr>
        <w:numPr>
          <w:ilvl w:val="255"/>
          <w:numId w:val="0"/>
        </w:numPr>
        <w:spacing w:line="360" w:lineRule="auto"/>
        <w:ind w:firstLine="640" w:firstLineChars="200"/>
        <w:outlineLvl w:val="1"/>
        <w:rPr>
          <w:color w:val="auto"/>
          <w:highlight w:val="none"/>
        </w:rPr>
      </w:pPr>
      <w:r>
        <w:rPr>
          <w:rFonts w:hint="eastAsia" w:eastAsia="仿宋_GB2312"/>
          <w:color w:val="auto"/>
          <w:sz w:val="32"/>
          <w:szCs w:val="32"/>
          <w:highlight w:val="none"/>
        </w:rPr>
        <w:t>2、成交人的报价保证金在本项目合同签订后自动转为履约保证金，</w:t>
      </w:r>
      <w:r>
        <w:rPr>
          <w:rFonts w:hint="eastAsia" w:ascii="仿宋_GB2312" w:hAnsi="仿宋_GB2312" w:eastAsia="仿宋_GB2312" w:cs="仿宋_GB2312"/>
          <w:color w:val="auto"/>
          <w:sz w:val="32"/>
          <w:szCs w:val="32"/>
          <w:highlight w:val="none"/>
        </w:rPr>
        <w:t>作为成交人在履约过程中违约金或罚款的扣罚来源之一，履约保证金申请返还时间为采购人最终验收合格后，成交单位没有任何违约的情况下由成交人提交退款申请，收到成交人申请后30个日历日内，采购人一次性无息退回。</w:t>
      </w:r>
    </w:p>
    <w:p w14:paraId="563BD795">
      <w:pPr>
        <w:adjustRightInd w:val="0"/>
        <w:snapToGrid w:val="0"/>
        <w:spacing w:line="600" w:lineRule="exact"/>
        <w:ind w:firstLine="640" w:firstLineChars="200"/>
        <w:outlineLvl w:val="1"/>
        <w:rPr>
          <w:rFonts w:hint="default" w:eastAsia="黑体"/>
          <w:color w:val="auto"/>
          <w:sz w:val="32"/>
          <w:szCs w:val="32"/>
          <w:highlight w:val="none"/>
          <w:lang w:val="en-US" w:eastAsia="zh-CN"/>
        </w:rPr>
      </w:pPr>
      <w:r>
        <w:rPr>
          <w:rFonts w:hint="eastAsia" w:eastAsia="黑体"/>
          <w:color w:val="auto"/>
          <w:sz w:val="32"/>
          <w:szCs w:val="32"/>
          <w:highlight w:val="none"/>
        </w:rPr>
        <w:t>十三、开标时间及</w:t>
      </w:r>
      <w:r>
        <w:rPr>
          <w:rFonts w:hint="eastAsia" w:eastAsia="黑体"/>
          <w:color w:val="auto"/>
          <w:sz w:val="32"/>
          <w:szCs w:val="32"/>
          <w:highlight w:val="none"/>
          <w:lang w:val="en-US" w:eastAsia="zh-CN"/>
        </w:rPr>
        <w:t>递交方式</w:t>
      </w:r>
    </w:p>
    <w:p w14:paraId="78161916">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lang w:val="en-US" w:eastAsia="zh-CN"/>
        </w:rPr>
        <w:t>1、</w:t>
      </w:r>
      <w:r>
        <w:rPr>
          <w:rFonts w:hint="eastAsia" w:eastAsia="仿宋_GB2312"/>
          <w:b w:val="0"/>
          <w:bCs/>
          <w:color w:val="auto"/>
          <w:sz w:val="32"/>
          <w:szCs w:val="32"/>
          <w:highlight w:val="none"/>
        </w:rPr>
        <w:t>开标时间：</w:t>
      </w:r>
      <w:r>
        <w:rPr>
          <w:rFonts w:eastAsia="仿宋_GB2312"/>
          <w:b w:val="0"/>
          <w:bCs/>
          <w:color w:val="auto"/>
          <w:sz w:val="32"/>
          <w:szCs w:val="32"/>
          <w:highlight w:val="none"/>
          <w:u w:val="single"/>
        </w:rPr>
        <w:t>20</w:t>
      </w:r>
      <w:r>
        <w:rPr>
          <w:rFonts w:hint="eastAsia" w:eastAsia="仿宋_GB2312"/>
          <w:b w:val="0"/>
          <w:bCs/>
          <w:color w:val="auto"/>
          <w:sz w:val="32"/>
          <w:szCs w:val="32"/>
          <w:highlight w:val="none"/>
          <w:u w:val="single"/>
        </w:rPr>
        <w:t>2</w:t>
      </w:r>
      <w:r>
        <w:rPr>
          <w:rFonts w:hint="eastAsia" w:eastAsia="仿宋_GB2312"/>
          <w:b w:val="0"/>
          <w:bCs/>
          <w:color w:val="auto"/>
          <w:sz w:val="32"/>
          <w:szCs w:val="32"/>
          <w:highlight w:val="none"/>
          <w:u w:val="single"/>
          <w:lang w:val="en-US" w:eastAsia="zh-CN"/>
        </w:rPr>
        <w:t>5</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rPr>
        <w:t>年</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u w:val="single"/>
          <w:lang w:val="en-US" w:eastAsia="zh-CN"/>
        </w:rPr>
        <w:t>11</w:t>
      </w:r>
      <w:r>
        <w:rPr>
          <w:rFonts w:hint="eastAsia" w:eastAsia="仿宋_GB2312"/>
          <w:b w:val="0"/>
          <w:bCs/>
          <w:color w:val="auto"/>
          <w:sz w:val="32"/>
          <w:szCs w:val="32"/>
          <w:highlight w:val="none"/>
        </w:rPr>
        <w:t>月</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u w:val="single"/>
          <w:lang w:val="en-US" w:eastAsia="zh-CN"/>
        </w:rPr>
        <w:t>20</w:t>
      </w:r>
      <w:r>
        <w:rPr>
          <w:rFonts w:hint="eastAsia" w:eastAsia="仿宋_GB2312"/>
          <w:b w:val="0"/>
          <w:bCs/>
          <w:color w:val="auto"/>
          <w:sz w:val="32"/>
          <w:szCs w:val="32"/>
          <w:highlight w:val="none"/>
          <w:u w:val="single"/>
        </w:rPr>
        <w:t xml:space="preserve">  </w:t>
      </w:r>
      <w:r>
        <w:rPr>
          <w:rFonts w:hint="eastAsia" w:eastAsia="仿宋_GB2312"/>
          <w:b w:val="0"/>
          <w:bCs/>
          <w:color w:val="auto"/>
          <w:sz w:val="32"/>
          <w:szCs w:val="32"/>
          <w:highlight w:val="none"/>
        </w:rPr>
        <w:t>日（星期</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u w:val="single"/>
          <w:lang w:val="en-US" w:eastAsia="zh-CN"/>
        </w:rPr>
        <w:t>四</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rPr>
        <w:t>）</w:t>
      </w:r>
      <w:r>
        <w:rPr>
          <w:rFonts w:hint="eastAsia" w:eastAsia="仿宋_GB2312"/>
          <w:b w:val="0"/>
          <w:bCs/>
          <w:color w:val="auto"/>
          <w:sz w:val="32"/>
          <w:szCs w:val="32"/>
          <w:highlight w:val="none"/>
          <w:u w:val="single"/>
        </w:rPr>
        <w:t>下</w:t>
      </w:r>
      <w:r>
        <w:rPr>
          <w:rFonts w:hint="eastAsia" w:eastAsia="仿宋_GB2312"/>
          <w:b w:val="0"/>
          <w:bCs/>
          <w:color w:val="auto"/>
          <w:sz w:val="32"/>
          <w:szCs w:val="32"/>
          <w:highlight w:val="none"/>
        </w:rPr>
        <w:t>午</w:t>
      </w:r>
      <w:r>
        <w:rPr>
          <w:rFonts w:hint="eastAsia" w:eastAsia="仿宋_GB2312"/>
          <w:b w:val="0"/>
          <w:bCs/>
          <w:color w:val="auto"/>
          <w:sz w:val="32"/>
          <w:szCs w:val="32"/>
          <w:highlight w:val="none"/>
          <w:u w:val="single"/>
        </w:rPr>
        <w:t>1</w:t>
      </w:r>
      <w:r>
        <w:rPr>
          <w:rFonts w:hint="eastAsia" w:eastAsia="仿宋_GB2312"/>
          <w:b w:val="0"/>
          <w:bCs/>
          <w:color w:val="auto"/>
          <w:sz w:val="32"/>
          <w:szCs w:val="32"/>
          <w:highlight w:val="none"/>
          <w:u w:val="single"/>
          <w:lang w:val="en-US" w:eastAsia="zh-CN"/>
        </w:rPr>
        <w:t>5</w:t>
      </w:r>
      <w:r>
        <w:rPr>
          <w:rFonts w:eastAsia="仿宋_GB2312"/>
          <w:b w:val="0"/>
          <w:bCs/>
          <w:color w:val="auto"/>
          <w:sz w:val="32"/>
          <w:szCs w:val="32"/>
          <w:highlight w:val="none"/>
          <w:u w:val="single"/>
        </w:rPr>
        <w:t>:</w:t>
      </w:r>
      <w:r>
        <w:rPr>
          <w:rFonts w:hint="eastAsia" w:eastAsia="仿宋_GB2312"/>
          <w:b w:val="0"/>
          <w:bCs/>
          <w:color w:val="auto"/>
          <w:sz w:val="32"/>
          <w:szCs w:val="32"/>
          <w:highlight w:val="none"/>
          <w:u w:val="single"/>
          <w:lang w:val="en-US" w:eastAsia="zh-CN"/>
        </w:rPr>
        <w:t>0</w:t>
      </w:r>
      <w:r>
        <w:rPr>
          <w:rFonts w:eastAsia="仿宋_GB2312"/>
          <w:b w:val="0"/>
          <w:bCs/>
          <w:color w:val="auto"/>
          <w:sz w:val="32"/>
          <w:szCs w:val="32"/>
          <w:highlight w:val="none"/>
          <w:u w:val="single"/>
        </w:rPr>
        <w:t>0</w:t>
      </w:r>
      <w:r>
        <w:rPr>
          <w:rFonts w:hint="eastAsia" w:eastAsia="仿宋_GB2312"/>
          <w:b w:val="0"/>
          <w:bCs/>
          <w:color w:val="auto"/>
          <w:sz w:val="32"/>
          <w:szCs w:val="32"/>
          <w:highlight w:val="none"/>
        </w:rPr>
        <w:t>。</w:t>
      </w:r>
    </w:p>
    <w:p w14:paraId="2C4B446C">
      <w:pPr>
        <w:spacing w:line="600" w:lineRule="exact"/>
        <w:ind w:firstLine="640" w:firstLineChars="200"/>
        <w:rPr>
          <w:rFonts w:eastAsia="仿宋_GB2312"/>
          <w:b w:val="0"/>
          <w:bCs/>
          <w:color w:val="auto"/>
          <w:sz w:val="32"/>
          <w:szCs w:val="32"/>
          <w:highlight w:val="none"/>
        </w:rPr>
      </w:pPr>
      <w:r>
        <w:rPr>
          <w:rFonts w:hint="eastAsia" w:eastAsia="仿宋_GB2312"/>
          <w:b w:val="0"/>
          <w:bCs/>
          <w:color w:val="auto"/>
          <w:sz w:val="32"/>
          <w:szCs w:val="32"/>
          <w:highlight w:val="none"/>
          <w:lang w:val="en-US" w:eastAsia="zh-CN"/>
        </w:rPr>
        <w:t>2、</w:t>
      </w:r>
      <w:r>
        <w:rPr>
          <w:rFonts w:eastAsia="仿宋_GB2312"/>
          <w:b w:val="0"/>
          <w:bCs/>
          <w:color w:val="auto"/>
          <w:sz w:val="32"/>
          <w:szCs w:val="32"/>
          <w:highlight w:val="none"/>
        </w:rPr>
        <w:t>本项目原则上需要</w:t>
      </w:r>
      <w:r>
        <w:rPr>
          <w:rFonts w:hint="default" w:eastAsia="仿宋_GB2312"/>
          <w:b w:val="0"/>
          <w:bCs/>
          <w:color w:val="auto"/>
          <w:sz w:val="32"/>
          <w:szCs w:val="32"/>
          <w:highlight w:val="none"/>
        </w:rPr>
        <w:t>现场递交报价文件，如报价人因自身原因无法到现场开标，可选择邮寄递交报价文件。</w:t>
      </w:r>
    </w:p>
    <w:p w14:paraId="13BA9CA7">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（1）现场递交报价文件</w:t>
      </w:r>
    </w:p>
    <w:p w14:paraId="40AC5E7C">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报价人须委派法定代表人或授权委托人按时到开标地址提交报价文件并参加开标会议，开标时间后到达的拒收报价文件。</w:t>
      </w:r>
    </w:p>
    <w:p w14:paraId="3E7A0857">
      <w:pPr>
        <w:spacing w:line="600" w:lineRule="exact"/>
        <w:ind w:firstLine="640" w:firstLineChars="200"/>
        <w:rPr>
          <w:rFonts w:hint="eastAsia" w:eastAsia="仿宋_GB2312"/>
          <w:b/>
          <w:color w:val="auto"/>
          <w:sz w:val="32"/>
          <w:szCs w:val="32"/>
          <w:highlight w:val="none"/>
          <w:u w:val="single"/>
        </w:rPr>
      </w:pPr>
      <w:r>
        <w:rPr>
          <w:rFonts w:hint="default" w:eastAsia="仿宋_GB2312"/>
          <w:b w:val="0"/>
          <w:bCs/>
          <w:color w:val="auto"/>
          <w:sz w:val="32"/>
          <w:szCs w:val="32"/>
          <w:highlight w:val="none"/>
        </w:rPr>
        <w:t>报价人现场递交报价文件地址：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023A1828">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（2）邮寄递交报价文件</w:t>
      </w:r>
    </w:p>
    <w:p w14:paraId="5870DC8F">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6BE3D1C4">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报价文件</w:t>
      </w:r>
      <w:r>
        <w:rPr>
          <w:rFonts w:hint="eastAsia" w:eastAsia="仿宋_GB2312"/>
          <w:b w:val="0"/>
          <w:bCs/>
          <w:color w:val="auto"/>
          <w:sz w:val="32"/>
          <w:szCs w:val="32"/>
          <w:highlight w:val="none"/>
          <w:lang w:val="en-US" w:eastAsia="zh-CN"/>
        </w:rPr>
        <w:t>邮寄</w:t>
      </w:r>
      <w:r>
        <w:rPr>
          <w:rFonts w:hint="default" w:eastAsia="仿宋_GB2312"/>
          <w:b w:val="0"/>
          <w:bCs/>
          <w:color w:val="auto"/>
          <w:sz w:val="32"/>
          <w:szCs w:val="32"/>
          <w:highlight w:val="none"/>
        </w:rPr>
        <w:t>地址：</w:t>
      </w:r>
      <w:r>
        <w:rPr>
          <w:rFonts w:hint="eastAsia" w:eastAsia="仿宋_GB2312"/>
          <w:b w:val="0"/>
          <w:bCs/>
          <w:color w:val="auto"/>
          <w:sz w:val="32"/>
          <w:szCs w:val="32"/>
          <w:highlight w:val="none"/>
        </w:rPr>
        <w:t>收件地址：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69D7A070">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吕先生</w:t>
      </w:r>
    </w:p>
    <w:p w14:paraId="7CB33787">
      <w:pPr>
        <w:spacing w:line="600" w:lineRule="exact"/>
        <w:ind w:firstLine="640" w:firstLineChars="200"/>
        <w:rPr>
          <w:rFonts w:eastAsia="仿宋_GB2312"/>
          <w:b/>
          <w:color w:val="auto"/>
          <w:sz w:val="32"/>
          <w:szCs w:val="32"/>
          <w:highlight w:val="none"/>
        </w:rPr>
      </w:pPr>
      <w:r>
        <w:rPr>
          <w:rFonts w:hint="eastAsia" w:eastAsia="仿宋_GB2312"/>
          <w:b w:val="0"/>
          <w:bCs/>
          <w:color w:val="auto"/>
          <w:sz w:val="32"/>
          <w:szCs w:val="32"/>
          <w:highlight w:val="none"/>
        </w:rPr>
        <w:t>联系电话：</w:t>
      </w:r>
      <w:r>
        <w:rPr>
          <w:rFonts w:hint="eastAsia" w:eastAsia="仿宋_GB2312"/>
          <w:b w:val="0"/>
          <w:bCs/>
          <w:color w:val="auto"/>
          <w:sz w:val="32"/>
          <w:szCs w:val="32"/>
          <w:highlight w:val="none"/>
          <w:lang w:val="en-US" w:eastAsia="zh-CN"/>
        </w:rPr>
        <w:t>15692019575</w:t>
      </w:r>
    </w:p>
    <w:p w14:paraId="0F69272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398D32EF">
      <w:pPr>
        <w:spacing w:line="600" w:lineRule="exact"/>
        <w:ind w:firstLine="640" w:firstLineChars="200"/>
        <w:rPr>
          <w:rFonts w:eastAsia="仿宋_GB2312"/>
          <w:color w:val="auto"/>
          <w:sz w:val="32"/>
          <w:szCs w:val="32"/>
          <w:highlight w:val="none"/>
        </w:rPr>
      </w:pPr>
      <w:bookmarkStart w:id="1"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02AEE3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3E199E92">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1"/>
    </w:p>
    <w:p w14:paraId="092CCCF8">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09E4C7E6">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7C09F39B">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047AC7FF">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68F980B1">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646B6ECD">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20E3934F">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人提供虚假报价文件或虚假补充文件。</w:t>
      </w:r>
    </w:p>
    <w:p w14:paraId="339DD956">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w:t>
      </w:r>
      <w:r>
        <w:rPr>
          <w:rFonts w:eastAsia="仿宋_GB2312"/>
          <w:color w:val="auto"/>
          <w:sz w:val="32"/>
          <w:szCs w:val="32"/>
          <w:highlight w:val="none"/>
          <w:u w:val="single"/>
        </w:rPr>
        <w:t xml:space="preserve"> </w:t>
      </w:r>
      <w:r>
        <w:rPr>
          <w:rFonts w:hint="eastAsia" w:eastAsia="仿宋_GB2312"/>
          <w:color w:val="auto"/>
          <w:sz w:val="32"/>
          <w:szCs w:val="32"/>
          <w:highlight w:val="none"/>
        </w:rPr>
        <w:t>公司（采购人）</w:t>
      </w:r>
    </w:p>
    <w:p w14:paraId="42B272B0">
      <w:pPr>
        <w:spacing w:line="600" w:lineRule="exact"/>
        <w:ind w:firstLine="640" w:firstLineChars="200"/>
        <w:jc w:val="center"/>
        <w:rPr>
          <w:rFonts w:eastAsia="仿宋_GB2312"/>
          <w:color w:val="auto"/>
          <w:sz w:val="32"/>
          <w:szCs w:val="32"/>
          <w:highlight w:val="none"/>
        </w:rPr>
      </w:pPr>
      <w:r>
        <w:rPr>
          <w:rFonts w:hint="eastAsia" w:eastAsia="仿宋_GB2312"/>
          <w:color w:val="auto"/>
          <w:sz w:val="32"/>
          <w:szCs w:val="32"/>
          <w:highlight w:val="none"/>
        </w:rPr>
        <w:t xml:space="preserve">   </w:t>
      </w:r>
      <w:r>
        <w:rPr>
          <w:rFonts w:hint="eastAsia" w:eastAsia="仿宋_GB2312"/>
          <w:color w:val="auto"/>
          <w:sz w:val="32"/>
          <w:szCs w:val="32"/>
          <w:highlight w:val="none"/>
          <w:u w:val="single"/>
        </w:rPr>
        <w:t xml:space="preserve"> </w:t>
      </w: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14</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2BADC9BD">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594662D5">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0CA2484">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20418C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DD36253">
            <w:pPr>
              <w:pStyle w:val="3"/>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2F0D682">
            <w:pPr>
              <w:pStyle w:val="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7944393F">
            <w:pPr>
              <w:pStyle w:val="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AF19E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B8F600">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972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31F262C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eastAsia="zh-CN"/>
              </w:rPr>
              <w:t>阳江开能环保能源有限公司余热发电项目35KV变压器高压配电柜采购及指导安装项目（</w:t>
            </w:r>
            <w:r>
              <w:rPr>
                <w:rFonts w:hint="eastAsia" w:eastAsia="仿宋_GB2312"/>
                <w:color w:val="auto"/>
                <w:sz w:val="32"/>
                <w:szCs w:val="32"/>
                <w:highlight w:val="none"/>
                <w:lang w:val="en-US" w:eastAsia="zh-CN"/>
              </w:rPr>
              <w:t>重新采购</w:t>
            </w:r>
            <w:r>
              <w:rPr>
                <w:rFonts w:hint="eastAsia" w:eastAsia="仿宋_GB2312"/>
                <w:color w:val="auto"/>
                <w:sz w:val="32"/>
                <w:szCs w:val="32"/>
                <w:highlight w:val="none"/>
                <w:lang w:eastAsia="zh-CN"/>
              </w:rPr>
              <w:t>）</w:t>
            </w:r>
          </w:p>
        </w:tc>
      </w:tr>
      <w:tr w14:paraId="652C37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F855386">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53571C7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3E4FFE0E">
            <w:pPr>
              <w:spacing w:line="360" w:lineRule="auto"/>
              <w:rPr>
                <w:rFonts w:eastAsia="仿宋_GB2312"/>
                <w:color w:val="auto"/>
                <w:sz w:val="32"/>
                <w:szCs w:val="32"/>
                <w:highlight w:val="none"/>
              </w:rPr>
            </w:pPr>
            <w:r>
              <w:rPr>
                <w:rFonts w:eastAsia="仿宋_GB2312"/>
                <w:color w:val="auto"/>
                <w:sz w:val="32"/>
                <w:szCs w:val="32"/>
                <w:highlight w:val="none"/>
              </w:rPr>
              <w:t>广东省阳江高新技术产业开发区港口工业园广东广青金属科技有限公司厂区内</w:t>
            </w:r>
          </w:p>
        </w:tc>
      </w:tr>
      <w:tr w14:paraId="628B96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8F563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49494AE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5D206C39">
            <w:pPr>
              <w:spacing w:line="360" w:lineRule="auto"/>
              <w:rPr>
                <w:rFonts w:eastAsia="仿宋_GB2312"/>
                <w:color w:val="auto"/>
                <w:sz w:val="32"/>
                <w:szCs w:val="32"/>
                <w:highlight w:val="none"/>
              </w:rPr>
            </w:pPr>
            <w:r>
              <w:rPr>
                <w:rFonts w:hint="eastAsia" w:eastAsia="仿宋_GB2312"/>
                <w:color w:val="auto"/>
                <w:sz w:val="32"/>
                <w:szCs w:val="32"/>
                <w:highlight w:val="none"/>
              </w:rPr>
              <w:t>固定总价包干</w:t>
            </w:r>
          </w:p>
        </w:tc>
      </w:tr>
      <w:tr w14:paraId="379873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3DDA589">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14053F4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货期要求</w:t>
            </w:r>
          </w:p>
        </w:tc>
        <w:tc>
          <w:tcPr>
            <w:tcW w:w="5942" w:type="dxa"/>
            <w:vAlign w:val="center"/>
          </w:tcPr>
          <w:p w14:paraId="4A604383">
            <w:pPr>
              <w:spacing w:line="500" w:lineRule="exact"/>
              <w:jc w:val="left"/>
              <w:rPr>
                <w:rFonts w:hint="eastAsia" w:eastAsia="仿宋_GB2312"/>
                <w:color w:val="auto"/>
                <w:sz w:val="32"/>
                <w:szCs w:val="32"/>
                <w:highlight w:val="none"/>
                <w:lang w:eastAsia="zh-CN"/>
              </w:rPr>
            </w:pPr>
            <w:r>
              <w:rPr>
                <w:rFonts w:eastAsia="仿宋_GB2312"/>
                <w:color w:val="auto"/>
                <w:sz w:val="32"/>
                <w:szCs w:val="32"/>
                <w:highlight w:val="none"/>
              </w:rPr>
              <w:t xml:space="preserve"> </w:t>
            </w:r>
            <w:r>
              <w:rPr>
                <w:rFonts w:hint="eastAsia" w:eastAsia="仿宋_GB2312"/>
                <w:color w:val="auto"/>
                <w:sz w:val="32"/>
                <w:szCs w:val="32"/>
                <w:highlight w:val="none"/>
              </w:rPr>
              <w:t>成交人需在合同签订后的</w:t>
            </w:r>
            <w:r>
              <w:rPr>
                <w:rFonts w:hint="eastAsia" w:eastAsia="仿宋_GB2312"/>
                <w:color w:val="auto"/>
                <w:sz w:val="32"/>
                <w:szCs w:val="32"/>
                <w:highlight w:val="none"/>
                <w:lang w:val="en-US" w:eastAsia="zh-CN"/>
              </w:rPr>
              <w:t>5</w:t>
            </w:r>
            <w:r>
              <w:rPr>
                <w:rFonts w:hint="eastAsia" w:eastAsia="仿宋_GB2312"/>
                <w:color w:val="auto"/>
                <w:sz w:val="32"/>
                <w:szCs w:val="32"/>
                <w:highlight w:val="none"/>
              </w:rPr>
              <w:t>0个日历日内将所有货物交货至采购人项目指定地点</w:t>
            </w:r>
          </w:p>
        </w:tc>
      </w:tr>
      <w:tr w14:paraId="692CF1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B396CDE">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44836B2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1DD886B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玖仟捌</w:t>
            </w:r>
            <w:r>
              <w:rPr>
                <w:rFonts w:hint="eastAsia" w:eastAsia="仿宋_GB2312"/>
                <w:color w:val="auto"/>
                <w:sz w:val="32"/>
                <w:szCs w:val="32"/>
                <w:highlight w:val="none"/>
              </w:rPr>
              <w:t>佰元整（小写￥</w:t>
            </w:r>
            <w:r>
              <w:rPr>
                <w:rFonts w:hint="eastAsia" w:eastAsia="仿宋_GB2312"/>
                <w:color w:val="auto"/>
                <w:sz w:val="32"/>
                <w:szCs w:val="32"/>
                <w:highlight w:val="none"/>
                <w:lang w:val="en-US" w:eastAsia="zh-CN"/>
              </w:rPr>
              <w:t>98</w:t>
            </w:r>
            <w:r>
              <w:rPr>
                <w:rFonts w:hint="eastAsia" w:eastAsia="仿宋_GB2312"/>
                <w:color w:val="auto"/>
                <w:sz w:val="32"/>
                <w:szCs w:val="32"/>
                <w:highlight w:val="none"/>
              </w:rPr>
              <w:t>00.00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B1D8B4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09E61453">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eastAsia="zh-CN"/>
              </w:rPr>
              <w:t>阳江开能</w:t>
            </w:r>
            <w:r>
              <w:rPr>
                <w:rFonts w:hint="eastAsia" w:eastAsia="仿宋_GB2312"/>
                <w:color w:val="auto"/>
                <w:sz w:val="32"/>
                <w:szCs w:val="32"/>
                <w:highlight w:val="none"/>
                <w:u w:val="single"/>
              </w:rPr>
              <w:t>环保能源有限公司；</w:t>
            </w:r>
          </w:p>
          <w:p w14:paraId="3CAD0AB8">
            <w:pPr>
              <w:spacing w:line="600" w:lineRule="exact"/>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6322195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u w:val="single"/>
              </w:rPr>
              <w:t>银行帐号：9550 8802 0063 4500 171；</w:t>
            </w:r>
          </w:p>
        </w:tc>
      </w:tr>
      <w:tr w14:paraId="1044AD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FEAF018">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118ED31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0FCE592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4F1F95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4517B18">
            <w:pPr>
              <w:spacing w:line="360" w:lineRule="auto"/>
              <w:jc w:val="center"/>
              <w:rPr>
                <w:rFonts w:eastAsia="仿宋_GB2312"/>
                <w:color w:val="auto"/>
                <w:sz w:val="32"/>
                <w:szCs w:val="32"/>
                <w:highlight w:val="none"/>
              </w:rPr>
            </w:pPr>
          </w:p>
        </w:tc>
        <w:tc>
          <w:tcPr>
            <w:tcW w:w="2275" w:type="dxa"/>
            <w:vAlign w:val="center"/>
          </w:tcPr>
          <w:p w14:paraId="55617A0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68EFBDD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954E9D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781FC12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9A6E0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2B2CC95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38D4F1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556F0D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5202CF0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4BE5C60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F5B0F3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2A829BA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2E47322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0875063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7D07120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1DD53E3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51BABC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1E6234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06E78E8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044D0AC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4072C50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2580055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367D975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1692A39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E66F6E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F8B773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85CDDE8">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2E25E64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B5655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5A96BB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1F688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15B845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49CE402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19ADD54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4E7C34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08CDEB7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74FCF314">
      <w:pPr>
        <w:rPr>
          <w:rFonts w:eastAsia="仿宋_GB2312"/>
          <w:color w:val="auto"/>
          <w:sz w:val="32"/>
          <w:szCs w:val="32"/>
          <w:highlight w:val="none"/>
        </w:rPr>
      </w:pPr>
    </w:p>
    <w:p w14:paraId="7FA8F5BE">
      <w:pPr>
        <w:rPr>
          <w:rFonts w:eastAsia="仿宋_GB2312"/>
          <w:color w:val="auto"/>
          <w:sz w:val="32"/>
          <w:szCs w:val="32"/>
          <w:highlight w:val="none"/>
        </w:rPr>
      </w:pPr>
    </w:p>
    <w:p w14:paraId="592334D5">
      <w:pPr>
        <w:rPr>
          <w:rFonts w:eastAsia="仿宋_GB2312"/>
          <w:color w:val="auto"/>
          <w:sz w:val="32"/>
          <w:szCs w:val="32"/>
          <w:highlight w:val="none"/>
        </w:rPr>
      </w:pPr>
    </w:p>
    <w:p w14:paraId="0634BE5A">
      <w:pPr>
        <w:rPr>
          <w:rFonts w:eastAsia="仿宋_GB2312"/>
          <w:color w:val="auto"/>
          <w:sz w:val="32"/>
          <w:szCs w:val="32"/>
          <w:highlight w:val="none"/>
        </w:rPr>
      </w:pPr>
    </w:p>
    <w:p w14:paraId="310AF242">
      <w:pPr>
        <w:rPr>
          <w:rFonts w:eastAsia="仿宋_GB2312"/>
          <w:color w:val="auto"/>
          <w:sz w:val="32"/>
          <w:szCs w:val="32"/>
          <w:highlight w:val="none"/>
        </w:rPr>
      </w:pPr>
    </w:p>
    <w:p w14:paraId="148428CF">
      <w:pPr>
        <w:rPr>
          <w:rFonts w:eastAsia="仿宋_GB2312"/>
          <w:color w:val="auto"/>
          <w:sz w:val="32"/>
          <w:szCs w:val="32"/>
          <w:highlight w:val="none"/>
        </w:rPr>
      </w:pPr>
    </w:p>
    <w:p w14:paraId="2E22EB37">
      <w:pPr>
        <w:rPr>
          <w:rFonts w:eastAsia="仿宋_GB2312"/>
          <w:color w:val="auto"/>
          <w:sz w:val="32"/>
          <w:szCs w:val="32"/>
          <w:highlight w:val="none"/>
        </w:rPr>
      </w:pPr>
    </w:p>
    <w:p w14:paraId="06FAB8D8">
      <w:pPr>
        <w:pStyle w:val="2"/>
        <w:rPr>
          <w:rFonts w:eastAsia="仿宋_GB2312"/>
          <w:color w:val="auto"/>
          <w:sz w:val="32"/>
          <w:szCs w:val="32"/>
          <w:highlight w:val="none"/>
        </w:rPr>
      </w:pPr>
    </w:p>
    <w:p w14:paraId="1CBD6146">
      <w:pPr>
        <w:pStyle w:val="3"/>
        <w:ind w:firstLine="320"/>
        <w:rPr>
          <w:rFonts w:eastAsia="仿宋_GB2312"/>
          <w:color w:val="auto"/>
          <w:sz w:val="32"/>
          <w:szCs w:val="32"/>
          <w:highlight w:val="none"/>
        </w:rPr>
      </w:pPr>
    </w:p>
    <w:p w14:paraId="206CCD84">
      <w:pPr>
        <w:pStyle w:val="4"/>
        <w:ind w:firstLine="640"/>
        <w:rPr>
          <w:rFonts w:eastAsia="仿宋_GB2312"/>
          <w:color w:val="auto"/>
          <w:sz w:val="32"/>
          <w:szCs w:val="32"/>
          <w:highlight w:val="none"/>
        </w:rPr>
      </w:pPr>
    </w:p>
    <w:p w14:paraId="7F19A53B">
      <w:pPr>
        <w:rPr>
          <w:rFonts w:eastAsia="仿宋_GB2312"/>
          <w:color w:val="auto"/>
          <w:sz w:val="32"/>
          <w:szCs w:val="32"/>
          <w:highlight w:val="none"/>
        </w:rPr>
      </w:pPr>
    </w:p>
    <w:p w14:paraId="12701E8E">
      <w:pPr>
        <w:pStyle w:val="2"/>
        <w:rPr>
          <w:rFonts w:eastAsia="仿宋_GB2312"/>
          <w:color w:val="auto"/>
          <w:sz w:val="32"/>
          <w:szCs w:val="32"/>
          <w:highlight w:val="none"/>
        </w:rPr>
      </w:pPr>
    </w:p>
    <w:p w14:paraId="1E1F388C">
      <w:pPr>
        <w:pStyle w:val="3"/>
        <w:ind w:firstLine="320"/>
        <w:rPr>
          <w:rFonts w:eastAsia="仿宋_GB2312"/>
          <w:color w:val="auto"/>
          <w:sz w:val="32"/>
          <w:szCs w:val="32"/>
          <w:highlight w:val="none"/>
        </w:rPr>
      </w:pPr>
    </w:p>
    <w:p w14:paraId="2AB519C1">
      <w:pPr>
        <w:pStyle w:val="4"/>
        <w:ind w:firstLine="640"/>
        <w:rPr>
          <w:rFonts w:eastAsia="仿宋_GB2312"/>
          <w:color w:val="auto"/>
          <w:sz w:val="32"/>
          <w:szCs w:val="32"/>
          <w:highlight w:val="none"/>
        </w:rPr>
      </w:pPr>
    </w:p>
    <w:p w14:paraId="63CDEC1D">
      <w:pPr>
        <w:rPr>
          <w:rFonts w:eastAsia="仿宋_GB2312"/>
          <w:color w:val="auto"/>
          <w:sz w:val="32"/>
          <w:szCs w:val="32"/>
          <w:highlight w:val="none"/>
        </w:rPr>
      </w:pPr>
    </w:p>
    <w:p w14:paraId="2366005E">
      <w:pPr>
        <w:pStyle w:val="2"/>
        <w:rPr>
          <w:color w:val="auto"/>
          <w:highlight w:val="none"/>
        </w:rPr>
      </w:pPr>
    </w:p>
    <w:p w14:paraId="15BA21C6">
      <w:pPr>
        <w:pStyle w:val="45"/>
        <w:ind w:firstLine="0" w:firstLineChars="0"/>
        <w:jc w:val="left"/>
        <w:outlineLvl w:val="1"/>
        <w:rPr>
          <w:rFonts w:eastAsia="黑体"/>
          <w:color w:val="auto"/>
          <w:sz w:val="28"/>
          <w:szCs w:val="44"/>
          <w:highlight w:val="none"/>
        </w:rPr>
      </w:pPr>
      <w:bookmarkStart w:id="2" w:name="_Hlk524442005"/>
      <w:r>
        <w:rPr>
          <w:rFonts w:hint="eastAsia" w:eastAsia="黑体"/>
          <w:color w:val="auto"/>
          <w:sz w:val="28"/>
          <w:szCs w:val="44"/>
          <w:highlight w:val="none"/>
        </w:rPr>
        <w:t>附件二报价函</w:t>
      </w:r>
    </w:p>
    <w:p w14:paraId="4D6B2447">
      <w:pPr>
        <w:jc w:val="center"/>
        <w:rPr>
          <w:rFonts w:eastAsia="华文中宋"/>
          <w:color w:val="auto"/>
          <w:sz w:val="44"/>
          <w:szCs w:val="44"/>
          <w:highlight w:val="none"/>
        </w:rPr>
      </w:pPr>
      <w:r>
        <w:rPr>
          <w:rFonts w:hint="eastAsia" w:eastAsia="华文中宋"/>
          <w:color w:val="auto"/>
          <w:sz w:val="44"/>
          <w:szCs w:val="44"/>
          <w:highlight w:val="none"/>
        </w:rPr>
        <w:t>报价函</w:t>
      </w:r>
    </w:p>
    <w:p w14:paraId="66A1FD4F">
      <w:pPr>
        <w:ind w:firstLine="560"/>
        <w:jc w:val="center"/>
        <w:rPr>
          <w:rFonts w:eastAsia="仿宋_GB2312"/>
          <w:color w:val="auto"/>
          <w:sz w:val="32"/>
          <w:szCs w:val="32"/>
          <w:highlight w:val="none"/>
        </w:rPr>
      </w:pPr>
    </w:p>
    <w:p w14:paraId="0013774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5640CEF3">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阳江开能环保能源有限公司余热发电项目35KV变压器高压配电柜采购及指导安装</w:t>
      </w:r>
      <w:r>
        <w:rPr>
          <w:rFonts w:hint="eastAsia" w:eastAsia="仿宋_GB2312"/>
          <w:color w:val="auto"/>
          <w:sz w:val="32"/>
          <w:szCs w:val="32"/>
          <w:highlight w:val="none"/>
          <w:u w:val="single"/>
        </w:rPr>
        <w:t>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758183E9">
      <w:pPr>
        <w:rPr>
          <w:rFonts w:eastAsia="仿宋_GB2312"/>
          <w:color w:val="auto"/>
          <w:sz w:val="32"/>
          <w:szCs w:val="32"/>
          <w:highlight w:val="none"/>
        </w:rPr>
      </w:pPr>
    </w:p>
    <w:p w14:paraId="410883F0">
      <w:pPr>
        <w:rPr>
          <w:rFonts w:eastAsia="仿宋_GB2312"/>
          <w:color w:val="auto"/>
          <w:sz w:val="32"/>
          <w:szCs w:val="32"/>
          <w:highlight w:val="none"/>
        </w:rPr>
      </w:pPr>
    </w:p>
    <w:p w14:paraId="139EC605">
      <w:pPr>
        <w:rPr>
          <w:rFonts w:eastAsia="仿宋_GB2312"/>
          <w:color w:val="auto"/>
          <w:sz w:val="32"/>
          <w:szCs w:val="32"/>
          <w:highlight w:val="none"/>
        </w:rPr>
      </w:pPr>
    </w:p>
    <w:p w14:paraId="262FCD1D">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5776890">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A7EBDF7">
      <w:pPr>
        <w:jc w:val="left"/>
        <w:rPr>
          <w:rFonts w:eastAsia="仿宋_GB2312"/>
          <w:color w:val="auto"/>
          <w:sz w:val="32"/>
          <w:szCs w:val="32"/>
          <w:highlight w:val="none"/>
        </w:rPr>
      </w:pPr>
      <w:r>
        <w:rPr>
          <w:rFonts w:hint="eastAsia" w:eastAsia="仿宋_GB2312"/>
          <w:color w:val="auto"/>
          <w:sz w:val="32"/>
          <w:szCs w:val="32"/>
          <w:highlight w:val="none"/>
        </w:rPr>
        <w:t>联系人：</w:t>
      </w:r>
    </w:p>
    <w:p w14:paraId="6CEA0097">
      <w:pPr>
        <w:jc w:val="left"/>
        <w:rPr>
          <w:rFonts w:eastAsia="仿宋_GB2312"/>
          <w:color w:val="auto"/>
          <w:sz w:val="32"/>
          <w:szCs w:val="32"/>
          <w:highlight w:val="none"/>
        </w:rPr>
      </w:pPr>
      <w:r>
        <w:rPr>
          <w:rFonts w:hint="eastAsia" w:eastAsia="仿宋_GB2312"/>
          <w:color w:val="auto"/>
          <w:sz w:val="32"/>
          <w:szCs w:val="32"/>
          <w:highlight w:val="none"/>
        </w:rPr>
        <w:t>联系电话：</w:t>
      </w:r>
    </w:p>
    <w:p w14:paraId="50EB4ED4">
      <w:pPr>
        <w:jc w:val="left"/>
        <w:rPr>
          <w:rFonts w:eastAsia="仿宋_GB2312"/>
          <w:color w:val="auto"/>
          <w:sz w:val="32"/>
          <w:szCs w:val="32"/>
          <w:highlight w:val="none"/>
        </w:rPr>
      </w:pPr>
      <w:r>
        <w:rPr>
          <w:rFonts w:hint="eastAsia" w:eastAsia="仿宋_GB2312"/>
          <w:color w:val="auto"/>
          <w:sz w:val="32"/>
          <w:szCs w:val="32"/>
          <w:highlight w:val="none"/>
        </w:rPr>
        <w:t>日期：</w:t>
      </w:r>
    </w:p>
    <w:p w14:paraId="5897E5BD">
      <w:pPr>
        <w:jc w:val="center"/>
        <w:rPr>
          <w:rFonts w:eastAsia="仿宋_GB2312"/>
          <w:color w:val="auto"/>
          <w:sz w:val="32"/>
          <w:szCs w:val="32"/>
          <w:highlight w:val="none"/>
        </w:rPr>
      </w:pPr>
    </w:p>
    <w:p w14:paraId="366D8547">
      <w:pPr>
        <w:jc w:val="center"/>
        <w:rPr>
          <w:rFonts w:eastAsia="仿宋_GB2312"/>
          <w:color w:val="auto"/>
          <w:sz w:val="32"/>
          <w:szCs w:val="32"/>
          <w:highlight w:val="none"/>
        </w:rPr>
      </w:pPr>
    </w:p>
    <w:p w14:paraId="53300A70">
      <w:pPr>
        <w:jc w:val="center"/>
        <w:rPr>
          <w:rFonts w:eastAsia="仿宋_GB2312"/>
          <w:color w:val="auto"/>
          <w:sz w:val="32"/>
          <w:szCs w:val="32"/>
          <w:highlight w:val="none"/>
        </w:rPr>
      </w:pPr>
    </w:p>
    <w:p w14:paraId="7D9DB926">
      <w:pPr>
        <w:jc w:val="center"/>
        <w:rPr>
          <w:rFonts w:eastAsia="仿宋_GB2312"/>
          <w:color w:val="auto"/>
          <w:sz w:val="32"/>
          <w:szCs w:val="32"/>
          <w:highlight w:val="none"/>
        </w:rPr>
      </w:pPr>
    </w:p>
    <w:p w14:paraId="0F2F5D91">
      <w:pPr>
        <w:pStyle w:val="23"/>
        <w:rPr>
          <w:color w:val="auto"/>
          <w:highlight w:val="none"/>
        </w:rPr>
      </w:pPr>
    </w:p>
    <w:p w14:paraId="7ED4BF6A">
      <w:pPr>
        <w:jc w:val="center"/>
        <w:rPr>
          <w:rFonts w:eastAsia="仿宋_GB2312"/>
          <w:color w:val="auto"/>
          <w:sz w:val="32"/>
          <w:szCs w:val="32"/>
          <w:highlight w:val="none"/>
        </w:rPr>
      </w:pPr>
    </w:p>
    <w:p w14:paraId="42C6A541">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附件三报价清单（格式由</w:t>
      </w:r>
      <w:r>
        <w:rPr>
          <w:rFonts w:hint="eastAsia" w:eastAsia="黑体"/>
          <w:color w:val="auto"/>
          <w:sz w:val="28"/>
          <w:szCs w:val="44"/>
          <w:highlight w:val="none"/>
          <w:lang w:val="en-US" w:eastAsia="zh-CN"/>
        </w:rPr>
        <w:t>响应</w:t>
      </w:r>
      <w:r>
        <w:rPr>
          <w:rFonts w:hint="eastAsia" w:eastAsia="黑体"/>
          <w:color w:val="auto"/>
          <w:sz w:val="28"/>
          <w:szCs w:val="44"/>
          <w:highlight w:val="none"/>
        </w:rPr>
        <w:t>人自拟，需充分考虑技术</w:t>
      </w:r>
      <w:r>
        <w:rPr>
          <w:rFonts w:hint="eastAsia" w:eastAsia="黑体"/>
          <w:color w:val="auto"/>
          <w:sz w:val="28"/>
          <w:szCs w:val="44"/>
          <w:highlight w:val="none"/>
          <w:lang w:val="en-US" w:eastAsia="zh-CN"/>
        </w:rPr>
        <w:t>协议</w:t>
      </w:r>
      <w:r>
        <w:rPr>
          <w:rFonts w:hint="eastAsia" w:eastAsia="黑体"/>
          <w:color w:val="auto"/>
          <w:sz w:val="28"/>
          <w:szCs w:val="44"/>
          <w:highlight w:val="none"/>
        </w:rPr>
        <w:t>要求</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响应人在明细清单中明确应明确备注主要设备锁选用的品牌系列</w:t>
      </w:r>
      <w:r>
        <w:rPr>
          <w:rFonts w:hint="eastAsia" w:eastAsia="黑体"/>
          <w:color w:val="auto"/>
          <w:sz w:val="28"/>
          <w:szCs w:val="44"/>
          <w:highlight w:val="none"/>
        </w:rPr>
        <w:t>）</w:t>
      </w:r>
    </w:p>
    <w:p w14:paraId="43F444F1">
      <w:pPr>
        <w:rPr>
          <w:rFonts w:eastAsia="仿宋_GB2312"/>
          <w:color w:val="auto"/>
          <w:sz w:val="32"/>
          <w:szCs w:val="32"/>
          <w:highlight w:val="none"/>
        </w:rPr>
      </w:pPr>
    </w:p>
    <w:p w14:paraId="2FC97B42">
      <w:pPr>
        <w:pStyle w:val="2"/>
        <w:rPr>
          <w:rFonts w:eastAsia="仿宋_GB2312"/>
          <w:color w:val="auto"/>
          <w:sz w:val="32"/>
          <w:szCs w:val="32"/>
          <w:highlight w:val="none"/>
        </w:rPr>
      </w:pPr>
    </w:p>
    <w:p w14:paraId="7E8F6BDC">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3395A3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206FDB15">
      <w:pPr>
        <w:jc w:val="left"/>
        <w:rPr>
          <w:rFonts w:eastAsia="仿宋_GB2312"/>
          <w:color w:val="auto"/>
          <w:sz w:val="32"/>
          <w:szCs w:val="32"/>
          <w:highlight w:val="none"/>
        </w:rPr>
      </w:pPr>
      <w:r>
        <w:rPr>
          <w:rFonts w:hint="eastAsia" w:eastAsia="仿宋_GB2312"/>
          <w:color w:val="auto"/>
          <w:sz w:val="32"/>
          <w:szCs w:val="32"/>
          <w:highlight w:val="none"/>
        </w:rPr>
        <w:t>联系人：</w:t>
      </w:r>
    </w:p>
    <w:p w14:paraId="3F3D22C3">
      <w:pPr>
        <w:jc w:val="left"/>
        <w:rPr>
          <w:rFonts w:eastAsia="仿宋_GB2312"/>
          <w:color w:val="auto"/>
          <w:sz w:val="32"/>
          <w:szCs w:val="32"/>
          <w:highlight w:val="none"/>
        </w:rPr>
      </w:pPr>
      <w:r>
        <w:rPr>
          <w:rFonts w:hint="eastAsia" w:eastAsia="仿宋_GB2312"/>
          <w:color w:val="auto"/>
          <w:sz w:val="32"/>
          <w:szCs w:val="32"/>
          <w:highlight w:val="none"/>
        </w:rPr>
        <w:t>联系电话：</w:t>
      </w:r>
    </w:p>
    <w:p w14:paraId="74A4AD83">
      <w:pPr>
        <w:jc w:val="left"/>
        <w:rPr>
          <w:rFonts w:eastAsia="仿宋_GB2312"/>
          <w:color w:val="auto"/>
          <w:sz w:val="32"/>
          <w:szCs w:val="32"/>
          <w:highlight w:val="none"/>
        </w:rPr>
      </w:pPr>
      <w:r>
        <w:rPr>
          <w:rFonts w:hint="eastAsia" w:eastAsia="仿宋_GB2312"/>
          <w:color w:val="auto"/>
          <w:sz w:val="32"/>
          <w:szCs w:val="32"/>
          <w:highlight w:val="none"/>
        </w:rPr>
        <w:t>日期：</w:t>
      </w:r>
    </w:p>
    <w:p w14:paraId="041B83EC">
      <w:pPr>
        <w:pStyle w:val="3"/>
        <w:ind w:firstLine="320"/>
        <w:rPr>
          <w:rFonts w:eastAsia="仿宋_GB2312"/>
          <w:color w:val="auto"/>
          <w:sz w:val="32"/>
          <w:szCs w:val="32"/>
          <w:highlight w:val="none"/>
        </w:rPr>
      </w:pPr>
    </w:p>
    <w:p w14:paraId="440CA019">
      <w:pPr>
        <w:pStyle w:val="4"/>
        <w:ind w:firstLine="640"/>
        <w:rPr>
          <w:rFonts w:eastAsia="仿宋_GB2312"/>
          <w:color w:val="auto"/>
          <w:sz w:val="32"/>
          <w:szCs w:val="32"/>
          <w:highlight w:val="none"/>
        </w:rPr>
      </w:pPr>
    </w:p>
    <w:p w14:paraId="2640A830">
      <w:pPr>
        <w:rPr>
          <w:rFonts w:eastAsia="仿宋_GB2312"/>
          <w:color w:val="auto"/>
          <w:sz w:val="32"/>
          <w:szCs w:val="32"/>
          <w:highlight w:val="none"/>
        </w:rPr>
      </w:pPr>
    </w:p>
    <w:p w14:paraId="0D0CDBB1">
      <w:pPr>
        <w:pStyle w:val="2"/>
        <w:rPr>
          <w:rFonts w:eastAsia="仿宋_GB2312"/>
          <w:color w:val="auto"/>
          <w:sz w:val="32"/>
          <w:szCs w:val="32"/>
          <w:highlight w:val="none"/>
        </w:rPr>
      </w:pPr>
    </w:p>
    <w:p w14:paraId="7F712C1C">
      <w:pPr>
        <w:pStyle w:val="3"/>
        <w:ind w:firstLine="320"/>
        <w:rPr>
          <w:rFonts w:eastAsia="仿宋_GB2312"/>
          <w:color w:val="auto"/>
          <w:sz w:val="32"/>
          <w:szCs w:val="32"/>
          <w:highlight w:val="none"/>
        </w:rPr>
      </w:pPr>
    </w:p>
    <w:p w14:paraId="46D469A9">
      <w:pPr>
        <w:pStyle w:val="4"/>
        <w:ind w:firstLine="640"/>
        <w:rPr>
          <w:rFonts w:eastAsia="仿宋_GB2312"/>
          <w:color w:val="auto"/>
          <w:sz w:val="32"/>
          <w:szCs w:val="32"/>
          <w:highlight w:val="none"/>
        </w:rPr>
      </w:pPr>
    </w:p>
    <w:p w14:paraId="39DD830C">
      <w:pPr>
        <w:rPr>
          <w:rFonts w:eastAsia="仿宋_GB2312"/>
          <w:color w:val="auto"/>
          <w:sz w:val="32"/>
          <w:szCs w:val="32"/>
          <w:highlight w:val="none"/>
        </w:rPr>
      </w:pPr>
    </w:p>
    <w:p w14:paraId="27E1D1A1">
      <w:pPr>
        <w:pStyle w:val="2"/>
        <w:rPr>
          <w:rFonts w:eastAsia="仿宋_GB2312"/>
          <w:color w:val="auto"/>
          <w:sz w:val="32"/>
          <w:szCs w:val="32"/>
          <w:highlight w:val="none"/>
        </w:rPr>
      </w:pPr>
    </w:p>
    <w:p w14:paraId="527315D2">
      <w:pPr>
        <w:pStyle w:val="3"/>
        <w:ind w:firstLine="320"/>
        <w:rPr>
          <w:rFonts w:eastAsia="仿宋_GB2312"/>
          <w:color w:val="auto"/>
          <w:sz w:val="32"/>
          <w:szCs w:val="32"/>
          <w:highlight w:val="none"/>
        </w:rPr>
      </w:pPr>
    </w:p>
    <w:p w14:paraId="2671618B">
      <w:pPr>
        <w:pStyle w:val="2"/>
        <w:rPr>
          <w:rFonts w:eastAsia="仿宋_GB2312"/>
          <w:color w:val="auto"/>
          <w:sz w:val="32"/>
          <w:szCs w:val="32"/>
          <w:highlight w:val="none"/>
        </w:rPr>
      </w:pPr>
    </w:p>
    <w:p w14:paraId="1C59B836">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附件四法人证明</w:t>
      </w:r>
    </w:p>
    <w:p w14:paraId="5C6179D3">
      <w:pPr>
        <w:pStyle w:val="45"/>
        <w:ind w:firstLine="0" w:firstLineChars="0"/>
        <w:jc w:val="left"/>
        <w:rPr>
          <w:rFonts w:eastAsia="黑体"/>
          <w:color w:val="auto"/>
          <w:sz w:val="28"/>
          <w:szCs w:val="44"/>
          <w:highlight w:val="none"/>
        </w:rPr>
      </w:pPr>
    </w:p>
    <w:p w14:paraId="04FE0CF3">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6F03B87B">
      <w:pPr>
        <w:rPr>
          <w:rFonts w:eastAsia="仿宋_GB2312"/>
          <w:color w:val="auto"/>
          <w:sz w:val="32"/>
          <w:szCs w:val="32"/>
          <w:highlight w:val="none"/>
        </w:rPr>
      </w:pPr>
    </w:p>
    <w:p w14:paraId="59BFC41C">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73B8C568">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1153AC36">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6C5F478D">
      <w:pPr>
        <w:spacing w:line="600" w:lineRule="exact"/>
        <w:rPr>
          <w:rFonts w:eastAsia="仿宋_GB2312"/>
          <w:color w:val="auto"/>
          <w:sz w:val="32"/>
          <w:szCs w:val="32"/>
          <w:highlight w:val="none"/>
        </w:rPr>
      </w:pPr>
    </w:p>
    <w:p w14:paraId="4EDDD6B9">
      <w:pPr>
        <w:spacing w:line="600" w:lineRule="exact"/>
        <w:rPr>
          <w:rFonts w:eastAsia="仿宋_GB2312"/>
          <w:color w:val="auto"/>
          <w:sz w:val="32"/>
          <w:szCs w:val="32"/>
          <w:highlight w:val="none"/>
        </w:rPr>
      </w:pPr>
    </w:p>
    <w:p w14:paraId="5EEB658A">
      <w:pPr>
        <w:spacing w:line="600" w:lineRule="exact"/>
        <w:rPr>
          <w:rFonts w:eastAsia="仿宋_GB2312"/>
          <w:color w:val="auto"/>
          <w:sz w:val="32"/>
          <w:szCs w:val="32"/>
          <w:highlight w:val="none"/>
        </w:rPr>
      </w:pPr>
    </w:p>
    <w:p w14:paraId="5DCAEECB">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02CC1EC9">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6CD9F176">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370EA342">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6EE01B1">
      <w:pPr>
        <w:widowControl/>
        <w:rPr>
          <w:rFonts w:eastAsia="仿宋_GB2312"/>
          <w:color w:val="auto"/>
          <w:sz w:val="32"/>
          <w:szCs w:val="32"/>
          <w:highlight w:val="none"/>
        </w:rPr>
      </w:pPr>
      <w:bookmarkStart w:id="3" w:name="_Toc384752807"/>
    </w:p>
    <w:p w14:paraId="4D74A951">
      <w:pPr>
        <w:pStyle w:val="2"/>
        <w:rPr>
          <w:rFonts w:eastAsia="仿宋_GB2312"/>
          <w:color w:val="auto"/>
          <w:sz w:val="32"/>
          <w:szCs w:val="32"/>
          <w:highlight w:val="none"/>
        </w:rPr>
      </w:pPr>
    </w:p>
    <w:p w14:paraId="1C5524D7">
      <w:pPr>
        <w:pStyle w:val="3"/>
        <w:ind w:firstLine="320"/>
        <w:rPr>
          <w:rFonts w:eastAsia="仿宋_GB2312"/>
          <w:color w:val="auto"/>
          <w:sz w:val="32"/>
          <w:szCs w:val="32"/>
          <w:highlight w:val="none"/>
        </w:rPr>
      </w:pPr>
    </w:p>
    <w:p w14:paraId="365C3520">
      <w:pPr>
        <w:pStyle w:val="4"/>
        <w:ind w:firstLine="640"/>
        <w:rPr>
          <w:rFonts w:eastAsia="仿宋_GB2312"/>
          <w:color w:val="auto"/>
          <w:sz w:val="32"/>
          <w:szCs w:val="32"/>
          <w:highlight w:val="none"/>
        </w:rPr>
      </w:pPr>
    </w:p>
    <w:p w14:paraId="309F3C8F">
      <w:pPr>
        <w:rPr>
          <w:rFonts w:eastAsia="仿宋_GB2312"/>
          <w:color w:val="auto"/>
          <w:sz w:val="32"/>
          <w:szCs w:val="32"/>
          <w:highlight w:val="none"/>
        </w:rPr>
      </w:pPr>
    </w:p>
    <w:p w14:paraId="4B23E987">
      <w:pPr>
        <w:pStyle w:val="2"/>
        <w:rPr>
          <w:color w:val="auto"/>
          <w:highlight w:val="none"/>
        </w:rPr>
      </w:pPr>
    </w:p>
    <w:p w14:paraId="1E40E9DB">
      <w:pPr>
        <w:pStyle w:val="45"/>
        <w:ind w:firstLine="0" w:firstLineChars="0"/>
        <w:jc w:val="left"/>
        <w:outlineLvl w:val="1"/>
        <w:rPr>
          <w:rFonts w:eastAsia="黑体"/>
          <w:color w:val="auto"/>
          <w:sz w:val="28"/>
          <w:szCs w:val="44"/>
          <w:highlight w:val="none"/>
        </w:rPr>
      </w:pPr>
      <w:bookmarkStart w:id="4" w:name="_Hlk40704362"/>
      <w:r>
        <w:rPr>
          <w:rFonts w:hint="eastAsia" w:eastAsia="黑体"/>
          <w:color w:val="auto"/>
          <w:sz w:val="28"/>
          <w:szCs w:val="44"/>
          <w:highlight w:val="none"/>
        </w:rPr>
        <w:t>附件五法人授权书</w:t>
      </w:r>
    </w:p>
    <w:p w14:paraId="2612372A">
      <w:pPr>
        <w:widowControl/>
        <w:jc w:val="center"/>
        <w:rPr>
          <w:rFonts w:eastAsia="仿宋_GB2312"/>
          <w:b/>
          <w:color w:val="auto"/>
          <w:sz w:val="32"/>
          <w:szCs w:val="32"/>
          <w:highlight w:val="none"/>
        </w:rPr>
      </w:pPr>
    </w:p>
    <w:p w14:paraId="6802862E">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23E66249">
      <w:pPr>
        <w:pStyle w:val="44"/>
        <w:ind w:firstLine="0" w:firstLineChars="0"/>
        <w:rPr>
          <w:rFonts w:ascii="Times New Roman" w:hAnsi="Times New Roman"/>
          <w:color w:val="auto"/>
          <w:sz w:val="32"/>
          <w:szCs w:val="32"/>
          <w:highlight w:val="none"/>
        </w:rPr>
      </w:pPr>
    </w:p>
    <w:p w14:paraId="5C262129">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5E76462E">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eastAsia="zh-CN"/>
        </w:rPr>
        <w:t>阳江开能环保能源有限公司余热发电项目35KV变压器高压配电柜采购及指导安装项目（</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19D8704">
      <w:pPr>
        <w:pStyle w:val="44"/>
        <w:ind w:firstLine="659"/>
        <w:rPr>
          <w:rFonts w:ascii="Times New Roman" w:hAnsi="Times New Roman"/>
          <w:color w:val="auto"/>
          <w:sz w:val="32"/>
          <w:szCs w:val="32"/>
          <w:highlight w:val="none"/>
        </w:rPr>
      </w:pPr>
    </w:p>
    <w:p w14:paraId="73CFDAF6">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1F65946E">
      <w:pPr>
        <w:pStyle w:val="44"/>
        <w:ind w:firstLine="659"/>
        <w:rPr>
          <w:rFonts w:ascii="Times New Roman" w:hAnsi="Times New Roman"/>
          <w:color w:val="auto"/>
          <w:sz w:val="32"/>
          <w:szCs w:val="32"/>
          <w:highlight w:val="none"/>
        </w:rPr>
      </w:pPr>
    </w:p>
    <w:p w14:paraId="753550FB">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5CD2E9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4ACD3DD0">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6211953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3B9210A">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375B94AC">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B3A67E6">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03BD4725">
      <w:pPr>
        <w:pStyle w:val="45"/>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附件六承诺函</w:t>
      </w:r>
    </w:p>
    <w:p w14:paraId="23535E4D">
      <w:pPr>
        <w:pStyle w:val="45"/>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22E2B53">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4F613FC8">
      <w:pPr>
        <w:pStyle w:val="44"/>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lang w:eastAsia="zh-CN"/>
        </w:rPr>
        <w:t>阳江开能环保能源有限公司余热发电项目35KV变压器高压配电柜采购及指导安装项目（</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009BF5E0">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设备</w:t>
      </w:r>
      <w:r>
        <w:rPr>
          <w:color w:val="auto"/>
          <w:sz w:val="32"/>
          <w:szCs w:val="32"/>
          <w:highlight w:val="none"/>
          <w:u w:val="single"/>
        </w:rPr>
        <w:t xml:space="preserve">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610DDCBC">
      <w:pPr>
        <w:pStyle w:val="44"/>
        <w:ind w:firstLine="659"/>
        <w:rPr>
          <w:rFonts w:ascii="Times New Roman" w:hAnsi="Times New Roman"/>
          <w:color w:val="auto"/>
          <w:sz w:val="32"/>
          <w:szCs w:val="32"/>
          <w:highlight w:val="none"/>
        </w:rPr>
      </w:pPr>
    </w:p>
    <w:p w14:paraId="4EE5E1C1">
      <w:pPr>
        <w:pStyle w:val="44"/>
        <w:ind w:firstLine="0" w:firstLineChars="0"/>
        <w:jc w:val="left"/>
        <w:rPr>
          <w:rFonts w:ascii="Times New Roman" w:hAnsi="Times New Roman"/>
          <w:color w:val="auto"/>
          <w:sz w:val="32"/>
          <w:szCs w:val="32"/>
          <w:highlight w:val="none"/>
        </w:rPr>
      </w:pPr>
    </w:p>
    <w:p w14:paraId="3D3D70BC">
      <w:pPr>
        <w:jc w:val="left"/>
        <w:rPr>
          <w:rFonts w:eastAsia="仿宋"/>
          <w:color w:val="auto"/>
          <w:sz w:val="32"/>
          <w:szCs w:val="32"/>
          <w:highlight w:val="none"/>
        </w:rPr>
      </w:pPr>
    </w:p>
    <w:p w14:paraId="627641B9">
      <w:pPr>
        <w:jc w:val="left"/>
        <w:rPr>
          <w:rFonts w:eastAsia="仿宋"/>
          <w:color w:val="auto"/>
          <w:sz w:val="32"/>
          <w:szCs w:val="32"/>
          <w:highlight w:val="none"/>
        </w:rPr>
      </w:pPr>
    </w:p>
    <w:p w14:paraId="34A8AE01">
      <w:pPr>
        <w:jc w:val="left"/>
        <w:rPr>
          <w:rFonts w:eastAsia="仿宋"/>
          <w:color w:val="auto"/>
          <w:sz w:val="32"/>
          <w:szCs w:val="32"/>
          <w:highlight w:val="none"/>
        </w:rPr>
      </w:pPr>
    </w:p>
    <w:p w14:paraId="73934153">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71411AB">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1102833C">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28DE6DBB">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1DFB084">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257E2E9">
      <w:pPr>
        <w:pStyle w:val="44"/>
        <w:ind w:firstLine="0" w:firstLineChars="0"/>
        <w:jc w:val="left"/>
        <w:rPr>
          <w:rFonts w:ascii="Times New Roman" w:hAnsi="Times New Roman"/>
          <w:color w:val="auto"/>
          <w:sz w:val="32"/>
          <w:szCs w:val="32"/>
          <w:highlight w:val="none"/>
        </w:rPr>
      </w:pPr>
    </w:p>
    <w:p w14:paraId="424C919B">
      <w:pPr>
        <w:pStyle w:val="44"/>
        <w:ind w:firstLine="0" w:firstLineChars="0"/>
        <w:jc w:val="left"/>
        <w:rPr>
          <w:rFonts w:ascii="Times New Roman" w:hAnsi="Times New Roman"/>
          <w:color w:val="auto"/>
          <w:sz w:val="32"/>
          <w:szCs w:val="32"/>
          <w:highlight w:val="none"/>
        </w:rPr>
      </w:pPr>
    </w:p>
    <w:p w14:paraId="62C1987A">
      <w:pPr>
        <w:rPr>
          <w:color w:val="auto"/>
          <w:highlight w:val="none"/>
        </w:rPr>
      </w:pPr>
    </w:p>
    <w:p w14:paraId="1373EE8A">
      <w:pPr>
        <w:widowControl/>
        <w:jc w:val="left"/>
        <w:rPr>
          <w:rFonts w:eastAsia="黑体"/>
          <w:color w:val="auto"/>
          <w:sz w:val="28"/>
          <w:szCs w:val="44"/>
          <w:highlight w:val="none"/>
        </w:rPr>
      </w:pPr>
    </w:p>
    <w:p w14:paraId="2BA64B41">
      <w:pPr>
        <w:widowControl/>
        <w:jc w:val="left"/>
        <w:rPr>
          <w:rFonts w:eastAsia="黑体"/>
          <w:color w:val="auto"/>
          <w:sz w:val="28"/>
          <w:szCs w:val="44"/>
          <w:highlight w:val="none"/>
        </w:rPr>
      </w:pPr>
    </w:p>
    <w:p w14:paraId="46DC0EC9">
      <w:pPr>
        <w:pStyle w:val="45"/>
        <w:ind w:firstLine="0" w:firstLineChars="0"/>
        <w:jc w:val="left"/>
        <w:outlineLvl w:val="1"/>
        <w:rPr>
          <w:rFonts w:hint="default" w:eastAsia="黑体" w:asciiTheme="majorEastAsia" w:hAnsiTheme="majorEastAsia" w:cstheme="majorEastAsia"/>
          <w:b/>
          <w:color w:val="auto"/>
          <w:sz w:val="72"/>
          <w:szCs w:val="72"/>
          <w:highlight w:val="none"/>
          <w:lang w:val="en-US" w:eastAsia="zh-CN"/>
        </w:rPr>
      </w:pPr>
      <w:bookmarkStart w:id="5" w:name="_Hlk40704598"/>
      <w:r>
        <w:rPr>
          <w:rFonts w:hint="eastAsia" w:eastAsia="黑体"/>
          <w:color w:val="auto"/>
          <w:sz w:val="28"/>
          <w:szCs w:val="44"/>
          <w:highlight w:val="none"/>
        </w:rPr>
        <w:t xml:space="preserve">附件七 </w:t>
      </w:r>
      <w:bookmarkStart w:id="6" w:name="_Hlk132130330"/>
      <w:r>
        <w:rPr>
          <w:rFonts w:hint="eastAsia" w:eastAsia="黑体"/>
          <w:color w:val="auto"/>
          <w:sz w:val="28"/>
          <w:szCs w:val="44"/>
          <w:highlight w:val="none"/>
          <w:lang w:val="en-US" w:eastAsia="zh-CN"/>
        </w:rPr>
        <w:t>技术规范书</w:t>
      </w:r>
    </w:p>
    <w:bookmarkEnd w:id="2"/>
    <w:bookmarkEnd w:id="5"/>
    <w:bookmarkEnd w:id="6"/>
    <w:p w14:paraId="02ED1323">
      <w:pPr>
        <w:spacing w:before="300" w:line="360" w:lineRule="auto"/>
        <w:jc w:val="center"/>
        <w:rPr>
          <w:rFonts w:hint="eastAsia"/>
          <w:color w:val="auto"/>
          <w:sz w:val="32"/>
          <w:szCs w:val="32"/>
          <w:highlight w:val="none"/>
          <w:lang w:val="en-US" w:eastAsia="zh-CN"/>
        </w:rPr>
      </w:pPr>
      <w:bookmarkStart w:id="7" w:name="_Toc15627_WPSOffice_Level1"/>
      <w:r>
        <w:rPr>
          <w:rFonts w:hint="eastAsia"/>
          <w:color w:val="auto"/>
          <w:sz w:val="32"/>
          <w:szCs w:val="32"/>
          <w:highlight w:val="none"/>
          <w:lang w:val="en-US" w:eastAsia="zh-CN"/>
        </w:rPr>
        <w:t>阳江开能环保能源有限公司余热发电项目35KV变压器高压配电柜采购及指导安装项目</w:t>
      </w:r>
    </w:p>
    <w:p w14:paraId="695702A8">
      <w:pPr>
        <w:spacing w:before="300" w:line="200" w:lineRule="exact"/>
        <w:jc w:val="center"/>
        <w:rPr>
          <w:rFonts w:hint="eastAsia"/>
          <w:color w:val="auto"/>
          <w:sz w:val="32"/>
          <w:szCs w:val="32"/>
          <w:highlight w:val="none"/>
        </w:rPr>
      </w:pPr>
    </w:p>
    <w:p w14:paraId="5DB1947A">
      <w:pPr>
        <w:rPr>
          <w:rFonts w:hint="eastAsia" w:ascii="宋体" w:hAnsi="宋体"/>
          <w:bCs/>
          <w:color w:val="auto"/>
          <w:sz w:val="48"/>
          <w:szCs w:val="48"/>
          <w:highlight w:val="none"/>
          <w:lang w:val="en-US" w:eastAsia="zh-CN"/>
        </w:rPr>
      </w:pPr>
    </w:p>
    <w:p w14:paraId="72F8C1F1">
      <w:pPr>
        <w:pStyle w:val="2"/>
        <w:rPr>
          <w:rFonts w:hint="eastAsia"/>
          <w:color w:val="auto"/>
          <w:highlight w:val="none"/>
          <w:lang w:val="en-US" w:eastAsia="zh-CN"/>
        </w:rPr>
      </w:pPr>
    </w:p>
    <w:p w14:paraId="2FF9A095">
      <w:pPr>
        <w:ind w:firstLine="4080" w:firstLineChars="850"/>
        <w:rPr>
          <w:rFonts w:hint="eastAsia" w:ascii="宋体" w:hAnsi="宋体"/>
          <w:bCs/>
          <w:color w:val="auto"/>
          <w:sz w:val="48"/>
          <w:szCs w:val="48"/>
          <w:highlight w:val="none"/>
          <w:lang w:val="en-US" w:eastAsia="zh-CN"/>
        </w:rPr>
      </w:pPr>
      <w:r>
        <w:rPr>
          <w:rFonts w:hint="eastAsia" w:ascii="宋体" w:hAnsi="宋体"/>
          <w:bCs/>
          <w:color w:val="auto"/>
          <w:sz w:val="48"/>
          <w:szCs w:val="48"/>
          <w:highlight w:val="none"/>
          <w:lang w:val="en-US" w:eastAsia="zh-CN"/>
        </w:rPr>
        <w:t>技</w:t>
      </w:r>
    </w:p>
    <w:p w14:paraId="26E743DF">
      <w:pPr>
        <w:ind w:firstLine="3600" w:firstLineChars="750"/>
        <w:rPr>
          <w:rFonts w:hint="eastAsia" w:ascii="宋体" w:hAnsi="宋体"/>
          <w:bCs/>
          <w:color w:val="auto"/>
          <w:sz w:val="48"/>
          <w:szCs w:val="48"/>
          <w:highlight w:val="none"/>
          <w:lang w:val="en-US" w:eastAsia="zh-CN"/>
        </w:rPr>
      </w:pPr>
    </w:p>
    <w:p w14:paraId="2A9A0D91">
      <w:pPr>
        <w:ind w:firstLine="4080" w:firstLineChars="850"/>
        <w:rPr>
          <w:rFonts w:hint="eastAsia" w:ascii="宋体" w:hAnsi="宋体"/>
          <w:bCs/>
          <w:color w:val="auto"/>
          <w:sz w:val="48"/>
          <w:szCs w:val="48"/>
          <w:highlight w:val="none"/>
          <w:lang w:val="en-US" w:eastAsia="zh-CN"/>
        </w:rPr>
      </w:pPr>
      <w:r>
        <w:rPr>
          <w:rFonts w:hint="eastAsia" w:ascii="宋体" w:hAnsi="宋体"/>
          <w:bCs/>
          <w:color w:val="auto"/>
          <w:sz w:val="48"/>
          <w:szCs w:val="48"/>
          <w:highlight w:val="none"/>
          <w:lang w:val="en-US" w:eastAsia="zh-CN"/>
        </w:rPr>
        <w:t>术</w:t>
      </w:r>
    </w:p>
    <w:p w14:paraId="5D54C78C">
      <w:pPr>
        <w:ind w:firstLine="3600" w:firstLineChars="750"/>
        <w:rPr>
          <w:rFonts w:hint="eastAsia" w:ascii="宋体" w:hAnsi="宋体"/>
          <w:bCs/>
          <w:color w:val="auto"/>
          <w:sz w:val="48"/>
          <w:szCs w:val="48"/>
          <w:highlight w:val="none"/>
          <w:lang w:val="en-US" w:eastAsia="zh-CN"/>
        </w:rPr>
      </w:pPr>
    </w:p>
    <w:p w14:paraId="22D9AC53">
      <w:pPr>
        <w:ind w:firstLine="4080" w:firstLineChars="850"/>
        <w:rPr>
          <w:rFonts w:hint="eastAsia" w:ascii="宋体" w:hAnsi="宋体"/>
          <w:bCs/>
          <w:color w:val="auto"/>
          <w:sz w:val="48"/>
          <w:szCs w:val="48"/>
          <w:highlight w:val="none"/>
          <w:lang w:val="en-US" w:eastAsia="zh-CN"/>
        </w:rPr>
      </w:pPr>
      <w:r>
        <w:rPr>
          <w:rFonts w:hint="eastAsia" w:ascii="宋体" w:hAnsi="宋体"/>
          <w:bCs/>
          <w:color w:val="auto"/>
          <w:sz w:val="48"/>
          <w:szCs w:val="48"/>
          <w:highlight w:val="none"/>
          <w:lang w:val="en-US" w:eastAsia="zh-CN"/>
        </w:rPr>
        <w:t>协</w:t>
      </w:r>
    </w:p>
    <w:p w14:paraId="6D3C9F73">
      <w:pPr>
        <w:ind w:firstLine="3600" w:firstLineChars="750"/>
        <w:rPr>
          <w:rFonts w:hint="eastAsia" w:ascii="宋体" w:hAnsi="宋体"/>
          <w:bCs/>
          <w:color w:val="auto"/>
          <w:sz w:val="48"/>
          <w:szCs w:val="48"/>
          <w:highlight w:val="none"/>
          <w:lang w:val="en-US" w:eastAsia="zh-CN"/>
        </w:rPr>
      </w:pPr>
    </w:p>
    <w:p w14:paraId="477D61D3">
      <w:pPr>
        <w:ind w:firstLine="4080" w:firstLineChars="850"/>
        <w:rPr>
          <w:rFonts w:hint="default" w:ascii="宋体" w:hAnsi="宋体" w:eastAsia="宋体"/>
          <w:bCs/>
          <w:color w:val="auto"/>
          <w:sz w:val="48"/>
          <w:szCs w:val="48"/>
          <w:highlight w:val="none"/>
          <w:lang w:val="en-US" w:eastAsia="zh-CN"/>
        </w:rPr>
      </w:pPr>
      <w:r>
        <w:rPr>
          <w:rFonts w:hint="eastAsia" w:ascii="宋体" w:hAnsi="宋体"/>
          <w:bCs/>
          <w:color w:val="auto"/>
          <w:sz w:val="48"/>
          <w:szCs w:val="48"/>
          <w:highlight w:val="none"/>
          <w:lang w:val="en-US" w:eastAsia="zh-CN"/>
        </w:rPr>
        <w:t>议</w:t>
      </w:r>
    </w:p>
    <w:p w14:paraId="20CE1F1D">
      <w:pPr>
        <w:ind w:firstLine="3300" w:firstLineChars="750"/>
        <w:rPr>
          <w:rFonts w:hint="eastAsia" w:ascii="宋体" w:hAnsi="宋体"/>
          <w:bCs/>
          <w:color w:val="auto"/>
          <w:sz w:val="44"/>
          <w:szCs w:val="44"/>
          <w:highlight w:val="none"/>
        </w:rPr>
      </w:pPr>
      <w:r>
        <w:rPr>
          <w:rFonts w:hint="eastAsia" w:ascii="宋体" w:hAnsi="宋体"/>
          <w:bCs/>
          <w:color w:val="auto"/>
          <w:sz w:val="44"/>
          <w:szCs w:val="44"/>
          <w:highlight w:val="none"/>
        </w:rPr>
        <w:t xml:space="preserve"> </w:t>
      </w:r>
    </w:p>
    <w:p w14:paraId="0239BE8B">
      <w:pPr>
        <w:ind w:firstLine="3300" w:firstLineChars="750"/>
        <w:rPr>
          <w:rFonts w:hint="eastAsia" w:ascii="宋体" w:hAnsi="宋体"/>
          <w:bCs/>
          <w:color w:val="auto"/>
          <w:sz w:val="44"/>
          <w:szCs w:val="44"/>
          <w:highlight w:val="none"/>
        </w:rPr>
      </w:pPr>
    </w:p>
    <w:p w14:paraId="291AD9E4">
      <w:pPr>
        <w:pStyle w:val="2"/>
        <w:rPr>
          <w:rFonts w:hint="eastAsia" w:ascii="宋体" w:hAnsi="宋体"/>
          <w:bCs/>
          <w:color w:val="auto"/>
          <w:sz w:val="44"/>
          <w:szCs w:val="44"/>
          <w:highlight w:val="none"/>
        </w:rPr>
      </w:pPr>
    </w:p>
    <w:p w14:paraId="30879FEF">
      <w:pPr>
        <w:pStyle w:val="3"/>
        <w:rPr>
          <w:rFonts w:hint="eastAsia"/>
          <w:color w:val="auto"/>
          <w:highlight w:val="none"/>
        </w:rPr>
      </w:pPr>
    </w:p>
    <w:p w14:paraId="7B4170B6">
      <w:pPr>
        <w:spacing w:line="360" w:lineRule="auto"/>
        <w:ind w:left="2969" w:leftChars="1414" w:firstLine="180" w:firstLineChars="50"/>
        <w:jc w:val="both"/>
        <w:rPr>
          <w:rFonts w:hint="eastAsia" w:ascii="宋体" w:hAnsi="宋体"/>
          <w:bCs/>
          <w:color w:val="auto"/>
          <w:sz w:val="36"/>
          <w:szCs w:val="36"/>
          <w:highlight w:val="none"/>
        </w:rPr>
      </w:pPr>
      <w:r>
        <w:rPr>
          <w:rFonts w:hint="eastAsia" w:ascii="宋体" w:hAnsi="宋体"/>
          <w:bCs/>
          <w:color w:val="auto"/>
          <w:sz w:val="36"/>
          <w:szCs w:val="36"/>
          <w:highlight w:val="none"/>
        </w:rPr>
        <w:t>二○二</w:t>
      </w:r>
      <w:r>
        <w:rPr>
          <w:rFonts w:hint="eastAsia" w:ascii="宋体" w:hAnsi="宋体"/>
          <w:bCs/>
          <w:color w:val="auto"/>
          <w:sz w:val="36"/>
          <w:szCs w:val="36"/>
          <w:highlight w:val="none"/>
          <w:lang w:val="en-US" w:eastAsia="zh-CN"/>
        </w:rPr>
        <w:t>五</w:t>
      </w:r>
      <w:r>
        <w:rPr>
          <w:rFonts w:hint="eastAsia" w:ascii="宋体" w:hAnsi="宋体"/>
          <w:bCs/>
          <w:color w:val="auto"/>
          <w:sz w:val="36"/>
          <w:szCs w:val="36"/>
          <w:highlight w:val="none"/>
        </w:rPr>
        <w:t>年</w:t>
      </w:r>
      <w:r>
        <w:rPr>
          <w:rFonts w:hint="eastAsia" w:ascii="宋体" w:hAnsi="宋体"/>
          <w:bCs/>
          <w:color w:val="auto"/>
          <w:sz w:val="36"/>
          <w:szCs w:val="36"/>
          <w:highlight w:val="none"/>
          <w:lang w:val="en-US" w:eastAsia="zh-CN"/>
        </w:rPr>
        <w:t>十一</w:t>
      </w:r>
      <w:r>
        <w:rPr>
          <w:rFonts w:hint="eastAsia" w:ascii="宋体" w:hAnsi="宋体"/>
          <w:bCs/>
          <w:color w:val="auto"/>
          <w:sz w:val="36"/>
          <w:szCs w:val="36"/>
          <w:highlight w:val="none"/>
        </w:rPr>
        <w:t>月</w:t>
      </w:r>
    </w:p>
    <w:p w14:paraId="75FEF677">
      <w:pPr>
        <w:numPr>
          <w:ilvl w:val="0"/>
          <w:numId w:val="0"/>
        </w:numPr>
        <w:ind w:leftChars="0"/>
        <w:rPr>
          <w:rFonts w:hint="default"/>
          <w:color w:val="auto"/>
          <w:sz w:val="24"/>
          <w:szCs w:val="24"/>
          <w:highlight w:val="none"/>
          <w:lang w:val="en-US" w:eastAsia="zh-CN"/>
        </w:rPr>
      </w:pPr>
    </w:p>
    <w:p w14:paraId="12D8DFF2">
      <w:pPr>
        <w:numPr>
          <w:ilvl w:val="0"/>
          <w:numId w:val="0"/>
        </w:numPr>
        <w:ind w:leftChars="0"/>
        <w:rPr>
          <w:rFonts w:hint="default"/>
          <w:color w:val="auto"/>
          <w:sz w:val="24"/>
          <w:szCs w:val="24"/>
          <w:highlight w:val="none"/>
          <w:lang w:val="en-US" w:eastAsia="zh-CN"/>
        </w:rPr>
      </w:pPr>
    </w:p>
    <w:p w14:paraId="77FC7667">
      <w:pPr>
        <w:pStyle w:val="2"/>
        <w:rPr>
          <w:rFonts w:hint="default"/>
          <w:color w:val="auto"/>
          <w:sz w:val="24"/>
          <w:szCs w:val="24"/>
          <w:highlight w:val="none"/>
          <w:lang w:val="en-US" w:eastAsia="zh-CN"/>
        </w:rPr>
      </w:pPr>
    </w:p>
    <w:p w14:paraId="3FEBE97E">
      <w:pPr>
        <w:pStyle w:val="3"/>
        <w:rPr>
          <w:rFonts w:hint="default"/>
          <w:color w:val="auto"/>
          <w:sz w:val="24"/>
          <w:szCs w:val="24"/>
          <w:highlight w:val="none"/>
          <w:lang w:val="en-US" w:eastAsia="zh-CN"/>
        </w:rPr>
      </w:pPr>
    </w:p>
    <w:p w14:paraId="1E133A2E">
      <w:pPr>
        <w:pStyle w:val="4"/>
        <w:rPr>
          <w:rFonts w:hint="default"/>
          <w:color w:val="auto"/>
          <w:sz w:val="24"/>
          <w:szCs w:val="24"/>
          <w:highlight w:val="none"/>
          <w:lang w:val="en-US" w:eastAsia="zh-CN"/>
        </w:rPr>
      </w:pPr>
    </w:p>
    <w:p w14:paraId="041EFA89">
      <w:pPr>
        <w:rPr>
          <w:rFonts w:hint="default"/>
          <w:color w:val="auto"/>
          <w:highlight w:val="none"/>
          <w:lang w:val="en-US" w:eastAsia="zh-CN"/>
        </w:rPr>
      </w:pPr>
    </w:p>
    <w:p w14:paraId="7CBEA24B">
      <w:pPr>
        <w:pStyle w:val="6"/>
        <w:numPr>
          <w:ilvl w:val="0"/>
          <w:numId w:val="0"/>
        </w:numPr>
        <w:bidi w:val="0"/>
        <w:rPr>
          <w:rFonts w:hint="eastAsia"/>
          <w:color w:val="auto"/>
          <w:sz w:val="28"/>
          <w:szCs w:val="28"/>
          <w:highlight w:val="none"/>
          <w:lang w:val="en-US" w:eastAsia="zh-CN"/>
        </w:rPr>
      </w:pPr>
      <w:r>
        <w:rPr>
          <w:rFonts w:hint="eastAsia"/>
          <w:color w:val="auto"/>
          <w:sz w:val="28"/>
          <w:szCs w:val="28"/>
          <w:highlight w:val="none"/>
          <w:lang w:val="en-US" w:eastAsia="zh-CN"/>
        </w:rPr>
        <w:t>一、</w:t>
      </w:r>
      <w:r>
        <w:rPr>
          <w:rFonts w:hint="eastAsia"/>
          <w:b/>
          <w:bCs w:val="0"/>
          <w:color w:val="auto"/>
          <w:sz w:val="28"/>
          <w:szCs w:val="28"/>
          <w:highlight w:val="none"/>
        </w:rPr>
        <w:t>总体参</w:t>
      </w:r>
      <w:r>
        <w:rPr>
          <w:rFonts w:hint="eastAsia"/>
          <w:b/>
          <w:bCs w:val="0"/>
          <w:color w:val="auto"/>
          <w:sz w:val="28"/>
          <w:szCs w:val="28"/>
          <w:highlight w:val="none"/>
          <w:lang w:val="en-US" w:eastAsia="zh-CN"/>
        </w:rPr>
        <w:t>数</w:t>
      </w:r>
    </w:p>
    <w:p w14:paraId="2848C047">
      <w:pPr>
        <w:rPr>
          <w:rFonts w:hint="eastAsia"/>
          <w:color w:val="auto"/>
          <w:sz w:val="24"/>
          <w:szCs w:val="24"/>
          <w:highlight w:val="none"/>
        </w:rPr>
      </w:pPr>
      <w:r>
        <w:rPr>
          <w:rFonts w:hint="eastAsia"/>
          <w:color w:val="auto"/>
          <w:sz w:val="24"/>
          <w:szCs w:val="24"/>
          <w:highlight w:val="none"/>
        </w:rPr>
        <w:t>系统电压：35kV（变压器高压侧）</w:t>
      </w:r>
    </w:p>
    <w:p w14:paraId="6A43141C">
      <w:pPr>
        <w:rPr>
          <w:rFonts w:hint="eastAsia"/>
          <w:color w:val="auto"/>
          <w:sz w:val="24"/>
          <w:szCs w:val="24"/>
          <w:highlight w:val="none"/>
        </w:rPr>
      </w:pPr>
      <w:r>
        <w:rPr>
          <w:rFonts w:hint="eastAsia"/>
          <w:color w:val="auto"/>
          <w:sz w:val="24"/>
          <w:szCs w:val="24"/>
          <w:highlight w:val="none"/>
        </w:rPr>
        <w:t>变压器容量：20000kVA</w:t>
      </w:r>
    </w:p>
    <w:p w14:paraId="0A801936">
      <w:pPr>
        <w:rPr>
          <w:rFonts w:hint="eastAsia"/>
          <w:color w:val="auto"/>
          <w:sz w:val="24"/>
          <w:szCs w:val="24"/>
          <w:highlight w:val="none"/>
          <w:lang w:eastAsia="zh-CN"/>
        </w:rPr>
      </w:pPr>
      <w:r>
        <w:rPr>
          <w:rFonts w:hint="eastAsia"/>
          <w:color w:val="auto"/>
          <w:sz w:val="24"/>
          <w:szCs w:val="24"/>
          <w:highlight w:val="none"/>
        </w:rPr>
        <w:t>额定电流</w:t>
      </w:r>
      <w:r>
        <w:rPr>
          <w:rFonts w:hint="eastAsia"/>
          <w:color w:val="auto"/>
          <w:sz w:val="24"/>
          <w:szCs w:val="24"/>
          <w:highlight w:val="none"/>
          <w:lang w:eastAsia="zh-CN"/>
        </w:rPr>
        <w:t>：</w:t>
      </w:r>
      <w:r>
        <w:rPr>
          <w:rFonts w:hint="eastAsia"/>
          <w:color w:val="auto"/>
          <w:sz w:val="24"/>
          <w:szCs w:val="24"/>
          <w:highlight w:val="none"/>
          <w:lang w:val="en-US" w:eastAsia="zh-CN"/>
        </w:rPr>
        <w:t>330A</w:t>
      </w:r>
      <w:r>
        <w:rPr>
          <w:rFonts w:hint="eastAsia"/>
          <w:color w:val="auto"/>
          <w:sz w:val="24"/>
          <w:szCs w:val="24"/>
          <w:highlight w:val="none"/>
        </w:rPr>
        <w:t>（实际选型需考虑1.2-1.3倍过载能力，630A断路器满足要求</w:t>
      </w:r>
      <w:r>
        <w:rPr>
          <w:rFonts w:hint="eastAsia"/>
          <w:color w:val="auto"/>
          <w:sz w:val="24"/>
          <w:szCs w:val="24"/>
          <w:highlight w:val="none"/>
          <w:lang w:eastAsia="zh-CN"/>
        </w:rPr>
        <w:t>，</w:t>
      </w:r>
      <w:r>
        <w:rPr>
          <w:rFonts w:hint="eastAsia"/>
          <w:color w:val="auto"/>
          <w:sz w:val="24"/>
          <w:szCs w:val="24"/>
          <w:highlight w:val="none"/>
          <w:lang w:val="en-US" w:eastAsia="zh-CN"/>
        </w:rPr>
        <w:t>考虑到后续增容，断路器额定电流选择1250A容量</w:t>
      </w:r>
      <w:r>
        <w:rPr>
          <w:rFonts w:hint="eastAsia"/>
          <w:color w:val="auto"/>
          <w:sz w:val="24"/>
          <w:szCs w:val="24"/>
          <w:highlight w:val="none"/>
        </w:rPr>
        <w:t>）</w:t>
      </w:r>
      <w:r>
        <w:rPr>
          <w:rFonts w:hint="eastAsia"/>
          <w:color w:val="auto"/>
          <w:sz w:val="24"/>
          <w:szCs w:val="24"/>
          <w:highlight w:val="none"/>
          <w:lang w:eastAsia="zh-CN"/>
        </w:rPr>
        <w:t>。</w:t>
      </w:r>
    </w:p>
    <w:p w14:paraId="4FA1ACA2">
      <w:pPr>
        <w:pStyle w:val="2"/>
        <w:rPr>
          <w:rFonts w:hint="eastAsia"/>
          <w:color w:val="auto"/>
          <w:sz w:val="24"/>
          <w:szCs w:val="24"/>
          <w:highlight w:val="none"/>
          <w:lang w:eastAsia="zh-CN"/>
        </w:rPr>
      </w:pPr>
    </w:p>
    <w:p w14:paraId="287BE60B">
      <w:pPr>
        <w:pStyle w:val="3"/>
        <w:rPr>
          <w:rFonts w:hint="eastAsia"/>
          <w:color w:val="auto"/>
          <w:highlight w:val="none"/>
        </w:rPr>
      </w:pPr>
    </w:p>
    <w:p w14:paraId="463AD013">
      <w:pPr>
        <w:numPr>
          <w:ilvl w:val="0"/>
          <w:numId w:val="4"/>
        </w:numPr>
        <w:rPr>
          <w:rFonts w:hint="eastAsia"/>
          <w:b/>
          <w:bCs/>
          <w:color w:val="auto"/>
          <w:sz w:val="28"/>
          <w:szCs w:val="28"/>
          <w:highlight w:val="none"/>
        </w:rPr>
      </w:pPr>
      <w:r>
        <w:rPr>
          <w:rFonts w:hint="eastAsia"/>
          <w:b/>
          <w:bCs/>
          <w:color w:val="auto"/>
          <w:sz w:val="28"/>
          <w:szCs w:val="28"/>
          <w:highlight w:val="none"/>
          <w:lang w:val="en-US" w:eastAsia="zh-CN"/>
        </w:rPr>
        <w:t>AH3变压器</w:t>
      </w:r>
      <w:r>
        <w:rPr>
          <w:rFonts w:hint="eastAsia"/>
          <w:b/>
          <w:bCs/>
          <w:color w:val="auto"/>
          <w:sz w:val="28"/>
          <w:szCs w:val="28"/>
          <w:highlight w:val="none"/>
        </w:rPr>
        <w:t>高压柜选型（KYN61-40.5型</w:t>
      </w:r>
      <w:r>
        <w:rPr>
          <w:rFonts w:hint="eastAsia"/>
          <w:b/>
          <w:bCs/>
          <w:color w:val="auto"/>
          <w:sz w:val="28"/>
          <w:szCs w:val="28"/>
          <w:highlight w:val="none"/>
          <w:lang w:val="en-US" w:eastAsia="zh-CN"/>
        </w:rPr>
        <w:t>AH3变压器</w:t>
      </w:r>
      <w:r>
        <w:rPr>
          <w:rFonts w:hint="eastAsia"/>
          <w:b/>
          <w:bCs/>
          <w:color w:val="auto"/>
          <w:sz w:val="28"/>
          <w:szCs w:val="28"/>
          <w:highlight w:val="none"/>
        </w:rPr>
        <w:t>柜）</w:t>
      </w:r>
    </w:p>
    <w:p w14:paraId="2D4815EB">
      <w:pPr>
        <w:pStyle w:val="2"/>
        <w:numPr>
          <w:ilvl w:val="0"/>
          <w:numId w:val="0"/>
        </w:numPr>
        <w:rPr>
          <w:rFonts w:hint="eastAsia"/>
          <w:color w:val="auto"/>
          <w:highlight w:val="none"/>
        </w:rPr>
      </w:pPr>
    </w:p>
    <w:tbl>
      <w:tblPr>
        <w:tblStyle w:val="25"/>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0" w:type="dxa"/>
          <w:left w:w="128" w:type="dxa"/>
          <w:bottom w:w="80" w:type="dxa"/>
          <w:right w:w="128" w:type="dxa"/>
        </w:tblCellMar>
      </w:tblPr>
      <w:tblGrid>
        <w:gridCol w:w="1015"/>
        <w:gridCol w:w="4549"/>
        <w:gridCol w:w="3553"/>
      </w:tblGrid>
      <w:tr w14:paraId="36CFE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653" w:hRule="atLeast"/>
          <w:tblHeader/>
          <w:jc w:val="center"/>
        </w:trPr>
        <w:tc>
          <w:tcPr>
            <w:tcW w:w="1015" w:type="dxa"/>
            <w:vAlign w:val="center"/>
          </w:tcPr>
          <w:p w14:paraId="6B86E337">
            <w:pPr>
              <w:rPr>
                <w:rFonts w:hint="eastAsia"/>
                <w:color w:val="auto"/>
                <w:highlight w:val="none"/>
                <w:lang w:eastAsia="zh-CN"/>
              </w:rPr>
            </w:pPr>
            <w:r>
              <w:rPr>
                <w:rFonts w:hint="eastAsia"/>
                <w:color w:val="auto"/>
                <w:highlight w:val="none"/>
                <w:lang w:eastAsia="zh-CN"/>
              </w:rPr>
              <w:t>组件</w:t>
            </w:r>
          </w:p>
        </w:tc>
        <w:tc>
          <w:tcPr>
            <w:tcW w:w="4549" w:type="dxa"/>
            <w:vAlign w:val="center"/>
          </w:tcPr>
          <w:p w14:paraId="65995E74">
            <w:pPr>
              <w:rPr>
                <w:rFonts w:hint="eastAsia"/>
                <w:color w:val="auto"/>
                <w:highlight w:val="none"/>
                <w:lang w:eastAsia="zh-CN"/>
              </w:rPr>
            </w:pPr>
            <w:r>
              <w:rPr>
                <w:rFonts w:hint="eastAsia"/>
                <w:color w:val="auto"/>
                <w:highlight w:val="none"/>
                <w:lang w:eastAsia="zh-CN"/>
              </w:rPr>
              <w:t>选型参数</w:t>
            </w:r>
          </w:p>
        </w:tc>
        <w:tc>
          <w:tcPr>
            <w:tcW w:w="3553" w:type="dxa"/>
            <w:vAlign w:val="center"/>
          </w:tcPr>
          <w:p w14:paraId="3CDFBB38">
            <w:pPr>
              <w:rPr>
                <w:rFonts w:hint="eastAsia"/>
                <w:color w:val="auto"/>
                <w:highlight w:val="none"/>
                <w:lang w:eastAsia="zh-CN"/>
              </w:rPr>
            </w:pPr>
            <w:r>
              <w:rPr>
                <w:rFonts w:hint="eastAsia"/>
                <w:color w:val="auto"/>
                <w:highlight w:val="none"/>
                <w:lang w:eastAsia="zh-CN"/>
              </w:rPr>
              <w:t>备注</w:t>
            </w:r>
          </w:p>
        </w:tc>
      </w:tr>
      <w:tr w14:paraId="37F63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2078" w:hRule="atLeast"/>
          <w:jc w:val="center"/>
        </w:trPr>
        <w:tc>
          <w:tcPr>
            <w:tcW w:w="1015" w:type="dxa"/>
            <w:vAlign w:val="center"/>
          </w:tcPr>
          <w:p w14:paraId="66E3C248">
            <w:pPr>
              <w:rPr>
                <w:rFonts w:hint="eastAsia"/>
                <w:color w:val="auto"/>
                <w:highlight w:val="none"/>
                <w:lang w:eastAsia="zh-CN"/>
              </w:rPr>
            </w:pPr>
            <w:r>
              <w:rPr>
                <w:rFonts w:hint="eastAsia"/>
                <w:color w:val="auto"/>
                <w:highlight w:val="none"/>
              </w:rPr>
              <w:t>断路器</w:t>
            </w:r>
          </w:p>
        </w:tc>
        <w:tc>
          <w:tcPr>
            <w:tcW w:w="4549" w:type="dxa"/>
            <w:vAlign w:val="center"/>
          </w:tcPr>
          <w:p w14:paraId="72D0C243">
            <w:pPr>
              <w:rPr>
                <w:rFonts w:hint="eastAsia"/>
                <w:color w:val="auto"/>
                <w:highlight w:val="none"/>
              </w:rPr>
            </w:pPr>
            <w:r>
              <w:rPr>
                <w:rFonts w:hint="eastAsia"/>
                <w:color w:val="auto"/>
                <w:highlight w:val="none"/>
              </w:rPr>
              <w:t>型号：VD4-40.5/</w:t>
            </w:r>
            <w:r>
              <w:rPr>
                <w:rFonts w:hint="eastAsia"/>
                <w:color w:val="auto"/>
                <w:highlight w:val="none"/>
                <w:lang w:val="en-US" w:eastAsia="zh-CN"/>
              </w:rPr>
              <w:t>125</w:t>
            </w:r>
            <w:r>
              <w:rPr>
                <w:rFonts w:hint="eastAsia"/>
                <w:color w:val="auto"/>
                <w:highlight w:val="none"/>
              </w:rPr>
              <w:t>0A-31.5kA（ABB）或同类</w:t>
            </w:r>
          </w:p>
          <w:p w14:paraId="3AD6B00F">
            <w:pPr>
              <w:rPr>
                <w:rFonts w:hint="eastAsia"/>
                <w:color w:val="auto"/>
                <w:highlight w:val="none"/>
              </w:rPr>
            </w:pPr>
            <w:r>
              <w:rPr>
                <w:rFonts w:hint="eastAsia"/>
                <w:color w:val="auto"/>
                <w:highlight w:val="none"/>
              </w:rPr>
              <w:t>额定电流：</w:t>
            </w:r>
            <w:r>
              <w:rPr>
                <w:rFonts w:hint="eastAsia"/>
                <w:color w:val="auto"/>
                <w:highlight w:val="none"/>
                <w:lang w:val="en-US" w:eastAsia="zh-CN"/>
              </w:rPr>
              <w:t>125</w:t>
            </w:r>
            <w:r>
              <w:rPr>
                <w:rFonts w:hint="eastAsia"/>
                <w:color w:val="auto"/>
                <w:highlight w:val="none"/>
              </w:rPr>
              <w:t>0A</w:t>
            </w:r>
          </w:p>
          <w:p w14:paraId="0947C63C">
            <w:pPr>
              <w:rPr>
                <w:color w:val="auto"/>
                <w:highlight w:val="none"/>
              </w:rPr>
            </w:pPr>
            <w:r>
              <w:rPr>
                <w:rFonts w:hint="eastAsia"/>
                <w:color w:val="auto"/>
                <w:highlight w:val="none"/>
              </w:rPr>
              <w:t>开断能力：31.5kA/4s</w:t>
            </w:r>
          </w:p>
        </w:tc>
        <w:tc>
          <w:tcPr>
            <w:tcW w:w="3553" w:type="dxa"/>
            <w:vAlign w:val="center"/>
          </w:tcPr>
          <w:p w14:paraId="6A98B50E">
            <w:pPr>
              <w:rPr>
                <w:rFonts w:hint="eastAsia"/>
                <w:color w:val="auto"/>
                <w:highlight w:val="none"/>
              </w:rPr>
            </w:pPr>
            <w:r>
              <w:rPr>
                <w:rFonts w:hint="eastAsia"/>
                <w:color w:val="auto"/>
                <w:highlight w:val="none"/>
              </w:rPr>
              <w:t>需通过型式试验，配弹簧操动机构</w:t>
            </w:r>
          </w:p>
        </w:tc>
      </w:tr>
      <w:tr w14:paraId="1FC94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015" w:type="dxa"/>
            <w:vAlign w:val="center"/>
          </w:tcPr>
          <w:p w14:paraId="38A8FBB5">
            <w:pPr>
              <w:rPr>
                <w:rFonts w:hint="eastAsia"/>
                <w:color w:val="auto"/>
                <w:highlight w:val="none"/>
                <w:lang w:eastAsia="zh-CN"/>
              </w:rPr>
            </w:pPr>
            <w:r>
              <w:rPr>
                <w:rFonts w:hint="eastAsia"/>
                <w:color w:val="auto"/>
                <w:highlight w:val="none"/>
              </w:rPr>
              <w:t>电流互感器</w:t>
            </w:r>
          </w:p>
        </w:tc>
        <w:tc>
          <w:tcPr>
            <w:tcW w:w="4549" w:type="dxa"/>
            <w:vAlign w:val="center"/>
          </w:tcPr>
          <w:p w14:paraId="04AB4CCF">
            <w:pPr>
              <w:rPr>
                <w:rFonts w:hint="eastAsia"/>
                <w:color w:val="auto"/>
                <w:highlight w:val="none"/>
              </w:rPr>
            </w:pPr>
            <w:r>
              <w:rPr>
                <w:rFonts w:hint="eastAsia"/>
                <w:color w:val="auto"/>
                <w:highlight w:val="none"/>
              </w:rPr>
              <w:t>变比：400/5A（0.2S/5P20级）</w:t>
            </w:r>
          </w:p>
          <w:p w14:paraId="5ADB1EA2">
            <w:pPr>
              <w:rPr>
                <w:color w:val="auto"/>
                <w:highlight w:val="none"/>
              </w:rPr>
            </w:pPr>
            <w:r>
              <w:rPr>
                <w:rFonts w:hint="eastAsia"/>
                <w:color w:val="auto"/>
                <w:highlight w:val="none"/>
              </w:rPr>
              <w:t>数量：3只（A/B/C相）</w:t>
            </w:r>
          </w:p>
        </w:tc>
        <w:tc>
          <w:tcPr>
            <w:tcW w:w="3553" w:type="dxa"/>
            <w:vAlign w:val="center"/>
          </w:tcPr>
          <w:p w14:paraId="2194302A">
            <w:pPr>
              <w:rPr>
                <w:rFonts w:hint="eastAsia"/>
                <w:color w:val="auto"/>
                <w:highlight w:val="none"/>
              </w:rPr>
            </w:pPr>
            <w:r>
              <w:rPr>
                <w:rFonts w:hint="eastAsia"/>
                <w:color w:val="auto"/>
                <w:highlight w:val="none"/>
              </w:rPr>
              <w:t>保护+测量双绕组</w:t>
            </w:r>
          </w:p>
        </w:tc>
      </w:tr>
      <w:tr w14:paraId="5F76E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015" w:type="dxa"/>
            <w:vAlign w:val="center"/>
          </w:tcPr>
          <w:p w14:paraId="78A31CC1">
            <w:pPr>
              <w:rPr>
                <w:rFonts w:hint="eastAsia"/>
                <w:color w:val="auto"/>
                <w:highlight w:val="none"/>
                <w:lang w:eastAsia="zh-CN"/>
              </w:rPr>
            </w:pPr>
            <w:r>
              <w:rPr>
                <w:rFonts w:hint="eastAsia"/>
                <w:color w:val="auto"/>
                <w:highlight w:val="none"/>
              </w:rPr>
              <w:t>避雷器</w:t>
            </w:r>
          </w:p>
        </w:tc>
        <w:tc>
          <w:tcPr>
            <w:tcW w:w="4549" w:type="dxa"/>
            <w:vAlign w:val="center"/>
          </w:tcPr>
          <w:p w14:paraId="6349BAC1">
            <w:pPr>
              <w:rPr>
                <w:rFonts w:hint="eastAsia"/>
                <w:color w:val="auto"/>
                <w:highlight w:val="none"/>
              </w:rPr>
            </w:pPr>
            <w:r>
              <w:rPr>
                <w:rFonts w:hint="eastAsia"/>
                <w:color w:val="auto"/>
                <w:highlight w:val="none"/>
              </w:rPr>
              <w:t>型号：HY5WZ-51/134</w:t>
            </w:r>
          </w:p>
          <w:p w14:paraId="7AD0E368">
            <w:pPr>
              <w:rPr>
                <w:rFonts w:hint="eastAsia"/>
                <w:color w:val="auto"/>
                <w:highlight w:val="none"/>
              </w:rPr>
            </w:pPr>
            <w:r>
              <w:rPr>
                <w:rFonts w:hint="eastAsia"/>
                <w:color w:val="auto"/>
                <w:highlight w:val="none"/>
              </w:rPr>
              <w:t>额定电压：51kV</w:t>
            </w:r>
          </w:p>
          <w:p w14:paraId="2E29AEC7">
            <w:pPr>
              <w:rPr>
                <w:color w:val="auto"/>
                <w:highlight w:val="none"/>
              </w:rPr>
            </w:pPr>
            <w:r>
              <w:rPr>
                <w:rFonts w:hint="eastAsia"/>
                <w:color w:val="auto"/>
                <w:highlight w:val="none"/>
              </w:rPr>
              <w:t>残压≤134kV（8/20μs）</w:t>
            </w:r>
          </w:p>
        </w:tc>
        <w:tc>
          <w:tcPr>
            <w:tcW w:w="3553" w:type="dxa"/>
            <w:vAlign w:val="center"/>
          </w:tcPr>
          <w:p w14:paraId="6C50AC81">
            <w:pPr>
              <w:rPr>
                <w:rFonts w:hint="eastAsia"/>
                <w:color w:val="auto"/>
                <w:highlight w:val="none"/>
              </w:rPr>
            </w:pPr>
            <w:r>
              <w:rPr>
                <w:rFonts w:hint="eastAsia"/>
                <w:color w:val="auto"/>
                <w:highlight w:val="none"/>
              </w:rPr>
              <w:t>氧化锌避雷器，防雷电过电压</w:t>
            </w:r>
          </w:p>
        </w:tc>
      </w:tr>
      <w:tr w14:paraId="35E17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2025" w:hRule="atLeast"/>
          <w:jc w:val="center"/>
        </w:trPr>
        <w:tc>
          <w:tcPr>
            <w:tcW w:w="1015" w:type="dxa"/>
            <w:vAlign w:val="center"/>
          </w:tcPr>
          <w:p w14:paraId="72A4CB51">
            <w:pPr>
              <w:rPr>
                <w:rFonts w:hint="eastAsia"/>
                <w:color w:val="auto"/>
                <w:highlight w:val="none"/>
                <w:lang w:eastAsia="zh-CN"/>
              </w:rPr>
            </w:pPr>
            <w:r>
              <w:rPr>
                <w:rFonts w:hint="eastAsia"/>
                <w:color w:val="auto"/>
                <w:highlight w:val="none"/>
              </w:rPr>
              <w:t>综合保护装置</w:t>
            </w:r>
          </w:p>
        </w:tc>
        <w:tc>
          <w:tcPr>
            <w:tcW w:w="4549" w:type="dxa"/>
            <w:vAlign w:val="center"/>
          </w:tcPr>
          <w:p w14:paraId="745DC79A">
            <w:pPr>
              <w:rPr>
                <w:rFonts w:hint="default"/>
                <w:color w:val="auto"/>
                <w:highlight w:val="none"/>
                <w:lang w:val="en-US" w:eastAsia="zh-CN"/>
              </w:rPr>
            </w:pPr>
            <w:r>
              <w:rPr>
                <w:rFonts w:hint="eastAsia"/>
                <w:color w:val="auto"/>
                <w:highlight w:val="none"/>
                <w:lang w:val="en-US" w:eastAsia="zh-CN"/>
              </w:rPr>
              <w:t>参考</w:t>
            </w:r>
            <w:r>
              <w:rPr>
                <w:rFonts w:hint="eastAsia"/>
                <w:color w:val="auto"/>
                <w:highlight w:val="none"/>
              </w:rPr>
              <w:t>型号：南瑞PCS-9611或四方CSC-211</w:t>
            </w:r>
            <w:r>
              <w:rPr>
                <w:rFonts w:hint="eastAsia"/>
                <w:color w:val="auto"/>
                <w:highlight w:val="none"/>
                <w:lang w:eastAsia="zh-CN"/>
              </w:rPr>
              <w:t>、</w:t>
            </w:r>
            <w:r>
              <w:rPr>
                <w:rFonts w:hint="eastAsia"/>
                <w:color w:val="auto"/>
                <w:highlight w:val="none"/>
                <w:lang w:val="en-US" w:eastAsia="zh-CN"/>
              </w:rPr>
              <w:t>南自</w:t>
            </w:r>
          </w:p>
          <w:p w14:paraId="308C6169">
            <w:pPr>
              <w:rPr>
                <w:rFonts w:hint="eastAsia"/>
                <w:color w:val="auto"/>
                <w:highlight w:val="none"/>
                <w:lang w:val="en-US" w:eastAsia="zh-CN"/>
              </w:rPr>
            </w:pPr>
            <w:r>
              <w:rPr>
                <w:rFonts w:hint="eastAsia"/>
                <w:color w:val="auto"/>
                <w:highlight w:val="none"/>
                <w:lang w:val="en-US" w:eastAsia="zh-CN"/>
              </w:rPr>
              <w:t>主要</w:t>
            </w:r>
            <w:r>
              <w:rPr>
                <w:rFonts w:hint="eastAsia"/>
                <w:color w:val="auto"/>
                <w:highlight w:val="none"/>
              </w:rPr>
              <w:t>功能：</w:t>
            </w:r>
            <w:r>
              <w:rPr>
                <w:rFonts w:hint="eastAsia"/>
                <w:color w:val="auto"/>
                <w:highlight w:val="none"/>
                <w:lang w:val="en-US" w:eastAsia="zh-CN"/>
              </w:rPr>
              <w:t>变压器主差动保护、变压器后备保护等</w:t>
            </w:r>
          </w:p>
        </w:tc>
        <w:tc>
          <w:tcPr>
            <w:tcW w:w="3553" w:type="dxa"/>
            <w:vAlign w:val="center"/>
          </w:tcPr>
          <w:p w14:paraId="5259F6AE">
            <w:pPr>
              <w:rPr>
                <w:rFonts w:hint="eastAsia"/>
                <w:color w:val="auto"/>
                <w:highlight w:val="none"/>
                <w:lang w:eastAsia="zh-CN"/>
              </w:rPr>
            </w:pPr>
            <w:r>
              <w:rPr>
                <w:rFonts w:hint="eastAsia"/>
                <w:color w:val="auto"/>
                <w:highlight w:val="none"/>
              </w:rPr>
              <w:t>需与变压器保护定值匹配</w:t>
            </w:r>
            <w:r>
              <w:rPr>
                <w:rFonts w:hint="eastAsia"/>
                <w:color w:val="auto"/>
                <w:highlight w:val="none"/>
                <w:lang w:eastAsia="zh-CN"/>
              </w:rPr>
              <w:t>（</w:t>
            </w:r>
            <w:r>
              <w:rPr>
                <w:rFonts w:hint="eastAsia"/>
                <w:color w:val="auto"/>
                <w:highlight w:val="none"/>
                <w:lang w:val="en-US" w:eastAsia="zh-CN"/>
              </w:rPr>
              <w:t>根据原有的综保参数进行参考设置</w:t>
            </w:r>
            <w:r>
              <w:rPr>
                <w:rFonts w:hint="eastAsia"/>
                <w:color w:val="auto"/>
                <w:highlight w:val="none"/>
                <w:lang w:eastAsia="zh-CN"/>
              </w:rPr>
              <w:t>）</w:t>
            </w:r>
          </w:p>
        </w:tc>
      </w:tr>
      <w:tr w14:paraId="33308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015" w:type="dxa"/>
            <w:vAlign w:val="center"/>
          </w:tcPr>
          <w:p w14:paraId="35AEC3ED">
            <w:pPr>
              <w:rPr>
                <w:rFonts w:hint="eastAsia"/>
                <w:color w:val="auto"/>
                <w:highlight w:val="none"/>
                <w:lang w:eastAsia="zh-CN"/>
              </w:rPr>
            </w:pPr>
            <w:r>
              <w:rPr>
                <w:rFonts w:hint="eastAsia"/>
                <w:color w:val="auto"/>
                <w:highlight w:val="none"/>
              </w:rPr>
              <w:t>柜体要求</w:t>
            </w:r>
          </w:p>
        </w:tc>
        <w:tc>
          <w:tcPr>
            <w:tcW w:w="4549" w:type="dxa"/>
            <w:vAlign w:val="center"/>
          </w:tcPr>
          <w:p w14:paraId="31845314">
            <w:pPr>
              <w:rPr>
                <w:rFonts w:hint="eastAsia"/>
                <w:color w:val="auto"/>
                <w:highlight w:val="none"/>
              </w:rPr>
            </w:pPr>
            <w:r>
              <w:rPr>
                <w:rFonts w:hint="eastAsia"/>
                <w:color w:val="auto"/>
                <w:highlight w:val="none"/>
              </w:rPr>
              <w:t>防护等级：IP4X（柜体）/IP2X（隔室）</w:t>
            </w:r>
          </w:p>
          <w:p w14:paraId="2FB9D0EE">
            <w:pPr>
              <w:rPr>
                <w:rFonts w:hint="eastAsia"/>
                <w:color w:val="auto"/>
                <w:highlight w:val="none"/>
                <w:lang w:eastAsia="zh-CN"/>
              </w:rPr>
            </w:pPr>
            <w:r>
              <w:rPr>
                <w:rFonts w:hint="eastAsia"/>
                <w:color w:val="auto"/>
                <w:highlight w:val="none"/>
                <w:lang w:val="en-US" w:eastAsia="zh-CN"/>
              </w:rPr>
              <w:t>现有柜体</w:t>
            </w:r>
            <w:r>
              <w:rPr>
                <w:rFonts w:hint="eastAsia"/>
                <w:color w:val="auto"/>
                <w:highlight w:val="none"/>
              </w:rPr>
              <w:t>尺寸：1</w:t>
            </w:r>
            <w:r>
              <w:rPr>
                <w:rFonts w:hint="eastAsia"/>
                <w:color w:val="auto"/>
                <w:highlight w:val="none"/>
                <w:lang w:val="en-US" w:eastAsia="zh-CN"/>
              </w:rPr>
              <w:t>4</w:t>
            </w:r>
            <w:r>
              <w:rPr>
                <w:rFonts w:hint="eastAsia"/>
                <w:color w:val="auto"/>
                <w:highlight w:val="none"/>
              </w:rPr>
              <w:t>00×2</w:t>
            </w:r>
            <w:r>
              <w:rPr>
                <w:rFonts w:hint="eastAsia"/>
                <w:color w:val="auto"/>
                <w:highlight w:val="none"/>
                <w:lang w:val="en-US" w:eastAsia="zh-CN"/>
              </w:rPr>
              <w:t>6</w:t>
            </w:r>
            <w:r>
              <w:rPr>
                <w:rFonts w:hint="eastAsia"/>
                <w:color w:val="auto"/>
                <w:highlight w:val="none"/>
              </w:rPr>
              <w:t>00×2</w:t>
            </w:r>
            <w:r>
              <w:rPr>
                <w:rFonts w:hint="eastAsia"/>
                <w:color w:val="auto"/>
                <w:highlight w:val="none"/>
                <w:lang w:val="en-US" w:eastAsia="zh-CN"/>
              </w:rPr>
              <w:t>8</w:t>
            </w:r>
            <w:r>
              <w:rPr>
                <w:rFonts w:hint="eastAsia"/>
                <w:color w:val="auto"/>
                <w:highlight w:val="none"/>
              </w:rPr>
              <w:t>00mm（宽×高×深）</w:t>
            </w:r>
            <w:r>
              <w:rPr>
                <w:rFonts w:hint="eastAsia"/>
                <w:color w:val="auto"/>
                <w:highlight w:val="none"/>
                <w:lang w:eastAsia="zh-CN"/>
              </w:rPr>
              <w:t>（</w:t>
            </w:r>
            <w:r>
              <w:rPr>
                <w:rFonts w:hint="eastAsia"/>
                <w:color w:val="auto"/>
                <w:highlight w:val="none"/>
                <w:lang w:val="en-US" w:eastAsia="zh-CN"/>
              </w:rPr>
              <w:t>除高度外，长跟深不大于此尺寸</w:t>
            </w:r>
            <w:r>
              <w:rPr>
                <w:rFonts w:hint="eastAsia"/>
                <w:color w:val="auto"/>
                <w:highlight w:val="none"/>
                <w:lang w:eastAsia="zh-CN"/>
              </w:rPr>
              <w:t>）</w:t>
            </w:r>
          </w:p>
        </w:tc>
        <w:tc>
          <w:tcPr>
            <w:tcW w:w="3553" w:type="dxa"/>
            <w:vAlign w:val="center"/>
          </w:tcPr>
          <w:p w14:paraId="4CA9514F">
            <w:pPr>
              <w:rPr>
                <w:rFonts w:hint="eastAsia"/>
                <w:color w:val="auto"/>
                <w:highlight w:val="none"/>
                <w:lang w:eastAsia="zh-CN"/>
              </w:rPr>
            </w:pPr>
            <w:r>
              <w:rPr>
                <w:rFonts w:hint="eastAsia"/>
                <w:color w:val="auto"/>
                <w:highlight w:val="none"/>
              </w:rPr>
              <w:t>KYN61-40.5标准柜型</w:t>
            </w:r>
            <w:r>
              <w:rPr>
                <w:rFonts w:hint="eastAsia"/>
                <w:color w:val="auto"/>
                <w:highlight w:val="none"/>
                <w:lang w:eastAsia="zh-CN"/>
              </w:rPr>
              <w:t>（</w:t>
            </w:r>
            <w:r>
              <w:rPr>
                <w:rFonts w:hint="eastAsia"/>
                <w:color w:val="auto"/>
                <w:highlight w:val="none"/>
                <w:lang w:val="en-US" w:eastAsia="zh-CN"/>
              </w:rPr>
              <w:t>含带电显示装置、电气五防联锁及柜门电磁闭锁装置等</w:t>
            </w:r>
            <w:r>
              <w:rPr>
                <w:rFonts w:hint="eastAsia"/>
                <w:color w:val="auto"/>
                <w:highlight w:val="none"/>
                <w:lang w:eastAsia="zh-CN"/>
              </w:rPr>
              <w:t>）</w:t>
            </w:r>
          </w:p>
        </w:tc>
      </w:tr>
    </w:tbl>
    <w:p w14:paraId="1335B9D9">
      <w:pPr>
        <w:pStyle w:val="6"/>
        <w:bidi w:val="0"/>
        <w:spacing w:line="240" w:lineRule="auto"/>
        <w:rPr>
          <w:rFonts w:hint="eastAsia"/>
          <w:b w:val="0"/>
          <w:bCs w:val="0"/>
          <w:color w:val="auto"/>
          <w:sz w:val="24"/>
          <w:szCs w:val="24"/>
          <w:highlight w:val="none"/>
          <w:lang w:val="en-US" w:eastAsia="zh-CN"/>
        </w:rPr>
      </w:pPr>
    </w:p>
    <w:p w14:paraId="1A066DA3">
      <w:pPr>
        <w:rPr>
          <w:rFonts w:hint="eastAsia"/>
          <w:color w:val="auto"/>
          <w:highlight w:val="none"/>
          <w:lang w:val="en-US" w:eastAsia="zh-CN"/>
        </w:rPr>
      </w:pPr>
    </w:p>
    <w:p w14:paraId="594CE7CB">
      <w:pPr>
        <w:pStyle w:val="6"/>
        <w:bidi w:val="0"/>
        <w:rPr>
          <w:rFonts w:hint="eastAsia" w:eastAsiaTheme="minorEastAsia"/>
          <w:b/>
          <w:bCs/>
          <w:color w:val="auto"/>
          <w:sz w:val="28"/>
          <w:szCs w:val="28"/>
          <w:highlight w:val="none"/>
          <w:lang w:eastAsia="zh-CN"/>
        </w:rPr>
      </w:pPr>
      <w:r>
        <w:rPr>
          <w:rFonts w:hint="eastAsia"/>
          <w:b/>
          <w:bCs/>
          <w:color w:val="auto"/>
          <w:sz w:val="28"/>
          <w:szCs w:val="28"/>
          <w:highlight w:val="none"/>
          <w:lang w:val="en-US" w:eastAsia="zh-CN"/>
        </w:rPr>
        <w:t>三</w:t>
      </w:r>
      <w:r>
        <w:rPr>
          <w:rFonts w:hint="eastAsia"/>
          <w:b/>
          <w:bCs/>
          <w:color w:val="auto"/>
          <w:sz w:val="28"/>
          <w:szCs w:val="28"/>
          <w:highlight w:val="none"/>
        </w:rPr>
        <w:t>、</w:t>
      </w:r>
      <w:r>
        <w:rPr>
          <w:rFonts w:hint="eastAsia"/>
          <w:b/>
          <w:bCs/>
          <w:color w:val="auto"/>
          <w:sz w:val="28"/>
          <w:szCs w:val="28"/>
          <w:highlight w:val="none"/>
          <w:lang w:val="en-US" w:eastAsia="zh-CN"/>
        </w:rPr>
        <w:t>AH4线路</w:t>
      </w:r>
      <w:r>
        <w:rPr>
          <w:rFonts w:hint="eastAsia"/>
          <w:b/>
          <w:bCs/>
          <w:color w:val="auto"/>
          <w:sz w:val="28"/>
          <w:szCs w:val="28"/>
          <w:highlight w:val="none"/>
        </w:rPr>
        <w:t>高压柜选型（KYN61-40.5型</w:t>
      </w:r>
      <w:r>
        <w:rPr>
          <w:rFonts w:hint="eastAsia"/>
          <w:b/>
          <w:bCs/>
          <w:color w:val="auto"/>
          <w:sz w:val="28"/>
          <w:szCs w:val="28"/>
          <w:highlight w:val="none"/>
          <w:lang w:val="en-US" w:eastAsia="zh-CN"/>
        </w:rPr>
        <w:t>AH4线路</w:t>
      </w:r>
      <w:r>
        <w:rPr>
          <w:rFonts w:hint="eastAsia"/>
          <w:b/>
          <w:bCs/>
          <w:color w:val="auto"/>
          <w:sz w:val="28"/>
          <w:szCs w:val="28"/>
          <w:highlight w:val="none"/>
        </w:rPr>
        <w:t>柜）</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4511"/>
        <w:gridCol w:w="3212"/>
      </w:tblGrid>
      <w:tr w14:paraId="329C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764" w:type="pct"/>
          </w:tcPr>
          <w:p w14:paraId="65D34AE6">
            <w:pPr>
              <w:rPr>
                <w:color w:val="auto"/>
                <w:highlight w:val="none"/>
              </w:rPr>
            </w:pPr>
            <w:r>
              <w:rPr>
                <w:rFonts w:hint="eastAsia"/>
                <w:color w:val="auto"/>
                <w:highlight w:val="none"/>
              </w:rPr>
              <w:t>组件</w:t>
            </w:r>
          </w:p>
        </w:tc>
        <w:tc>
          <w:tcPr>
            <w:tcW w:w="2473" w:type="pct"/>
          </w:tcPr>
          <w:p w14:paraId="595B3C54">
            <w:pPr>
              <w:rPr>
                <w:rFonts w:hint="eastAsia"/>
                <w:color w:val="auto"/>
                <w:highlight w:val="none"/>
                <w:lang w:eastAsia="zh-CN"/>
              </w:rPr>
            </w:pPr>
            <w:r>
              <w:rPr>
                <w:rFonts w:hint="eastAsia"/>
                <w:color w:val="auto"/>
                <w:highlight w:val="none"/>
              </w:rPr>
              <w:t>选型参数</w:t>
            </w:r>
          </w:p>
        </w:tc>
        <w:tc>
          <w:tcPr>
            <w:tcW w:w="1761" w:type="pct"/>
            <w:vAlign w:val="top"/>
          </w:tcPr>
          <w:p w14:paraId="6E502F52">
            <w:pPr>
              <w:rPr>
                <w:rFonts w:hint="eastAsia"/>
                <w:color w:val="auto"/>
                <w:highlight w:val="none"/>
                <w:lang w:eastAsia="zh-CN"/>
              </w:rPr>
            </w:pPr>
            <w:r>
              <w:rPr>
                <w:rFonts w:hint="eastAsia"/>
                <w:color w:val="auto"/>
                <w:highlight w:val="none"/>
              </w:rPr>
              <w:t>备注</w:t>
            </w:r>
          </w:p>
        </w:tc>
      </w:tr>
      <w:tr w14:paraId="35762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764" w:type="pct"/>
          </w:tcPr>
          <w:p w14:paraId="1F0CE549">
            <w:pPr>
              <w:rPr>
                <w:rFonts w:hint="eastAsia"/>
                <w:color w:val="auto"/>
                <w:highlight w:val="none"/>
                <w:lang w:eastAsia="zh-CN"/>
              </w:rPr>
            </w:pPr>
            <w:r>
              <w:rPr>
                <w:rFonts w:hint="eastAsia"/>
                <w:color w:val="auto"/>
                <w:highlight w:val="none"/>
              </w:rPr>
              <w:t>断路器</w:t>
            </w:r>
          </w:p>
        </w:tc>
        <w:tc>
          <w:tcPr>
            <w:tcW w:w="2473" w:type="pct"/>
          </w:tcPr>
          <w:p w14:paraId="48B7C691">
            <w:pPr>
              <w:rPr>
                <w:rFonts w:hint="eastAsia"/>
                <w:color w:val="auto"/>
                <w:highlight w:val="none"/>
              </w:rPr>
            </w:pPr>
            <w:r>
              <w:rPr>
                <w:rFonts w:hint="eastAsia"/>
                <w:color w:val="auto"/>
                <w:highlight w:val="none"/>
              </w:rPr>
              <w:t>型号：VD4-40.5/</w:t>
            </w:r>
            <w:r>
              <w:rPr>
                <w:rFonts w:hint="eastAsia"/>
                <w:color w:val="auto"/>
                <w:highlight w:val="none"/>
                <w:lang w:val="en-US" w:eastAsia="zh-CN"/>
              </w:rPr>
              <w:t>125</w:t>
            </w:r>
            <w:r>
              <w:rPr>
                <w:rFonts w:hint="eastAsia"/>
                <w:color w:val="auto"/>
                <w:highlight w:val="none"/>
              </w:rPr>
              <w:t>0A-31.5kA（ABB）或同类</w:t>
            </w:r>
          </w:p>
          <w:p w14:paraId="56053C5C">
            <w:pPr>
              <w:rPr>
                <w:rFonts w:hint="eastAsia"/>
                <w:color w:val="auto"/>
                <w:highlight w:val="none"/>
              </w:rPr>
            </w:pPr>
            <w:r>
              <w:rPr>
                <w:rFonts w:hint="eastAsia"/>
                <w:color w:val="auto"/>
                <w:highlight w:val="none"/>
              </w:rPr>
              <w:t>额定电流：</w:t>
            </w:r>
            <w:r>
              <w:rPr>
                <w:rFonts w:hint="eastAsia"/>
                <w:color w:val="auto"/>
                <w:highlight w:val="none"/>
                <w:lang w:val="en-US" w:eastAsia="zh-CN"/>
              </w:rPr>
              <w:t>125</w:t>
            </w:r>
            <w:r>
              <w:rPr>
                <w:rFonts w:hint="eastAsia"/>
                <w:color w:val="auto"/>
                <w:highlight w:val="none"/>
              </w:rPr>
              <w:t>0A</w:t>
            </w:r>
          </w:p>
          <w:p w14:paraId="15038ACF">
            <w:pPr>
              <w:rPr>
                <w:color w:val="auto"/>
                <w:highlight w:val="none"/>
              </w:rPr>
            </w:pPr>
            <w:r>
              <w:rPr>
                <w:rFonts w:hint="eastAsia"/>
                <w:color w:val="auto"/>
                <w:highlight w:val="none"/>
              </w:rPr>
              <w:t>开断能力：31.5kA/4s</w:t>
            </w:r>
          </w:p>
        </w:tc>
        <w:tc>
          <w:tcPr>
            <w:tcW w:w="1761" w:type="pct"/>
            <w:vAlign w:val="top"/>
          </w:tcPr>
          <w:p w14:paraId="2BBA0D7D">
            <w:pPr>
              <w:rPr>
                <w:rFonts w:hint="eastAsia"/>
                <w:color w:val="auto"/>
                <w:highlight w:val="none"/>
              </w:rPr>
            </w:pPr>
            <w:r>
              <w:rPr>
                <w:rFonts w:hint="eastAsia"/>
                <w:color w:val="auto"/>
                <w:highlight w:val="none"/>
              </w:rPr>
              <w:t>需通过型式试验，配弹簧操动机构</w:t>
            </w:r>
          </w:p>
        </w:tc>
      </w:tr>
      <w:tr w14:paraId="4FB29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764" w:type="pct"/>
          </w:tcPr>
          <w:p w14:paraId="2338F369">
            <w:pPr>
              <w:rPr>
                <w:rFonts w:hint="eastAsia"/>
                <w:color w:val="auto"/>
                <w:highlight w:val="none"/>
                <w:lang w:eastAsia="zh-CN"/>
              </w:rPr>
            </w:pPr>
            <w:r>
              <w:rPr>
                <w:rFonts w:hint="eastAsia"/>
                <w:color w:val="auto"/>
                <w:highlight w:val="none"/>
              </w:rPr>
              <w:t>电流互感器</w:t>
            </w:r>
          </w:p>
        </w:tc>
        <w:tc>
          <w:tcPr>
            <w:tcW w:w="2473" w:type="pct"/>
          </w:tcPr>
          <w:p w14:paraId="48D11B98">
            <w:pPr>
              <w:rPr>
                <w:rFonts w:hint="eastAsia"/>
                <w:color w:val="auto"/>
                <w:highlight w:val="none"/>
              </w:rPr>
            </w:pPr>
            <w:r>
              <w:rPr>
                <w:rFonts w:hint="eastAsia"/>
                <w:color w:val="auto"/>
                <w:highlight w:val="none"/>
              </w:rPr>
              <w:t>变比：400/5A（0.2S/0.2S/5P20S/5P20级）</w:t>
            </w:r>
          </w:p>
          <w:p w14:paraId="1F1701DE">
            <w:pPr>
              <w:rPr>
                <w:color w:val="auto"/>
                <w:highlight w:val="none"/>
              </w:rPr>
            </w:pPr>
            <w:r>
              <w:rPr>
                <w:rFonts w:hint="eastAsia"/>
                <w:color w:val="auto"/>
                <w:highlight w:val="none"/>
              </w:rPr>
              <w:t>数量：3只（A/B/C相）</w:t>
            </w:r>
          </w:p>
        </w:tc>
        <w:tc>
          <w:tcPr>
            <w:tcW w:w="1761" w:type="pct"/>
            <w:vAlign w:val="top"/>
          </w:tcPr>
          <w:p w14:paraId="495B7053">
            <w:pPr>
              <w:rPr>
                <w:rFonts w:hint="eastAsia"/>
                <w:color w:val="auto"/>
                <w:highlight w:val="none"/>
              </w:rPr>
            </w:pPr>
            <w:r>
              <w:rPr>
                <w:rFonts w:hint="eastAsia"/>
                <w:color w:val="auto"/>
                <w:highlight w:val="none"/>
              </w:rPr>
              <w:t>保护+测量</w:t>
            </w:r>
            <w:r>
              <w:rPr>
                <w:rFonts w:hint="eastAsia"/>
                <w:color w:val="auto"/>
                <w:highlight w:val="none"/>
                <w:lang w:val="en-US" w:eastAsia="zh-CN"/>
              </w:rPr>
              <w:t>+计量四</w:t>
            </w:r>
            <w:r>
              <w:rPr>
                <w:rFonts w:hint="eastAsia"/>
                <w:color w:val="auto"/>
                <w:highlight w:val="none"/>
              </w:rPr>
              <w:t>绕组</w:t>
            </w:r>
          </w:p>
        </w:tc>
      </w:tr>
      <w:tr w14:paraId="01D99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764" w:type="pct"/>
          </w:tcPr>
          <w:p w14:paraId="47B8EB40">
            <w:pPr>
              <w:rPr>
                <w:rFonts w:hint="eastAsia"/>
                <w:color w:val="auto"/>
                <w:highlight w:val="none"/>
                <w:lang w:eastAsia="zh-CN"/>
              </w:rPr>
            </w:pPr>
            <w:r>
              <w:rPr>
                <w:rFonts w:hint="eastAsia"/>
                <w:color w:val="auto"/>
                <w:highlight w:val="none"/>
              </w:rPr>
              <w:t>接地开关</w:t>
            </w:r>
          </w:p>
        </w:tc>
        <w:tc>
          <w:tcPr>
            <w:tcW w:w="2473" w:type="pct"/>
          </w:tcPr>
          <w:p w14:paraId="1F92A8F3">
            <w:pPr>
              <w:rPr>
                <w:rFonts w:hint="eastAsia"/>
                <w:color w:val="auto"/>
                <w:highlight w:val="none"/>
              </w:rPr>
            </w:pPr>
            <w:r>
              <w:rPr>
                <w:rFonts w:hint="eastAsia"/>
                <w:color w:val="auto"/>
                <w:highlight w:val="none"/>
              </w:rPr>
              <w:t>型号：JN15-40.5/630A</w:t>
            </w:r>
          </w:p>
          <w:p w14:paraId="363DABD6">
            <w:pPr>
              <w:rPr>
                <w:color w:val="auto"/>
                <w:highlight w:val="none"/>
              </w:rPr>
            </w:pPr>
            <w:r>
              <w:rPr>
                <w:rFonts w:hint="eastAsia"/>
                <w:color w:val="auto"/>
                <w:highlight w:val="none"/>
              </w:rPr>
              <w:t>短时耐受：25kA/3s</w:t>
            </w:r>
          </w:p>
        </w:tc>
        <w:tc>
          <w:tcPr>
            <w:tcW w:w="1761" w:type="pct"/>
            <w:vAlign w:val="top"/>
          </w:tcPr>
          <w:p w14:paraId="13570B65">
            <w:pPr>
              <w:rPr>
                <w:rFonts w:hint="eastAsia"/>
                <w:color w:val="auto"/>
                <w:highlight w:val="none"/>
              </w:rPr>
            </w:pPr>
            <w:r>
              <w:rPr>
                <w:rFonts w:hint="eastAsia"/>
                <w:color w:val="auto"/>
                <w:highlight w:val="none"/>
              </w:rPr>
              <w:t>与断路器机械联锁</w:t>
            </w:r>
          </w:p>
        </w:tc>
      </w:tr>
      <w:tr w14:paraId="1EB3F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764" w:type="pct"/>
          </w:tcPr>
          <w:p w14:paraId="30F58469">
            <w:pPr>
              <w:rPr>
                <w:rFonts w:hint="eastAsia"/>
                <w:color w:val="auto"/>
                <w:highlight w:val="none"/>
                <w:lang w:eastAsia="zh-CN"/>
              </w:rPr>
            </w:pPr>
            <w:r>
              <w:rPr>
                <w:rFonts w:hint="eastAsia"/>
                <w:color w:val="auto"/>
                <w:highlight w:val="none"/>
              </w:rPr>
              <w:t>避雷器</w:t>
            </w:r>
          </w:p>
        </w:tc>
        <w:tc>
          <w:tcPr>
            <w:tcW w:w="2473" w:type="pct"/>
          </w:tcPr>
          <w:p w14:paraId="518DE6BF">
            <w:pPr>
              <w:rPr>
                <w:rFonts w:hint="eastAsia"/>
                <w:color w:val="auto"/>
                <w:highlight w:val="none"/>
              </w:rPr>
            </w:pPr>
            <w:r>
              <w:rPr>
                <w:rFonts w:hint="eastAsia"/>
                <w:color w:val="auto"/>
                <w:highlight w:val="none"/>
              </w:rPr>
              <w:t>型号：HY5WZ-51/134</w:t>
            </w:r>
          </w:p>
          <w:p w14:paraId="1A2D0893">
            <w:pPr>
              <w:rPr>
                <w:rFonts w:hint="eastAsia"/>
                <w:color w:val="auto"/>
                <w:highlight w:val="none"/>
              </w:rPr>
            </w:pPr>
            <w:r>
              <w:rPr>
                <w:rFonts w:hint="eastAsia"/>
                <w:color w:val="auto"/>
                <w:highlight w:val="none"/>
              </w:rPr>
              <w:t>额定电压：51kV</w:t>
            </w:r>
          </w:p>
          <w:p w14:paraId="276A6A56">
            <w:pPr>
              <w:rPr>
                <w:color w:val="auto"/>
                <w:highlight w:val="none"/>
              </w:rPr>
            </w:pPr>
            <w:r>
              <w:rPr>
                <w:rFonts w:hint="eastAsia"/>
                <w:color w:val="auto"/>
                <w:highlight w:val="none"/>
              </w:rPr>
              <w:t>残压≤134kV（8/20μs）</w:t>
            </w:r>
          </w:p>
        </w:tc>
        <w:tc>
          <w:tcPr>
            <w:tcW w:w="1761" w:type="pct"/>
            <w:vAlign w:val="top"/>
          </w:tcPr>
          <w:p w14:paraId="247FDC66">
            <w:pPr>
              <w:rPr>
                <w:rFonts w:hint="eastAsia"/>
                <w:color w:val="auto"/>
                <w:highlight w:val="none"/>
              </w:rPr>
            </w:pPr>
            <w:r>
              <w:rPr>
                <w:rFonts w:hint="eastAsia"/>
                <w:color w:val="auto"/>
                <w:highlight w:val="none"/>
              </w:rPr>
              <w:t>氧化锌避雷器，防雷电过电压</w:t>
            </w:r>
          </w:p>
        </w:tc>
      </w:tr>
      <w:tr w14:paraId="63879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764" w:type="pct"/>
          </w:tcPr>
          <w:p w14:paraId="7630E35D">
            <w:pPr>
              <w:rPr>
                <w:rFonts w:hint="eastAsia"/>
                <w:color w:val="auto"/>
                <w:highlight w:val="none"/>
                <w:lang w:eastAsia="zh-CN"/>
              </w:rPr>
            </w:pPr>
            <w:r>
              <w:rPr>
                <w:rFonts w:hint="eastAsia"/>
                <w:color w:val="auto"/>
                <w:highlight w:val="none"/>
              </w:rPr>
              <w:t>综合保护装置</w:t>
            </w:r>
          </w:p>
        </w:tc>
        <w:tc>
          <w:tcPr>
            <w:tcW w:w="2473" w:type="pct"/>
          </w:tcPr>
          <w:p w14:paraId="5D238CE5">
            <w:pPr>
              <w:rPr>
                <w:rFonts w:hint="default"/>
                <w:color w:val="auto"/>
                <w:highlight w:val="none"/>
                <w:lang w:val="en-US" w:eastAsia="zh-CN"/>
              </w:rPr>
            </w:pPr>
            <w:r>
              <w:rPr>
                <w:rFonts w:hint="eastAsia"/>
                <w:color w:val="auto"/>
                <w:highlight w:val="none"/>
                <w:lang w:val="en-US" w:eastAsia="zh-CN"/>
              </w:rPr>
              <w:t>参考</w:t>
            </w:r>
            <w:r>
              <w:rPr>
                <w:rFonts w:hint="eastAsia"/>
                <w:color w:val="auto"/>
                <w:highlight w:val="none"/>
              </w:rPr>
              <w:t>型号：南瑞PCS-9611或四方CSC-211</w:t>
            </w:r>
          </w:p>
          <w:p w14:paraId="09F1736A">
            <w:pPr>
              <w:rPr>
                <w:rFonts w:hint="eastAsia"/>
                <w:color w:val="auto"/>
                <w:highlight w:val="none"/>
                <w:lang w:val="en-US" w:eastAsia="zh-CN"/>
              </w:rPr>
            </w:pPr>
            <w:r>
              <w:rPr>
                <w:rFonts w:hint="eastAsia"/>
                <w:color w:val="auto"/>
                <w:highlight w:val="none"/>
                <w:lang w:val="en-US" w:eastAsia="zh-CN"/>
              </w:rPr>
              <w:t>主要</w:t>
            </w:r>
            <w:r>
              <w:rPr>
                <w:rFonts w:hint="eastAsia"/>
                <w:color w:val="auto"/>
                <w:highlight w:val="none"/>
              </w:rPr>
              <w:t>功能：</w:t>
            </w:r>
            <w:r>
              <w:rPr>
                <w:rFonts w:hint="eastAsia"/>
                <w:color w:val="auto"/>
                <w:highlight w:val="none"/>
                <w:lang w:val="en-US" w:eastAsia="zh-CN"/>
              </w:rPr>
              <w:t>线路</w:t>
            </w:r>
            <w:r>
              <w:rPr>
                <w:rFonts w:hint="eastAsia"/>
                <w:color w:val="auto"/>
                <w:highlight w:val="none"/>
              </w:rPr>
              <w:t>保护</w:t>
            </w:r>
            <w:r>
              <w:rPr>
                <w:rFonts w:hint="eastAsia"/>
                <w:color w:val="auto"/>
                <w:highlight w:val="none"/>
                <w:lang w:val="en-US" w:eastAsia="zh-CN"/>
              </w:rPr>
              <w:t>等</w:t>
            </w:r>
          </w:p>
        </w:tc>
        <w:tc>
          <w:tcPr>
            <w:tcW w:w="1761" w:type="pct"/>
            <w:vAlign w:val="top"/>
          </w:tcPr>
          <w:p w14:paraId="2952B5E2">
            <w:pPr>
              <w:rPr>
                <w:rFonts w:hint="eastAsia"/>
                <w:color w:val="auto"/>
                <w:highlight w:val="none"/>
              </w:rPr>
            </w:pPr>
            <w:r>
              <w:rPr>
                <w:rFonts w:hint="eastAsia"/>
                <w:color w:val="auto"/>
                <w:highlight w:val="none"/>
              </w:rPr>
              <w:t>需与变压器保护定值匹配</w:t>
            </w:r>
            <w:r>
              <w:rPr>
                <w:rFonts w:hint="eastAsia"/>
                <w:color w:val="auto"/>
                <w:highlight w:val="none"/>
                <w:lang w:eastAsia="zh-CN"/>
              </w:rPr>
              <w:t>（</w:t>
            </w:r>
            <w:r>
              <w:rPr>
                <w:rFonts w:hint="eastAsia"/>
                <w:color w:val="auto"/>
                <w:highlight w:val="none"/>
                <w:lang w:val="en-US" w:eastAsia="zh-CN"/>
              </w:rPr>
              <w:t>根据原有的综保参数进行参考设置</w:t>
            </w:r>
            <w:r>
              <w:rPr>
                <w:rFonts w:hint="eastAsia"/>
                <w:color w:val="auto"/>
                <w:highlight w:val="none"/>
                <w:lang w:eastAsia="zh-CN"/>
              </w:rPr>
              <w:t>）</w:t>
            </w:r>
          </w:p>
        </w:tc>
      </w:tr>
      <w:tr w14:paraId="1BCF7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764" w:type="pct"/>
          </w:tcPr>
          <w:p w14:paraId="17505BE8">
            <w:pPr>
              <w:rPr>
                <w:rFonts w:hint="eastAsia"/>
                <w:color w:val="auto"/>
                <w:highlight w:val="none"/>
                <w:lang w:eastAsia="zh-CN"/>
              </w:rPr>
            </w:pPr>
            <w:r>
              <w:rPr>
                <w:rFonts w:hint="eastAsia"/>
                <w:color w:val="auto"/>
                <w:highlight w:val="none"/>
              </w:rPr>
              <w:t>柜体要求</w:t>
            </w:r>
          </w:p>
        </w:tc>
        <w:tc>
          <w:tcPr>
            <w:tcW w:w="2473" w:type="pct"/>
          </w:tcPr>
          <w:p w14:paraId="7EFA6B94">
            <w:pPr>
              <w:rPr>
                <w:rFonts w:hint="eastAsia"/>
                <w:color w:val="auto"/>
                <w:highlight w:val="none"/>
              </w:rPr>
            </w:pPr>
            <w:r>
              <w:rPr>
                <w:rFonts w:hint="eastAsia"/>
                <w:color w:val="auto"/>
                <w:highlight w:val="none"/>
              </w:rPr>
              <w:t>防护等级：IP4X（柜体）/IP2X（隔室）</w:t>
            </w:r>
          </w:p>
          <w:p w14:paraId="27317F9D">
            <w:pPr>
              <w:rPr>
                <w:color w:val="auto"/>
                <w:highlight w:val="none"/>
              </w:rPr>
            </w:pPr>
            <w:r>
              <w:rPr>
                <w:rFonts w:hint="eastAsia"/>
                <w:color w:val="auto"/>
                <w:highlight w:val="none"/>
              </w:rPr>
              <w:t>尺寸：1</w:t>
            </w:r>
            <w:r>
              <w:rPr>
                <w:rFonts w:hint="eastAsia"/>
                <w:color w:val="auto"/>
                <w:highlight w:val="none"/>
                <w:lang w:val="en-US" w:eastAsia="zh-CN"/>
              </w:rPr>
              <w:t>4</w:t>
            </w:r>
            <w:r>
              <w:rPr>
                <w:rFonts w:hint="eastAsia"/>
                <w:color w:val="auto"/>
                <w:highlight w:val="none"/>
              </w:rPr>
              <w:t>00×2</w:t>
            </w:r>
            <w:r>
              <w:rPr>
                <w:rFonts w:hint="eastAsia"/>
                <w:color w:val="auto"/>
                <w:highlight w:val="none"/>
                <w:lang w:val="en-US" w:eastAsia="zh-CN"/>
              </w:rPr>
              <w:t>6</w:t>
            </w:r>
            <w:r>
              <w:rPr>
                <w:rFonts w:hint="eastAsia"/>
                <w:color w:val="auto"/>
                <w:highlight w:val="none"/>
              </w:rPr>
              <w:t>00×2</w:t>
            </w:r>
            <w:r>
              <w:rPr>
                <w:rFonts w:hint="eastAsia"/>
                <w:color w:val="auto"/>
                <w:highlight w:val="none"/>
                <w:lang w:val="en-US" w:eastAsia="zh-CN"/>
              </w:rPr>
              <w:t>8</w:t>
            </w:r>
            <w:r>
              <w:rPr>
                <w:rFonts w:hint="eastAsia"/>
                <w:color w:val="auto"/>
                <w:highlight w:val="none"/>
              </w:rPr>
              <w:t>00mm（宽×高×深）</w:t>
            </w:r>
            <w:r>
              <w:rPr>
                <w:rFonts w:hint="eastAsia"/>
                <w:color w:val="auto"/>
                <w:highlight w:val="none"/>
                <w:lang w:eastAsia="zh-CN"/>
              </w:rPr>
              <w:t>（</w:t>
            </w:r>
            <w:r>
              <w:rPr>
                <w:rFonts w:hint="eastAsia"/>
                <w:color w:val="auto"/>
                <w:highlight w:val="none"/>
                <w:lang w:val="en-US" w:eastAsia="zh-CN"/>
              </w:rPr>
              <w:t>除高度外，长跟深不大于此尺寸</w:t>
            </w:r>
            <w:r>
              <w:rPr>
                <w:rFonts w:hint="eastAsia"/>
                <w:color w:val="auto"/>
                <w:highlight w:val="none"/>
                <w:lang w:eastAsia="zh-CN"/>
              </w:rPr>
              <w:t>）</w:t>
            </w:r>
          </w:p>
        </w:tc>
        <w:tc>
          <w:tcPr>
            <w:tcW w:w="1761" w:type="pct"/>
            <w:vAlign w:val="top"/>
          </w:tcPr>
          <w:p w14:paraId="59B43D44">
            <w:pPr>
              <w:rPr>
                <w:rFonts w:hint="eastAsia"/>
                <w:color w:val="auto"/>
                <w:highlight w:val="none"/>
                <w:lang w:eastAsia="zh-CN"/>
              </w:rPr>
            </w:pPr>
            <w:r>
              <w:rPr>
                <w:rFonts w:hint="eastAsia"/>
                <w:color w:val="auto"/>
                <w:highlight w:val="none"/>
              </w:rPr>
              <w:t>KYN61-40.5标准柜型</w:t>
            </w:r>
            <w:r>
              <w:rPr>
                <w:rFonts w:hint="eastAsia"/>
                <w:color w:val="auto"/>
                <w:highlight w:val="none"/>
                <w:lang w:eastAsia="zh-CN"/>
              </w:rPr>
              <w:t>（</w:t>
            </w:r>
            <w:r>
              <w:rPr>
                <w:rFonts w:hint="eastAsia"/>
                <w:color w:val="auto"/>
                <w:highlight w:val="none"/>
                <w:lang w:val="en-US" w:eastAsia="zh-CN"/>
              </w:rPr>
              <w:t>含带电显示装置、电气五防联锁及柜门电磁闭锁装置等</w:t>
            </w:r>
            <w:r>
              <w:rPr>
                <w:rFonts w:hint="eastAsia"/>
                <w:color w:val="auto"/>
                <w:highlight w:val="none"/>
                <w:lang w:eastAsia="zh-CN"/>
              </w:rPr>
              <w:t>）</w:t>
            </w:r>
          </w:p>
        </w:tc>
      </w:tr>
    </w:tbl>
    <w:p w14:paraId="6FC79783">
      <w:pPr>
        <w:pStyle w:val="6"/>
        <w:numPr>
          <w:ilvl w:val="0"/>
          <w:numId w:val="0"/>
        </w:numPr>
        <w:bidi w:val="0"/>
        <w:ind w:firstLine="0" w:firstLineChars="0"/>
        <w:rPr>
          <w:rFonts w:hint="eastAsia" w:cstheme="minorBidi"/>
          <w:b/>
          <w:bCs/>
          <w:color w:val="auto"/>
          <w:kern w:val="44"/>
          <w:sz w:val="28"/>
          <w:szCs w:val="28"/>
          <w:highlight w:val="none"/>
          <w:lang w:val="en-US" w:eastAsia="zh-CN" w:bidi="ar-SA"/>
        </w:rPr>
      </w:pPr>
    </w:p>
    <w:p w14:paraId="424BE509">
      <w:pPr>
        <w:pStyle w:val="6"/>
        <w:numPr>
          <w:ilvl w:val="0"/>
          <w:numId w:val="0"/>
        </w:numPr>
        <w:bidi w:val="0"/>
        <w:ind w:firstLine="0" w:firstLineChars="0"/>
        <w:rPr>
          <w:rFonts w:hint="eastAsia"/>
          <w:b/>
          <w:bCs/>
          <w:color w:val="auto"/>
          <w:sz w:val="28"/>
          <w:szCs w:val="28"/>
          <w:highlight w:val="none"/>
          <w:lang w:eastAsia="zh-CN"/>
        </w:rPr>
      </w:pPr>
      <w:r>
        <w:rPr>
          <w:rFonts w:hint="eastAsia" w:cstheme="minorBidi"/>
          <w:b/>
          <w:bCs/>
          <w:color w:val="auto"/>
          <w:kern w:val="44"/>
          <w:sz w:val="28"/>
          <w:szCs w:val="28"/>
          <w:highlight w:val="none"/>
          <w:lang w:val="en-US" w:eastAsia="zh-CN" w:bidi="ar-SA"/>
        </w:rPr>
        <w:t>四</w:t>
      </w:r>
      <w:r>
        <w:rPr>
          <w:rFonts w:hint="eastAsia" w:asciiTheme="minorAscii" w:hAnsiTheme="minorAscii" w:eastAsiaTheme="minorEastAsia" w:cstheme="minorBidi"/>
          <w:b/>
          <w:bCs/>
          <w:color w:val="auto"/>
          <w:kern w:val="44"/>
          <w:sz w:val="28"/>
          <w:szCs w:val="28"/>
          <w:highlight w:val="none"/>
          <w:lang w:val="en-US" w:eastAsia="zh-CN" w:bidi="ar-SA"/>
        </w:rPr>
        <w:t>、</w:t>
      </w:r>
      <w:r>
        <w:rPr>
          <w:rFonts w:hint="eastAsia"/>
          <w:b/>
          <w:bCs/>
          <w:color w:val="auto"/>
          <w:sz w:val="28"/>
          <w:szCs w:val="28"/>
          <w:highlight w:val="none"/>
          <w:lang w:eastAsia="zh-CN"/>
        </w:rPr>
        <w:t>PT柜核心参数（</w:t>
      </w:r>
      <w:r>
        <w:rPr>
          <w:rFonts w:hint="eastAsia"/>
          <w:b/>
          <w:bCs/>
          <w:color w:val="auto"/>
          <w:sz w:val="28"/>
          <w:szCs w:val="28"/>
          <w:highlight w:val="none"/>
          <w:lang w:val="en-US" w:eastAsia="zh-CN"/>
        </w:rPr>
        <w:t>AH2柜</w:t>
      </w:r>
      <w:r>
        <w:rPr>
          <w:rFonts w:hint="eastAsia"/>
          <w:b/>
          <w:bCs/>
          <w:color w:val="auto"/>
          <w:sz w:val="28"/>
          <w:szCs w:val="28"/>
          <w:highlight w:val="none"/>
          <w:lang w:eastAsia="zh-CN"/>
        </w:rPr>
        <w:t>）</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5047"/>
        <w:gridCol w:w="2811"/>
      </w:tblGrid>
      <w:tr w14:paraId="170D5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88" w:type="pct"/>
          </w:tcPr>
          <w:p w14:paraId="6ADE41A0">
            <w:pPr>
              <w:rPr>
                <w:rFonts w:hint="eastAsia"/>
                <w:color w:val="auto"/>
                <w:highlight w:val="none"/>
              </w:rPr>
            </w:pPr>
            <w:r>
              <w:rPr>
                <w:rFonts w:hint="eastAsia"/>
                <w:color w:val="auto"/>
                <w:highlight w:val="none"/>
                <w:lang w:eastAsia="zh-CN"/>
              </w:rPr>
              <w:t>项目</w:t>
            </w:r>
          </w:p>
        </w:tc>
        <w:tc>
          <w:tcPr>
            <w:tcW w:w="2769" w:type="pct"/>
          </w:tcPr>
          <w:p w14:paraId="0886225A">
            <w:pPr>
              <w:rPr>
                <w:rFonts w:hint="eastAsia"/>
                <w:color w:val="auto"/>
                <w:highlight w:val="none"/>
              </w:rPr>
            </w:pPr>
            <w:r>
              <w:rPr>
                <w:rFonts w:hint="eastAsia"/>
                <w:color w:val="auto"/>
                <w:highlight w:val="none"/>
                <w:lang w:eastAsia="zh-CN"/>
              </w:rPr>
              <w:t>选型要求</w:t>
            </w:r>
          </w:p>
        </w:tc>
        <w:tc>
          <w:tcPr>
            <w:tcW w:w="1542" w:type="pct"/>
          </w:tcPr>
          <w:p w14:paraId="608C1C74">
            <w:pPr>
              <w:rPr>
                <w:rFonts w:hint="eastAsia"/>
                <w:color w:val="auto"/>
                <w:highlight w:val="none"/>
              </w:rPr>
            </w:pPr>
            <w:r>
              <w:rPr>
                <w:rFonts w:hint="eastAsia"/>
                <w:color w:val="auto"/>
                <w:highlight w:val="none"/>
                <w:lang w:eastAsia="zh-CN"/>
              </w:rPr>
              <w:t>备注</w:t>
            </w:r>
          </w:p>
        </w:tc>
      </w:tr>
      <w:tr w14:paraId="238BB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88" w:type="pct"/>
          </w:tcPr>
          <w:p w14:paraId="19FBE02B">
            <w:pPr>
              <w:rPr>
                <w:rFonts w:hint="eastAsia"/>
                <w:color w:val="auto"/>
                <w:highlight w:val="none"/>
              </w:rPr>
            </w:pPr>
            <w:r>
              <w:rPr>
                <w:rFonts w:hint="eastAsia"/>
                <w:color w:val="auto"/>
                <w:highlight w:val="none"/>
                <w:lang w:eastAsia="zh-CN"/>
              </w:rPr>
              <w:t>柜型</w:t>
            </w:r>
          </w:p>
        </w:tc>
        <w:tc>
          <w:tcPr>
            <w:tcW w:w="2769" w:type="pct"/>
          </w:tcPr>
          <w:p w14:paraId="6474F329">
            <w:pPr>
              <w:rPr>
                <w:rFonts w:hint="default"/>
                <w:color w:val="auto"/>
                <w:highlight w:val="none"/>
                <w:lang w:val="en-US"/>
              </w:rPr>
            </w:pPr>
            <w:r>
              <w:rPr>
                <w:rFonts w:hint="eastAsia"/>
                <w:color w:val="auto"/>
                <w:highlight w:val="none"/>
                <w:lang w:eastAsia="zh-CN"/>
              </w:rPr>
              <w:t>KYN61-40.5（与主柜同系列）（</w:t>
            </w:r>
            <w:r>
              <w:rPr>
                <w:rFonts w:hint="eastAsia"/>
                <w:color w:val="auto"/>
                <w:highlight w:val="none"/>
                <w:lang w:val="en-US" w:eastAsia="zh-CN"/>
              </w:rPr>
              <w:t>固定PT+PT手车隔离</w:t>
            </w:r>
            <w:r>
              <w:rPr>
                <w:rFonts w:hint="eastAsia"/>
                <w:color w:val="auto"/>
                <w:highlight w:val="none"/>
                <w:lang w:eastAsia="zh-CN"/>
              </w:rPr>
              <w:t>）</w:t>
            </w:r>
            <w:r>
              <w:rPr>
                <w:rFonts w:hint="eastAsia"/>
                <w:color w:val="auto"/>
                <w:highlight w:val="none"/>
                <w:lang w:val="en-US" w:eastAsia="zh-CN"/>
              </w:rPr>
              <w:t>模式</w:t>
            </w:r>
          </w:p>
        </w:tc>
        <w:tc>
          <w:tcPr>
            <w:tcW w:w="1542" w:type="pct"/>
          </w:tcPr>
          <w:p w14:paraId="4CEF99BC">
            <w:pPr>
              <w:rPr>
                <w:rFonts w:hint="default"/>
                <w:color w:val="auto"/>
                <w:highlight w:val="none"/>
                <w:lang w:val="en-US"/>
              </w:rPr>
            </w:pPr>
            <w:r>
              <w:rPr>
                <w:rFonts w:hint="eastAsia"/>
                <w:color w:val="auto"/>
                <w:highlight w:val="none"/>
                <w:lang w:eastAsia="zh-CN"/>
              </w:rPr>
              <w:t>（</w:t>
            </w:r>
            <w:r>
              <w:rPr>
                <w:rFonts w:hint="eastAsia"/>
                <w:color w:val="auto"/>
                <w:highlight w:val="none"/>
                <w:lang w:val="en-US" w:eastAsia="zh-CN"/>
              </w:rPr>
              <w:t>固定PT+PT手车隔离</w:t>
            </w:r>
            <w:r>
              <w:rPr>
                <w:rFonts w:hint="eastAsia"/>
                <w:color w:val="auto"/>
                <w:highlight w:val="none"/>
                <w:lang w:eastAsia="zh-CN"/>
              </w:rPr>
              <w:t>）</w:t>
            </w:r>
            <w:r>
              <w:rPr>
                <w:rFonts w:hint="eastAsia"/>
                <w:color w:val="auto"/>
                <w:highlight w:val="none"/>
                <w:lang w:val="en-US" w:eastAsia="zh-CN"/>
              </w:rPr>
              <w:t>模式</w:t>
            </w:r>
          </w:p>
        </w:tc>
      </w:tr>
      <w:tr w14:paraId="2D5D3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688" w:type="pct"/>
          </w:tcPr>
          <w:p w14:paraId="5EF7281F">
            <w:pPr>
              <w:rPr>
                <w:rFonts w:hint="eastAsia"/>
                <w:color w:val="auto"/>
                <w:highlight w:val="none"/>
              </w:rPr>
            </w:pPr>
            <w:r>
              <w:rPr>
                <w:rFonts w:hint="eastAsia"/>
                <w:color w:val="auto"/>
                <w:highlight w:val="none"/>
                <w:lang w:eastAsia="zh-CN"/>
              </w:rPr>
              <w:t>额定电压</w:t>
            </w:r>
          </w:p>
        </w:tc>
        <w:tc>
          <w:tcPr>
            <w:tcW w:w="2769" w:type="pct"/>
          </w:tcPr>
          <w:p w14:paraId="3FDC575F">
            <w:pPr>
              <w:rPr>
                <w:rFonts w:hint="eastAsia"/>
                <w:color w:val="auto"/>
                <w:highlight w:val="none"/>
              </w:rPr>
            </w:pPr>
            <w:r>
              <w:rPr>
                <w:rFonts w:hint="eastAsia"/>
                <w:color w:val="auto"/>
                <w:highlight w:val="none"/>
                <w:lang w:eastAsia="zh-CN"/>
              </w:rPr>
              <w:t>35kV（最高工作电压40.5kV）</w:t>
            </w:r>
          </w:p>
        </w:tc>
        <w:tc>
          <w:tcPr>
            <w:tcW w:w="1542" w:type="pct"/>
          </w:tcPr>
          <w:p w14:paraId="1FCC1EAC">
            <w:pPr>
              <w:rPr>
                <w:rFonts w:hint="eastAsia"/>
                <w:color w:val="auto"/>
                <w:highlight w:val="none"/>
              </w:rPr>
            </w:pPr>
            <w:r>
              <w:rPr>
                <w:rFonts w:hint="eastAsia"/>
                <w:color w:val="auto"/>
                <w:highlight w:val="none"/>
                <w:lang w:eastAsia="zh-CN"/>
              </w:rPr>
              <w:t>符合GB/T 311.1标准</w:t>
            </w:r>
          </w:p>
        </w:tc>
      </w:tr>
      <w:tr w14:paraId="5525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688" w:type="pct"/>
          </w:tcPr>
          <w:p w14:paraId="27179951">
            <w:pPr>
              <w:rPr>
                <w:rFonts w:hint="eastAsia"/>
                <w:color w:val="auto"/>
                <w:highlight w:val="none"/>
              </w:rPr>
            </w:pPr>
            <w:r>
              <w:rPr>
                <w:rFonts w:hint="eastAsia"/>
                <w:color w:val="auto"/>
                <w:highlight w:val="none"/>
                <w:lang w:eastAsia="zh-CN"/>
              </w:rPr>
              <w:t>PT配置</w:t>
            </w:r>
          </w:p>
        </w:tc>
        <w:tc>
          <w:tcPr>
            <w:tcW w:w="2769" w:type="pct"/>
          </w:tcPr>
          <w:p w14:paraId="5AA8CB35">
            <w:pPr>
              <w:rPr>
                <w:rFonts w:hint="eastAsia"/>
                <w:color w:val="auto"/>
                <w:highlight w:val="none"/>
                <w:lang w:eastAsia="zh-CN"/>
              </w:rPr>
            </w:pPr>
            <w:r>
              <w:rPr>
                <w:rFonts w:hint="eastAsia"/>
                <w:color w:val="auto"/>
                <w:highlight w:val="none"/>
                <w:lang w:eastAsia="zh-CN"/>
              </w:rPr>
              <w:t>型号：JDZX11-35Q（环氧树脂浇注式）</w:t>
            </w:r>
          </w:p>
          <w:p w14:paraId="451C0E09">
            <w:pPr>
              <w:rPr>
                <w:rFonts w:hint="eastAsia"/>
                <w:color w:val="auto"/>
                <w:highlight w:val="none"/>
                <w:lang w:eastAsia="zh-CN"/>
              </w:rPr>
            </w:pPr>
            <w:r>
              <w:rPr>
                <w:rFonts w:hint="eastAsia"/>
                <w:color w:val="auto"/>
                <w:highlight w:val="none"/>
                <w:lang w:eastAsia="zh-CN"/>
              </w:rPr>
              <w:t>变比：35kV/0.1kV/0.1kV/0.1kV√3</w:t>
            </w:r>
          </w:p>
          <w:p w14:paraId="0EC4D8FE">
            <w:pPr>
              <w:rPr>
                <w:rFonts w:hint="eastAsia"/>
                <w:color w:val="auto"/>
                <w:highlight w:val="none"/>
              </w:rPr>
            </w:pPr>
            <w:r>
              <w:rPr>
                <w:rFonts w:hint="eastAsia"/>
                <w:color w:val="auto"/>
                <w:highlight w:val="none"/>
                <w:lang w:eastAsia="zh-CN"/>
              </w:rPr>
              <w:t>精度：0.2/0.5级（计量）+3P级（保护）</w:t>
            </w:r>
          </w:p>
        </w:tc>
        <w:tc>
          <w:tcPr>
            <w:tcW w:w="1542" w:type="pct"/>
          </w:tcPr>
          <w:p w14:paraId="74495C97">
            <w:pPr>
              <w:rPr>
                <w:rFonts w:hint="eastAsia"/>
                <w:color w:val="auto"/>
                <w:highlight w:val="none"/>
              </w:rPr>
            </w:pPr>
            <w:r>
              <w:rPr>
                <w:rFonts w:hint="eastAsia"/>
                <w:color w:val="auto"/>
                <w:highlight w:val="none"/>
                <w:lang w:val="en-US" w:eastAsia="zh-CN"/>
              </w:rPr>
              <w:t>四</w:t>
            </w:r>
            <w:r>
              <w:rPr>
                <w:rFonts w:hint="eastAsia"/>
                <w:color w:val="auto"/>
                <w:highlight w:val="none"/>
                <w:lang w:eastAsia="zh-CN"/>
              </w:rPr>
              <w:t>绕组结构，V-V接线</w:t>
            </w:r>
          </w:p>
        </w:tc>
      </w:tr>
      <w:tr w14:paraId="01AD4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688" w:type="pct"/>
          </w:tcPr>
          <w:p w14:paraId="74C9A804">
            <w:pPr>
              <w:rPr>
                <w:rFonts w:hint="eastAsia"/>
                <w:color w:val="auto"/>
                <w:highlight w:val="none"/>
              </w:rPr>
            </w:pPr>
            <w:r>
              <w:rPr>
                <w:rFonts w:hint="eastAsia"/>
                <w:color w:val="auto"/>
                <w:highlight w:val="none"/>
                <w:lang w:eastAsia="zh-CN"/>
              </w:rPr>
              <w:t>熔断器</w:t>
            </w:r>
          </w:p>
        </w:tc>
        <w:tc>
          <w:tcPr>
            <w:tcW w:w="2769" w:type="pct"/>
          </w:tcPr>
          <w:p w14:paraId="34B1A8AC">
            <w:pPr>
              <w:rPr>
                <w:rFonts w:hint="eastAsia"/>
                <w:color w:val="auto"/>
                <w:highlight w:val="none"/>
                <w:lang w:eastAsia="zh-CN"/>
              </w:rPr>
            </w:pPr>
            <w:r>
              <w:rPr>
                <w:rFonts w:hint="eastAsia"/>
                <w:color w:val="auto"/>
                <w:highlight w:val="none"/>
                <w:lang w:eastAsia="zh-CN"/>
              </w:rPr>
              <w:t>型号：XRNP-35/1A</w:t>
            </w:r>
          </w:p>
          <w:p w14:paraId="2224C8F4">
            <w:pPr>
              <w:rPr>
                <w:rFonts w:hint="eastAsia"/>
                <w:color w:val="auto"/>
                <w:highlight w:val="none"/>
              </w:rPr>
            </w:pPr>
            <w:r>
              <w:rPr>
                <w:rFonts w:hint="eastAsia"/>
                <w:color w:val="auto"/>
                <w:highlight w:val="none"/>
                <w:lang w:eastAsia="zh-CN"/>
              </w:rPr>
              <w:t>开断能力：50kA</w:t>
            </w:r>
          </w:p>
        </w:tc>
        <w:tc>
          <w:tcPr>
            <w:tcW w:w="1542" w:type="pct"/>
          </w:tcPr>
          <w:p w14:paraId="7418E716">
            <w:pPr>
              <w:rPr>
                <w:rFonts w:hint="eastAsia"/>
                <w:color w:val="auto"/>
                <w:highlight w:val="none"/>
              </w:rPr>
            </w:pPr>
            <w:r>
              <w:rPr>
                <w:rFonts w:hint="eastAsia"/>
                <w:color w:val="auto"/>
                <w:highlight w:val="none"/>
                <w:lang w:eastAsia="zh-CN"/>
              </w:rPr>
              <w:t>保护PT短路故障</w:t>
            </w:r>
          </w:p>
        </w:tc>
      </w:tr>
      <w:tr w14:paraId="1F373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688" w:type="pct"/>
          </w:tcPr>
          <w:p w14:paraId="3E8B41D0">
            <w:pPr>
              <w:rPr>
                <w:rFonts w:hint="eastAsia"/>
                <w:color w:val="auto"/>
                <w:highlight w:val="none"/>
              </w:rPr>
            </w:pPr>
            <w:r>
              <w:rPr>
                <w:rFonts w:hint="eastAsia"/>
                <w:color w:val="auto"/>
                <w:highlight w:val="none"/>
                <w:lang w:eastAsia="zh-CN"/>
              </w:rPr>
              <w:t>避雷器</w:t>
            </w:r>
          </w:p>
        </w:tc>
        <w:tc>
          <w:tcPr>
            <w:tcW w:w="2769" w:type="pct"/>
          </w:tcPr>
          <w:p w14:paraId="1BEAF5F7">
            <w:pPr>
              <w:rPr>
                <w:rFonts w:hint="eastAsia"/>
                <w:color w:val="auto"/>
                <w:highlight w:val="none"/>
                <w:lang w:eastAsia="zh-CN"/>
              </w:rPr>
            </w:pPr>
            <w:r>
              <w:rPr>
                <w:rFonts w:hint="eastAsia"/>
                <w:color w:val="auto"/>
                <w:highlight w:val="none"/>
                <w:lang w:eastAsia="zh-CN"/>
              </w:rPr>
              <w:t>型号：HY5WZ-51/134</w:t>
            </w:r>
          </w:p>
          <w:p w14:paraId="6B95C3CF">
            <w:pPr>
              <w:rPr>
                <w:rFonts w:hint="eastAsia"/>
                <w:color w:val="auto"/>
                <w:highlight w:val="none"/>
              </w:rPr>
            </w:pPr>
            <w:r>
              <w:rPr>
                <w:rFonts w:hint="eastAsia"/>
                <w:color w:val="auto"/>
                <w:highlight w:val="none"/>
                <w:lang w:eastAsia="zh-CN"/>
              </w:rPr>
              <w:t>持续运行电压：40.8kV（有效值）</w:t>
            </w:r>
          </w:p>
        </w:tc>
        <w:tc>
          <w:tcPr>
            <w:tcW w:w="1542" w:type="pct"/>
          </w:tcPr>
          <w:p w14:paraId="6A846AB4">
            <w:pPr>
              <w:rPr>
                <w:rFonts w:hint="eastAsia"/>
                <w:color w:val="auto"/>
                <w:highlight w:val="none"/>
              </w:rPr>
            </w:pPr>
            <w:r>
              <w:rPr>
                <w:rFonts w:hint="eastAsia"/>
                <w:color w:val="auto"/>
                <w:highlight w:val="none"/>
                <w:lang w:eastAsia="zh-CN"/>
              </w:rPr>
              <w:t>防止操作过电压损坏PT</w:t>
            </w:r>
          </w:p>
        </w:tc>
      </w:tr>
      <w:tr w14:paraId="6D60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688" w:type="pct"/>
          </w:tcPr>
          <w:p w14:paraId="23C8D0EC">
            <w:pPr>
              <w:rPr>
                <w:rFonts w:hint="eastAsia"/>
                <w:color w:val="auto"/>
                <w:highlight w:val="none"/>
              </w:rPr>
            </w:pPr>
            <w:r>
              <w:rPr>
                <w:rFonts w:hint="eastAsia"/>
                <w:color w:val="auto"/>
                <w:highlight w:val="none"/>
                <w:lang w:val="en-US" w:eastAsia="zh-CN"/>
              </w:rPr>
              <w:t>PT</w:t>
            </w:r>
            <w:r>
              <w:rPr>
                <w:rFonts w:hint="eastAsia"/>
                <w:color w:val="auto"/>
                <w:highlight w:val="none"/>
                <w:lang w:eastAsia="zh-CN"/>
              </w:rPr>
              <w:t>手车</w:t>
            </w:r>
          </w:p>
        </w:tc>
        <w:tc>
          <w:tcPr>
            <w:tcW w:w="2769" w:type="pct"/>
          </w:tcPr>
          <w:p w14:paraId="788BCD98">
            <w:pPr>
              <w:rPr>
                <w:rFonts w:hint="eastAsia"/>
                <w:color w:val="auto"/>
                <w:highlight w:val="none"/>
                <w:lang w:eastAsia="zh-CN"/>
              </w:rPr>
            </w:pPr>
            <w:r>
              <w:rPr>
                <w:rFonts w:hint="eastAsia"/>
                <w:color w:val="auto"/>
                <w:highlight w:val="none"/>
                <w:lang w:eastAsia="zh-CN"/>
              </w:rPr>
              <w:t>额定电流：</w:t>
            </w:r>
            <w:r>
              <w:rPr>
                <w:rFonts w:hint="eastAsia"/>
                <w:color w:val="auto"/>
                <w:highlight w:val="none"/>
                <w:lang w:val="en-US" w:eastAsia="zh-CN"/>
              </w:rPr>
              <w:t>1</w:t>
            </w:r>
            <w:r>
              <w:rPr>
                <w:rFonts w:hint="eastAsia"/>
                <w:color w:val="auto"/>
                <w:highlight w:val="none"/>
                <w:lang w:eastAsia="zh-CN"/>
              </w:rPr>
              <w:t>A（与主柜匹配）</w:t>
            </w:r>
          </w:p>
          <w:p w14:paraId="243091CD">
            <w:pPr>
              <w:rPr>
                <w:rFonts w:hint="eastAsia"/>
                <w:color w:val="auto"/>
                <w:highlight w:val="none"/>
              </w:rPr>
            </w:pPr>
            <w:r>
              <w:rPr>
                <w:rFonts w:hint="eastAsia"/>
                <w:color w:val="auto"/>
                <w:highlight w:val="none"/>
                <w:lang w:eastAsia="zh-CN"/>
              </w:rPr>
              <w:t>机械寿命：≥2000次</w:t>
            </w:r>
          </w:p>
        </w:tc>
        <w:tc>
          <w:tcPr>
            <w:tcW w:w="1542" w:type="pct"/>
          </w:tcPr>
          <w:p w14:paraId="2ECD3947">
            <w:pPr>
              <w:rPr>
                <w:rFonts w:hint="eastAsia"/>
                <w:color w:val="auto"/>
                <w:highlight w:val="none"/>
              </w:rPr>
            </w:pPr>
            <w:r>
              <w:rPr>
                <w:rFonts w:hint="eastAsia"/>
                <w:color w:val="auto"/>
                <w:highlight w:val="none"/>
                <w:lang w:eastAsia="zh-CN"/>
              </w:rPr>
              <w:t>带位置指示及闭锁装置</w:t>
            </w:r>
          </w:p>
        </w:tc>
      </w:tr>
      <w:tr w14:paraId="59521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88" w:type="pct"/>
          </w:tcPr>
          <w:p w14:paraId="22521B5F">
            <w:pPr>
              <w:rPr>
                <w:rFonts w:hint="eastAsia"/>
                <w:color w:val="auto"/>
                <w:highlight w:val="none"/>
              </w:rPr>
            </w:pPr>
            <w:r>
              <w:rPr>
                <w:rFonts w:hint="eastAsia"/>
                <w:color w:val="auto"/>
                <w:highlight w:val="none"/>
                <w:lang w:eastAsia="zh-CN"/>
              </w:rPr>
              <w:t>二次回路</w:t>
            </w:r>
          </w:p>
        </w:tc>
        <w:tc>
          <w:tcPr>
            <w:tcW w:w="2769" w:type="pct"/>
          </w:tcPr>
          <w:p w14:paraId="0D29996A">
            <w:pPr>
              <w:rPr>
                <w:rFonts w:hint="eastAsia"/>
                <w:color w:val="auto"/>
                <w:highlight w:val="none"/>
                <w:lang w:eastAsia="zh-CN"/>
              </w:rPr>
            </w:pPr>
          </w:p>
          <w:p w14:paraId="7BCE8956">
            <w:pPr>
              <w:rPr>
                <w:rFonts w:hint="eastAsia"/>
                <w:color w:val="auto"/>
                <w:highlight w:val="none"/>
              </w:rPr>
            </w:pPr>
            <w:r>
              <w:rPr>
                <w:rFonts w:hint="eastAsia"/>
                <w:color w:val="auto"/>
                <w:highlight w:val="none"/>
                <w:lang w:eastAsia="zh-CN"/>
              </w:rPr>
              <w:t>消谐装置：加装一次消谐器（如LXQ）</w:t>
            </w:r>
          </w:p>
        </w:tc>
        <w:tc>
          <w:tcPr>
            <w:tcW w:w="1542" w:type="pct"/>
          </w:tcPr>
          <w:p w14:paraId="6B50FE3F">
            <w:pPr>
              <w:rPr>
                <w:rFonts w:hint="eastAsia"/>
                <w:color w:val="auto"/>
                <w:highlight w:val="none"/>
              </w:rPr>
            </w:pPr>
            <w:r>
              <w:rPr>
                <w:rFonts w:hint="eastAsia"/>
                <w:color w:val="auto"/>
                <w:highlight w:val="none"/>
                <w:lang w:eastAsia="zh-CN"/>
              </w:rPr>
              <w:t>防铁磁谐振</w:t>
            </w:r>
          </w:p>
        </w:tc>
      </w:tr>
      <w:tr w14:paraId="30259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688" w:type="pct"/>
            <w:shd w:val="clear" w:color="auto" w:fill="auto"/>
            <w:vAlign w:val="top"/>
          </w:tcPr>
          <w:p w14:paraId="465EE678">
            <w:pPr>
              <w:rPr>
                <w:rFonts w:hint="eastAsia"/>
                <w:color w:val="auto"/>
                <w:highlight w:val="none"/>
                <w:lang w:val="en-US" w:eastAsia="zh-CN"/>
              </w:rPr>
            </w:pPr>
            <w:r>
              <w:rPr>
                <w:rFonts w:hint="eastAsia"/>
                <w:color w:val="auto"/>
                <w:highlight w:val="none"/>
              </w:rPr>
              <w:t>柜体要求</w:t>
            </w:r>
          </w:p>
        </w:tc>
        <w:tc>
          <w:tcPr>
            <w:tcW w:w="2769" w:type="pct"/>
            <w:shd w:val="clear" w:color="auto" w:fill="auto"/>
            <w:vAlign w:val="top"/>
          </w:tcPr>
          <w:p w14:paraId="2C3A1816">
            <w:pPr>
              <w:rPr>
                <w:rFonts w:hint="eastAsia"/>
                <w:color w:val="auto"/>
                <w:highlight w:val="none"/>
              </w:rPr>
            </w:pPr>
            <w:r>
              <w:rPr>
                <w:rFonts w:hint="eastAsia"/>
                <w:color w:val="auto"/>
                <w:highlight w:val="none"/>
              </w:rPr>
              <w:t>防护等级：IP4X（柜体）/IP2X（隔室）</w:t>
            </w:r>
          </w:p>
          <w:p w14:paraId="07549453">
            <w:pPr>
              <w:rPr>
                <w:rFonts w:hint="eastAsia"/>
                <w:color w:val="auto"/>
                <w:highlight w:val="none"/>
                <w:lang w:val="en-US" w:eastAsia="zh-CN"/>
              </w:rPr>
            </w:pPr>
            <w:r>
              <w:rPr>
                <w:rFonts w:hint="eastAsia"/>
                <w:color w:val="auto"/>
                <w:highlight w:val="none"/>
              </w:rPr>
              <w:t>尺寸：1</w:t>
            </w:r>
            <w:r>
              <w:rPr>
                <w:rFonts w:hint="eastAsia"/>
                <w:color w:val="auto"/>
                <w:highlight w:val="none"/>
                <w:lang w:val="en-US" w:eastAsia="zh-CN"/>
              </w:rPr>
              <w:t>4</w:t>
            </w:r>
            <w:r>
              <w:rPr>
                <w:rFonts w:hint="eastAsia"/>
                <w:color w:val="auto"/>
                <w:highlight w:val="none"/>
              </w:rPr>
              <w:t>00×2</w:t>
            </w:r>
            <w:r>
              <w:rPr>
                <w:rFonts w:hint="eastAsia"/>
                <w:color w:val="auto"/>
                <w:highlight w:val="none"/>
                <w:lang w:val="en-US" w:eastAsia="zh-CN"/>
              </w:rPr>
              <w:t>6</w:t>
            </w:r>
            <w:r>
              <w:rPr>
                <w:rFonts w:hint="eastAsia"/>
                <w:color w:val="auto"/>
                <w:highlight w:val="none"/>
              </w:rPr>
              <w:t>00×2</w:t>
            </w:r>
            <w:r>
              <w:rPr>
                <w:rFonts w:hint="eastAsia"/>
                <w:color w:val="auto"/>
                <w:highlight w:val="none"/>
                <w:lang w:val="en-US" w:eastAsia="zh-CN"/>
              </w:rPr>
              <w:t>8</w:t>
            </w:r>
            <w:r>
              <w:rPr>
                <w:rFonts w:hint="eastAsia"/>
                <w:color w:val="auto"/>
                <w:highlight w:val="none"/>
              </w:rPr>
              <w:t>00mm（宽×高×深）</w:t>
            </w:r>
            <w:r>
              <w:rPr>
                <w:rFonts w:hint="eastAsia"/>
                <w:color w:val="auto"/>
                <w:highlight w:val="none"/>
                <w:lang w:eastAsia="zh-CN"/>
              </w:rPr>
              <w:t>（</w:t>
            </w:r>
            <w:r>
              <w:rPr>
                <w:rFonts w:hint="eastAsia"/>
                <w:color w:val="auto"/>
                <w:highlight w:val="none"/>
                <w:lang w:val="en-US" w:eastAsia="zh-CN"/>
              </w:rPr>
              <w:t>除高度外，长跟深不大于此尺寸</w:t>
            </w:r>
            <w:r>
              <w:rPr>
                <w:rFonts w:hint="eastAsia"/>
                <w:color w:val="auto"/>
                <w:highlight w:val="none"/>
                <w:lang w:eastAsia="zh-CN"/>
              </w:rPr>
              <w:t>）</w:t>
            </w:r>
          </w:p>
        </w:tc>
        <w:tc>
          <w:tcPr>
            <w:tcW w:w="1542" w:type="pct"/>
            <w:shd w:val="clear" w:color="auto" w:fill="auto"/>
            <w:vAlign w:val="top"/>
          </w:tcPr>
          <w:p w14:paraId="0B258126">
            <w:pPr>
              <w:rPr>
                <w:rFonts w:hint="eastAsia"/>
                <w:color w:val="auto"/>
                <w:highlight w:val="none"/>
                <w:lang w:val="en-US" w:eastAsia="zh-CN"/>
              </w:rPr>
            </w:pPr>
            <w:r>
              <w:rPr>
                <w:rFonts w:hint="eastAsia"/>
                <w:color w:val="auto"/>
                <w:highlight w:val="none"/>
              </w:rPr>
              <w:t>KYN61-40.5标准柜型</w:t>
            </w:r>
            <w:r>
              <w:rPr>
                <w:rFonts w:hint="eastAsia"/>
                <w:color w:val="auto"/>
                <w:highlight w:val="none"/>
                <w:lang w:eastAsia="zh-CN"/>
              </w:rPr>
              <w:t>（</w:t>
            </w:r>
            <w:r>
              <w:rPr>
                <w:rFonts w:hint="eastAsia"/>
                <w:color w:val="auto"/>
                <w:highlight w:val="none"/>
                <w:lang w:val="en-US" w:eastAsia="zh-CN"/>
              </w:rPr>
              <w:t>含带电显示装置、电气五防联锁及柜门电磁闭锁装置等</w:t>
            </w:r>
            <w:r>
              <w:rPr>
                <w:rFonts w:hint="eastAsia"/>
                <w:color w:val="auto"/>
                <w:highlight w:val="none"/>
                <w:lang w:eastAsia="zh-CN"/>
              </w:rPr>
              <w:t>）</w:t>
            </w:r>
          </w:p>
        </w:tc>
      </w:tr>
    </w:tbl>
    <w:p w14:paraId="2EC4BBCC">
      <w:pPr>
        <w:pStyle w:val="6"/>
        <w:numPr>
          <w:ilvl w:val="0"/>
          <w:numId w:val="0"/>
        </w:numPr>
        <w:bidi w:val="0"/>
        <w:ind w:leftChars="0"/>
        <w:rPr>
          <w:rFonts w:hint="eastAsia"/>
          <w:color w:val="auto"/>
          <w:sz w:val="24"/>
          <w:szCs w:val="24"/>
          <w:highlight w:val="none"/>
        </w:rPr>
      </w:pPr>
    </w:p>
    <w:p w14:paraId="43C1D6B1">
      <w:pPr>
        <w:pStyle w:val="6"/>
        <w:numPr>
          <w:ilvl w:val="0"/>
          <w:numId w:val="0"/>
        </w:numPr>
        <w:bidi w:val="0"/>
        <w:ind w:left="0" w:leftChars="0" w:firstLine="0" w:firstLineChars="0"/>
        <w:rPr>
          <w:rFonts w:hint="eastAsia"/>
          <w:color w:val="auto"/>
          <w:sz w:val="28"/>
          <w:szCs w:val="28"/>
          <w:highlight w:val="none"/>
        </w:rPr>
      </w:pPr>
      <w:r>
        <w:rPr>
          <w:rFonts w:hint="eastAsia" w:cstheme="minorBidi"/>
          <w:b/>
          <w:color w:val="auto"/>
          <w:kern w:val="44"/>
          <w:sz w:val="28"/>
          <w:szCs w:val="28"/>
          <w:highlight w:val="none"/>
          <w:lang w:val="en-US" w:eastAsia="zh-CN" w:bidi="ar-SA"/>
        </w:rPr>
        <w:t>五</w:t>
      </w:r>
      <w:r>
        <w:rPr>
          <w:rFonts w:hint="eastAsia" w:asciiTheme="minorAscii" w:hAnsiTheme="minorAscii" w:eastAsiaTheme="minorEastAsia" w:cstheme="minorBidi"/>
          <w:b/>
          <w:color w:val="auto"/>
          <w:kern w:val="44"/>
          <w:sz w:val="28"/>
          <w:szCs w:val="28"/>
          <w:highlight w:val="none"/>
          <w:lang w:val="en-US" w:eastAsia="zh-CN" w:bidi="ar-SA"/>
        </w:rPr>
        <w:t>、</w:t>
      </w:r>
      <w:r>
        <w:rPr>
          <w:rFonts w:hint="eastAsia"/>
          <w:color w:val="auto"/>
          <w:sz w:val="28"/>
          <w:szCs w:val="28"/>
          <w:highlight w:val="none"/>
        </w:rPr>
        <w:t>关键参数校验</w:t>
      </w:r>
    </w:p>
    <w:p w14:paraId="3E54CE5D">
      <w:pPr>
        <w:pStyle w:val="8"/>
        <w:bidi w:val="0"/>
        <w:rPr>
          <w:rFonts w:hint="default"/>
          <w:color w:val="auto"/>
          <w:sz w:val="24"/>
          <w:szCs w:val="24"/>
          <w:highlight w:val="none"/>
          <w:lang w:val="en-US" w:eastAsia="zh-CN"/>
        </w:rPr>
      </w:pPr>
      <w:r>
        <w:rPr>
          <w:rFonts w:hint="eastAsia"/>
          <w:color w:val="auto"/>
          <w:sz w:val="24"/>
          <w:szCs w:val="24"/>
          <w:highlight w:val="none"/>
          <w:lang w:val="en-US" w:eastAsia="zh-CN"/>
        </w:rPr>
        <w:t>高压柜：</w:t>
      </w:r>
    </w:p>
    <w:p w14:paraId="3AC81C4C">
      <w:pPr>
        <w:rPr>
          <w:rFonts w:hint="eastAsia"/>
          <w:color w:val="auto"/>
          <w:sz w:val="24"/>
          <w:szCs w:val="24"/>
          <w:highlight w:val="none"/>
        </w:rPr>
      </w:pPr>
      <w:r>
        <w:rPr>
          <w:rFonts w:hint="eastAsia"/>
          <w:color w:val="auto"/>
          <w:sz w:val="24"/>
          <w:szCs w:val="24"/>
          <w:highlight w:val="none"/>
        </w:rPr>
        <w:t>1.断路器校验：</w:t>
      </w:r>
    </w:p>
    <w:p w14:paraId="1A92EDC3">
      <w:pPr>
        <w:rPr>
          <w:rFonts w:hint="eastAsia"/>
          <w:color w:val="auto"/>
          <w:sz w:val="24"/>
          <w:szCs w:val="24"/>
          <w:highlight w:val="none"/>
        </w:rPr>
      </w:pPr>
      <w:r>
        <w:rPr>
          <w:rFonts w:hint="eastAsia"/>
          <w:color w:val="auto"/>
          <w:sz w:val="24"/>
          <w:szCs w:val="24"/>
          <w:highlight w:val="none"/>
        </w:rPr>
        <w:t>额定电流</w:t>
      </w:r>
      <w:r>
        <w:rPr>
          <w:rFonts w:hint="eastAsia"/>
          <w:color w:val="auto"/>
          <w:sz w:val="24"/>
          <w:szCs w:val="24"/>
          <w:highlight w:val="none"/>
          <w:lang w:val="en-US" w:eastAsia="zh-CN"/>
        </w:rPr>
        <w:t>1250</w:t>
      </w:r>
      <w:r>
        <w:rPr>
          <w:rFonts w:hint="eastAsia"/>
          <w:color w:val="auto"/>
          <w:sz w:val="24"/>
          <w:szCs w:val="24"/>
          <w:highlight w:val="none"/>
        </w:rPr>
        <w:t>A&gt;330A（实际负载），满足要求。</w:t>
      </w:r>
    </w:p>
    <w:p w14:paraId="5D0A5C9F">
      <w:pPr>
        <w:rPr>
          <w:rFonts w:hint="eastAsia"/>
          <w:color w:val="auto"/>
          <w:sz w:val="24"/>
          <w:szCs w:val="24"/>
          <w:highlight w:val="none"/>
        </w:rPr>
      </w:pPr>
      <w:r>
        <w:rPr>
          <w:rFonts w:hint="eastAsia"/>
          <w:color w:val="auto"/>
          <w:sz w:val="24"/>
          <w:szCs w:val="24"/>
          <w:highlight w:val="none"/>
        </w:rPr>
        <w:t>开断能力31.5kA&gt;系统短路电流（需根据实际短路容量复核，一般35kV系统短路电流≤25kA）。</w:t>
      </w:r>
    </w:p>
    <w:p w14:paraId="5AAD3380">
      <w:pPr>
        <w:rPr>
          <w:rFonts w:hint="eastAsia"/>
          <w:color w:val="auto"/>
          <w:sz w:val="24"/>
          <w:szCs w:val="24"/>
          <w:highlight w:val="none"/>
        </w:rPr>
      </w:pPr>
      <w:r>
        <w:rPr>
          <w:rFonts w:hint="eastAsia"/>
          <w:color w:val="auto"/>
          <w:sz w:val="24"/>
          <w:szCs w:val="24"/>
          <w:highlight w:val="none"/>
        </w:rPr>
        <w:t>2.动/热稳定校验：</w:t>
      </w:r>
    </w:p>
    <w:p w14:paraId="1F2A37C0">
      <w:pPr>
        <w:rPr>
          <w:rFonts w:hint="eastAsia"/>
          <w:color w:val="auto"/>
          <w:sz w:val="24"/>
          <w:szCs w:val="24"/>
          <w:highlight w:val="none"/>
        </w:rPr>
      </w:pPr>
      <w:r>
        <w:rPr>
          <w:rFonts w:hint="eastAsia"/>
          <w:color w:val="auto"/>
          <w:sz w:val="24"/>
          <w:szCs w:val="24"/>
          <w:highlight w:val="none"/>
        </w:rPr>
        <w:t>断路器额定短时耐受电流（4s,31.5kA）需大于系统预期短路电流。</w:t>
      </w:r>
    </w:p>
    <w:p w14:paraId="25730FBD">
      <w:pPr>
        <w:rPr>
          <w:rFonts w:hint="eastAsia"/>
          <w:color w:val="auto"/>
          <w:sz w:val="24"/>
          <w:szCs w:val="24"/>
          <w:highlight w:val="none"/>
        </w:rPr>
      </w:pPr>
      <w:r>
        <w:rPr>
          <w:rFonts w:hint="eastAsia"/>
          <w:color w:val="auto"/>
          <w:sz w:val="24"/>
          <w:szCs w:val="24"/>
          <w:highlight w:val="none"/>
        </w:rPr>
        <w:t>3.绝缘水平：</w:t>
      </w:r>
    </w:p>
    <w:p w14:paraId="3FE1C2BC">
      <w:pPr>
        <w:rPr>
          <w:rFonts w:hint="eastAsia"/>
          <w:color w:val="auto"/>
          <w:sz w:val="24"/>
          <w:szCs w:val="24"/>
          <w:highlight w:val="none"/>
        </w:rPr>
      </w:pPr>
      <w:r>
        <w:rPr>
          <w:rFonts w:hint="eastAsia"/>
          <w:color w:val="auto"/>
          <w:sz w:val="24"/>
          <w:szCs w:val="24"/>
          <w:highlight w:val="none"/>
        </w:rPr>
        <w:t>工频耐压：95kV/1min</w:t>
      </w:r>
    </w:p>
    <w:p w14:paraId="58DEBF1B">
      <w:pPr>
        <w:rPr>
          <w:rFonts w:hint="eastAsia"/>
          <w:color w:val="auto"/>
          <w:sz w:val="24"/>
          <w:szCs w:val="24"/>
          <w:highlight w:val="none"/>
        </w:rPr>
      </w:pPr>
      <w:r>
        <w:rPr>
          <w:rFonts w:hint="eastAsia"/>
          <w:color w:val="auto"/>
          <w:sz w:val="24"/>
          <w:szCs w:val="24"/>
          <w:highlight w:val="none"/>
        </w:rPr>
        <w:t>雷电冲击耐压：185kV（峰值）</w:t>
      </w:r>
    </w:p>
    <w:p w14:paraId="638449DF">
      <w:pPr>
        <w:pStyle w:val="8"/>
        <w:bidi w:val="0"/>
        <w:rPr>
          <w:rFonts w:hint="default"/>
          <w:color w:val="auto"/>
          <w:sz w:val="24"/>
          <w:szCs w:val="24"/>
          <w:highlight w:val="none"/>
          <w:lang w:val="en-US" w:eastAsia="zh-CN"/>
        </w:rPr>
      </w:pPr>
      <w:r>
        <w:rPr>
          <w:rFonts w:hint="eastAsia"/>
          <w:color w:val="auto"/>
          <w:sz w:val="24"/>
          <w:szCs w:val="24"/>
          <w:highlight w:val="none"/>
          <w:lang w:val="en-US" w:eastAsia="zh-CN"/>
        </w:rPr>
        <w:t>PT柜（含配套PT隔离开关、高压熔断器等）：</w:t>
      </w:r>
    </w:p>
    <w:p w14:paraId="59141A68">
      <w:pPr>
        <w:rPr>
          <w:rFonts w:hint="eastAsia"/>
          <w:color w:val="auto"/>
          <w:sz w:val="24"/>
          <w:szCs w:val="24"/>
          <w:highlight w:val="none"/>
        </w:rPr>
      </w:pPr>
      <w:r>
        <w:rPr>
          <w:rFonts w:hint="eastAsia"/>
          <w:color w:val="auto"/>
          <w:sz w:val="24"/>
          <w:szCs w:val="24"/>
          <w:highlight w:val="none"/>
        </w:rPr>
        <w:t>1</w:t>
      </w:r>
      <w:r>
        <w:rPr>
          <w:rFonts w:hint="eastAsia"/>
          <w:color w:val="auto"/>
          <w:sz w:val="24"/>
          <w:szCs w:val="24"/>
          <w:highlight w:val="none"/>
          <w:lang w:eastAsia="zh-CN"/>
        </w:rPr>
        <w:t>、</w:t>
      </w:r>
      <w:r>
        <w:rPr>
          <w:rFonts w:hint="eastAsia"/>
          <w:color w:val="auto"/>
          <w:sz w:val="24"/>
          <w:szCs w:val="24"/>
          <w:highlight w:val="none"/>
        </w:rPr>
        <w:t>PT容量校验：</w:t>
      </w:r>
    </w:p>
    <w:p w14:paraId="22861D92">
      <w:pPr>
        <w:rPr>
          <w:rFonts w:hint="eastAsia"/>
          <w:color w:val="auto"/>
          <w:sz w:val="24"/>
          <w:szCs w:val="24"/>
          <w:highlight w:val="none"/>
        </w:rPr>
      </w:pPr>
      <w:r>
        <w:rPr>
          <w:rFonts w:hint="eastAsia"/>
          <w:color w:val="auto"/>
          <w:sz w:val="24"/>
          <w:szCs w:val="24"/>
          <w:highlight w:val="none"/>
        </w:rPr>
        <w:t>单台PT额定容量：≥50VA（0.2级）+100VA（3P级）</w:t>
      </w:r>
    </w:p>
    <w:p w14:paraId="3ABF39DE">
      <w:pPr>
        <w:rPr>
          <w:rFonts w:hint="default" w:eastAsiaTheme="minorEastAsia"/>
          <w:color w:val="auto"/>
          <w:sz w:val="24"/>
          <w:szCs w:val="24"/>
          <w:highlight w:val="none"/>
          <w:lang w:val="en-US" w:eastAsia="zh-CN"/>
        </w:rPr>
      </w:pPr>
      <w:r>
        <w:rPr>
          <w:rFonts w:hint="eastAsia"/>
          <w:color w:val="auto"/>
          <w:sz w:val="24"/>
          <w:szCs w:val="24"/>
          <w:highlight w:val="none"/>
          <w:lang w:val="en-US" w:eastAsia="zh-CN"/>
        </w:rPr>
        <w:t>额定电压：40.5KV</w:t>
      </w:r>
    </w:p>
    <w:p w14:paraId="0926D9A5">
      <w:pPr>
        <w:rPr>
          <w:rFonts w:hint="eastAsia"/>
          <w:color w:val="auto"/>
          <w:sz w:val="24"/>
          <w:szCs w:val="24"/>
          <w:highlight w:val="none"/>
        </w:rPr>
      </w:pPr>
      <w:r>
        <w:rPr>
          <w:rFonts w:hint="eastAsia"/>
          <w:color w:val="auto"/>
          <w:sz w:val="24"/>
          <w:szCs w:val="24"/>
          <w:highlight w:val="none"/>
        </w:rPr>
        <w:t>实际负载需计算（包括计量表计、保护装置、同期装置等二次设备总负荷）。</w:t>
      </w:r>
    </w:p>
    <w:p w14:paraId="7C85D3B6">
      <w:pPr>
        <w:rPr>
          <w:rFonts w:hint="eastAsia"/>
          <w:color w:val="auto"/>
          <w:sz w:val="24"/>
          <w:szCs w:val="24"/>
          <w:highlight w:val="none"/>
        </w:rPr>
      </w:pPr>
      <w:r>
        <w:rPr>
          <w:rFonts w:hint="eastAsia"/>
          <w:color w:val="auto"/>
          <w:sz w:val="24"/>
          <w:szCs w:val="24"/>
          <w:highlight w:val="none"/>
        </w:rPr>
        <w:t>2</w:t>
      </w:r>
      <w:r>
        <w:rPr>
          <w:rFonts w:hint="eastAsia"/>
          <w:color w:val="auto"/>
          <w:sz w:val="24"/>
          <w:szCs w:val="24"/>
          <w:highlight w:val="none"/>
          <w:lang w:eastAsia="zh-CN"/>
        </w:rPr>
        <w:t>、</w:t>
      </w:r>
      <w:r>
        <w:rPr>
          <w:rFonts w:hint="eastAsia"/>
          <w:color w:val="auto"/>
          <w:sz w:val="24"/>
          <w:szCs w:val="24"/>
          <w:highlight w:val="none"/>
        </w:rPr>
        <w:t>熔断器选型校验：</w:t>
      </w:r>
    </w:p>
    <w:p w14:paraId="3BB12AD8">
      <w:pPr>
        <w:rPr>
          <w:rFonts w:hint="eastAsia"/>
          <w:color w:val="auto"/>
          <w:sz w:val="24"/>
          <w:szCs w:val="24"/>
          <w:highlight w:val="none"/>
        </w:rPr>
      </w:pPr>
      <w:r>
        <w:rPr>
          <w:rFonts w:hint="eastAsia"/>
          <w:color w:val="auto"/>
          <w:sz w:val="24"/>
          <w:szCs w:val="24"/>
          <w:highlight w:val="none"/>
        </w:rPr>
        <w:t>熔断电流1A需大于PT励磁涌流（通常为0.1~0.3A），同时满足系统短路时快速熔断。</w:t>
      </w:r>
    </w:p>
    <w:p w14:paraId="769F3DBC">
      <w:pPr>
        <w:rPr>
          <w:rFonts w:hint="eastAsia"/>
          <w:color w:val="auto"/>
          <w:sz w:val="24"/>
          <w:szCs w:val="24"/>
          <w:highlight w:val="none"/>
        </w:rPr>
      </w:pPr>
      <w:r>
        <w:rPr>
          <w:rFonts w:hint="eastAsia"/>
          <w:color w:val="auto"/>
          <w:sz w:val="24"/>
          <w:szCs w:val="24"/>
          <w:highlight w:val="none"/>
        </w:rPr>
        <w:t>3</w:t>
      </w:r>
      <w:r>
        <w:rPr>
          <w:rFonts w:hint="eastAsia"/>
          <w:color w:val="auto"/>
          <w:sz w:val="24"/>
          <w:szCs w:val="24"/>
          <w:highlight w:val="none"/>
          <w:lang w:eastAsia="zh-CN"/>
        </w:rPr>
        <w:t>、</w:t>
      </w:r>
      <w:r>
        <w:rPr>
          <w:rFonts w:hint="eastAsia"/>
          <w:color w:val="auto"/>
          <w:sz w:val="24"/>
          <w:szCs w:val="24"/>
          <w:highlight w:val="none"/>
        </w:rPr>
        <w:t>绝缘水平：</w:t>
      </w:r>
    </w:p>
    <w:p w14:paraId="7C5CECDF">
      <w:pPr>
        <w:rPr>
          <w:rFonts w:hint="eastAsia"/>
          <w:color w:val="auto"/>
          <w:sz w:val="24"/>
          <w:szCs w:val="24"/>
          <w:highlight w:val="none"/>
        </w:rPr>
      </w:pPr>
      <w:r>
        <w:rPr>
          <w:rFonts w:hint="eastAsia"/>
          <w:color w:val="auto"/>
          <w:sz w:val="24"/>
          <w:szCs w:val="24"/>
          <w:highlight w:val="none"/>
        </w:rPr>
        <w:t>工频耐压：95kV/1min</w:t>
      </w:r>
    </w:p>
    <w:p w14:paraId="00043884">
      <w:pPr>
        <w:rPr>
          <w:rFonts w:hint="eastAsia"/>
          <w:color w:val="auto"/>
          <w:sz w:val="24"/>
          <w:szCs w:val="24"/>
          <w:highlight w:val="none"/>
        </w:rPr>
      </w:pPr>
      <w:r>
        <w:rPr>
          <w:rFonts w:hint="eastAsia"/>
          <w:color w:val="auto"/>
          <w:sz w:val="24"/>
          <w:szCs w:val="24"/>
          <w:highlight w:val="none"/>
        </w:rPr>
        <w:t>雷电冲击耐压：185kV（峰值）</w:t>
      </w:r>
    </w:p>
    <w:p w14:paraId="2E9BAF1E">
      <w:pPr>
        <w:rPr>
          <w:rFonts w:hint="default"/>
          <w:color w:val="auto"/>
          <w:highlight w:val="none"/>
          <w:lang w:val="en-US" w:eastAsia="zh-CN"/>
        </w:rPr>
      </w:pPr>
      <w:r>
        <w:rPr>
          <w:rFonts w:hint="eastAsia"/>
          <w:color w:val="auto"/>
          <w:highlight w:val="none"/>
          <w:lang w:val="en-US" w:eastAsia="zh-CN"/>
        </w:rPr>
        <w:t>4、本PT柜型式为固定PT+PT手车隔离。</w:t>
      </w:r>
    </w:p>
    <w:p w14:paraId="60765A7A">
      <w:pPr>
        <w:rPr>
          <w:rFonts w:hint="default"/>
          <w:color w:val="auto"/>
          <w:highlight w:val="none"/>
          <w:lang w:val="en-US" w:eastAsia="zh-CN"/>
        </w:rPr>
      </w:pPr>
      <w:r>
        <w:rPr>
          <w:rFonts w:hint="eastAsia"/>
          <w:color w:val="auto"/>
          <w:highlight w:val="none"/>
          <w:lang w:val="en-US" w:eastAsia="zh-CN"/>
        </w:rPr>
        <w:t>5、柜体尺寸需与开关柜匹配。</w:t>
      </w:r>
    </w:p>
    <w:p w14:paraId="68FAAF8F">
      <w:pPr>
        <w:rPr>
          <w:rFonts w:hint="eastAsia"/>
          <w:color w:val="auto"/>
          <w:sz w:val="24"/>
          <w:szCs w:val="24"/>
          <w:highlight w:val="none"/>
        </w:rPr>
      </w:pPr>
    </w:p>
    <w:p w14:paraId="30EAC521">
      <w:pPr>
        <w:pStyle w:val="6"/>
        <w:bidi w:val="0"/>
        <w:rPr>
          <w:rFonts w:hint="eastAsia"/>
          <w:color w:val="auto"/>
          <w:sz w:val="28"/>
          <w:szCs w:val="28"/>
          <w:highlight w:val="none"/>
          <w:lang w:eastAsia="zh-CN"/>
        </w:rPr>
      </w:pPr>
      <w:r>
        <w:rPr>
          <w:rFonts w:hint="eastAsia"/>
          <w:color w:val="auto"/>
          <w:sz w:val="28"/>
          <w:szCs w:val="28"/>
          <w:highlight w:val="none"/>
          <w:lang w:val="en-US" w:eastAsia="zh-CN"/>
        </w:rPr>
        <w:t>六</w:t>
      </w:r>
      <w:r>
        <w:rPr>
          <w:rFonts w:hint="eastAsia"/>
          <w:color w:val="auto"/>
          <w:sz w:val="28"/>
          <w:szCs w:val="28"/>
          <w:highlight w:val="none"/>
        </w:rPr>
        <w:t>、其他配置</w:t>
      </w:r>
    </w:p>
    <w:p w14:paraId="58057A32">
      <w:pPr>
        <w:rPr>
          <w:rFonts w:hint="eastAsia"/>
          <w:color w:val="auto"/>
          <w:sz w:val="24"/>
          <w:szCs w:val="24"/>
          <w:highlight w:val="none"/>
        </w:rPr>
      </w:pPr>
      <w:r>
        <w:rPr>
          <w:rFonts w:hint="eastAsia"/>
          <w:color w:val="auto"/>
          <w:sz w:val="24"/>
          <w:szCs w:val="24"/>
          <w:highlight w:val="none"/>
        </w:rPr>
        <w:t>1</w:t>
      </w:r>
      <w:r>
        <w:rPr>
          <w:rFonts w:hint="eastAsia"/>
          <w:color w:val="auto"/>
          <w:sz w:val="24"/>
          <w:szCs w:val="24"/>
          <w:highlight w:val="none"/>
          <w:lang w:eastAsia="zh-CN"/>
        </w:rPr>
        <w:t>、</w:t>
      </w:r>
      <w:r>
        <w:rPr>
          <w:rFonts w:hint="eastAsia"/>
          <w:color w:val="auto"/>
          <w:sz w:val="24"/>
          <w:szCs w:val="24"/>
          <w:highlight w:val="none"/>
        </w:rPr>
        <w:t>五防联锁：确保断路器、接地开关、柜门之间的强制机械闭锁。PT手车与接地开关联锁：手车处于“试验位置”才可合接地刀闸</w:t>
      </w:r>
      <w:r>
        <w:rPr>
          <w:rFonts w:hint="eastAsia"/>
          <w:color w:val="auto"/>
          <w:sz w:val="24"/>
          <w:szCs w:val="24"/>
          <w:highlight w:val="none"/>
          <w:lang w:eastAsia="zh-CN"/>
        </w:rPr>
        <w:t>。</w:t>
      </w:r>
      <w:r>
        <w:rPr>
          <w:rFonts w:hint="eastAsia"/>
          <w:color w:val="auto"/>
          <w:sz w:val="24"/>
          <w:szCs w:val="24"/>
          <w:highlight w:val="none"/>
        </w:rPr>
        <w:t>PT柜门与高压带电显示装置联锁：柜门开启时自动接地。</w:t>
      </w:r>
    </w:p>
    <w:p w14:paraId="4104B302">
      <w:pPr>
        <w:rPr>
          <w:rFonts w:hint="eastAsia"/>
          <w:color w:val="auto"/>
          <w:sz w:val="24"/>
          <w:szCs w:val="24"/>
          <w:highlight w:val="none"/>
        </w:rPr>
      </w:pPr>
      <w:r>
        <w:rPr>
          <w:rFonts w:hint="eastAsia"/>
          <w:color w:val="auto"/>
          <w:sz w:val="24"/>
          <w:szCs w:val="24"/>
          <w:highlight w:val="none"/>
        </w:rPr>
        <w:t>2</w:t>
      </w:r>
      <w:r>
        <w:rPr>
          <w:rFonts w:hint="eastAsia"/>
          <w:color w:val="auto"/>
          <w:sz w:val="24"/>
          <w:szCs w:val="24"/>
          <w:highlight w:val="none"/>
          <w:lang w:eastAsia="zh-CN"/>
        </w:rPr>
        <w:t>、</w:t>
      </w:r>
      <w:r>
        <w:rPr>
          <w:rFonts w:hint="eastAsia"/>
          <w:color w:val="auto"/>
          <w:sz w:val="24"/>
          <w:szCs w:val="24"/>
          <w:highlight w:val="none"/>
        </w:rPr>
        <w:t>温升控制：柜内母排选TMY-80×10铜排，镀银处理，温升≤65K。</w:t>
      </w:r>
    </w:p>
    <w:p w14:paraId="6A0FC456">
      <w:pPr>
        <w:rPr>
          <w:rFonts w:hint="default"/>
          <w:color w:val="auto"/>
          <w:sz w:val="24"/>
          <w:szCs w:val="24"/>
          <w:highlight w:val="none"/>
          <w:lang w:val="en-US" w:eastAsia="zh-CN"/>
        </w:rPr>
      </w:pPr>
      <w:r>
        <w:rPr>
          <w:rFonts w:hint="eastAsia"/>
          <w:color w:val="auto"/>
          <w:sz w:val="24"/>
          <w:szCs w:val="24"/>
          <w:highlight w:val="none"/>
          <w:lang w:val="en-US" w:eastAsia="zh-CN"/>
        </w:rPr>
        <w:t>3、绝缘套管、触头盒：句容华正品牌或同等及以上国内优质品牌穿墙绝缘套管、触头盒等</w:t>
      </w:r>
      <w:r>
        <w:rPr>
          <w:rFonts w:hint="eastAsia"/>
          <w:strike w:val="0"/>
          <w:color w:val="auto"/>
          <w:sz w:val="24"/>
          <w:szCs w:val="24"/>
          <w:highlight w:val="none"/>
          <w:lang w:val="en-US" w:eastAsia="zh-CN"/>
        </w:rPr>
        <w:t>以确保开关柜主要绝缘元件的质量。</w:t>
      </w:r>
    </w:p>
    <w:p w14:paraId="09A1F91F">
      <w:pPr>
        <w:rPr>
          <w:rFonts w:hint="eastAsia"/>
          <w:color w:val="auto"/>
          <w:sz w:val="24"/>
          <w:szCs w:val="24"/>
          <w:highlight w:val="none"/>
          <w:lang w:val="en-US" w:eastAsia="zh-CN"/>
        </w:rPr>
      </w:pPr>
      <w:r>
        <w:rPr>
          <w:rFonts w:hint="eastAsia"/>
          <w:color w:val="auto"/>
          <w:sz w:val="24"/>
          <w:szCs w:val="24"/>
          <w:highlight w:val="none"/>
          <w:lang w:val="en-US" w:eastAsia="zh-CN"/>
        </w:rPr>
        <w:t>4、凝露控制、柜门闭锁及柜内加热器等。</w:t>
      </w:r>
    </w:p>
    <w:p w14:paraId="63EABBDF">
      <w:pPr>
        <w:rPr>
          <w:rFonts w:hint="default"/>
          <w:color w:val="auto"/>
          <w:sz w:val="24"/>
          <w:szCs w:val="24"/>
          <w:highlight w:val="none"/>
          <w:lang w:val="en-US" w:eastAsia="zh-CN"/>
        </w:rPr>
      </w:pPr>
      <w:r>
        <w:rPr>
          <w:rFonts w:hint="eastAsia"/>
          <w:color w:val="auto"/>
          <w:sz w:val="24"/>
          <w:szCs w:val="24"/>
          <w:highlight w:val="none"/>
          <w:lang w:val="en-US" w:eastAsia="zh-CN"/>
        </w:rPr>
        <w:t>5、本套开关柜综合保护装置集中放置于中控室电子间，并设置远程开关及就地/远程切换按钮开关，相关配套综保及附件、控制电源电缆等由供应商统一配送。</w:t>
      </w:r>
    </w:p>
    <w:p w14:paraId="331DEB35">
      <w:pPr>
        <w:pStyle w:val="2"/>
        <w:rPr>
          <w:rFonts w:hint="default"/>
          <w:color w:val="auto"/>
          <w:sz w:val="24"/>
          <w:szCs w:val="24"/>
          <w:highlight w:val="none"/>
          <w:lang w:val="en-US" w:eastAsia="zh-CN"/>
        </w:rPr>
      </w:pPr>
      <w:r>
        <w:rPr>
          <w:rFonts w:hint="eastAsia"/>
          <w:color w:val="auto"/>
          <w:sz w:val="24"/>
          <w:szCs w:val="24"/>
          <w:highlight w:val="none"/>
          <w:lang w:val="en-US" w:eastAsia="zh-CN"/>
        </w:rPr>
        <w:t>6、随开关柜附原理图、接线端子图、各附件合格证、说明书等相关资料并交接于现场负责人。</w:t>
      </w:r>
    </w:p>
    <w:p w14:paraId="628E48FF">
      <w:pPr>
        <w:pStyle w:val="6"/>
        <w:bidi w:val="0"/>
        <w:rPr>
          <w:rFonts w:hint="eastAsia"/>
          <w:color w:val="auto"/>
          <w:sz w:val="28"/>
          <w:szCs w:val="28"/>
          <w:highlight w:val="none"/>
          <w:lang w:eastAsia="zh-CN"/>
        </w:rPr>
      </w:pPr>
      <w:r>
        <w:rPr>
          <w:rFonts w:hint="eastAsia"/>
          <w:color w:val="auto"/>
          <w:sz w:val="28"/>
          <w:szCs w:val="28"/>
          <w:highlight w:val="none"/>
          <w:lang w:val="en-US" w:eastAsia="zh-CN"/>
        </w:rPr>
        <w:t>七</w:t>
      </w:r>
      <w:r>
        <w:rPr>
          <w:rFonts w:hint="eastAsia"/>
          <w:color w:val="auto"/>
          <w:sz w:val="28"/>
          <w:szCs w:val="28"/>
          <w:highlight w:val="none"/>
        </w:rPr>
        <w:t>、推荐品牌</w:t>
      </w:r>
    </w:p>
    <w:p w14:paraId="6BC3469E">
      <w:pPr>
        <w:rPr>
          <w:rFonts w:hint="eastAsia"/>
          <w:color w:val="auto"/>
          <w:sz w:val="24"/>
          <w:szCs w:val="24"/>
          <w:highlight w:val="none"/>
        </w:rPr>
      </w:pPr>
      <w:r>
        <w:rPr>
          <w:rFonts w:hint="eastAsia"/>
          <w:color w:val="auto"/>
          <w:sz w:val="24"/>
          <w:szCs w:val="24"/>
          <w:highlight w:val="none"/>
        </w:rPr>
        <w:t>断路器：ABB（VD4）、西门子（3AH）、施耐德（EV12s）</w:t>
      </w:r>
    </w:p>
    <w:p w14:paraId="7CE8379C">
      <w:pPr>
        <w:rPr>
          <w:rFonts w:hint="eastAsia"/>
          <w:color w:val="auto"/>
          <w:sz w:val="24"/>
          <w:szCs w:val="24"/>
          <w:highlight w:val="none"/>
        </w:rPr>
      </w:pPr>
      <w:r>
        <w:rPr>
          <w:rFonts w:hint="eastAsia"/>
          <w:color w:val="auto"/>
          <w:sz w:val="24"/>
          <w:szCs w:val="24"/>
          <w:highlight w:val="none"/>
        </w:rPr>
        <w:t>PT：大连第一互感器（DYM）、上海MWB、江苏思源赫兹</w:t>
      </w:r>
    </w:p>
    <w:p w14:paraId="41D520B0">
      <w:pPr>
        <w:rPr>
          <w:rFonts w:hint="eastAsia"/>
          <w:color w:val="auto"/>
          <w:sz w:val="24"/>
          <w:szCs w:val="24"/>
          <w:highlight w:val="none"/>
        </w:rPr>
      </w:pPr>
      <w:r>
        <w:rPr>
          <w:rFonts w:hint="eastAsia"/>
          <w:color w:val="auto"/>
          <w:sz w:val="24"/>
          <w:szCs w:val="24"/>
          <w:highlight w:val="none"/>
        </w:rPr>
        <w:t>熔断器：西安西电、ABB（SFL系列）</w:t>
      </w:r>
    </w:p>
    <w:p w14:paraId="5AD6CB34">
      <w:pPr>
        <w:rPr>
          <w:rFonts w:hint="default" w:eastAsia="宋体"/>
          <w:color w:val="auto"/>
          <w:sz w:val="24"/>
          <w:szCs w:val="24"/>
          <w:highlight w:val="none"/>
          <w:lang w:val="en-US" w:eastAsia="zh-CN"/>
        </w:rPr>
      </w:pPr>
      <w:r>
        <w:rPr>
          <w:rFonts w:hint="eastAsia"/>
          <w:color w:val="auto"/>
          <w:sz w:val="24"/>
          <w:szCs w:val="24"/>
          <w:highlight w:val="none"/>
          <w:lang w:val="en-US" w:eastAsia="zh-CN"/>
        </w:rPr>
        <w:t>综合</w:t>
      </w:r>
      <w:r>
        <w:rPr>
          <w:rFonts w:hint="eastAsia"/>
          <w:color w:val="auto"/>
          <w:sz w:val="24"/>
          <w:szCs w:val="24"/>
          <w:highlight w:val="none"/>
        </w:rPr>
        <w:t>保护装置：南瑞、四方、南自</w:t>
      </w:r>
      <w:r>
        <w:rPr>
          <w:rFonts w:hint="eastAsia"/>
          <w:color w:val="auto"/>
          <w:sz w:val="24"/>
          <w:szCs w:val="24"/>
          <w:highlight w:val="none"/>
          <w:lang w:val="en-US" w:eastAsia="zh-CN"/>
        </w:rPr>
        <w:t>及以上优质品牌。</w:t>
      </w:r>
    </w:p>
    <w:p w14:paraId="5F7E22A9">
      <w:pPr>
        <w:ind w:firstLine="480"/>
        <w:rPr>
          <w:rFonts w:hint="eastAsia"/>
          <w:color w:val="auto"/>
          <w:sz w:val="24"/>
          <w:szCs w:val="24"/>
          <w:highlight w:val="none"/>
        </w:rPr>
      </w:pPr>
      <w:r>
        <w:rPr>
          <w:rFonts w:hint="eastAsia"/>
          <w:color w:val="auto"/>
          <w:sz w:val="24"/>
          <w:szCs w:val="24"/>
          <w:highlight w:val="none"/>
        </w:rPr>
        <w:t>注：</w:t>
      </w:r>
      <w:r>
        <w:rPr>
          <w:rFonts w:hint="eastAsia"/>
          <w:color w:val="auto"/>
          <w:sz w:val="24"/>
          <w:szCs w:val="24"/>
          <w:highlight w:val="none"/>
          <w:lang w:val="en-US" w:eastAsia="zh-CN"/>
        </w:rPr>
        <w:t>以上为</w:t>
      </w:r>
      <w:r>
        <w:rPr>
          <w:rFonts w:hint="eastAsia"/>
          <w:color w:val="auto"/>
          <w:sz w:val="24"/>
          <w:szCs w:val="24"/>
          <w:highlight w:val="none"/>
        </w:rPr>
        <w:t>推荐品牌和规格。</w:t>
      </w:r>
      <w:r>
        <w:rPr>
          <w:rFonts w:hint="eastAsia"/>
          <w:color w:val="auto"/>
          <w:sz w:val="24"/>
          <w:szCs w:val="24"/>
          <w:highlight w:val="none"/>
          <w:lang w:val="en-US" w:eastAsia="zh-CN"/>
        </w:rPr>
        <w:t>供方在投标时</w:t>
      </w:r>
      <w:r>
        <w:rPr>
          <w:rFonts w:hint="eastAsia"/>
          <w:color w:val="auto"/>
          <w:sz w:val="24"/>
          <w:szCs w:val="24"/>
          <w:highlight w:val="none"/>
        </w:rPr>
        <w:t>可选用不低于推荐品牌质量的其他品牌，若所选用的品牌不为推荐品牌的必须提供至少2个同档次的品牌详细说明及所投标品牌有关证明材料，且</w:t>
      </w:r>
      <w:r>
        <w:rPr>
          <w:rFonts w:hint="eastAsia"/>
          <w:color w:val="auto"/>
          <w:sz w:val="24"/>
          <w:szCs w:val="24"/>
          <w:highlight w:val="none"/>
          <w:lang w:val="en-US" w:eastAsia="zh-CN"/>
        </w:rPr>
        <w:t>需方</w:t>
      </w:r>
      <w:r>
        <w:rPr>
          <w:rFonts w:hint="eastAsia"/>
          <w:color w:val="auto"/>
          <w:sz w:val="24"/>
          <w:szCs w:val="24"/>
          <w:highlight w:val="none"/>
        </w:rPr>
        <w:t>有对投标品牌进行复核的权利。</w:t>
      </w:r>
      <w:r>
        <w:rPr>
          <w:rFonts w:hint="eastAsia"/>
          <w:color w:val="auto"/>
          <w:sz w:val="24"/>
          <w:szCs w:val="24"/>
          <w:highlight w:val="none"/>
          <w:lang w:val="en-US" w:eastAsia="zh-CN"/>
        </w:rPr>
        <w:t>供方</w:t>
      </w:r>
      <w:r>
        <w:rPr>
          <w:rFonts w:hint="eastAsia"/>
          <w:color w:val="auto"/>
          <w:sz w:val="24"/>
          <w:szCs w:val="24"/>
          <w:highlight w:val="none"/>
        </w:rPr>
        <w:t>提供品牌相当于或优于推荐品牌的，经</w:t>
      </w:r>
      <w:r>
        <w:rPr>
          <w:rFonts w:hint="eastAsia"/>
          <w:color w:val="auto"/>
          <w:sz w:val="24"/>
          <w:szCs w:val="24"/>
          <w:highlight w:val="none"/>
          <w:lang w:val="en-US" w:eastAsia="zh-CN"/>
        </w:rPr>
        <w:t>需方</w:t>
      </w:r>
      <w:r>
        <w:rPr>
          <w:rFonts w:hint="eastAsia"/>
          <w:color w:val="auto"/>
          <w:sz w:val="24"/>
          <w:szCs w:val="24"/>
          <w:highlight w:val="none"/>
        </w:rPr>
        <w:t>认可，在</w:t>
      </w:r>
      <w:r>
        <w:rPr>
          <w:rFonts w:hint="eastAsia"/>
          <w:color w:val="auto"/>
          <w:sz w:val="24"/>
          <w:szCs w:val="24"/>
          <w:highlight w:val="none"/>
          <w:lang w:val="en-US" w:eastAsia="zh-CN"/>
        </w:rPr>
        <w:t>项目实施</w:t>
      </w:r>
      <w:r>
        <w:rPr>
          <w:rFonts w:hint="eastAsia"/>
          <w:color w:val="auto"/>
          <w:sz w:val="24"/>
          <w:szCs w:val="24"/>
          <w:highlight w:val="none"/>
        </w:rPr>
        <w:t>阶段可按投标品牌进行采购安装。否则，</w:t>
      </w:r>
      <w:r>
        <w:rPr>
          <w:rFonts w:hint="eastAsia"/>
          <w:color w:val="auto"/>
          <w:sz w:val="24"/>
          <w:szCs w:val="24"/>
          <w:highlight w:val="none"/>
          <w:lang w:val="en-US" w:eastAsia="zh-CN"/>
        </w:rPr>
        <w:t>需方</w:t>
      </w:r>
      <w:r>
        <w:rPr>
          <w:rFonts w:hint="eastAsia"/>
          <w:color w:val="auto"/>
          <w:sz w:val="24"/>
          <w:szCs w:val="24"/>
          <w:highlight w:val="none"/>
        </w:rPr>
        <w:t>有权要求</w:t>
      </w:r>
      <w:r>
        <w:rPr>
          <w:rFonts w:hint="eastAsia"/>
          <w:color w:val="auto"/>
          <w:sz w:val="24"/>
          <w:szCs w:val="24"/>
          <w:highlight w:val="none"/>
          <w:lang w:val="en-US" w:eastAsia="zh-CN"/>
        </w:rPr>
        <w:t>供方</w:t>
      </w:r>
      <w:r>
        <w:rPr>
          <w:rFonts w:hint="eastAsia"/>
          <w:color w:val="auto"/>
          <w:sz w:val="24"/>
          <w:szCs w:val="24"/>
          <w:highlight w:val="none"/>
        </w:rPr>
        <w:t>在</w:t>
      </w:r>
      <w:r>
        <w:rPr>
          <w:rFonts w:hint="eastAsia"/>
          <w:color w:val="auto"/>
          <w:sz w:val="24"/>
          <w:szCs w:val="24"/>
          <w:highlight w:val="none"/>
          <w:lang w:val="en-US" w:eastAsia="zh-CN"/>
        </w:rPr>
        <w:t>需方</w:t>
      </w:r>
      <w:r>
        <w:rPr>
          <w:rFonts w:hint="eastAsia"/>
          <w:color w:val="auto"/>
          <w:sz w:val="24"/>
          <w:szCs w:val="24"/>
          <w:highlight w:val="none"/>
        </w:rPr>
        <w:t>推荐品牌中选定任意一品牌进行采购安装，且合同价不作调整。</w:t>
      </w:r>
    </w:p>
    <w:p w14:paraId="425CEF50">
      <w:pPr>
        <w:ind w:firstLine="480" w:firstLineChars="200"/>
        <w:rPr>
          <w:rFonts w:hint="eastAsia"/>
          <w:color w:val="auto"/>
          <w:sz w:val="24"/>
          <w:szCs w:val="24"/>
          <w:highlight w:val="none"/>
        </w:rPr>
      </w:pPr>
      <w:r>
        <w:rPr>
          <w:rFonts w:hint="eastAsia"/>
          <w:color w:val="auto"/>
          <w:sz w:val="24"/>
          <w:szCs w:val="24"/>
          <w:highlight w:val="none"/>
        </w:rPr>
        <w:t>最终选型需根据具体项目参数（如系统短路容量、环境条件等）调整，建议</w:t>
      </w:r>
      <w:r>
        <w:rPr>
          <w:rFonts w:hint="eastAsia"/>
          <w:color w:val="auto"/>
          <w:sz w:val="24"/>
          <w:szCs w:val="24"/>
          <w:highlight w:val="none"/>
          <w:lang w:val="en-US" w:eastAsia="zh-CN"/>
        </w:rPr>
        <w:t>供货单位到现场</w:t>
      </w:r>
      <w:r>
        <w:rPr>
          <w:rFonts w:hint="eastAsia"/>
          <w:color w:val="auto"/>
          <w:sz w:val="24"/>
          <w:szCs w:val="24"/>
          <w:highlight w:val="none"/>
        </w:rPr>
        <w:t>复核。若系统存在中性点不接地或经消弧线圈接地情况，需优先选用带零序绕组的PT（如JDZJ-35型），并配置消谐器。具体设计需结合二次回路图纸确认。</w:t>
      </w:r>
    </w:p>
    <w:p w14:paraId="447187F3">
      <w:pPr>
        <w:rPr>
          <w:rFonts w:hint="eastAsia"/>
          <w:color w:val="auto"/>
          <w:sz w:val="24"/>
          <w:szCs w:val="24"/>
          <w:highlight w:val="none"/>
        </w:rPr>
      </w:pPr>
    </w:p>
    <w:p w14:paraId="505A7F37">
      <w:pPr>
        <w:numPr>
          <w:ilvl w:val="0"/>
          <w:numId w:val="0"/>
        </w:numPr>
        <w:ind w:left="0" w:leftChars="0" w:firstLine="0" w:firstLineChars="0"/>
        <w:rPr>
          <w:rFonts w:hint="eastAsia"/>
          <w:b/>
          <w:bCs/>
          <w:color w:val="auto"/>
          <w:sz w:val="28"/>
          <w:szCs w:val="28"/>
          <w:highlight w:val="none"/>
          <w:lang w:val="en-US" w:eastAsia="zh-CN"/>
        </w:rPr>
      </w:pPr>
      <w:r>
        <w:rPr>
          <w:rFonts w:hint="eastAsia" w:cstheme="minorBidi"/>
          <w:b/>
          <w:bCs/>
          <w:color w:val="auto"/>
          <w:kern w:val="2"/>
          <w:sz w:val="28"/>
          <w:szCs w:val="28"/>
          <w:highlight w:val="none"/>
          <w:lang w:val="en-US" w:eastAsia="zh-CN" w:bidi="ar-SA"/>
        </w:rPr>
        <w:t>八</w:t>
      </w:r>
      <w:r>
        <w:rPr>
          <w:rFonts w:hint="eastAsia" w:asciiTheme="minorAscii" w:hAnsiTheme="minorAscii" w:eastAsiaTheme="minorEastAsia" w:cstheme="minorBidi"/>
          <w:b/>
          <w:bCs/>
          <w:color w:val="auto"/>
          <w:kern w:val="2"/>
          <w:sz w:val="28"/>
          <w:szCs w:val="28"/>
          <w:highlight w:val="none"/>
          <w:lang w:val="en-US" w:eastAsia="zh-CN" w:bidi="ar-SA"/>
        </w:rPr>
        <w:t>、</w:t>
      </w:r>
      <w:r>
        <w:rPr>
          <w:rFonts w:hint="eastAsia"/>
          <w:b/>
          <w:bCs/>
          <w:color w:val="auto"/>
          <w:sz w:val="28"/>
          <w:szCs w:val="28"/>
          <w:highlight w:val="none"/>
          <w:lang w:val="en-US" w:eastAsia="zh-CN"/>
        </w:rPr>
        <w:t>配套指导安装</w:t>
      </w:r>
    </w:p>
    <w:p w14:paraId="1C2FA49F">
      <w:pPr>
        <w:numPr>
          <w:ilvl w:val="0"/>
          <w:numId w:val="0"/>
        </w:numPr>
        <w:ind w:leftChars="0"/>
        <w:rPr>
          <w:rFonts w:hint="eastAsia"/>
          <w:b w:val="0"/>
          <w:bCs w:val="0"/>
          <w:color w:val="auto"/>
          <w:sz w:val="24"/>
          <w:szCs w:val="24"/>
          <w:highlight w:val="none"/>
          <w:lang w:val="en-US" w:eastAsia="zh-CN"/>
        </w:rPr>
      </w:pPr>
      <w:r>
        <w:rPr>
          <w:rFonts w:hint="eastAsia"/>
          <w:b/>
          <w:bCs/>
          <w:color w:val="auto"/>
          <w:sz w:val="24"/>
          <w:szCs w:val="24"/>
          <w:highlight w:val="none"/>
          <w:lang w:val="en-US" w:eastAsia="zh-CN"/>
        </w:rPr>
        <w:t xml:space="preserve">    </w:t>
      </w:r>
      <w:r>
        <w:rPr>
          <w:rFonts w:hint="eastAsia"/>
          <w:b w:val="0"/>
          <w:bCs w:val="0"/>
          <w:color w:val="auto"/>
          <w:sz w:val="24"/>
          <w:szCs w:val="24"/>
          <w:highlight w:val="none"/>
          <w:lang w:val="en-US" w:eastAsia="zh-CN"/>
        </w:rPr>
        <w:t>35KV配电室新申购的三个配电柜（AH2PT柜、AH3变压器柜、AH4进线柜）由生产厂家或供应商负责供货及安排专业技术人员根据发包方具体开工时间到现场指导安装一体化，具体工作内容包含以下各项：</w:t>
      </w:r>
    </w:p>
    <w:p w14:paraId="5FC4EDB3">
      <w:pPr>
        <w:numPr>
          <w:ilvl w:val="0"/>
          <w:numId w:val="0"/>
        </w:numPr>
        <w:ind w:left="420" w:leftChars="0" w:firstLine="0" w:firstLineChars="0"/>
        <w:rPr>
          <w:rFonts w:hint="eastAsia"/>
          <w:b w:val="0"/>
          <w:bCs w:val="0"/>
          <w:color w:val="auto"/>
          <w:sz w:val="24"/>
          <w:szCs w:val="24"/>
          <w:highlight w:val="none"/>
          <w:lang w:val="en-US" w:eastAsia="zh-CN"/>
        </w:rPr>
      </w:pPr>
      <w:r>
        <w:rPr>
          <w:rFonts w:hint="eastAsia" w:ascii="Times New Roman" w:hAnsi="Times New Roman" w:eastAsia="宋体" w:cs="Times New Roman"/>
          <w:b w:val="0"/>
          <w:bCs w:val="0"/>
          <w:color w:val="auto"/>
          <w:kern w:val="2"/>
          <w:sz w:val="24"/>
          <w:szCs w:val="24"/>
          <w:highlight w:val="none"/>
          <w:lang w:val="en-US" w:eastAsia="zh-CN" w:bidi="ar-SA"/>
        </w:rPr>
        <w:t>1、</w:t>
      </w:r>
      <w:r>
        <w:rPr>
          <w:rFonts w:hint="eastAsia"/>
          <w:b w:val="0"/>
          <w:bCs w:val="0"/>
          <w:color w:val="auto"/>
          <w:sz w:val="24"/>
          <w:szCs w:val="24"/>
          <w:highlight w:val="none"/>
          <w:lang w:val="en-US" w:eastAsia="zh-CN"/>
        </w:rPr>
        <w:t>指导施工单位对35KV配电室现有的四个配电柜（AH1备用柜、AH2PT柜、AH3变压器柜、AH4进线柜）及综合保护装置和一次线路及二次线路进行拆除。</w:t>
      </w:r>
    </w:p>
    <w:p w14:paraId="7ECDF8CE">
      <w:pPr>
        <w:numPr>
          <w:ilvl w:val="0"/>
          <w:numId w:val="0"/>
        </w:numPr>
        <w:ind w:left="420" w:leftChars="0" w:firstLine="0" w:firstLineChars="0"/>
        <w:rPr>
          <w:rFonts w:hint="default"/>
          <w:b w:val="0"/>
          <w:bCs w:val="0"/>
          <w:color w:val="auto"/>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t>2、</w:t>
      </w:r>
      <w:r>
        <w:rPr>
          <w:rFonts w:hint="eastAsia"/>
          <w:b w:val="0"/>
          <w:bCs w:val="0"/>
          <w:color w:val="auto"/>
          <w:sz w:val="24"/>
          <w:szCs w:val="24"/>
          <w:highlight w:val="none"/>
          <w:lang w:val="en-US" w:eastAsia="zh-CN"/>
        </w:rPr>
        <w:t>指导施工单位根据新申购的配电柜柜体尺寸对底座进行改造，使之匹配安装。</w:t>
      </w:r>
    </w:p>
    <w:p w14:paraId="7BC825D4">
      <w:pPr>
        <w:numPr>
          <w:ilvl w:val="0"/>
          <w:numId w:val="0"/>
        </w:numPr>
        <w:ind w:left="420" w:leftChars="0" w:firstLine="0" w:firstLineChars="0"/>
        <w:rPr>
          <w:rFonts w:hint="default"/>
          <w:b w:val="0"/>
          <w:bCs w:val="0"/>
          <w:color w:val="auto"/>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t>3、</w:t>
      </w:r>
      <w:r>
        <w:rPr>
          <w:rFonts w:hint="eastAsia"/>
          <w:b w:val="0"/>
          <w:bCs w:val="0"/>
          <w:color w:val="auto"/>
          <w:sz w:val="24"/>
          <w:szCs w:val="24"/>
          <w:highlight w:val="none"/>
          <w:lang w:val="en-US" w:eastAsia="zh-CN"/>
        </w:rPr>
        <w:t>指导施工单位对配电柜安装就位；</w:t>
      </w:r>
    </w:p>
    <w:p w14:paraId="049FD4C9">
      <w:pPr>
        <w:numPr>
          <w:ilvl w:val="0"/>
          <w:numId w:val="0"/>
        </w:numPr>
        <w:ind w:left="420" w:leftChars="0" w:firstLine="0" w:firstLineChars="0"/>
        <w:rPr>
          <w:rFonts w:hint="default"/>
          <w:b w:val="0"/>
          <w:bCs w:val="0"/>
          <w:color w:val="auto"/>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t>4、</w:t>
      </w:r>
      <w:r>
        <w:rPr>
          <w:rFonts w:hint="eastAsia"/>
          <w:b w:val="0"/>
          <w:bCs w:val="0"/>
          <w:color w:val="auto"/>
          <w:sz w:val="24"/>
          <w:szCs w:val="24"/>
          <w:highlight w:val="none"/>
          <w:lang w:val="en-US" w:eastAsia="zh-CN"/>
        </w:rPr>
        <w:t>指导施工单位对35KV配电室新申购的三个配电柜（AH2PT柜、AH3变压器柜、AH4进线柜）及综合保护装置和一次线路及二次线路进行恢复安装。</w:t>
      </w:r>
    </w:p>
    <w:p w14:paraId="648E4D93">
      <w:pPr>
        <w:numPr>
          <w:ilvl w:val="0"/>
          <w:numId w:val="0"/>
        </w:numPr>
        <w:ind w:left="420" w:leftChars="0" w:firstLine="0" w:firstLineChars="0"/>
        <w:rPr>
          <w:rFonts w:hint="default"/>
          <w:b w:val="0"/>
          <w:bCs w:val="0"/>
          <w:color w:val="auto"/>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t>5、</w:t>
      </w:r>
      <w:r>
        <w:rPr>
          <w:rFonts w:hint="eastAsia"/>
          <w:b w:val="0"/>
          <w:bCs w:val="0"/>
          <w:color w:val="auto"/>
          <w:sz w:val="24"/>
          <w:szCs w:val="24"/>
          <w:highlight w:val="none"/>
          <w:lang w:val="en-US" w:eastAsia="zh-CN"/>
        </w:rPr>
        <w:t>指导施工单位使用合适试验工具对高压柜进行交接试验，试验数据需满足国标试验要求；</w:t>
      </w:r>
    </w:p>
    <w:p w14:paraId="76DF0A3A">
      <w:pPr>
        <w:numPr>
          <w:ilvl w:val="0"/>
          <w:numId w:val="0"/>
        </w:numPr>
        <w:ind w:left="420" w:leftChars="0" w:firstLine="0" w:firstLineChars="0"/>
        <w:rPr>
          <w:rFonts w:hint="default"/>
          <w:b w:val="0"/>
          <w:bCs w:val="0"/>
          <w:color w:val="auto"/>
          <w:sz w:val="24"/>
          <w:szCs w:val="24"/>
          <w:highlight w:val="none"/>
          <w:lang w:val="en-US" w:eastAsia="zh-CN"/>
        </w:rPr>
      </w:pPr>
      <w:r>
        <w:rPr>
          <w:rFonts w:hint="default" w:ascii="Times New Roman" w:hAnsi="Times New Roman" w:eastAsia="宋体" w:cs="Times New Roman"/>
          <w:b w:val="0"/>
          <w:bCs w:val="0"/>
          <w:color w:val="auto"/>
          <w:kern w:val="2"/>
          <w:sz w:val="24"/>
          <w:szCs w:val="24"/>
          <w:highlight w:val="none"/>
          <w:lang w:val="en-US" w:eastAsia="zh-CN" w:bidi="ar-SA"/>
        </w:rPr>
        <w:t>6、</w:t>
      </w:r>
      <w:r>
        <w:rPr>
          <w:rFonts w:hint="eastAsia"/>
          <w:b w:val="0"/>
          <w:bCs w:val="0"/>
          <w:color w:val="auto"/>
          <w:sz w:val="24"/>
          <w:szCs w:val="24"/>
          <w:highlight w:val="none"/>
          <w:lang w:val="en-US" w:eastAsia="zh-CN"/>
        </w:rPr>
        <w:t>指导施工单位对35KV高压母排回路进行耐压试验，试验数据需满足国标试验要求；</w:t>
      </w:r>
    </w:p>
    <w:p w14:paraId="78F56BC3">
      <w:pPr>
        <w:rPr>
          <w:rFonts w:hint="default"/>
          <w:color w:val="auto"/>
          <w:sz w:val="24"/>
          <w:szCs w:val="24"/>
          <w:highlight w:val="none"/>
          <w:lang w:val="en-US" w:eastAsia="zh-CN"/>
        </w:rPr>
      </w:pPr>
      <w:r>
        <w:rPr>
          <w:rFonts w:hint="eastAsia"/>
          <w:color w:val="auto"/>
          <w:highlight w:val="none"/>
          <w:lang w:val="en-US" w:eastAsia="zh-CN"/>
        </w:rPr>
        <w:t xml:space="preserve">    </w:t>
      </w:r>
      <w:r>
        <w:rPr>
          <w:rFonts w:hint="eastAsia"/>
          <w:color w:val="auto"/>
          <w:sz w:val="24"/>
          <w:szCs w:val="24"/>
          <w:highlight w:val="none"/>
          <w:lang w:val="en-US" w:eastAsia="zh-CN"/>
        </w:rPr>
        <w:t>7、指导现场施工单位对远方综合保护装置及远程开关进行装配；</w:t>
      </w:r>
    </w:p>
    <w:p w14:paraId="01A9EBF2">
      <w:pPr>
        <w:numPr>
          <w:ilvl w:val="0"/>
          <w:numId w:val="0"/>
        </w:numPr>
        <w:ind w:left="420" w:leftChars="0" w:firstLine="0" w:firstLineChars="0"/>
        <w:rPr>
          <w:rFonts w:hint="default"/>
          <w:b w:val="0"/>
          <w:bCs w:val="0"/>
          <w:color w:val="auto"/>
          <w:sz w:val="24"/>
          <w:szCs w:val="24"/>
          <w:highlight w:val="none"/>
          <w:lang w:val="en-US" w:eastAsia="zh-CN"/>
        </w:rPr>
      </w:pPr>
      <w:r>
        <w:rPr>
          <w:rFonts w:hint="eastAsia" w:cs="Times New Roman"/>
          <w:b w:val="0"/>
          <w:bCs w:val="0"/>
          <w:color w:val="auto"/>
          <w:kern w:val="2"/>
          <w:sz w:val="24"/>
          <w:szCs w:val="24"/>
          <w:highlight w:val="none"/>
          <w:lang w:val="en-US" w:eastAsia="zh-CN" w:bidi="ar-SA"/>
        </w:rPr>
        <w:t>8</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b w:val="0"/>
          <w:bCs w:val="0"/>
          <w:color w:val="auto"/>
          <w:sz w:val="24"/>
          <w:szCs w:val="24"/>
          <w:highlight w:val="none"/>
          <w:lang w:val="en-US" w:eastAsia="zh-CN"/>
        </w:rPr>
        <w:t>指导施工单位对高压开关柜综保参数进行设置并进行传动试验；</w:t>
      </w:r>
    </w:p>
    <w:p w14:paraId="728345CE">
      <w:pPr>
        <w:pStyle w:val="2"/>
        <w:ind w:left="420" w:leftChars="200" w:firstLine="0" w:firstLineChars="0"/>
        <w:rPr>
          <w:rFonts w:hint="default"/>
          <w:color w:val="auto"/>
          <w:highlight w:val="none"/>
          <w:lang w:val="en-US" w:eastAsia="zh-CN"/>
        </w:rPr>
      </w:pPr>
      <w:r>
        <w:rPr>
          <w:rFonts w:hint="eastAsia"/>
          <w:color w:val="auto"/>
          <w:sz w:val="24"/>
          <w:szCs w:val="24"/>
          <w:highlight w:val="none"/>
          <w:lang w:val="en-US" w:eastAsia="zh-CN"/>
        </w:rPr>
        <w:t>9、</w:t>
      </w:r>
      <w:r>
        <w:rPr>
          <w:rFonts w:hint="eastAsia"/>
          <w:b w:val="0"/>
          <w:bCs w:val="0"/>
          <w:color w:val="auto"/>
          <w:sz w:val="24"/>
          <w:szCs w:val="24"/>
          <w:highlight w:val="none"/>
          <w:lang w:val="en-US" w:eastAsia="zh-CN"/>
        </w:rPr>
        <w:t>指导施工单位对对原有三台开关柜的温度测点进行恢复安装。</w:t>
      </w:r>
    </w:p>
    <w:p w14:paraId="29114E33">
      <w:pPr>
        <w:pStyle w:val="23"/>
        <w:ind w:left="0" w:leftChars="0" w:firstLine="0" w:firstLineChars="0"/>
        <w:rPr>
          <w:rFonts w:hint="default" w:eastAsia="仿宋_GB2312"/>
          <w:color w:val="auto"/>
          <w:sz w:val="32"/>
          <w:szCs w:val="32"/>
          <w:highlight w:val="none"/>
          <w:lang w:val="en-US" w:eastAsia="zh-CN"/>
        </w:rPr>
      </w:pPr>
    </w:p>
    <w:p w14:paraId="2F49A489">
      <w:pPr>
        <w:pStyle w:val="66"/>
        <w:ind w:firstLine="0" w:firstLineChars="0"/>
        <w:rPr>
          <w:rFonts w:hint="eastAsia"/>
          <w:color w:val="auto"/>
          <w:highlight w:val="none"/>
        </w:rPr>
      </w:pPr>
    </w:p>
    <w:bookmarkEnd w:id="7"/>
    <w:p w14:paraId="0FA62E93">
      <w:pPr>
        <w:pStyle w:val="66"/>
        <w:ind w:firstLine="0" w:firstLineChars="0"/>
        <w:rPr>
          <w:rFonts w:hint="eastAsia"/>
          <w:color w:val="auto"/>
          <w:highlight w:val="none"/>
        </w:rPr>
      </w:pPr>
    </w:p>
    <w:p w14:paraId="6EB5E45C">
      <w:pPr>
        <w:rPr>
          <w:rFonts w:hint="eastAsia" w:ascii="宋体" w:hAnsi="宋体" w:eastAsia="宋体"/>
          <w:color w:val="auto"/>
          <w:highlight w:val="none"/>
        </w:rPr>
      </w:pPr>
    </w:p>
    <w:p w14:paraId="7217DCAC">
      <w:pPr>
        <w:rPr>
          <w:color w:val="auto"/>
          <w:highlight w:val="none"/>
        </w:rPr>
      </w:pPr>
    </w:p>
    <w:p w14:paraId="00964C18">
      <w:pPr>
        <w:rPr>
          <w:color w:val="auto"/>
          <w:highlight w:val="none"/>
        </w:rPr>
      </w:pPr>
    </w:p>
    <w:p w14:paraId="6AE5C505">
      <w:pPr>
        <w:rPr>
          <w:color w:val="auto"/>
          <w:highlight w:val="none"/>
        </w:rPr>
      </w:pPr>
    </w:p>
    <w:p w14:paraId="58DC6FF3">
      <w:pPr>
        <w:rPr>
          <w:color w:val="auto"/>
          <w:highlight w:val="none"/>
        </w:rPr>
      </w:pPr>
    </w:p>
    <w:p w14:paraId="7B78D5CD">
      <w:pPr>
        <w:rPr>
          <w:color w:val="auto"/>
          <w:highlight w:val="none"/>
        </w:rPr>
      </w:pPr>
    </w:p>
    <w:p w14:paraId="359503E7">
      <w:pPr>
        <w:rPr>
          <w:color w:val="auto"/>
          <w:highlight w:val="none"/>
        </w:rPr>
      </w:pPr>
    </w:p>
    <w:p w14:paraId="4CBA007D">
      <w:pPr>
        <w:rPr>
          <w:color w:val="auto"/>
          <w:highlight w:val="none"/>
        </w:rPr>
      </w:pPr>
    </w:p>
    <w:p w14:paraId="38EB9AA8">
      <w:pPr>
        <w:rPr>
          <w:color w:val="auto"/>
          <w:highlight w:val="none"/>
        </w:rPr>
      </w:pPr>
    </w:p>
    <w:p w14:paraId="20FC6578">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758B2834">
      <w:pPr>
        <w:widowControl/>
        <w:spacing w:line="360" w:lineRule="auto"/>
        <w:jc w:val="center"/>
        <w:rPr>
          <w:rFonts w:ascii="仿宋" w:hAnsi="仿宋" w:eastAsia="仿宋" w:cs="仿宋"/>
          <w:b/>
          <w:bCs/>
          <w:color w:val="auto"/>
          <w:sz w:val="32"/>
          <w:szCs w:val="32"/>
          <w:highlight w:val="none"/>
        </w:rPr>
      </w:pPr>
      <w:bookmarkStart w:id="8" w:name="_Toc30346"/>
      <w:bookmarkStart w:id="9" w:name="_Toc28801"/>
      <w:bookmarkStart w:id="10" w:name="_Toc5428"/>
      <w:bookmarkStart w:id="11" w:name="_Toc30323"/>
      <w:bookmarkStart w:id="12" w:name="_Toc10037"/>
      <w:bookmarkStart w:id="13" w:name="_Toc3217"/>
      <w:bookmarkStart w:id="14" w:name="_Toc1367"/>
      <w:bookmarkStart w:id="15" w:name="_Toc12220"/>
      <w:bookmarkStart w:id="16" w:name="_Toc32088"/>
      <w:bookmarkStart w:id="17" w:name="_Toc3118"/>
      <w:r>
        <w:rPr>
          <w:rFonts w:hint="eastAsia" w:ascii="仿宋" w:hAnsi="仿宋" w:eastAsia="仿宋" w:cs="仿宋"/>
          <w:b/>
          <w:bCs/>
          <w:color w:val="auto"/>
          <w:sz w:val="32"/>
          <w:szCs w:val="32"/>
          <w:highlight w:val="none"/>
        </w:rPr>
        <w:t>报价保证金汇入情况说明</w:t>
      </w:r>
      <w:bookmarkEnd w:id="8"/>
      <w:bookmarkEnd w:id="9"/>
      <w:bookmarkEnd w:id="10"/>
      <w:bookmarkEnd w:id="11"/>
      <w:bookmarkEnd w:id="12"/>
      <w:bookmarkEnd w:id="13"/>
      <w:bookmarkEnd w:id="14"/>
      <w:bookmarkEnd w:id="15"/>
      <w:bookmarkEnd w:id="16"/>
      <w:bookmarkEnd w:id="17"/>
    </w:p>
    <w:p w14:paraId="4AE88A14">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阳江开能</w:t>
      </w:r>
      <w:r>
        <w:rPr>
          <w:rFonts w:hint="eastAsia" w:ascii="仿宋" w:hAnsi="仿宋" w:eastAsia="仿宋" w:cs="仿宋"/>
          <w:b/>
          <w:color w:val="auto"/>
          <w:szCs w:val="21"/>
          <w:highlight w:val="none"/>
        </w:rPr>
        <w:t>环保能源有限公司</w:t>
      </w:r>
    </w:p>
    <w:p w14:paraId="02844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492B63E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48302FF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333AEF1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2790888E">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4BAE00C9">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1917B87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9576DD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8E9925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45ECC2F9">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229407B3">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43EBF74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4128927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C49F2B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2BE380B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1E350742">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4"/>
        <w:tblW w:w="9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7"/>
      </w:tblGrid>
      <w:tr w14:paraId="3A06D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17" w:type="dxa"/>
            <w:tcBorders>
              <w:top w:val="single" w:color="auto" w:sz="4" w:space="0"/>
              <w:left w:val="single" w:color="auto" w:sz="4" w:space="0"/>
              <w:bottom w:val="single" w:color="auto" w:sz="4" w:space="0"/>
              <w:right w:val="single" w:color="auto" w:sz="4" w:space="0"/>
            </w:tcBorders>
            <w:vAlign w:val="center"/>
          </w:tcPr>
          <w:p w14:paraId="7C79DF3E">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FA08E10">
      <w:pPr>
        <w:pStyle w:val="45"/>
        <w:numPr>
          <w:ilvl w:val="255"/>
          <w:numId w:val="0"/>
        </w:numPr>
        <w:spacing w:line="360" w:lineRule="auto"/>
        <w:jc w:val="left"/>
        <w:outlineLvl w:val="1"/>
        <w:rPr>
          <w:rFonts w:eastAsia="黑体"/>
          <w:color w:val="auto"/>
          <w:sz w:val="28"/>
          <w:szCs w:val="44"/>
          <w:highlight w:val="none"/>
        </w:rPr>
      </w:pPr>
    </w:p>
    <w:p w14:paraId="749C25D1">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1418DC0D">
      <w:pPr>
        <w:pStyle w:val="4"/>
        <w:ind w:firstLine="640"/>
        <w:rPr>
          <w:rFonts w:eastAsia="仿宋_GB2312"/>
          <w:color w:val="auto"/>
          <w:sz w:val="32"/>
          <w:szCs w:val="32"/>
          <w:highlight w:val="none"/>
        </w:rPr>
      </w:pPr>
    </w:p>
    <w:p w14:paraId="3912036B">
      <w:pPr>
        <w:rPr>
          <w:color w:val="auto"/>
          <w:highlight w:val="none"/>
        </w:rPr>
      </w:pPr>
    </w:p>
    <w:p w14:paraId="4D60A098">
      <w:pPr>
        <w:pStyle w:val="2"/>
        <w:rPr>
          <w:color w:val="auto"/>
          <w:highlight w:val="none"/>
        </w:rPr>
      </w:pPr>
    </w:p>
    <w:p w14:paraId="10E8DC31">
      <w:pPr>
        <w:pStyle w:val="3"/>
        <w:ind w:firstLine="210"/>
        <w:rPr>
          <w:color w:val="auto"/>
          <w:highlight w:val="none"/>
        </w:rPr>
      </w:pPr>
    </w:p>
    <w:p w14:paraId="06C35119">
      <w:pPr>
        <w:pStyle w:val="4"/>
        <w:ind w:firstLine="420"/>
        <w:rPr>
          <w:color w:val="auto"/>
          <w:highlight w:val="none"/>
        </w:rPr>
      </w:pPr>
    </w:p>
    <w:p w14:paraId="0036C578">
      <w:pPr>
        <w:rPr>
          <w:color w:val="auto"/>
          <w:highlight w:val="none"/>
        </w:rPr>
      </w:pPr>
    </w:p>
    <w:p w14:paraId="3E671A00">
      <w:pPr>
        <w:pStyle w:val="2"/>
        <w:rPr>
          <w:color w:val="auto"/>
          <w:highlight w:val="none"/>
        </w:rPr>
      </w:pPr>
    </w:p>
    <w:p w14:paraId="1D14F52B">
      <w:pPr>
        <w:pStyle w:val="3"/>
        <w:ind w:firstLine="210"/>
        <w:rPr>
          <w:color w:val="auto"/>
          <w:highlight w:val="none"/>
        </w:rPr>
      </w:pPr>
    </w:p>
    <w:p w14:paraId="412FB3CA">
      <w:pPr>
        <w:pStyle w:val="4"/>
        <w:ind w:firstLine="420"/>
        <w:rPr>
          <w:color w:val="auto"/>
          <w:highlight w:val="none"/>
        </w:rPr>
      </w:pPr>
    </w:p>
    <w:p w14:paraId="7B05F0A2">
      <w:pPr>
        <w:rPr>
          <w:color w:val="auto"/>
          <w:highlight w:val="none"/>
        </w:rPr>
      </w:pPr>
    </w:p>
    <w:p w14:paraId="045A3B9F">
      <w:pPr>
        <w:pStyle w:val="2"/>
        <w:rPr>
          <w:color w:val="auto"/>
          <w:highlight w:val="none"/>
        </w:rPr>
      </w:pPr>
    </w:p>
    <w:p w14:paraId="4CF2C0AC">
      <w:pPr>
        <w:pStyle w:val="3"/>
        <w:ind w:firstLine="210"/>
        <w:rPr>
          <w:color w:val="auto"/>
          <w:highlight w:val="none"/>
        </w:rPr>
      </w:pPr>
    </w:p>
    <w:p w14:paraId="46C43894">
      <w:pPr>
        <w:pStyle w:val="4"/>
        <w:ind w:firstLine="420"/>
        <w:rPr>
          <w:color w:val="auto"/>
          <w:highlight w:val="none"/>
        </w:rPr>
      </w:pPr>
    </w:p>
    <w:p w14:paraId="6F1300DA">
      <w:pPr>
        <w:rPr>
          <w:color w:val="auto"/>
          <w:highlight w:val="none"/>
        </w:rPr>
      </w:pPr>
    </w:p>
    <w:p w14:paraId="4E4F1306">
      <w:pPr>
        <w:pStyle w:val="2"/>
        <w:rPr>
          <w:color w:val="auto"/>
          <w:highlight w:val="none"/>
        </w:rPr>
      </w:pPr>
    </w:p>
    <w:p w14:paraId="4B307148">
      <w:pPr>
        <w:pStyle w:val="3"/>
        <w:ind w:firstLine="210"/>
        <w:rPr>
          <w:color w:val="auto"/>
          <w:highlight w:val="none"/>
        </w:rPr>
      </w:pPr>
    </w:p>
    <w:p w14:paraId="7A1E1FD7">
      <w:pPr>
        <w:pStyle w:val="4"/>
        <w:ind w:firstLine="420"/>
        <w:rPr>
          <w:color w:val="auto"/>
          <w:highlight w:val="none"/>
        </w:rPr>
      </w:pPr>
    </w:p>
    <w:p w14:paraId="577EEAA2">
      <w:pPr>
        <w:rPr>
          <w:color w:val="auto"/>
          <w:highlight w:val="none"/>
        </w:rPr>
      </w:pPr>
    </w:p>
    <w:p w14:paraId="04017EB5">
      <w:pPr>
        <w:pStyle w:val="2"/>
        <w:rPr>
          <w:color w:val="auto"/>
          <w:highlight w:val="none"/>
        </w:rPr>
      </w:pPr>
    </w:p>
    <w:p w14:paraId="726ADB2C">
      <w:pPr>
        <w:pStyle w:val="3"/>
        <w:ind w:firstLine="210"/>
        <w:rPr>
          <w:color w:val="auto"/>
          <w:highlight w:val="none"/>
        </w:rPr>
      </w:pPr>
    </w:p>
    <w:p w14:paraId="022A8B6C">
      <w:pPr>
        <w:pStyle w:val="4"/>
        <w:ind w:firstLine="420"/>
        <w:rPr>
          <w:color w:val="auto"/>
          <w:highlight w:val="none"/>
        </w:rPr>
      </w:pPr>
    </w:p>
    <w:p w14:paraId="495BDE53">
      <w:pPr>
        <w:rPr>
          <w:color w:val="auto"/>
          <w:highlight w:val="none"/>
        </w:rPr>
      </w:pPr>
    </w:p>
    <w:p w14:paraId="454976BB">
      <w:pPr>
        <w:pStyle w:val="2"/>
        <w:rPr>
          <w:color w:val="auto"/>
          <w:highlight w:val="none"/>
        </w:rPr>
      </w:pPr>
    </w:p>
    <w:p w14:paraId="03FF47A3">
      <w:pPr>
        <w:pStyle w:val="3"/>
        <w:ind w:firstLine="210"/>
        <w:rPr>
          <w:color w:val="auto"/>
          <w:highlight w:val="none"/>
        </w:rPr>
      </w:pPr>
    </w:p>
    <w:p w14:paraId="1DDF0F74">
      <w:pPr>
        <w:pStyle w:val="4"/>
        <w:ind w:firstLine="420"/>
        <w:rPr>
          <w:color w:val="auto"/>
          <w:highlight w:val="none"/>
        </w:rPr>
      </w:pPr>
    </w:p>
    <w:p w14:paraId="6BD5AAF6">
      <w:pPr>
        <w:rPr>
          <w:color w:val="auto"/>
          <w:highlight w:val="none"/>
        </w:rPr>
      </w:pPr>
    </w:p>
    <w:p w14:paraId="1C9760E9">
      <w:pPr>
        <w:pStyle w:val="2"/>
        <w:rPr>
          <w:color w:val="auto"/>
          <w:highlight w:val="none"/>
        </w:rPr>
      </w:pPr>
    </w:p>
    <w:p w14:paraId="709E9A29">
      <w:pPr>
        <w:pStyle w:val="3"/>
        <w:ind w:firstLine="210"/>
        <w:rPr>
          <w:color w:val="auto"/>
          <w:highlight w:val="none"/>
        </w:rPr>
      </w:pPr>
    </w:p>
    <w:p w14:paraId="1AAAF209">
      <w:pPr>
        <w:pStyle w:val="4"/>
        <w:ind w:firstLine="420"/>
        <w:rPr>
          <w:color w:val="auto"/>
          <w:highlight w:val="none"/>
        </w:rPr>
      </w:pPr>
    </w:p>
    <w:p w14:paraId="4365E0AD">
      <w:pPr>
        <w:rPr>
          <w:color w:val="auto"/>
          <w:highlight w:val="none"/>
        </w:rPr>
      </w:pPr>
    </w:p>
    <w:p w14:paraId="05B522B2">
      <w:pPr>
        <w:pStyle w:val="2"/>
        <w:rPr>
          <w:color w:val="auto"/>
          <w:highlight w:val="none"/>
        </w:rPr>
      </w:pPr>
    </w:p>
    <w:p w14:paraId="533F0711">
      <w:pPr>
        <w:pStyle w:val="3"/>
        <w:ind w:firstLine="210"/>
        <w:rPr>
          <w:color w:val="auto"/>
          <w:highlight w:val="none"/>
        </w:rPr>
      </w:pPr>
    </w:p>
    <w:p w14:paraId="7286E334">
      <w:pPr>
        <w:pStyle w:val="4"/>
        <w:ind w:firstLine="420"/>
        <w:rPr>
          <w:color w:val="auto"/>
          <w:highlight w:val="none"/>
        </w:rPr>
      </w:pPr>
    </w:p>
    <w:p w14:paraId="6782A9DF">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1AFDFC7A">
      <w:pPr>
        <w:pStyle w:val="45"/>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0B0D756B">
      <w:pPr>
        <w:rPr>
          <w:color w:val="auto"/>
          <w:highlight w:val="none"/>
        </w:rPr>
      </w:pPr>
    </w:p>
    <w:p w14:paraId="2ADAAFA7">
      <w:pPr>
        <w:pStyle w:val="2"/>
        <w:rPr>
          <w:color w:val="auto"/>
          <w:highlight w:val="none"/>
        </w:rPr>
      </w:pPr>
    </w:p>
    <w:p w14:paraId="7D014EA6">
      <w:pPr>
        <w:pStyle w:val="3"/>
        <w:ind w:firstLine="210"/>
        <w:rPr>
          <w:color w:val="auto"/>
          <w:highlight w:val="none"/>
        </w:rPr>
      </w:pPr>
    </w:p>
    <w:p w14:paraId="49F6B6D7">
      <w:pPr>
        <w:pStyle w:val="4"/>
        <w:ind w:firstLine="420"/>
        <w:rPr>
          <w:color w:val="auto"/>
          <w:highlight w:val="none"/>
        </w:rPr>
      </w:pPr>
    </w:p>
    <w:p w14:paraId="719B650C">
      <w:pPr>
        <w:rPr>
          <w:color w:val="auto"/>
          <w:highlight w:val="none"/>
        </w:rPr>
      </w:pPr>
    </w:p>
    <w:p w14:paraId="06E20D7F">
      <w:pPr>
        <w:pStyle w:val="2"/>
        <w:rPr>
          <w:color w:val="auto"/>
          <w:highlight w:val="none"/>
        </w:rPr>
      </w:pPr>
    </w:p>
    <w:p w14:paraId="449BD5AB">
      <w:pPr>
        <w:pStyle w:val="3"/>
        <w:ind w:firstLine="210"/>
        <w:rPr>
          <w:color w:val="auto"/>
          <w:highlight w:val="none"/>
        </w:rPr>
      </w:pPr>
    </w:p>
    <w:p w14:paraId="6BEE069A">
      <w:pPr>
        <w:pStyle w:val="4"/>
        <w:ind w:firstLine="420"/>
        <w:rPr>
          <w:color w:val="auto"/>
          <w:highlight w:val="none"/>
        </w:rPr>
      </w:pPr>
    </w:p>
    <w:p w14:paraId="780C54D1">
      <w:pPr>
        <w:rPr>
          <w:color w:val="auto"/>
          <w:highlight w:val="none"/>
        </w:rPr>
      </w:pPr>
    </w:p>
    <w:p w14:paraId="1E39E4E4">
      <w:pPr>
        <w:pStyle w:val="2"/>
        <w:rPr>
          <w:color w:val="auto"/>
          <w:highlight w:val="none"/>
        </w:rPr>
      </w:pPr>
    </w:p>
    <w:p w14:paraId="73AB67F7">
      <w:pPr>
        <w:pStyle w:val="3"/>
        <w:ind w:firstLine="210"/>
        <w:rPr>
          <w:color w:val="auto"/>
          <w:highlight w:val="none"/>
        </w:rPr>
      </w:pPr>
    </w:p>
    <w:p w14:paraId="7C272683">
      <w:pPr>
        <w:pStyle w:val="4"/>
        <w:ind w:firstLine="420"/>
        <w:rPr>
          <w:color w:val="auto"/>
          <w:highlight w:val="none"/>
        </w:rPr>
      </w:pPr>
    </w:p>
    <w:p w14:paraId="26D9557A">
      <w:pPr>
        <w:rPr>
          <w:color w:val="auto"/>
          <w:highlight w:val="none"/>
        </w:rPr>
      </w:pPr>
    </w:p>
    <w:p w14:paraId="1CAE73B4">
      <w:pPr>
        <w:pStyle w:val="2"/>
        <w:rPr>
          <w:color w:val="auto"/>
          <w:highlight w:val="none"/>
        </w:rPr>
      </w:pPr>
    </w:p>
    <w:p w14:paraId="64FD5517">
      <w:pPr>
        <w:pStyle w:val="3"/>
        <w:ind w:firstLine="210"/>
        <w:rPr>
          <w:color w:val="auto"/>
          <w:highlight w:val="none"/>
        </w:rPr>
      </w:pPr>
    </w:p>
    <w:p w14:paraId="433804AB">
      <w:pPr>
        <w:pStyle w:val="4"/>
        <w:ind w:firstLine="420"/>
        <w:rPr>
          <w:color w:val="auto"/>
          <w:highlight w:val="none"/>
        </w:rPr>
      </w:pPr>
    </w:p>
    <w:p w14:paraId="4036DD2F">
      <w:pPr>
        <w:rPr>
          <w:color w:val="auto"/>
          <w:highlight w:val="none"/>
        </w:rPr>
      </w:pPr>
    </w:p>
    <w:p w14:paraId="00B64A24">
      <w:pPr>
        <w:pStyle w:val="2"/>
        <w:rPr>
          <w:color w:val="auto"/>
          <w:highlight w:val="none"/>
        </w:rPr>
      </w:pPr>
    </w:p>
    <w:p w14:paraId="25E149C6">
      <w:pPr>
        <w:pStyle w:val="3"/>
        <w:ind w:firstLine="210"/>
        <w:rPr>
          <w:color w:val="auto"/>
          <w:highlight w:val="none"/>
        </w:rPr>
      </w:pPr>
    </w:p>
    <w:p w14:paraId="2E9038AE">
      <w:pPr>
        <w:pStyle w:val="4"/>
        <w:ind w:firstLine="420"/>
        <w:rPr>
          <w:color w:val="auto"/>
          <w:highlight w:val="none"/>
        </w:rPr>
      </w:pPr>
    </w:p>
    <w:p w14:paraId="698A12AC">
      <w:pPr>
        <w:rPr>
          <w:color w:val="auto"/>
          <w:highlight w:val="none"/>
        </w:rPr>
      </w:pPr>
    </w:p>
    <w:p w14:paraId="5EF6310F">
      <w:pPr>
        <w:pStyle w:val="2"/>
        <w:rPr>
          <w:color w:val="auto"/>
          <w:highlight w:val="none"/>
        </w:rPr>
      </w:pPr>
    </w:p>
    <w:p w14:paraId="4814DEB3">
      <w:pPr>
        <w:pStyle w:val="3"/>
        <w:ind w:firstLine="210"/>
        <w:rPr>
          <w:color w:val="auto"/>
          <w:highlight w:val="none"/>
        </w:rPr>
      </w:pPr>
    </w:p>
    <w:p w14:paraId="3F2FEFA4">
      <w:pPr>
        <w:pStyle w:val="4"/>
        <w:ind w:firstLine="420"/>
        <w:rPr>
          <w:color w:val="auto"/>
          <w:highlight w:val="none"/>
        </w:rPr>
      </w:pPr>
    </w:p>
    <w:p w14:paraId="69B0D04A">
      <w:pPr>
        <w:rPr>
          <w:color w:val="auto"/>
          <w:highlight w:val="none"/>
        </w:rPr>
      </w:pPr>
    </w:p>
    <w:p w14:paraId="55E29C49">
      <w:pPr>
        <w:pStyle w:val="2"/>
        <w:rPr>
          <w:color w:val="auto"/>
          <w:highlight w:val="none"/>
        </w:rPr>
      </w:pPr>
    </w:p>
    <w:p w14:paraId="41BCC26C">
      <w:pPr>
        <w:pStyle w:val="3"/>
        <w:ind w:firstLine="210"/>
        <w:rPr>
          <w:color w:val="auto"/>
          <w:highlight w:val="none"/>
        </w:rPr>
      </w:pPr>
    </w:p>
    <w:p w14:paraId="17AA5E8C">
      <w:pPr>
        <w:pStyle w:val="4"/>
        <w:ind w:firstLine="420"/>
        <w:rPr>
          <w:color w:val="auto"/>
          <w:highlight w:val="none"/>
        </w:rPr>
      </w:pPr>
    </w:p>
    <w:p w14:paraId="2BCEC43D">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58C60B14">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5064DBE9">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0BFA2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D28563D">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18E70997">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3C77335D">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67595C41">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7D4694C">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0B900DBF">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01EC4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2665DCE">
            <w:pPr>
              <w:jc w:val="center"/>
              <w:rPr>
                <w:rFonts w:ascii="宋体" w:hAnsi="宋体" w:cs="宋体"/>
                <w:color w:val="auto"/>
                <w:sz w:val="24"/>
                <w:highlight w:val="none"/>
              </w:rPr>
            </w:pPr>
          </w:p>
        </w:tc>
        <w:tc>
          <w:tcPr>
            <w:tcW w:w="2120" w:type="dxa"/>
            <w:vAlign w:val="center"/>
          </w:tcPr>
          <w:p w14:paraId="7560CD0A">
            <w:pPr>
              <w:jc w:val="center"/>
              <w:rPr>
                <w:rFonts w:ascii="宋体" w:hAnsi="宋体" w:cs="宋体"/>
                <w:color w:val="auto"/>
                <w:sz w:val="24"/>
                <w:highlight w:val="none"/>
              </w:rPr>
            </w:pPr>
          </w:p>
        </w:tc>
        <w:tc>
          <w:tcPr>
            <w:tcW w:w="1958" w:type="dxa"/>
            <w:vAlign w:val="center"/>
          </w:tcPr>
          <w:p w14:paraId="048DBB6A">
            <w:pPr>
              <w:jc w:val="center"/>
              <w:rPr>
                <w:rFonts w:ascii="宋体" w:hAnsi="宋体" w:cs="宋体"/>
                <w:color w:val="auto"/>
                <w:sz w:val="24"/>
                <w:highlight w:val="none"/>
              </w:rPr>
            </w:pPr>
          </w:p>
        </w:tc>
        <w:tc>
          <w:tcPr>
            <w:tcW w:w="1955" w:type="dxa"/>
            <w:vAlign w:val="center"/>
          </w:tcPr>
          <w:p w14:paraId="668D97DE">
            <w:pPr>
              <w:jc w:val="center"/>
              <w:rPr>
                <w:rFonts w:ascii="宋体" w:hAnsi="宋体" w:cs="宋体"/>
                <w:color w:val="auto"/>
                <w:sz w:val="24"/>
                <w:highlight w:val="none"/>
              </w:rPr>
            </w:pPr>
          </w:p>
        </w:tc>
        <w:tc>
          <w:tcPr>
            <w:tcW w:w="832" w:type="dxa"/>
            <w:vAlign w:val="center"/>
          </w:tcPr>
          <w:p w14:paraId="236C6349">
            <w:pPr>
              <w:jc w:val="center"/>
              <w:rPr>
                <w:rFonts w:ascii="宋体" w:hAnsi="宋体" w:cs="宋体"/>
                <w:color w:val="auto"/>
                <w:sz w:val="24"/>
                <w:highlight w:val="none"/>
              </w:rPr>
            </w:pPr>
          </w:p>
        </w:tc>
        <w:tc>
          <w:tcPr>
            <w:tcW w:w="831" w:type="dxa"/>
            <w:vAlign w:val="center"/>
          </w:tcPr>
          <w:p w14:paraId="42A34F68">
            <w:pPr>
              <w:jc w:val="center"/>
              <w:rPr>
                <w:rFonts w:ascii="宋体" w:hAnsi="宋体" w:cs="宋体"/>
                <w:color w:val="auto"/>
                <w:sz w:val="24"/>
                <w:highlight w:val="none"/>
              </w:rPr>
            </w:pPr>
          </w:p>
        </w:tc>
      </w:tr>
      <w:tr w14:paraId="4AE0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B2941BE">
            <w:pPr>
              <w:jc w:val="center"/>
              <w:rPr>
                <w:rFonts w:ascii="宋体" w:hAnsi="宋体" w:cs="宋体"/>
                <w:color w:val="auto"/>
                <w:sz w:val="24"/>
                <w:highlight w:val="none"/>
              </w:rPr>
            </w:pPr>
          </w:p>
        </w:tc>
        <w:tc>
          <w:tcPr>
            <w:tcW w:w="2120" w:type="dxa"/>
            <w:vAlign w:val="center"/>
          </w:tcPr>
          <w:p w14:paraId="0DF67BE5">
            <w:pPr>
              <w:jc w:val="center"/>
              <w:rPr>
                <w:rFonts w:ascii="宋体" w:hAnsi="宋体" w:cs="宋体"/>
                <w:color w:val="auto"/>
                <w:sz w:val="24"/>
                <w:highlight w:val="none"/>
              </w:rPr>
            </w:pPr>
          </w:p>
        </w:tc>
        <w:tc>
          <w:tcPr>
            <w:tcW w:w="1958" w:type="dxa"/>
            <w:vAlign w:val="center"/>
          </w:tcPr>
          <w:p w14:paraId="4FF07008">
            <w:pPr>
              <w:jc w:val="center"/>
              <w:rPr>
                <w:rFonts w:ascii="宋体" w:hAnsi="宋体" w:cs="宋体"/>
                <w:color w:val="auto"/>
                <w:sz w:val="24"/>
                <w:highlight w:val="none"/>
              </w:rPr>
            </w:pPr>
          </w:p>
        </w:tc>
        <w:tc>
          <w:tcPr>
            <w:tcW w:w="1955" w:type="dxa"/>
            <w:vAlign w:val="center"/>
          </w:tcPr>
          <w:p w14:paraId="6F4B9C61">
            <w:pPr>
              <w:jc w:val="center"/>
              <w:rPr>
                <w:rFonts w:ascii="宋体" w:hAnsi="宋体" w:cs="宋体"/>
                <w:color w:val="auto"/>
                <w:sz w:val="24"/>
                <w:highlight w:val="none"/>
              </w:rPr>
            </w:pPr>
          </w:p>
        </w:tc>
        <w:tc>
          <w:tcPr>
            <w:tcW w:w="832" w:type="dxa"/>
            <w:vAlign w:val="center"/>
          </w:tcPr>
          <w:p w14:paraId="40A53044">
            <w:pPr>
              <w:jc w:val="center"/>
              <w:rPr>
                <w:rFonts w:ascii="宋体" w:hAnsi="宋体" w:cs="宋体"/>
                <w:color w:val="auto"/>
                <w:sz w:val="24"/>
                <w:highlight w:val="none"/>
              </w:rPr>
            </w:pPr>
          </w:p>
        </w:tc>
        <w:tc>
          <w:tcPr>
            <w:tcW w:w="831" w:type="dxa"/>
            <w:vAlign w:val="center"/>
          </w:tcPr>
          <w:p w14:paraId="45AEAB67">
            <w:pPr>
              <w:jc w:val="center"/>
              <w:rPr>
                <w:rFonts w:ascii="宋体" w:hAnsi="宋体" w:cs="宋体"/>
                <w:color w:val="auto"/>
                <w:sz w:val="24"/>
                <w:highlight w:val="none"/>
              </w:rPr>
            </w:pPr>
          </w:p>
        </w:tc>
      </w:tr>
      <w:tr w14:paraId="56AC8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F6BAD43">
            <w:pPr>
              <w:jc w:val="center"/>
              <w:rPr>
                <w:rFonts w:ascii="宋体" w:hAnsi="宋体" w:cs="宋体"/>
                <w:color w:val="auto"/>
                <w:sz w:val="24"/>
                <w:highlight w:val="none"/>
              </w:rPr>
            </w:pPr>
          </w:p>
        </w:tc>
        <w:tc>
          <w:tcPr>
            <w:tcW w:w="2120" w:type="dxa"/>
            <w:vAlign w:val="center"/>
          </w:tcPr>
          <w:p w14:paraId="22AD2FEE">
            <w:pPr>
              <w:jc w:val="center"/>
              <w:rPr>
                <w:rFonts w:ascii="宋体" w:hAnsi="宋体" w:cs="宋体"/>
                <w:color w:val="auto"/>
                <w:sz w:val="24"/>
                <w:highlight w:val="none"/>
              </w:rPr>
            </w:pPr>
          </w:p>
        </w:tc>
        <w:tc>
          <w:tcPr>
            <w:tcW w:w="1958" w:type="dxa"/>
            <w:vAlign w:val="center"/>
          </w:tcPr>
          <w:p w14:paraId="53FFFBA8">
            <w:pPr>
              <w:jc w:val="center"/>
              <w:rPr>
                <w:rFonts w:ascii="宋体" w:hAnsi="宋体" w:cs="宋体"/>
                <w:color w:val="auto"/>
                <w:sz w:val="24"/>
                <w:highlight w:val="none"/>
              </w:rPr>
            </w:pPr>
          </w:p>
        </w:tc>
        <w:tc>
          <w:tcPr>
            <w:tcW w:w="1955" w:type="dxa"/>
            <w:vAlign w:val="center"/>
          </w:tcPr>
          <w:p w14:paraId="786A93DA">
            <w:pPr>
              <w:jc w:val="center"/>
              <w:rPr>
                <w:rFonts w:ascii="宋体" w:hAnsi="宋体" w:cs="宋体"/>
                <w:color w:val="auto"/>
                <w:sz w:val="24"/>
                <w:highlight w:val="none"/>
              </w:rPr>
            </w:pPr>
          </w:p>
        </w:tc>
        <w:tc>
          <w:tcPr>
            <w:tcW w:w="832" w:type="dxa"/>
            <w:vAlign w:val="center"/>
          </w:tcPr>
          <w:p w14:paraId="56482DC1">
            <w:pPr>
              <w:jc w:val="center"/>
              <w:rPr>
                <w:rFonts w:ascii="宋体" w:hAnsi="宋体" w:cs="宋体"/>
                <w:color w:val="auto"/>
                <w:sz w:val="24"/>
                <w:highlight w:val="none"/>
              </w:rPr>
            </w:pPr>
          </w:p>
        </w:tc>
        <w:tc>
          <w:tcPr>
            <w:tcW w:w="831" w:type="dxa"/>
            <w:vAlign w:val="center"/>
          </w:tcPr>
          <w:p w14:paraId="778C27B6">
            <w:pPr>
              <w:jc w:val="center"/>
              <w:rPr>
                <w:rFonts w:ascii="宋体" w:hAnsi="宋体" w:cs="宋体"/>
                <w:color w:val="auto"/>
                <w:sz w:val="24"/>
                <w:highlight w:val="none"/>
              </w:rPr>
            </w:pPr>
          </w:p>
        </w:tc>
      </w:tr>
      <w:tr w14:paraId="59E41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A8054E1">
            <w:pPr>
              <w:jc w:val="center"/>
              <w:rPr>
                <w:rFonts w:ascii="宋体" w:hAnsi="宋体" w:cs="宋体"/>
                <w:color w:val="auto"/>
                <w:sz w:val="24"/>
                <w:highlight w:val="none"/>
              </w:rPr>
            </w:pPr>
          </w:p>
        </w:tc>
        <w:tc>
          <w:tcPr>
            <w:tcW w:w="2120" w:type="dxa"/>
            <w:vAlign w:val="center"/>
          </w:tcPr>
          <w:p w14:paraId="46F726D9">
            <w:pPr>
              <w:jc w:val="center"/>
              <w:rPr>
                <w:rFonts w:ascii="宋体" w:hAnsi="宋体" w:cs="宋体"/>
                <w:color w:val="auto"/>
                <w:sz w:val="24"/>
                <w:highlight w:val="none"/>
              </w:rPr>
            </w:pPr>
          </w:p>
        </w:tc>
        <w:tc>
          <w:tcPr>
            <w:tcW w:w="1958" w:type="dxa"/>
            <w:vAlign w:val="center"/>
          </w:tcPr>
          <w:p w14:paraId="1766A709">
            <w:pPr>
              <w:jc w:val="center"/>
              <w:rPr>
                <w:rFonts w:ascii="宋体" w:hAnsi="宋体" w:cs="宋体"/>
                <w:color w:val="auto"/>
                <w:sz w:val="24"/>
                <w:highlight w:val="none"/>
              </w:rPr>
            </w:pPr>
          </w:p>
        </w:tc>
        <w:tc>
          <w:tcPr>
            <w:tcW w:w="1955" w:type="dxa"/>
            <w:vAlign w:val="center"/>
          </w:tcPr>
          <w:p w14:paraId="4B6C0292">
            <w:pPr>
              <w:jc w:val="center"/>
              <w:rPr>
                <w:rFonts w:ascii="宋体" w:hAnsi="宋体" w:cs="宋体"/>
                <w:color w:val="auto"/>
                <w:sz w:val="24"/>
                <w:highlight w:val="none"/>
              </w:rPr>
            </w:pPr>
          </w:p>
        </w:tc>
        <w:tc>
          <w:tcPr>
            <w:tcW w:w="832" w:type="dxa"/>
            <w:vAlign w:val="center"/>
          </w:tcPr>
          <w:p w14:paraId="697E59A1">
            <w:pPr>
              <w:jc w:val="center"/>
              <w:rPr>
                <w:rFonts w:ascii="宋体" w:hAnsi="宋体" w:cs="宋体"/>
                <w:color w:val="auto"/>
                <w:sz w:val="24"/>
                <w:highlight w:val="none"/>
              </w:rPr>
            </w:pPr>
          </w:p>
        </w:tc>
        <w:tc>
          <w:tcPr>
            <w:tcW w:w="831" w:type="dxa"/>
            <w:vAlign w:val="center"/>
          </w:tcPr>
          <w:p w14:paraId="29F564D3">
            <w:pPr>
              <w:jc w:val="center"/>
              <w:rPr>
                <w:rFonts w:ascii="宋体" w:hAnsi="宋体" w:cs="宋体"/>
                <w:color w:val="auto"/>
                <w:sz w:val="24"/>
                <w:highlight w:val="none"/>
              </w:rPr>
            </w:pPr>
          </w:p>
        </w:tc>
      </w:tr>
      <w:tr w14:paraId="243D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3762B95">
            <w:pPr>
              <w:jc w:val="center"/>
              <w:rPr>
                <w:rFonts w:ascii="宋体" w:hAnsi="宋体" w:cs="宋体"/>
                <w:color w:val="auto"/>
                <w:sz w:val="24"/>
                <w:highlight w:val="none"/>
              </w:rPr>
            </w:pPr>
          </w:p>
        </w:tc>
        <w:tc>
          <w:tcPr>
            <w:tcW w:w="2120" w:type="dxa"/>
            <w:vAlign w:val="center"/>
          </w:tcPr>
          <w:p w14:paraId="5213A389">
            <w:pPr>
              <w:jc w:val="center"/>
              <w:rPr>
                <w:rFonts w:ascii="宋体" w:hAnsi="宋体" w:cs="宋体"/>
                <w:color w:val="auto"/>
                <w:sz w:val="24"/>
                <w:highlight w:val="none"/>
              </w:rPr>
            </w:pPr>
          </w:p>
        </w:tc>
        <w:tc>
          <w:tcPr>
            <w:tcW w:w="1958" w:type="dxa"/>
            <w:vAlign w:val="center"/>
          </w:tcPr>
          <w:p w14:paraId="08A6AD4B">
            <w:pPr>
              <w:jc w:val="center"/>
              <w:rPr>
                <w:rFonts w:ascii="宋体" w:hAnsi="宋体" w:cs="宋体"/>
                <w:color w:val="auto"/>
                <w:sz w:val="24"/>
                <w:highlight w:val="none"/>
              </w:rPr>
            </w:pPr>
          </w:p>
        </w:tc>
        <w:tc>
          <w:tcPr>
            <w:tcW w:w="1955" w:type="dxa"/>
            <w:vAlign w:val="center"/>
          </w:tcPr>
          <w:p w14:paraId="5B2DA8A5">
            <w:pPr>
              <w:jc w:val="center"/>
              <w:rPr>
                <w:rFonts w:ascii="宋体" w:hAnsi="宋体" w:cs="宋体"/>
                <w:color w:val="auto"/>
                <w:sz w:val="24"/>
                <w:highlight w:val="none"/>
              </w:rPr>
            </w:pPr>
          </w:p>
        </w:tc>
        <w:tc>
          <w:tcPr>
            <w:tcW w:w="832" w:type="dxa"/>
            <w:vAlign w:val="center"/>
          </w:tcPr>
          <w:p w14:paraId="3BC033CD">
            <w:pPr>
              <w:jc w:val="center"/>
              <w:rPr>
                <w:rFonts w:ascii="宋体" w:hAnsi="宋体" w:cs="宋体"/>
                <w:color w:val="auto"/>
                <w:sz w:val="24"/>
                <w:highlight w:val="none"/>
              </w:rPr>
            </w:pPr>
          </w:p>
        </w:tc>
        <w:tc>
          <w:tcPr>
            <w:tcW w:w="831" w:type="dxa"/>
            <w:vAlign w:val="center"/>
          </w:tcPr>
          <w:p w14:paraId="05706EE4">
            <w:pPr>
              <w:jc w:val="center"/>
              <w:rPr>
                <w:rFonts w:ascii="宋体" w:hAnsi="宋体" w:cs="宋体"/>
                <w:color w:val="auto"/>
                <w:sz w:val="24"/>
                <w:highlight w:val="none"/>
              </w:rPr>
            </w:pPr>
          </w:p>
        </w:tc>
      </w:tr>
      <w:tr w14:paraId="4A36D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44B030C">
            <w:pPr>
              <w:jc w:val="center"/>
              <w:rPr>
                <w:rFonts w:ascii="宋体" w:hAnsi="宋体" w:cs="宋体"/>
                <w:color w:val="auto"/>
                <w:sz w:val="24"/>
                <w:highlight w:val="none"/>
              </w:rPr>
            </w:pPr>
          </w:p>
        </w:tc>
        <w:tc>
          <w:tcPr>
            <w:tcW w:w="2120" w:type="dxa"/>
            <w:vAlign w:val="center"/>
          </w:tcPr>
          <w:p w14:paraId="2694094D">
            <w:pPr>
              <w:jc w:val="center"/>
              <w:rPr>
                <w:rFonts w:ascii="宋体" w:hAnsi="宋体" w:cs="宋体"/>
                <w:color w:val="auto"/>
                <w:sz w:val="24"/>
                <w:highlight w:val="none"/>
              </w:rPr>
            </w:pPr>
          </w:p>
        </w:tc>
        <w:tc>
          <w:tcPr>
            <w:tcW w:w="1958" w:type="dxa"/>
            <w:vAlign w:val="center"/>
          </w:tcPr>
          <w:p w14:paraId="1CA4F376">
            <w:pPr>
              <w:jc w:val="center"/>
              <w:rPr>
                <w:rFonts w:ascii="宋体" w:hAnsi="宋体" w:cs="宋体"/>
                <w:color w:val="auto"/>
                <w:sz w:val="24"/>
                <w:highlight w:val="none"/>
              </w:rPr>
            </w:pPr>
          </w:p>
        </w:tc>
        <w:tc>
          <w:tcPr>
            <w:tcW w:w="1955" w:type="dxa"/>
            <w:vAlign w:val="center"/>
          </w:tcPr>
          <w:p w14:paraId="71FD5FFB">
            <w:pPr>
              <w:jc w:val="center"/>
              <w:rPr>
                <w:rFonts w:ascii="宋体" w:hAnsi="宋体" w:cs="宋体"/>
                <w:color w:val="auto"/>
                <w:sz w:val="24"/>
                <w:highlight w:val="none"/>
              </w:rPr>
            </w:pPr>
          </w:p>
        </w:tc>
        <w:tc>
          <w:tcPr>
            <w:tcW w:w="832" w:type="dxa"/>
            <w:vAlign w:val="center"/>
          </w:tcPr>
          <w:p w14:paraId="1FC48D77">
            <w:pPr>
              <w:jc w:val="center"/>
              <w:rPr>
                <w:rFonts w:ascii="宋体" w:hAnsi="宋体" w:cs="宋体"/>
                <w:color w:val="auto"/>
                <w:sz w:val="24"/>
                <w:highlight w:val="none"/>
              </w:rPr>
            </w:pPr>
          </w:p>
        </w:tc>
        <w:tc>
          <w:tcPr>
            <w:tcW w:w="831" w:type="dxa"/>
            <w:vAlign w:val="center"/>
          </w:tcPr>
          <w:p w14:paraId="03CF01F9">
            <w:pPr>
              <w:jc w:val="center"/>
              <w:rPr>
                <w:rFonts w:ascii="宋体" w:hAnsi="宋体" w:cs="宋体"/>
                <w:color w:val="auto"/>
                <w:sz w:val="24"/>
                <w:highlight w:val="none"/>
              </w:rPr>
            </w:pPr>
          </w:p>
        </w:tc>
      </w:tr>
      <w:tr w14:paraId="7E5D7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1BBC654">
            <w:pPr>
              <w:jc w:val="center"/>
              <w:rPr>
                <w:rFonts w:ascii="宋体" w:hAnsi="宋体" w:cs="宋体"/>
                <w:color w:val="auto"/>
                <w:sz w:val="24"/>
                <w:highlight w:val="none"/>
              </w:rPr>
            </w:pPr>
          </w:p>
        </w:tc>
        <w:tc>
          <w:tcPr>
            <w:tcW w:w="2120" w:type="dxa"/>
            <w:vAlign w:val="center"/>
          </w:tcPr>
          <w:p w14:paraId="182F5117">
            <w:pPr>
              <w:jc w:val="center"/>
              <w:rPr>
                <w:rFonts w:ascii="宋体" w:hAnsi="宋体" w:cs="宋体"/>
                <w:color w:val="auto"/>
                <w:sz w:val="24"/>
                <w:highlight w:val="none"/>
              </w:rPr>
            </w:pPr>
          </w:p>
        </w:tc>
        <w:tc>
          <w:tcPr>
            <w:tcW w:w="1958" w:type="dxa"/>
            <w:vAlign w:val="center"/>
          </w:tcPr>
          <w:p w14:paraId="4A5DBF29">
            <w:pPr>
              <w:jc w:val="center"/>
              <w:rPr>
                <w:rFonts w:ascii="宋体" w:hAnsi="宋体" w:cs="宋体"/>
                <w:color w:val="auto"/>
                <w:sz w:val="24"/>
                <w:highlight w:val="none"/>
              </w:rPr>
            </w:pPr>
          </w:p>
        </w:tc>
        <w:tc>
          <w:tcPr>
            <w:tcW w:w="1955" w:type="dxa"/>
            <w:vAlign w:val="center"/>
          </w:tcPr>
          <w:p w14:paraId="3BB24776">
            <w:pPr>
              <w:jc w:val="center"/>
              <w:rPr>
                <w:rFonts w:ascii="宋体" w:hAnsi="宋体" w:cs="宋体"/>
                <w:color w:val="auto"/>
                <w:sz w:val="24"/>
                <w:highlight w:val="none"/>
              </w:rPr>
            </w:pPr>
          </w:p>
        </w:tc>
        <w:tc>
          <w:tcPr>
            <w:tcW w:w="832" w:type="dxa"/>
            <w:vAlign w:val="center"/>
          </w:tcPr>
          <w:p w14:paraId="65C52D11">
            <w:pPr>
              <w:jc w:val="center"/>
              <w:rPr>
                <w:rFonts w:ascii="宋体" w:hAnsi="宋体" w:cs="宋体"/>
                <w:color w:val="auto"/>
                <w:sz w:val="24"/>
                <w:highlight w:val="none"/>
              </w:rPr>
            </w:pPr>
          </w:p>
        </w:tc>
        <w:tc>
          <w:tcPr>
            <w:tcW w:w="831" w:type="dxa"/>
            <w:vAlign w:val="center"/>
          </w:tcPr>
          <w:p w14:paraId="189097A5">
            <w:pPr>
              <w:jc w:val="center"/>
              <w:rPr>
                <w:rFonts w:ascii="宋体" w:hAnsi="宋体" w:cs="宋体"/>
                <w:color w:val="auto"/>
                <w:sz w:val="24"/>
                <w:highlight w:val="none"/>
              </w:rPr>
            </w:pPr>
          </w:p>
        </w:tc>
      </w:tr>
      <w:tr w14:paraId="11ED1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37C57">
            <w:pPr>
              <w:jc w:val="center"/>
              <w:rPr>
                <w:rFonts w:ascii="宋体" w:hAnsi="宋体" w:cs="宋体"/>
                <w:color w:val="auto"/>
                <w:sz w:val="24"/>
                <w:highlight w:val="none"/>
              </w:rPr>
            </w:pPr>
          </w:p>
        </w:tc>
        <w:tc>
          <w:tcPr>
            <w:tcW w:w="2120" w:type="dxa"/>
            <w:vAlign w:val="center"/>
          </w:tcPr>
          <w:p w14:paraId="28A56B27">
            <w:pPr>
              <w:jc w:val="center"/>
              <w:rPr>
                <w:rFonts w:ascii="宋体" w:hAnsi="宋体" w:cs="宋体"/>
                <w:color w:val="auto"/>
                <w:sz w:val="24"/>
                <w:highlight w:val="none"/>
              </w:rPr>
            </w:pPr>
          </w:p>
        </w:tc>
        <w:tc>
          <w:tcPr>
            <w:tcW w:w="1958" w:type="dxa"/>
            <w:vAlign w:val="center"/>
          </w:tcPr>
          <w:p w14:paraId="56CA3FB5">
            <w:pPr>
              <w:jc w:val="center"/>
              <w:rPr>
                <w:rFonts w:ascii="宋体" w:hAnsi="宋体" w:cs="宋体"/>
                <w:color w:val="auto"/>
                <w:sz w:val="24"/>
                <w:highlight w:val="none"/>
              </w:rPr>
            </w:pPr>
          </w:p>
        </w:tc>
        <w:tc>
          <w:tcPr>
            <w:tcW w:w="1955" w:type="dxa"/>
            <w:vAlign w:val="center"/>
          </w:tcPr>
          <w:p w14:paraId="10F5ED60">
            <w:pPr>
              <w:jc w:val="center"/>
              <w:rPr>
                <w:rFonts w:ascii="宋体" w:hAnsi="宋体" w:cs="宋体"/>
                <w:color w:val="auto"/>
                <w:sz w:val="24"/>
                <w:highlight w:val="none"/>
              </w:rPr>
            </w:pPr>
          </w:p>
        </w:tc>
        <w:tc>
          <w:tcPr>
            <w:tcW w:w="832" w:type="dxa"/>
            <w:vAlign w:val="center"/>
          </w:tcPr>
          <w:p w14:paraId="2CD91DE0">
            <w:pPr>
              <w:jc w:val="center"/>
              <w:rPr>
                <w:rFonts w:ascii="宋体" w:hAnsi="宋体" w:cs="宋体"/>
                <w:color w:val="auto"/>
                <w:sz w:val="24"/>
                <w:highlight w:val="none"/>
              </w:rPr>
            </w:pPr>
          </w:p>
        </w:tc>
        <w:tc>
          <w:tcPr>
            <w:tcW w:w="831" w:type="dxa"/>
            <w:vAlign w:val="center"/>
          </w:tcPr>
          <w:p w14:paraId="0CE1820D">
            <w:pPr>
              <w:jc w:val="center"/>
              <w:rPr>
                <w:rFonts w:ascii="宋体" w:hAnsi="宋体" w:cs="宋体"/>
                <w:color w:val="auto"/>
                <w:sz w:val="24"/>
                <w:highlight w:val="none"/>
              </w:rPr>
            </w:pPr>
          </w:p>
        </w:tc>
      </w:tr>
      <w:tr w14:paraId="79470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FB2668D">
            <w:pPr>
              <w:jc w:val="center"/>
              <w:rPr>
                <w:rFonts w:ascii="宋体" w:hAnsi="宋体" w:cs="宋体"/>
                <w:color w:val="auto"/>
                <w:sz w:val="24"/>
                <w:highlight w:val="none"/>
              </w:rPr>
            </w:pPr>
          </w:p>
        </w:tc>
        <w:tc>
          <w:tcPr>
            <w:tcW w:w="2120" w:type="dxa"/>
            <w:vAlign w:val="center"/>
          </w:tcPr>
          <w:p w14:paraId="32514278">
            <w:pPr>
              <w:jc w:val="center"/>
              <w:rPr>
                <w:rFonts w:ascii="宋体" w:hAnsi="宋体" w:cs="宋体"/>
                <w:color w:val="auto"/>
                <w:sz w:val="24"/>
                <w:highlight w:val="none"/>
              </w:rPr>
            </w:pPr>
          </w:p>
        </w:tc>
        <w:tc>
          <w:tcPr>
            <w:tcW w:w="1958" w:type="dxa"/>
            <w:vAlign w:val="center"/>
          </w:tcPr>
          <w:p w14:paraId="447B013E">
            <w:pPr>
              <w:jc w:val="center"/>
              <w:rPr>
                <w:rFonts w:ascii="宋体" w:hAnsi="宋体" w:cs="宋体"/>
                <w:color w:val="auto"/>
                <w:sz w:val="24"/>
                <w:highlight w:val="none"/>
              </w:rPr>
            </w:pPr>
          </w:p>
        </w:tc>
        <w:tc>
          <w:tcPr>
            <w:tcW w:w="1955" w:type="dxa"/>
            <w:vAlign w:val="center"/>
          </w:tcPr>
          <w:p w14:paraId="2914130D">
            <w:pPr>
              <w:jc w:val="center"/>
              <w:rPr>
                <w:rFonts w:ascii="宋体" w:hAnsi="宋体" w:cs="宋体"/>
                <w:color w:val="auto"/>
                <w:sz w:val="24"/>
                <w:highlight w:val="none"/>
              </w:rPr>
            </w:pPr>
          </w:p>
        </w:tc>
        <w:tc>
          <w:tcPr>
            <w:tcW w:w="832" w:type="dxa"/>
            <w:vAlign w:val="center"/>
          </w:tcPr>
          <w:p w14:paraId="5F5044F7">
            <w:pPr>
              <w:jc w:val="center"/>
              <w:rPr>
                <w:rFonts w:ascii="宋体" w:hAnsi="宋体" w:cs="宋体"/>
                <w:color w:val="auto"/>
                <w:sz w:val="24"/>
                <w:highlight w:val="none"/>
              </w:rPr>
            </w:pPr>
          </w:p>
        </w:tc>
        <w:tc>
          <w:tcPr>
            <w:tcW w:w="831" w:type="dxa"/>
            <w:vAlign w:val="center"/>
          </w:tcPr>
          <w:p w14:paraId="4E62FE35">
            <w:pPr>
              <w:jc w:val="center"/>
              <w:rPr>
                <w:rFonts w:ascii="宋体" w:hAnsi="宋体" w:cs="宋体"/>
                <w:color w:val="auto"/>
                <w:sz w:val="24"/>
                <w:highlight w:val="none"/>
              </w:rPr>
            </w:pPr>
          </w:p>
        </w:tc>
      </w:tr>
    </w:tbl>
    <w:p w14:paraId="7AD225CB">
      <w:pPr>
        <w:ind w:firstLine="480" w:firstLineChars="200"/>
        <w:jc w:val="left"/>
        <w:rPr>
          <w:rFonts w:ascii="宋体" w:hAnsi="宋体" w:cs="宋体"/>
          <w:color w:val="auto"/>
          <w:sz w:val="24"/>
          <w:highlight w:val="none"/>
        </w:rPr>
      </w:pPr>
    </w:p>
    <w:p w14:paraId="4912E1D8">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2B3F8AE8">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0E725CBE">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34ADF54F">
      <w:pPr>
        <w:pStyle w:val="2"/>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3、技术条款包括但不限于附件七《</w:t>
      </w:r>
      <w:r>
        <w:rPr>
          <w:rFonts w:hint="eastAsia" w:ascii="宋体" w:hAnsi="宋体" w:cs="宋体"/>
          <w:color w:val="auto"/>
          <w:sz w:val="24"/>
          <w:highlight w:val="none"/>
          <w:lang w:val="en-US" w:eastAsia="zh-CN"/>
        </w:rPr>
        <w:t>技术规范书</w:t>
      </w:r>
      <w:r>
        <w:rPr>
          <w:rFonts w:hint="eastAsia" w:ascii="宋体" w:hAnsi="宋体" w:cs="宋体"/>
          <w:color w:val="auto"/>
          <w:sz w:val="24"/>
          <w:highlight w:val="none"/>
        </w:rPr>
        <w:t>》中的各项技术要求。</w:t>
      </w:r>
    </w:p>
    <w:p w14:paraId="54E4FDD1">
      <w:pPr>
        <w:spacing w:line="360" w:lineRule="exact"/>
        <w:ind w:firstLine="480" w:firstLineChars="200"/>
        <w:jc w:val="left"/>
        <w:rPr>
          <w:rFonts w:ascii="宋体" w:hAnsi="宋体" w:cs="宋体"/>
          <w:color w:val="auto"/>
          <w:sz w:val="24"/>
          <w:highlight w:val="none"/>
        </w:rPr>
      </w:pPr>
    </w:p>
    <w:p w14:paraId="19AAC30F">
      <w:pPr>
        <w:spacing w:line="360" w:lineRule="exact"/>
        <w:ind w:firstLine="480" w:firstLineChars="200"/>
        <w:jc w:val="left"/>
        <w:rPr>
          <w:rFonts w:ascii="宋体" w:hAnsi="宋体" w:cs="宋体"/>
          <w:color w:val="auto"/>
          <w:sz w:val="24"/>
          <w:highlight w:val="none"/>
        </w:rPr>
      </w:pPr>
    </w:p>
    <w:p w14:paraId="7F51AAD8">
      <w:pPr>
        <w:spacing w:line="360" w:lineRule="exact"/>
        <w:ind w:firstLine="480" w:firstLineChars="200"/>
        <w:jc w:val="left"/>
        <w:rPr>
          <w:rFonts w:ascii="宋体" w:hAnsi="宋体" w:cs="宋体"/>
          <w:color w:val="auto"/>
          <w:sz w:val="24"/>
          <w:highlight w:val="none"/>
        </w:rPr>
      </w:pPr>
    </w:p>
    <w:p w14:paraId="01039491">
      <w:pPr>
        <w:pStyle w:val="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4BA7D13E">
      <w:pPr>
        <w:pStyle w:val="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0D400415">
      <w:pPr>
        <w:spacing w:line="36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日      期：</w:t>
      </w:r>
    </w:p>
    <w:p w14:paraId="5C1A3C07">
      <w:pPr>
        <w:pStyle w:val="45"/>
        <w:ind w:firstLine="0" w:firstLineChars="0"/>
        <w:jc w:val="left"/>
        <w:outlineLvl w:val="1"/>
        <w:rPr>
          <w:rFonts w:hint="eastAsia" w:eastAsia="黑体"/>
          <w:color w:val="auto"/>
          <w:sz w:val="28"/>
          <w:szCs w:val="44"/>
          <w:highlight w:val="none"/>
          <w:lang w:eastAsia="zh-CN"/>
        </w:rPr>
      </w:pPr>
      <w:r>
        <w:rPr>
          <w:rFonts w:hint="eastAsia" w:eastAsia="黑体"/>
          <w:color w:val="auto"/>
          <w:sz w:val="28"/>
          <w:szCs w:val="44"/>
          <w:highlight w:val="none"/>
        </w:rPr>
        <w:t>附件</w:t>
      </w:r>
      <w:r>
        <w:rPr>
          <w:rFonts w:hint="eastAsia" w:eastAsia="黑体"/>
          <w:color w:val="auto"/>
          <w:sz w:val="28"/>
          <w:szCs w:val="44"/>
          <w:highlight w:val="none"/>
          <w:lang w:val="en-US" w:eastAsia="zh-CN"/>
        </w:rPr>
        <w:t>十三</w:t>
      </w:r>
      <w:r>
        <w:rPr>
          <w:rFonts w:hint="eastAsia" w:eastAsia="黑体"/>
          <w:color w:val="auto"/>
          <w:sz w:val="28"/>
          <w:szCs w:val="44"/>
          <w:highlight w:val="none"/>
        </w:rPr>
        <w:t xml:space="preserve">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color w:val="auto"/>
          <w:sz w:val="32"/>
          <w:szCs w:val="32"/>
          <w:highlight w:val="none"/>
          <w:u w:val="single"/>
          <w:lang w:eastAsia="zh-CN"/>
        </w:rPr>
        <w:t>阳江开能环保能源有限公司余热发电项目35KV变压器高压配电柜采购及指导安装项目（</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，作出郑重说明：</w:t>
      </w:r>
    </w:p>
    <w:p w14:paraId="39FB988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4"/>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2CD17D08">
      <w:pPr>
        <w:pStyle w:val="23"/>
        <w:ind w:left="0" w:leftChars="0" w:firstLine="0" w:firstLineChars="0"/>
        <w:rPr>
          <w:rFonts w:hint="eastAsia" w:eastAsia="仿宋_GB2312"/>
          <w:color w:val="auto"/>
          <w:sz w:val="32"/>
          <w:szCs w:val="32"/>
          <w:highlight w:val="none"/>
          <w:lang w:eastAsia="zh-CN"/>
        </w:rPr>
      </w:pPr>
    </w:p>
    <w:p w14:paraId="60DC17CF">
      <w:pPr>
        <w:pStyle w:val="2"/>
        <w:rPr>
          <w:rFonts w:hint="eastAsia" w:ascii="宋体" w:hAnsi="宋体" w:cs="宋体"/>
          <w:color w:val="auto"/>
          <w:sz w:val="24"/>
          <w:highlight w:val="none"/>
        </w:rPr>
      </w:pPr>
    </w:p>
    <w:p w14:paraId="77557712">
      <w:pPr>
        <w:pStyle w:val="3"/>
        <w:rPr>
          <w:color w:val="auto"/>
          <w:highlight w:val="none"/>
        </w:rPr>
      </w:pPr>
    </w:p>
    <w:p w14:paraId="3211F4C7">
      <w:pPr>
        <w:pStyle w:val="4"/>
        <w:rPr>
          <w:color w:val="auto"/>
          <w:highlight w:val="none"/>
        </w:rPr>
      </w:pPr>
    </w:p>
    <w:p w14:paraId="65175201">
      <w:pPr>
        <w:rPr>
          <w:color w:val="auto"/>
          <w:highlight w:val="none"/>
        </w:rPr>
      </w:pPr>
    </w:p>
    <w:p w14:paraId="404B3EA9">
      <w:pPr>
        <w:pStyle w:val="2"/>
        <w:rPr>
          <w:color w:val="auto"/>
          <w:highlight w:val="none"/>
        </w:rPr>
      </w:pPr>
    </w:p>
    <w:p w14:paraId="02BEB997">
      <w:pPr>
        <w:pStyle w:val="3"/>
        <w:rPr>
          <w:color w:val="auto"/>
          <w:highlight w:val="none"/>
        </w:rPr>
      </w:pPr>
    </w:p>
    <w:p w14:paraId="310BA2F5">
      <w:pPr>
        <w:pStyle w:val="4"/>
        <w:rPr>
          <w:color w:val="auto"/>
          <w:highlight w:val="none"/>
        </w:rPr>
      </w:pPr>
    </w:p>
    <w:p w14:paraId="2BB5975E">
      <w:pPr>
        <w:rPr>
          <w:color w:val="auto"/>
          <w:highlight w:val="none"/>
        </w:rPr>
      </w:pPr>
    </w:p>
    <w:p w14:paraId="2DB2A982">
      <w:pPr>
        <w:pStyle w:val="2"/>
        <w:rPr>
          <w:color w:val="auto"/>
          <w:highlight w:val="none"/>
        </w:rPr>
      </w:pPr>
    </w:p>
    <w:p w14:paraId="344E1CEA">
      <w:pPr>
        <w:pStyle w:val="3"/>
        <w:rPr>
          <w:color w:val="auto"/>
          <w:highlight w:val="none"/>
        </w:rPr>
      </w:pPr>
    </w:p>
    <w:p w14:paraId="6CF14C9D">
      <w:pPr>
        <w:pStyle w:val="4"/>
        <w:rPr>
          <w:color w:val="auto"/>
          <w:highlight w:val="none"/>
        </w:rPr>
      </w:pPr>
    </w:p>
    <w:p w14:paraId="007516DF">
      <w:pPr>
        <w:rPr>
          <w:color w:val="auto"/>
          <w:highlight w:val="none"/>
        </w:rPr>
      </w:pPr>
    </w:p>
    <w:p w14:paraId="190BEEB4">
      <w:pPr>
        <w:pStyle w:val="2"/>
        <w:rPr>
          <w:color w:val="auto"/>
          <w:highlight w:val="none"/>
        </w:rPr>
      </w:pPr>
    </w:p>
    <w:p w14:paraId="7EBC8EE4">
      <w:pPr>
        <w:pStyle w:val="3"/>
        <w:rPr>
          <w:color w:val="auto"/>
          <w:highlight w:val="none"/>
        </w:rPr>
      </w:pPr>
    </w:p>
    <w:p w14:paraId="1620284F">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附件十</w:t>
      </w:r>
      <w:r>
        <w:rPr>
          <w:rFonts w:hint="eastAsia" w:eastAsia="黑体"/>
          <w:color w:val="auto"/>
          <w:sz w:val="28"/>
          <w:szCs w:val="44"/>
          <w:highlight w:val="none"/>
          <w:lang w:val="en-US" w:eastAsia="zh-CN"/>
        </w:rPr>
        <w:t>四</w:t>
      </w:r>
      <w:r>
        <w:rPr>
          <w:rFonts w:hint="eastAsia" w:eastAsia="黑体"/>
          <w:color w:val="auto"/>
          <w:sz w:val="28"/>
          <w:szCs w:val="44"/>
          <w:highlight w:val="none"/>
        </w:rPr>
        <w:t xml:space="preserve"> </w:t>
      </w:r>
      <w:r>
        <w:rPr>
          <w:rFonts w:eastAsia="黑体"/>
          <w:color w:val="auto"/>
          <w:sz w:val="28"/>
          <w:szCs w:val="44"/>
          <w:highlight w:val="none"/>
        </w:rPr>
        <w:t xml:space="preserve"> </w:t>
      </w:r>
      <w:r>
        <w:rPr>
          <w:rFonts w:hint="eastAsia" w:eastAsia="黑体"/>
          <w:color w:val="auto"/>
          <w:sz w:val="28"/>
          <w:szCs w:val="44"/>
          <w:highlight w:val="none"/>
        </w:rPr>
        <w:t>合同模板</w:t>
      </w:r>
    </w:p>
    <w:p w14:paraId="4D3384F5">
      <w:pPr>
        <w:pStyle w:val="45"/>
        <w:spacing w:line="360" w:lineRule="auto"/>
        <w:ind w:firstLine="0" w:firstLineChars="0"/>
        <w:jc w:val="left"/>
        <w:outlineLvl w:val="1"/>
        <w:rPr>
          <w:rFonts w:eastAsia="黑体"/>
          <w:color w:val="auto"/>
          <w:sz w:val="28"/>
          <w:szCs w:val="44"/>
          <w:highlight w:val="none"/>
        </w:rPr>
      </w:pPr>
    </w:p>
    <w:p w14:paraId="117E56D7">
      <w:pPr>
        <w:spacing w:line="360" w:lineRule="auto"/>
        <w:jc w:val="center"/>
        <w:rPr>
          <w:rFonts w:ascii="宋体" w:hAnsi="宋体"/>
          <w:color w:val="auto"/>
          <w:szCs w:val="21"/>
          <w:highlight w:val="none"/>
        </w:rPr>
      </w:pPr>
      <w:r>
        <w:rPr>
          <w:rFonts w:asciiTheme="majorEastAsia" w:hAnsiTheme="majorEastAsia" w:eastAsiaTheme="majorEastAsia"/>
          <w:b/>
          <w:color w:val="auto"/>
          <w:sz w:val="32"/>
          <w:szCs w:val="32"/>
          <w:highlight w:val="none"/>
        </w:rPr>
        <w:t>XXX</w:t>
      </w:r>
      <w:r>
        <w:rPr>
          <w:rFonts w:hint="eastAsia" w:asciiTheme="majorEastAsia" w:hAnsiTheme="majorEastAsia" w:eastAsiaTheme="majorEastAsia"/>
          <w:b/>
          <w:color w:val="auto"/>
          <w:sz w:val="32"/>
          <w:szCs w:val="32"/>
          <w:highlight w:val="none"/>
        </w:rPr>
        <w:t>采购项目合同</w:t>
      </w:r>
      <w:r>
        <w:rPr>
          <w:rFonts w:ascii="宋体" w:hAnsi="宋体"/>
          <w:b/>
          <w:color w:val="auto"/>
          <w:sz w:val="24"/>
          <w:szCs w:val="24"/>
          <w:highlight w:val="none"/>
        </w:rPr>
        <w:br w:type="textWrapping"/>
      </w:r>
    </w:p>
    <w:p w14:paraId="12AF323C">
      <w:pPr>
        <w:spacing w:line="360" w:lineRule="auto"/>
        <w:jc w:val="center"/>
        <w:rPr>
          <w:rFonts w:ascii="宋体" w:hAnsi="宋体"/>
          <w:color w:val="auto"/>
          <w:sz w:val="24"/>
          <w:szCs w:val="24"/>
          <w:highlight w:val="none"/>
        </w:rPr>
      </w:pPr>
      <w:r>
        <w:rPr>
          <w:rFonts w:ascii="宋体" w:hAnsi="宋体"/>
          <w:color w:val="auto"/>
          <w:sz w:val="24"/>
          <w:szCs w:val="24"/>
          <w:highlight w:val="none"/>
        </w:rPr>
        <w:t xml:space="preserve">                                                             </w:t>
      </w:r>
    </w:p>
    <w:p w14:paraId="5E9943BC">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甲方：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2800907F">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统一社会信用代码：</w:t>
      </w:r>
    </w:p>
    <w:p w14:paraId="65F08046">
      <w:pPr>
        <w:spacing w:line="360" w:lineRule="auto"/>
        <w:ind w:firstLine="480" w:firstLineChars="200"/>
        <w:rPr>
          <w:rFonts w:ascii="宋体" w:hAnsi="宋体"/>
          <w:bCs/>
          <w:color w:val="auto"/>
          <w:kern w:val="0"/>
          <w:sz w:val="24"/>
          <w:szCs w:val="24"/>
          <w:highlight w:val="none"/>
        </w:rPr>
      </w:pPr>
    </w:p>
    <w:p w14:paraId="6B32AC46">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乙方：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6C20532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统一社会信用代码：</w:t>
      </w:r>
    </w:p>
    <w:p w14:paraId="086A95FC">
      <w:pPr>
        <w:spacing w:line="360" w:lineRule="auto"/>
        <w:ind w:firstLine="480" w:firstLineChars="200"/>
        <w:rPr>
          <w:rFonts w:ascii="宋体" w:hAnsi="宋体"/>
          <w:color w:val="auto"/>
          <w:sz w:val="24"/>
          <w:szCs w:val="24"/>
          <w:highlight w:val="none"/>
        </w:rPr>
      </w:pPr>
    </w:p>
    <w:p w14:paraId="6C983DA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甲、乙双方根据《中华人民共和国民法典》及其他有关法律、法规，遵循平等、自愿、公平和诚实信用的原则，就</w:t>
      </w:r>
      <w:r>
        <w:rPr>
          <w:rFonts w:ascii="宋体" w:hAnsi="宋体"/>
          <w:color w:val="auto"/>
          <w:sz w:val="24"/>
          <w:szCs w:val="24"/>
          <w:highlight w:val="none"/>
          <w:u w:val="single"/>
        </w:rPr>
        <w:t>XXX</w:t>
      </w:r>
      <w:r>
        <w:rPr>
          <w:rFonts w:hint="eastAsia" w:ascii="宋体" w:hAnsi="宋体"/>
          <w:color w:val="auto"/>
          <w:sz w:val="24"/>
          <w:szCs w:val="24"/>
          <w:highlight w:val="none"/>
          <w:u w:val="single"/>
        </w:rPr>
        <w:t>采购项目</w:t>
      </w:r>
      <w:r>
        <w:rPr>
          <w:rFonts w:hint="eastAsia" w:ascii="宋体" w:hAnsi="宋体"/>
          <w:color w:val="auto"/>
          <w:sz w:val="24"/>
          <w:szCs w:val="24"/>
          <w:highlight w:val="none"/>
        </w:rPr>
        <w:t>的相关供货事宜协商一致，特订立本合同，以资共同遵守：</w:t>
      </w:r>
    </w:p>
    <w:p w14:paraId="78A37709">
      <w:pPr>
        <w:spacing w:line="360" w:lineRule="auto"/>
        <w:ind w:firstLine="480" w:firstLineChars="200"/>
        <w:rPr>
          <w:rFonts w:ascii="宋体" w:hAnsi="宋体"/>
          <w:color w:val="auto"/>
          <w:sz w:val="24"/>
          <w:szCs w:val="24"/>
          <w:highlight w:val="none"/>
        </w:rPr>
      </w:pPr>
    </w:p>
    <w:p w14:paraId="701DD388">
      <w:pPr>
        <w:spacing w:line="360" w:lineRule="auto"/>
        <w:ind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一、货物及合同价款</w:t>
      </w:r>
    </w:p>
    <w:p w14:paraId="44660468">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w:t>
      </w:r>
      <w:r>
        <w:rPr>
          <w:rFonts w:ascii="宋体" w:hAnsi="宋体"/>
          <w:color w:val="auto"/>
          <w:sz w:val="24"/>
          <w:szCs w:val="24"/>
          <w:highlight w:val="none"/>
        </w:rPr>
        <w:t>1</w:t>
      </w:r>
      <w:r>
        <w:rPr>
          <w:rFonts w:hint="eastAsia" w:ascii="宋体" w:hAnsi="宋体"/>
          <w:color w:val="auto"/>
          <w:sz w:val="24"/>
          <w:szCs w:val="24"/>
          <w:highlight w:val="none"/>
        </w:rPr>
        <w:t>本合同</w:t>
      </w:r>
      <w:r>
        <w:rPr>
          <w:rFonts w:hint="eastAsia" w:ascii="宋体" w:hAnsi="宋体"/>
          <w:color w:val="auto"/>
          <w:sz w:val="24"/>
          <w:szCs w:val="24"/>
          <w:highlight w:val="none"/>
          <w:lang w:val="en-US" w:eastAsia="zh-CN"/>
        </w:rPr>
        <w:t>包干</w:t>
      </w:r>
      <w:r>
        <w:rPr>
          <w:rFonts w:hint="eastAsia" w:ascii="宋体" w:hAnsi="宋体"/>
          <w:color w:val="auto"/>
          <w:sz w:val="24"/>
          <w:szCs w:val="24"/>
          <w:highlight w:val="none"/>
        </w:rPr>
        <w:t>总价为</w:t>
      </w:r>
      <w:r>
        <w:rPr>
          <w:rFonts w:hint="eastAsia" w:ascii="宋体" w:hAnsi="宋体"/>
          <w:color w:val="auto"/>
          <w:sz w:val="24"/>
          <w:szCs w:val="24"/>
          <w:highlight w:val="none"/>
          <w:u w:val="single"/>
        </w:rPr>
        <w:t>人民币大写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（小写：¥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元）</w:t>
      </w:r>
      <w:r>
        <w:rPr>
          <w:rFonts w:hint="eastAsia" w:ascii="宋体" w:hAnsi="宋体"/>
          <w:color w:val="auto"/>
          <w:sz w:val="24"/>
          <w:szCs w:val="24"/>
          <w:highlight w:val="none"/>
        </w:rPr>
        <w:t>，其中：增值税税率为</w:t>
      </w:r>
      <w:r>
        <w:rPr>
          <w:rFonts w:ascii="宋体" w:hAnsi="宋体"/>
          <w:color w:val="auto"/>
          <w:sz w:val="24"/>
          <w:szCs w:val="24"/>
          <w:highlight w:val="none"/>
          <w:u w:val="single"/>
        </w:rPr>
        <w:t xml:space="preserve">     </w:t>
      </w:r>
      <w:r>
        <w:rPr>
          <w:rFonts w:ascii="宋体" w:hAnsi="宋体"/>
          <w:color w:val="auto"/>
          <w:sz w:val="24"/>
          <w:szCs w:val="24"/>
          <w:highlight w:val="none"/>
        </w:rPr>
        <w:t>%</w:t>
      </w:r>
      <w:r>
        <w:rPr>
          <w:rFonts w:hint="eastAsia" w:ascii="宋体" w:hAnsi="宋体"/>
          <w:color w:val="auto"/>
          <w:sz w:val="24"/>
          <w:szCs w:val="24"/>
          <w:highlight w:val="none"/>
        </w:rPr>
        <w:t>，税金</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元，不含税合同总价款为</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元。合同价格包含货款、税费、保险费（如有）、包装费（含防护）、运输费、装卸费</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现场安装调试指导费用</w:t>
      </w:r>
      <w:r>
        <w:rPr>
          <w:rFonts w:hint="eastAsia" w:ascii="宋体" w:hAnsi="宋体"/>
          <w:color w:val="auto"/>
          <w:sz w:val="24"/>
          <w:szCs w:val="24"/>
          <w:highlight w:val="none"/>
        </w:rPr>
        <w:t>等乙方履行本合同义务而甲方需支付乙方的一切可预见及不可预见的费用。如遇国家调整税率，不含税合同款不予调整，税金按调整后税率及相关细则执行。</w:t>
      </w:r>
    </w:p>
    <w:p w14:paraId="2D166FFD">
      <w:pPr>
        <w:widowControl/>
        <w:spacing w:line="360" w:lineRule="auto"/>
        <w:ind w:firstLine="480"/>
        <w:jc w:val="left"/>
        <w:rPr>
          <w:rFonts w:ascii="宋体" w:hAnsi="宋体"/>
          <w:color w:val="auto"/>
          <w:sz w:val="24"/>
          <w:szCs w:val="24"/>
          <w:highlight w:val="none"/>
        </w:rPr>
      </w:pPr>
      <w:r>
        <w:rPr>
          <w:rFonts w:ascii="宋体" w:hAnsi="宋体"/>
          <w:color w:val="auto"/>
          <w:sz w:val="24"/>
          <w:szCs w:val="24"/>
          <w:highlight w:val="none"/>
        </w:rPr>
        <w:t>1.2</w:t>
      </w:r>
      <w:r>
        <w:rPr>
          <w:rFonts w:hint="eastAsia" w:ascii="宋体" w:hAnsi="宋体"/>
          <w:color w:val="auto"/>
          <w:sz w:val="24"/>
          <w:szCs w:val="24"/>
          <w:highlight w:val="none"/>
        </w:rPr>
        <w:t>货物具体要求详见合同附件</w:t>
      </w:r>
      <w:r>
        <w:rPr>
          <w:rFonts w:ascii="宋体" w:hAnsi="宋体"/>
          <w:color w:val="auto"/>
          <w:sz w:val="24"/>
          <w:szCs w:val="24"/>
          <w:highlight w:val="none"/>
        </w:rPr>
        <w:t>1</w:t>
      </w:r>
      <w:r>
        <w:rPr>
          <w:rFonts w:hint="eastAsia" w:ascii="宋体" w:hAnsi="宋体"/>
          <w:color w:val="auto"/>
          <w:sz w:val="24"/>
          <w:szCs w:val="24"/>
          <w:highlight w:val="none"/>
        </w:rPr>
        <w:t>《报价清单》、附件2《技术</w:t>
      </w:r>
      <w:r>
        <w:rPr>
          <w:rFonts w:hint="eastAsia" w:ascii="宋体" w:hAnsi="宋体"/>
          <w:color w:val="auto"/>
          <w:sz w:val="24"/>
          <w:szCs w:val="24"/>
          <w:highlight w:val="none"/>
          <w:lang w:val="en-US" w:eastAsia="zh-CN"/>
        </w:rPr>
        <w:t>规范书</w:t>
      </w:r>
      <w:r>
        <w:rPr>
          <w:rFonts w:hint="eastAsia" w:ascii="宋体" w:hAnsi="宋体"/>
          <w:color w:val="auto"/>
          <w:sz w:val="24"/>
          <w:szCs w:val="24"/>
          <w:highlight w:val="none"/>
        </w:rPr>
        <w:t>》。</w:t>
      </w:r>
    </w:p>
    <w:p w14:paraId="5692169F">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1.3</w:t>
      </w:r>
      <w:r>
        <w:rPr>
          <w:rFonts w:hint="eastAsia" w:ascii="宋体" w:hAnsi="宋体" w:cs="宋体"/>
          <w:color w:val="auto"/>
          <w:kern w:val="0"/>
          <w:sz w:val="24"/>
          <w:szCs w:val="24"/>
          <w:highlight w:val="none"/>
        </w:rPr>
        <w:t>合同价款形式（请在选择的括号中打“√”，</w:t>
      </w:r>
      <w:bookmarkStart w:id="18" w:name="_Hlk79676021"/>
      <w:r>
        <w:rPr>
          <w:rFonts w:hint="eastAsia" w:ascii="宋体" w:hAnsi="宋体" w:cs="宋体"/>
          <w:color w:val="auto"/>
          <w:kern w:val="0"/>
          <w:sz w:val="24"/>
          <w:szCs w:val="24"/>
          <w:highlight w:val="none"/>
        </w:rPr>
        <w:t>不选择的括号中打“×”</w:t>
      </w:r>
      <w:bookmarkEnd w:id="18"/>
      <w:r>
        <w:rPr>
          <w:rFonts w:hint="eastAsia" w:ascii="宋体" w:hAnsi="宋体" w:cs="宋体"/>
          <w:color w:val="auto"/>
          <w:kern w:val="0"/>
          <w:sz w:val="24"/>
          <w:szCs w:val="24"/>
          <w:highlight w:val="none"/>
        </w:rPr>
        <w:t>）：</w:t>
      </w:r>
    </w:p>
    <w:p w14:paraId="765BD9AE">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以甲方验收单证为准；</w:t>
      </w:r>
    </w:p>
    <w:p w14:paraId="40726D88">
      <w:pPr>
        <w:widowControl/>
        <w:spacing w:line="360" w:lineRule="auto"/>
        <w:ind w:firstLine="720" w:firstLineChars="300"/>
        <w:jc w:val="left"/>
        <w:rPr>
          <w:rFonts w:ascii="宋体" w:hAnsi="宋体" w:cs="宋体"/>
          <w:color w:val="auto"/>
          <w:kern w:val="0"/>
          <w:sz w:val="24"/>
          <w:szCs w:val="24"/>
          <w:highlight w:val="none"/>
        </w:rPr>
      </w:pPr>
      <w:r>
        <w:rPr>
          <w:rFonts w:ascii="宋体" w:hAnsi="宋体" w:cs="宋体"/>
          <w:color w:val="auto"/>
          <w:kern w:val="0"/>
          <w:sz w:val="24"/>
          <w:szCs w:val="24"/>
          <w:highlight w:val="none"/>
        </w:rPr>
        <w:t>(  )暂定总价，以单价结算，按合同</w:t>
      </w:r>
      <w:r>
        <w:rPr>
          <w:rFonts w:hint="eastAsia" w:ascii="宋体" w:hAnsi="宋体" w:cs="宋体"/>
          <w:color w:val="auto"/>
          <w:kern w:val="0"/>
          <w:sz w:val="24"/>
          <w:szCs w:val="24"/>
          <w:highlight w:val="none"/>
        </w:rPr>
        <w:t>综合单价和签证数量结算。</w:t>
      </w:r>
    </w:p>
    <w:p w14:paraId="58BAC40B">
      <w:pPr>
        <w:spacing w:line="360" w:lineRule="auto"/>
        <w:ind w:firstLine="720" w:firstLineChars="300"/>
        <w:rPr>
          <w:rFonts w:ascii="宋体" w:hAnsi="宋体" w:cs="宋体"/>
          <w:color w:val="auto"/>
          <w:kern w:val="0"/>
          <w:sz w:val="24"/>
          <w:szCs w:val="24"/>
          <w:highlight w:val="none"/>
        </w:rPr>
      </w:pPr>
      <w:r>
        <w:rPr>
          <w:rFonts w:ascii="宋体" w:hAnsi="宋体" w:cs="宋体"/>
          <w:color w:val="auto"/>
          <w:kern w:val="0"/>
          <w:sz w:val="24"/>
          <w:szCs w:val="24"/>
          <w:highlight w:val="none"/>
        </w:rPr>
        <w:t xml:space="preserve">( </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 xml:space="preserve"> )以固定总价包干，</w:t>
      </w:r>
      <w:r>
        <w:rPr>
          <w:rFonts w:hint="eastAsia" w:ascii="宋体" w:hAnsi="宋体" w:cs="宋体"/>
          <w:color w:val="auto"/>
          <w:kern w:val="0"/>
          <w:sz w:val="24"/>
          <w:szCs w:val="24"/>
          <w:highlight w:val="none"/>
        </w:rPr>
        <w:t>合同履行期间不调整价格。</w:t>
      </w:r>
    </w:p>
    <w:p w14:paraId="688FB21A">
      <w:pPr>
        <w:spacing w:line="360" w:lineRule="auto"/>
        <w:ind w:firstLine="480" w:firstLineChars="200"/>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二、供货及安装时间、地点</w:t>
      </w:r>
    </w:p>
    <w:p w14:paraId="37859868">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2.1</w:t>
      </w:r>
      <w:r>
        <w:rPr>
          <w:rFonts w:hint="eastAsia" w:ascii="宋体" w:hAnsi="宋体" w:cs="宋体"/>
          <w:color w:val="auto"/>
          <w:kern w:val="0"/>
          <w:sz w:val="24"/>
          <w:szCs w:val="24"/>
          <w:highlight w:val="none"/>
        </w:rPr>
        <w:t>乙方应在以下时间起</w:t>
      </w:r>
      <w:r>
        <w:rPr>
          <w:rFonts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50</w:t>
      </w:r>
      <w:r>
        <w:rPr>
          <w:rFonts w:ascii="宋体" w:hAnsi="宋体" w:cs="宋体"/>
          <w:color w:val="auto"/>
          <w:kern w:val="0"/>
          <w:sz w:val="24"/>
          <w:szCs w:val="24"/>
          <w:highlight w:val="none"/>
          <w:u w:val="single"/>
        </w:rPr>
        <w:t xml:space="preserve">   </w:t>
      </w:r>
      <w:r>
        <w:rPr>
          <w:rFonts w:ascii="宋体" w:hAnsi="宋体" w:cs="宋体"/>
          <w:color w:val="auto"/>
          <w:kern w:val="0"/>
          <w:sz w:val="24"/>
          <w:szCs w:val="24"/>
          <w:highlight w:val="none"/>
        </w:rPr>
        <w:t>个日历天内完成所有货物的供货</w:t>
      </w:r>
      <w:r>
        <w:rPr>
          <w:rFonts w:hint="eastAsia" w:ascii="宋体" w:hAnsi="宋体" w:cs="宋体"/>
          <w:color w:val="auto"/>
          <w:kern w:val="0"/>
          <w:sz w:val="24"/>
          <w:szCs w:val="24"/>
          <w:highlight w:val="none"/>
        </w:rPr>
        <w:t>。</w:t>
      </w:r>
    </w:p>
    <w:p w14:paraId="73BDB708">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 xml:space="preserve">(  )发出结果确认函后；( </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 xml:space="preserve"> )签订合同之日。</w:t>
      </w:r>
      <w:r>
        <w:rPr>
          <w:rFonts w:hint="eastAsia" w:ascii="宋体" w:hAnsi="宋体" w:cs="宋体"/>
          <w:color w:val="auto"/>
          <w:kern w:val="0"/>
          <w:sz w:val="24"/>
          <w:szCs w:val="24"/>
          <w:highlight w:val="none"/>
        </w:rPr>
        <w:t>（请在选择的括号中打“ √ ”，不选择的括号中打“×”）</w:t>
      </w:r>
    </w:p>
    <w:p w14:paraId="58BA1949">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如果甲方根据实际情况需要提前或延迟供货的，甲方应在合同规定供货期前</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个日历天内通知乙方，乙方不得因此增加费用。乙方需提前交货或延迟供货的，须经甲方书面同意。</w:t>
      </w:r>
    </w:p>
    <w:p w14:paraId="6B087563">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项目</w:t>
      </w:r>
      <w:r>
        <w:rPr>
          <w:rFonts w:hint="eastAsia" w:ascii="宋体" w:hAnsi="宋体" w:cs="宋体"/>
          <w:color w:val="auto"/>
          <w:kern w:val="0"/>
          <w:sz w:val="24"/>
          <w:szCs w:val="24"/>
          <w:highlight w:val="none"/>
        </w:rPr>
        <w:t>地点：广东省阳江高新技术产业开发区港口工业园广东广青金属科技有限公司厂区内 。</w:t>
      </w:r>
    </w:p>
    <w:p w14:paraId="3C221A1B">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bookmarkStart w:id="19" w:name="_Hlk79677037"/>
      <w:r>
        <w:rPr>
          <w:rFonts w:hint="eastAsia" w:ascii="宋体" w:hAnsi="宋体" w:cs="宋体"/>
          <w:color w:val="auto"/>
          <w:kern w:val="0"/>
          <w:sz w:val="24"/>
          <w:szCs w:val="24"/>
          <w:highlight w:val="none"/>
        </w:rPr>
        <w:t>3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w:t>
      </w:r>
      <w:bookmarkEnd w:id="19"/>
    </w:p>
    <w:p w14:paraId="26F54619">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4乙方的货物包装应有乙方名称（或标志），乙方必须采取防潮、防雨、防锈、防震、防腐蚀等保护措施以保证满足货物质量、数量、性能的要求。</w:t>
      </w:r>
    </w:p>
    <w:p w14:paraId="65E1E579">
      <w:pPr>
        <w:numPr>
          <w:ilvl w:val="0"/>
          <w:numId w:val="5"/>
        </w:numPr>
        <w:spacing w:line="360" w:lineRule="auto"/>
        <w:ind w:firstLine="480" w:firstLineChars="200"/>
        <w:rPr>
          <w:rFonts w:ascii="宋体" w:hAnsi="宋体"/>
          <w:color w:val="auto"/>
          <w:sz w:val="24"/>
          <w:szCs w:val="24"/>
          <w:highlight w:val="none"/>
        </w:rPr>
      </w:pPr>
      <w:r>
        <w:rPr>
          <w:rFonts w:hint="eastAsia" w:ascii="宋体" w:hAnsi="宋体"/>
          <w:b/>
          <w:color w:val="auto"/>
          <w:sz w:val="24"/>
          <w:szCs w:val="24"/>
          <w:highlight w:val="none"/>
        </w:rPr>
        <w:t>合同付款方式</w:t>
      </w:r>
      <w:r>
        <w:rPr>
          <w:rFonts w:hint="eastAsia" w:ascii="宋体" w:hAnsi="宋体"/>
          <w:color w:val="auto"/>
          <w:sz w:val="24"/>
          <w:szCs w:val="24"/>
          <w:highlight w:val="none"/>
        </w:rPr>
        <w:t>：</w:t>
      </w:r>
    </w:p>
    <w:p w14:paraId="269FB671">
      <w:pPr>
        <w:spacing w:line="360" w:lineRule="auto"/>
        <w:ind w:firstLine="480" w:firstLineChars="200"/>
        <w:rPr>
          <w:rFonts w:hint="eastAsia" w:ascii="宋体" w:hAnsi="宋体"/>
          <w:color w:val="auto"/>
          <w:sz w:val="24"/>
          <w:szCs w:val="24"/>
          <w:highlight w:val="none"/>
        </w:rPr>
      </w:pPr>
      <w:r>
        <w:rPr>
          <w:rFonts w:ascii="宋体" w:hAnsi="宋体"/>
          <w:color w:val="auto"/>
          <w:sz w:val="24"/>
          <w:szCs w:val="24"/>
          <w:highlight w:val="none"/>
        </w:rPr>
        <w:t>3.1</w:t>
      </w:r>
      <w:r>
        <w:rPr>
          <w:rFonts w:hint="eastAsia" w:ascii="宋体" w:hAnsi="宋体"/>
          <w:color w:val="auto"/>
          <w:sz w:val="24"/>
          <w:szCs w:val="24"/>
          <w:highlight w:val="none"/>
        </w:rPr>
        <w:t>合同签订完后，</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向</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提交请款资料及等额发票，</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收到前述材料之日起十个工作日内向</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支付合同总价30%作为预付款；</w:t>
      </w:r>
    </w:p>
    <w:p w14:paraId="7890168C">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3.2</w:t>
      </w:r>
      <w:r>
        <w:rPr>
          <w:rFonts w:hint="eastAsia" w:ascii="宋体" w:hAnsi="宋体"/>
          <w:color w:val="auto"/>
          <w:sz w:val="24"/>
          <w:szCs w:val="24"/>
          <w:highlight w:val="none"/>
        </w:rPr>
        <w:t>合同项下所有货物送达</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指定交货地点，经</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确认后，</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在十个工作日内支付合同总价的50%作为到货验收款；</w:t>
      </w:r>
    </w:p>
    <w:p w14:paraId="116BEA79">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3.3</w:t>
      </w:r>
      <w:r>
        <w:rPr>
          <w:rFonts w:hint="eastAsia" w:ascii="宋体" w:hAnsi="宋体"/>
          <w:color w:val="auto"/>
          <w:sz w:val="24"/>
          <w:szCs w:val="24"/>
          <w:highlight w:val="none"/>
        </w:rPr>
        <w:t>合同项下所有货物完成安装调试后，</w:t>
      </w:r>
      <w:r>
        <w:rPr>
          <w:rFonts w:hint="eastAsia" w:ascii="宋体" w:hAnsi="宋体"/>
          <w:color w:val="auto"/>
          <w:sz w:val="24"/>
          <w:szCs w:val="24"/>
          <w:highlight w:val="none"/>
          <w:lang w:val="en-US" w:eastAsia="zh-CN"/>
        </w:rPr>
        <w:t>甲方在</w:t>
      </w:r>
      <w:r>
        <w:rPr>
          <w:rFonts w:hint="eastAsia" w:ascii="宋体" w:hAnsi="宋体"/>
          <w:color w:val="auto"/>
          <w:sz w:val="24"/>
          <w:szCs w:val="24"/>
          <w:highlight w:val="none"/>
        </w:rPr>
        <w:t>十五个工作日内支付合同结算总价的15%作为安装调试款；</w:t>
      </w:r>
    </w:p>
    <w:p w14:paraId="78551928">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3.4</w:t>
      </w:r>
      <w:r>
        <w:rPr>
          <w:rFonts w:hint="eastAsia" w:ascii="宋体" w:hAnsi="宋体"/>
          <w:color w:val="auto"/>
          <w:sz w:val="24"/>
          <w:szCs w:val="24"/>
          <w:highlight w:val="none"/>
        </w:rPr>
        <w:t>保留合同结算总价的5%作为质保金，质保期为货物交付至</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现场满18个月或安装运行满12个月，以先到时间为准。质保期满后，由</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提交请款资料，</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在三十个日历日内一次性无息支付。</w:t>
      </w:r>
    </w:p>
    <w:p w14:paraId="7F4D0662">
      <w:pPr>
        <w:spacing w:line="360" w:lineRule="auto"/>
        <w:rPr>
          <w:rFonts w:ascii="宋体" w:hAnsi="宋体"/>
          <w:color w:val="auto"/>
          <w:sz w:val="24"/>
          <w:szCs w:val="24"/>
          <w:highlight w:val="none"/>
        </w:rPr>
      </w:pPr>
      <w:r>
        <w:rPr>
          <w:rFonts w:ascii="宋体" w:hAnsi="宋体"/>
          <w:color w:val="auto"/>
          <w:sz w:val="24"/>
          <w:szCs w:val="24"/>
          <w:highlight w:val="none"/>
        </w:rPr>
        <w:t xml:space="preserve">    3.</w:t>
      </w:r>
      <w:r>
        <w:rPr>
          <w:rFonts w:hint="eastAsia" w:ascii="宋体" w:hAnsi="宋体"/>
          <w:color w:val="auto"/>
          <w:sz w:val="24"/>
          <w:szCs w:val="24"/>
          <w:highlight w:val="none"/>
        </w:rPr>
        <w:t>5乙方的收款账户如下：</w:t>
      </w:r>
    </w:p>
    <w:p w14:paraId="7A87AED5">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开户银行地址：</w:t>
      </w:r>
      <w:r>
        <w:rPr>
          <w:rFonts w:ascii="宋体" w:hAnsi="宋体"/>
          <w:color w:val="auto"/>
          <w:sz w:val="24"/>
          <w:szCs w:val="24"/>
          <w:highlight w:val="none"/>
        </w:rPr>
        <w:t xml:space="preserve">          </w:t>
      </w:r>
    </w:p>
    <w:p w14:paraId="679E3A3B">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收款单位账号：</w:t>
      </w:r>
      <w:r>
        <w:rPr>
          <w:rFonts w:ascii="宋体" w:hAnsi="宋体"/>
          <w:color w:val="auto"/>
          <w:sz w:val="24"/>
          <w:szCs w:val="24"/>
          <w:highlight w:val="none"/>
        </w:rPr>
        <w:t xml:space="preserve"> </w:t>
      </w:r>
    </w:p>
    <w:p w14:paraId="03E93F90">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收款单位名称：</w:t>
      </w:r>
      <w:r>
        <w:rPr>
          <w:rFonts w:ascii="宋体" w:hAnsi="宋体"/>
          <w:color w:val="auto"/>
          <w:sz w:val="24"/>
          <w:szCs w:val="24"/>
          <w:highlight w:val="none"/>
        </w:rPr>
        <w:t xml:space="preserve">  </w:t>
      </w:r>
    </w:p>
    <w:p w14:paraId="65209939">
      <w:pPr>
        <w:spacing w:line="56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因乙方提供的收款账户信息错误或乙方擅自变更收款账户信息而未及时书面通知甲方，</w:t>
      </w:r>
      <w:r>
        <w:rPr>
          <w:rFonts w:hint="eastAsia" w:asciiTheme="minorEastAsia" w:hAnsiTheme="minorEastAsia" w:eastAsiaTheme="minorEastAsia"/>
          <w:color w:val="auto"/>
          <w:sz w:val="24"/>
          <w:szCs w:val="24"/>
          <w:highlight w:val="none"/>
          <w:lang w:val="en-US" w:eastAsia="zh-CN"/>
        </w:rPr>
        <w:t>且每笔款项支付前，乙方需提供等额的13%的增值税专用发票，否则甲方有权延迟付款。</w:t>
      </w:r>
      <w:r>
        <w:rPr>
          <w:rFonts w:hint="eastAsia" w:asciiTheme="minorEastAsia" w:hAnsiTheme="minorEastAsia" w:eastAsiaTheme="minorEastAsia"/>
          <w:color w:val="auto"/>
          <w:sz w:val="24"/>
          <w:szCs w:val="24"/>
          <w:highlight w:val="none"/>
        </w:rPr>
        <w:t>导致甲方付款迟延的，甲方无需承担迟延付款责任。</w:t>
      </w:r>
    </w:p>
    <w:p w14:paraId="1F0C7E6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olor w:val="auto"/>
          <w:sz w:val="24"/>
          <w:szCs w:val="24"/>
          <w:highlight w:val="none"/>
        </w:rPr>
        <w:t>6</w:t>
      </w:r>
      <w:r>
        <w:rPr>
          <w:rFonts w:hint="eastAsia" w:ascii="宋体" w:hAnsi="宋体" w:cs="宋体"/>
          <w:color w:val="auto"/>
          <w:highlight w:val="none"/>
        </w:rPr>
        <w:t xml:space="preserve"> </w:t>
      </w:r>
      <w:r>
        <w:rPr>
          <w:rFonts w:hint="eastAsia" w:ascii="宋体" w:hAnsi="宋体"/>
          <w:bCs/>
          <w:color w:val="auto"/>
          <w:sz w:val="24"/>
          <w:szCs w:val="24"/>
          <w:highlight w:val="none"/>
        </w:rPr>
        <w:t>本合同的履约担保金额为人民币￥</w:t>
      </w:r>
      <w:r>
        <w:rPr>
          <w:rFonts w:hint="eastAsia" w:ascii="宋体" w:hAnsi="宋体"/>
          <w:bCs/>
          <w:color w:val="auto"/>
          <w:sz w:val="24"/>
          <w:szCs w:val="24"/>
          <w:highlight w:val="none"/>
          <w:lang w:val="en-US" w:eastAsia="zh-CN"/>
        </w:rPr>
        <w:t>98</w:t>
      </w:r>
      <w:r>
        <w:rPr>
          <w:rFonts w:hint="eastAsia" w:ascii="宋体" w:hAnsi="宋体"/>
          <w:bCs/>
          <w:color w:val="auto"/>
          <w:sz w:val="24"/>
          <w:szCs w:val="24"/>
          <w:highlight w:val="none"/>
        </w:rPr>
        <w:t>00.00元 （大写：</w:t>
      </w:r>
      <w:r>
        <w:rPr>
          <w:rFonts w:hint="eastAsia" w:ascii="宋体" w:hAnsi="宋体"/>
          <w:bCs/>
          <w:color w:val="auto"/>
          <w:sz w:val="24"/>
          <w:szCs w:val="24"/>
          <w:highlight w:val="none"/>
          <w:lang w:val="en-US" w:eastAsia="zh-CN"/>
        </w:rPr>
        <w:t>玖仟捌佰</w:t>
      </w:r>
      <w:r>
        <w:rPr>
          <w:rFonts w:hint="eastAsia" w:ascii="宋体" w:hAnsi="宋体"/>
          <w:bCs/>
          <w:color w:val="auto"/>
          <w:sz w:val="24"/>
          <w:szCs w:val="24"/>
          <w:highlight w:val="none"/>
        </w:rPr>
        <w:t>元整），由乙方所缴纳的投标保证金转化。履约担保期限与合同履约期限保持一致；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p>
    <w:p w14:paraId="736E7AB9">
      <w:pPr>
        <w:spacing w:line="360" w:lineRule="auto"/>
        <w:ind w:firstLine="480" w:firstLineChars="200"/>
        <w:rPr>
          <w:rFonts w:ascii="宋体" w:hAnsi="宋体"/>
          <w:color w:val="auto"/>
          <w:sz w:val="24"/>
          <w:szCs w:val="24"/>
          <w:highlight w:val="none"/>
        </w:rPr>
      </w:pPr>
    </w:p>
    <w:p w14:paraId="2CEFECC5">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四、双方权利义务</w:t>
      </w:r>
    </w:p>
    <w:p w14:paraId="6B671425">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.1</w:t>
      </w:r>
      <w:r>
        <w:rPr>
          <w:rFonts w:hint="eastAsia" w:ascii="宋体" w:hAnsi="宋体"/>
          <w:b/>
          <w:color w:val="auto"/>
          <w:sz w:val="24"/>
          <w:szCs w:val="24"/>
          <w:highlight w:val="none"/>
        </w:rPr>
        <w:t>甲方权利义务</w:t>
      </w:r>
    </w:p>
    <w:p w14:paraId="7BC64E81">
      <w:pPr>
        <w:spacing w:line="360" w:lineRule="auto"/>
        <w:ind w:firstLine="480"/>
        <w:rPr>
          <w:rFonts w:ascii="宋体" w:hAnsi="宋体"/>
          <w:color w:val="auto"/>
          <w:sz w:val="24"/>
          <w:szCs w:val="24"/>
          <w:highlight w:val="none"/>
        </w:rPr>
      </w:pPr>
      <w:r>
        <w:rPr>
          <w:rFonts w:ascii="宋体" w:hAnsi="宋体"/>
          <w:color w:val="auto"/>
          <w:sz w:val="24"/>
          <w:szCs w:val="24"/>
          <w:highlight w:val="none"/>
        </w:rPr>
        <w:t>4.1.1</w:t>
      </w:r>
      <w:r>
        <w:rPr>
          <w:rFonts w:hint="eastAsia" w:ascii="宋体" w:hAnsi="宋体"/>
          <w:color w:val="auto"/>
          <w:sz w:val="24"/>
          <w:szCs w:val="24"/>
          <w:highlight w:val="none"/>
        </w:rPr>
        <w:t xml:space="preserve"> 按合同规定日期向乙方支付合同款；</w:t>
      </w:r>
    </w:p>
    <w:p w14:paraId="1FD3661D">
      <w:pPr>
        <w:spacing w:line="360" w:lineRule="auto"/>
        <w:ind w:firstLine="480"/>
        <w:rPr>
          <w:rFonts w:ascii="宋体" w:hAnsi="宋体"/>
          <w:color w:val="auto"/>
          <w:sz w:val="24"/>
          <w:szCs w:val="24"/>
          <w:highlight w:val="none"/>
        </w:rPr>
      </w:pPr>
      <w:r>
        <w:rPr>
          <w:rFonts w:ascii="宋体" w:hAnsi="宋体"/>
          <w:color w:val="auto"/>
          <w:sz w:val="24"/>
          <w:szCs w:val="24"/>
          <w:highlight w:val="none"/>
        </w:rPr>
        <w:t>4.1.2</w:t>
      </w:r>
      <w:r>
        <w:rPr>
          <w:rFonts w:hint="eastAsia" w:ascii="宋体" w:hAnsi="宋体"/>
          <w:color w:val="auto"/>
          <w:sz w:val="24"/>
          <w:szCs w:val="24"/>
          <w:highlight w:val="none"/>
        </w:rPr>
        <w:t xml:space="preserve"> 依据本协议约定对货物进行验收及试验，验收及试验单位为甲方或甲方委托的第三方单位</w:t>
      </w:r>
      <w:r>
        <w:rPr>
          <w:rFonts w:ascii="宋体" w:hAnsi="宋体"/>
          <w:color w:val="auto"/>
          <w:sz w:val="24"/>
          <w:szCs w:val="24"/>
          <w:highlight w:val="none"/>
        </w:rPr>
        <w:t>；</w:t>
      </w:r>
    </w:p>
    <w:p w14:paraId="26AE8B88">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4.1.3</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乙方按合同或甲方供货通知要求的时间将货物运到指定地点，货物运抵前</w:t>
      </w:r>
      <w:r>
        <w:rPr>
          <w:rFonts w:ascii="宋体" w:hAnsi="宋体"/>
          <w:color w:val="auto"/>
          <w:kern w:val="0"/>
          <w:sz w:val="24"/>
          <w:szCs w:val="24"/>
          <w:highlight w:val="none"/>
        </w:rPr>
        <w:t>3</w:t>
      </w:r>
      <w:r>
        <w:rPr>
          <w:rFonts w:hint="eastAsia" w:ascii="宋体" w:hAnsi="宋体" w:cs="宋体"/>
          <w:color w:val="auto"/>
          <w:kern w:val="0"/>
          <w:sz w:val="24"/>
          <w:szCs w:val="24"/>
          <w:highlight w:val="none"/>
        </w:rPr>
        <w:t>小时通知甲方准备接收；货物到交货点后，甲方应在合理时间内清点和检查验收；乙方应同时提供产地证明、装箱单、产品出厂合格证、质量保证书等交甲方确认，甲方按本合同约定对产品的外观、数量、型号进行初验</w:t>
      </w:r>
      <w:r>
        <w:rPr>
          <w:rFonts w:ascii="宋体" w:hAnsi="宋体"/>
          <w:color w:val="auto"/>
          <w:kern w:val="0"/>
          <w:sz w:val="24"/>
          <w:szCs w:val="24"/>
          <w:highlight w:val="none"/>
        </w:rPr>
        <w:t>,</w:t>
      </w:r>
      <w:r>
        <w:rPr>
          <w:rFonts w:hint="eastAsia" w:ascii="宋体" w:hAnsi="宋体" w:cs="宋体"/>
          <w:color w:val="auto"/>
          <w:kern w:val="0"/>
          <w:sz w:val="24"/>
          <w:szCs w:val="24"/>
          <w:highlight w:val="none"/>
        </w:rPr>
        <w:t>并予以签收确认，但甲方的初验结果不免除乙方因货物质量问题应承担的责任；</w:t>
      </w:r>
    </w:p>
    <w:p w14:paraId="244B63C9">
      <w:pPr>
        <w:spacing w:line="360" w:lineRule="auto"/>
        <w:ind w:firstLine="482"/>
        <w:rPr>
          <w:rFonts w:ascii="宋体" w:hAnsi="宋体"/>
          <w:color w:val="auto"/>
          <w:sz w:val="24"/>
          <w:szCs w:val="24"/>
          <w:highlight w:val="none"/>
        </w:rPr>
      </w:pPr>
      <w:r>
        <w:rPr>
          <w:rFonts w:ascii="宋体" w:hAnsi="宋体"/>
          <w:color w:val="auto"/>
          <w:sz w:val="24"/>
          <w:szCs w:val="24"/>
          <w:highlight w:val="none"/>
        </w:rPr>
        <w:t>4.1.4</w:t>
      </w:r>
      <w:r>
        <w:rPr>
          <w:rFonts w:hint="eastAsia" w:ascii="宋体" w:hAnsi="宋体"/>
          <w:color w:val="auto"/>
          <w:sz w:val="24"/>
          <w:szCs w:val="24"/>
          <w:highlight w:val="none"/>
        </w:rPr>
        <w:t xml:space="preserve"> 对乙方提请确认的内容，甲方应在</w:t>
      </w:r>
      <w:r>
        <w:rPr>
          <w:rFonts w:ascii="宋体" w:hAnsi="宋体"/>
          <w:color w:val="auto"/>
          <w:sz w:val="24"/>
          <w:szCs w:val="24"/>
          <w:highlight w:val="none"/>
        </w:rPr>
        <w:t>48</w:t>
      </w:r>
      <w:r>
        <w:rPr>
          <w:rFonts w:hint="eastAsia" w:ascii="宋体" w:hAnsi="宋体"/>
          <w:color w:val="auto"/>
          <w:sz w:val="24"/>
          <w:szCs w:val="24"/>
          <w:highlight w:val="none"/>
        </w:rPr>
        <w:t>小时内给以确认或提出修改意见。如在</w:t>
      </w:r>
      <w:r>
        <w:rPr>
          <w:rFonts w:ascii="宋体" w:hAnsi="宋体"/>
          <w:color w:val="auto"/>
          <w:sz w:val="24"/>
          <w:szCs w:val="24"/>
          <w:highlight w:val="none"/>
        </w:rPr>
        <w:t>48</w:t>
      </w:r>
      <w:r>
        <w:rPr>
          <w:rFonts w:hint="eastAsia" w:ascii="宋体" w:hAnsi="宋体"/>
          <w:color w:val="auto"/>
          <w:sz w:val="24"/>
          <w:szCs w:val="24"/>
          <w:highlight w:val="none"/>
        </w:rPr>
        <w:t>小时内不能确认，供货时间得以顺延。</w:t>
      </w:r>
    </w:p>
    <w:p w14:paraId="6C924F94">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.2</w:t>
      </w:r>
      <w:r>
        <w:rPr>
          <w:rFonts w:hint="eastAsia" w:ascii="宋体" w:hAnsi="宋体"/>
          <w:b/>
          <w:color w:val="auto"/>
          <w:sz w:val="24"/>
          <w:szCs w:val="24"/>
          <w:highlight w:val="none"/>
        </w:rPr>
        <w:t xml:space="preserve"> 乙方权利义务</w:t>
      </w:r>
    </w:p>
    <w:p w14:paraId="6D76FE4C">
      <w:pPr>
        <w:spacing w:line="360" w:lineRule="auto"/>
        <w:ind w:firstLine="480"/>
        <w:rPr>
          <w:rFonts w:ascii="宋体" w:hAnsi="宋体"/>
          <w:color w:val="auto"/>
          <w:sz w:val="24"/>
          <w:szCs w:val="24"/>
          <w:highlight w:val="none"/>
        </w:rPr>
      </w:pPr>
      <w:r>
        <w:rPr>
          <w:rFonts w:ascii="宋体" w:hAnsi="宋体"/>
          <w:color w:val="auto"/>
          <w:sz w:val="24"/>
          <w:szCs w:val="24"/>
          <w:highlight w:val="none"/>
        </w:rPr>
        <w:t>4.2.1</w:t>
      </w:r>
      <w:r>
        <w:rPr>
          <w:rFonts w:hint="eastAsia" w:ascii="宋体" w:hAnsi="宋体"/>
          <w:color w:val="auto"/>
          <w:sz w:val="24"/>
          <w:szCs w:val="24"/>
          <w:highlight w:val="none"/>
        </w:rPr>
        <w:t xml:space="preserve"> 乙方应按本合同的约定时间及标准完成供货及保修服务；</w:t>
      </w:r>
    </w:p>
    <w:p w14:paraId="5CAFDCAE">
      <w:pPr>
        <w:spacing w:line="360" w:lineRule="auto"/>
        <w:ind w:firstLine="480"/>
        <w:rPr>
          <w:rFonts w:ascii="宋体" w:hAnsi="宋体"/>
          <w:color w:val="auto"/>
          <w:sz w:val="24"/>
          <w:szCs w:val="24"/>
          <w:highlight w:val="none"/>
        </w:rPr>
      </w:pPr>
      <w:r>
        <w:rPr>
          <w:rFonts w:ascii="宋体" w:hAnsi="宋体"/>
          <w:color w:val="auto"/>
          <w:sz w:val="24"/>
          <w:szCs w:val="24"/>
          <w:highlight w:val="none"/>
        </w:rPr>
        <w:t>4.2.2</w:t>
      </w:r>
      <w:r>
        <w:rPr>
          <w:rFonts w:hint="eastAsia" w:ascii="宋体" w:hAnsi="宋体"/>
          <w:color w:val="auto"/>
          <w:sz w:val="24"/>
          <w:szCs w:val="24"/>
          <w:highlight w:val="none"/>
        </w:rPr>
        <w:t xml:space="preserve"> 乙方应确保货物的包装在正常情况下能够保证设备的完好。凡由于包装不良造成的损失和由此产生的费用均由乙方承担；</w:t>
      </w:r>
    </w:p>
    <w:p w14:paraId="40DBDF57">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4.2.3</w:t>
      </w:r>
      <w:r>
        <w:rPr>
          <w:rFonts w:hint="eastAsia" w:ascii="宋体" w:hAnsi="宋体"/>
          <w:color w:val="auto"/>
          <w:sz w:val="24"/>
          <w:szCs w:val="24"/>
          <w:highlight w:val="none"/>
        </w:rPr>
        <w:t xml:space="preserve"> 乙方应确保货物的质量符合国家及地方有关的规定、规范、行业标准，符合甲方需求以及本合同相关约定（如前述标准不一致的，以较高标准为准），且乙方保证所提供的产品是全新的、未使用过的、且为产品生产厂家原厂生产。</w:t>
      </w:r>
    </w:p>
    <w:p w14:paraId="5093B34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设备是否存在质量问题无法达成一致的，甲方有权聘请第三方机构进行检测，如检测结果为设备存在质量问题，则检测费用由乙方承担。</w:t>
      </w:r>
    </w:p>
    <w:p w14:paraId="72E9FA96">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w:t>
      </w:r>
      <w:r>
        <w:rPr>
          <w:rFonts w:ascii="宋体" w:hAnsi="宋体"/>
          <w:color w:val="auto"/>
          <w:sz w:val="24"/>
          <w:szCs w:val="24"/>
          <w:highlight w:val="none"/>
        </w:rPr>
        <w:t>2.4</w:t>
      </w:r>
      <w:r>
        <w:rPr>
          <w:rFonts w:hint="eastAsia" w:ascii="宋体" w:hAnsi="宋体"/>
          <w:color w:val="auto"/>
          <w:sz w:val="24"/>
          <w:szCs w:val="24"/>
          <w:highlight w:val="none"/>
        </w:rPr>
        <w:t xml:space="preserve">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宋体" w:hAnsi="宋体" w:cs="宋体"/>
          <w:color w:val="auto"/>
          <w:kern w:val="0"/>
          <w:sz w:val="24"/>
          <w:szCs w:val="24"/>
          <w:highlight w:val="none"/>
        </w:rPr>
        <w:t>本条款为独立条款，不受合同效力的限制。</w:t>
      </w:r>
    </w:p>
    <w:p w14:paraId="5782BA40">
      <w:pPr>
        <w:widowControl/>
        <w:spacing w:line="360" w:lineRule="auto"/>
        <w:ind w:firstLine="480" w:firstLineChars="200"/>
        <w:jc w:val="left"/>
        <w:rPr>
          <w:rFonts w:ascii="宋体" w:hAnsi="宋体"/>
          <w:color w:val="auto"/>
          <w:sz w:val="24"/>
          <w:szCs w:val="24"/>
          <w:highlight w:val="none"/>
        </w:rPr>
      </w:pPr>
      <w:r>
        <w:rPr>
          <w:rFonts w:ascii="宋体" w:hAnsi="宋体" w:cs="宋体"/>
          <w:color w:val="auto"/>
          <w:kern w:val="0"/>
          <w:sz w:val="24"/>
          <w:szCs w:val="24"/>
          <w:highlight w:val="none"/>
        </w:rPr>
        <w:t>4.2.5</w:t>
      </w:r>
      <w:r>
        <w:rPr>
          <w:rFonts w:hint="eastAsia" w:ascii="宋体" w:hAnsi="宋体"/>
          <w:color w:val="auto"/>
          <w:sz w:val="24"/>
          <w:szCs w:val="24"/>
          <w:highlight w:val="none"/>
        </w:rPr>
        <w:t>乙方保证在合同执行过程中，甲方可以根据实际情况对合同采购清单中的</w:t>
      </w:r>
      <w:r>
        <w:rPr>
          <w:rFonts w:hint="eastAsia" w:ascii="宋体" w:hAnsi="宋体" w:cs="宋体"/>
          <w:color w:val="auto"/>
          <w:kern w:val="0"/>
          <w:sz w:val="24"/>
          <w:szCs w:val="24"/>
          <w:highlight w:val="none"/>
        </w:rPr>
        <w:t>货物进行调整（包括采购货物项目、采购数量增加或减少）；如果甲方对相关项目进行调整的，合同最终价格将根据调整后的情况按实际供货项目及数量结算。</w:t>
      </w:r>
    </w:p>
    <w:p w14:paraId="7C9B39E3">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五、货物质保</w:t>
      </w:r>
    </w:p>
    <w:p w14:paraId="112CF397">
      <w:pPr>
        <w:spacing w:line="360" w:lineRule="auto"/>
        <w:ind w:firstLine="480"/>
        <w:rPr>
          <w:rFonts w:ascii="宋体" w:hAnsi="宋体"/>
          <w:color w:val="auto"/>
          <w:sz w:val="24"/>
          <w:szCs w:val="24"/>
          <w:highlight w:val="none"/>
        </w:rPr>
      </w:pPr>
      <w:r>
        <w:rPr>
          <w:rFonts w:hint="eastAsia" w:ascii="宋体" w:hAnsi="宋体"/>
          <w:color w:val="auto"/>
          <w:sz w:val="24"/>
          <w:szCs w:val="24"/>
          <w:highlight w:val="none"/>
        </w:rPr>
        <w:t>5</w:t>
      </w:r>
      <w:r>
        <w:rPr>
          <w:rFonts w:ascii="宋体" w:hAnsi="宋体"/>
          <w:color w:val="auto"/>
          <w:sz w:val="24"/>
          <w:szCs w:val="24"/>
          <w:highlight w:val="none"/>
        </w:rPr>
        <w:t>.1</w:t>
      </w:r>
      <w:r>
        <w:rPr>
          <w:rFonts w:hint="eastAsia" w:ascii="宋体" w:hAnsi="宋体"/>
          <w:color w:val="auto"/>
          <w:sz w:val="24"/>
          <w:szCs w:val="24"/>
          <w:highlight w:val="none"/>
        </w:rPr>
        <w:t xml:space="preserve"> 质保期：所供货物到货满18个月或者安装验收合格后满12个月，先到为准。</w:t>
      </w:r>
    </w:p>
    <w:p w14:paraId="224B8E18">
      <w:pPr>
        <w:spacing w:line="360" w:lineRule="auto"/>
        <w:ind w:firstLine="480"/>
        <w:rPr>
          <w:rFonts w:ascii="宋体" w:hAnsi="宋体"/>
          <w:color w:val="auto"/>
          <w:sz w:val="24"/>
          <w:szCs w:val="24"/>
          <w:highlight w:val="none"/>
        </w:rPr>
      </w:pPr>
      <w:r>
        <w:rPr>
          <w:rFonts w:ascii="宋体" w:hAnsi="宋体"/>
          <w:color w:val="auto"/>
          <w:sz w:val="24"/>
          <w:szCs w:val="24"/>
          <w:highlight w:val="none"/>
        </w:rPr>
        <w:t>5.2</w:t>
      </w:r>
      <w:r>
        <w:rPr>
          <w:rFonts w:hint="eastAsia" w:ascii="宋体" w:hAnsi="宋体"/>
          <w:color w:val="auto"/>
          <w:sz w:val="24"/>
          <w:szCs w:val="24"/>
          <w:highlight w:val="none"/>
        </w:rPr>
        <w:t xml:space="preserve"> 质保期内，如货物出现质量问题的，乙方应在收到甲方售后服务通知后</w:t>
      </w:r>
      <w:r>
        <w:rPr>
          <w:rFonts w:ascii="宋体" w:hAnsi="宋体"/>
          <w:color w:val="auto"/>
          <w:sz w:val="24"/>
          <w:szCs w:val="24"/>
          <w:highlight w:val="none"/>
        </w:rPr>
        <w:t>1</w:t>
      </w:r>
      <w:r>
        <w:rPr>
          <w:rFonts w:hint="eastAsia" w:ascii="宋体" w:hAnsi="宋体"/>
          <w:color w:val="auto"/>
          <w:sz w:val="24"/>
          <w:szCs w:val="24"/>
          <w:highlight w:val="none"/>
        </w:rPr>
        <w:t>小时内响应，并在甲方指定时间内予以修理或更换。否则，修理或更换的费用由乙方承担，且甲方有权按</w:t>
      </w:r>
      <w:r>
        <w:rPr>
          <w:rFonts w:ascii="宋体" w:hAnsi="宋体"/>
          <w:color w:val="auto"/>
          <w:sz w:val="24"/>
          <w:szCs w:val="24"/>
          <w:highlight w:val="none"/>
          <w:u w:val="single"/>
        </w:rPr>
        <w:t>2000</w:t>
      </w:r>
      <w:r>
        <w:rPr>
          <w:rFonts w:hint="eastAsia" w:ascii="宋体" w:hAnsi="宋体"/>
          <w:color w:val="auto"/>
          <w:sz w:val="24"/>
          <w:szCs w:val="24"/>
          <w:highlight w:val="none"/>
          <w:u w:val="single"/>
        </w:rPr>
        <w:t>元</w:t>
      </w:r>
      <w:r>
        <w:rPr>
          <w:rFonts w:ascii="宋体" w:hAnsi="宋体"/>
          <w:color w:val="auto"/>
          <w:sz w:val="24"/>
          <w:szCs w:val="24"/>
          <w:highlight w:val="none"/>
          <w:u w:val="single"/>
        </w:rPr>
        <w:t>/</w:t>
      </w:r>
      <w:r>
        <w:rPr>
          <w:rFonts w:hint="eastAsia" w:ascii="宋体" w:hAnsi="宋体"/>
          <w:color w:val="auto"/>
          <w:sz w:val="24"/>
          <w:szCs w:val="24"/>
          <w:highlight w:val="none"/>
          <w:u w:val="single"/>
        </w:rPr>
        <w:t>次</w:t>
      </w:r>
      <w:r>
        <w:rPr>
          <w:rFonts w:hint="eastAsia" w:ascii="宋体" w:hAnsi="宋体"/>
          <w:color w:val="auto"/>
          <w:sz w:val="24"/>
          <w:szCs w:val="24"/>
          <w:highlight w:val="none"/>
        </w:rPr>
        <w:t>要求乙方支付违约金。</w:t>
      </w:r>
    </w:p>
    <w:p w14:paraId="08D3ED7A">
      <w:pPr>
        <w:spacing w:line="360" w:lineRule="auto"/>
        <w:ind w:firstLine="480"/>
        <w:rPr>
          <w:rFonts w:ascii="宋体" w:hAnsi="宋体"/>
          <w:color w:val="auto"/>
          <w:sz w:val="24"/>
          <w:szCs w:val="24"/>
          <w:highlight w:val="none"/>
        </w:rPr>
      </w:pPr>
      <w:r>
        <w:rPr>
          <w:rFonts w:ascii="宋体" w:hAnsi="宋体"/>
          <w:color w:val="auto"/>
          <w:sz w:val="24"/>
          <w:szCs w:val="24"/>
          <w:highlight w:val="none"/>
        </w:rPr>
        <w:t>5.3</w:t>
      </w:r>
      <w:r>
        <w:rPr>
          <w:rFonts w:hint="eastAsia" w:ascii="宋体" w:hAnsi="宋体"/>
          <w:color w:val="auto"/>
          <w:sz w:val="24"/>
          <w:szCs w:val="24"/>
          <w:highlight w:val="none"/>
        </w:rPr>
        <w:t xml:space="preserve"> 质保期内，如乙方未按要求提供质保服务或拖延提供质保服务达五个工作日的，甲方有权委托第三方处理并从质保金或履约保证金中直接扣除相应费用。</w:t>
      </w:r>
    </w:p>
    <w:p w14:paraId="27AD67C7">
      <w:pPr>
        <w:spacing w:line="360" w:lineRule="auto"/>
        <w:ind w:right="210" w:rightChars="100" w:firstLine="480" w:firstLineChars="200"/>
        <w:rPr>
          <w:rFonts w:ascii="宋体" w:hAnsi="宋体"/>
          <w:b/>
          <w:color w:val="auto"/>
          <w:sz w:val="24"/>
          <w:szCs w:val="24"/>
          <w:highlight w:val="none"/>
        </w:rPr>
      </w:pPr>
      <w:r>
        <w:rPr>
          <w:rFonts w:hint="eastAsia" w:ascii="宋体" w:hAnsi="宋体"/>
          <w:b/>
          <w:color w:val="auto"/>
          <w:sz w:val="24"/>
          <w:szCs w:val="24"/>
          <w:highlight w:val="none"/>
        </w:rPr>
        <w:t>六、违约责任</w:t>
      </w:r>
    </w:p>
    <w:p w14:paraId="07623796">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.1</w:t>
      </w:r>
      <w:r>
        <w:rPr>
          <w:rFonts w:hint="eastAsia" w:ascii="宋体" w:hAnsi="宋体"/>
          <w:color w:val="auto"/>
          <w:sz w:val="24"/>
          <w:szCs w:val="24"/>
          <w:highlight w:val="none"/>
        </w:rPr>
        <w:t>乙方未按时供货（包括相关的技术资料）的违约责任：</w:t>
      </w:r>
    </w:p>
    <w:p w14:paraId="137CAE24">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（1）逾期1~5日历日，每延误一日按合同总价的0.4%/日计算违约金；</w:t>
      </w:r>
    </w:p>
    <w:p w14:paraId="693FD3E1">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（2）逾期6~10日历日，每延误一日按合同总价的0.</w:t>
      </w:r>
      <w:r>
        <w:rPr>
          <w:rFonts w:ascii="宋体" w:hAnsi="宋体"/>
          <w:color w:val="auto"/>
          <w:sz w:val="24"/>
          <w:szCs w:val="24"/>
          <w:highlight w:val="none"/>
        </w:rPr>
        <w:t>7</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73608ACC">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（3）逾期11~15日历日，每延误一日按合同总价的0.</w:t>
      </w:r>
      <w:r>
        <w:rPr>
          <w:rFonts w:ascii="宋体" w:hAnsi="宋体"/>
          <w:color w:val="auto"/>
          <w:sz w:val="24"/>
          <w:szCs w:val="24"/>
          <w:highlight w:val="none"/>
        </w:rPr>
        <w:t>9</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6B51604E">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注：以上违约金分段累计。</w:t>
      </w:r>
    </w:p>
    <w:p w14:paraId="6D8EE484">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违约金不足以弥补因此给甲方造成的损失的，乙方还应补足；</w:t>
      </w:r>
    </w:p>
    <w:p w14:paraId="65C955C2">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乙方支付违约金，并不解除乙方按照合同继续交货的义务；</w:t>
      </w:r>
    </w:p>
    <w:p w14:paraId="1E121DF7">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若延误累计超出15日历日的，甲方有权没收合同履约保证金（如有），且单方面解除合同。同时，造成甲方损失（包括但不限于经济损失等），均由乙方承担。</w:t>
      </w:r>
    </w:p>
    <w:p w14:paraId="0D8A3DD7">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如果经甲方同意给予了延长期，那么，根据本款应缴纳的违约金从延期后的工期到期日开始计算。</w:t>
      </w:r>
    </w:p>
    <w:p w14:paraId="2DD0845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.2</w:t>
      </w:r>
      <w:r>
        <w:rPr>
          <w:rFonts w:hint="eastAsia" w:ascii="宋体" w:hAnsi="宋体"/>
          <w:color w:val="auto"/>
          <w:sz w:val="24"/>
          <w:szCs w:val="24"/>
          <w:highlight w:val="none"/>
        </w:rPr>
        <w:t>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ascii="宋体" w:hAnsi="宋体"/>
          <w:color w:val="auto"/>
          <w:sz w:val="24"/>
          <w:szCs w:val="24"/>
          <w:highlight w:val="none"/>
          <w:u w:val="single"/>
        </w:rPr>
        <w:t>20%</w:t>
      </w:r>
      <w:r>
        <w:rPr>
          <w:rFonts w:hint="eastAsia" w:ascii="宋体" w:hAnsi="宋体"/>
          <w:color w:val="auto"/>
          <w:sz w:val="24"/>
          <w:szCs w:val="24"/>
          <w:highlight w:val="none"/>
        </w:rPr>
        <w:t>的违约金，违约金不足以赔偿因此给甲方造成的损失的，乙方应补足。</w:t>
      </w:r>
    </w:p>
    <w:p w14:paraId="7966E0B6">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.3</w:t>
      </w:r>
      <w:r>
        <w:rPr>
          <w:rFonts w:hint="eastAsia" w:ascii="宋体" w:hAnsi="宋体"/>
          <w:color w:val="auto"/>
          <w:sz w:val="24"/>
          <w:szCs w:val="24"/>
          <w:highlight w:val="none"/>
        </w:rPr>
        <w:t>甲方未按时付款的，应按合同总金额的</w:t>
      </w:r>
      <w:r>
        <w:rPr>
          <w:rFonts w:ascii="宋体" w:hAnsi="宋体"/>
          <w:color w:val="auto"/>
          <w:sz w:val="24"/>
          <w:szCs w:val="24"/>
          <w:highlight w:val="none"/>
          <w:u w:val="single"/>
        </w:rPr>
        <w:t>3</w:t>
      </w:r>
      <w:r>
        <w:rPr>
          <w:rFonts w:hint="eastAsia" w:ascii="宋体" w:hAnsi="宋体"/>
          <w:color w:val="auto"/>
          <w:sz w:val="24"/>
          <w:szCs w:val="24"/>
          <w:highlight w:val="none"/>
          <w:u w:val="single"/>
        </w:rPr>
        <w:t>‰</w:t>
      </w:r>
      <w:r>
        <w:rPr>
          <w:rFonts w:ascii="宋体" w:hAnsi="宋体"/>
          <w:color w:val="auto"/>
          <w:sz w:val="24"/>
          <w:szCs w:val="24"/>
          <w:highlight w:val="none"/>
          <w:u w:val="single"/>
        </w:rPr>
        <w:t>/</w:t>
      </w:r>
      <w:r>
        <w:rPr>
          <w:rFonts w:hint="eastAsia" w:ascii="宋体" w:hAnsi="宋体"/>
          <w:color w:val="auto"/>
          <w:sz w:val="24"/>
          <w:szCs w:val="24"/>
          <w:highlight w:val="none"/>
        </w:rPr>
        <w:t>日支付乙方违约金。逾期达</w:t>
      </w:r>
      <w:r>
        <w:rPr>
          <w:rFonts w:ascii="宋体" w:hAnsi="宋体"/>
          <w:color w:val="auto"/>
          <w:sz w:val="24"/>
          <w:szCs w:val="24"/>
          <w:highlight w:val="none"/>
        </w:rPr>
        <w:t>20</w:t>
      </w:r>
      <w:r>
        <w:rPr>
          <w:rFonts w:hint="eastAsia" w:ascii="宋体" w:hAnsi="宋体"/>
          <w:color w:val="auto"/>
          <w:sz w:val="24"/>
          <w:szCs w:val="24"/>
          <w:highlight w:val="none"/>
        </w:rPr>
        <w:t>个日历日的，乙方有权单方终止合同并要求甲方赔偿一切损失。</w:t>
      </w:r>
    </w:p>
    <w:p w14:paraId="3D8FA58E">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.4</w:t>
      </w:r>
      <w:r>
        <w:rPr>
          <w:rFonts w:hint="eastAsia" w:ascii="宋体" w:hAnsi="宋体"/>
          <w:color w:val="auto"/>
          <w:sz w:val="24"/>
          <w:szCs w:val="24"/>
          <w:highlight w:val="none"/>
        </w:rPr>
        <w:t>乙方在履约过程中因违约应承担违约金、罚款或甲方损失的，甲方有权直接从履约保证金中扣除相应金额。如履约保证金不足以扣除的，乙方应当补足，甲方有权另行追偿。</w:t>
      </w:r>
    </w:p>
    <w:p w14:paraId="336F6BCB">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.5</w:t>
      </w:r>
      <w:r>
        <w:rPr>
          <w:rFonts w:hint="eastAsia" w:ascii="宋体" w:hAnsi="宋体"/>
          <w:color w:val="auto"/>
          <w:sz w:val="24"/>
          <w:szCs w:val="24"/>
          <w:highlight w:val="none"/>
        </w:rPr>
        <w:t xml:space="preserve"> 因一方或双方遇不可抗力不能继续履行合同时，双方互免承担违约责任，可在结清已发生费用后解除合同。</w:t>
      </w:r>
    </w:p>
    <w:p w14:paraId="7D3FABF0">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.6</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在甲方场所，乙方履行合同应当遵守甲方对于场所的各项管理规定，造成甲方或第三方人身安全或财产经济损失的，由乙方负责全额赔偿（甲方可直接在甲方应付款中扣除）。</w:t>
      </w:r>
    </w:p>
    <w:p w14:paraId="5B11B37C">
      <w:pPr>
        <w:widowControl/>
        <w:spacing w:line="360" w:lineRule="auto"/>
        <w:ind w:firstLine="480" w:firstLineChars="200"/>
        <w:jc w:val="left"/>
        <w:rPr>
          <w:rFonts w:ascii="宋体" w:hAnsi="宋体"/>
          <w:color w:val="auto"/>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rPr>
        <w:t>7 乙方无正当理由拒不履行本合同约定，经甲方书面通知后，仍未在限期内整改的，甲方有权解除合同，乙方应向甲方退回所有已收取款项，且应按合同总付款的2</w:t>
      </w:r>
      <w:r>
        <w:rPr>
          <w:rFonts w:ascii="宋体" w:hAnsi="宋体" w:cs="宋体"/>
          <w:color w:val="auto"/>
          <w:kern w:val="0"/>
          <w:sz w:val="24"/>
          <w:szCs w:val="24"/>
          <w:highlight w:val="none"/>
        </w:rPr>
        <w:t>0%</w:t>
      </w:r>
      <w:r>
        <w:rPr>
          <w:rFonts w:hint="eastAsia" w:ascii="宋体" w:hAnsi="宋体" w:cs="宋体"/>
          <w:color w:val="auto"/>
          <w:kern w:val="0"/>
          <w:sz w:val="24"/>
          <w:szCs w:val="24"/>
          <w:highlight w:val="none"/>
        </w:rPr>
        <w:t>向甲方支付违约金。</w:t>
      </w:r>
    </w:p>
    <w:p w14:paraId="064A8325">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.8</w:t>
      </w:r>
      <w:r>
        <w:rPr>
          <w:rFonts w:hint="eastAsia" w:ascii="宋体" w:hAnsi="宋体" w:cs="宋体"/>
          <w:color w:val="auto"/>
          <w:kern w:val="0"/>
          <w:sz w:val="24"/>
          <w:szCs w:val="24"/>
          <w:highlight w:val="none"/>
        </w:rPr>
        <w:t xml:space="preserve"> 甲方依法律相关规定或本合同约定解除合同的，乙方所有人员、产品必须在甲方解除合同书面通知送达之日起3个工作日内撤离，逾期未撤离的，乙方应向甲方支付场地占用</w:t>
      </w:r>
      <w:r>
        <w:rPr>
          <w:rFonts w:hint="eastAsia" w:ascii="宋体" w:hAnsi="宋体" w:cs="宋体"/>
          <w:color w:val="auto"/>
          <w:kern w:val="0"/>
          <w:sz w:val="24"/>
          <w:szCs w:val="24"/>
          <w:highlight w:val="none"/>
          <w:u w:val="single"/>
        </w:rPr>
        <w:t>费</w:t>
      </w:r>
      <w:r>
        <w:rPr>
          <w:rFonts w:ascii="宋体" w:hAnsi="宋体" w:cs="宋体"/>
          <w:color w:val="auto"/>
          <w:kern w:val="0"/>
          <w:sz w:val="24"/>
          <w:szCs w:val="24"/>
          <w:highlight w:val="none"/>
          <w:u w:val="single"/>
        </w:rPr>
        <w:t>500</w:t>
      </w:r>
      <w:r>
        <w:rPr>
          <w:rFonts w:hint="eastAsia" w:ascii="宋体" w:hAnsi="宋体" w:cs="宋体"/>
          <w:color w:val="auto"/>
          <w:kern w:val="0"/>
          <w:sz w:val="24"/>
          <w:szCs w:val="24"/>
          <w:highlight w:val="none"/>
          <w:u w:val="single"/>
        </w:rPr>
        <w:t>元/日</w:t>
      </w:r>
      <w:r>
        <w:rPr>
          <w:rFonts w:hint="eastAsia" w:ascii="宋体" w:hAnsi="宋体" w:cs="宋体"/>
          <w:color w:val="auto"/>
          <w:kern w:val="0"/>
          <w:sz w:val="24"/>
          <w:szCs w:val="24"/>
          <w:highlight w:val="none"/>
        </w:rPr>
        <w:t>。解除合同书面通知送达之日起，甲方无须对乙方的产品负保管义务和责任，若相关产品损坏或损毁，均由乙方自行承担损失。</w:t>
      </w:r>
    </w:p>
    <w:p w14:paraId="57FC6002">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6.9因乙方违约而甲方主张权利产生的包括但不限于律师费、诉讼费、保全费、保全担保费等一切费用，均由乙方承担。</w:t>
      </w:r>
    </w:p>
    <w:p w14:paraId="0099EE4E">
      <w:pPr>
        <w:spacing w:line="360" w:lineRule="auto"/>
        <w:ind w:right="210" w:rightChars="100"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七、不可抗力</w:t>
      </w:r>
    </w:p>
    <w:p w14:paraId="18983D28">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甲乙双方中任何一方由于不可抗力影响合同执行时，发生不可抗力一方应在</w:t>
      </w:r>
      <w:r>
        <w:rPr>
          <w:rFonts w:ascii="宋体" w:hAnsi="宋体"/>
          <w:color w:val="auto"/>
          <w:sz w:val="24"/>
          <w:szCs w:val="24"/>
          <w:highlight w:val="none"/>
        </w:rPr>
        <w:t>24</w:t>
      </w:r>
      <w:r>
        <w:rPr>
          <w:rFonts w:hint="eastAsia" w:ascii="宋体" w:hAnsi="宋体"/>
          <w:color w:val="auto"/>
          <w:sz w:val="24"/>
          <w:szCs w:val="24"/>
          <w:highlight w:val="none"/>
        </w:rPr>
        <w:t>小时内通知另一方。在此情况下，乙方仍然有责任采取必要的措施加速供货，双方应通过友好协商尽快解决本合同的执行问题。</w:t>
      </w:r>
    </w:p>
    <w:p w14:paraId="389D50B7">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八、争议的解决</w:t>
      </w:r>
    </w:p>
    <w:p w14:paraId="11D934E4">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因履行本合同发生的任何争议，双方本着友好互利的原则协商解决。协商不成时应向甲方所在地人民法院提起诉讼。除有争议的部分外，双方应继续履行本合同所约定的义务。</w:t>
      </w:r>
    </w:p>
    <w:p w14:paraId="7BC06C0F">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九、其它约定</w:t>
      </w:r>
    </w:p>
    <w:p w14:paraId="7525E60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.1</w:t>
      </w:r>
      <w:r>
        <w:rPr>
          <w:rFonts w:hint="eastAsia" w:ascii="宋体" w:hAnsi="宋体"/>
          <w:color w:val="auto"/>
          <w:sz w:val="24"/>
          <w:szCs w:val="24"/>
          <w:highlight w:val="none"/>
        </w:rPr>
        <w:t>本合同任何内容的修改，须由双方进行协商，并另行签订补充协议或书面文件。合同中未尽事项，由双方协商另行签订补充协议。</w:t>
      </w:r>
    </w:p>
    <w:p w14:paraId="12619734">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.2</w:t>
      </w:r>
      <w:r>
        <w:rPr>
          <w:rFonts w:hint="eastAsia" w:ascii="宋体" w:hAnsi="宋体"/>
          <w:color w:val="auto"/>
          <w:sz w:val="24"/>
          <w:szCs w:val="24"/>
          <w:highlight w:val="none"/>
        </w:rPr>
        <w:t>任何一方未经另一方的书面同意，均不得将本合同的权利、义务转让给第三方。</w:t>
      </w:r>
    </w:p>
    <w:p w14:paraId="716CABE5">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9.3</w:t>
      </w:r>
      <w:r>
        <w:rPr>
          <w:rFonts w:hint="eastAsia" w:ascii="宋体" w:hAnsi="宋体"/>
          <w:color w:val="auto"/>
          <w:sz w:val="24"/>
          <w:szCs w:val="24"/>
          <w:highlight w:val="none"/>
        </w:rPr>
        <w:t>本合同一式陆份，甲方执肆份、乙方执贰份。本合同自双方法定代表人或委托代理人签字并加合同章（或公章）后生效，合同履行完毕后自行失效。</w:t>
      </w:r>
    </w:p>
    <w:p w14:paraId="3421DD09">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.4</w:t>
      </w:r>
      <w:r>
        <w:rPr>
          <w:rFonts w:hint="eastAsia" w:ascii="宋体" w:hAnsi="宋体"/>
          <w:color w:val="auto"/>
          <w:sz w:val="24"/>
          <w:szCs w:val="24"/>
          <w:highlight w:val="none"/>
        </w:rPr>
        <w:t>本合同附件：</w:t>
      </w:r>
    </w:p>
    <w:p w14:paraId="076245E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w:t>
      </w:r>
      <w:r>
        <w:rPr>
          <w:rFonts w:ascii="宋体" w:hAnsi="宋体"/>
          <w:color w:val="auto"/>
          <w:sz w:val="24"/>
          <w:szCs w:val="24"/>
          <w:highlight w:val="none"/>
        </w:rPr>
        <w:t>1</w:t>
      </w:r>
      <w:r>
        <w:rPr>
          <w:rFonts w:hint="eastAsia" w:ascii="宋体" w:hAnsi="宋体"/>
          <w:color w:val="auto"/>
          <w:sz w:val="24"/>
          <w:szCs w:val="24"/>
          <w:highlight w:val="none"/>
        </w:rPr>
        <w:t>：《报价清单》</w:t>
      </w:r>
    </w:p>
    <w:p w14:paraId="033FC26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附件2：《技术</w:t>
      </w:r>
      <w:r>
        <w:rPr>
          <w:rFonts w:hint="eastAsia" w:ascii="宋体" w:hAnsi="宋体"/>
          <w:color w:val="auto"/>
          <w:sz w:val="24"/>
          <w:szCs w:val="24"/>
          <w:highlight w:val="none"/>
          <w:lang w:val="en-US" w:eastAsia="zh-CN"/>
        </w:rPr>
        <w:t>协议</w:t>
      </w:r>
      <w:r>
        <w:rPr>
          <w:rFonts w:hint="eastAsia" w:ascii="宋体" w:hAnsi="宋体"/>
          <w:color w:val="auto"/>
          <w:sz w:val="24"/>
          <w:szCs w:val="24"/>
          <w:highlight w:val="none"/>
        </w:rPr>
        <w:t>》</w:t>
      </w:r>
    </w:p>
    <w:p w14:paraId="06AC190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附件3：《阳光合作协议》</w:t>
      </w:r>
    </w:p>
    <w:p w14:paraId="3F1BACF6">
      <w:pPr>
        <w:spacing w:line="360" w:lineRule="auto"/>
        <w:rPr>
          <w:rFonts w:ascii="宋体" w:hAnsi="宋体"/>
          <w:color w:val="auto"/>
          <w:sz w:val="24"/>
          <w:szCs w:val="24"/>
          <w:highlight w:val="none"/>
        </w:rPr>
      </w:pPr>
      <w:r>
        <w:rPr>
          <w:rFonts w:hint="eastAsia" w:ascii="宋体" w:hAnsi="宋体"/>
          <w:color w:val="auto"/>
          <w:sz w:val="24"/>
          <w:szCs w:val="24"/>
          <w:highlight w:val="none"/>
        </w:rPr>
        <w:t>（以下无正文）</w:t>
      </w:r>
    </w:p>
    <w:p w14:paraId="40DD83CF">
      <w:pPr>
        <w:spacing w:line="360" w:lineRule="auto"/>
        <w:ind w:firstLine="480" w:firstLineChars="200"/>
        <w:rPr>
          <w:rFonts w:ascii="宋体" w:hAnsi="宋体"/>
          <w:color w:val="auto"/>
          <w:sz w:val="24"/>
          <w:szCs w:val="24"/>
          <w:highlight w:val="none"/>
        </w:rPr>
      </w:pPr>
    </w:p>
    <w:p w14:paraId="7CB66228">
      <w:pPr>
        <w:spacing w:line="360" w:lineRule="auto"/>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olor w:val="auto"/>
          <w:sz w:val="24"/>
          <w:szCs w:val="24"/>
          <w:highlight w:val="none"/>
        </w:rPr>
        <w:t>甲方（盖章）：</w:t>
      </w:r>
      <w:r>
        <w:rPr>
          <w:rFonts w:ascii="宋体" w:hAnsi="宋体"/>
          <w:color w:val="auto"/>
          <w:sz w:val="24"/>
          <w:szCs w:val="24"/>
          <w:highlight w:val="none"/>
        </w:rPr>
        <w:t xml:space="preserve">                     </w:t>
      </w:r>
      <w:r>
        <w:rPr>
          <w:rFonts w:hint="eastAsia" w:ascii="宋体" w:hAnsi="宋体"/>
          <w:color w:val="auto"/>
          <w:sz w:val="24"/>
          <w:szCs w:val="24"/>
          <w:highlight w:val="none"/>
        </w:rPr>
        <w:t>乙方（盖章）：</w:t>
      </w:r>
    </w:p>
    <w:p w14:paraId="744DAF4B">
      <w:pPr>
        <w:spacing w:line="360" w:lineRule="auto"/>
        <w:ind w:firstLine="240" w:firstLineChars="100"/>
        <w:rPr>
          <w:rFonts w:ascii="宋体" w:hAnsi="宋体"/>
          <w:color w:val="auto"/>
          <w:sz w:val="24"/>
          <w:szCs w:val="24"/>
          <w:highlight w:val="none"/>
        </w:rPr>
      </w:pPr>
    </w:p>
    <w:p w14:paraId="616AB92E">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法定代表人（签章）：</w:t>
      </w:r>
      <w:r>
        <w:rPr>
          <w:rFonts w:ascii="宋体" w:hAnsi="宋体"/>
          <w:color w:val="auto"/>
          <w:sz w:val="24"/>
          <w:szCs w:val="24"/>
          <w:highlight w:val="none"/>
        </w:rPr>
        <w:t xml:space="preserve">               </w:t>
      </w:r>
      <w:r>
        <w:rPr>
          <w:rFonts w:hint="eastAsia" w:ascii="宋体" w:hAnsi="宋体"/>
          <w:color w:val="auto"/>
          <w:sz w:val="24"/>
          <w:szCs w:val="24"/>
          <w:highlight w:val="none"/>
        </w:rPr>
        <w:t>法定代表人（签章）：</w:t>
      </w:r>
    </w:p>
    <w:p w14:paraId="394BBDA1">
      <w:pPr>
        <w:spacing w:line="360" w:lineRule="auto"/>
        <w:ind w:firstLine="240" w:firstLineChars="100"/>
        <w:rPr>
          <w:rFonts w:ascii="宋体" w:hAnsi="宋体"/>
          <w:color w:val="auto"/>
          <w:sz w:val="24"/>
          <w:szCs w:val="24"/>
          <w:highlight w:val="none"/>
        </w:rPr>
      </w:pPr>
    </w:p>
    <w:p w14:paraId="4A3174EB">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或授权代表人（签字）：</w:t>
      </w:r>
      <w:r>
        <w:rPr>
          <w:rFonts w:ascii="宋体" w:hAnsi="宋体"/>
          <w:color w:val="auto"/>
          <w:sz w:val="24"/>
          <w:szCs w:val="24"/>
          <w:highlight w:val="none"/>
        </w:rPr>
        <w:t xml:space="preserve">             </w:t>
      </w:r>
      <w:r>
        <w:rPr>
          <w:rFonts w:hint="eastAsia" w:ascii="宋体" w:hAnsi="宋体"/>
          <w:color w:val="auto"/>
          <w:sz w:val="24"/>
          <w:szCs w:val="24"/>
          <w:highlight w:val="none"/>
        </w:rPr>
        <w:t>或授权代表人（签字）：</w:t>
      </w:r>
    </w:p>
    <w:p w14:paraId="0CBC62BA">
      <w:pPr>
        <w:spacing w:line="360" w:lineRule="auto"/>
        <w:ind w:left="4290" w:leftChars="100" w:hanging="4080" w:hangingChars="1700"/>
        <w:rPr>
          <w:rFonts w:ascii="宋体" w:hAnsi="宋体"/>
          <w:color w:val="auto"/>
          <w:sz w:val="24"/>
          <w:szCs w:val="24"/>
          <w:highlight w:val="none"/>
        </w:rPr>
      </w:pPr>
      <w:r>
        <w:rPr>
          <w:rFonts w:ascii="宋体" w:hAnsi="宋体"/>
          <w:color w:val="auto"/>
          <w:sz w:val="24"/>
          <w:szCs w:val="24"/>
          <w:highlight w:val="none"/>
        </w:rPr>
        <w:t xml:space="preserve">                                  </w:t>
      </w:r>
    </w:p>
    <w:p w14:paraId="77B309C7">
      <w:pPr>
        <w:spacing w:line="360" w:lineRule="auto"/>
        <w:ind w:firstLine="240" w:firstLineChars="100"/>
        <w:rPr>
          <w:rFonts w:ascii="宋体" w:hAnsi="宋体"/>
          <w:color w:val="auto"/>
          <w:sz w:val="24"/>
          <w:szCs w:val="24"/>
          <w:highlight w:val="none"/>
        </w:rPr>
      </w:pPr>
    </w:p>
    <w:p w14:paraId="5944ABD1">
      <w:pPr>
        <w:spacing w:line="360" w:lineRule="auto"/>
        <w:ind w:right="24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签约地点：东莞市</w:t>
      </w:r>
    </w:p>
    <w:p w14:paraId="4E9D6CB4">
      <w:pPr>
        <w:spacing w:line="360" w:lineRule="auto"/>
        <w:ind w:right="96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签订时间：</w:t>
      </w:r>
    </w:p>
    <w:p w14:paraId="2608BCBF">
      <w:pPr>
        <w:widowControl/>
        <w:spacing w:line="360" w:lineRule="auto"/>
        <w:jc w:val="left"/>
        <w:rPr>
          <w:rFonts w:ascii="宋体" w:hAnsi="宋体"/>
          <w:color w:val="auto"/>
          <w:sz w:val="24"/>
          <w:szCs w:val="24"/>
          <w:highlight w:val="none"/>
        </w:rPr>
      </w:pPr>
      <w:r>
        <w:rPr>
          <w:rFonts w:ascii="宋体" w:hAnsi="宋体"/>
          <w:color w:val="auto"/>
          <w:sz w:val="24"/>
          <w:szCs w:val="24"/>
          <w:highlight w:val="none"/>
        </w:rPr>
        <w:br w:type="page"/>
      </w:r>
    </w:p>
    <w:p w14:paraId="05BE72CA">
      <w:pPr>
        <w:adjustRightInd w:val="0"/>
        <w:snapToGrid w:val="0"/>
        <w:spacing w:line="360" w:lineRule="auto"/>
        <w:rPr>
          <w:rFonts w:ascii="宋体" w:hAnsi="宋体"/>
          <w:b/>
          <w:color w:val="auto"/>
          <w:sz w:val="24"/>
          <w:szCs w:val="24"/>
          <w:highlight w:val="none"/>
        </w:rPr>
      </w:pPr>
      <w:r>
        <w:rPr>
          <w:rFonts w:hint="eastAsia" w:ascii="宋体" w:hAnsi="宋体"/>
          <w:b/>
          <w:color w:val="auto"/>
          <w:sz w:val="24"/>
          <w:szCs w:val="24"/>
          <w:highlight w:val="none"/>
        </w:rPr>
        <w:t>附件</w:t>
      </w:r>
      <w:r>
        <w:rPr>
          <w:rFonts w:ascii="宋体" w:hAnsi="宋体"/>
          <w:b/>
          <w:color w:val="auto"/>
          <w:sz w:val="24"/>
          <w:szCs w:val="24"/>
          <w:highlight w:val="none"/>
        </w:rPr>
        <w:t>1</w:t>
      </w:r>
      <w:r>
        <w:rPr>
          <w:rFonts w:hint="eastAsia" w:ascii="宋体" w:hAnsi="宋体"/>
          <w:b/>
          <w:color w:val="auto"/>
          <w:sz w:val="24"/>
          <w:szCs w:val="24"/>
          <w:highlight w:val="none"/>
        </w:rPr>
        <w:t>：报价清单</w:t>
      </w:r>
    </w:p>
    <w:p w14:paraId="28579A6A">
      <w:pPr>
        <w:adjustRightInd w:val="0"/>
        <w:snapToGrid w:val="0"/>
        <w:spacing w:line="360" w:lineRule="auto"/>
        <w:rPr>
          <w:rFonts w:ascii="宋体" w:hAnsi="宋体"/>
          <w:b/>
          <w:color w:val="auto"/>
          <w:sz w:val="24"/>
          <w:szCs w:val="24"/>
          <w:highlight w:val="none"/>
        </w:rPr>
      </w:pPr>
    </w:p>
    <w:p w14:paraId="561E9783">
      <w:pPr>
        <w:adjustRightInd w:val="0"/>
        <w:snapToGrid w:val="0"/>
        <w:spacing w:line="360" w:lineRule="auto"/>
        <w:rPr>
          <w:rFonts w:ascii="宋体" w:hAnsi="宋体"/>
          <w:b/>
          <w:color w:val="auto"/>
          <w:sz w:val="24"/>
          <w:szCs w:val="24"/>
          <w:highlight w:val="none"/>
        </w:rPr>
      </w:pPr>
    </w:p>
    <w:p w14:paraId="1FCE3EDD">
      <w:pPr>
        <w:adjustRightInd w:val="0"/>
        <w:snapToGrid w:val="0"/>
        <w:spacing w:line="360" w:lineRule="auto"/>
        <w:rPr>
          <w:rFonts w:ascii="宋体" w:hAnsi="宋体"/>
          <w:b/>
          <w:color w:val="auto"/>
          <w:sz w:val="24"/>
          <w:szCs w:val="24"/>
          <w:highlight w:val="none"/>
        </w:rPr>
      </w:pPr>
    </w:p>
    <w:p w14:paraId="1B66C916">
      <w:pPr>
        <w:adjustRightInd w:val="0"/>
        <w:snapToGrid w:val="0"/>
        <w:spacing w:line="360" w:lineRule="auto"/>
        <w:rPr>
          <w:rFonts w:ascii="宋体" w:hAnsi="宋体"/>
          <w:b/>
          <w:color w:val="auto"/>
          <w:sz w:val="24"/>
          <w:szCs w:val="24"/>
          <w:highlight w:val="none"/>
        </w:rPr>
      </w:pPr>
    </w:p>
    <w:p w14:paraId="01DFE009">
      <w:pPr>
        <w:adjustRightInd w:val="0"/>
        <w:snapToGrid w:val="0"/>
        <w:spacing w:line="360" w:lineRule="auto"/>
        <w:rPr>
          <w:rFonts w:ascii="宋体" w:hAnsi="宋体"/>
          <w:b/>
          <w:color w:val="auto"/>
          <w:sz w:val="24"/>
          <w:szCs w:val="24"/>
          <w:highlight w:val="none"/>
        </w:rPr>
      </w:pPr>
    </w:p>
    <w:p w14:paraId="3FE3F85C">
      <w:pPr>
        <w:adjustRightInd w:val="0"/>
        <w:snapToGrid w:val="0"/>
        <w:spacing w:line="360" w:lineRule="auto"/>
        <w:rPr>
          <w:rFonts w:ascii="宋体" w:hAnsi="宋体"/>
          <w:b/>
          <w:color w:val="auto"/>
          <w:sz w:val="24"/>
          <w:szCs w:val="24"/>
          <w:highlight w:val="none"/>
        </w:rPr>
      </w:pPr>
    </w:p>
    <w:p w14:paraId="505C8BCA">
      <w:pPr>
        <w:adjustRightInd w:val="0"/>
        <w:snapToGrid w:val="0"/>
        <w:spacing w:line="360" w:lineRule="auto"/>
        <w:rPr>
          <w:rFonts w:ascii="宋体" w:hAnsi="宋体"/>
          <w:b/>
          <w:color w:val="auto"/>
          <w:sz w:val="24"/>
          <w:szCs w:val="24"/>
          <w:highlight w:val="none"/>
        </w:rPr>
      </w:pPr>
    </w:p>
    <w:p w14:paraId="61E32BB7">
      <w:pPr>
        <w:adjustRightInd w:val="0"/>
        <w:snapToGrid w:val="0"/>
        <w:spacing w:line="360" w:lineRule="auto"/>
        <w:rPr>
          <w:rFonts w:ascii="宋体" w:hAnsi="宋体"/>
          <w:b/>
          <w:color w:val="auto"/>
          <w:sz w:val="24"/>
          <w:szCs w:val="24"/>
          <w:highlight w:val="none"/>
        </w:rPr>
      </w:pPr>
    </w:p>
    <w:p w14:paraId="42729169">
      <w:pPr>
        <w:adjustRightInd w:val="0"/>
        <w:snapToGrid w:val="0"/>
        <w:spacing w:line="360" w:lineRule="auto"/>
        <w:rPr>
          <w:rFonts w:ascii="宋体" w:hAnsi="宋体"/>
          <w:b/>
          <w:color w:val="auto"/>
          <w:sz w:val="24"/>
          <w:szCs w:val="24"/>
          <w:highlight w:val="none"/>
        </w:rPr>
      </w:pPr>
    </w:p>
    <w:p w14:paraId="1100236D">
      <w:pPr>
        <w:adjustRightInd w:val="0"/>
        <w:snapToGrid w:val="0"/>
        <w:spacing w:line="360" w:lineRule="auto"/>
        <w:rPr>
          <w:rFonts w:ascii="宋体" w:hAnsi="宋体"/>
          <w:b/>
          <w:color w:val="auto"/>
          <w:sz w:val="24"/>
          <w:szCs w:val="24"/>
          <w:highlight w:val="none"/>
        </w:rPr>
      </w:pPr>
    </w:p>
    <w:p w14:paraId="122BA67B">
      <w:pPr>
        <w:adjustRightInd w:val="0"/>
        <w:snapToGrid w:val="0"/>
        <w:spacing w:line="360" w:lineRule="auto"/>
        <w:rPr>
          <w:rFonts w:ascii="宋体" w:hAnsi="宋体"/>
          <w:b/>
          <w:color w:val="auto"/>
          <w:sz w:val="24"/>
          <w:szCs w:val="24"/>
          <w:highlight w:val="none"/>
        </w:rPr>
      </w:pPr>
    </w:p>
    <w:p w14:paraId="65A3CD63">
      <w:pPr>
        <w:adjustRightInd w:val="0"/>
        <w:snapToGrid w:val="0"/>
        <w:spacing w:line="360" w:lineRule="auto"/>
        <w:rPr>
          <w:rFonts w:ascii="宋体" w:hAnsi="宋体"/>
          <w:b/>
          <w:color w:val="auto"/>
          <w:sz w:val="24"/>
          <w:szCs w:val="24"/>
          <w:highlight w:val="none"/>
        </w:rPr>
      </w:pPr>
    </w:p>
    <w:p w14:paraId="58FE7A3D">
      <w:pPr>
        <w:adjustRightInd w:val="0"/>
        <w:snapToGrid w:val="0"/>
        <w:spacing w:line="360" w:lineRule="auto"/>
        <w:rPr>
          <w:rFonts w:ascii="宋体" w:hAnsi="宋体"/>
          <w:b/>
          <w:color w:val="auto"/>
          <w:sz w:val="24"/>
          <w:szCs w:val="24"/>
          <w:highlight w:val="none"/>
        </w:rPr>
      </w:pPr>
    </w:p>
    <w:p w14:paraId="1B9588F2">
      <w:pPr>
        <w:adjustRightInd w:val="0"/>
        <w:snapToGrid w:val="0"/>
        <w:spacing w:line="360" w:lineRule="auto"/>
        <w:rPr>
          <w:rFonts w:ascii="宋体" w:hAnsi="宋体"/>
          <w:b/>
          <w:color w:val="auto"/>
          <w:sz w:val="24"/>
          <w:szCs w:val="24"/>
          <w:highlight w:val="none"/>
        </w:rPr>
      </w:pPr>
    </w:p>
    <w:p w14:paraId="3209AB55">
      <w:pPr>
        <w:adjustRightInd w:val="0"/>
        <w:snapToGrid w:val="0"/>
        <w:spacing w:line="360" w:lineRule="auto"/>
        <w:rPr>
          <w:rFonts w:ascii="宋体" w:hAnsi="宋体"/>
          <w:b/>
          <w:color w:val="auto"/>
          <w:sz w:val="24"/>
          <w:szCs w:val="24"/>
          <w:highlight w:val="none"/>
        </w:rPr>
      </w:pPr>
    </w:p>
    <w:p w14:paraId="0F469D7A">
      <w:pPr>
        <w:adjustRightInd w:val="0"/>
        <w:snapToGrid w:val="0"/>
        <w:spacing w:line="360" w:lineRule="auto"/>
        <w:rPr>
          <w:rFonts w:ascii="宋体" w:hAnsi="宋体"/>
          <w:b/>
          <w:color w:val="auto"/>
          <w:sz w:val="24"/>
          <w:szCs w:val="24"/>
          <w:highlight w:val="none"/>
        </w:rPr>
      </w:pPr>
    </w:p>
    <w:p w14:paraId="09CE429D">
      <w:pPr>
        <w:adjustRightInd w:val="0"/>
        <w:snapToGrid w:val="0"/>
        <w:spacing w:line="360" w:lineRule="auto"/>
        <w:rPr>
          <w:rFonts w:ascii="宋体" w:hAnsi="宋体"/>
          <w:b/>
          <w:color w:val="auto"/>
          <w:sz w:val="24"/>
          <w:szCs w:val="24"/>
          <w:highlight w:val="none"/>
        </w:rPr>
      </w:pPr>
    </w:p>
    <w:p w14:paraId="0AD2A429">
      <w:pPr>
        <w:adjustRightInd w:val="0"/>
        <w:snapToGrid w:val="0"/>
        <w:spacing w:line="360" w:lineRule="auto"/>
        <w:rPr>
          <w:rFonts w:ascii="宋体" w:hAnsi="宋体"/>
          <w:b/>
          <w:color w:val="auto"/>
          <w:sz w:val="24"/>
          <w:szCs w:val="24"/>
          <w:highlight w:val="none"/>
        </w:rPr>
      </w:pPr>
    </w:p>
    <w:p w14:paraId="69FBEA8E">
      <w:pPr>
        <w:adjustRightInd w:val="0"/>
        <w:snapToGrid w:val="0"/>
        <w:spacing w:line="360" w:lineRule="auto"/>
        <w:rPr>
          <w:rFonts w:ascii="宋体" w:hAnsi="宋体"/>
          <w:b/>
          <w:color w:val="auto"/>
          <w:sz w:val="24"/>
          <w:szCs w:val="24"/>
          <w:highlight w:val="none"/>
        </w:rPr>
      </w:pPr>
    </w:p>
    <w:p w14:paraId="1A9533B8">
      <w:pPr>
        <w:adjustRightInd w:val="0"/>
        <w:snapToGrid w:val="0"/>
        <w:spacing w:line="360" w:lineRule="auto"/>
        <w:rPr>
          <w:rFonts w:ascii="宋体" w:hAnsi="宋体"/>
          <w:b/>
          <w:color w:val="auto"/>
          <w:sz w:val="24"/>
          <w:szCs w:val="24"/>
          <w:highlight w:val="none"/>
        </w:rPr>
      </w:pPr>
    </w:p>
    <w:p w14:paraId="5ABED69E">
      <w:pPr>
        <w:adjustRightInd w:val="0"/>
        <w:snapToGrid w:val="0"/>
        <w:spacing w:line="360" w:lineRule="auto"/>
        <w:rPr>
          <w:rFonts w:ascii="宋体" w:hAnsi="宋体"/>
          <w:b/>
          <w:color w:val="auto"/>
          <w:sz w:val="24"/>
          <w:szCs w:val="24"/>
          <w:highlight w:val="none"/>
        </w:rPr>
      </w:pPr>
    </w:p>
    <w:p w14:paraId="78AF8108">
      <w:pPr>
        <w:adjustRightInd w:val="0"/>
        <w:snapToGrid w:val="0"/>
        <w:spacing w:line="360" w:lineRule="auto"/>
        <w:rPr>
          <w:rFonts w:ascii="宋体" w:hAnsi="宋体"/>
          <w:b/>
          <w:color w:val="auto"/>
          <w:sz w:val="24"/>
          <w:szCs w:val="24"/>
          <w:highlight w:val="none"/>
        </w:rPr>
      </w:pPr>
    </w:p>
    <w:p w14:paraId="6A211EB8">
      <w:pPr>
        <w:adjustRightInd w:val="0"/>
        <w:snapToGrid w:val="0"/>
        <w:spacing w:line="360" w:lineRule="auto"/>
        <w:rPr>
          <w:rFonts w:ascii="宋体" w:hAnsi="宋体"/>
          <w:b/>
          <w:color w:val="auto"/>
          <w:sz w:val="24"/>
          <w:szCs w:val="24"/>
          <w:highlight w:val="none"/>
        </w:rPr>
      </w:pPr>
    </w:p>
    <w:p w14:paraId="27CDB6E1">
      <w:pPr>
        <w:adjustRightInd w:val="0"/>
        <w:snapToGrid w:val="0"/>
        <w:spacing w:line="360" w:lineRule="auto"/>
        <w:rPr>
          <w:rFonts w:ascii="宋体" w:hAnsi="宋体"/>
          <w:b/>
          <w:color w:val="auto"/>
          <w:sz w:val="24"/>
          <w:szCs w:val="24"/>
          <w:highlight w:val="none"/>
        </w:rPr>
      </w:pPr>
    </w:p>
    <w:p w14:paraId="3F243CF1">
      <w:pPr>
        <w:adjustRightInd w:val="0"/>
        <w:snapToGrid w:val="0"/>
        <w:spacing w:line="360" w:lineRule="auto"/>
        <w:rPr>
          <w:rFonts w:ascii="宋体" w:hAnsi="宋体"/>
          <w:b/>
          <w:color w:val="auto"/>
          <w:sz w:val="24"/>
          <w:szCs w:val="24"/>
          <w:highlight w:val="none"/>
        </w:rPr>
      </w:pPr>
    </w:p>
    <w:p w14:paraId="12A1D90A">
      <w:pPr>
        <w:adjustRightInd w:val="0"/>
        <w:snapToGrid w:val="0"/>
        <w:spacing w:line="360" w:lineRule="auto"/>
        <w:rPr>
          <w:rFonts w:ascii="宋体" w:hAnsi="宋体"/>
          <w:b/>
          <w:color w:val="auto"/>
          <w:sz w:val="24"/>
          <w:szCs w:val="24"/>
          <w:highlight w:val="none"/>
        </w:rPr>
      </w:pPr>
    </w:p>
    <w:p w14:paraId="0A8DA2DB">
      <w:pPr>
        <w:adjustRightInd w:val="0"/>
        <w:snapToGrid w:val="0"/>
        <w:spacing w:line="360" w:lineRule="auto"/>
        <w:rPr>
          <w:rFonts w:ascii="宋体" w:hAnsi="宋体"/>
          <w:b/>
          <w:color w:val="auto"/>
          <w:sz w:val="24"/>
          <w:szCs w:val="24"/>
          <w:highlight w:val="none"/>
        </w:rPr>
      </w:pPr>
    </w:p>
    <w:p w14:paraId="1B9AE2EB">
      <w:pPr>
        <w:adjustRightInd w:val="0"/>
        <w:snapToGrid w:val="0"/>
        <w:spacing w:line="360" w:lineRule="auto"/>
        <w:rPr>
          <w:rFonts w:ascii="宋体" w:hAnsi="宋体"/>
          <w:b/>
          <w:color w:val="auto"/>
          <w:sz w:val="24"/>
          <w:szCs w:val="24"/>
          <w:highlight w:val="none"/>
        </w:rPr>
      </w:pPr>
    </w:p>
    <w:p w14:paraId="4CACBD21">
      <w:pPr>
        <w:adjustRightInd w:val="0"/>
        <w:snapToGrid w:val="0"/>
        <w:spacing w:line="360" w:lineRule="auto"/>
        <w:rPr>
          <w:rFonts w:ascii="宋体" w:hAnsi="宋体"/>
          <w:b/>
          <w:color w:val="auto"/>
          <w:sz w:val="24"/>
          <w:szCs w:val="24"/>
          <w:highlight w:val="none"/>
        </w:rPr>
      </w:pPr>
    </w:p>
    <w:p w14:paraId="04C23AEB">
      <w:pPr>
        <w:adjustRightInd w:val="0"/>
        <w:snapToGrid w:val="0"/>
        <w:spacing w:line="360" w:lineRule="auto"/>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rPr>
        <w:t>附件2：</w:t>
      </w:r>
      <w:r>
        <w:rPr>
          <w:rFonts w:hint="eastAsia" w:ascii="宋体" w:hAnsi="宋体"/>
          <w:b/>
          <w:color w:val="auto"/>
          <w:sz w:val="24"/>
          <w:szCs w:val="24"/>
          <w:highlight w:val="none"/>
          <w:lang w:val="en-US" w:eastAsia="zh-CN"/>
        </w:rPr>
        <w:t>技术协议（与本询价文件附件七一致）</w:t>
      </w:r>
    </w:p>
    <w:p w14:paraId="0D7B8496">
      <w:pPr>
        <w:pStyle w:val="2"/>
        <w:rPr>
          <w:color w:val="auto"/>
          <w:highlight w:val="none"/>
        </w:rPr>
      </w:pPr>
    </w:p>
    <w:p w14:paraId="52F40BD2">
      <w:pPr>
        <w:pStyle w:val="2"/>
        <w:rPr>
          <w:color w:val="auto"/>
          <w:highlight w:val="none"/>
        </w:rPr>
      </w:pPr>
    </w:p>
    <w:p w14:paraId="0E2A23B5">
      <w:pPr>
        <w:pStyle w:val="2"/>
        <w:rPr>
          <w:color w:val="auto"/>
          <w:highlight w:val="none"/>
        </w:rPr>
      </w:pPr>
    </w:p>
    <w:p w14:paraId="6E9FBD3C">
      <w:pPr>
        <w:pStyle w:val="2"/>
        <w:rPr>
          <w:color w:val="auto"/>
          <w:highlight w:val="none"/>
        </w:rPr>
      </w:pPr>
    </w:p>
    <w:p w14:paraId="59DE0C08">
      <w:pPr>
        <w:pStyle w:val="2"/>
        <w:rPr>
          <w:color w:val="auto"/>
          <w:highlight w:val="none"/>
        </w:rPr>
      </w:pPr>
    </w:p>
    <w:p w14:paraId="4B4AB29A">
      <w:pPr>
        <w:pStyle w:val="2"/>
        <w:rPr>
          <w:color w:val="auto"/>
          <w:highlight w:val="none"/>
        </w:rPr>
      </w:pPr>
    </w:p>
    <w:p w14:paraId="174D5020">
      <w:pPr>
        <w:pStyle w:val="2"/>
        <w:rPr>
          <w:color w:val="auto"/>
          <w:highlight w:val="none"/>
        </w:rPr>
      </w:pPr>
    </w:p>
    <w:p w14:paraId="2C6A8B27">
      <w:pPr>
        <w:pStyle w:val="2"/>
        <w:rPr>
          <w:color w:val="auto"/>
          <w:highlight w:val="none"/>
        </w:rPr>
      </w:pPr>
    </w:p>
    <w:p w14:paraId="6655EB6E">
      <w:pPr>
        <w:pStyle w:val="2"/>
        <w:rPr>
          <w:color w:val="auto"/>
          <w:highlight w:val="none"/>
        </w:rPr>
      </w:pPr>
    </w:p>
    <w:p w14:paraId="2704B7B0">
      <w:pPr>
        <w:pStyle w:val="2"/>
        <w:rPr>
          <w:color w:val="auto"/>
          <w:highlight w:val="none"/>
        </w:rPr>
      </w:pPr>
    </w:p>
    <w:p w14:paraId="261E83BD">
      <w:pPr>
        <w:pStyle w:val="2"/>
        <w:rPr>
          <w:color w:val="auto"/>
          <w:highlight w:val="none"/>
        </w:rPr>
      </w:pPr>
    </w:p>
    <w:p w14:paraId="3E4FEC40">
      <w:pPr>
        <w:pStyle w:val="2"/>
        <w:rPr>
          <w:color w:val="auto"/>
          <w:highlight w:val="none"/>
        </w:rPr>
      </w:pPr>
    </w:p>
    <w:p w14:paraId="7F53B643">
      <w:pPr>
        <w:pStyle w:val="2"/>
        <w:rPr>
          <w:color w:val="auto"/>
          <w:highlight w:val="none"/>
        </w:rPr>
      </w:pPr>
    </w:p>
    <w:p w14:paraId="58C3FCF8">
      <w:pPr>
        <w:pStyle w:val="2"/>
        <w:rPr>
          <w:color w:val="auto"/>
          <w:highlight w:val="none"/>
        </w:rPr>
      </w:pPr>
    </w:p>
    <w:p w14:paraId="11FD2F6C">
      <w:pPr>
        <w:pStyle w:val="2"/>
        <w:rPr>
          <w:color w:val="auto"/>
          <w:highlight w:val="none"/>
        </w:rPr>
      </w:pPr>
    </w:p>
    <w:p w14:paraId="0873B51B">
      <w:pPr>
        <w:pStyle w:val="2"/>
        <w:rPr>
          <w:color w:val="auto"/>
          <w:highlight w:val="none"/>
        </w:rPr>
      </w:pPr>
    </w:p>
    <w:p w14:paraId="52CF0CF3">
      <w:pPr>
        <w:pStyle w:val="2"/>
        <w:rPr>
          <w:color w:val="auto"/>
          <w:highlight w:val="none"/>
        </w:rPr>
      </w:pPr>
    </w:p>
    <w:p w14:paraId="4E0855E1">
      <w:pPr>
        <w:pStyle w:val="2"/>
        <w:rPr>
          <w:color w:val="auto"/>
          <w:highlight w:val="none"/>
        </w:rPr>
      </w:pPr>
    </w:p>
    <w:p w14:paraId="01CF92D1">
      <w:pPr>
        <w:pStyle w:val="2"/>
        <w:rPr>
          <w:color w:val="auto"/>
          <w:highlight w:val="none"/>
        </w:rPr>
      </w:pPr>
    </w:p>
    <w:p w14:paraId="51558BE2">
      <w:pPr>
        <w:pStyle w:val="2"/>
        <w:rPr>
          <w:color w:val="auto"/>
          <w:highlight w:val="none"/>
        </w:rPr>
      </w:pPr>
    </w:p>
    <w:p w14:paraId="1489AFD5">
      <w:pPr>
        <w:pStyle w:val="2"/>
        <w:rPr>
          <w:color w:val="auto"/>
          <w:highlight w:val="none"/>
        </w:rPr>
      </w:pPr>
    </w:p>
    <w:p w14:paraId="6F757B31">
      <w:pPr>
        <w:pStyle w:val="2"/>
        <w:rPr>
          <w:color w:val="auto"/>
          <w:highlight w:val="none"/>
        </w:rPr>
      </w:pPr>
    </w:p>
    <w:p w14:paraId="00D70E09">
      <w:pPr>
        <w:pStyle w:val="2"/>
        <w:rPr>
          <w:color w:val="auto"/>
          <w:highlight w:val="none"/>
        </w:rPr>
      </w:pPr>
    </w:p>
    <w:p w14:paraId="01EA1857">
      <w:pPr>
        <w:pStyle w:val="2"/>
        <w:rPr>
          <w:color w:val="auto"/>
          <w:highlight w:val="none"/>
        </w:rPr>
      </w:pPr>
    </w:p>
    <w:p w14:paraId="48434CA1">
      <w:pPr>
        <w:pStyle w:val="2"/>
        <w:rPr>
          <w:color w:val="auto"/>
          <w:highlight w:val="none"/>
        </w:rPr>
      </w:pPr>
    </w:p>
    <w:p w14:paraId="78311B2D">
      <w:pPr>
        <w:pStyle w:val="2"/>
        <w:rPr>
          <w:color w:val="auto"/>
          <w:highlight w:val="none"/>
        </w:rPr>
      </w:pPr>
    </w:p>
    <w:p w14:paraId="5D33529E">
      <w:pPr>
        <w:pStyle w:val="2"/>
        <w:rPr>
          <w:color w:val="auto"/>
          <w:highlight w:val="none"/>
        </w:rPr>
      </w:pPr>
    </w:p>
    <w:p w14:paraId="78B98C46">
      <w:pPr>
        <w:pStyle w:val="2"/>
        <w:rPr>
          <w:color w:val="auto"/>
          <w:highlight w:val="none"/>
        </w:rPr>
      </w:pPr>
    </w:p>
    <w:p w14:paraId="3FE79ADC">
      <w:pPr>
        <w:pStyle w:val="2"/>
        <w:rPr>
          <w:color w:val="auto"/>
          <w:highlight w:val="none"/>
        </w:rPr>
      </w:pPr>
    </w:p>
    <w:p w14:paraId="733E590B">
      <w:pPr>
        <w:pStyle w:val="2"/>
        <w:rPr>
          <w:color w:val="auto"/>
          <w:highlight w:val="none"/>
        </w:rPr>
      </w:pPr>
    </w:p>
    <w:p w14:paraId="1EF58ADF">
      <w:pPr>
        <w:pStyle w:val="2"/>
        <w:rPr>
          <w:color w:val="auto"/>
          <w:highlight w:val="none"/>
        </w:rPr>
      </w:pPr>
    </w:p>
    <w:p w14:paraId="622F8D2D">
      <w:pPr>
        <w:pStyle w:val="45"/>
        <w:spacing w:line="360" w:lineRule="auto"/>
        <w:ind w:firstLine="0" w:firstLineChars="0"/>
        <w:rPr>
          <w:b/>
          <w:bCs/>
          <w:color w:val="auto"/>
          <w:sz w:val="24"/>
          <w:szCs w:val="24"/>
          <w:highlight w:val="none"/>
        </w:rPr>
      </w:pPr>
      <w:r>
        <w:rPr>
          <w:b/>
          <w:bCs/>
          <w:color w:val="auto"/>
          <w:sz w:val="24"/>
          <w:szCs w:val="24"/>
          <w:highlight w:val="none"/>
        </w:rPr>
        <w:t>附件3：</w:t>
      </w:r>
    </w:p>
    <w:p w14:paraId="18DDD5DE">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15FFEE0">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14E1E3F2">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43668045">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108846FC">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1FE3230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45A35A9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4B9DBBC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ABC6C07">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5F6D9B2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38BFBDB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25BC4F6E">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5C5B270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69B25B0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75A6049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034408A8">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8FB7557">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4034D82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举报受理部门：东莞实业投资控股集团有限公司法律合规部</w:t>
      </w:r>
    </w:p>
    <w:p w14:paraId="066556EC">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4C0238C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6E750A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邮寄地址：东莞市东城区八一路1号机关二号大院9号楼，东莞实业投资控股集团有限公司法律合规部收，邮编523000。</w:t>
      </w:r>
    </w:p>
    <w:p w14:paraId="2A0FB6F2">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417A79C">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F40064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023645A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bookmarkStart w:id="20" w:name="_GoBack"/>
      <w:bookmarkEnd w:id="20"/>
    </w:p>
    <w:p w14:paraId="6B608C48">
      <w:pPr>
        <w:spacing w:before="166" w:beforeLines="50" w:after="166" w:afterLines="50" w:line="520" w:lineRule="exact"/>
        <w:ind w:firstLine="400" w:firstLineChars="200"/>
        <w:contextualSpacing/>
        <w:rPr>
          <w:color w:val="auto"/>
          <w:sz w:val="20"/>
          <w:highlight w:val="none"/>
        </w:rPr>
      </w:pPr>
    </w:p>
    <w:p w14:paraId="169319E0">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15BEE500">
      <w:pPr>
        <w:spacing w:before="166" w:beforeLines="50" w:after="166" w:afterLines="50" w:line="520" w:lineRule="exact"/>
        <w:ind w:firstLine="400" w:firstLineChars="200"/>
        <w:contextualSpacing/>
        <w:rPr>
          <w:color w:val="auto"/>
          <w:sz w:val="20"/>
          <w:highlight w:val="none"/>
        </w:rPr>
      </w:pPr>
    </w:p>
    <w:p w14:paraId="5925AC6C">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FEBBF20">
      <w:pPr>
        <w:spacing w:before="166" w:beforeLines="50" w:after="166" w:afterLines="50" w:line="520" w:lineRule="exact"/>
        <w:ind w:firstLine="400" w:firstLineChars="200"/>
        <w:contextualSpacing/>
        <w:rPr>
          <w:color w:val="auto"/>
          <w:sz w:val="20"/>
          <w:highlight w:val="none"/>
        </w:rPr>
      </w:pPr>
    </w:p>
    <w:p w14:paraId="1C006E9A">
      <w:pPr>
        <w:spacing w:before="166" w:beforeLines="50" w:after="166" w:afterLines="50" w:line="520" w:lineRule="exact"/>
        <w:ind w:firstLine="400" w:firstLineChars="200"/>
        <w:contextualSpacing/>
        <w:rPr>
          <w:color w:val="auto"/>
          <w:sz w:val="20"/>
          <w:highlight w:val="none"/>
        </w:rPr>
      </w:pPr>
      <w:r>
        <w:rPr>
          <w:color w:val="auto"/>
          <w:sz w:val="20"/>
          <w:highlight w:val="none"/>
        </w:rPr>
        <w:t>签约日期：</w:t>
      </w:r>
      <w:r>
        <w:rPr>
          <w:rFonts w:hint="eastAsia"/>
          <w:color w:val="auto"/>
          <w:sz w:val="20"/>
          <w:highlight w:val="none"/>
          <w:lang w:val="en-US" w:eastAsia="zh-CN"/>
        </w:rPr>
        <w:t xml:space="preserve">   </w:t>
      </w:r>
      <w:r>
        <w:rPr>
          <w:color w:val="auto"/>
          <w:sz w:val="20"/>
          <w:highlight w:val="none"/>
        </w:rPr>
        <w:t>年   月   日</w:t>
      </w:r>
      <w:r>
        <w:rPr>
          <w:color w:val="auto"/>
          <w:sz w:val="20"/>
          <w:highlight w:val="none"/>
        </w:rPr>
        <w:tab/>
      </w:r>
      <w:r>
        <w:rPr>
          <w:color w:val="auto"/>
          <w:sz w:val="20"/>
          <w:highlight w:val="none"/>
        </w:rPr>
        <w:t xml:space="preserve">       签约日期：</w:t>
      </w:r>
      <w:r>
        <w:rPr>
          <w:rFonts w:hint="eastAsia"/>
          <w:color w:val="auto"/>
          <w:sz w:val="20"/>
          <w:highlight w:val="none"/>
          <w:lang w:val="en-US" w:eastAsia="zh-CN"/>
        </w:rPr>
        <w:t xml:space="preserve">   </w:t>
      </w:r>
      <w:r>
        <w:rPr>
          <w:color w:val="auto"/>
          <w:sz w:val="20"/>
          <w:highlight w:val="none"/>
        </w:rPr>
        <w:t>年   月   日</w:t>
      </w:r>
    </w:p>
    <w:p w14:paraId="30218689">
      <w:pPr>
        <w:rPr>
          <w:color w:val="auto"/>
          <w:highlight w:val="none"/>
        </w:rPr>
      </w:pPr>
    </w:p>
    <w:p w14:paraId="24080FD7">
      <w:pPr>
        <w:pStyle w:val="2"/>
        <w:rPr>
          <w:color w:val="auto"/>
          <w:highlight w:val="none"/>
        </w:rPr>
      </w:pPr>
    </w:p>
    <w:p w14:paraId="4B6552C6">
      <w:pPr>
        <w:pStyle w:val="3"/>
        <w:ind w:firstLine="210"/>
        <w:rPr>
          <w:color w:val="auto"/>
          <w:highlight w:val="none"/>
        </w:rPr>
      </w:pPr>
    </w:p>
    <w:sectPr>
      <w:headerReference r:id="rId5" w:type="default"/>
      <w:footerReference r:id="rId6"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6B5A8">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33F825A3">
                          <w:pPr>
                            <w:pStyle w:val="1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PlfknQAAAAAwEAAA8AAAAAAAAAAQAgAAAAIgAAAGRycy9kb3ducmV2LnhtbFBLAQIUABQA&#10;AAAIAIdO4kA6zH7A+AEAAAEEAAAOAAAAAAAAAAEAIAAAAB8BAABkcnMvZTJvRG9jLnhtbFBLBQYA&#10;AAAABgAGAFkBAACJBQAAAAA=&#10;">
              <v:fill on="f" focussize="0,0"/>
              <v:stroke on="f"/>
              <v:imagedata o:title=""/>
              <o:lock v:ext="edit" aspectratio="f"/>
              <v:textbox inset="0mm,0mm,0mm,0mm" style="mso-fit-shape-to-text:t;">
                <w:txbxContent>
                  <w:p w14:paraId="33F825A3">
                    <w:pPr>
                      <w:pStyle w:val="1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21598">
    <w:pPr>
      <w:pStyle w:val="17"/>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4066F">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94066F">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4CA66">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B0A61">
    <w:pPr>
      <w:ind w:left="42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DDE37B"/>
    <w:multiLevelType w:val="singleLevel"/>
    <w:tmpl w:val="CBDDE37B"/>
    <w:lvl w:ilvl="0" w:tentative="0">
      <w:start w:val="3"/>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7B1D2034"/>
    <w:multiLevelType w:val="singleLevel"/>
    <w:tmpl w:val="7B1D2034"/>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5OWQ3ZDEyNmY4MzRmZmQ5M2M0YTlhM2ZkOGE0ZjYifQ=="/>
  </w:docVars>
  <w:rsids>
    <w:rsidRoot w:val="00BD5ED0"/>
    <w:rsid w:val="00005B73"/>
    <w:rsid w:val="00012BFA"/>
    <w:rsid w:val="00027E14"/>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36A1"/>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3249"/>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E5EE8"/>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470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74840"/>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1206"/>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17AC"/>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1E20"/>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1670A03"/>
    <w:rsid w:val="028F0228"/>
    <w:rsid w:val="035D4211"/>
    <w:rsid w:val="037D5EE3"/>
    <w:rsid w:val="03D71EDF"/>
    <w:rsid w:val="04CF6E29"/>
    <w:rsid w:val="05111DAD"/>
    <w:rsid w:val="059366CF"/>
    <w:rsid w:val="05D00163"/>
    <w:rsid w:val="06F15928"/>
    <w:rsid w:val="077C34B8"/>
    <w:rsid w:val="07A209C4"/>
    <w:rsid w:val="07A21C89"/>
    <w:rsid w:val="07B618C1"/>
    <w:rsid w:val="080D26DA"/>
    <w:rsid w:val="08284245"/>
    <w:rsid w:val="086F1260"/>
    <w:rsid w:val="0880226D"/>
    <w:rsid w:val="089F2BDE"/>
    <w:rsid w:val="08BB2505"/>
    <w:rsid w:val="09525C31"/>
    <w:rsid w:val="096E1CB8"/>
    <w:rsid w:val="099A07E1"/>
    <w:rsid w:val="0A9B4FED"/>
    <w:rsid w:val="0B0C0A79"/>
    <w:rsid w:val="0B451F6A"/>
    <w:rsid w:val="0B8824CB"/>
    <w:rsid w:val="0BA14D3A"/>
    <w:rsid w:val="0C6F4C8D"/>
    <w:rsid w:val="0D0E0EB6"/>
    <w:rsid w:val="0DE142CB"/>
    <w:rsid w:val="0E2435A4"/>
    <w:rsid w:val="0FDC1CDC"/>
    <w:rsid w:val="10223C48"/>
    <w:rsid w:val="12475EA9"/>
    <w:rsid w:val="133360BD"/>
    <w:rsid w:val="137F7471"/>
    <w:rsid w:val="13BB2326"/>
    <w:rsid w:val="146E4633"/>
    <w:rsid w:val="150412EA"/>
    <w:rsid w:val="1615231F"/>
    <w:rsid w:val="171438BA"/>
    <w:rsid w:val="17230955"/>
    <w:rsid w:val="180F5427"/>
    <w:rsid w:val="182770BA"/>
    <w:rsid w:val="18863017"/>
    <w:rsid w:val="18AC6D73"/>
    <w:rsid w:val="191F5DB6"/>
    <w:rsid w:val="1B4716B4"/>
    <w:rsid w:val="1BEE7E74"/>
    <w:rsid w:val="1C08419D"/>
    <w:rsid w:val="1D1B5D70"/>
    <w:rsid w:val="1D4D5FFD"/>
    <w:rsid w:val="1DCA4770"/>
    <w:rsid w:val="1E182115"/>
    <w:rsid w:val="1EB43554"/>
    <w:rsid w:val="1F7A0970"/>
    <w:rsid w:val="209E2C67"/>
    <w:rsid w:val="21581D11"/>
    <w:rsid w:val="216F32CA"/>
    <w:rsid w:val="22124112"/>
    <w:rsid w:val="225C19C8"/>
    <w:rsid w:val="231661A0"/>
    <w:rsid w:val="23F57352"/>
    <w:rsid w:val="249A7996"/>
    <w:rsid w:val="25F233C0"/>
    <w:rsid w:val="261C543B"/>
    <w:rsid w:val="267E2359"/>
    <w:rsid w:val="26BC7CBC"/>
    <w:rsid w:val="26D63C19"/>
    <w:rsid w:val="27447ED5"/>
    <w:rsid w:val="275F3A77"/>
    <w:rsid w:val="284F0253"/>
    <w:rsid w:val="28644870"/>
    <w:rsid w:val="2AC5216B"/>
    <w:rsid w:val="2AE949DF"/>
    <w:rsid w:val="2B2C3F7A"/>
    <w:rsid w:val="2B3B474B"/>
    <w:rsid w:val="2B8D044E"/>
    <w:rsid w:val="2B8E43CA"/>
    <w:rsid w:val="2C016BB8"/>
    <w:rsid w:val="2D77461B"/>
    <w:rsid w:val="2DCD1174"/>
    <w:rsid w:val="2E015014"/>
    <w:rsid w:val="2E400C5F"/>
    <w:rsid w:val="2E5209E3"/>
    <w:rsid w:val="2EB01AFE"/>
    <w:rsid w:val="2F02606D"/>
    <w:rsid w:val="30592C7B"/>
    <w:rsid w:val="30D1119A"/>
    <w:rsid w:val="30F12F4C"/>
    <w:rsid w:val="3112402E"/>
    <w:rsid w:val="313D3E38"/>
    <w:rsid w:val="32611BF0"/>
    <w:rsid w:val="33A83294"/>
    <w:rsid w:val="33F22DCF"/>
    <w:rsid w:val="34011E26"/>
    <w:rsid w:val="341B4D23"/>
    <w:rsid w:val="345C5D91"/>
    <w:rsid w:val="347C5B47"/>
    <w:rsid w:val="35613714"/>
    <w:rsid w:val="358C4411"/>
    <w:rsid w:val="35E9189D"/>
    <w:rsid w:val="36A81FB2"/>
    <w:rsid w:val="3722158D"/>
    <w:rsid w:val="375E09FC"/>
    <w:rsid w:val="38525FA9"/>
    <w:rsid w:val="39003F1D"/>
    <w:rsid w:val="39276876"/>
    <w:rsid w:val="392B2930"/>
    <w:rsid w:val="3AB56764"/>
    <w:rsid w:val="3AC853CC"/>
    <w:rsid w:val="3B66136D"/>
    <w:rsid w:val="3C582CD8"/>
    <w:rsid w:val="3E094E14"/>
    <w:rsid w:val="3E2546CD"/>
    <w:rsid w:val="3E33363B"/>
    <w:rsid w:val="3E5874B7"/>
    <w:rsid w:val="40531C58"/>
    <w:rsid w:val="41192D98"/>
    <w:rsid w:val="413E5CD9"/>
    <w:rsid w:val="43425F9D"/>
    <w:rsid w:val="43F465D0"/>
    <w:rsid w:val="442A053D"/>
    <w:rsid w:val="44440739"/>
    <w:rsid w:val="446F65B8"/>
    <w:rsid w:val="44EF3AB0"/>
    <w:rsid w:val="44F057A6"/>
    <w:rsid w:val="45A95346"/>
    <w:rsid w:val="46416F41"/>
    <w:rsid w:val="467D6748"/>
    <w:rsid w:val="46BB2DA5"/>
    <w:rsid w:val="46C4203A"/>
    <w:rsid w:val="470E29AE"/>
    <w:rsid w:val="48001EB4"/>
    <w:rsid w:val="483C258A"/>
    <w:rsid w:val="49CB0CCD"/>
    <w:rsid w:val="4AA610D6"/>
    <w:rsid w:val="4AD618B2"/>
    <w:rsid w:val="4B092762"/>
    <w:rsid w:val="4B0C055A"/>
    <w:rsid w:val="4C1B7A56"/>
    <w:rsid w:val="4C610D2E"/>
    <w:rsid w:val="4C8B4A7C"/>
    <w:rsid w:val="4CFC368B"/>
    <w:rsid w:val="4CFC6887"/>
    <w:rsid w:val="4DFC7BEA"/>
    <w:rsid w:val="4E7D412D"/>
    <w:rsid w:val="4EBE4481"/>
    <w:rsid w:val="4F086AAF"/>
    <w:rsid w:val="5069668A"/>
    <w:rsid w:val="50A83CB2"/>
    <w:rsid w:val="512B42F2"/>
    <w:rsid w:val="51FC2798"/>
    <w:rsid w:val="5247520B"/>
    <w:rsid w:val="538E5DEC"/>
    <w:rsid w:val="53D77098"/>
    <w:rsid w:val="546F1999"/>
    <w:rsid w:val="555B3486"/>
    <w:rsid w:val="55D831AD"/>
    <w:rsid w:val="56D076DF"/>
    <w:rsid w:val="56E34736"/>
    <w:rsid w:val="56FB15A3"/>
    <w:rsid w:val="572C3C94"/>
    <w:rsid w:val="57806BBC"/>
    <w:rsid w:val="58963DA7"/>
    <w:rsid w:val="592C3305"/>
    <w:rsid w:val="5A2C7551"/>
    <w:rsid w:val="5A400720"/>
    <w:rsid w:val="5B33669F"/>
    <w:rsid w:val="5B503EE0"/>
    <w:rsid w:val="5BDA28F3"/>
    <w:rsid w:val="5C072B21"/>
    <w:rsid w:val="5C101108"/>
    <w:rsid w:val="5CA57D43"/>
    <w:rsid w:val="5CF4139A"/>
    <w:rsid w:val="5D693C9C"/>
    <w:rsid w:val="5D9D7735"/>
    <w:rsid w:val="5DE973D6"/>
    <w:rsid w:val="5E8D2D21"/>
    <w:rsid w:val="5EBD1212"/>
    <w:rsid w:val="5F1D6CF6"/>
    <w:rsid w:val="5FAD0DCB"/>
    <w:rsid w:val="600F05EB"/>
    <w:rsid w:val="603E3D6F"/>
    <w:rsid w:val="607B6E7F"/>
    <w:rsid w:val="609410DE"/>
    <w:rsid w:val="60C82A21"/>
    <w:rsid w:val="61180F7A"/>
    <w:rsid w:val="619A06B2"/>
    <w:rsid w:val="623F329A"/>
    <w:rsid w:val="62695E27"/>
    <w:rsid w:val="628242DE"/>
    <w:rsid w:val="62BE7007"/>
    <w:rsid w:val="636127C3"/>
    <w:rsid w:val="6381342F"/>
    <w:rsid w:val="650B601A"/>
    <w:rsid w:val="6541100E"/>
    <w:rsid w:val="654C0BA8"/>
    <w:rsid w:val="65F922DE"/>
    <w:rsid w:val="664352EB"/>
    <w:rsid w:val="672079BD"/>
    <w:rsid w:val="683E7EE4"/>
    <w:rsid w:val="68A473A1"/>
    <w:rsid w:val="696610E4"/>
    <w:rsid w:val="6A83721D"/>
    <w:rsid w:val="6AE21101"/>
    <w:rsid w:val="6B4F3B9E"/>
    <w:rsid w:val="6B59484F"/>
    <w:rsid w:val="6BD63153"/>
    <w:rsid w:val="6BFE0B4D"/>
    <w:rsid w:val="6C5B55DC"/>
    <w:rsid w:val="6C630D2F"/>
    <w:rsid w:val="6CAE03DD"/>
    <w:rsid w:val="6CE56E6B"/>
    <w:rsid w:val="6D032DAA"/>
    <w:rsid w:val="6E005A26"/>
    <w:rsid w:val="6E6329C5"/>
    <w:rsid w:val="6EFF345A"/>
    <w:rsid w:val="6F0E41D6"/>
    <w:rsid w:val="6F4F7C8F"/>
    <w:rsid w:val="6FB4540B"/>
    <w:rsid w:val="6FFA4A72"/>
    <w:rsid w:val="70C73255"/>
    <w:rsid w:val="71126C39"/>
    <w:rsid w:val="715B1488"/>
    <w:rsid w:val="715F328E"/>
    <w:rsid w:val="71610FBE"/>
    <w:rsid w:val="71F14170"/>
    <w:rsid w:val="71F77E16"/>
    <w:rsid w:val="725008FF"/>
    <w:rsid w:val="72760778"/>
    <w:rsid w:val="743104E3"/>
    <w:rsid w:val="74320C3C"/>
    <w:rsid w:val="74513162"/>
    <w:rsid w:val="74713EB8"/>
    <w:rsid w:val="75431AF8"/>
    <w:rsid w:val="757B75BC"/>
    <w:rsid w:val="76A665D3"/>
    <w:rsid w:val="78BD1F9D"/>
    <w:rsid w:val="791B4311"/>
    <w:rsid w:val="79201CE1"/>
    <w:rsid w:val="79B14724"/>
    <w:rsid w:val="7B3E0A41"/>
    <w:rsid w:val="7B8E0678"/>
    <w:rsid w:val="7C323980"/>
    <w:rsid w:val="7D571E97"/>
    <w:rsid w:val="7EDB48C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6">
    <w:name w:val="heading 2"/>
    <w:basedOn w:val="5"/>
    <w:next w:val="1"/>
    <w:link w:val="33"/>
    <w:qFormat/>
    <w:uiPriority w:val="99"/>
    <w:pPr>
      <w:keepNext/>
      <w:keepLines/>
      <w:spacing w:before="260" w:after="260" w:line="416" w:lineRule="auto"/>
      <w:outlineLvl w:val="1"/>
    </w:pPr>
    <w:rPr>
      <w:rFonts w:ascii="Cambria" w:hAnsi="Cambria"/>
      <w:sz w:val="32"/>
      <w:szCs w:val="32"/>
    </w:rPr>
  </w:style>
  <w:style w:type="paragraph" w:styleId="7">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2">
    <w:name w:val="Body Text"/>
    <w:basedOn w:val="1"/>
    <w:next w:val="3"/>
    <w:link w:val="38"/>
    <w:qFormat/>
    <w:uiPriority w:val="99"/>
    <w:pPr>
      <w:spacing w:after="120"/>
    </w:pPr>
  </w:style>
  <w:style w:type="paragraph" w:styleId="3">
    <w:name w:val="Body Text First Indent"/>
    <w:basedOn w:val="2"/>
    <w:next w:val="4"/>
    <w:link w:val="42"/>
    <w:qFormat/>
    <w:uiPriority w:val="99"/>
    <w:pPr>
      <w:widowControl/>
      <w:ind w:firstLine="420" w:firstLineChars="100"/>
    </w:pPr>
    <w:rPr>
      <w:rFonts w:ascii="Calibri" w:hAnsi="Calibri" w:cs="宋体"/>
      <w:szCs w:val="22"/>
    </w:rPr>
  </w:style>
  <w:style w:type="paragraph" w:customStyle="1" w:styleId="4">
    <w:name w:val="样式 正文首行缩进 + 首行缩进:  1 字符"/>
    <w:basedOn w:val="1"/>
    <w:next w:val="1"/>
    <w:qFormat/>
    <w:uiPriority w:val="0"/>
    <w:pPr>
      <w:ind w:firstLine="200" w:firstLineChars="200"/>
    </w:pPr>
    <w:rPr>
      <w:rFonts w:cs="宋体"/>
    </w:rPr>
  </w:style>
  <w:style w:type="paragraph" w:styleId="9">
    <w:name w:val="Normal Indent"/>
    <w:basedOn w:val="1"/>
    <w:link w:val="52"/>
    <w:qFormat/>
    <w:uiPriority w:val="0"/>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6"/>
    <w:qFormat/>
    <w:uiPriority w:val="99"/>
    <w:rPr>
      <w:rFonts w:ascii="宋体"/>
      <w:sz w:val="18"/>
      <w:szCs w:val="18"/>
    </w:rPr>
  </w:style>
  <w:style w:type="paragraph" w:styleId="11">
    <w:name w:val="annotation text"/>
    <w:basedOn w:val="1"/>
    <w:link w:val="37"/>
    <w:qFormat/>
    <w:uiPriority w:val="99"/>
    <w:pPr>
      <w:jc w:val="left"/>
    </w:pPr>
  </w:style>
  <w:style w:type="paragraph" w:styleId="12">
    <w:name w:val="Body Text Indent"/>
    <w:basedOn w:val="1"/>
    <w:next w:val="13"/>
    <w:qFormat/>
    <w:uiPriority w:val="0"/>
    <w:pPr>
      <w:snapToGrid w:val="0"/>
      <w:spacing w:line="480" w:lineRule="atLeast"/>
      <w:ind w:firstLine="598" w:firstLineChars="230"/>
    </w:pPr>
    <w:rPr>
      <w:rFonts w:ascii="宋体" w:hAnsi="宋体"/>
      <w:bCs/>
      <w:spacing w:val="10"/>
    </w:rPr>
  </w:style>
  <w:style w:type="paragraph" w:styleId="13">
    <w:name w:val="envelope return"/>
    <w:basedOn w:val="1"/>
    <w:unhideWhenUsed/>
    <w:qFormat/>
    <w:uiPriority w:val="99"/>
    <w:rPr>
      <w:rFonts w:hint="eastAsia" w:ascii="Arial" w:hAnsi="Arial"/>
    </w:rPr>
  </w:style>
  <w:style w:type="paragraph" w:styleId="14">
    <w:name w:val="Plain Text"/>
    <w:basedOn w:val="1"/>
    <w:link w:val="54"/>
    <w:qFormat/>
    <w:uiPriority w:val="99"/>
    <w:pPr>
      <w:tabs>
        <w:tab w:val="left" w:pos="-105"/>
      </w:tabs>
      <w:spacing w:line="440" w:lineRule="exact"/>
      <w:ind w:right="-147" w:rightChars="-70"/>
      <w:outlineLvl w:val="2"/>
    </w:pPr>
    <w:rPr>
      <w:rFonts w:ascii="宋体" w:hAnsi="Courier New"/>
      <w:sz w:val="24"/>
      <w:szCs w:val="21"/>
    </w:rPr>
  </w:style>
  <w:style w:type="paragraph" w:styleId="15">
    <w:name w:val="Date"/>
    <w:basedOn w:val="1"/>
    <w:next w:val="1"/>
    <w:link w:val="65"/>
    <w:unhideWhenUsed/>
    <w:qFormat/>
    <w:uiPriority w:val="99"/>
    <w:pPr>
      <w:ind w:left="100" w:leftChars="2500"/>
    </w:pPr>
  </w:style>
  <w:style w:type="paragraph" w:styleId="16">
    <w:name w:val="Balloon Text"/>
    <w:basedOn w:val="1"/>
    <w:link w:val="39"/>
    <w:qFormat/>
    <w:uiPriority w:val="99"/>
    <w:rPr>
      <w:sz w:val="18"/>
      <w:szCs w:val="18"/>
    </w:rPr>
  </w:style>
  <w:style w:type="paragraph" w:styleId="17">
    <w:name w:val="footer"/>
    <w:basedOn w:val="1"/>
    <w:link w:val="40"/>
    <w:qFormat/>
    <w:uiPriority w:val="99"/>
    <w:pPr>
      <w:tabs>
        <w:tab w:val="center" w:pos="4153"/>
        <w:tab w:val="right" w:pos="8306"/>
      </w:tabs>
      <w:snapToGrid w:val="0"/>
      <w:jc w:val="left"/>
    </w:pPr>
    <w:rPr>
      <w:sz w:val="18"/>
      <w:szCs w:val="18"/>
    </w:rPr>
  </w:style>
  <w:style w:type="paragraph" w:styleId="18">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toc 2"/>
    <w:basedOn w:val="1"/>
    <w:next w:val="1"/>
    <w:unhideWhenUsed/>
    <w:qFormat/>
    <w:locked/>
    <w:uiPriority w:val="39"/>
    <w:pPr>
      <w:widowControl/>
      <w:spacing w:after="100" w:line="259" w:lineRule="auto"/>
      <w:ind w:left="220"/>
      <w:jc w:val="left"/>
    </w:pPr>
    <w:rPr>
      <w:rFonts w:ascii="等线" w:hAnsi="等线" w:eastAsia="等线"/>
      <w:kern w:val="0"/>
      <w:sz w:val="22"/>
      <w:szCs w:val="22"/>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1"/>
    <w:next w:val="11"/>
    <w:link w:val="59"/>
    <w:semiHidden/>
    <w:qFormat/>
    <w:uiPriority w:val="99"/>
    <w:rPr>
      <w:b/>
      <w:bCs/>
    </w:rPr>
  </w:style>
  <w:style w:type="paragraph" w:styleId="23">
    <w:name w:val="Body Text First Indent 2"/>
    <w:basedOn w:val="12"/>
    <w:qFormat/>
    <w:uiPriority w:val="0"/>
    <w:pPr>
      <w:ind w:firstLine="420" w:firstLineChars="200"/>
    </w:pPr>
    <w:rPr>
      <w:color w:val="000000"/>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0"/>
    <w:rPr>
      <w:b/>
    </w:rPr>
  </w:style>
  <w:style w:type="character" w:styleId="28">
    <w:name w:val="page number"/>
    <w:qFormat/>
    <w:uiPriority w:val="0"/>
  </w:style>
  <w:style w:type="character" w:styleId="29">
    <w:name w:val="Hyperlink"/>
    <w:basedOn w:val="26"/>
    <w:qFormat/>
    <w:uiPriority w:val="99"/>
    <w:rPr>
      <w:rFonts w:cs="Times New Roman"/>
      <w:color w:val="0000FF"/>
      <w:u w:val="single"/>
    </w:rPr>
  </w:style>
  <w:style w:type="character" w:styleId="30">
    <w:name w:val="annotation reference"/>
    <w:basedOn w:val="26"/>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2">
    <w:name w:val="标题 1 字符"/>
    <w:basedOn w:val="26"/>
    <w:link w:val="5"/>
    <w:qFormat/>
    <w:locked/>
    <w:uiPriority w:val="99"/>
    <w:rPr>
      <w:rFonts w:ascii="Times New Roman" w:hAnsi="Times New Roman" w:eastAsia="宋体" w:cs="Times New Roman"/>
      <w:b/>
      <w:bCs/>
      <w:kern w:val="44"/>
      <w:sz w:val="44"/>
      <w:szCs w:val="44"/>
    </w:rPr>
  </w:style>
  <w:style w:type="character" w:customStyle="1" w:styleId="33">
    <w:name w:val="标题 2 字符"/>
    <w:basedOn w:val="26"/>
    <w:link w:val="6"/>
    <w:qFormat/>
    <w:locked/>
    <w:uiPriority w:val="99"/>
    <w:rPr>
      <w:rFonts w:ascii="Cambria" w:hAnsi="Cambria" w:eastAsia="宋体" w:cs="Times New Roman"/>
      <w:b/>
      <w:bCs/>
      <w:kern w:val="2"/>
      <w:sz w:val="32"/>
      <w:szCs w:val="32"/>
    </w:rPr>
  </w:style>
  <w:style w:type="character" w:customStyle="1" w:styleId="34">
    <w:name w:val="标题 3 字符"/>
    <w:basedOn w:val="26"/>
    <w:link w:val="7"/>
    <w:qFormat/>
    <w:locked/>
    <w:uiPriority w:val="99"/>
    <w:rPr>
      <w:rFonts w:eastAsia="宋体" w:cs="Times New Roman"/>
      <w:b/>
      <w:sz w:val="32"/>
    </w:rPr>
  </w:style>
  <w:style w:type="character" w:customStyle="1" w:styleId="35">
    <w:name w:val="标题 4 字符1"/>
    <w:basedOn w:val="26"/>
    <w:link w:val="8"/>
    <w:qFormat/>
    <w:locked/>
    <w:uiPriority w:val="99"/>
    <w:rPr>
      <w:rFonts w:ascii="Arial" w:hAnsi="Arial" w:eastAsia="黑体" w:cs="Times New Roman"/>
      <w:b/>
      <w:bCs/>
      <w:kern w:val="2"/>
      <w:sz w:val="28"/>
      <w:szCs w:val="28"/>
    </w:rPr>
  </w:style>
  <w:style w:type="character" w:customStyle="1" w:styleId="36">
    <w:name w:val="文档结构图 字符"/>
    <w:basedOn w:val="26"/>
    <w:link w:val="10"/>
    <w:qFormat/>
    <w:locked/>
    <w:uiPriority w:val="99"/>
    <w:rPr>
      <w:rFonts w:ascii="宋体" w:hAnsi="Times New Roman" w:eastAsia="宋体" w:cs="Times New Roman"/>
      <w:kern w:val="2"/>
      <w:sz w:val="18"/>
      <w:szCs w:val="18"/>
    </w:rPr>
  </w:style>
  <w:style w:type="character" w:customStyle="1" w:styleId="37">
    <w:name w:val="批注文字 字符"/>
    <w:basedOn w:val="26"/>
    <w:link w:val="11"/>
    <w:qFormat/>
    <w:locked/>
    <w:uiPriority w:val="99"/>
    <w:rPr>
      <w:rFonts w:ascii="Times New Roman" w:hAnsi="Times New Roman" w:cs="Times New Roman"/>
      <w:kern w:val="2"/>
      <w:sz w:val="21"/>
    </w:rPr>
  </w:style>
  <w:style w:type="character" w:customStyle="1" w:styleId="38">
    <w:name w:val="正文文本 字符"/>
    <w:basedOn w:val="26"/>
    <w:link w:val="2"/>
    <w:qFormat/>
    <w:locked/>
    <w:uiPriority w:val="99"/>
    <w:rPr>
      <w:rFonts w:ascii="Times New Roman" w:hAnsi="Times New Roman" w:eastAsia="宋体" w:cs="Times New Roman"/>
      <w:sz w:val="20"/>
      <w:szCs w:val="20"/>
    </w:rPr>
  </w:style>
  <w:style w:type="character" w:customStyle="1" w:styleId="39">
    <w:name w:val="批注框文本 字符"/>
    <w:basedOn w:val="26"/>
    <w:link w:val="16"/>
    <w:qFormat/>
    <w:locked/>
    <w:uiPriority w:val="99"/>
    <w:rPr>
      <w:rFonts w:ascii="Times New Roman" w:hAnsi="Times New Roman" w:eastAsia="宋体" w:cs="Times New Roman"/>
      <w:kern w:val="2"/>
      <w:sz w:val="18"/>
      <w:szCs w:val="18"/>
    </w:rPr>
  </w:style>
  <w:style w:type="character" w:customStyle="1" w:styleId="40">
    <w:name w:val="页脚 字符"/>
    <w:basedOn w:val="26"/>
    <w:link w:val="17"/>
    <w:qFormat/>
    <w:locked/>
    <w:uiPriority w:val="99"/>
    <w:rPr>
      <w:rFonts w:ascii="Times New Roman" w:hAnsi="Times New Roman" w:eastAsia="宋体" w:cs="Times New Roman"/>
      <w:sz w:val="18"/>
      <w:szCs w:val="18"/>
    </w:rPr>
  </w:style>
  <w:style w:type="character" w:customStyle="1" w:styleId="41">
    <w:name w:val="页眉 字符"/>
    <w:basedOn w:val="26"/>
    <w:link w:val="18"/>
    <w:qFormat/>
    <w:locked/>
    <w:uiPriority w:val="99"/>
    <w:rPr>
      <w:rFonts w:ascii="Times New Roman" w:hAnsi="Times New Roman" w:eastAsia="宋体" w:cs="Times New Roman"/>
      <w:sz w:val="18"/>
      <w:szCs w:val="18"/>
    </w:rPr>
  </w:style>
  <w:style w:type="character" w:customStyle="1" w:styleId="42">
    <w:name w:val="正文首行缩进 字符"/>
    <w:basedOn w:val="38"/>
    <w:link w:val="3"/>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customStyle="1" w:styleId="47">
    <w:name w:val="List Paragraph"/>
    <w:basedOn w:val="1"/>
    <w:qFormat/>
    <w:uiPriority w:val="99"/>
    <w:pPr>
      <w:ind w:firstLine="420" w:firstLineChars="200"/>
    </w:pPr>
  </w:style>
  <w:style w:type="character" w:customStyle="1" w:styleId="48">
    <w:name w:val="fontstyle01"/>
    <w:basedOn w:val="26"/>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9"/>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6"/>
    <w:link w:val="14"/>
    <w:qFormat/>
    <w:locked/>
    <w:uiPriority w:val="99"/>
    <w:rPr>
      <w:rFonts w:ascii="宋体" w:hAnsi="Courier New" w:eastAsia="宋体" w:cs="Times New Roman"/>
      <w:kern w:val="2"/>
      <w:sz w:val="21"/>
      <w:szCs w:val="21"/>
    </w:rPr>
  </w:style>
  <w:style w:type="character" w:customStyle="1" w:styleId="55">
    <w:name w:val="未处理的提及1"/>
    <w:basedOn w:val="26"/>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22"/>
    <w:semiHidden/>
    <w:qFormat/>
    <w:locked/>
    <w:uiPriority w:val="99"/>
    <w:rPr>
      <w:rFonts w:ascii="Times New Roman" w:hAnsi="Times New Roman" w:eastAsia="宋体" w:cs="Times New Roman"/>
      <w:b/>
      <w:bCs/>
      <w:kern w:val="2"/>
      <w:sz w:val="21"/>
    </w:rPr>
  </w:style>
  <w:style w:type="character" w:customStyle="1" w:styleId="60">
    <w:name w:val="标题 4 字符"/>
    <w:basedOn w:val="26"/>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6"/>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6"/>
    <w:link w:val="15"/>
    <w:semiHidden/>
    <w:qFormat/>
    <w:uiPriority w:val="99"/>
    <w:rPr>
      <w:kern w:val="2"/>
      <w:sz w:val="21"/>
    </w:rPr>
  </w:style>
  <w:style w:type="paragraph" w:customStyle="1" w:styleId="66">
    <w:name w:val="标题王会平"/>
    <w:basedOn w:val="19"/>
    <w:qFormat/>
    <w:uiPriority w:val="0"/>
    <w:pPr>
      <w:spacing w:line="460" w:lineRule="exact"/>
      <w:ind w:firstLine="480" w:firstLineChars="200"/>
    </w:pPr>
    <w:rPr>
      <w:rFonts w:ascii="宋体" w:hAnsi="宋体"/>
      <w:b/>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40</Pages>
  <Words>5418</Words>
  <Characters>5602</Characters>
  <Lines>167</Lines>
  <Paragraphs>47</Paragraphs>
  <TotalTime>0</TotalTime>
  <ScaleCrop>false</ScaleCrop>
  <LinksUpToDate>false</LinksUpToDate>
  <CharactersWithSpaces>5756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2024-05-14T01:59:00Z</dcterms:created>
  <dc:creator>86138</dc:creator>
  <cp:lastModifiedBy>LV</cp:lastModifiedBy>
  <cp:lastPrinted>2025-11-14T01:08:03Z</cp:lastPrinted>
  <dcterms:modified xsi:type="dcterms:W3CDTF">2025-11-14T01:08:13Z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CB91A1874593480C932302950DC967B5_13</vt:lpwstr>
  </property>
  <property fmtid="{D5CDD505-2E9C-101B-9397-08002B2CF9AE}" pid="4" name="KSOTemplateDocerSaveRecord">
    <vt:lpwstr>eyJoZGlkIjoiNzNiNTM0Mjk3Nzk4YWY0OGVhMjUyNDM2Y2U4ZDA1ZTYiLCJ1c2VySWQiOiI5NDA4NDc3MTEifQ==</vt:lpwstr>
  </property>
</Properties>
</file>